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8556" w14:textId="77777777" w:rsidR="00BB1F04" w:rsidRPr="00E61FD4" w:rsidRDefault="00BB1F04" w:rsidP="00BB1F04">
      <w:pPr>
        <w:pStyle w:val="Header"/>
      </w:pPr>
      <w:r w:rsidRPr="00E61FD4">
        <w:rPr>
          <w:rFonts w:cs="Times New Roman"/>
          <w:color w:val="000000"/>
        </w:rPr>
        <w:t xml:space="preserve">▼This medicinal product is subject to additional monitoring in Australia. This will allow quick identification of new safety information. Healthcare professionals are asked to report any suspected adverse events at </w:t>
      </w:r>
      <w:r w:rsidRPr="00E61FD4">
        <w:rPr>
          <w:rFonts w:cs="Times New Roman"/>
          <w:color w:val="0000FF"/>
        </w:rPr>
        <w:t>https://www.tga.gov.au/reporting-problems</w:t>
      </w:r>
      <w:r w:rsidRPr="00E61FD4">
        <w:rPr>
          <w:rFonts w:cs="Times New Roman"/>
          <w:color w:val="000000"/>
        </w:rPr>
        <w:t>.</w:t>
      </w:r>
    </w:p>
    <w:p w14:paraId="1A11DC67" w14:textId="4EFF5EB0" w:rsidR="001903FB" w:rsidRPr="00E61FD4" w:rsidRDefault="004032BD" w:rsidP="001A2060">
      <w:pPr>
        <w:pStyle w:val="Title"/>
        <w:rPr>
          <w:rFonts w:eastAsia="SimSun"/>
        </w:rPr>
      </w:pPr>
      <w:r w:rsidRPr="00E61FD4">
        <w:rPr>
          <w:rFonts w:eastAsia="SimSun"/>
        </w:rPr>
        <w:t>Australian P</w:t>
      </w:r>
      <w:r w:rsidR="00544A7F" w:rsidRPr="00E61FD4">
        <w:rPr>
          <w:rFonts w:eastAsia="SimSun"/>
        </w:rPr>
        <w:t xml:space="preserve">roduct </w:t>
      </w:r>
      <w:r w:rsidRPr="00E61FD4">
        <w:rPr>
          <w:rFonts w:eastAsia="SimSun"/>
        </w:rPr>
        <w:t>I</w:t>
      </w:r>
      <w:r w:rsidR="00544A7F" w:rsidRPr="00E61FD4">
        <w:rPr>
          <w:rFonts w:eastAsia="SimSun"/>
        </w:rPr>
        <w:t>nformation</w:t>
      </w:r>
      <w:r w:rsidRPr="00E61FD4">
        <w:rPr>
          <w:rFonts w:eastAsia="SimSun"/>
        </w:rPr>
        <w:t xml:space="preserve"> </w:t>
      </w:r>
    </w:p>
    <w:p w14:paraId="510597A0" w14:textId="489B8F77" w:rsidR="004032BD" w:rsidRPr="00E61FD4" w:rsidRDefault="00E5063D" w:rsidP="001A2060">
      <w:pPr>
        <w:pStyle w:val="Title"/>
        <w:rPr>
          <w:rFonts w:eastAsia="SimSun"/>
        </w:rPr>
      </w:pPr>
      <w:r w:rsidRPr="00E61FD4">
        <w:rPr>
          <w:rFonts w:eastAsia="SimSun"/>
        </w:rPr>
        <w:t>CAMZYOS</w:t>
      </w:r>
      <w:r w:rsidR="004704A9" w:rsidRPr="00E61FD4">
        <w:rPr>
          <w:rFonts w:eastAsia="SimSun"/>
          <w:vertAlign w:val="superscript"/>
          <w:lang w:val="en-US"/>
        </w:rPr>
        <w:t>®</w:t>
      </w:r>
      <w:r w:rsidR="00544A7F" w:rsidRPr="00E61FD4">
        <w:rPr>
          <w:rFonts w:eastAsia="SimSun"/>
          <w:vertAlign w:val="superscript"/>
          <w:lang w:val="en-US"/>
        </w:rPr>
        <w:t xml:space="preserve"> </w:t>
      </w:r>
      <w:r w:rsidR="00544A7F" w:rsidRPr="00E61FD4">
        <w:rPr>
          <w:rFonts w:eastAsia="SimSun"/>
          <w:lang w:val="en-US"/>
        </w:rPr>
        <w:t>(</w:t>
      </w:r>
      <w:r w:rsidR="001903FB" w:rsidRPr="00E61FD4">
        <w:rPr>
          <w:rFonts w:eastAsia="SimSun"/>
        </w:rPr>
        <w:t>MAVACAMTEN</w:t>
      </w:r>
      <w:r w:rsidR="00544A7F" w:rsidRPr="00E61FD4">
        <w:rPr>
          <w:rFonts w:eastAsia="SimSun"/>
        </w:rPr>
        <w:t>)</w:t>
      </w:r>
    </w:p>
    <w:tbl>
      <w:tblPr>
        <w:tblStyle w:val="TableGrid"/>
        <w:tblW w:w="9085" w:type="dxa"/>
        <w:tblLook w:val="04A0" w:firstRow="1" w:lastRow="0" w:firstColumn="1" w:lastColumn="0" w:noHBand="0" w:noVBand="1"/>
      </w:tblPr>
      <w:tblGrid>
        <w:gridCol w:w="9085"/>
      </w:tblGrid>
      <w:tr w:rsidR="009E00FF" w:rsidRPr="00E61FD4" w14:paraId="45433A5E" w14:textId="77777777" w:rsidTr="00DC2D4E">
        <w:tc>
          <w:tcPr>
            <w:tcW w:w="9085" w:type="dxa"/>
          </w:tcPr>
          <w:p w14:paraId="7D3C93C6" w14:textId="5A5AADB3" w:rsidR="00800445" w:rsidRPr="00E61FD4" w:rsidRDefault="00800445" w:rsidP="006E352C">
            <w:pPr>
              <w:keepNext/>
              <w:spacing w:after="120"/>
              <w:rPr>
                <w:rFonts w:ascii="TimesNewRomanPS-BoldMT" w:hAnsi="TimesNewRomanPS-BoldMT" w:cs="TimesNewRomanPS-BoldMT"/>
                <w:b/>
                <w:bCs/>
                <w:sz w:val="24"/>
                <w:szCs w:val="24"/>
              </w:rPr>
            </w:pPr>
            <w:r w:rsidRPr="00E61FD4">
              <w:rPr>
                <w:rFonts w:ascii="TimesNewRomanPS-BoldMT" w:hAnsi="TimesNewRomanPS-BoldMT" w:cs="TimesNewRomanPS-BoldMT"/>
                <w:b/>
                <w:bCs/>
                <w:sz w:val="24"/>
                <w:szCs w:val="24"/>
              </w:rPr>
              <w:t>WARNING</w:t>
            </w:r>
            <w:r w:rsidR="005C0986" w:rsidRPr="00E61FD4">
              <w:rPr>
                <w:rFonts w:ascii="TimesNewRomanPS-BoldMT" w:hAnsi="TimesNewRomanPS-BoldMT" w:cs="TimesNewRomanPS-BoldMT"/>
                <w:b/>
                <w:bCs/>
                <w:sz w:val="24"/>
                <w:szCs w:val="24"/>
              </w:rPr>
              <w:t>: CAMZYOS reduces left ventricular ejection fraction (LVEF)</w:t>
            </w:r>
          </w:p>
          <w:p w14:paraId="4B54DAE3" w14:textId="46C48C06" w:rsidR="00BE2EAB" w:rsidRPr="00E61FD4" w:rsidRDefault="00250221" w:rsidP="006E352C">
            <w:pPr>
              <w:keepNext/>
              <w:spacing w:after="120"/>
              <w:rPr>
                <w:rFonts w:ascii="TimesNewRomanPS-BoldMT" w:hAnsi="TimesNewRomanPS-BoldMT" w:cs="TimesNewRomanPS-BoldMT"/>
                <w:b/>
                <w:bCs/>
                <w:sz w:val="24"/>
                <w:szCs w:val="24"/>
              </w:rPr>
            </w:pPr>
            <w:r w:rsidRPr="00E61FD4">
              <w:rPr>
                <w:rFonts w:ascii="TimesNewRomanPS-BoldMT" w:hAnsi="TimesNewRomanPS-BoldMT" w:cs="TimesNewRomanPS-BoldMT"/>
                <w:b/>
                <w:bCs/>
                <w:sz w:val="24"/>
                <w:szCs w:val="24"/>
              </w:rPr>
              <w:t>Prior to and d</w:t>
            </w:r>
            <w:r w:rsidR="004B69F2" w:rsidRPr="00E61FD4">
              <w:rPr>
                <w:rFonts w:ascii="TimesNewRomanPS-BoldMT" w:hAnsi="TimesNewRomanPS-BoldMT" w:cs="TimesNewRomanPS-BoldMT"/>
                <w:b/>
                <w:bCs/>
                <w:sz w:val="24"/>
                <w:szCs w:val="24"/>
              </w:rPr>
              <w:t>uring treatment with CAMZYOS regular</w:t>
            </w:r>
            <w:r w:rsidR="000C4F80" w:rsidRPr="00E61FD4">
              <w:rPr>
                <w:rFonts w:ascii="TimesNewRomanPS-BoldMT" w:hAnsi="TimesNewRomanPS-BoldMT" w:cs="TimesNewRomanPS-BoldMT"/>
                <w:b/>
                <w:bCs/>
                <w:sz w:val="24"/>
                <w:szCs w:val="24"/>
              </w:rPr>
              <w:t xml:space="preserve"> clinical and </w:t>
            </w:r>
            <w:r w:rsidR="00B7196A" w:rsidRPr="00E61FD4">
              <w:rPr>
                <w:rFonts w:ascii="TimesNewRomanPS-BoldMT" w:hAnsi="TimesNewRomanPS-BoldMT" w:cs="TimesNewRomanPS-BoldMT"/>
                <w:b/>
                <w:bCs/>
                <w:sz w:val="24"/>
                <w:szCs w:val="24"/>
              </w:rPr>
              <w:t>echocardiogram</w:t>
            </w:r>
            <w:r w:rsidR="000C4F80" w:rsidRPr="00E61FD4">
              <w:rPr>
                <w:rFonts w:ascii="TimesNewRomanPS-BoldMT" w:hAnsi="TimesNewRomanPS-BoldMT" w:cs="TimesNewRomanPS-BoldMT"/>
                <w:b/>
                <w:bCs/>
                <w:sz w:val="24"/>
                <w:szCs w:val="24"/>
              </w:rPr>
              <w:t xml:space="preserve"> monitoring are required to </w:t>
            </w:r>
            <w:r w:rsidR="007B0941" w:rsidRPr="00E61FD4">
              <w:rPr>
                <w:rFonts w:ascii="TimesNewRomanPS-BoldMT" w:hAnsi="TimesNewRomanPS-BoldMT" w:cs="TimesNewRomanPS-BoldMT"/>
                <w:b/>
                <w:bCs/>
                <w:sz w:val="24"/>
                <w:szCs w:val="24"/>
              </w:rPr>
              <w:t xml:space="preserve">appropriately </w:t>
            </w:r>
            <w:r w:rsidR="00BA08EC" w:rsidRPr="00E61FD4">
              <w:rPr>
                <w:rFonts w:ascii="TimesNewRomanPS-BoldMT" w:hAnsi="TimesNewRomanPS-BoldMT" w:cs="TimesNewRomanPS-BoldMT"/>
                <w:b/>
                <w:bCs/>
                <w:sz w:val="24"/>
                <w:szCs w:val="24"/>
              </w:rPr>
              <w:t>titrate and maintain</w:t>
            </w:r>
            <w:r w:rsidR="00BE2EAB" w:rsidRPr="00E61FD4">
              <w:rPr>
                <w:rFonts w:ascii="TimesNewRomanPS-BoldMT" w:hAnsi="TimesNewRomanPS-BoldMT" w:cs="TimesNewRomanPS-BoldMT"/>
                <w:b/>
                <w:bCs/>
                <w:sz w:val="24"/>
                <w:szCs w:val="24"/>
              </w:rPr>
              <w:t xml:space="preserve"> the optimal patient dose. </w:t>
            </w:r>
          </w:p>
          <w:p w14:paraId="13225CD7" w14:textId="1E8EEDBB" w:rsidR="00F7273C" w:rsidRPr="00E61FD4" w:rsidRDefault="00250221" w:rsidP="006E352C">
            <w:pPr>
              <w:keepNext/>
              <w:spacing w:after="120"/>
              <w:rPr>
                <w:rFonts w:ascii="TimesNewRomanPS-BoldItalicMT" w:hAnsi="TimesNewRomanPS-BoldItalicMT" w:cs="TimesNewRomanPS-BoldItalicMT"/>
                <w:b/>
                <w:bCs/>
                <w:i/>
                <w:iCs/>
                <w:sz w:val="24"/>
                <w:szCs w:val="24"/>
              </w:rPr>
            </w:pPr>
            <w:r w:rsidRPr="00E61FD4">
              <w:rPr>
                <w:rFonts w:ascii="TimesNewRomanPS-BoldMT" w:hAnsi="TimesNewRomanPS-BoldMT" w:cs="TimesNewRomanPS-BoldMT"/>
                <w:b/>
                <w:bCs/>
                <w:sz w:val="24"/>
                <w:szCs w:val="24"/>
              </w:rPr>
              <w:t xml:space="preserve">Initiation of CAMZYOS in patients with LVEF &lt;55% is not recommended. </w:t>
            </w:r>
            <w:r w:rsidR="00F7273C" w:rsidRPr="00E61FD4">
              <w:rPr>
                <w:rFonts w:ascii="TimesNewRomanPS-BoldMT" w:hAnsi="TimesNewRomanPS-BoldMT" w:cs="TimesNewRomanPS-BoldMT"/>
                <w:b/>
                <w:bCs/>
                <w:sz w:val="24"/>
                <w:szCs w:val="24"/>
              </w:rPr>
              <w:t>Interrupt CAMZYOS if LVEF is &lt;50% at any visit (</w:t>
            </w:r>
            <w:r w:rsidR="00F7273C" w:rsidRPr="00E61FD4">
              <w:rPr>
                <w:b/>
                <w:i/>
                <w:iCs/>
                <w:sz w:val="24"/>
                <w:szCs w:val="26"/>
              </w:rPr>
              <w:t xml:space="preserve">see </w:t>
            </w:r>
            <w:r w:rsidR="00A239AD" w:rsidRPr="00E61FD4">
              <w:rPr>
                <w:b/>
                <w:i/>
                <w:iCs/>
                <w:sz w:val="24"/>
                <w:szCs w:val="26"/>
              </w:rPr>
              <w:t>s</w:t>
            </w:r>
            <w:r w:rsidR="00F7273C" w:rsidRPr="00E61FD4">
              <w:rPr>
                <w:b/>
                <w:i/>
                <w:iCs/>
                <w:sz w:val="24"/>
                <w:szCs w:val="26"/>
              </w:rPr>
              <w:t>ection 4.2 Dose and method of administration</w:t>
            </w:r>
            <w:r w:rsidR="00F7273C" w:rsidRPr="00E61FD4">
              <w:rPr>
                <w:rFonts w:ascii="TimesNewRomanPS-BoldItalicMT" w:hAnsi="TimesNewRomanPS-BoldItalicMT" w:cs="TimesNewRomanPS-BoldItalicMT"/>
                <w:b/>
                <w:bCs/>
                <w:i/>
                <w:iCs/>
                <w:sz w:val="24"/>
                <w:szCs w:val="24"/>
              </w:rPr>
              <w:t xml:space="preserve"> </w:t>
            </w:r>
            <w:r w:rsidR="00EB576A" w:rsidRPr="00E61FD4">
              <w:rPr>
                <w:rFonts w:ascii="TimesNewRomanPS-BoldItalicMT" w:hAnsi="TimesNewRomanPS-BoldItalicMT" w:cs="TimesNewRomanPS-BoldItalicMT"/>
                <w:b/>
                <w:bCs/>
                <w:i/>
                <w:iCs/>
                <w:sz w:val="24"/>
                <w:szCs w:val="24"/>
              </w:rPr>
              <w:t>and</w:t>
            </w:r>
            <w:r w:rsidR="00F7273C" w:rsidRPr="00E61FD4">
              <w:rPr>
                <w:rFonts w:ascii="TimesNewRomanPS-BoldItalicMT" w:hAnsi="TimesNewRomanPS-BoldItalicMT" w:cs="TimesNewRomanPS-BoldItalicMT"/>
                <w:b/>
                <w:bCs/>
                <w:i/>
                <w:iCs/>
                <w:sz w:val="24"/>
                <w:szCs w:val="24"/>
              </w:rPr>
              <w:t xml:space="preserve"> </w:t>
            </w:r>
            <w:r w:rsidR="00A239AD" w:rsidRPr="00E61FD4">
              <w:rPr>
                <w:rFonts w:ascii="TimesNewRomanPS-BoldItalicMT" w:hAnsi="TimesNewRomanPS-BoldItalicMT" w:cs="TimesNewRomanPS-BoldItalicMT"/>
                <w:b/>
                <w:bCs/>
                <w:i/>
                <w:iCs/>
                <w:sz w:val="24"/>
                <w:szCs w:val="24"/>
              </w:rPr>
              <w:t>s</w:t>
            </w:r>
            <w:r w:rsidR="00F7273C" w:rsidRPr="00E61FD4">
              <w:rPr>
                <w:b/>
                <w:i/>
                <w:iCs/>
                <w:sz w:val="24"/>
                <w:szCs w:val="26"/>
              </w:rPr>
              <w:t>ection 4.4 Special warnings and precautions for use</w:t>
            </w:r>
            <w:r w:rsidR="00F7273C" w:rsidRPr="00E61FD4">
              <w:rPr>
                <w:b/>
                <w:sz w:val="24"/>
                <w:szCs w:val="26"/>
              </w:rPr>
              <w:t>)</w:t>
            </w:r>
            <w:r w:rsidR="00F7273C" w:rsidRPr="00E61FD4">
              <w:rPr>
                <w:rFonts w:ascii="TimesNewRomanPS-BoldItalicMT" w:hAnsi="TimesNewRomanPS-BoldItalicMT" w:cs="TimesNewRomanPS-BoldItalicMT"/>
                <w:b/>
                <w:bCs/>
                <w:i/>
                <w:iCs/>
                <w:sz w:val="24"/>
                <w:szCs w:val="24"/>
              </w:rPr>
              <w:t>.</w:t>
            </w:r>
          </w:p>
          <w:p w14:paraId="1B603F7F" w14:textId="77777777" w:rsidR="00F97F04" w:rsidRPr="00E61FD4" w:rsidRDefault="00F97F04" w:rsidP="00F97F04">
            <w:pPr>
              <w:autoSpaceDE w:val="0"/>
              <w:autoSpaceDN w:val="0"/>
              <w:adjustRightInd w:val="0"/>
              <w:rPr>
                <w:rFonts w:ascii="TimesNewRomanPS-BoldMT" w:hAnsi="TimesNewRomanPS-BoldMT" w:cs="TimesNewRomanPS-BoldMT"/>
                <w:b/>
                <w:bCs/>
                <w:sz w:val="16"/>
                <w:szCs w:val="16"/>
              </w:rPr>
            </w:pPr>
            <w:r w:rsidRPr="00E61FD4">
              <w:rPr>
                <w:rFonts w:ascii="TimesNewRomanPS-BoldMT" w:hAnsi="TimesNewRomanPS-BoldMT" w:cs="TimesNewRomanPS-BoldMT"/>
                <w:b/>
                <w:bCs/>
                <w:sz w:val="24"/>
                <w:szCs w:val="24"/>
              </w:rPr>
              <w:t>Concomitant use of CAMZYOS with certain cytochrome P450 inhibitors or discontinuation of certain cytochrome P450 inducers may increase the risk of heart failure due to systolic dysfunction; therefore, the use of CAMZYOS is contraindicated with the following (</w:t>
            </w:r>
            <w:r w:rsidRPr="00E61FD4">
              <w:rPr>
                <w:b/>
                <w:i/>
                <w:iCs/>
                <w:sz w:val="24"/>
                <w:szCs w:val="26"/>
              </w:rPr>
              <w:t>see section 4.3 Contraindications</w:t>
            </w:r>
            <w:r w:rsidRPr="00E61FD4">
              <w:rPr>
                <w:rFonts w:ascii="TimesNewRomanPS-BoldItalicMT" w:hAnsi="TimesNewRomanPS-BoldItalicMT" w:cs="TimesNewRomanPS-BoldItalicMT"/>
                <w:b/>
                <w:bCs/>
                <w:i/>
                <w:iCs/>
                <w:sz w:val="24"/>
                <w:szCs w:val="24"/>
              </w:rPr>
              <w:t xml:space="preserve"> </w:t>
            </w:r>
            <w:r w:rsidRPr="00E61FD4">
              <w:rPr>
                <w:rFonts w:ascii="TimesNewRomanPS-BoldItalicMT" w:hAnsi="TimesNewRomanPS-BoldItalicMT" w:cs="TimesNewRomanPS-BoldItalicMT"/>
                <w:b/>
                <w:bCs/>
                <w:sz w:val="24"/>
                <w:szCs w:val="24"/>
              </w:rPr>
              <w:t>and</w:t>
            </w:r>
            <w:r w:rsidRPr="00E61FD4">
              <w:rPr>
                <w:rFonts w:ascii="TimesNewRomanPS-BoldItalicMT" w:hAnsi="TimesNewRomanPS-BoldItalicMT" w:cs="TimesNewRomanPS-BoldItalicMT"/>
                <w:b/>
                <w:bCs/>
                <w:i/>
                <w:iCs/>
                <w:sz w:val="24"/>
                <w:szCs w:val="24"/>
              </w:rPr>
              <w:t xml:space="preserve"> s</w:t>
            </w:r>
            <w:r w:rsidRPr="00E61FD4">
              <w:rPr>
                <w:b/>
                <w:i/>
                <w:iCs/>
                <w:sz w:val="24"/>
                <w:szCs w:val="26"/>
              </w:rPr>
              <w:t>ection 4.4 Special warnings and precautions for use)</w:t>
            </w:r>
            <w:r w:rsidRPr="00E61FD4">
              <w:rPr>
                <w:rFonts w:ascii="TimesNewRomanPS-BoldMT" w:hAnsi="TimesNewRomanPS-BoldMT" w:cs="TimesNewRomanPS-BoldMT"/>
                <w:b/>
                <w:bCs/>
                <w:sz w:val="16"/>
                <w:szCs w:val="16"/>
              </w:rPr>
              <w:t>:</w:t>
            </w:r>
          </w:p>
          <w:p w14:paraId="56709CF7" w14:textId="77777777" w:rsidR="00F97F04" w:rsidRPr="00E61FD4" w:rsidRDefault="00F97F04" w:rsidP="00F97F04">
            <w:pPr>
              <w:autoSpaceDE w:val="0"/>
              <w:autoSpaceDN w:val="0"/>
              <w:adjustRightInd w:val="0"/>
              <w:rPr>
                <w:rFonts w:ascii="TimesNewRomanPS-BoldMT" w:hAnsi="TimesNewRomanPS-BoldMT" w:cs="TimesNewRomanPS-BoldMT"/>
                <w:b/>
                <w:bCs/>
                <w:sz w:val="24"/>
                <w:szCs w:val="24"/>
              </w:rPr>
            </w:pPr>
            <w:r w:rsidRPr="00E61FD4">
              <w:rPr>
                <w:rFonts w:ascii="SymbolMT" w:hAnsi="SymbolMT" w:cs="SymbolMT"/>
                <w:sz w:val="24"/>
                <w:szCs w:val="24"/>
              </w:rPr>
              <w:t xml:space="preserve">• </w:t>
            </w:r>
            <w:r w:rsidRPr="00E61FD4">
              <w:rPr>
                <w:rFonts w:ascii="TimesNewRomanPS-BoldMT" w:hAnsi="TimesNewRomanPS-BoldMT" w:cs="TimesNewRomanPS-BoldMT"/>
                <w:b/>
                <w:bCs/>
                <w:sz w:val="24"/>
                <w:szCs w:val="24"/>
              </w:rPr>
              <w:t>Moderate to strong CYP2C19 inhibitors or strong CYP3A4 inhibitors</w:t>
            </w:r>
          </w:p>
          <w:p w14:paraId="4A29EBAD" w14:textId="24AA3C9B" w:rsidR="00F97F04" w:rsidRPr="00E61FD4" w:rsidRDefault="00F97F04" w:rsidP="00F97F04">
            <w:pPr>
              <w:autoSpaceDE w:val="0"/>
              <w:autoSpaceDN w:val="0"/>
              <w:adjustRightInd w:val="0"/>
              <w:rPr>
                <w:rFonts w:ascii="TimesNewRomanPS-BoldMT" w:hAnsi="TimesNewRomanPS-BoldMT" w:cs="TimesNewRomanPS-BoldMT"/>
                <w:b/>
                <w:bCs/>
                <w:sz w:val="24"/>
                <w:szCs w:val="24"/>
              </w:rPr>
            </w:pPr>
            <w:r w:rsidRPr="00E61FD4">
              <w:rPr>
                <w:rFonts w:ascii="SymbolMT" w:hAnsi="SymbolMT" w:cs="SymbolMT"/>
                <w:sz w:val="24"/>
                <w:szCs w:val="24"/>
              </w:rPr>
              <w:t xml:space="preserve">• </w:t>
            </w:r>
            <w:r w:rsidRPr="00E61FD4">
              <w:rPr>
                <w:rFonts w:ascii="TimesNewRomanPS-BoldMT" w:hAnsi="TimesNewRomanPS-BoldMT" w:cs="TimesNewRomanPS-BoldMT"/>
                <w:b/>
                <w:bCs/>
                <w:sz w:val="24"/>
                <w:szCs w:val="24"/>
              </w:rPr>
              <w:t>Moderate to strong CYP2C19 inducers or moderate to strong CYP3A4 inducers</w:t>
            </w:r>
          </w:p>
        </w:tc>
      </w:tr>
    </w:tbl>
    <w:p w14:paraId="54F134D8" w14:textId="77777777" w:rsidR="001A3992" w:rsidRPr="00E61FD4" w:rsidRDefault="001A3992" w:rsidP="008E41AB">
      <w:pPr>
        <w:pStyle w:val="Heading1"/>
        <w:numPr>
          <w:ilvl w:val="0"/>
          <w:numId w:val="30"/>
        </w:numPr>
      </w:pPr>
      <w:r w:rsidRPr="00E61FD4">
        <w:t>Name of the medicine</w:t>
      </w:r>
    </w:p>
    <w:p w14:paraId="469D8A27" w14:textId="688E55CC" w:rsidR="006D1A72" w:rsidRPr="00E61FD4" w:rsidRDefault="0066204C" w:rsidP="00C046F7">
      <w:pPr>
        <w:rPr>
          <w:rFonts w:cs="Times New Roman"/>
          <w:color w:val="000000" w:themeColor="text1"/>
          <w:lang w:val="en-US"/>
        </w:rPr>
      </w:pPr>
      <w:r w:rsidRPr="00E61FD4">
        <w:rPr>
          <w:rFonts w:cs="Times New Roman"/>
          <w:color w:val="000000" w:themeColor="text1"/>
          <w:lang w:val="en-US"/>
        </w:rPr>
        <w:t>Mavacamten</w:t>
      </w:r>
    </w:p>
    <w:p w14:paraId="40A1BF9F" w14:textId="77777777" w:rsidR="001A3992" w:rsidRPr="00E61FD4" w:rsidRDefault="001A3992" w:rsidP="008E41AB">
      <w:pPr>
        <w:pStyle w:val="Heading1"/>
      </w:pPr>
      <w:r w:rsidRPr="00E61FD4">
        <w:t>Qualitative and quantitative composition</w:t>
      </w:r>
    </w:p>
    <w:p w14:paraId="4BAEF8C9" w14:textId="46081327" w:rsidR="0066204C" w:rsidRPr="00E61FD4" w:rsidRDefault="0066204C" w:rsidP="0066204C">
      <w:pPr>
        <w:tabs>
          <w:tab w:val="left" w:pos="-720"/>
        </w:tabs>
        <w:suppressAutoHyphens/>
        <w:rPr>
          <w:rFonts w:eastAsia="Times New Roman"/>
          <w:szCs w:val="20"/>
        </w:rPr>
      </w:pPr>
      <w:r w:rsidRPr="00E61FD4">
        <w:rPr>
          <w:rFonts w:eastAsia="Times New Roman"/>
          <w:szCs w:val="20"/>
        </w:rPr>
        <w:t xml:space="preserve">Each 2.5 mg </w:t>
      </w:r>
      <w:r w:rsidR="00612FB4" w:rsidRPr="00E61FD4">
        <w:rPr>
          <w:rFonts w:eastAsia="Times New Roman"/>
          <w:szCs w:val="20"/>
        </w:rPr>
        <w:t>hard capsule</w:t>
      </w:r>
      <w:r w:rsidRPr="00E61FD4">
        <w:rPr>
          <w:rFonts w:eastAsia="Times New Roman"/>
          <w:szCs w:val="20"/>
        </w:rPr>
        <w:t xml:space="preserve"> contains 2.5 mg </w:t>
      </w:r>
      <w:r w:rsidR="00612FB4" w:rsidRPr="00E61FD4">
        <w:rPr>
          <w:rFonts w:eastAsia="Times New Roman"/>
          <w:szCs w:val="20"/>
        </w:rPr>
        <w:t>mavacamten</w:t>
      </w:r>
      <w:r w:rsidRPr="00E61FD4">
        <w:rPr>
          <w:rFonts w:eastAsia="Times New Roman"/>
          <w:szCs w:val="20"/>
        </w:rPr>
        <w:t>.</w:t>
      </w:r>
    </w:p>
    <w:p w14:paraId="593C9565" w14:textId="43DB3547" w:rsidR="00612FB4" w:rsidRPr="00E61FD4" w:rsidRDefault="00612FB4" w:rsidP="00612FB4">
      <w:pPr>
        <w:tabs>
          <w:tab w:val="left" w:pos="-720"/>
        </w:tabs>
        <w:suppressAutoHyphens/>
        <w:rPr>
          <w:rFonts w:eastAsia="Times New Roman"/>
          <w:szCs w:val="20"/>
        </w:rPr>
      </w:pPr>
      <w:r w:rsidRPr="00E61FD4">
        <w:rPr>
          <w:rFonts w:eastAsia="Times New Roman"/>
          <w:szCs w:val="20"/>
        </w:rPr>
        <w:t>Each 5 mg hard capsule contains 5 mg mavacamten.</w:t>
      </w:r>
    </w:p>
    <w:p w14:paraId="60A734F0" w14:textId="1221F2E3" w:rsidR="00612FB4" w:rsidRPr="00E61FD4" w:rsidRDefault="00612FB4" w:rsidP="00612FB4">
      <w:pPr>
        <w:tabs>
          <w:tab w:val="left" w:pos="-720"/>
        </w:tabs>
        <w:suppressAutoHyphens/>
        <w:rPr>
          <w:rFonts w:eastAsia="Times New Roman"/>
          <w:szCs w:val="20"/>
        </w:rPr>
      </w:pPr>
      <w:r w:rsidRPr="00E61FD4">
        <w:rPr>
          <w:rFonts w:eastAsia="Times New Roman"/>
          <w:szCs w:val="20"/>
        </w:rPr>
        <w:t>Each 10 mg hard capsule contains 10 mg mavacamten.</w:t>
      </w:r>
    </w:p>
    <w:p w14:paraId="26B80EBB" w14:textId="12FC9A8F" w:rsidR="00612FB4" w:rsidRPr="00E61FD4" w:rsidRDefault="00612FB4" w:rsidP="00612FB4">
      <w:pPr>
        <w:tabs>
          <w:tab w:val="left" w:pos="-720"/>
        </w:tabs>
        <w:suppressAutoHyphens/>
        <w:rPr>
          <w:rFonts w:eastAsia="Times New Roman"/>
          <w:szCs w:val="20"/>
        </w:rPr>
      </w:pPr>
      <w:r w:rsidRPr="00E61FD4">
        <w:rPr>
          <w:rFonts w:eastAsia="Times New Roman"/>
          <w:szCs w:val="20"/>
        </w:rPr>
        <w:t>Each 15 mg hard capsule contains 15 mg mavacamten.</w:t>
      </w:r>
    </w:p>
    <w:p w14:paraId="037F7F71" w14:textId="4DCBF8FD" w:rsidR="0066204C" w:rsidRPr="00E61FD4" w:rsidRDefault="0066204C" w:rsidP="0066204C">
      <w:pPr>
        <w:tabs>
          <w:tab w:val="left" w:pos="-720"/>
        </w:tabs>
        <w:suppressAutoHyphens/>
      </w:pPr>
      <w:r w:rsidRPr="00E61FD4">
        <w:t>For the full list of excipients, see section 6.1</w:t>
      </w:r>
      <w:r w:rsidR="007D7084" w:rsidRPr="00E61FD4">
        <w:t xml:space="preserve"> List of Excipients</w:t>
      </w:r>
      <w:r w:rsidRPr="00E61FD4">
        <w:t>.</w:t>
      </w:r>
    </w:p>
    <w:p w14:paraId="3F527148" w14:textId="77777777" w:rsidR="001A3992" w:rsidRPr="00E61FD4" w:rsidRDefault="001A3992" w:rsidP="008E41AB">
      <w:pPr>
        <w:pStyle w:val="Heading1"/>
      </w:pPr>
      <w:r w:rsidRPr="00E61FD4">
        <w:t>Pharmaceutical form</w:t>
      </w:r>
    </w:p>
    <w:p w14:paraId="35A3759B" w14:textId="77777777" w:rsidR="00731313" w:rsidRPr="00E61FD4" w:rsidRDefault="00731313" w:rsidP="00731313">
      <w:pPr>
        <w:pStyle w:val="EMEABodyText"/>
      </w:pPr>
      <w:r w:rsidRPr="00E61FD4">
        <w:t>Hard capsule (capsule).</w:t>
      </w:r>
    </w:p>
    <w:p w14:paraId="5AE39466" w14:textId="77777777" w:rsidR="00731313" w:rsidRPr="00E61FD4" w:rsidRDefault="00731313" w:rsidP="00731313">
      <w:pPr>
        <w:pStyle w:val="EMEABodyText"/>
      </w:pPr>
    </w:p>
    <w:p w14:paraId="67C0FCC5" w14:textId="12DB9D80" w:rsidR="00731313" w:rsidRPr="00E61FD4" w:rsidRDefault="00E5063D" w:rsidP="00731313">
      <w:pPr>
        <w:pStyle w:val="EMEABodyText"/>
        <w:keepNext/>
        <w:rPr>
          <w:iCs/>
          <w:u w:val="single"/>
        </w:rPr>
      </w:pPr>
      <w:r w:rsidRPr="00E61FD4">
        <w:rPr>
          <w:rFonts w:eastAsia="SimSun"/>
          <w:u w:val="single"/>
        </w:rPr>
        <w:t>CAMZYOS</w:t>
      </w:r>
      <w:r w:rsidR="00731313" w:rsidRPr="00E61FD4">
        <w:rPr>
          <w:iCs/>
          <w:u w:val="single"/>
        </w:rPr>
        <w:t xml:space="preserve"> 2.5 mg capsules</w:t>
      </w:r>
    </w:p>
    <w:p w14:paraId="71AE0B19" w14:textId="77777777" w:rsidR="00731313" w:rsidRPr="00E61FD4" w:rsidRDefault="00731313" w:rsidP="00731313">
      <w:pPr>
        <w:pStyle w:val="EMEABodyText"/>
      </w:pPr>
      <w:r w:rsidRPr="00E61FD4">
        <w:t>Light purple opaque cap imprinted with “2.5</w:t>
      </w:r>
      <w:r w:rsidRPr="00E61FD4">
        <w:rPr>
          <w:bCs/>
        </w:rPr>
        <w:t> </w:t>
      </w:r>
      <w:r w:rsidRPr="00E61FD4">
        <w:t>mg” in black, and white opaque body imprinted with “</w:t>
      </w:r>
      <w:proofErr w:type="spellStart"/>
      <w:r w:rsidRPr="00E61FD4">
        <w:t>Mava</w:t>
      </w:r>
      <w:proofErr w:type="spellEnd"/>
      <w:r w:rsidRPr="00E61FD4">
        <w:t>” in black, both in radial direction. Capsule size: 2.</w:t>
      </w:r>
    </w:p>
    <w:p w14:paraId="3CECAFC0" w14:textId="77777777" w:rsidR="00731313" w:rsidRPr="00E61FD4" w:rsidRDefault="00731313" w:rsidP="00731313">
      <w:pPr>
        <w:pStyle w:val="EMEABodyText"/>
      </w:pPr>
    </w:p>
    <w:p w14:paraId="5F1F215B" w14:textId="0E36061A" w:rsidR="00731313" w:rsidRPr="00E61FD4" w:rsidRDefault="00E5063D" w:rsidP="00731313">
      <w:pPr>
        <w:pStyle w:val="EMEABodyText"/>
        <w:keepNext/>
        <w:rPr>
          <w:bCs/>
          <w:noProof/>
          <w:u w:val="single"/>
        </w:rPr>
      </w:pPr>
      <w:r w:rsidRPr="00E61FD4">
        <w:rPr>
          <w:rFonts w:eastAsia="SimSun"/>
          <w:u w:val="single"/>
        </w:rPr>
        <w:t>CAMZYOS</w:t>
      </w:r>
      <w:r w:rsidR="00731313" w:rsidRPr="00E61FD4">
        <w:rPr>
          <w:bCs/>
          <w:noProof/>
          <w:u w:val="single"/>
        </w:rPr>
        <w:t xml:space="preserve"> 5 mg capsules</w:t>
      </w:r>
    </w:p>
    <w:p w14:paraId="484F7A46" w14:textId="77777777" w:rsidR="00731313" w:rsidRPr="00E61FD4" w:rsidRDefault="00731313" w:rsidP="00731313">
      <w:pPr>
        <w:pStyle w:val="EMEABodyText"/>
      </w:pPr>
      <w:r w:rsidRPr="00E61FD4">
        <w:t>Yellow opaque cap imprinted with “5</w:t>
      </w:r>
      <w:r w:rsidRPr="00E61FD4">
        <w:rPr>
          <w:bCs/>
        </w:rPr>
        <w:t> </w:t>
      </w:r>
      <w:r w:rsidRPr="00E61FD4">
        <w:t>mg” in black, and white opaque body imprinted with “</w:t>
      </w:r>
      <w:proofErr w:type="spellStart"/>
      <w:r w:rsidRPr="00E61FD4">
        <w:t>Mava</w:t>
      </w:r>
      <w:proofErr w:type="spellEnd"/>
      <w:r w:rsidRPr="00E61FD4">
        <w:t>” in black, both in radial direction. Capsule size: 2.</w:t>
      </w:r>
    </w:p>
    <w:p w14:paraId="2C129D95" w14:textId="77777777" w:rsidR="00731313" w:rsidRPr="00E61FD4" w:rsidRDefault="00731313" w:rsidP="00731313">
      <w:pPr>
        <w:pStyle w:val="EMEABodyText"/>
      </w:pPr>
    </w:p>
    <w:p w14:paraId="613421E9" w14:textId="4994DBAD" w:rsidR="00731313" w:rsidRPr="00E61FD4" w:rsidRDefault="00E5063D" w:rsidP="00731313">
      <w:pPr>
        <w:pStyle w:val="EMEABodyText"/>
        <w:keepNext/>
        <w:rPr>
          <w:bCs/>
          <w:noProof/>
          <w:u w:val="single"/>
        </w:rPr>
      </w:pPr>
      <w:r w:rsidRPr="00E61FD4">
        <w:rPr>
          <w:rFonts w:eastAsia="SimSun"/>
          <w:u w:val="single"/>
        </w:rPr>
        <w:lastRenderedPageBreak/>
        <w:t>CAMZYOS</w:t>
      </w:r>
      <w:r w:rsidR="00731313" w:rsidRPr="00E61FD4">
        <w:rPr>
          <w:bCs/>
          <w:noProof/>
          <w:u w:val="single"/>
        </w:rPr>
        <w:t xml:space="preserve"> 10 mg capsules</w:t>
      </w:r>
    </w:p>
    <w:p w14:paraId="2805DE1C" w14:textId="77777777" w:rsidR="00731313" w:rsidRPr="00E61FD4" w:rsidRDefault="00731313" w:rsidP="00731313">
      <w:pPr>
        <w:pStyle w:val="EMEABodyText"/>
      </w:pPr>
      <w:r w:rsidRPr="00E61FD4">
        <w:t>Pink opaque cap imprinted with “10</w:t>
      </w:r>
      <w:r w:rsidRPr="00E61FD4">
        <w:rPr>
          <w:bCs/>
        </w:rPr>
        <w:t> </w:t>
      </w:r>
      <w:r w:rsidRPr="00E61FD4">
        <w:t>mg” in black, and white opaque body imprinted with “</w:t>
      </w:r>
      <w:proofErr w:type="spellStart"/>
      <w:r w:rsidRPr="00E61FD4">
        <w:t>Mava</w:t>
      </w:r>
      <w:proofErr w:type="spellEnd"/>
      <w:r w:rsidRPr="00E61FD4">
        <w:t>” in black, both in radial direction. Capsule size: 2.</w:t>
      </w:r>
    </w:p>
    <w:p w14:paraId="04269252" w14:textId="77777777" w:rsidR="00731313" w:rsidRPr="00E61FD4" w:rsidRDefault="00731313" w:rsidP="00731313">
      <w:pPr>
        <w:pStyle w:val="EMEABodyText"/>
      </w:pPr>
    </w:p>
    <w:p w14:paraId="56C80577" w14:textId="6EBC5995" w:rsidR="00731313" w:rsidRPr="00E61FD4" w:rsidRDefault="00E5063D" w:rsidP="00731313">
      <w:pPr>
        <w:pStyle w:val="EMEABodyText"/>
        <w:keepNext/>
        <w:rPr>
          <w:bCs/>
          <w:noProof/>
          <w:u w:val="single"/>
        </w:rPr>
      </w:pPr>
      <w:r w:rsidRPr="00E61FD4">
        <w:rPr>
          <w:rFonts w:eastAsia="SimSun"/>
          <w:u w:val="single"/>
        </w:rPr>
        <w:t>CAMZYOS</w:t>
      </w:r>
      <w:r w:rsidR="00731313" w:rsidRPr="00E61FD4">
        <w:rPr>
          <w:bCs/>
          <w:noProof/>
          <w:u w:val="single"/>
        </w:rPr>
        <w:t xml:space="preserve"> 15 mg capsules</w:t>
      </w:r>
    </w:p>
    <w:p w14:paraId="5286907A" w14:textId="7FDD3476" w:rsidR="00731313" w:rsidRPr="00E61FD4" w:rsidRDefault="00731313" w:rsidP="00731313">
      <w:pPr>
        <w:pStyle w:val="EMEABodyText"/>
      </w:pPr>
      <w:r w:rsidRPr="00E61FD4">
        <w:t>Gray opaque cap imprinted with “15</w:t>
      </w:r>
      <w:r w:rsidRPr="00E61FD4">
        <w:rPr>
          <w:bCs/>
        </w:rPr>
        <w:t> </w:t>
      </w:r>
      <w:r w:rsidRPr="00E61FD4">
        <w:t>mg” in black, and white opaque body imprinted with “</w:t>
      </w:r>
      <w:proofErr w:type="spellStart"/>
      <w:r w:rsidRPr="00E61FD4">
        <w:t>Mava</w:t>
      </w:r>
      <w:proofErr w:type="spellEnd"/>
      <w:r w:rsidRPr="00E61FD4">
        <w:t>” in black, both in radial direction. Capsule size: 2.</w:t>
      </w:r>
    </w:p>
    <w:p w14:paraId="58C6FC72" w14:textId="77777777" w:rsidR="001A3992" w:rsidRPr="00E61FD4" w:rsidRDefault="001A3992" w:rsidP="008E41AB">
      <w:pPr>
        <w:pStyle w:val="Heading1"/>
      </w:pPr>
      <w:r w:rsidRPr="00E61FD4">
        <w:t>Clinical particulars</w:t>
      </w:r>
    </w:p>
    <w:p w14:paraId="64CF8B96" w14:textId="77777777" w:rsidR="001A3992" w:rsidRPr="00E61FD4" w:rsidRDefault="003B14A8" w:rsidP="008E41AB">
      <w:pPr>
        <w:pStyle w:val="Heading2"/>
      </w:pPr>
      <w:r w:rsidRPr="00E61FD4">
        <w:t>Therapeutic indications</w:t>
      </w:r>
    </w:p>
    <w:p w14:paraId="2F1E8BD5" w14:textId="4C04D18A" w:rsidR="00731313" w:rsidRPr="00E61FD4" w:rsidRDefault="00E5063D" w:rsidP="00731313">
      <w:pPr>
        <w:pStyle w:val="EMEABodyText"/>
      </w:pPr>
      <w:r w:rsidRPr="00E61FD4">
        <w:rPr>
          <w:bCs/>
          <w:noProof/>
        </w:rPr>
        <w:t>CAMZYOS</w:t>
      </w:r>
      <w:r w:rsidR="00731313" w:rsidRPr="00E61FD4">
        <w:t xml:space="preserve"> is indicated for the treatment of </w:t>
      </w:r>
      <w:r w:rsidR="00C9283A" w:rsidRPr="00E61FD4">
        <w:t>a</w:t>
      </w:r>
      <w:r w:rsidR="00847937" w:rsidRPr="00E61FD4">
        <w:t xml:space="preserve">dults with </w:t>
      </w:r>
      <w:r w:rsidR="00731313" w:rsidRPr="00E61FD4">
        <w:t xml:space="preserve">symptomatic </w:t>
      </w:r>
      <w:r w:rsidR="00847937" w:rsidRPr="00E61FD4">
        <w:t xml:space="preserve">NYHA class II-III </w:t>
      </w:r>
      <w:r w:rsidR="00731313" w:rsidRPr="00E61FD4">
        <w:t>obstructive hypertrophic cardiomyopathy.</w:t>
      </w:r>
    </w:p>
    <w:p w14:paraId="4D307C13" w14:textId="77777777" w:rsidR="001A3992" w:rsidRPr="00E61FD4" w:rsidRDefault="001A3992" w:rsidP="00E61FD4">
      <w:pPr>
        <w:pStyle w:val="Heading2"/>
      </w:pPr>
      <w:r w:rsidRPr="00E61FD4">
        <w:t>Do</w:t>
      </w:r>
      <w:r w:rsidR="00413966" w:rsidRPr="00E61FD4">
        <w:t>se and method of administration</w:t>
      </w:r>
    </w:p>
    <w:p w14:paraId="66AF0511" w14:textId="3B81EFEE" w:rsidR="003D7446" w:rsidRPr="00E61FD4" w:rsidRDefault="003D7446" w:rsidP="00ED6EAB">
      <w:bookmarkStart w:id="0" w:name="_Hlk108554034"/>
      <w:r w:rsidRPr="00E61FD4">
        <w:t>Treatment with mavacamten should be initiated and supervised by a specialist cardiologist</w:t>
      </w:r>
      <w:r w:rsidR="00712A8D" w:rsidRPr="00E61FD4">
        <w:t>, or consultant physician with experience in the management of o</w:t>
      </w:r>
      <w:r w:rsidR="00116735" w:rsidRPr="00E61FD4">
        <w:t xml:space="preserve">bstructive </w:t>
      </w:r>
      <w:r w:rsidR="00C3459C" w:rsidRPr="00E61FD4">
        <w:t>hypertrophic cardiomyopathy (</w:t>
      </w:r>
      <w:r w:rsidR="00712A8D" w:rsidRPr="00E61FD4">
        <w:t>HCM</w:t>
      </w:r>
      <w:r w:rsidR="00C3459C" w:rsidRPr="00E61FD4">
        <w:t>)</w:t>
      </w:r>
      <w:r w:rsidRPr="00E61FD4">
        <w:t>.</w:t>
      </w:r>
    </w:p>
    <w:bookmarkEnd w:id="0"/>
    <w:p w14:paraId="5814B812" w14:textId="6CC9BFBA" w:rsidR="00413966" w:rsidRPr="00E61FD4" w:rsidRDefault="00CD2D65" w:rsidP="008E41AB">
      <w:pPr>
        <w:pStyle w:val="Heading3"/>
      </w:pPr>
      <w:r w:rsidRPr="00E61FD4">
        <w:t>Monitoring on treatment</w:t>
      </w:r>
    </w:p>
    <w:p w14:paraId="6F7410F2" w14:textId="5309EC8C" w:rsidR="00593EB3" w:rsidRPr="00E61FD4" w:rsidRDefault="00593EB3" w:rsidP="00D44831">
      <w:pPr>
        <w:keepNext/>
        <w:spacing w:after="120"/>
        <w:rPr>
          <w:rFonts w:cs="Times New Roman"/>
        </w:rPr>
      </w:pPr>
      <w:r w:rsidRPr="00E61FD4">
        <w:rPr>
          <w:rFonts w:cs="Times New Roman"/>
        </w:rPr>
        <w:t>It is important to regularly monitor the patient’s symptoms of o</w:t>
      </w:r>
      <w:r w:rsidR="00116735" w:rsidRPr="00E61FD4">
        <w:rPr>
          <w:rFonts w:cs="Times New Roman"/>
        </w:rPr>
        <w:t xml:space="preserve">bstructive </w:t>
      </w:r>
      <w:r w:rsidRPr="00E61FD4">
        <w:rPr>
          <w:rFonts w:cs="Times New Roman"/>
        </w:rPr>
        <w:t>HCM, left ventricular outflow</w:t>
      </w:r>
      <w:r w:rsidR="0039375C" w:rsidRPr="00E61FD4">
        <w:rPr>
          <w:rFonts w:cs="Times New Roman"/>
        </w:rPr>
        <w:t xml:space="preserve"> </w:t>
      </w:r>
      <w:r w:rsidRPr="00E61FD4">
        <w:rPr>
          <w:rFonts w:cs="Times New Roman"/>
        </w:rPr>
        <w:t xml:space="preserve">tract (LVOT) gradient with Valsalva </w:t>
      </w:r>
      <w:r w:rsidR="0039375C" w:rsidRPr="00E61FD4">
        <w:rPr>
          <w:rFonts w:cs="Times New Roman"/>
        </w:rPr>
        <w:t>manoeuvre</w:t>
      </w:r>
      <w:r w:rsidRPr="00E61FD4">
        <w:rPr>
          <w:rFonts w:cs="Times New Roman"/>
        </w:rPr>
        <w:t xml:space="preserve"> and left ventricular ejection fraction (LVEF)</w:t>
      </w:r>
      <w:r w:rsidR="0039375C" w:rsidRPr="00E61FD4">
        <w:rPr>
          <w:rFonts w:cs="Times New Roman"/>
        </w:rPr>
        <w:t xml:space="preserve"> </w:t>
      </w:r>
      <w:r w:rsidRPr="00E61FD4">
        <w:rPr>
          <w:rFonts w:cs="Times New Roman"/>
        </w:rPr>
        <w:t>using echocardiogram assessments.</w:t>
      </w:r>
    </w:p>
    <w:p w14:paraId="6376187C" w14:textId="5E76E88F" w:rsidR="00593EB3" w:rsidRPr="00E61FD4" w:rsidRDefault="00593EB3" w:rsidP="0039375C">
      <w:pPr>
        <w:spacing w:after="120"/>
        <w:rPr>
          <w:rFonts w:cs="Times New Roman"/>
        </w:rPr>
      </w:pPr>
      <w:r w:rsidRPr="00E61FD4">
        <w:rPr>
          <w:rFonts w:cs="Times New Roman"/>
        </w:rPr>
        <w:t xml:space="preserve">Once an individualized maintenance dose is achieved, patients </w:t>
      </w:r>
      <w:r w:rsidR="003E225E" w:rsidRPr="00E61FD4">
        <w:rPr>
          <w:rFonts w:cs="Times New Roman"/>
        </w:rPr>
        <w:t xml:space="preserve">should be assessed </w:t>
      </w:r>
      <w:r w:rsidRPr="00E61FD4">
        <w:rPr>
          <w:rFonts w:cs="Times New Roman"/>
        </w:rPr>
        <w:t>every 12 weeks.</w:t>
      </w:r>
    </w:p>
    <w:p w14:paraId="5CE80DCC" w14:textId="5D43C79E" w:rsidR="00593EB3" w:rsidRPr="00E61FD4" w:rsidRDefault="00593EB3" w:rsidP="0039375C">
      <w:pPr>
        <w:spacing w:after="120"/>
        <w:rPr>
          <w:rFonts w:cs="Times New Roman"/>
        </w:rPr>
      </w:pPr>
      <w:r w:rsidRPr="00E61FD4">
        <w:rPr>
          <w:rFonts w:cs="Times New Roman"/>
        </w:rPr>
        <w:t xml:space="preserve">If at any visit </w:t>
      </w:r>
      <w:r w:rsidR="009413D0" w:rsidRPr="00E61FD4">
        <w:rPr>
          <w:rFonts w:cs="Times New Roman"/>
        </w:rPr>
        <w:t xml:space="preserve">the patient’s </w:t>
      </w:r>
      <w:r w:rsidRPr="00E61FD4">
        <w:rPr>
          <w:rFonts w:cs="Times New Roman"/>
        </w:rPr>
        <w:t>LVEF is &lt;</w:t>
      </w:r>
      <w:r w:rsidR="00392778" w:rsidRPr="00E61FD4">
        <w:rPr>
          <w:rFonts w:cs="Times New Roman"/>
        </w:rPr>
        <w:t> </w:t>
      </w:r>
      <w:r w:rsidRPr="00E61FD4">
        <w:rPr>
          <w:rFonts w:cs="Times New Roman"/>
        </w:rPr>
        <w:t xml:space="preserve">50%, </w:t>
      </w:r>
      <w:r w:rsidR="00D136E5" w:rsidRPr="00E61FD4">
        <w:rPr>
          <w:rFonts w:cs="Times New Roman"/>
        </w:rPr>
        <w:t xml:space="preserve">the treatment </w:t>
      </w:r>
      <w:r w:rsidRPr="00E61FD4">
        <w:rPr>
          <w:rFonts w:cs="Times New Roman"/>
        </w:rPr>
        <w:t>should be interrupted for 4</w:t>
      </w:r>
      <w:r w:rsidR="00392778" w:rsidRPr="00E61FD4">
        <w:rPr>
          <w:rFonts w:cs="Times New Roman"/>
        </w:rPr>
        <w:t> </w:t>
      </w:r>
      <w:r w:rsidRPr="00E61FD4">
        <w:rPr>
          <w:rFonts w:cs="Times New Roman"/>
        </w:rPr>
        <w:t>weeks</w:t>
      </w:r>
      <w:r w:rsidR="0039375C" w:rsidRPr="00E61FD4">
        <w:rPr>
          <w:rFonts w:cs="Times New Roman"/>
        </w:rPr>
        <w:t xml:space="preserve"> </w:t>
      </w:r>
      <w:r w:rsidRPr="00E61FD4">
        <w:rPr>
          <w:rFonts w:cs="Times New Roman"/>
        </w:rPr>
        <w:t>and until LVEF returns to ≥</w:t>
      </w:r>
      <w:r w:rsidR="00392778" w:rsidRPr="00E61FD4">
        <w:rPr>
          <w:rFonts w:cs="Times New Roman"/>
        </w:rPr>
        <w:t> </w:t>
      </w:r>
      <w:r w:rsidRPr="00E61FD4">
        <w:rPr>
          <w:rFonts w:cs="Times New Roman"/>
        </w:rPr>
        <w:t xml:space="preserve">50%. </w:t>
      </w:r>
    </w:p>
    <w:p w14:paraId="401338BA" w14:textId="0C4DE07A" w:rsidR="00B00E04" w:rsidRPr="00E61FD4" w:rsidRDefault="00593EB3" w:rsidP="0039375C">
      <w:pPr>
        <w:spacing w:after="120"/>
        <w:rPr>
          <w:rFonts w:cs="Times New Roman"/>
        </w:rPr>
      </w:pPr>
      <w:r w:rsidRPr="00E61FD4">
        <w:rPr>
          <w:rFonts w:cs="Times New Roman"/>
        </w:rPr>
        <w:t>Assessment of LVEF is recommended if clinical status changes or in patients with a serious</w:t>
      </w:r>
      <w:r w:rsidR="0039375C" w:rsidRPr="00E61FD4">
        <w:rPr>
          <w:rFonts w:cs="Times New Roman"/>
        </w:rPr>
        <w:t xml:space="preserve"> </w:t>
      </w:r>
      <w:r w:rsidRPr="00E61FD4">
        <w:rPr>
          <w:rFonts w:cs="Times New Roman"/>
        </w:rPr>
        <w:t>intercurrent illness such as infection or arrhythmia (including atrial fibrillation or other</w:t>
      </w:r>
      <w:r w:rsidR="0039375C" w:rsidRPr="00E61FD4">
        <w:rPr>
          <w:rFonts w:cs="Times New Roman"/>
        </w:rPr>
        <w:t xml:space="preserve"> </w:t>
      </w:r>
      <w:r w:rsidRPr="00E61FD4">
        <w:rPr>
          <w:rFonts w:cs="Times New Roman"/>
        </w:rPr>
        <w:t xml:space="preserve">uncontrolled tachyarrhythmia) (see </w:t>
      </w:r>
      <w:r w:rsidR="00722328" w:rsidRPr="00E61FD4">
        <w:rPr>
          <w:rFonts w:cs="Times New Roman"/>
        </w:rPr>
        <w:t>4.4 Special warnings and precautions</w:t>
      </w:r>
      <w:r w:rsidRPr="00E61FD4">
        <w:rPr>
          <w:rFonts w:cs="Times New Roman"/>
        </w:rPr>
        <w:t>).</w:t>
      </w:r>
    </w:p>
    <w:p w14:paraId="36E97532" w14:textId="507CFAF4" w:rsidR="00CD2D65" w:rsidRPr="00E61FD4" w:rsidRDefault="00CD2D65" w:rsidP="008E41AB">
      <w:pPr>
        <w:pStyle w:val="Heading3"/>
      </w:pPr>
      <w:r w:rsidRPr="00E61FD4">
        <w:t xml:space="preserve">Testing prior to initiation with </w:t>
      </w:r>
      <w:r w:rsidR="00E5063D" w:rsidRPr="00E61FD4">
        <w:t>CAMZYOS</w:t>
      </w:r>
    </w:p>
    <w:p w14:paraId="3E6B3E07" w14:textId="49589D6B" w:rsidR="008D430C" w:rsidRPr="00E61FD4" w:rsidRDefault="008D430C" w:rsidP="008D430C">
      <w:pPr>
        <w:spacing w:after="120"/>
        <w:rPr>
          <w:rFonts w:cs="Times New Roman"/>
        </w:rPr>
      </w:pPr>
      <w:r w:rsidRPr="00E61FD4">
        <w:rPr>
          <w:rFonts w:cs="Times New Roman"/>
        </w:rPr>
        <w:t xml:space="preserve">Prior to initiating treatment with </w:t>
      </w:r>
      <w:r w:rsidR="00E5063D" w:rsidRPr="00E61FD4">
        <w:rPr>
          <w:rFonts w:cs="Times New Roman"/>
        </w:rPr>
        <w:t>CAMZYOS</w:t>
      </w:r>
      <w:r w:rsidRPr="00E61FD4">
        <w:rPr>
          <w:rFonts w:cs="Times New Roman"/>
        </w:rPr>
        <w:t>, assess LVEF by echocardiography (</w:t>
      </w:r>
      <w:r w:rsidR="005B193F" w:rsidRPr="00E61FD4">
        <w:rPr>
          <w:rFonts w:cs="Times New Roman"/>
        </w:rPr>
        <w:t>see 4.4 Special warnings and precautions</w:t>
      </w:r>
      <w:r w:rsidRPr="00E61FD4">
        <w:rPr>
          <w:rFonts w:cs="Times New Roman"/>
        </w:rPr>
        <w:t xml:space="preserve">). </w:t>
      </w:r>
      <w:r w:rsidR="002512B1" w:rsidRPr="00E61FD4">
        <w:rPr>
          <w:rFonts w:cs="Times New Roman"/>
        </w:rPr>
        <w:t>T</w:t>
      </w:r>
      <w:r w:rsidRPr="00E61FD4">
        <w:rPr>
          <w:rFonts w:cs="Times New Roman"/>
        </w:rPr>
        <w:t xml:space="preserve">reatment </w:t>
      </w:r>
      <w:r w:rsidR="002512B1" w:rsidRPr="00E61FD4">
        <w:rPr>
          <w:rFonts w:cs="Times New Roman"/>
        </w:rPr>
        <w:t xml:space="preserve">should not be initiated </w:t>
      </w:r>
      <w:r w:rsidRPr="00E61FD4">
        <w:rPr>
          <w:rFonts w:cs="Times New Roman"/>
        </w:rPr>
        <w:t>in patients with LVEF &lt;</w:t>
      </w:r>
      <w:r w:rsidR="00392778" w:rsidRPr="00E61FD4">
        <w:rPr>
          <w:rFonts w:cs="Times New Roman"/>
        </w:rPr>
        <w:t> </w:t>
      </w:r>
      <w:r w:rsidRPr="00E61FD4">
        <w:rPr>
          <w:rFonts w:cs="Times New Roman"/>
        </w:rPr>
        <w:t>55%.</w:t>
      </w:r>
    </w:p>
    <w:p w14:paraId="71CE6A5B" w14:textId="095DF645" w:rsidR="00CD2D65" w:rsidRPr="00E61FD4" w:rsidRDefault="0035784D" w:rsidP="008E41AB">
      <w:pPr>
        <w:pStyle w:val="Heading3"/>
      </w:pPr>
      <w:r w:rsidRPr="00E61FD4">
        <w:t xml:space="preserve">Recommended </w:t>
      </w:r>
      <w:r w:rsidR="00CD2D65" w:rsidRPr="00E61FD4">
        <w:t>Dos</w:t>
      </w:r>
      <w:r w:rsidR="00706B04" w:rsidRPr="00E61FD4">
        <w:t>age</w:t>
      </w:r>
    </w:p>
    <w:p w14:paraId="70347E0C" w14:textId="679C00B0" w:rsidR="008D430C" w:rsidRPr="00E61FD4" w:rsidRDefault="0035784D" w:rsidP="00DB0E2F">
      <w:pPr>
        <w:spacing w:after="120"/>
        <w:rPr>
          <w:rFonts w:cs="Times New Roman"/>
        </w:rPr>
      </w:pPr>
      <w:r w:rsidRPr="00E61FD4">
        <w:rPr>
          <w:rFonts w:cs="Times New Roman"/>
        </w:rPr>
        <w:t xml:space="preserve">The recommended starting dose of </w:t>
      </w:r>
      <w:r w:rsidR="00E5063D" w:rsidRPr="00E61FD4">
        <w:rPr>
          <w:rFonts w:cs="Times New Roman"/>
        </w:rPr>
        <w:t>CAMZYOS</w:t>
      </w:r>
      <w:r w:rsidRPr="00E61FD4">
        <w:rPr>
          <w:rFonts w:cs="Times New Roman"/>
        </w:rPr>
        <w:t xml:space="preserve"> is 5</w:t>
      </w:r>
      <w:r w:rsidR="00392778" w:rsidRPr="00E61FD4">
        <w:rPr>
          <w:rFonts w:cs="Times New Roman"/>
        </w:rPr>
        <w:t> </w:t>
      </w:r>
      <w:r w:rsidRPr="00E61FD4">
        <w:rPr>
          <w:rFonts w:cs="Times New Roman"/>
        </w:rPr>
        <w:t>mg orally once daily.</w:t>
      </w:r>
      <w:r w:rsidR="00C56F82" w:rsidRPr="00E61FD4">
        <w:rPr>
          <w:rFonts w:cs="Times New Roman"/>
        </w:rPr>
        <w:t xml:space="preserve"> </w:t>
      </w:r>
      <w:r w:rsidRPr="00E61FD4">
        <w:rPr>
          <w:rFonts w:cs="Times New Roman"/>
        </w:rPr>
        <w:t>The capsule</w:t>
      </w:r>
      <w:r w:rsidR="00C56F82" w:rsidRPr="00E61FD4">
        <w:rPr>
          <w:rFonts w:cs="Times New Roman"/>
        </w:rPr>
        <w:t xml:space="preserve"> </w:t>
      </w:r>
      <w:r w:rsidRPr="00E61FD4">
        <w:rPr>
          <w:rFonts w:cs="Times New Roman"/>
        </w:rPr>
        <w:t>should be swallowed whole with water and can be taken with or without food</w:t>
      </w:r>
      <w:r w:rsidR="00C56F82" w:rsidRPr="00E61FD4">
        <w:rPr>
          <w:rFonts w:cs="Times New Roman"/>
        </w:rPr>
        <w:t>.</w:t>
      </w:r>
    </w:p>
    <w:p w14:paraId="22ADDF2B" w14:textId="26F3A22D" w:rsidR="0035784D" w:rsidRPr="00E61FD4" w:rsidRDefault="0035784D" w:rsidP="008E41AB">
      <w:pPr>
        <w:pStyle w:val="Heading3"/>
      </w:pPr>
      <w:r w:rsidRPr="00E61FD4">
        <w:t>Initiation of treatment</w:t>
      </w:r>
    </w:p>
    <w:p w14:paraId="5ABE809F" w14:textId="10BDC389" w:rsidR="000F0630" w:rsidRPr="00E61FD4" w:rsidRDefault="00007AD1" w:rsidP="007C3994">
      <w:pPr>
        <w:spacing w:after="120"/>
        <w:rPr>
          <w:rFonts w:cs="Times New Roman"/>
        </w:rPr>
      </w:pPr>
      <w:r w:rsidRPr="00E61FD4">
        <w:rPr>
          <w:rFonts w:cs="Times New Roman"/>
        </w:rPr>
        <w:t>The patient should be assessed for early clinical response</w:t>
      </w:r>
      <w:r w:rsidR="008918D3" w:rsidRPr="00E61FD4">
        <w:rPr>
          <w:rFonts w:cs="Times New Roman"/>
        </w:rPr>
        <w:t xml:space="preserve"> 4 and 8 weeks after treatment initiation. </w:t>
      </w:r>
    </w:p>
    <w:p w14:paraId="10B7DFFF" w14:textId="77777777" w:rsidR="009E561D" w:rsidRPr="00E61FD4" w:rsidRDefault="009E561D" w:rsidP="000143BD">
      <w:pPr>
        <w:pStyle w:val="Heading4"/>
      </w:pPr>
      <w:r w:rsidRPr="00E61FD4">
        <w:t>Week 4 visit</w:t>
      </w:r>
    </w:p>
    <w:p w14:paraId="7918EF5B" w14:textId="69085ADB" w:rsidR="009E561D" w:rsidRPr="00E61FD4" w:rsidRDefault="009E561D" w:rsidP="009E561D">
      <w:pPr>
        <w:pStyle w:val="C-BodyText"/>
        <w:jc w:val="both"/>
        <w:rPr>
          <w:rStyle w:val="BMSSuperscript"/>
          <w:sz w:val="22"/>
          <w:szCs w:val="22"/>
        </w:rPr>
      </w:pPr>
      <w:r w:rsidRPr="00E61FD4">
        <w:rPr>
          <w:sz w:val="22"/>
          <w:szCs w:val="22"/>
        </w:rPr>
        <w:t>If LVOT gradient with Valsalva maneuver is &lt; 20 mmHg, the dose should be decreased to 2.5 mg once daily. If LVOT gradient with Valsalva maneuver is ≥ 20 mmHg and LVEF remains &gt; 50%, maintain 5 mg once daily.</w:t>
      </w:r>
      <w:r w:rsidRPr="00E61FD4">
        <w:rPr>
          <w:rStyle w:val="BMSSuperscript"/>
          <w:sz w:val="22"/>
          <w:szCs w:val="22"/>
        </w:rPr>
        <w:t xml:space="preserve"> </w:t>
      </w:r>
    </w:p>
    <w:p w14:paraId="4CA37F54" w14:textId="77777777" w:rsidR="009E561D" w:rsidRPr="00E61FD4" w:rsidRDefault="009E561D" w:rsidP="000143BD">
      <w:pPr>
        <w:pStyle w:val="Heading4"/>
        <w:rPr>
          <w:rStyle w:val="BMSSuperscript"/>
          <w:sz w:val="22"/>
          <w:vertAlign w:val="baseline"/>
        </w:rPr>
      </w:pPr>
      <w:r w:rsidRPr="00E61FD4">
        <w:rPr>
          <w:rStyle w:val="BMSSuperscript"/>
          <w:sz w:val="22"/>
          <w:vertAlign w:val="baseline"/>
        </w:rPr>
        <w:lastRenderedPageBreak/>
        <w:t>Week 8 visit</w:t>
      </w:r>
    </w:p>
    <w:p w14:paraId="37588A5D" w14:textId="0064D64E" w:rsidR="009E561D" w:rsidRPr="00E61FD4" w:rsidRDefault="009E561D" w:rsidP="009E561D">
      <w:pPr>
        <w:pStyle w:val="C-BodyText"/>
        <w:jc w:val="both"/>
        <w:rPr>
          <w:sz w:val="22"/>
          <w:szCs w:val="22"/>
        </w:rPr>
      </w:pPr>
      <w:r w:rsidRPr="00E61FD4">
        <w:rPr>
          <w:sz w:val="22"/>
          <w:szCs w:val="22"/>
        </w:rPr>
        <w:t>If LVOT gradient with Valsalva maneuver is ≥ 20 mmHg and LVEF remains &gt; 50%, the dose of 2.5 mg or 5 mg once daily should be maintained. If LVOT gradient with Valsalva maneuver is &lt; 20 mmHg, the dose should be decreased from 5 mg to 2.5 mg: patients who are already on the lowest 2.5 mg dose should have their treatment paused until week 12.</w:t>
      </w:r>
    </w:p>
    <w:p w14:paraId="5AC0EB40" w14:textId="77777777" w:rsidR="009E561D" w:rsidRPr="00E61FD4" w:rsidRDefault="009E561D" w:rsidP="000A4304">
      <w:pPr>
        <w:pStyle w:val="C-BodyText"/>
        <w:jc w:val="both"/>
        <w:rPr>
          <w:sz w:val="22"/>
          <w:szCs w:val="22"/>
        </w:rPr>
      </w:pPr>
      <w:r w:rsidRPr="00E61FD4">
        <w:rPr>
          <w:sz w:val="22"/>
          <w:szCs w:val="22"/>
        </w:rPr>
        <w:t>All patients should return at week 12 for re-assessment.</w:t>
      </w:r>
    </w:p>
    <w:p w14:paraId="22D56EF3" w14:textId="77777777" w:rsidR="009E561D" w:rsidRPr="00E61FD4" w:rsidRDefault="009E561D" w:rsidP="000A4304">
      <w:pPr>
        <w:spacing w:after="120"/>
        <w:rPr>
          <w:rFonts w:cs="Times New Roman"/>
        </w:rPr>
      </w:pPr>
    </w:p>
    <w:p w14:paraId="4C4AF914" w14:textId="42A52BFB" w:rsidR="00BB57E4" w:rsidRPr="00E61FD4" w:rsidRDefault="00BB57E4" w:rsidP="00F200AE">
      <w:pPr>
        <w:pStyle w:val="Caption"/>
        <w:keepNext/>
      </w:pPr>
      <w:r w:rsidRPr="00E61FD4">
        <w:t xml:space="preserve">Figure </w:t>
      </w:r>
      <w:r w:rsidR="00C126C5">
        <w:fldChar w:fldCharType="begin"/>
      </w:r>
      <w:r w:rsidR="00C126C5">
        <w:instrText xml:space="preserve"> SEQ Figure \* ARABIC </w:instrText>
      </w:r>
      <w:r w:rsidR="00C126C5">
        <w:fldChar w:fldCharType="separate"/>
      </w:r>
      <w:r w:rsidR="00E61FD4">
        <w:rPr>
          <w:noProof/>
        </w:rPr>
        <w:t>1</w:t>
      </w:r>
      <w:r w:rsidR="00C126C5">
        <w:rPr>
          <w:noProof/>
        </w:rPr>
        <w:fldChar w:fldCharType="end"/>
      </w:r>
      <w:r w:rsidR="00DD117E" w:rsidRPr="00E61FD4">
        <w:t xml:space="preserve"> Initiation of Treatment</w:t>
      </w:r>
    </w:p>
    <w:p w14:paraId="07EDC507" w14:textId="4199D2B5" w:rsidR="003C2850" w:rsidRPr="009315FA" w:rsidRDefault="00603FBF" w:rsidP="009315FA">
      <w:pPr>
        <w:keepNext/>
        <w:spacing w:after="120"/>
        <w:rPr>
          <w:rFonts w:cs="Times New Roman"/>
        </w:rPr>
      </w:pPr>
      <w:r w:rsidRPr="00E61FD4">
        <w:rPr>
          <w:rFonts w:cs="Times New Roman"/>
          <w:noProof/>
        </w:rPr>
        <w:drawing>
          <wp:inline distT="0" distB="0" distL="0" distR="0" wp14:anchorId="7C8A021C" wp14:editId="1EE8BDF9">
            <wp:extent cx="6143770" cy="2868426"/>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8685" cy="2880059"/>
                    </a:xfrm>
                    <a:prstGeom prst="rect">
                      <a:avLst/>
                    </a:prstGeom>
                    <a:noFill/>
                  </pic:spPr>
                </pic:pic>
              </a:graphicData>
            </a:graphic>
          </wp:inline>
        </w:drawing>
      </w:r>
    </w:p>
    <w:p w14:paraId="7A9CA651" w14:textId="7B31B476" w:rsidR="0035784D" w:rsidRPr="00E61FD4" w:rsidRDefault="00881608" w:rsidP="008E41AB">
      <w:pPr>
        <w:pStyle w:val="Heading3"/>
      </w:pPr>
      <w:r w:rsidRPr="00E61FD4">
        <w:t>T</w:t>
      </w:r>
      <w:r w:rsidR="0035784D" w:rsidRPr="00E61FD4">
        <w:t>reatment</w:t>
      </w:r>
      <w:r w:rsidR="0089050D" w:rsidRPr="00E61FD4">
        <w:t xml:space="preserve"> Maintenance</w:t>
      </w:r>
    </w:p>
    <w:p w14:paraId="218047F4" w14:textId="77777777" w:rsidR="00794B63" w:rsidRPr="00E61FD4" w:rsidRDefault="00794B63" w:rsidP="000143BD">
      <w:pPr>
        <w:pStyle w:val="Heading4"/>
      </w:pPr>
      <w:r w:rsidRPr="00E61FD4">
        <w:t>Week 12 visit</w:t>
      </w:r>
    </w:p>
    <w:p w14:paraId="4CB716D4" w14:textId="1E1F26EC" w:rsidR="00323BF6" w:rsidRPr="00E61FD4" w:rsidRDefault="00EB6C5C" w:rsidP="000F0630">
      <w:pPr>
        <w:spacing w:after="120"/>
        <w:rPr>
          <w:rFonts w:cs="Times New Roman"/>
        </w:rPr>
      </w:pPr>
      <w:r w:rsidRPr="00E61FD4">
        <w:rPr>
          <w:rFonts w:cs="Times New Roman"/>
        </w:rPr>
        <w:t xml:space="preserve">Patients </w:t>
      </w:r>
      <w:r w:rsidR="007C38DA" w:rsidRPr="00E61FD4">
        <w:rPr>
          <w:rFonts w:cs="Times New Roman"/>
        </w:rPr>
        <w:t xml:space="preserve">should be assessed </w:t>
      </w:r>
      <w:r w:rsidR="006E4605" w:rsidRPr="00E61FD4">
        <w:rPr>
          <w:rFonts w:cs="Times New Roman"/>
        </w:rPr>
        <w:t>at Week 12</w:t>
      </w:r>
      <w:r w:rsidR="00BD66B5" w:rsidRPr="00E61FD4">
        <w:rPr>
          <w:rFonts w:cs="Times New Roman"/>
        </w:rPr>
        <w:t xml:space="preserve"> after initiating treatment with </w:t>
      </w:r>
      <w:proofErr w:type="gramStart"/>
      <w:r w:rsidR="00E5063D" w:rsidRPr="00E61FD4">
        <w:rPr>
          <w:rFonts w:cs="Times New Roman"/>
        </w:rPr>
        <w:t>CAMZYOS</w:t>
      </w:r>
      <w:r w:rsidR="00BD66B5" w:rsidRPr="00E61FD4">
        <w:rPr>
          <w:rFonts w:cs="Times New Roman"/>
        </w:rPr>
        <w:t>,</w:t>
      </w:r>
      <w:r w:rsidR="0091528C" w:rsidRPr="00E61FD4">
        <w:rPr>
          <w:rFonts w:cs="Times New Roman"/>
        </w:rPr>
        <w:t xml:space="preserve"> </w:t>
      </w:r>
      <w:r w:rsidR="00C56F82" w:rsidRPr="00E61FD4">
        <w:rPr>
          <w:rFonts w:cs="Times New Roman"/>
        </w:rPr>
        <w:t xml:space="preserve"> </w:t>
      </w:r>
      <w:r w:rsidR="00BD66B5" w:rsidRPr="00E61FD4">
        <w:rPr>
          <w:rFonts w:cs="Times New Roman"/>
        </w:rPr>
        <w:t>including</w:t>
      </w:r>
      <w:proofErr w:type="gramEnd"/>
      <w:r w:rsidR="00BD66B5" w:rsidRPr="00E61FD4">
        <w:rPr>
          <w:rFonts w:cs="Times New Roman"/>
        </w:rPr>
        <w:t xml:space="preserve"> echocardiogram assessment of LVOT </w:t>
      </w:r>
      <w:r w:rsidR="00556C17" w:rsidRPr="00E61FD4">
        <w:rPr>
          <w:rFonts w:cs="Times New Roman"/>
        </w:rPr>
        <w:t xml:space="preserve">gradient </w:t>
      </w:r>
      <w:r w:rsidR="00BF3627" w:rsidRPr="00E61FD4">
        <w:rPr>
          <w:rFonts w:cs="Times New Roman"/>
        </w:rPr>
        <w:t xml:space="preserve">with Valsalva manoeuvre </w:t>
      </w:r>
      <w:r w:rsidR="00BD66B5" w:rsidRPr="00E61FD4">
        <w:rPr>
          <w:rFonts w:cs="Times New Roman"/>
        </w:rPr>
        <w:t>and LVEF</w:t>
      </w:r>
      <w:r w:rsidR="008D1466" w:rsidRPr="00E61FD4">
        <w:rPr>
          <w:rFonts w:cs="Times New Roman"/>
        </w:rPr>
        <w:t xml:space="preserve"> </w:t>
      </w:r>
      <w:r w:rsidR="00401AF3" w:rsidRPr="00E61FD4">
        <w:rPr>
          <w:rFonts w:cs="Times New Roman"/>
        </w:rPr>
        <w:t xml:space="preserve">with echocardiogram </w:t>
      </w:r>
      <w:r w:rsidR="008D1466" w:rsidRPr="00E61FD4">
        <w:rPr>
          <w:rFonts w:cs="Times New Roman"/>
        </w:rPr>
        <w:t>for safety</w:t>
      </w:r>
      <w:r w:rsidR="00BD66B5" w:rsidRPr="00E61FD4">
        <w:rPr>
          <w:rFonts w:cs="Times New Roman"/>
        </w:rPr>
        <w:t>.</w:t>
      </w:r>
      <w:r w:rsidR="0099379D" w:rsidRPr="00E61FD4">
        <w:rPr>
          <w:rFonts w:cs="Times New Roman"/>
        </w:rPr>
        <w:t xml:space="preserve"> </w:t>
      </w:r>
      <w:r w:rsidR="00BC1FD1" w:rsidRPr="00E61FD4">
        <w:rPr>
          <w:rFonts w:cs="Times New Roman"/>
        </w:rPr>
        <w:t xml:space="preserve"> </w:t>
      </w:r>
      <w:r w:rsidR="00306A18" w:rsidRPr="00E61FD4">
        <w:rPr>
          <w:rFonts w:cs="Times New Roman"/>
        </w:rPr>
        <w:t>I</w:t>
      </w:r>
      <w:r w:rsidR="00BD66B5" w:rsidRPr="00E61FD4">
        <w:rPr>
          <w:rFonts w:cs="Times New Roman"/>
        </w:rPr>
        <w:t>f symptoms of o</w:t>
      </w:r>
      <w:r w:rsidR="00116735" w:rsidRPr="00E61FD4">
        <w:rPr>
          <w:rFonts w:cs="Times New Roman"/>
        </w:rPr>
        <w:t xml:space="preserve">bstructive </w:t>
      </w:r>
      <w:r w:rsidR="00BD66B5" w:rsidRPr="00E61FD4">
        <w:rPr>
          <w:rFonts w:cs="Times New Roman"/>
        </w:rPr>
        <w:t>HCM persist and</w:t>
      </w:r>
      <w:r w:rsidR="00C56F82" w:rsidRPr="00E61FD4">
        <w:rPr>
          <w:rFonts w:cs="Times New Roman"/>
        </w:rPr>
        <w:t xml:space="preserve"> </w:t>
      </w:r>
      <w:r w:rsidR="00BD66B5" w:rsidRPr="00E61FD4">
        <w:rPr>
          <w:rFonts w:cs="Times New Roman"/>
        </w:rPr>
        <w:t xml:space="preserve">LVOT gradient with Valsalva </w:t>
      </w:r>
      <w:r w:rsidR="003734FD" w:rsidRPr="00E61FD4">
        <w:rPr>
          <w:rFonts w:cs="Times New Roman"/>
        </w:rPr>
        <w:t>manoeuvre</w:t>
      </w:r>
      <w:r w:rsidR="00BD66B5" w:rsidRPr="00E61FD4">
        <w:rPr>
          <w:rFonts w:cs="Times New Roman"/>
        </w:rPr>
        <w:t xml:space="preserve"> is </w:t>
      </w:r>
      <w:r w:rsidR="00C445D5" w:rsidRPr="00E61FD4">
        <w:rPr>
          <w:rFonts w:cs="Times New Roman"/>
        </w:rPr>
        <w:t>≥</w:t>
      </w:r>
      <w:r w:rsidR="00595C5A" w:rsidRPr="00E61FD4">
        <w:rPr>
          <w:rFonts w:cs="Times New Roman"/>
        </w:rPr>
        <w:t> </w:t>
      </w:r>
      <w:r w:rsidR="00BD66B5" w:rsidRPr="00E61FD4">
        <w:rPr>
          <w:rFonts w:cs="Times New Roman"/>
        </w:rPr>
        <w:t>30</w:t>
      </w:r>
      <w:r w:rsidR="00595C5A" w:rsidRPr="00E61FD4">
        <w:rPr>
          <w:rFonts w:cs="Times New Roman"/>
        </w:rPr>
        <w:t> </w:t>
      </w:r>
      <w:r w:rsidR="00BD66B5" w:rsidRPr="00E61FD4">
        <w:rPr>
          <w:rFonts w:cs="Times New Roman"/>
        </w:rPr>
        <w:t xml:space="preserve">mmHg, a </w:t>
      </w:r>
      <w:proofErr w:type="gramStart"/>
      <w:r w:rsidR="00BD66B5" w:rsidRPr="00E61FD4">
        <w:rPr>
          <w:rFonts w:cs="Times New Roman"/>
        </w:rPr>
        <w:t>step-wise</w:t>
      </w:r>
      <w:proofErr w:type="gramEnd"/>
      <w:r w:rsidR="00BD66B5" w:rsidRPr="00E61FD4">
        <w:rPr>
          <w:rFonts w:cs="Times New Roman"/>
        </w:rPr>
        <w:t xml:space="preserve"> dose increase may be</w:t>
      </w:r>
      <w:r w:rsidR="00C56F82" w:rsidRPr="00E61FD4">
        <w:rPr>
          <w:rFonts w:cs="Times New Roman"/>
        </w:rPr>
        <w:t xml:space="preserve"> </w:t>
      </w:r>
      <w:r w:rsidR="00BD66B5" w:rsidRPr="00E61FD4">
        <w:rPr>
          <w:rFonts w:cs="Times New Roman"/>
        </w:rPr>
        <w:t>considered in patients with an LVEF ≥</w:t>
      </w:r>
      <w:r w:rsidR="00595C5A" w:rsidRPr="00E61FD4">
        <w:rPr>
          <w:rFonts w:cs="Times New Roman"/>
        </w:rPr>
        <w:t> </w:t>
      </w:r>
      <w:r w:rsidR="00BD66B5" w:rsidRPr="00E61FD4">
        <w:rPr>
          <w:rFonts w:cs="Times New Roman"/>
        </w:rPr>
        <w:t>55%.</w:t>
      </w:r>
    </w:p>
    <w:p w14:paraId="4F96FA42" w14:textId="3C6EF7B0" w:rsidR="0087188D" w:rsidRPr="00E61FD4" w:rsidRDefault="0087188D" w:rsidP="0087188D">
      <w:pPr>
        <w:pStyle w:val="C-BodyText"/>
        <w:jc w:val="both"/>
        <w:rPr>
          <w:sz w:val="22"/>
          <w:szCs w:val="18"/>
        </w:rPr>
      </w:pPr>
      <w:r w:rsidRPr="00E61FD4">
        <w:rPr>
          <w:sz w:val="22"/>
          <w:szCs w:val="18"/>
        </w:rPr>
        <w:t>Patients who have not had their treatment paused, and who have a LVEF ≥ 55% and a LVOT gradient with Valsalva maneuver ≥ 30 mmHg may have their dose increased by one level (e.g., 2.5 to 5 mg; 5 to 10 mg). A 4-week follow-up visit is required for any dose increase. If the patients LVEF is between 50% to 55%, regardless of Valsalva LVOT gradient or LVEF &gt; 55% and Valsalva LVOT gradient &lt; 30 mmHg the patient should maintain their current dose.</w:t>
      </w:r>
    </w:p>
    <w:p w14:paraId="7CA135B9" w14:textId="76A0520B" w:rsidR="0087188D" w:rsidRPr="00E61FD4" w:rsidRDefault="0087188D" w:rsidP="0087188D">
      <w:pPr>
        <w:pStyle w:val="C-BodyText"/>
        <w:jc w:val="both"/>
        <w:rPr>
          <w:sz w:val="22"/>
          <w:szCs w:val="18"/>
        </w:rPr>
      </w:pPr>
      <w:r w:rsidRPr="00E61FD4">
        <w:rPr>
          <w:sz w:val="22"/>
          <w:szCs w:val="18"/>
        </w:rPr>
        <w:t xml:space="preserve">Patients </w:t>
      </w:r>
      <w:r w:rsidR="002E03D9" w:rsidRPr="00E61FD4">
        <w:rPr>
          <w:sz w:val="22"/>
          <w:szCs w:val="18"/>
        </w:rPr>
        <w:t xml:space="preserve">that </w:t>
      </w:r>
      <w:r w:rsidRPr="00E61FD4">
        <w:rPr>
          <w:sz w:val="22"/>
          <w:szCs w:val="18"/>
        </w:rPr>
        <w:t>withheld 2.5 mg treatment at week 8 should be reassessed and if LVEF ≥ 50% can restart their treatment on 2.5 mg, regardless of LVOT gradient. A 4-week follow-up assessment visit will be required to determine if the patient should maintain 2.5 mg dose for 8 weeks.</w:t>
      </w:r>
    </w:p>
    <w:p w14:paraId="4522BBD4" w14:textId="26666DF1" w:rsidR="00E7434B" w:rsidRPr="00E61FD4" w:rsidRDefault="00E7434B" w:rsidP="00E7434B">
      <w:pPr>
        <w:pStyle w:val="Caption"/>
        <w:keepNext/>
      </w:pPr>
      <w:r w:rsidRPr="00E61FD4">
        <w:lastRenderedPageBreak/>
        <w:t xml:space="preserve">Figure </w:t>
      </w:r>
      <w:r w:rsidR="00C126C5">
        <w:fldChar w:fldCharType="begin"/>
      </w:r>
      <w:r w:rsidR="00C126C5">
        <w:instrText xml:space="preserve"> SEQ Figure \* ARABIC </w:instrText>
      </w:r>
      <w:r w:rsidR="00C126C5">
        <w:fldChar w:fldCharType="separate"/>
      </w:r>
      <w:r w:rsidR="00E61FD4">
        <w:rPr>
          <w:noProof/>
        </w:rPr>
        <w:t>2</w:t>
      </w:r>
      <w:r w:rsidR="00C126C5">
        <w:rPr>
          <w:noProof/>
        </w:rPr>
        <w:fldChar w:fldCharType="end"/>
      </w:r>
      <w:r w:rsidRPr="00E61FD4">
        <w:t xml:space="preserve"> Treatment Maintenance</w:t>
      </w:r>
    </w:p>
    <w:p w14:paraId="608C8862" w14:textId="7F5F0407" w:rsidR="00E7434B" w:rsidRPr="00E61FD4" w:rsidRDefault="00AB4D65" w:rsidP="00E7434B">
      <w:pPr>
        <w:keepNext/>
        <w:spacing w:after="120"/>
      </w:pPr>
      <w:r w:rsidRPr="00E61FD4">
        <w:rPr>
          <w:noProof/>
        </w:rPr>
        <w:drawing>
          <wp:inline distT="0" distB="0" distL="0" distR="0" wp14:anchorId="7B2A82C4" wp14:editId="31DEAE37">
            <wp:extent cx="5731510" cy="2901551"/>
            <wp:effectExtent l="0" t="0" r="2540" b="0"/>
            <wp:docPr id="369385429" name="Picture 36938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2901551"/>
                    </a:xfrm>
                    <a:prstGeom prst="rect">
                      <a:avLst/>
                    </a:prstGeom>
                  </pic:spPr>
                </pic:pic>
              </a:graphicData>
            </a:graphic>
          </wp:inline>
        </w:drawing>
      </w:r>
    </w:p>
    <w:p w14:paraId="716FCF6C" w14:textId="66FD8DCF" w:rsidR="003E4268" w:rsidRPr="00E61FD4" w:rsidRDefault="003E4268" w:rsidP="000143BD">
      <w:pPr>
        <w:pStyle w:val="Heading4"/>
      </w:pPr>
      <w:r w:rsidRPr="00E61FD4">
        <w:t>Treatment Interruption if LVEF &lt;50%</w:t>
      </w:r>
    </w:p>
    <w:p w14:paraId="66BC39FB" w14:textId="4AEFECA8" w:rsidR="00D41C91" w:rsidRPr="00E61FD4" w:rsidRDefault="00D41C91" w:rsidP="00D41C91">
      <w:pPr>
        <w:pStyle w:val="C-BodyText"/>
        <w:jc w:val="both"/>
        <w:rPr>
          <w:sz w:val="22"/>
          <w:szCs w:val="22"/>
        </w:rPr>
      </w:pPr>
      <w:r w:rsidRPr="00E61FD4">
        <w:rPr>
          <w:sz w:val="22"/>
          <w:szCs w:val="22"/>
        </w:rPr>
        <w:t>If at any clinical visit LVEF is &lt; 50%, treatment should be interrupted. Restart treatment after 4 weeks at one lower dose level (e.g., 5 to 2.5 mg; 10 to 5 mg; 15 to 10 mg) if LVEF ≥ 50%. Patients on 2.5 mg who temporarily interrupted treatment on two consecutive occasions because their LVEF remains &lt; 50% should discontinue treatment.</w:t>
      </w:r>
    </w:p>
    <w:p w14:paraId="2E6CD707" w14:textId="2E934B6F" w:rsidR="009859A5" w:rsidRPr="00E61FD4" w:rsidRDefault="00767B19" w:rsidP="00DE19F8">
      <w:pPr>
        <w:pStyle w:val="Caption"/>
        <w:keepNext/>
      </w:pPr>
      <w:r w:rsidRPr="00E61FD4">
        <w:t xml:space="preserve">Figure </w:t>
      </w:r>
      <w:r w:rsidR="00C126C5">
        <w:fldChar w:fldCharType="begin"/>
      </w:r>
      <w:r w:rsidR="00C126C5">
        <w:instrText xml:space="preserve"> SEQ Figure \* ARABIC </w:instrText>
      </w:r>
      <w:r w:rsidR="00C126C5">
        <w:fldChar w:fldCharType="separate"/>
      </w:r>
      <w:r w:rsidR="00E61FD4">
        <w:rPr>
          <w:noProof/>
        </w:rPr>
        <w:t>3</w:t>
      </w:r>
      <w:r w:rsidR="00C126C5">
        <w:rPr>
          <w:noProof/>
        </w:rPr>
        <w:fldChar w:fldCharType="end"/>
      </w:r>
      <w:r w:rsidRPr="00E61FD4">
        <w:t xml:space="preserve"> </w:t>
      </w:r>
      <w:r w:rsidR="0072697A" w:rsidRPr="00E61FD4">
        <w:t>Treatment Interruption at Any Clinic</w:t>
      </w:r>
      <w:r w:rsidR="00E20696" w:rsidRPr="00E61FD4">
        <w:t>al</w:t>
      </w:r>
      <w:r w:rsidR="0072697A" w:rsidRPr="00E61FD4">
        <w:t xml:space="preserve"> Visit if LVEF &lt;50%</w:t>
      </w:r>
    </w:p>
    <w:p w14:paraId="6A52003A" w14:textId="16AD48FD" w:rsidR="00DC567D" w:rsidRPr="00E61FD4" w:rsidRDefault="00DC567D" w:rsidP="00DC567D">
      <w:r w:rsidRPr="00E61FD4">
        <w:rPr>
          <w:noProof/>
        </w:rPr>
        <w:drawing>
          <wp:inline distT="0" distB="0" distL="0" distR="0" wp14:anchorId="588043A5" wp14:editId="5F9A9254">
            <wp:extent cx="6081718" cy="1853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7401" cy="1861191"/>
                    </a:xfrm>
                    <a:prstGeom prst="rect">
                      <a:avLst/>
                    </a:prstGeom>
                    <a:noFill/>
                  </pic:spPr>
                </pic:pic>
              </a:graphicData>
            </a:graphic>
          </wp:inline>
        </w:drawing>
      </w:r>
    </w:p>
    <w:p w14:paraId="6871D11A" w14:textId="21043BDC" w:rsidR="003E4268" w:rsidRPr="00E61FD4" w:rsidRDefault="2D9926BD" w:rsidP="000143BD">
      <w:pPr>
        <w:pStyle w:val="Heading4"/>
      </w:pPr>
      <w:r w:rsidRPr="00E61FD4">
        <w:t>Subsequent 12-weekly assessment visits</w:t>
      </w:r>
    </w:p>
    <w:p w14:paraId="6B5A7FA4" w14:textId="1612EB31" w:rsidR="00683A4B" w:rsidRPr="00E61FD4" w:rsidRDefault="6D0F5327" w:rsidP="009A7F7F">
      <w:pPr>
        <w:spacing w:after="120"/>
      </w:pPr>
      <w:r w:rsidRPr="00E61FD4">
        <w:rPr>
          <w:rFonts w:cs="Times New Roman"/>
        </w:rPr>
        <w:t>The patient’s individualized daily dose of CAMZYOS will be either 2.5, 5, 10 or 15 mg. The maximum dose is 15 </w:t>
      </w:r>
      <w:r w:rsidRPr="00E61FD4">
        <w:t>mg once daily.</w:t>
      </w:r>
      <w:r w:rsidR="49DFCBCA" w:rsidRPr="00E61FD4">
        <w:t xml:space="preserve"> </w:t>
      </w:r>
    </w:p>
    <w:p w14:paraId="4D792DF5" w14:textId="26BD7D5F" w:rsidR="00683A4B" w:rsidRPr="00E61FD4" w:rsidRDefault="4F9C75FE" w:rsidP="009A7F7F">
      <w:pPr>
        <w:pStyle w:val="C-BodyText"/>
        <w:spacing w:before="0" w:line="240" w:lineRule="auto"/>
        <w:jc w:val="both"/>
        <w:rPr>
          <w:sz w:val="22"/>
          <w:szCs w:val="22"/>
        </w:rPr>
      </w:pPr>
      <w:r w:rsidRPr="00E61FD4">
        <w:rPr>
          <w:sz w:val="22"/>
          <w:szCs w:val="22"/>
        </w:rPr>
        <w:t>If during future 12-weekly assessment visits the patient’s o</w:t>
      </w:r>
      <w:r w:rsidR="00116735" w:rsidRPr="00E61FD4">
        <w:rPr>
          <w:sz w:val="22"/>
          <w:szCs w:val="22"/>
        </w:rPr>
        <w:t xml:space="preserve">bstructive </w:t>
      </w:r>
      <w:r w:rsidRPr="00E61FD4">
        <w:rPr>
          <w:sz w:val="22"/>
          <w:szCs w:val="22"/>
        </w:rPr>
        <w:t>HCM symptoms have not improved and the LVOT gradient is ≥ 30 mmHg, a further dose increase by one level may be considered in patients with an LVEF ≥ 55% up to a maximum daily dose of 15 mg.</w:t>
      </w:r>
      <w:r w:rsidR="00874926" w:rsidRPr="00E61FD4">
        <w:rPr>
          <w:sz w:val="22"/>
          <w:szCs w:val="22"/>
        </w:rPr>
        <w:t xml:space="preserve"> </w:t>
      </w:r>
    </w:p>
    <w:p w14:paraId="3CE4F7DB" w14:textId="52B61DDF" w:rsidR="00683A4B" w:rsidRPr="00E61FD4" w:rsidRDefault="00683A4B" w:rsidP="009A7F7F">
      <w:pPr>
        <w:pStyle w:val="C-BodyText"/>
        <w:spacing w:before="0" w:line="240" w:lineRule="auto"/>
        <w:jc w:val="both"/>
        <w:rPr>
          <w:sz w:val="22"/>
          <w:szCs w:val="22"/>
        </w:rPr>
      </w:pPr>
      <w:r w:rsidRPr="00E61FD4">
        <w:rPr>
          <w:sz w:val="22"/>
          <w:szCs w:val="22"/>
        </w:rPr>
        <w:lastRenderedPageBreak/>
        <w:t>Dose increases should not occur more frequently than every 12 weeks. Following any dose increase, LVOT gradient with Valsalva maneuver and LVEF should be assessed after 4</w:t>
      </w:r>
      <w:r w:rsidR="008C045F" w:rsidRPr="00E61FD4">
        <w:rPr>
          <w:sz w:val="22"/>
          <w:szCs w:val="22"/>
        </w:rPr>
        <w:t xml:space="preserve"> </w:t>
      </w:r>
      <w:r w:rsidRPr="00E61FD4">
        <w:rPr>
          <w:sz w:val="22"/>
          <w:szCs w:val="22"/>
        </w:rPr>
        <w:t>weeks, and the patient should return 8 weeks later (then resume 12-weekly visits).</w:t>
      </w:r>
      <w:r w:rsidR="008C045F" w:rsidRPr="00E61FD4">
        <w:rPr>
          <w:sz w:val="22"/>
          <w:szCs w:val="22"/>
        </w:rPr>
        <w:t xml:space="preserve"> </w:t>
      </w:r>
    </w:p>
    <w:p w14:paraId="37055CF5" w14:textId="2E505875" w:rsidR="00683A4B" w:rsidRPr="00E61FD4" w:rsidRDefault="00683A4B" w:rsidP="009A7F7F">
      <w:pPr>
        <w:pStyle w:val="C-BodyText"/>
        <w:spacing w:before="0" w:line="240" w:lineRule="auto"/>
        <w:jc w:val="both"/>
        <w:rPr>
          <w:sz w:val="22"/>
          <w:szCs w:val="22"/>
        </w:rPr>
      </w:pPr>
      <w:r w:rsidRPr="00E61FD4">
        <w:rPr>
          <w:sz w:val="22"/>
          <w:szCs w:val="22"/>
        </w:rPr>
        <w:t>Dose increases are not recommended if the patient is experiencing an intercurrent illness such as infection</w:t>
      </w:r>
      <w:r w:rsidR="008C045F" w:rsidRPr="00E61FD4">
        <w:rPr>
          <w:sz w:val="22"/>
          <w:szCs w:val="22"/>
        </w:rPr>
        <w:t>s</w:t>
      </w:r>
      <w:r w:rsidRPr="00E61FD4">
        <w:rPr>
          <w:sz w:val="22"/>
          <w:szCs w:val="22"/>
        </w:rPr>
        <w:t xml:space="preserve"> or arrhythmia (including atrial fibrillation or other uncontrolled tachyarrhythmia) which may impair systolic function. </w:t>
      </w:r>
    </w:p>
    <w:p w14:paraId="53FA5EED" w14:textId="381BB8F9" w:rsidR="00515F7E" w:rsidRPr="00E61FD4" w:rsidRDefault="00515F7E" w:rsidP="000143BD">
      <w:pPr>
        <w:pStyle w:val="Heading4"/>
      </w:pPr>
      <w:r w:rsidRPr="00E61FD4">
        <w:t>Dose modification with concomitant medicinal products</w:t>
      </w:r>
    </w:p>
    <w:p w14:paraId="6EF8FBFC" w14:textId="20FFFE14" w:rsidR="000E71DE" w:rsidRPr="00E61FD4" w:rsidRDefault="007E3F57" w:rsidP="007E3F57">
      <w:r w:rsidRPr="00E61FD4">
        <w:rPr>
          <w:rFonts w:cs="Times New Roman"/>
          <w:color w:val="000000"/>
        </w:rPr>
        <w:t xml:space="preserve">It is recommended that patients who initiate or modify treatment with weak CYP2C19 inhibitors or moderate CYP3A4 inhibitors, consider additional monitoring of LVEF and adjust dose based on clinical assessment. </w:t>
      </w:r>
    </w:p>
    <w:p w14:paraId="2849328B" w14:textId="3797C201" w:rsidR="00BD66B5" w:rsidRPr="00E61FD4" w:rsidRDefault="00BD66B5" w:rsidP="000143BD">
      <w:pPr>
        <w:pStyle w:val="Heading4"/>
      </w:pPr>
      <w:r w:rsidRPr="00E61FD4">
        <w:t>Missed or delayed doses</w:t>
      </w:r>
    </w:p>
    <w:p w14:paraId="1A4C99F9" w14:textId="374FEEE5" w:rsidR="00BD66B5" w:rsidRPr="00E61FD4" w:rsidRDefault="00BD66B5" w:rsidP="00E62F21">
      <w:pPr>
        <w:spacing w:after="120"/>
        <w:rPr>
          <w:rFonts w:cs="Times New Roman"/>
        </w:rPr>
      </w:pPr>
      <w:r w:rsidRPr="00E61FD4">
        <w:rPr>
          <w:rFonts w:cs="Times New Roman"/>
        </w:rPr>
        <w:t>If a dose is missed, it should be taken as soon as possible, and the next scheduled dose should be</w:t>
      </w:r>
      <w:r w:rsidR="00C647CB" w:rsidRPr="00E61FD4">
        <w:rPr>
          <w:rFonts w:cs="Times New Roman"/>
        </w:rPr>
        <w:t xml:space="preserve"> </w:t>
      </w:r>
      <w:r w:rsidRPr="00E61FD4">
        <w:rPr>
          <w:rFonts w:cs="Times New Roman"/>
        </w:rPr>
        <w:t>taken at the usual time the following day. Two doses should not be taken on the same day.</w:t>
      </w:r>
    </w:p>
    <w:p w14:paraId="7F19BD0E" w14:textId="311B1F93" w:rsidR="0035784D" w:rsidRPr="00E61FD4" w:rsidRDefault="0035784D" w:rsidP="008E41AB">
      <w:pPr>
        <w:pStyle w:val="Heading3"/>
      </w:pPr>
      <w:r w:rsidRPr="00E61FD4">
        <w:t>Renal Impairment</w:t>
      </w:r>
    </w:p>
    <w:p w14:paraId="789724D6" w14:textId="2C60E2B4" w:rsidR="00323BF6" w:rsidRPr="00E61FD4" w:rsidRDefault="00607536" w:rsidP="00DB0E2F">
      <w:pPr>
        <w:spacing w:after="120"/>
        <w:rPr>
          <w:rFonts w:cs="Times New Roman"/>
        </w:rPr>
      </w:pPr>
      <w:r w:rsidRPr="00E61FD4">
        <w:rPr>
          <w:rFonts w:cs="Times New Roman"/>
        </w:rPr>
        <w:t>No dosage adjustment is needed in patients with mild (eGFR 60 - &lt;90 mL/min/1.73m2) to</w:t>
      </w:r>
      <w:r w:rsidR="00C647CB" w:rsidRPr="00E61FD4">
        <w:rPr>
          <w:rFonts w:cs="Times New Roman"/>
        </w:rPr>
        <w:t xml:space="preserve"> </w:t>
      </w:r>
      <w:r w:rsidRPr="00E61FD4">
        <w:rPr>
          <w:rFonts w:cs="Times New Roman"/>
        </w:rPr>
        <w:t>moderate (eGFR 30 - &lt;60 mL/min/1.73m2) renal impairment. Caution should be used in patients</w:t>
      </w:r>
      <w:r w:rsidR="00C647CB" w:rsidRPr="00E61FD4">
        <w:rPr>
          <w:rFonts w:cs="Times New Roman"/>
        </w:rPr>
        <w:t xml:space="preserve"> </w:t>
      </w:r>
      <w:r w:rsidRPr="00E61FD4">
        <w:rPr>
          <w:rFonts w:cs="Times New Roman"/>
        </w:rPr>
        <w:t xml:space="preserve">with severe (eGFR &lt; 30 mL/min/1.73m2) renal impairment, as </w:t>
      </w:r>
      <w:r w:rsidR="00E5063D" w:rsidRPr="00E61FD4">
        <w:rPr>
          <w:rFonts w:cs="Times New Roman"/>
        </w:rPr>
        <w:t>CAMZYOS</w:t>
      </w:r>
      <w:r w:rsidRPr="00E61FD4">
        <w:rPr>
          <w:rFonts w:cs="Times New Roman"/>
        </w:rPr>
        <w:t xml:space="preserve"> has not been</w:t>
      </w:r>
      <w:r w:rsidR="00C647CB" w:rsidRPr="00E61FD4">
        <w:rPr>
          <w:rFonts w:cs="Times New Roman"/>
        </w:rPr>
        <w:t xml:space="preserve"> </w:t>
      </w:r>
      <w:r w:rsidRPr="00E61FD4">
        <w:rPr>
          <w:rFonts w:cs="Times New Roman"/>
        </w:rPr>
        <w:t xml:space="preserve">studied in this population (see </w:t>
      </w:r>
      <w:r w:rsidR="00E31FD9" w:rsidRPr="00E61FD4">
        <w:rPr>
          <w:rFonts w:cs="Times New Roman"/>
        </w:rPr>
        <w:t xml:space="preserve">5.2 Pharmacokinetic properties, Special </w:t>
      </w:r>
      <w:r w:rsidR="00446174" w:rsidRPr="00E61FD4">
        <w:rPr>
          <w:rFonts w:cs="Times New Roman"/>
        </w:rPr>
        <w:t>populations</w:t>
      </w:r>
      <w:r w:rsidRPr="00E61FD4">
        <w:rPr>
          <w:rFonts w:cs="Times New Roman"/>
        </w:rPr>
        <w:t>).</w:t>
      </w:r>
    </w:p>
    <w:p w14:paraId="74DC1870" w14:textId="46296CE3" w:rsidR="0035784D" w:rsidRPr="00E61FD4" w:rsidRDefault="0035784D" w:rsidP="008E41AB">
      <w:pPr>
        <w:pStyle w:val="Heading3"/>
      </w:pPr>
      <w:r w:rsidRPr="00E61FD4">
        <w:t>Hepatic Impairment</w:t>
      </w:r>
    </w:p>
    <w:p w14:paraId="3E432625" w14:textId="1BE5DF72" w:rsidR="00323BF6" w:rsidRPr="00E61FD4" w:rsidRDefault="00607536" w:rsidP="00DB0E2F">
      <w:pPr>
        <w:spacing w:after="120"/>
        <w:rPr>
          <w:rFonts w:cs="Times New Roman"/>
        </w:rPr>
      </w:pPr>
      <w:r w:rsidRPr="00E61FD4">
        <w:rPr>
          <w:rFonts w:cs="Times New Roman"/>
        </w:rPr>
        <w:t>No dosage adjustment is required for patients with mild (Child-Pugh A) to moderate</w:t>
      </w:r>
      <w:r w:rsidR="00C647CB" w:rsidRPr="00E61FD4">
        <w:rPr>
          <w:rFonts w:cs="Times New Roman"/>
        </w:rPr>
        <w:t xml:space="preserve"> </w:t>
      </w:r>
      <w:r w:rsidRPr="00E61FD4">
        <w:rPr>
          <w:rFonts w:cs="Times New Roman"/>
        </w:rPr>
        <w:t>(Child-Pugh B) hepatic impairment. Caution should be used in patients with severe (Child-Pugh</w:t>
      </w:r>
      <w:r w:rsidR="00C647CB" w:rsidRPr="00E61FD4">
        <w:rPr>
          <w:rFonts w:cs="Times New Roman"/>
        </w:rPr>
        <w:t xml:space="preserve"> </w:t>
      </w:r>
      <w:r w:rsidRPr="00E61FD4">
        <w:rPr>
          <w:rFonts w:cs="Times New Roman"/>
        </w:rPr>
        <w:t xml:space="preserve">class C) hepatic impairment, as </w:t>
      </w:r>
      <w:r w:rsidR="00E5063D" w:rsidRPr="00E61FD4">
        <w:rPr>
          <w:rFonts w:cs="Times New Roman"/>
        </w:rPr>
        <w:t>CAMZYOS</w:t>
      </w:r>
      <w:r w:rsidRPr="00E61FD4">
        <w:rPr>
          <w:rFonts w:cs="Times New Roman"/>
        </w:rPr>
        <w:t xml:space="preserve"> has not been studied in this population (</w:t>
      </w:r>
      <w:r w:rsidR="00446174" w:rsidRPr="00E61FD4">
        <w:rPr>
          <w:rFonts w:cs="Times New Roman"/>
        </w:rPr>
        <w:t>see 5.2 Pharmacokinetic properties, Special populations</w:t>
      </w:r>
      <w:r w:rsidRPr="00E61FD4">
        <w:rPr>
          <w:rFonts w:cs="Times New Roman"/>
        </w:rPr>
        <w:t>).</w:t>
      </w:r>
    </w:p>
    <w:p w14:paraId="47435979" w14:textId="3DA69AFB" w:rsidR="0035784D" w:rsidRPr="00E61FD4" w:rsidRDefault="00DA1FCC" w:rsidP="008E41AB">
      <w:pPr>
        <w:pStyle w:val="Heading3"/>
      </w:pPr>
      <w:r w:rsidRPr="00E61FD4">
        <w:t>Paediatric and adolescent</w:t>
      </w:r>
    </w:p>
    <w:p w14:paraId="3B945FBB" w14:textId="2FA4E468" w:rsidR="00323BF6" w:rsidRPr="00E61FD4" w:rsidRDefault="00323BF6" w:rsidP="00DB0E2F">
      <w:pPr>
        <w:spacing w:after="120"/>
        <w:rPr>
          <w:rFonts w:cs="Times New Roman"/>
        </w:rPr>
      </w:pPr>
      <w:r w:rsidRPr="00E61FD4">
        <w:rPr>
          <w:rFonts w:cs="Times New Roman"/>
        </w:rPr>
        <w:t xml:space="preserve">The safety and efficacy of </w:t>
      </w:r>
      <w:r w:rsidR="00E5063D" w:rsidRPr="00E61FD4">
        <w:rPr>
          <w:rFonts w:cs="Times New Roman"/>
        </w:rPr>
        <w:t>CAMZYOS</w:t>
      </w:r>
      <w:r w:rsidRPr="00E61FD4">
        <w:rPr>
          <w:rFonts w:cs="Times New Roman"/>
        </w:rPr>
        <w:t xml:space="preserve"> in </w:t>
      </w:r>
      <w:r w:rsidR="00C647CB" w:rsidRPr="00E61FD4">
        <w:rPr>
          <w:rFonts w:cs="Times New Roman"/>
        </w:rPr>
        <w:t>paediatric</w:t>
      </w:r>
      <w:r w:rsidRPr="00E61FD4">
        <w:rPr>
          <w:rFonts w:cs="Times New Roman"/>
        </w:rPr>
        <w:t xml:space="preserve"> patients aged less than 18</w:t>
      </w:r>
      <w:r w:rsidR="004F2E3D" w:rsidRPr="00E61FD4">
        <w:rPr>
          <w:rFonts w:cs="Times New Roman"/>
        </w:rPr>
        <w:t> </w:t>
      </w:r>
      <w:r w:rsidRPr="00E61FD4">
        <w:rPr>
          <w:rFonts w:cs="Times New Roman"/>
        </w:rPr>
        <w:t>years of age</w:t>
      </w:r>
      <w:r w:rsidR="00C647CB" w:rsidRPr="00E61FD4">
        <w:rPr>
          <w:rFonts w:cs="Times New Roman"/>
        </w:rPr>
        <w:t xml:space="preserve"> </w:t>
      </w:r>
      <w:r w:rsidRPr="00E61FD4">
        <w:rPr>
          <w:rFonts w:cs="Times New Roman"/>
        </w:rPr>
        <w:t>have not been established. No data are available.</w:t>
      </w:r>
    </w:p>
    <w:p w14:paraId="5882F198" w14:textId="06A2F431" w:rsidR="00DA1FCC" w:rsidRPr="00E61FD4" w:rsidRDefault="003056E0" w:rsidP="008E41AB">
      <w:pPr>
        <w:pStyle w:val="Heading3"/>
      </w:pPr>
      <w:r w:rsidRPr="00E61FD4">
        <w:t>Elderly</w:t>
      </w:r>
    </w:p>
    <w:p w14:paraId="55465075" w14:textId="63DB2EF0" w:rsidR="00DA1FCC" w:rsidRPr="00E61FD4" w:rsidRDefault="00323BF6" w:rsidP="00DB0E2F">
      <w:pPr>
        <w:spacing w:after="120"/>
        <w:rPr>
          <w:rFonts w:cs="Times New Roman"/>
        </w:rPr>
      </w:pPr>
      <w:r w:rsidRPr="00E61FD4">
        <w:rPr>
          <w:rFonts w:cs="Times New Roman"/>
        </w:rPr>
        <w:t>No dosage adjustment is required in patients 65</w:t>
      </w:r>
      <w:r w:rsidR="004F2E3D" w:rsidRPr="00E61FD4">
        <w:rPr>
          <w:rFonts w:cs="Times New Roman"/>
        </w:rPr>
        <w:t> </w:t>
      </w:r>
      <w:r w:rsidRPr="00E61FD4">
        <w:rPr>
          <w:rFonts w:cs="Times New Roman"/>
        </w:rPr>
        <w:t>years and older (</w:t>
      </w:r>
      <w:r w:rsidR="00F847FD" w:rsidRPr="00E61FD4">
        <w:rPr>
          <w:rFonts w:cs="Times New Roman"/>
        </w:rPr>
        <w:t>see 5.2 Pharmacokinetic properties, Special populations</w:t>
      </w:r>
      <w:r w:rsidRPr="00E61FD4">
        <w:rPr>
          <w:rFonts w:cs="Times New Roman"/>
        </w:rPr>
        <w:t>).</w:t>
      </w:r>
    </w:p>
    <w:p w14:paraId="6126740B" w14:textId="77777777" w:rsidR="001A3992" w:rsidRPr="00E61FD4" w:rsidRDefault="001A3992" w:rsidP="008E41AB">
      <w:pPr>
        <w:pStyle w:val="Heading2"/>
      </w:pPr>
      <w:r w:rsidRPr="00E61FD4">
        <w:t>Contraindications</w:t>
      </w:r>
    </w:p>
    <w:p w14:paraId="3371555E" w14:textId="2B2EF335" w:rsidR="00891C9E" w:rsidRPr="00E61FD4" w:rsidRDefault="000468D3" w:rsidP="004A5C79">
      <w:pPr>
        <w:pStyle w:val="ListParagraph"/>
        <w:numPr>
          <w:ilvl w:val="0"/>
          <w:numId w:val="39"/>
        </w:numPr>
        <w:spacing w:after="120"/>
        <w:rPr>
          <w:rFonts w:ascii="Times New Roman" w:hAnsi="Times New Roman" w:cs="Times New Roman"/>
        </w:rPr>
      </w:pPr>
      <w:r w:rsidRPr="00E61FD4">
        <w:rPr>
          <w:rFonts w:ascii="Times New Roman" w:hAnsi="Times New Roman" w:cs="Times New Roman"/>
        </w:rPr>
        <w:t xml:space="preserve">Hypersensitivity to </w:t>
      </w:r>
      <w:r w:rsidR="00D76B65" w:rsidRPr="00E61FD4">
        <w:rPr>
          <w:rFonts w:ascii="Times New Roman" w:hAnsi="Times New Roman" w:cs="Times New Roman"/>
        </w:rPr>
        <w:t>mavacamten</w:t>
      </w:r>
      <w:r w:rsidRPr="00E61FD4">
        <w:rPr>
          <w:rFonts w:ascii="Times New Roman" w:hAnsi="Times New Roman" w:cs="Times New Roman"/>
        </w:rPr>
        <w:t xml:space="preserve"> or to any of the excipients </w:t>
      </w:r>
      <w:r w:rsidR="00374832" w:rsidRPr="00E61FD4">
        <w:rPr>
          <w:rFonts w:ascii="Times New Roman" w:hAnsi="Times New Roman" w:cs="Times New Roman"/>
        </w:rPr>
        <w:t xml:space="preserve">(see </w:t>
      </w:r>
      <w:r w:rsidRPr="00E61FD4">
        <w:rPr>
          <w:rFonts w:ascii="Times New Roman" w:hAnsi="Times New Roman" w:cs="Times New Roman"/>
        </w:rPr>
        <w:t>section 6.1</w:t>
      </w:r>
      <w:r w:rsidR="00374832" w:rsidRPr="00E61FD4">
        <w:rPr>
          <w:rFonts w:ascii="Times New Roman" w:hAnsi="Times New Roman" w:cs="Times New Roman"/>
        </w:rPr>
        <w:t>)</w:t>
      </w:r>
      <w:r w:rsidRPr="00E61FD4">
        <w:rPr>
          <w:rFonts w:ascii="Times New Roman" w:hAnsi="Times New Roman" w:cs="Times New Roman"/>
        </w:rPr>
        <w:t>.</w:t>
      </w:r>
    </w:p>
    <w:p w14:paraId="72348770" w14:textId="77777777" w:rsidR="004A5C79" w:rsidRPr="00E61FD4" w:rsidRDefault="004A5C79" w:rsidP="004A5C79">
      <w:pPr>
        <w:pStyle w:val="ListParagraph"/>
        <w:numPr>
          <w:ilvl w:val="0"/>
          <w:numId w:val="39"/>
        </w:numPr>
        <w:spacing w:after="120"/>
        <w:rPr>
          <w:rFonts w:ascii="Times New Roman" w:hAnsi="Times New Roman" w:cs="Times New Roman"/>
        </w:rPr>
      </w:pPr>
      <w:r w:rsidRPr="00E61FD4">
        <w:rPr>
          <w:rFonts w:ascii="Times New Roman" w:hAnsi="Times New Roman" w:cs="Times New Roman"/>
        </w:rPr>
        <w:t>Concomitant use with:</w:t>
      </w:r>
    </w:p>
    <w:p w14:paraId="643CC38E" w14:textId="1548B01C" w:rsidR="004A5C79" w:rsidRPr="00E61FD4" w:rsidRDefault="004A5C79" w:rsidP="004A5C79">
      <w:pPr>
        <w:pStyle w:val="ListParagraph"/>
        <w:numPr>
          <w:ilvl w:val="1"/>
          <w:numId w:val="39"/>
        </w:numPr>
        <w:spacing w:after="120"/>
        <w:rPr>
          <w:rFonts w:ascii="Times New Roman" w:hAnsi="Times New Roman" w:cs="Times New Roman"/>
        </w:rPr>
      </w:pPr>
      <w:r w:rsidRPr="00E61FD4">
        <w:rPr>
          <w:rFonts w:ascii="Times New Roman" w:hAnsi="Times New Roman" w:cs="Times New Roman"/>
        </w:rPr>
        <w:t>Moderate to strong CYP2C19 inhibitors or strong CYP3A4 inhibitors (see section 4.</w:t>
      </w:r>
      <w:r w:rsidR="00625194" w:rsidRPr="00E61FD4">
        <w:rPr>
          <w:rFonts w:ascii="Times New Roman" w:hAnsi="Times New Roman" w:cs="Times New Roman"/>
        </w:rPr>
        <w:t>4</w:t>
      </w:r>
      <w:r w:rsidRPr="00E61FD4">
        <w:rPr>
          <w:rFonts w:ascii="Times New Roman" w:hAnsi="Times New Roman" w:cs="Times New Roman"/>
        </w:rPr>
        <w:t xml:space="preserve"> Special Warnings and Precautions for Use and section 4.5 Interactions with other medicines and other forms of interaction)</w:t>
      </w:r>
    </w:p>
    <w:p w14:paraId="0A26FFC6" w14:textId="581FCCB1" w:rsidR="004A5C79" w:rsidRPr="00E61FD4" w:rsidRDefault="004A5C79" w:rsidP="004A5C79">
      <w:pPr>
        <w:pStyle w:val="ListParagraph"/>
        <w:numPr>
          <w:ilvl w:val="1"/>
          <w:numId w:val="39"/>
        </w:numPr>
        <w:spacing w:after="120"/>
        <w:rPr>
          <w:rFonts w:ascii="Times New Roman" w:hAnsi="Times New Roman" w:cs="Times New Roman"/>
        </w:rPr>
      </w:pPr>
      <w:r w:rsidRPr="00E61FD4">
        <w:rPr>
          <w:rFonts w:ascii="Times New Roman" w:hAnsi="Times New Roman" w:cs="Times New Roman"/>
        </w:rPr>
        <w:t>Moderate to strong CYP2C19 inducers or moderate to strong CYP3A4 inducers (see section 4.</w:t>
      </w:r>
      <w:r w:rsidR="00AB7F49" w:rsidRPr="00E61FD4">
        <w:rPr>
          <w:rFonts w:ascii="Times New Roman" w:hAnsi="Times New Roman" w:cs="Times New Roman"/>
        </w:rPr>
        <w:t>4</w:t>
      </w:r>
      <w:r w:rsidRPr="00E61FD4">
        <w:rPr>
          <w:rFonts w:ascii="Times New Roman" w:hAnsi="Times New Roman" w:cs="Times New Roman"/>
        </w:rPr>
        <w:t xml:space="preserve"> Special Warnings and Precautions for Use and section 4.5 Interactions with other medicines and other forms of interaction)</w:t>
      </w:r>
    </w:p>
    <w:p w14:paraId="335580A2" w14:textId="77777777" w:rsidR="004A5C79" w:rsidRPr="00E61FD4" w:rsidRDefault="004A5C79" w:rsidP="005723A2">
      <w:pPr>
        <w:spacing w:after="120"/>
        <w:rPr>
          <w:rFonts w:cs="Times New Roman"/>
        </w:rPr>
      </w:pPr>
    </w:p>
    <w:p w14:paraId="5BAFDE01" w14:textId="77777777" w:rsidR="001A3992" w:rsidRPr="00E61FD4" w:rsidRDefault="00E74A56" w:rsidP="009315FA">
      <w:pPr>
        <w:pStyle w:val="Heading2"/>
        <w:pageBreakBefore/>
        <w:ind w:left="811" w:hanging="811"/>
      </w:pPr>
      <w:r w:rsidRPr="00E61FD4">
        <w:lastRenderedPageBreak/>
        <w:t>Special warnings and p</w:t>
      </w:r>
      <w:r w:rsidR="001A3992" w:rsidRPr="00E61FD4">
        <w:t xml:space="preserve">recautions </w:t>
      </w:r>
      <w:r w:rsidRPr="00E61FD4">
        <w:t>for use</w:t>
      </w:r>
    </w:p>
    <w:p w14:paraId="04E4B93D" w14:textId="2D16AF03" w:rsidR="001A3992" w:rsidRPr="00E61FD4" w:rsidRDefault="006A5C4C" w:rsidP="008E41AB">
      <w:pPr>
        <w:pStyle w:val="Heading3"/>
      </w:pPr>
      <w:r w:rsidRPr="00E61FD4">
        <w:t>H</w:t>
      </w:r>
      <w:r w:rsidR="004A69BB" w:rsidRPr="00E61FD4">
        <w:t xml:space="preserve">eart failure </w:t>
      </w:r>
      <w:r w:rsidR="00607119" w:rsidRPr="00E61FD4">
        <w:t>with reduced ejection fraction</w:t>
      </w:r>
    </w:p>
    <w:p w14:paraId="3C92BB48" w14:textId="6AA4A020" w:rsidR="00FC5A81" w:rsidRPr="00E61FD4" w:rsidRDefault="00E5063D" w:rsidP="008C7DB1">
      <w:pPr>
        <w:spacing w:after="120"/>
        <w:rPr>
          <w:rFonts w:cs="Times New Roman"/>
        </w:rPr>
      </w:pPr>
      <w:r w:rsidRPr="00E61FD4">
        <w:rPr>
          <w:rFonts w:cs="Times New Roman"/>
        </w:rPr>
        <w:t>CAMZYOS</w:t>
      </w:r>
      <w:r w:rsidR="00FC5A81" w:rsidRPr="00E61FD4">
        <w:rPr>
          <w:rFonts w:cs="Times New Roman"/>
        </w:rPr>
        <w:t xml:space="preserve"> reduces LVEF and may cause </w:t>
      </w:r>
      <w:r w:rsidR="00C40A89" w:rsidRPr="00E61FD4">
        <w:rPr>
          <w:rFonts w:cs="Times New Roman"/>
        </w:rPr>
        <w:t>heart failure with reduced ejection fraction (</w:t>
      </w:r>
      <w:proofErr w:type="spellStart"/>
      <w:r w:rsidR="00C40A89" w:rsidRPr="00E61FD4">
        <w:rPr>
          <w:rFonts w:cs="Times New Roman"/>
        </w:rPr>
        <w:t>HFrEF</w:t>
      </w:r>
      <w:proofErr w:type="spellEnd"/>
      <w:r w:rsidR="00C40A89" w:rsidRPr="00E61FD4">
        <w:rPr>
          <w:rFonts w:cs="Times New Roman"/>
        </w:rPr>
        <w:t>)</w:t>
      </w:r>
      <w:r w:rsidR="00FC5A81" w:rsidRPr="00E61FD4">
        <w:rPr>
          <w:rFonts w:cs="Times New Roman"/>
        </w:rPr>
        <w:t xml:space="preserve"> defined</w:t>
      </w:r>
      <w:r w:rsidR="003819C5" w:rsidRPr="00E61FD4">
        <w:rPr>
          <w:rFonts w:cs="Times New Roman"/>
        </w:rPr>
        <w:t xml:space="preserve"> </w:t>
      </w:r>
      <w:r w:rsidR="00FC5A81" w:rsidRPr="00E61FD4">
        <w:rPr>
          <w:rFonts w:cs="Times New Roman"/>
        </w:rPr>
        <w:t xml:space="preserve">as symptomatic LVEF </w:t>
      </w:r>
      <w:proofErr w:type="gramStart"/>
      <w:r w:rsidR="00FC5A81" w:rsidRPr="00E61FD4">
        <w:rPr>
          <w:rFonts w:cs="Times New Roman"/>
        </w:rPr>
        <w:t xml:space="preserve">&lt; </w:t>
      </w:r>
      <w:r w:rsidR="004F2E3D" w:rsidRPr="00E61FD4">
        <w:rPr>
          <w:rFonts w:cs="Times New Roman"/>
        </w:rPr>
        <w:t> </w:t>
      </w:r>
      <w:r w:rsidR="00FC5A81" w:rsidRPr="00E61FD4">
        <w:rPr>
          <w:rFonts w:cs="Times New Roman"/>
        </w:rPr>
        <w:t>50</w:t>
      </w:r>
      <w:proofErr w:type="gramEnd"/>
      <w:r w:rsidR="00FC5A81" w:rsidRPr="00E61FD4">
        <w:rPr>
          <w:rFonts w:cs="Times New Roman"/>
        </w:rPr>
        <w:t xml:space="preserve">%. Patients with a serious intercurrent illness such as </w:t>
      </w:r>
      <w:r w:rsidR="008D1F7C" w:rsidRPr="00E61FD4">
        <w:rPr>
          <w:rFonts w:cs="Times New Roman"/>
        </w:rPr>
        <w:t xml:space="preserve">serious </w:t>
      </w:r>
      <w:r w:rsidR="00FC5A81" w:rsidRPr="00E61FD4">
        <w:rPr>
          <w:rFonts w:cs="Times New Roman"/>
        </w:rPr>
        <w:t>infections or</w:t>
      </w:r>
      <w:r w:rsidR="003819C5" w:rsidRPr="00E61FD4">
        <w:rPr>
          <w:rFonts w:cs="Times New Roman"/>
        </w:rPr>
        <w:t xml:space="preserve"> </w:t>
      </w:r>
      <w:r w:rsidR="00FC5A81" w:rsidRPr="00E61FD4">
        <w:rPr>
          <w:rFonts w:cs="Times New Roman"/>
        </w:rPr>
        <w:t>arrhythmia (including atrial fibrillation or other uncontrolled tachyarrhythmia) may be at greater</w:t>
      </w:r>
      <w:r w:rsidR="003819C5" w:rsidRPr="00E61FD4">
        <w:rPr>
          <w:rFonts w:cs="Times New Roman"/>
        </w:rPr>
        <w:t xml:space="preserve"> </w:t>
      </w:r>
      <w:r w:rsidR="00FC5A81" w:rsidRPr="00E61FD4">
        <w:rPr>
          <w:rFonts w:cs="Times New Roman"/>
        </w:rPr>
        <w:t xml:space="preserve">risk of systolic dysfunction and progress to heart failure (see </w:t>
      </w:r>
      <w:r w:rsidR="0055628E" w:rsidRPr="00E61FD4">
        <w:rPr>
          <w:rFonts w:cs="Times New Roman"/>
        </w:rPr>
        <w:t>4.8 Adverse effects (</w:t>
      </w:r>
      <w:r w:rsidR="00C54763" w:rsidRPr="00E61FD4">
        <w:rPr>
          <w:rFonts w:cs="Times New Roman"/>
        </w:rPr>
        <w:t>Undesirable effects</w:t>
      </w:r>
      <w:r w:rsidR="00FC5A81" w:rsidRPr="00E61FD4">
        <w:rPr>
          <w:rFonts w:cs="Times New Roman"/>
        </w:rPr>
        <w:t>). New or worsening</w:t>
      </w:r>
      <w:r w:rsidR="003819C5" w:rsidRPr="00E61FD4">
        <w:rPr>
          <w:rFonts w:cs="Times New Roman"/>
        </w:rPr>
        <w:t xml:space="preserve"> </w:t>
      </w:r>
      <w:r w:rsidR="00AD6BAD" w:rsidRPr="00E61FD4">
        <w:rPr>
          <w:rFonts w:cs="Times New Roman"/>
        </w:rPr>
        <w:t>dyspnoea</w:t>
      </w:r>
      <w:r w:rsidR="00FC5A81" w:rsidRPr="00E61FD4">
        <w:rPr>
          <w:rFonts w:cs="Times New Roman"/>
        </w:rPr>
        <w:t xml:space="preserve">, chest pain, fatigue, palpitations, leg </w:t>
      </w:r>
      <w:r w:rsidR="00AD6BAD" w:rsidRPr="00E61FD4">
        <w:rPr>
          <w:rFonts w:cs="Times New Roman"/>
        </w:rPr>
        <w:t>oedema</w:t>
      </w:r>
      <w:r w:rsidR="00FC5A81" w:rsidRPr="00E61FD4">
        <w:rPr>
          <w:rFonts w:cs="Times New Roman"/>
        </w:rPr>
        <w:t xml:space="preserve"> or elevations in N-terminal (NT)-pro</w:t>
      </w:r>
      <w:r w:rsidR="003819C5" w:rsidRPr="00E61FD4">
        <w:rPr>
          <w:rFonts w:cs="Times New Roman"/>
        </w:rPr>
        <w:t xml:space="preserve"> </w:t>
      </w:r>
      <w:r w:rsidR="00FC5A81" w:rsidRPr="00E61FD4">
        <w:rPr>
          <w:rFonts w:cs="Times New Roman"/>
        </w:rPr>
        <w:t>hormone b-type natriuretic peptide (NT-</w:t>
      </w:r>
      <w:proofErr w:type="spellStart"/>
      <w:r w:rsidR="00FC5A81" w:rsidRPr="00E61FD4">
        <w:rPr>
          <w:rFonts w:cs="Times New Roman"/>
        </w:rPr>
        <w:t>proBNP</w:t>
      </w:r>
      <w:proofErr w:type="spellEnd"/>
      <w:r w:rsidR="00FC5A81" w:rsidRPr="00E61FD4">
        <w:rPr>
          <w:rFonts w:cs="Times New Roman"/>
        </w:rPr>
        <w:t xml:space="preserve">) may be signs and symptoms of </w:t>
      </w:r>
      <w:r w:rsidR="00C445D5" w:rsidRPr="00E61FD4">
        <w:rPr>
          <w:rFonts w:cs="Times New Roman"/>
        </w:rPr>
        <w:t>a reduced LVEF</w:t>
      </w:r>
      <w:r w:rsidR="00FC5A81" w:rsidRPr="00E61FD4">
        <w:rPr>
          <w:rFonts w:cs="Times New Roman"/>
        </w:rPr>
        <w:t xml:space="preserve"> and should prompt an evaluation of cardiac function. LVEF should be measured</w:t>
      </w:r>
      <w:r w:rsidR="003819C5" w:rsidRPr="00E61FD4">
        <w:rPr>
          <w:rFonts w:cs="Times New Roman"/>
        </w:rPr>
        <w:t xml:space="preserve"> </w:t>
      </w:r>
      <w:r w:rsidR="00FC5A81" w:rsidRPr="00E61FD4">
        <w:rPr>
          <w:rFonts w:cs="Times New Roman"/>
        </w:rPr>
        <w:t xml:space="preserve">prior to initiating treatment and closely monitored thereafter. </w:t>
      </w:r>
      <w:r w:rsidR="006E4605" w:rsidRPr="00E61FD4">
        <w:rPr>
          <w:rFonts w:cs="Times New Roman"/>
        </w:rPr>
        <w:t xml:space="preserve">Treatment with CAMZYOS should not be initiated in patients with LVEF &lt; 55%. </w:t>
      </w:r>
      <w:r w:rsidR="00FC5A81" w:rsidRPr="00E61FD4">
        <w:rPr>
          <w:rFonts w:cs="Times New Roman"/>
        </w:rPr>
        <w:t>Treatment interruption may be</w:t>
      </w:r>
      <w:r w:rsidR="003819C5" w:rsidRPr="00E61FD4">
        <w:rPr>
          <w:rFonts w:cs="Times New Roman"/>
        </w:rPr>
        <w:t xml:space="preserve"> </w:t>
      </w:r>
      <w:r w:rsidR="00FC5A81" w:rsidRPr="00E61FD4">
        <w:rPr>
          <w:rFonts w:cs="Times New Roman"/>
        </w:rPr>
        <w:t xml:space="preserve">necessary to ensure that LVEF remains </w:t>
      </w:r>
      <w:r w:rsidR="00FC5A81" w:rsidRPr="00E61FD4">
        <w:rPr>
          <w:rFonts w:cs="Times New Roman" w:hint="eastAsia"/>
        </w:rPr>
        <w:t>≥</w:t>
      </w:r>
      <w:r w:rsidR="004F2E3D" w:rsidRPr="00E61FD4">
        <w:rPr>
          <w:rFonts w:cs="Times New Roman"/>
        </w:rPr>
        <w:t> </w:t>
      </w:r>
      <w:r w:rsidR="00FC5A81" w:rsidRPr="00E61FD4">
        <w:rPr>
          <w:rFonts w:cs="Times New Roman"/>
        </w:rPr>
        <w:t xml:space="preserve">50% (see </w:t>
      </w:r>
      <w:r w:rsidR="008A0A7A" w:rsidRPr="00E61FD4">
        <w:rPr>
          <w:rFonts w:cs="Times New Roman"/>
        </w:rPr>
        <w:t>4.2 Dose and method of administration</w:t>
      </w:r>
      <w:r w:rsidR="00FC5A81" w:rsidRPr="00E61FD4">
        <w:rPr>
          <w:rFonts w:cs="Times New Roman"/>
        </w:rPr>
        <w:t>).</w:t>
      </w:r>
    </w:p>
    <w:p w14:paraId="7A77BEBF" w14:textId="04A72242" w:rsidR="005E1323" w:rsidRPr="00E61FD4" w:rsidRDefault="005E1323" w:rsidP="008E41AB">
      <w:pPr>
        <w:pStyle w:val="Heading3"/>
      </w:pPr>
      <w:r w:rsidRPr="00E61FD4">
        <w:t>Risk of heart failure or loss of response to mavacamten due to drug-drug interactions</w:t>
      </w:r>
    </w:p>
    <w:p w14:paraId="10F083CE" w14:textId="64834AA9" w:rsidR="00AB6750" w:rsidRPr="00E61FD4" w:rsidRDefault="00AB6750" w:rsidP="00AB6750">
      <w:pPr>
        <w:spacing w:after="120"/>
        <w:rPr>
          <w:rFonts w:cs="Times New Roman"/>
        </w:rPr>
      </w:pPr>
      <w:r w:rsidRPr="00E61FD4">
        <w:rPr>
          <w:rFonts w:cs="Times New Roman"/>
        </w:rPr>
        <w:t>CAMZYOS is primarily metabolised by cytochrome P450 (CYP) 2C19 and CYP 3A4 enzymes</w:t>
      </w:r>
      <w:r w:rsidR="00194D03" w:rsidRPr="00E61FD4">
        <w:rPr>
          <w:rFonts w:cs="Times New Roman"/>
        </w:rPr>
        <w:t xml:space="preserve">. Concomitant administration of </w:t>
      </w:r>
      <w:r w:rsidR="003D7821" w:rsidRPr="00E61FD4">
        <w:rPr>
          <w:rFonts w:cs="Times New Roman"/>
        </w:rPr>
        <w:t>CAMZYOS with CYP2C19 or CYP3A4 inhibitors or inducers</w:t>
      </w:r>
      <w:r w:rsidRPr="00E61FD4">
        <w:rPr>
          <w:rFonts w:cs="Times New Roman"/>
        </w:rPr>
        <w:t xml:space="preserve"> may lead to </w:t>
      </w:r>
      <w:r w:rsidR="005A7EF8" w:rsidRPr="00E61FD4">
        <w:rPr>
          <w:rFonts w:cs="Times New Roman"/>
        </w:rPr>
        <w:t>increase</w:t>
      </w:r>
      <w:r w:rsidR="00E02B26" w:rsidRPr="00E61FD4">
        <w:rPr>
          <w:rFonts w:cs="Times New Roman"/>
        </w:rPr>
        <w:t>d</w:t>
      </w:r>
      <w:r w:rsidR="005A7EF8" w:rsidRPr="00E61FD4">
        <w:rPr>
          <w:rFonts w:cs="Times New Roman"/>
        </w:rPr>
        <w:t xml:space="preserve"> risk of </w:t>
      </w:r>
      <w:proofErr w:type="spellStart"/>
      <w:r w:rsidR="005A7EF8" w:rsidRPr="00E61FD4">
        <w:rPr>
          <w:rFonts w:cs="Times New Roman"/>
        </w:rPr>
        <w:t>HFrEF</w:t>
      </w:r>
      <w:proofErr w:type="spellEnd"/>
      <w:r w:rsidR="005A7EF8" w:rsidRPr="00E61FD4">
        <w:rPr>
          <w:rFonts w:cs="Times New Roman"/>
        </w:rPr>
        <w:t xml:space="preserve"> or a loss of therapeutic response </w:t>
      </w:r>
      <w:r w:rsidRPr="00E61FD4">
        <w:rPr>
          <w:rFonts w:cs="Times New Roman"/>
        </w:rPr>
        <w:t>(</w:t>
      </w:r>
      <w:r w:rsidR="005878B2" w:rsidRPr="00E61FD4">
        <w:rPr>
          <w:rFonts w:cs="Times New Roman"/>
        </w:rPr>
        <w:t xml:space="preserve">see section 4.3 Contraindications and </w:t>
      </w:r>
      <w:r w:rsidR="007B624B" w:rsidRPr="00E61FD4">
        <w:rPr>
          <w:rFonts w:cs="Times New Roman"/>
        </w:rPr>
        <w:t xml:space="preserve">section </w:t>
      </w:r>
      <w:r w:rsidRPr="00E61FD4">
        <w:rPr>
          <w:rFonts w:cs="Times New Roman"/>
        </w:rPr>
        <w:t>4.5 Interactions with other medicines and other forms of interactions):</w:t>
      </w:r>
    </w:p>
    <w:p w14:paraId="43502544" w14:textId="1A1673CA" w:rsidR="00AB6750" w:rsidRPr="00E61FD4" w:rsidRDefault="00AB6750" w:rsidP="00AB6750">
      <w:pPr>
        <w:spacing w:after="120"/>
        <w:rPr>
          <w:rFonts w:cs="Times New Roman"/>
        </w:rPr>
      </w:pPr>
      <w:r w:rsidRPr="00E61FD4">
        <w:rPr>
          <w:rFonts w:cs="Times New Roman"/>
        </w:rPr>
        <w:t xml:space="preserve">Prior to and during CAMZYOS treatment, the potential for drug interactions, including over-the-counter medications (such as omeprazole or esomeprazole), should be considered. </w:t>
      </w:r>
      <w:r w:rsidR="007B624B" w:rsidRPr="00E61FD4">
        <w:rPr>
          <w:rFonts w:cs="Times New Roman"/>
        </w:rPr>
        <w:t>Advise patients to inform their healthcare provider of all concomitant products prior to and during CAMYZOS treatment</w:t>
      </w:r>
      <w:r w:rsidR="00126F3E" w:rsidRPr="00E61FD4">
        <w:rPr>
          <w:rFonts w:cs="Times New Roman"/>
        </w:rPr>
        <w:t xml:space="preserve">. </w:t>
      </w:r>
    </w:p>
    <w:p w14:paraId="03E1C1D2" w14:textId="77777777" w:rsidR="00A72CDD" w:rsidRPr="00E61FD4" w:rsidRDefault="00A72CDD" w:rsidP="000143BD">
      <w:pPr>
        <w:pStyle w:val="Heading4"/>
      </w:pPr>
      <w:r w:rsidRPr="00E61FD4">
        <w:t>Concomitant use of negative inotropes</w:t>
      </w:r>
    </w:p>
    <w:p w14:paraId="287EA21A" w14:textId="6A64D762" w:rsidR="005E1323" w:rsidRPr="00E61FD4" w:rsidRDefault="008C7DB1" w:rsidP="008C7DB1">
      <w:pPr>
        <w:spacing w:after="120"/>
        <w:rPr>
          <w:rFonts w:cs="Times New Roman"/>
        </w:rPr>
      </w:pPr>
      <w:r w:rsidRPr="00E61FD4">
        <w:rPr>
          <w:rFonts w:cs="Times New Roman"/>
        </w:rPr>
        <w:t xml:space="preserve">The concomitant use of </w:t>
      </w:r>
      <w:r w:rsidR="00E5063D" w:rsidRPr="00E61FD4">
        <w:rPr>
          <w:rFonts w:cs="Times New Roman"/>
        </w:rPr>
        <w:t>CAMZYOS</w:t>
      </w:r>
      <w:r w:rsidRPr="00E61FD4">
        <w:rPr>
          <w:rFonts w:cs="Times New Roman"/>
        </w:rPr>
        <w:t xml:space="preserve"> with disopyramide or use of </w:t>
      </w:r>
      <w:r w:rsidR="00E5063D" w:rsidRPr="00E61FD4">
        <w:rPr>
          <w:rFonts w:cs="Times New Roman"/>
        </w:rPr>
        <w:t>CAMZYOS</w:t>
      </w:r>
      <w:r w:rsidRPr="00E61FD4">
        <w:rPr>
          <w:rFonts w:cs="Times New Roman"/>
        </w:rPr>
        <w:t xml:space="preserve"> in</w:t>
      </w:r>
      <w:r w:rsidR="00C21E4A" w:rsidRPr="00E61FD4">
        <w:rPr>
          <w:rFonts w:cs="Times New Roman"/>
        </w:rPr>
        <w:t xml:space="preserve"> </w:t>
      </w:r>
      <w:r w:rsidRPr="00E61FD4">
        <w:rPr>
          <w:rFonts w:cs="Times New Roman"/>
        </w:rPr>
        <w:t>patients taking beta blockers in combination with verapamil or diltiazem has not been studied.</w:t>
      </w:r>
      <w:r w:rsidR="00D77AC5" w:rsidRPr="00E61FD4">
        <w:rPr>
          <w:rFonts w:cs="Times New Roman"/>
        </w:rPr>
        <w:t xml:space="preserve"> </w:t>
      </w:r>
      <w:r w:rsidRPr="00E61FD4">
        <w:rPr>
          <w:rFonts w:cs="Times New Roman"/>
        </w:rPr>
        <w:t>Therefore, caution should be used when taking these concomitant medications and patients</w:t>
      </w:r>
      <w:r w:rsidR="00C21E4A" w:rsidRPr="00E61FD4">
        <w:rPr>
          <w:rFonts w:cs="Times New Roman"/>
        </w:rPr>
        <w:t xml:space="preserve"> </w:t>
      </w:r>
      <w:r w:rsidRPr="00E61FD4">
        <w:rPr>
          <w:rFonts w:cs="Times New Roman"/>
        </w:rPr>
        <w:t>should be closely monitored (</w:t>
      </w:r>
      <w:r w:rsidR="008B0019" w:rsidRPr="00E61FD4">
        <w:rPr>
          <w:rFonts w:cs="Times New Roman"/>
        </w:rPr>
        <w:t>see 4.5</w:t>
      </w:r>
      <w:r w:rsidR="00B7105B" w:rsidRPr="00E61FD4">
        <w:rPr>
          <w:rFonts w:cs="Times New Roman"/>
        </w:rPr>
        <w:t> </w:t>
      </w:r>
      <w:r w:rsidR="008B0019" w:rsidRPr="00E61FD4">
        <w:rPr>
          <w:rFonts w:cs="Times New Roman"/>
        </w:rPr>
        <w:t>Interactions with other medicines and other forms of interactions</w:t>
      </w:r>
      <w:r w:rsidRPr="00E61FD4">
        <w:rPr>
          <w:rFonts w:cs="Times New Roman"/>
        </w:rPr>
        <w:t>).</w:t>
      </w:r>
    </w:p>
    <w:p w14:paraId="09ACFD7E" w14:textId="74167E46" w:rsidR="006E23A4" w:rsidRPr="00E61FD4" w:rsidRDefault="006E23A4" w:rsidP="008E41AB">
      <w:pPr>
        <w:pStyle w:val="Heading3"/>
      </w:pPr>
      <w:r w:rsidRPr="00E61FD4">
        <w:t>Embryo-</w:t>
      </w:r>
      <w:proofErr w:type="spellStart"/>
      <w:r w:rsidR="008976A0" w:rsidRPr="00E61FD4">
        <w:t>fetal</w:t>
      </w:r>
      <w:proofErr w:type="spellEnd"/>
      <w:r w:rsidRPr="00E61FD4">
        <w:t xml:space="preserve"> toxicity</w:t>
      </w:r>
    </w:p>
    <w:p w14:paraId="61EBBA81" w14:textId="6A82F40A" w:rsidR="006E23A4" w:rsidRPr="00E61FD4" w:rsidRDefault="006E23A4" w:rsidP="006E23A4">
      <w:pPr>
        <w:spacing w:after="120"/>
        <w:rPr>
          <w:rFonts w:cs="Times New Roman"/>
        </w:rPr>
      </w:pPr>
      <w:r w:rsidRPr="00E61FD4">
        <w:rPr>
          <w:rFonts w:cs="Times New Roman"/>
        </w:rPr>
        <w:t xml:space="preserve">Based on animal studies, </w:t>
      </w:r>
      <w:proofErr w:type="spellStart"/>
      <w:r w:rsidRPr="00E61FD4">
        <w:rPr>
          <w:rFonts w:cs="Times New Roman"/>
        </w:rPr>
        <w:t>mavacamten</w:t>
      </w:r>
      <w:proofErr w:type="spellEnd"/>
      <w:r w:rsidRPr="00E61FD4">
        <w:rPr>
          <w:rFonts w:cs="Times New Roman"/>
        </w:rPr>
        <w:t xml:space="preserve"> may cause embryo-</w:t>
      </w:r>
      <w:proofErr w:type="spellStart"/>
      <w:r w:rsidR="008976A0" w:rsidRPr="00E61FD4">
        <w:rPr>
          <w:rFonts w:cs="Times New Roman"/>
        </w:rPr>
        <w:t>fetal</w:t>
      </w:r>
      <w:proofErr w:type="spellEnd"/>
      <w:r w:rsidRPr="00E61FD4">
        <w:rPr>
          <w:rFonts w:cs="Times New Roman"/>
        </w:rPr>
        <w:t xml:space="preserve"> harm when administered to a pregnant woman. Women of childbearing potential and women becoming pregnant while receiving the treatment should be informed of the potential risk to the </w:t>
      </w:r>
      <w:proofErr w:type="spellStart"/>
      <w:r w:rsidR="00497937" w:rsidRPr="00E61FD4">
        <w:rPr>
          <w:rFonts w:cs="Times New Roman"/>
        </w:rPr>
        <w:t>fetus</w:t>
      </w:r>
      <w:proofErr w:type="spellEnd"/>
      <w:r w:rsidRPr="00E61FD4">
        <w:rPr>
          <w:rFonts w:cs="Times New Roman"/>
        </w:rPr>
        <w:t xml:space="preserve">. Women of childbearing potential </w:t>
      </w:r>
      <w:proofErr w:type="gramStart"/>
      <w:r w:rsidRPr="00E61FD4">
        <w:rPr>
          <w:rFonts w:cs="Times New Roman"/>
        </w:rPr>
        <w:t>have to</w:t>
      </w:r>
      <w:proofErr w:type="gramEnd"/>
      <w:r w:rsidRPr="00E61FD4">
        <w:rPr>
          <w:rFonts w:cs="Times New Roman"/>
        </w:rPr>
        <w:t xml:space="preserve"> use highly effective contraception during treatment with </w:t>
      </w:r>
      <w:r w:rsidR="00E5063D" w:rsidRPr="00E61FD4">
        <w:rPr>
          <w:rFonts w:cs="Times New Roman"/>
        </w:rPr>
        <w:t>CAMZYOS</w:t>
      </w:r>
      <w:r w:rsidRPr="00E61FD4">
        <w:rPr>
          <w:rFonts w:cs="Times New Roman"/>
        </w:rPr>
        <w:t xml:space="preserve"> </w:t>
      </w:r>
      <w:r w:rsidR="00031F04" w:rsidRPr="00E61FD4">
        <w:rPr>
          <w:rFonts w:cs="Times New Roman"/>
        </w:rPr>
        <w:t xml:space="preserve">and </w:t>
      </w:r>
      <w:r w:rsidRPr="00E61FD4">
        <w:rPr>
          <w:rFonts w:cs="Times New Roman"/>
        </w:rPr>
        <w:t>for at least 4</w:t>
      </w:r>
      <w:r w:rsidR="00B7105B" w:rsidRPr="00E61FD4">
        <w:rPr>
          <w:rFonts w:cs="Times New Roman"/>
        </w:rPr>
        <w:t> </w:t>
      </w:r>
      <w:r w:rsidRPr="00E61FD4">
        <w:rPr>
          <w:rFonts w:cs="Times New Roman"/>
        </w:rPr>
        <w:t>months after discontinuing treatment</w:t>
      </w:r>
      <w:r w:rsidR="00154EB6" w:rsidRPr="00E61FD4">
        <w:rPr>
          <w:rFonts w:cs="Times New Roman"/>
        </w:rPr>
        <w:t xml:space="preserve"> (see 4.6 Fertility, pregnancy and lactation)</w:t>
      </w:r>
      <w:r w:rsidR="00497937" w:rsidRPr="00E61FD4">
        <w:rPr>
          <w:rFonts w:cs="Times New Roman"/>
        </w:rPr>
        <w:t>.</w:t>
      </w:r>
    </w:p>
    <w:p w14:paraId="09F73940" w14:textId="6B3FF54C" w:rsidR="00B17BF0" w:rsidRPr="00E61FD4" w:rsidRDefault="00B17BF0" w:rsidP="008E41AB">
      <w:pPr>
        <w:pStyle w:val="Heading3"/>
      </w:pPr>
      <w:r w:rsidRPr="00E61FD4">
        <w:t>Use in hepatic impairment</w:t>
      </w:r>
    </w:p>
    <w:p w14:paraId="72A62642" w14:textId="612B9B8B" w:rsidR="003768FC" w:rsidRPr="00E61FD4" w:rsidRDefault="005621DB" w:rsidP="003768FC">
      <w:pPr>
        <w:spacing w:after="120"/>
        <w:rPr>
          <w:rFonts w:cs="Times New Roman"/>
        </w:rPr>
      </w:pPr>
      <w:r w:rsidRPr="00E61FD4">
        <w:t xml:space="preserve">Caution should be used in patients with severe (Child-Pugh class C) hepatic impairment, as </w:t>
      </w:r>
      <w:r w:rsidR="003436D7" w:rsidRPr="00E61FD4">
        <w:t>CAMZYOS</w:t>
      </w:r>
      <w:r w:rsidRPr="00E61FD4">
        <w:t xml:space="preserve"> has not been studied in this population (see section 9.3.5.2)</w:t>
      </w:r>
      <w:r w:rsidR="003768FC" w:rsidRPr="00E61FD4">
        <w:rPr>
          <w:rFonts w:cs="Times New Roman"/>
        </w:rPr>
        <w:t xml:space="preserve"> (see 5.2 Pharmacokinetic properties, Special populations).</w:t>
      </w:r>
    </w:p>
    <w:p w14:paraId="479EEAA8" w14:textId="6A2F7B8F" w:rsidR="00B17BF0" w:rsidRPr="00E61FD4" w:rsidRDefault="00B17BF0" w:rsidP="008E41AB">
      <w:pPr>
        <w:pStyle w:val="Heading3"/>
      </w:pPr>
      <w:r w:rsidRPr="00E61FD4">
        <w:t>Use in renal impairment</w:t>
      </w:r>
    </w:p>
    <w:p w14:paraId="4355ACC3" w14:textId="35267809" w:rsidR="003768FC" w:rsidRPr="00E61FD4" w:rsidRDefault="00E275E5" w:rsidP="003768FC">
      <w:pPr>
        <w:spacing w:after="120"/>
        <w:rPr>
          <w:rFonts w:cs="Times New Roman"/>
        </w:rPr>
      </w:pPr>
      <w:r w:rsidRPr="00E61FD4">
        <w:rPr>
          <w:rFonts w:cs="Calibri"/>
        </w:rPr>
        <w:t xml:space="preserve">Caution should be used in patients with severe (eGFR &lt; 30 mL/min/1.73m2) renal impairment, as </w:t>
      </w:r>
      <w:r w:rsidR="00E67BB8" w:rsidRPr="00E61FD4">
        <w:rPr>
          <w:rFonts w:cs="Calibri"/>
        </w:rPr>
        <w:t>CAMZYOS</w:t>
      </w:r>
      <w:r w:rsidRPr="00E61FD4">
        <w:rPr>
          <w:rFonts w:cs="Calibri"/>
        </w:rPr>
        <w:t xml:space="preserve"> has not been studied in this population </w:t>
      </w:r>
      <w:r w:rsidR="003768FC" w:rsidRPr="00E61FD4">
        <w:rPr>
          <w:rFonts w:cs="Times New Roman"/>
        </w:rPr>
        <w:t>(see 5.2 Pharmacokinetic properties, Special populations).</w:t>
      </w:r>
    </w:p>
    <w:p w14:paraId="447818EB" w14:textId="71BF2ED2" w:rsidR="00B17BF0" w:rsidRPr="00E61FD4" w:rsidRDefault="00B17BF0" w:rsidP="008E41AB">
      <w:pPr>
        <w:pStyle w:val="Heading3"/>
      </w:pPr>
      <w:r w:rsidRPr="00E61FD4">
        <w:t>Use in the elderly</w:t>
      </w:r>
    </w:p>
    <w:p w14:paraId="69B81F58" w14:textId="012A6939" w:rsidR="00270C4A" w:rsidRPr="00E61FD4" w:rsidRDefault="007B6285" w:rsidP="00AE35AF">
      <w:pPr>
        <w:spacing w:after="120"/>
        <w:rPr>
          <w:rFonts w:cs="Times New Roman"/>
        </w:rPr>
      </w:pPr>
      <w:r w:rsidRPr="00E61FD4">
        <w:rPr>
          <w:rFonts w:cs="Times New Roman"/>
        </w:rPr>
        <w:t>Safety, effectiveness, and pharmacokinetics were consistent between elderly patients (</w:t>
      </w:r>
      <w:r w:rsidRPr="00E61FD4">
        <w:rPr>
          <w:rFonts w:cs="Times New Roman" w:hint="eastAsia"/>
        </w:rPr>
        <w:t>≥</w:t>
      </w:r>
      <w:r w:rsidRPr="00E61FD4">
        <w:rPr>
          <w:rFonts w:cs="Times New Roman"/>
        </w:rPr>
        <w:t xml:space="preserve"> 65 years) and younger patients (18 to &lt; 65 years) </w:t>
      </w:r>
      <w:r w:rsidR="00AE35AF" w:rsidRPr="00E61FD4">
        <w:t>(</w:t>
      </w:r>
      <w:r w:rsidR="00AE35AF" w:rsidRPr="00E61FD4">
        <w:rPr>
          <w:rFonts w:cs="Times New Roman"/>
        </w:rPr>
        <w:t>see 5.2 Pharmacokinetic properties, Special populations).</w:t>
      </w:r>
      <w:r w:rsidR="00292E43" w:rsidRPr="00E61FD4">
        <w:t xml:space="preserve"> </w:t>
      </w:r>
    </w:p>
    <w:p w14:paraId="593F9412" w14:textId="7836024F" w:rsidR="00B17BF0" w:rsidRPr="00E61FD4" w:rsidRDefault="00B17BF0" w:rsidP="008E41AB">
      <w:pPr>
        <w:pStyle w:val="Heading3"/>
      </w:pPr>
      <w:r w:rsidRPr="00E61FD4">
        <w:lastRenderedPageBreak/>
        <w:t>Paediatric use</w:t>
      </w:r>
    </w:p>
    <w:p w14:paraId="455CE7B0" w14:textId="4482C7BF" w:rsidR="00270C4A" w:rsidRPr="00E61FD4" w:rsidRDefault="00270C4A" w:rsidP="00821173">
      <w:r w:rsidRPr="00E61FD4">
        <w:t>No data available.</w:t>
      </w:r>
    </w:p>
    <w:p w14:paraId="602BBE7F" w14:textId="1095F09C" w:rsidR="00B17BF0" w:rsidRPr="00E61FD4" w:rsidRDefault="00B17BF0" w:rsidP="008E41AB">
      <w:pPr>
        <w:pStyle w:val="Heading3"/>
      </w:pPr>
      <w:r w:rsidRPr="00E61FD4">
        <w:t>Effects</w:t>
      </w:r>
      <w:r w:rsidR="00223EAE" w:rsidRPr="00E61FD4">
        <w:t xml:space="preserve"> on laboratory tests</w:t>
      </w:r>
    </w:p>
    <w:p w14:paraId="7284AD6E" w14:textId="70E892FB" w:rsidR="00270C4A" w:rsidRPr="00E61FD4" w:rsidRDefault="00A151AD" w:rsidP="00821173">
      <w:bookmarkStart w:id="1" w:name="_Hlk108603964"/>
      <w:r w:rsidRPr="00E61FD4">
        <w:t>The effects of CAMZYOS on laboratory tests were not considered clinically significant</w:t>
      </w:r>
      <w:r w:rsidR="00270C4A" w:rsidRPr="00E61FD4">
        <w:t>.</w:t>
      </w:r>
    </w:p>
    <w:bookmarkEnd w:id="1"/>
    <w:p w14:paraId="37896E24" w14:textId="77777777" w:rsidR="001A3992" w:rsidRPr="00E61FD4" w:rsidRDefault="001A3992" w:rsidP="008E41AB">
      <w:pPr>
        <w:pStyle w:val="Heading2"/>
      </w:pPr>
      <w:r w:rsidRPr="00E61FD4">
        <w:t>Interactions with other medicines and other forms of interactions</w:t>
      </w:r>
    </w:p>
    <w:p w14:paraId="22C9F8FE" w14:textId="604703EC" w:rsidR="00AA3327" w:rsidRPr="00E61FD4" w:rsidRDefault="00AA3327" w:rsidP="008E41AB">
      <w:pPr>
        <w:pStyle w:val="Heading3"/>
      </w:pPr>
      <w:r w:rsidRPr="00E61FD4">
        <w:t xml:space="preserve">Effect of other drugs on </w:t>
      </w:r>
      <w:r w:rsidR="00E5063D" w:rsidRPr="00E61FD4">
        <w:t>CAMZYOS</w:t>
      </w:r>
    </w:p>
    <w:p w14:paraId="3763A722" w14:textId="5BDB5C2D" w:rsidR="00AA3327" w:rsidRPr="00E61FD4" w:rsidRDefault="00E5063D" w:rsidP="00081D3B">
      <w:pPr>
        <w:spacing w:after="120"/>
        <w:rPr>
          <w:rFonts w:cs="Times New Roman"/>
        </w:rPr>
      </w:pPr>
      <w:r w:rsidRPr="00E61FD4">
        <w:rPr>
          <w:rFonts w:cs="Times New Roman"/>
        </w:rPr>
        <w:t>CAMZYOS</w:t>
      </w:r>
      <w:r w:rsidR="00AA3327" w:rsidRPr="00E61FD4">
        <w:rPr>
          <w:rFonts w:cs="Times New Roman"/>
        </w:rPr>
        <w:t xml:space="preserve"> is primarily metaboli</w:t>
      </w:r>
      <w:r w:rsidR="0078144F" w:rsidRPr="00E61FD4">
        <w:rPr>
          <w:rFonts w:cs="Times New Roman"/>
        </w:rPr>
        <w:t>s</w:t>
      </w:r>
      <w:r w:rsidR="00AA3327" w:rsidRPr="00E61FD4">
        <w:rPr>
          <w:rFonts w:cs="Times New Roman"/>
        </w:rPr>
        <w:t>ed by CYP2C19 and to a lesser extent by CYP3A4.</w:t>
      </w:r>
      <w:r w:rsidR="00081D3B" w:rsidRPr="00E61FD4">
        <w:rPr>
          <w:rFonts w:cs="Times New Roman"/>
        </w:rPr>
        <w:t xml:space="preserve"> </w:t>
      </w:r>
      <w:r w:rsidR="00AA3327" w:rsidRPr="00E61FD4">
        <w:rPr>
          <w:rFonts w:cs="Times New Roman"/>
        </w:rPr>
        <w:t>Strong CYP3A4 inhibitors</w:t>
      </w:r>
      <w:r w:rsidR="00556C17" w:rsidRPr="00E61FD4">
        <w:rPr>
          <w:rFonts w:cs="Times New Roman"/>
        </w:rPr>
        <w:t>/ inducers</w:t>
      </w:r>
      <w:r w:rsidR="00AA3327" w:rsidRPr="00E61FD4">
        <w:rPr>
          <w:rFonts w:cs="Times New Roman"/>
        </w:rPr>
        <w:t xml:space="preserve"> or any CYP2C19 inhibitors</w:t>
      </w:r>
      <w:r w:rsidR="00556C17" w:rsidRPr="00E61FD4">
        <w:rPr>
          <w:rFonts w:cs="Times New Roman"/>
        </w:rPr>
        <w:t>/ inducers</w:t>
      </w:r>
      <w:r w:rsidR="00AA3327" w:rsidRPr="00E61FD4">
        <w:rPr>
          <w:rFonts w:cs="Times New Roman"/>
        </w:rPr>
        <w:t xml:space="preserve"> may thus affect the clearance of</w:t>
      </w:r>
      <w:r w:rsidR="00081D3B" w:rsidRPr="00E61FD4">
        <w:rPr>
          <w:rFonts w:cs="Times New Roman"/>
        </w:rPr>
        <w:t xml:space="preserve"> </w:t>
      </w:r>
      <w:r w:rsidRPr="00E61FD4">
        <w:rPr>
          <w:rFonts w:cs="Times New Roman"/>
        </w:rPr>
        <w:t>CAMZYOS</w:t>
      </w:r>
      <w:r w:rsidR="00AA3327" w:rsidRPr="00E61FD4">
        <w:rPr>
          <w:rFonts w:cs="Times New Roman"/>
        </w:rPr>
        <w:t xml:space="preserve"> and </w:t>
      </w:r>
      <w:r w:rsidR="00D06BD0" w:rsidRPr="00E61FD4">
        <w:rPr>
          <w:rFonts w:cs="Times New Roman"/>
        </w:rPr>
        <w:t xml:space="preserve">increase/decrease </w:t>
      </w:r>
      <w:r w:rsidRPr="00E61FD4">
        <w:rPr>
          <w:rFonts w:cs="Times New Roman"/>
        </w:rPr>
        <w:t>CAMZYOS</w:t>
      </w:r>
      <w:r w:rsidR="00AA3327" w:rsidRPr="00E61FD4">
        <w:rPr>
          <w:rFonts w:cs="Times New Roman"/>
        </w:rPr>
        <w:t xml:space="preserve"> plasma concentration</w:t>
      </w:r>
      <w:r w:rsidR="005104B0" w:rsidRPr="00E61FD4">
        <w:rPr>
          <w:rFonts w:cs="Times New Roman"/>
        </w:rPr>
        <w:t xml:space="preserve"> (see 4.4 Special warnings and precautions)</w:t>
      </w:r>
      <w:r w:rsidR="00AA3327" w:rsidRPr="00E61FD4">
        <w:rPr>
          <w:rFonts w:cs="Times New Roman"/>
        </w:rPr>
        <w:t>.</w:t>
      </w:r>
    </w:p>
    <w:p w14:paraId="2599245F" w14:textId="77777777" w:rsidR="001D5CE3" w:rsidRPr="00E61FD4" w:rsidRDefault="001D5CE3" w:rsidP="000143BD">
      <w:pPr>
        <w:pStyle w:val="Heading4"/>
      </w:pPr>
      <w:bookmarkStart w:id="2" w:name="_Hlk72422655"/>
      <w:r w:rsidRPr="00E61FD4">
        <w:t>CYP 2C19 and CYP 3A4 inhibitors</w:t>
      </w:r>
    </w:p>
    <w:bookmarkEnd w:id="2"/>
    <w:p w14:paraId="6998DB0D" w14:textId="149B010E" w:rsidR="00C72348" w:rsidRPr="00E61FD4" w:rsidRDefault="00C72348" w:rsidP="00D8564A">
      <w:pPr>
        <w:pStyle w:val="EMEABodyText"/>
        <w:spacing w:after="120"/>
      </w:pPr>
      <w:r w:rsidRPr="00E61FD4">
        <w:t xml:space="preserve">Coadministration of mavacamten with a weak CYP2C19 inhibitor (omeprazole) </w:t>
      </w:r>
      <w:r w:rsidR="00C7058C" w:rsidRPr="00E61FD4">
        <w:t>resulted in a 48% increase in mavacamten AUCinf with no effe</w:t>
      </w:r>
      <w:r w:rsidR="009F7686" w:rsidRPr="00E61FD4">
        <w:t>c</w:t>
      </w:r>
      <w:r w:rsidR="00C7058C" w:rsidRPr="00E61FD4">
        <w:t>t on Cmax. C</w:t>
      </w:r>
      <w:r w:rsidRPr="00E61FD4">
        <w:t>oadministration of mavacamten with a strong CYP3A4 inhibitor (itraconazole) resulted in an increase in mavacamten plasma concentration of up to 59% and 40% in AUC0-24 and Cmax, respectively.</w:t>
      </w:r>
    </w:p>
    <w:p w14:paraId="1D5BA6A9" w14:textId="29085469" w:rsidR="00C91C3C" w:rsidRPr="00E61FD4" w:rsidRDefault="00C91C3C" w:rsidP="00D8564A">
      <w:pPr>
        <w:spacing w:after="120"/>
        <w:rPr>
          <w:rFonts w:cs="Times New Roman"/>
        </w:rPr>
      </w:pPr>
      <w:r w:rsidRPr="00E61FD4">
        <w:rPr>
          <w:rFonts w:cs="Times New Roman"/>
        </w:rPr>
        <w:t xml:space="preserve">Coadministration of mavacamten with a moderate CYP3A4 inhibitor (verapamil) resulted in an increase in mavacamten plasma concentration of 16% and 52% in AUCinf and Cmax, respectively. </w:t>
      </w:r>
    </w:p>
    <w:p w14:paraId="5D2A4E95" w14:textId="734F6B1F" w:rsidR="003E61CC" w:rsidRPr="00E61FD4" w:rsidRDefault="003E61CC" w:rsidP="00D8564A">
      <w:pPr>
        <w:autoSpaceDE w:val="0"/>
        <w:autoSpaceDN w:val="0"/>
        <w:adjustRightInd w:val="0"/>
        <w:spacing w:after="120"/>
        <w:rPr>
          <w:rFonts w:eastAsia="MS Mincho" w:cs="Times New Roman"/>
          <w:lang w:val="en-US"/>
        </w:rPr>
      </w:pPr>
      <w:bookmarkStart w:id="3" w:name="_Hlk112320362"/>
      <w:r w:rsidRPr="00E61FD4">
        <w:rPr>
          <w:rFonts w:eastAsia="MS Mincho" w:cs="Times New Roman"/>
          <w:lang w:val="en-US"/>
        </w:rPr>
        <w:t xml:space="preserve">Concomitant use with a moderate to strong CYP2C19 inhibitor </w:t>
      </w:r>
      <w:r w:rsidRPr="00E61FD4">
        <w:t xml:space="preserve">or a strong CYP3A4 inhibitor </w:t>
      </w:r>
      <w:r w:rsidRPr="00E61FD4">
        <w:rPr>
          <w:rFonts w:eastAsia="MS Mincho" w:cs="Times New Roman"/>
          <w:lang w:val="en-US"/>
        </w:rPr>
        <w:t>is contraindicated (see section 4.3 Contraindications and section 4.4 Special warnings and precautions for use).</w:t>
      </w:r>
      <w:bookmarkEnd w:id="3"/>
    </w:p>
    <w:p w14:paraId="079E39D6" w14:textId="472F9190" w:rsidR="00C72348" w:rsidRPr="00E61FD4" w:rsidRDefault="00C838A0" w:rsidP="009E4E9D">
      <w:pPr>
        <w:pStyle w:val="BMSBodyText"/>
        <w:rPr>
          <w:sz w:val="22"/>
          <w:szCs w:val="18"/>
        </w:rPr>
      </w:pPr>
      <w:r w:rsidRPr="00E61FD4">
        <w:rPr>
          <w:color w:val="auto"/>
          <w:sz w:val="22"/>
          <w:szCs w:val="22"/>
        </w:rPr>
        <w:t xml:space="preserve">If initiating or adjusting the dose of a concomitant weak CYP2C19 </w:t>
      </w:r>
      <w:r w:rsidR="003E61CC" w:rsidRPr="00E61FD4">
        <w:rPr>
          <w:color w:val="auto"/>
          <w:sz w:val="22"/>
          <w:szCs w:val="22"/>
        </w:rPr>
        <w:t>inhibitor or moderate CYP3A4 inhibitor, increased clinical assessments and dose adjustment should be considered (see section 4.2</w:t>
      </w:r>
      <w:r w:rsidR="003E61CC" w:rsidRPr="00E61FD4">
        <w:rPr>
          <w:sz w:val="22"/>
          <w:szCs w:val="22"/>
        </w:rPr>
        <w:t xml:space="preserve"> Dose and method of administration</w:t>
      </w:r>
      <w:r w:rsidR="003E61CC" w:rsidRPr="00E61FD4">
        <w:rPr>
          <w:color w:val="auto"/>
          <w:sz w:val="22"/>
          <w:szCs w:val="22"/>
        </w:rPr>
        <w:t>).</w:t>
      </w:r>
    </w:p>
    <w:p w14:paraId="4C992EAB" w14:textId="170D39B9" w:rsidR="00FB1998" w:rsidRPr="00E61FD4" w:rsidRDefault="00FB1998" w:rsidP="000143BD">
      <w:pPr>
        <w:pStyle w:val="Heading4"/>
      </w:pPr>
      <w:r w:rsidRPr="00E61FD4">
        <w:t xml:space="preserve">CYP 2C19 and CYP 3A4 </w:t>
      </w:r>
      <w:r w:rsidR="00FF1C47" w:rsidRPr="00E61FD4">
        <w:t>inducers</w:t>
      </w:r>
    </w:p>
    <w:p w14:paraId="1A8DA06C" w14:textId="4DE70F0A" w:rsidR="00735802" w:rsidRPr="00E61FD4" w:rsidRDefault="00735802" w:rsidP="00AE3505">
      <w:pPr>
        <w:spacing w:after="120"/>
        <w:rPr>
          <w:rFonts w:cs="Times New Roman"/>
        </w:rPr>
      </w:pPr>
      <w:bookmarkStart w:id="4" w:name="_Hlk79738732"/>
      <w:r w:rsidRPr="00E61FD4">
        <w:rPr>
          <w:rFonts w:cs="Times New Roman"/>
        </w:rPr>
        <w:t>Coadministration of mavacamten with a strong CYP2C19 and CYP3A4 inducer following a 7-day lead-in induction period, is predicted by PBPK modelling to result in a decrease in mavacamten of up to 60% and 7% in AUC0-t and Cmax, respectively in CYP2C19 normal metabolisers (NM). In CYP2C19 poor metabolisers (PM) a decrease of up to 69% and 4% in AUC0-t and Cmax was predicted. Mavacamten clearance is expected to increase for both NM and PM by 2.5-fold and 3.2-fold, respectively, under induction conditions.</w:t>
      </w:r>
    </w:p>
    <w:bookmarkEnd w:id="4"/>
    <w:p w14:paraId="4CCE7B2B" w14:textId="4E7DA401" w:rsidR="00AE3505" w:rsidRPr="00E61FD4" w:rsidRDefault="00AB24C5" w:rsidP="00AE3505">
      <w:pPr>
        <w:pStyle w:val="BMSBodyText"/>
        <w:spacing w:line="240" w:lineRule="auto"/>
        <w:rPr>
          <w:sz w:val="22"/>
          <w:szCs w:val="22"/>
        </w:rPr>
      </w:pPr>
      <w:r w:rsidRPr="00E61FD4">
        <w:rPr>
          <w:sz w:val="22"/>
          <w:szCs w:val="22"/>
          <w:lang w:val="en-AU"/>
        </w:rPr>
        <w:t>C</w:t>
      </w:r>
      <w:r w:rsidR="00AE3505" w:rsidRPr="00E61FD4">
        <w:rPr>
          <w:sz w:val="22"/>
          <w:szCs w:val="22"/>
          <w:lang w:val="en-AU"/>
        </w:rPr>
        <w:t>oncomitant use with a moderate or strong CYP2C19 inducer or a moderate or strong CYP3A4 inducer is contraindicated (see section 4.3 Contraindications and section 4.4 Special warnings and precautions for use).</w:t>
      </w:r>
    </w:p>
    <w:p w14:paraId="7A94150C" w14:textId="0D926499" w:rsidR="00AE3505" w:rsidRPr="00E61FD4" w:rsidRDefault="00AE3505" w:rsidP="00AE3505">
      <w:pPr>
        <w:pStyle w:val="BMSBodyText"/>
        <w:spacing w:line="240" w:lineRule="auto"/>
      </w:pPr>
      <w:r w:rsidRPr="00E61FD4">
        <w:rPr>
          <w:color w:val="auto"/>
          <w:sz w:val="22"/>
          <w:szCs w:val="22"/>
        </w:rPr>
        <w:t>Coadministration of mavacamten with a weak CYP2C19 or a weak CYP3A4 inducer may result in a decrease in mavacamten plasma concentration. If discontinuing concomitant treatment with a weak CYP2C19 or CYP3A4 inducer, increase clinical assessments and consider a dose reduction (see section 4.2</w:t>
      </w:r>
      <w:r w:rsidRPr="00E61FD4">
        <w:rPr>
          <w:sz w:val="22"/>
          <w:szCs w:val="22"/>
        </w:rPr>
        <w:t xml:space="preserve"> Dose and method of administration</w:t>
      </w:r>
      <w:r w:rsidRPr="00E61FD4">
        <w:rPr>
          <w:color w:val="auto"/>
          <w:sz w:val="22"/>
          <w:szCs w:val="22"/>
        </w:rPr>
        <w:t>).</w:t>
      </w:r>
    </w:p>
    <w:p w14:paraId="0EF04373" w14:textId="13EFB47A" w:rsidR="00AF521E" w:rsidRPr="00E61FD4" w:rsidRDefault="00400565" w:rsidP="008E41AB">
      <w:pPr>
        <w:pStyle w:val="Heading3"/>
      </w:pPr>
      <w:r w:rsidRPr="00E61FD4">
        <w:t xml:space="preserve">Effect of </w:t>
      </w:r>
      <w:r w:rsidR="00E5063D" w:rsidRPr="00E61FD4">
        <w:rPr>
          <w:rFonts w:eastAsiaTheme="minorHAnsi"/>
        </w:rPr>
        <w:t>CAMZYOS</w:t>
      </w:r>
      <w:r w:rsidRPr="00E61FD4">
        <w:rPr>
          <w:rFonts w:eastAsiaTheme="minorHAnsi"/>
        </w:rPr>
        <w:t xml:space="preserve"> </w:t>
      </w:r>
      <w:r w:rsidRPr="00E61FD4">
        <w:t xml:space="preserve">on </w:t>
      </w:r>
      <w:r w:rsidR="00E5033B" w:rsidRPr="00E61FD4">
        <w:t>CYP3A4 substrates</w:t>
      </w:r>
    </w:p>
    <w:p w14:paraId="3F0EAB1D" w14:textId="682275FC" w:rsidR="0050237B" w:rsidRPr="00E61FD4" w:rsidRDefault="0050237B" w:rsidP="009C4450">
      <w:r w:rsidRPr="00E61FD4">
        <w:t xml:space="preserve">Coadministration of a 16-day course of mavacamten resulted in a decrease in midazolam plasma concentration. This change was not considered clinically significant. Coadministration of a 17-day </w:t>
      </w:r>
      <w:r w:rsidRPr="00E61FD4">
        <w:lastRenderedPageBreak/>
        <w:t>course of mavacamten did not decrease the exposure to ethinyl oestradiol and norethindrone, which are the components of typical oral contraceptives and substrates for CYP3A4.</w:t>
      </w:r>
    </w:p>
    <w:p w14:paraId="30C74B88" w14:textId="77777777" w:rsidR="0050237B" w:rsidRPr="00E61FD4" w:rsidRDefault="0050237B" w:rsidP="000143BD">
      <w:pPr>
        <w:pStyle w:val="Heading4"/>
      </w:pPr>
      <w:r w:rsidRPr="00E61FD4">
        <w:t>Effect of mavacamten on other CYP substrates</w:t>
      </w:r>
    </w:p>
    <w:p w14:paraId="68A96BA2" w14:textId="6B18B970" w:rsidR="0050237B" w:rsidRPr="00E61FD4" w:rsidRDefault="0050237B" w:rsidP="009C4450">
      <w:pPr>
        <w:rPr>
          <w:bCs/>
        </w:rPr>
      </w:pPr>
      <w:r w:rsidRPr="00E61FD4">
        <w:t xml:space="preserve">Based on pre-clinical data, mavacamten is not an inhibitor of </w:t>
      </w:r>
      <w:r w:rsidRPr="00E61FD4">
        <w:rPr>
          <w:bCs/>
        </w:rPr>
        <w:t>CYP 1A2, 2B6, 2C8, 2D6, 2C9, 2C19, or 3A4</w:t>
      </w:r>
      <w:r w:rsidRPr="00E61FD4">
        <w:t xml:space="preserve"> at clinically relevant concentrations</w:t>
      </w:r>
      <w:r w:rsidRPr="00E61FD4">
        <w:rPr>
          <w:bCs/>
        </w:rPr>
        <w:t xml:space="preserve">. </w:t>
      </w:r>
    </w:p>
    <w:p w14:paraId="6A03A5CE" w14:textId="66121E54" w:rsidR="008976A0" w:rsidRPr="00E61FD4" w:rsidRDefault="008976A0" w:rsidP="009C4450">
      <w:pPr>
        <w:rPr>
          <w:bCs/>
        </w:rPr>
      </w:pPr>
      <w:r w:rsidRPr="00E61FD4">
        <w:rPr>
          <w:bCs/>
          <w:i/>
          <w:iCs/>
        </w:rPr>
        <w:t>In vitro</w:t>
      </w:r>
      <w:r w:rsidRPr="00E61FD4">
        <w:rPr>
          <w:bCs/>
        </w:rPr>
        <w:t>, mavacamten is an inducer of CYP 2B6, and 3A4, 2C8, 2C19 and 2C9.</w:t>
      </w:r>
    </w:p>
    <w:p w14:paraId="79F1C00A" w14:textId="77777777" w:rsidR="009C4450" w:rsidRPr="00E61FD4" w:rsidRDefault="009C4450" w:rsidP="000143BD">
      <w:pPr>
        <w:pStyle w:val="Heading4"/>
      </w:pPr>
      <w:r w:rsidRPr="00E61FD4">
        <w:t>Effect of mavacamten on transporters</w:t>
      </w:r>
    </w:p>
    <w:p w14:paraId="008EB1A6" w14:textId="6DEB66FD" w:rsidR="00AF521E" w:rsidRPr="00E61FD4" w:rsidRDefault="009C4450" w:rsidP="007F21B3">
      <w:pPr>
        <w:rPr>
          <w:rFonts w:cs="Times New Roman"/>
        </w:rPr>
      </w:pPr>
      <w:r w:rsidRPr="00E61FD4">
        <w:rPr>
          <w:i/>
          <w:iCs/>
        </w:rPr>
        <w:t>In vitro</w:t>
      </w:r>
      <w:r w:rsidRPr="00E61FD4">
        <w:t xml:space="preserve"> data indicate that mavacamten is not an inhibitor of major efflux transporters (P-</w:t>
      </w:r>
      <w:proofErr w:type="spellStart"/>
      <w:r w:rsidRPr="00E61FD4">
        <w:t>gp</w:t>
      </w:r>
      <w:proofErr w:type="spellEnd"/>
      <w:r w:rsidRPr="00E61FD4">
        <w:t>, BCRP, BSEP, MATE1, or MATE2-K) or major uptake transporters (organic anion transporting polypeptides [OATPs], organic cation transporters [OCTs], or organic anion transporters [OATs]) at therapeutic concentrations.</w:t>
      </w:r>
    </w:p>
    <w:p w14:paraId="755E24F1" w14:textId="6B307375" w:rsidR="00EE17A9" w:rsidRPr="00E61FD4" w:rsidRDefault="00EE17A9" w:rsidP="008E41AB">
      <w:pPr>
        <w:pStyle w:val="Heading3"/>
      </w:pPr>
      <w:r w:rsidRPr="00E61FD4">
        <w:t>Other interactions</w:t>
      </w:r>
    </w:p>
    <w:p w14:paraId="3CCA3F73" w14:textId="14F4D54C" w:rsidR="00EE17A9" w:rsidRPr="00E61FD4" w:rsidRDefault="00EE17A9" w:rsidP="000143BD">
      <w:pPr>
        <w:pStyle w:val="Heading4"/>
      </w:pPr>
      <w:r w:rsidRPr="00E61FD4">
        <w:t>Drugs that reduce cardiac contractility</w:t>
      </w:r>
    </w:p>
    <w:p w14:paraId="480D1F09" w14:textId="69690F51" w:rsidR="00EE17A9" w:rsidRPr="00E61FD4" w:rsidRDefault="00EE17A9" w:rsidP="00EE17A9">
      <w:pPr>
        <w:spacing w:after="120"/>
        <w:rPr>
          <w:rFonts w:cs="Times New Roman"/>
        </w:rPr>
      </w:pPr>
      <w:r w:rsidRPr="00E61FD4">
        <w:rPr>
          <w:rFonts w:cs="Times New Roman"/>
        </w:rPr>
        <w:t xml:space="preserve">In the EXPLORER HCM study, 119 of 123 patients who received </w:t>
      </w:r>
      <w:r w:rsidR="00E5063D" w:rsidRPr="00E61FD4">
        <w:rPr>
          <w:rFonts w:cs="Times New Roman"/>
        </w:rPr>
        <w:t>CAMZYOS</w:t>
      </w:r>
      <w:r w:rsidRPr="00E61FD4">
        <w:rPr>
          <w:rFonts w:cs="Times New Roman"/>
        </w:rPr>
        <w:t xml:space="preserve"> received concomitant </w:t>
      </w:r>
      <w:r w:rsidR="00BB1BC5" w:rsidRPr="00E61FD4">
        <w:rPr>
          <w:rFonts w:cs="Times New Roman"/>
        </w:rPr>
        <w:t xml:space="preserve">treatment </w:t>
      </w:r>
      <w:r w:rsidRPr="00E61FD4">
        <w:rPr>
          <w:rFonts w:cs="Times New Roman"/>
        </w:rPr>
        <w:t xml:space="preserve">with either beta blockers, verapamil, or diltiazem (see </w:t>
      </w:r>
      <w:r w:rsidR="00036C3E" w:rsidRPr="00E61FD4">
        <w:rPr>
          <w:rFonts w:cs="Times New Roman"/>
        </w:rPr>
        <w:t>5.1 Pharmacodynamic properties, Clinical Trials</w:t>
      </w:r>
      <w:r w:rsidRPr="00E61FD4">
        <w:rPr>
          <w:rFonts w:cs="Times New Roman"/>
        </w:rPr>
        <w:t xml:space="preserve">). There is limited information available on the potential for a pharmacodynamic (PD) interaction between </w:t>
      </w:r>
      <w:r w:rsidR="00E5063D" w:rsidRPr="00E61FD4">
        <w:rPr>
          <w:rFonts w:cs="Times New Roman"/>
        </w:rPr>
        <w:t>CAMZYOS</w:t>
      </w:r>
      <w:r w:rsidRPr="00E61FD4">
        <w:rPr>
          <w:rFonts w:cs="Times New Roman"/>
        </w:rPr>
        <w:t xml:space="preserve"> and other drugs that also reduce cardiac contractility. If treatment with a new negative inotrope is initiated, or if the dose of a negative inotrope is increased, in a patient receiving </w:t>
      </w:r>
      <w:r w:rsidR="00E5063D" w:rsidRPr="00E61FD4">
        <w:rPr>
          <w:rFonts w:cs="Times New Roman"/>
        </w:rPr>
        <w:t>CAMZYOS</w:t>
      </w:r>
      <w:r w:rsidRPr="00E61FD4">
        <w:rPr>
          <w:rFonts w:cs="Times New Roman"/>
        </w:rPr>
        <w:t xml:space="preserve">, close medical supervision with echocardiographic monitoring of LVEF should be provided until stable doses and clinical response have been achieved (see </w:t>
      </w:r>
      <w:r w:rsidR="00CD605D" w:rsidRPr="00E61FD4">
        <w:rPr>
          <w:rFonts w:cs="Times New Roman"/>
        </w:rPr>
        <w:t>4.4 Special warnings and precautions</w:t>
      </w:r>
      <w:r w:rsidRPr="00E61FD4">
        <w:rPr>
          <w:rFonts w:cs="Times New Roman"/>
        </w:rPr>
        <w:t>).</w:t>
      </w:r>
    </w:p>
    <w:p w14:paraId="47C33CD2" w14:textId="77777777" w:rsidR="001A3992" w:rsidRPr="00E61FD4" w:rsidRDefault="001A3992" w:rsidP="00BD6360">
      <w:pPr>
        <w:pStyle w:val="Heading2"/>
        <w:keepNext/>
      </w:pPr>
      <w:r w:rsidRPr="00E61FD4">
        <w:t xml:space="preserve">Fertility, pregnancy and lactation </w:t>
      </w:r>
    </w:p>
    <w:p w14:paraId="280121BA" w14:textId="63E4C657" w:rsidR="001A3992" w:rsidRPr="00E61FD4" w:rsidRDefault="001A3992" w:rsidP="00BD6360">
      <w:pPr>
        <w:pStyle w:val="Heading3"/>
      </w:pPr>
      <w:r w:rsidRPr="00E61FD4">
        <w:t>Effects on fertility</w:t>
      </w:r>
    </w:p>
    <w:p w14:paraId="5A99F6C2" w14:textId="25492FE4" w:rsidR="00AA5AC1" w:rsidRPr="00E61FD4" w:rsidRDefault="00D60656" w:rsidP="00BD6360">
      <w:pPr>
        <w:keepNext/>
        <w:spacing w:after="120"/>
        <w:rPr>
          <w:rFonts w:cs="Times New Roman"/>
        </w:rPr>
      </w:pPr>
      <w:r w:rsidRPr="00E61FD4">
        <w:rPr>
          <w:rFonts w:cs="Times New Roman"/>
        </w:rPr>
        <w:t>In reproductive</w:t>
      </w:r>
      <w:r w:rsidR="00E76B7C" w:rsidRPr="00E61FD4">
        <w:rPr>
          <w:rFonts w:cs="Times New Roman"/>
        </w:rPr>
        <w:t xml:space="preserve"> toxicity studies, there was no evidence of effects of mavacamten on mating and fertility</w:t>
      </w:r>
      <w:r w:rsidR="00B31E6D" w:rsidRPr="00E61FD4">
        <w:rPr>
          <w:rFonts w:cs="Times New Roman"/>
        </w:rPr>
        <w:t xml:space="preserve"> in male or female rats or on the viability and fertility of offspring of dams at any dose tested. Plasma exposures (AUC) of mavacamten at the highest doses tested are less than in humans at the </w:t>
      </w:r>
      <w:r w:rsidR="00D443DC" w:rsidRPr="00E61FD4">
        <w:rPr>
          <w:rFonts w:cs="Times New Roman"/>
        </w:rPr>
        <w:t>maximum recorded human dose</w:t>
      </w:r>
      <w:r w:rsidR="0070506F" w:rsidRPr="00E61FD4">
        <w:rPr>
          <w:rFonts w:cs="Times New Roman"/>
        </w:rPr>
        <w:t xml:space="preserve"> (MRHD)</w:t>
      </w:r>
      <w:r w:rsidR="00952A57" w:rsidRPr="00E61FD4">
        <w:rPr>
          <w:rFonts w:cs="Times New Roman"/>
        </w:rPr>
        <w:t>.</w:t>
      </w:r>
    </w:p>
    <w:p w14:paraId="4E77A374" w14:textId="14F833DA" w:rsidR="001A3992" w:rsidRPr="00E61FD4" w:rsidRDefault="003C741E" w:rsidP="008E41AB">
      <w:pPr>
        <w:pStyle w:val="Heading3"/>
      </w:pPr>
      <w:r w:rsidRPr="00E61FD4">
        <w:t>Use in pregnancy</w:t>
      </w:r>
      <w:r w:rsidR="0003411D" w:rsidRPr="00E61FD4">
        <w:t xml:space="preserve"> (Category </w:t>
      </w:r>
      <w:r w:rsidR="00843E29" w:rsidRPr="00E61FD4">
        <w:t>D</w:t>
      </w:r>
      <w:r w:rsidR="005E69FA" w:rsidRPr="00E61FD4">
        <w:t>)</w:t>
      </w:r>
    </w:p>
    <w:p w14:paraId="41A159BD" w14:textId="03BF0D42" w:rsidR="008222E0" w:rsidRPr="00E61FD4" w:rsidRDefault="008222E0" w:rsidP="008222E0">
      <w:pPr>
        <w:spacing w:after="120"/>
        <w:rPr>
          <w:rFonts w:cs="Times New Roman"/>
        </w:rPr>
      </w:pPr>
      <w:r w:rsidRPr="00E61FD4">
        <w:rPr>
          <w:rFonts w:cs="Times New Roman"/>
        </w:rPr>
        <w:t xml:space="preserve">There are no adequate data on the developmental risk associated with the use of </w:t>
      </w:r>
      <w:r w:rsidR="00E5063D" w:rsidRPr="00E61FD4">
        <w:rPr>
          <w:rFonts w:cs="Times New Roman"/>
        </w:rPr>
        <w:t>CAMZYOS</w:t>
      </w:r>
      <w:r w:rsidRPr="00E61FD4">
        <w:rPr>
          <w:rFonts w:cs="Times New Roman"/>
        </w:rPr>
        <w:t xml:space="preserve"> in pregnant females. Based on animal data, </w:t>
      </w:r>
      <w:r w:rsidR="00E5063D" w:rsidRPr="00E61FD4">
        <w:rPr>
          <w:rFonts w:cs="Times New Roman"/>
        </w:rPr>
        <w:t>CAMZYOS</w:t>
      </w:r>
      <w:r w:rsidRPr="00E61FD4">
        <w:rPr>
          <w:rFonts w:cs="Times New Roman"/>
        </w:rPr>
        <w:t xml:space="preserve"> may cause </w:t>
      </w:r>
      <w:proofErr w:type="spellStart"/>
      <w:r w:rsidR="008976A0" w:rsidRPr="00E61FD4">
        <w:rPr>
          <w:rFonts w:cs="Times New Roman"/>
        </w:rPr>
        <w:t>fetal</w:t>
      </w:r>
      <w:proofErr w:type="spellEnd"/>
      <w:r w:rsidRPr="00E61FD4">
        <w:rPr>
          <w:rFonts w:cs="Times New Roman"/>
        </w:rPr>
        <w:t xml:space="preserve"> harm when administered to a pregnant female.</w:t>
      </w:r>
    </w:p>
    <w:p w14:paraId="3F7D0241" w14:textId="536C3EC5" w:rsidR="008222E0" w:rsidRPr="00E61FD4" w:rsidRDefault="00E5063D" w:rsidP="008222E0">
      <w:pPr>
        <w:spacing w:after="120"/>
        <w:rPr>
          <w:rFonts w:cs="Times New Roman"/>
        </w:rPr>
      </w:pPr>
      <w:r w:rsidRPr="00E61FD4">
        <w:rPr>
          <w:rFonts w:cs="Times New Roman"/>
        </w:rPr>
        <w:t>CAMZYOS</w:t>
      </w:r>
      <w:r w:rsidR="008222E0" w:rsidRPr="00E61FD4">
        <w:rPr>
          <w:rFonts w:cs="Times New Roman"/>
        </w:rPr>
        <w:t xml:space="preserve"> should not be administered to patients who are pregnant. Females of reproductive potential who undergo </w:t>
      </w:r>
      <w:r w:rsidR="00BB1BC5" w:rsidRPr="00E61FD4">
        <w:rPr>
          <w:rFonts w:cs="Times New Roman"/>
        </w:rPr>
        <w:t xml:space="preserve">treatment </w:t>
      </w:r>
      <w:r w:rsidR="008222E0" w:rsidRPr="00E61FD4">
        <w:rPr>
          <w:rFonts w:cs="Times New Roman"/>
        </w:rPr>
        <w:t xml:space="preserve">with </w:t>
      </w:r>
      <w:r w:rsidRPr="00E61FD4">
        <w:rPr>
          <w:rFonts w:cs="Times New Roman"/>
        </w:rPr>
        <w:t>CAMZYOS</w:t>
      </w:r>
      <w:r w:rsidR="008222E0" w:rsidRPr="00E61FD4">
        <w:rPr>
          <w:rFonts w:cs="Times New Roman"/>
        </w:rPr>
        <w:t xml:space="preserve"> should be informed of the potential hazard to the </w:t>
      </w:r>
      <w:r w:rsidR="00C36DC7" w:rsidRPr="00E61FD4">
        <w:rPr>
          <w:rFonts w:cs="Times New Roman"/>
        </w:rPr>
        <w:t>foetus</w:t>
      </w:r>
      <w:r w:rsidR="008222E0" w:rsidRPr="00E61FD4">
        <w:rPr>
          <w:rFonts w:cs="Times New Roman"/>
        </w:rPr>
        <w:t xml:space="preserve"> and should be advised to avoid becoming pregnant prior to or during treatment and for at least 4</w:t>
      </w:r>
      <w:r w:rsidR="006F20D7" w:rsidRPr="00E61FD4">
        <w:rPr>
          <w:rFonts w:cs="Times New Roman"/>
        </w:rPr>
        <w:t> </w:t>
      </w:r>
      <w:r w:rsidR="008222E0" w:rsidRPr="00E61FD4">
        <w:rPr>
          <w:rFonts w:cs="Times New Roman"/>
        </w:rPr>
        <w:t>months after discontinuation.</w:t>
      </w:r>
    </w:p>
    <w:p w14:paraId="0F9E800C" w14:textId="24691A88" w:rsidR="008222E0" w:rsidRPr="00E61FD4" w:rsidRDefault="008222E0" w:rsidP="008222E0">
      <w:pPr>
        <w:spacing w:after="120"/>
        <w:rPr>
          <w:rFonts w:cs="Times New Roman"/>
        </w:rPr>
      </w:pPr>
      <w:r w:rsidRPr="00E61FD4">
        <w:rPr>
          <w:rFonts w:cs="Times New Roman"/>
        </w:rPr>
        <w:t xml:space="preserve">If the patient becomes pregnant while receiving the drug, the patient should be informed of the potential hazard to the </w:t>
      </w:r>
      <w:r w:rsidR="00C36DC7" w:rsidRPr="00E61FD4">
        <w:rPr>
          <w:rFonts w:cs="Times New Roman"/>
        </w:rPr>
        <w:t>foetus</w:t>
      </w:r>
      <w:r w:rsidRPr="00E61FD4">
        <w:rPr>
          <w:rFonts w:cs="Times New Roman"/>
        </w:rPr>
        <w:t>.</w:t>
      </w:r>
    </w:p>
    <w:p w14:paraId="6E9F3BF6" w14:textId="77777777" w:rsidR="006C18CA" w:rsidRPr="00E61FD4" w:rsidRDefault="006C18CA" w:rsidP="000143BD">
      <w:pPr>
        <w:pStyle w:val="Heading4"/>
      </w:pPr>
      <w:r w:rsidRPr="00E61FD4">
        <w:t>Pregnancy testing</w:t>
      </w:r>
    </w:p>
    <w:p w14:paraId="4D863E1E" w14:textId="4B677E16" w:rsidR="006C18CA" w:rsidRPr="00E61FD4" w:rsidRDefault="006C18CA" w:rsidP="003E3991">
      <w:pPr>
        <w:rPr>
          <w:rFonts w:cs="Times New Roman"/>
        </w:rPr>
      </w:pPr>
      <w:r w:rsidRPr="00E61FD4">
        <w:rPr>
          <w:rFonts w:cs="Times New Roman"/>
        </w:rPr>
        <w:t>Confirm a negative pregnancy test in women of reproductive potential prior to initiation of</w:t>
      </w:r>
      <w:r w:rsidR="003E3991" w:rsidRPr="00E61FD4">
        <w:rPr>
          <w:rFonts w:cs="Times New Roman"/>
        </w:rPr>
        <w:t xml:space="preserve"> </w:t>
      </w:r>
      <w:r w:rsidRPr="00E61FD4">
        <w:rPr>
          <w:rFonts w:cs="Times New Roman"/>
        </w:rPr>
        <w:t>treatment.</w:t>
      </w:r>
    </w:p>
    <w:p w14:paraId="3209F179" w14:textId="77777777" w:rsidR="006C18CA" w:rsidRPr="00E61FD4" w:rsidRDefault="006C18CA" w:rsidP="000143BD">
      <w:pPr>
        <w:pStyle w:val="Heading4"/>
      </w:pPr>
      <w:r w:rsidRPr="00E61FD4">
        <w:lastRenderedPageBreak/>
        <w:t>Contraception</w:t>
      </w:r>
    </w:p>
    <w:p w14:paraId="6F2B884E" w14:textId="5C5CFE43" w:rsidR="006C18CA" w:rsidRPr="00E61FD4" w:rsidRDefault="006C18CA" w:rsidP="003E3991">
      <w:pPr>
        <w:rPr>
          <w:rFonts w:cs="Times New Roman"/>
        </w:rPr>
      </w:pPr>
      <w:r w:rsidRPr="00E61FD4">
        <w:rPr>
          <w:rFonts w:cs="Times New Roman"/>
        </w:rPr>
        <w:t>Advise females of reproductive potential to avoid becoming pregnant and to use highly effective</w:t>
      </w:r>
      <w:r w:rsidR="003E3991" w:rsidRPr="00E61FD4">
        <w:rPr>
          <w:rFonts w:cs="Times New Roman"/>
        </w:rPr>
        <w:t xml:space="preserve"> </w:t>
      </w:r>
      <w:r w:rsidRPr="00E61FD4">
        <w:rPr>
          <w:rFonts w:cs="Times New Roman"/>
        </w:rPr>
        <w:t xml:space="preserve">contraception during treatment with </w:t>
      </w:r>
      <w:r w:rsidR="00E5063D" w:rsidRPr="00E61FD4">
        <w:rPr>
          <w:rFonts w:cs="Times New Roman"/>
        </w:rPr>
        <w:t>CAMZYOS</w:t>
      </w:r>
      <w:r w:rsidRPr="00E61FD4">
        <w:rPr>
          <w:rFonts w:cs="Times New Roman"/>
        </w:rPr>
        <w:t xml:space="preserve"> for at least 4</w:t>
      </w:r>
      <w:r w:rsidR="006F20D7" w:rsidRPr="00E61FD4">
        <w:rPr>
          <w:rFonts w:cs="Times New Roman"/>
        </w:rPr>
        <w:t> </w:t>
      </w:r>
      <w:r w:rsidRPr="00E61FD4">
        <w:rPr>
          <w:rFonts w:cs="Times New Roman"/>
        </w:rPr>
        <w:t>months after discontinuing</w:t>
      </w:r>
      <w:r w:rsidR="005B550A" w:rsidRPr="00E61FD4">
        <w:rPr>
          <w:rFonts w:cs="Times New Roman"/>
        </w:rPr>
        <w:t xml:space="preserve"> </w:t>
      </w:r>
      <w:r w:rsidRPr="00E61FD4">
        <w:rPr>
          <w:rFonts w:cs="Times New Roman"/>
        </w:rPr>
        <w:t>treatment.</w:t>
      </w:r>
    </w:p>
    <w:p w14:paraId="7D69FF20" w14:textId="26C47984" w:rsidR="00EB69FF" w:rsidRPr="00E61FD4" w:rsidRDefault="00EB69FF" w:rsidP="000143BD">
      <w:pPr>
        <w:pStyle w:val="Heading4"/>
      </w:pPr>
      <w:r w:rsidRPr="00E61FD4">
        <w:t>Animal data</w:t>
      </w:r>
    </w:p>
    <w:p w14:paraId="628AD37E" w14:textId="77777777" w:rsidR="00EB69FF" w:rsidRPr="00E61FD4" w:rsidRDefault="00EB69FF" w:rsidP="00EB69FF">
      <w:pPr>
        <w:spacing w:after="120"/>
        <w:rPr>
          <w:rFonts w:cs="Times New Roman"/>
        </w:rPr>
      </w:pPr>
      <w:r w:rsidRPr="00E61FD4">
        <w:rPr>
          <w:rFonts w:cs="Times New Roman"/>
        </w:rPr>
        <w:t xml:space="preserve">When mavacamten was administered orally to pregnant rats during the period of organogenesis, decreased mean </w:t>
      </w:r>
      <w:proofErr w:type="spellStart"/>
      <w:r w:rsidRPr="00E61FD4">
        <w:rPr>
          <w:rFonts w:cs="Times New Roman"/>
        </w:rPr>
        <w:t>fetal</w:t>
      </w:r>
      <w:proofErr w:type="spellEnd"/>
      <w:r w:rsidRPr="00E61FD4">
        <w:rPr>
          <w:rFonts w:cs="Times New Roman"/>
        </w:rPr>
        <w:t xml:space="preserve"> body weight, and increases in post implantation loss and </w:t>
      </w:r>
      <w:proofErr w:type="spellStart"/>
      <w:r w:rsidRPr="00E61FD4">
        <w:rPr>
          <w:rFonts w:cs="Times New Roman"/>
        </w:rPr>
        <w:t>fetal</w:t>
      </w:r>
      <w:proofErr w:type="spellEnd"/>
      <w:r w:rsidRPr="00E61FD4">
        <w:rPr>
          <w:rFonts w:cs="Times New Roman"/>
        </w:rPr>
        <w:t xml:space="preserve"> malformations (visceral and skeletal) were observed in the high dose group (1.5 mg/kg/day). Visceral malformations (heart malformation in foetuses, including one total situs inversus) and increased incidences of skeletal malformations (mainly fused </w:t>
      </w:r>
      <w:proofErr w:type="spellStart"/>
      <w:r w:rsidRPr="00E61FD4">
        <w:rPr>
          <w:rFonts w:cs="Times New Roman"/>
        </w:rPr>
        <w:t>sternebrae</w:t>
      </w:r>
      <w:proofErr w:type="spellEnd"/>
      <w:r w:rsidRPr="00E61FD4">
        <w:rPr>
          <w:rFonts w:cs="Times New Roman"/>
        </w:rPr>
        <w:t>) were observed. Plasma exposure (AUC) at the no effect dose for embryo-</w:t>
      </w:r>
      <w:proofErr w:type="spellStart"/>
      <w:r w:rsidRPr="00E61FD4">
        <w:rPr>
          <w:rFonts w:cs="Times New Roman"/>
        </w:rPr>
        <w:t>fetal</w:t>
      </w:r>
      <w:proofErr w:type="spellEnd"/>
      <w:r w:rsidRPr="00E61FD4">
        <w:rPr>
          <w:rFonts w:cs="Times New Roman"/>
        </w:rPr>
        <w:t xml:space="preserve"> development in rats and rabbits are less than those in humans at the MRHD.</w:t>
      </w:r>
    </w:p>
    <w:p w14:paraId="02E07F2A" w14:textId="0E85DE33" w:rsidR="00EB69FF" w:rsidRPr="00E61FD4" w:rsidRDefault="00EB69FF" w:rsidP="00EB69FF">
      <w:pPr>
        <w:spacing w:after="120"/>
        <w:rPr>
          <w:rFonts w:cs="Times New Roman"/>
        </w:rPr>
      </w:pPr>
      <w:r w:rsidRPr="00E61FD4">
        <w:rPr>
          <w:rFonts w:cs="Times New Roman"/>
        </w:rPr>
        <w:t xml:space="preserve">When mavacamten was administered orally to pregnant rabbits during the period of organogenesis, </w:t>
      </w:r>
      <w:proofErr w:type="spellStart"/>
      <w:r w:rsidRPr="00E61FD4">
        <w:rPr>
          <w:rFonts w:cs="Times New Roman"/>
        </w:rPr>
        <w:t>fetal</w:t>
      </w:r>
      <w:proofErr w:type="spellEnd"/>
      <w:r w:rsidRPr="00E61FD4">
        <w:rPr>
          <w:rFonts w:cs="Times New Roman"/>
        </w:rPr>
        <w:t xml:space="preserve"> malformations (</w:t>
      </w:r>
      <w:r w:rsidR="00B32F0E" w:rsidRPr="00E61FD4">
        <w:rPr>
          <w:rFonts w:cs="Times New Roman"/>
        </w:rPr>
        <w:t xml:space="preserve">external, </w:t>
      </w:r>
      <w:proofErr w:type="gramStart"/>
      <w:r w:rsidRPr="00E61FD4">
        <w:rPr>
          <w:rFonts w:cs="Times New Roman"/>
        </w:rPr>
        <w:t>visceral</w:t>
      </w:r>
      <w:proofErr w:type="gramEnd"/>
      <w:r w:rsidRPr="00E61FD4">
        <w:rPr>
          <w:rFonts w:cs="Times New Roman"/>
        </w:rPr>
        <w:t xml:space="preserve"> and skeletal) were increased at doses of 1.2 mg/kg/day and higher. Visceral findings consisted of malformations of the great vessels (</w:t>
      </w:r>
      <w:r w:rsidR="004A42CB" w:rsidRPr="00E61FD4">
        <w:rPr>
          <w:rFonts w:cs="Times New Roman"/>
        </w:rPr>
        <w:t xml:space="preserve">pulmonary trunk atresia, </w:t>
      </w:r>
      <w:r w:rsidRPr="00E61FD4">
        <w:rPr>
          <w:rFonts w:cs="Times New Roman"/>
        </w:rPr>
        <w:t xml:space="preserve">dilatation of pulmonary trunk) </w:t>
      </w:r>
      <w:r w:rsidR="005C6D5F" w:rsidRPr="00E61FD4">
        <w:rPr>
          <w:rFonts w:cs="Times New Roman"/>
        </w:rPr>
        <w:t xml:space="preserve">and malformations of the heart, kidney, </w:t>
      </w:r>
      <w:proofErr w:type="gramStart"/>
      <w:r w:rsidR="005C6D5F" w:rsidRPr="00E61FD4">
        <w:rPr>
          <w:rFonts w:cs="Times New Roman"/>
        </w:rPr>
        <w:t>ureter</w:t>
      </w:r>
      <w:proofErr w:type="gramEnd"/>
      <w:r w:rsidR="005C6D5F" w:rsidRPr="00E61FD4">
        <w:rPr>
          <w:rFonts w:cs="Times New Roman"/>
        </w:rPr>
        <w:t xml:space="preserve"> and testis at</w:t>
      </w:r>
      <w:r w:rsidRPr="00E61FD4">
        <w:rPr>
          <w:rFonts w:cs="Times New Roman"/>
        </w:rPr>
        <w:t xml:space="preserve"> 2.0 mg/kg/day. Skeletal malformations consisted of higher incidences of fused </w:t>
      </w:r>
      <w:proofErr w:type="spellStart"/>
      <w:r w:rsidRPr="00E61FD4">
        <w:rPr>
          <w:rFonts w:cs="Times New Roman"/>
        </w:rPr>
        <w:t>sternebrae</w:t>
      </w:r>
      <w:proofErr w:type="spellEnd"/>
      <w:r w:rsidRPr="00E61FD4">
        <w:rPr>
          <w:rFonts w:cs="Times New Roman"/>
        </w:rPr>
        <w:t xml:space="preserve"> at 2.0 mg/kg/day. </w:t>
      </w:r>
      <w:r w:rsidR="00335FE8" w:rsidRPr="00E61FD4">
        <w:rPr>
          <w:rFonts w:cs="Times New Roman"/>
        </w:rPr>
        <w:t>External findings consisted</w:t>
      </w:r>
      <w:r w:rsidR="009970DA" w:rsidRPr="00E61FD4">
        <w:rPr>
          <w:rFonts w:cs="Times New Roman"/>
        </w:rPr>
        <w:t xml:space="preserve"> of cleft palate at doses of 1.2mg/kg/day and higher. </w:t>
      </w:r>
      <w:r w:rsidRPr="00E61FD4">
        <w:rPr>
          <w:rFonts w:cs="Times New Roman"/>
        </w:rPr>
        <w:t>Plasma exposure (AUC) at the no effect dose for embryo-</w:t>
      </w:r>
      <w:proofErr w:type="spellStart"/>
      <w:r w:rsidRPr="00E61FD4">
        <w:rPr>
          <w:rFonts w:cs="Times New Roman"/>
        </w:rPr>
        <w:t>fetal</w:t>
      </w:r>
      <w:proofErr w:type="spellEnd"/>
      <w:r w:rsidRPr="00E61FD4">
        <w:rPr>
          <w:rFonts w:cs="Times New Roman"/>
        </w:rPr>
        <w:t xml:space="preserve"> development in rabbits is less than those in humans at the MRHD.</w:t>
      </w:r>
    </w:p>
    <w:p w14:paraId="5EC66C89" w14:textId="3ADEEE5A" w:rsidR="001A3992" w:rsidRPr="00E61FD4" w:rsidRDefault="003C741E" w:rsidP="008E41AB">
      <w:pPr>
        <w:pStyle w:val="Heading3"/>
      </w:pPr>
      <w:r w:rsidRPr="00E61FD4">
        <w:t>Use in lactation.</w:t>
      </w:r>
    </w:p>
    <w:p w14:paraId="156AC0B3" w14:textId="36B2E19E" w:rsidR="00C36DC7" w:rsidRPr="00E61FD4" w:rsidRDefault="00C36DC7" w:rsidP="00C36DC7">
      <w:pPr>
        <w:spacing w:after="120"/>
        <w:rPr>
          <w:rFonts w:cs="Times New Roman"/>
        </w:rPr>
      </w:pPr>
      <w:r w:rsidRPr="00E61FD4">
        <w:rPr>
          <w:rFonts w:cs="Times New Roman"/>
        </w:rPr>
        <w:t>It is unknown whether mavacamten or its metabolites are excreted in human milk. Because of the unknown adverse effects of mavacamten in breastfed newborns/infants, a decision must be made whether to discontinue breast-feeding during treatment and for 4 months after the last dose or to discontinue treatment, taking into account the benefit of breast-feeding for the child and the benefit of treatment for the woman.</w:t>
      </w:r>
    </w:p>
    <w:p w14:paraId="6AA44B87" w14:textId="76933C3C" w:rsidR="009718D8" w:rsidRPr="00E61FD4" w:rsidRDefault="009718D8" w:rsidP="00C36DC7">
      <w:pPr>
        <w:spacing w:after="120"/>
        <w:rPr>
          <w:rFonts w:cs="Times New Roman"/>
        </w:rPr>
      </w:pPr>
      <w:r w:rsidRPr="00E61FD4">
        <w:t>In a pre- and post-natal development study, mavacamten was administered orally to pregnant rats from gestation Day 6 to lactation/post-partum Day 20. No adverse effects were observed in the dams or offspring exposed daily from before birth (in utero) through lactation. The maternal exposure was inferred from the embryo-</w:t>
      </w:r>
      <w:proofErr w:type="spellStart"/>
      <w:r w:rsidRPr="00E61FD4">
        <w:t>fetal</w:t>
      </w:r>
      <w:proofErr w:type="spellEnd"/>
      <w:r w:rsidRPr="00E61FD4">
        <w:t xml:space="preserve"> developmental toxicity study dosed at the same level, and the exposure was less than the MRHD.</w:t>
      </w:r>
    </w:p>
    <w:p w14:paraId="0375B0C2" w14:textId="77777777" w:rsidR="001A3992" w:rsidRPr="00E61FD4" w:rsidRDefault="001A3992" w:rsidP="00DF034F">
      <w:pPr>
        <w:pStyle w:val="Heading2"/>
        <w:keepNext/>
      </w:pPr>
      <w:r w:rsidRPr="00E61FD4">
        <w:t>Effects on ab</w:t>
      </w:r>
      <w:r w:rsidR="003C741E" w:rsidRPr="00E61FD4">
        <w:t>ility to drive and use machines</w:t>
      </w:r>
    </w:p>
    <w:p w14:paraId="0F9FB2BB" w14:textId="52DB358A" w:rsidR="009C262E" w:rsidRPr="00E61FD4" w:rsidRDefault="00E5063D" w:rsidP="00DF034F">
      <w:pPr>
        <w:keepNext/>
        <w:spacing w:after="120"/>
        <w:rPr>
          <w:rFonts w:cs="Times New Roman"/>
        </w:rPr>
      </w:pPr>
      <w:r w:rsidRPr="00E61FD4">
        <w:rPr>
          <w:rFonts w:cs="Times New Roman"/>
        </w:rPr>
        <w:t>CAMZYOS</w:t>
      </w:r>
      <w:r w:rsidR="009C262E" w:rsidRPr="00E61FD4">
        <w:rPr>
          <w:rFonts w:cs="Times New Roman"/>
        </w:rPr>
        <w:t xml:space="preserve"> may have minor influence on the ability to drive and use machines. Dizziness may occur following administration of mavacamten. Patients should be advised not to drive or use machines if they experience dizziness.</w:t>
      </w:r>
    </w:p>
    <w:p w14:paraId="7150EC92" w14:textId="77777777" w:rsidR="001A3992" w:rsidRPr="00E61FD4" w:rsidRDefault="001A3992" w:rsidP="008E41AB">
      <w:pPr>
        <w:pStyle w:val="Heading2"/>
      </w:pPr>
      <w:r w:rsidRPr="00E61FD4">
        <w:t>Adverse effects (Undesirable effects)</w:t>
      </w:r>
    </w:p>
    <w:p w14:paraId="07DF8C05" w14:textId="18B8EC7B" w:rsidR="00623672" w:rsidRPr="00E61FD4" w:rsidRDefault="00623672" w:rsidP="008E41AB">
      <w:pPr>
        <w:pStyle w:val="Heading3"/>
      </w:pPr>
      <w:r w:rsidRPr="00E61FD4">
        <w:t xml:space="preserve">Clinical Experience </w:t>
      </w:r>
    </w:p>
    <w:p w14:paraId="59FE2A7D" w14:textId="652EE28D" w:rsidR="004D0714" w:rsidRPr="00E61FD4" w:rsidRDefault="00B6401A" w:rsidP="002639A7">
      <w:pPr>
        <w:spacing w:after="120"/>
        <w:rPr>
          <w:rFonts w:cs="Times New Roman"/>
        </w:rPr>
      </w:pPr>
      <w:r w:rsidRPr="00E61FD4">
        <w:rPr>
          <w:rFonts w:cs="Times New Roman"/>
        </w:rPr>
        <w:t xml:space="preserve">The safety of </w:t>
      </w:r>
      <w:r w:rsidR="00E5063D" w:rsidRPr="00E61FD4">
        <w:rPr>
          <w:rFonts w:cs="Times New Roman"/>
        </w:rPr>
        <w:t>CAMZYOS</w:t>
      </w:r>
      <w:r w:rsidRPr="00E61FD4">
        <w:rPr>
          <w:rFonts w:cs="Times New Roman"/>
        </w:rPr>
        <w:t xml:space="preserve"> was evaluated in EXPLORER-HCM, a Phase 3, double-blind, randomized, placebo controlled, trial. Of the 251 o</w:t>
      </w:r>
      <w:r w:rsidR="00116735" w:rsidRPr="00E61FD4">
        <w:rPr>
          <w:rFonts w:cs="Times New Roman"/>
        </w:rPr>
        <w:t xml:space="preserve">bstructive </w:t>
      </w:r>
      <w:r w:rsidRPr="00E61FD4">
        <w:rPr>
          <w:rFonts w:cs="Times New Roman"/>
        </w:rPr>
        <w:t>HCM adult patients in this trial, 123 patients were treated with a daily dose of 2.5</w:t>
      </w:r>
      <w:r w:rsidR="00782131" w:rsidRPr="00E61FD4">
        <w:rPr>
          <w:rFonts w:cs="Times New Roman"/>
        </w:rPr>
        <w:t> </w:t>
      </w:r>
      <w:r w:rsidRPr="00E61FD4">
        <w:rPr>
          <w:rFonts w:cs="Times New Roman"/>
        </w:rPr>
        <w:t>mg, 5</w:t>
      </w:r>
      <w:r w:rsidR="00782131" w:rsidRPr="00E61FD4">
        <w:rPr>
          <w:rFonts w:cs="Times New Roman"/>
        </w:rPr>
        <w:t> </w:t>
      </w:r>
      <w:r w:rsidRPr="00E61FD4">
        <w:rPr>
          <w:rFonts w:cs="Times New Roman"/>
        </w:rPr>
        <w:t>mg, 10</w:t>
      </w:r>
      <w:r w:rsidR="00782131" w:rsidRPr="00E61FD4">
        <w:rPr>
          <w:rFonts w:cs="Times New Roman"/>
        </w:rPr>
        <w:t> </w:t>
      </w:r>
      <w:proofErr w:type="gramStart"/>
      <w:r w:rsidRPr="00E61FD4">
        <w:rPr>
          <w:rFonts w:cs="Times New Roman"/>
        </w:rPr>
        <w:t>mg</w:t>
      </w:r>
      <w:proofErr w:type="gramEnd"/>
      <w:r w:rsidRPr="00E61FD4">
        <w:rPr>
          <w:rFonts w:cs="Times New Roman"/>
        </w:rPr>
        <w:t xml:space="preserve"> or 15</w:t>
      </w:r>
      <w:r w:rsidR="00782131" w:rsidRPr="00E61FD4">
        <w:rPr>
          <w:rFonts w:cs="Times New Roman"/>
        </w:rPr>
        <w:t> </w:t>
      </w:r>
      <w:r w:rsidRPr="00E61FD4">
        <w:rPr>
          <w:rFonts w:cs="Times New Roman"/>
        </w:rPr>
        <w:t xml:space="preserve">mg of </w:t>
      </w:r>
      <w:r w:rsidR="00E5063D" w:rsidRPr="00E61FD4">
        <w:rPr>
          <w:rFonts w:cs="Times New Roman"/>
        </w:rPr>
        <w:t>CAMZYOS</w:t>
      </w:r>
      <w:r w:rsidRPr="00E61FD4">
        <w:rPr>
          <w:rFonts w:cs="Times New Roman"/>
        </w:rPr>
        <w:t xml:space="preserve"> and 128 were treated with placebo. </w:t>
      </w:r>
      <w:r w:rsidR="00E5063D" w:rsidRPr="00E61FD4">
        <w:rPr>
          <w:rFonts w:cs="Times New Roman"/>
        </w:rPr>
        <w:t>CAMZYOS</w:t>
      </w:r>
      <w:r w:rsidRPr="00E61FD4">
        <w:rPr>
          <w:rFonts w:cs="Times New Roman"/>
        </w:rPr>
        <w:t>-treated patients received a median duration of exposure of 30.4</w:t>
      </w:r>
      <w:r w:rsidR="006F20D7" w:rsidRPr="00E61FD4">
        <w:rPr>
          <w:rFonts w:cs="Times New Roman"/>
        </w:rPr>
        <w:t> </w:t>
      </w:r>
      <w:r w:rsidRPr="00E61FD4">
        <w:rPr>
          <w:rFonts w:cs="Times New Roman"/>
        </w:rPr>
        <w:t>weeks (range: 1.6 to 40.3</w:t>
      </w:r>
      <w:r w:rsidR="006F20D7" w:rsidRPr="00E61FD4">
        <w:rPr>
          <w:rFonts w:cs="Times New Roman"/>
        </w:rPr>
        <w:t> </w:t>
      </w:r>
      <w:r w:rsidRPr="00E61FD4">
        <w:rPr>
          <w:rFonts w:cs="Times New Roman"/>
        </w:rPr>
        <w:t>weeks)</w:t>
      </w:r>
      <w:r w:rsidR="007C5467" w:rsidRPr="00E61FD4">
        <w:rPr>
          <w:rFonts w:cs="Times New Roman"/>
        </w:rPr>
        <w:t>.</w:t>
      </w:r>
    </w:p>
    <w:p w14:paraId="7A5E7B29" w14:textId="49066E7F" w:rsidR="007C5467" w:rsidRPr="00E61FD4" w:rsidRDefault="00462715" w:rsidP="002639A7">
      <w:pPr>
        <w:autoSpaceDE w:val="0"/>
        <w:autoSpaceDN w:val="0"/>
        <w:adjustRightInd w:val="0"/>
        <w:spacing w:after="120"/>
        <w:rPr>
          <w:rFonts w:cs="Times New Roman"/>
        </w:rPr>
      </w:pPr>
      <w:r w:rsidRPr="00E61FD4">
        <w:rPr>
          <w:szCs w:val="24"/>
        </w:rPr>
        <w:t xml:space="preserve">There were no adverse reactions leading to discontinuation. </w:t>
      </w:r>
      <w:r w:rsidR="007C5467" w:rsidRPr="00E61FD4">
        <w:rPr>
          <w:rFonts w:cs="Times New Roman"/>
        </w:rPr>
        <w:t xml:space="preserve">Two patients out of 123 (1.6%) in the </w:t>
      </w:r>
      <w:r w:rsidR="00E5063D" w:rsidRPr="00E61FD4">
        <w:rPr>
          <w:rFonts w:cs="Times New Roman"/>
        </w:rPr>
        <w:t>CAMZYOS</w:t>
      </w:r>
      <w:r w:rsidR="007C5467" w:rsidRPr="00E61FD4">
        <w:rPr>
          <w:rFonts w:cs="Times New Roman"/>
        </w:rPr>
        <w:t xml:space="preserve"> group and no patients (0%) in the placebo group discontinued trial drug. In the </w:t>
      </w:r>
      <w:r w:rsidR="00E5063D" w:rsidRPr="00E61FD4">
        <w:rPr>
          <w:rFonts w:cs="Times New Roman"/>
        </w:rPr>
        <w:t>CAMZYOS</w:t>
      </w:r>
      <w:r w:rsidR="007C5467" w:rsidRPr="00E61FD4">
        <w:rPr>
          <w:rFonts w:cs="Times New Roman"/>
        </w:rPr>
        <w:t xml:space="preserve"> group, the adverse </w:t>
      </w:r>
      <w:r w:rsidR="0000369D" w:rsidRPr="00E61FD4">
        <w:rPr>
          <w:rFonts w:cs="Times New Roman"/>
        </w:rPr>
        <w:t>events</w:t>
      </w:r>
      <w:r w:rsidR="007C5467" w:rsidRPr="00E61FD4">
        <w:rPr>
          <w:rFonts w:cs="Times New Roman"/>
        </w:rPr>
        <w:t xml:space="preserve"> leading to discontinuation were syncope (0.8%) and atrial fibrillation (0.8%) in one patient each.</w:t>
      </w:r>
    </w:p>
    <w:p w14:paraId="34171B37" w14:textId="7B7D2135" w:rsidR="00B81199" w:rsidRPr="00E61FD4" w:rsidRDefault="00424E3E" w:rsidP="002639A7">
      <w:pPr>
        <w:autoSpaceDE w:val="0"/>
        <w:autoSpaceDN w:val="0"/>
        <w:adjustRightInd w:val="0"/>
        <w:spacing w:after="120"/>
      </w:pPr>
      <w:r w:rsidRPr="00E61FD4">
        <w:lastRenderedPageBreak/>
        <w:t>Adverse events reported by ≥</w:t>
      </w:r>
      <w:r w:rsidR="00782131" w:rsidRPr="00E61FD4">
        <w:t> </w:t>
      </w:r>
      <w:r w:rsidR="00E378C2" w:rsidRPr="00E61FD4">
        <w:t>5</w:t>
      </w:r>
      <w:r w:rsidRPr="00E61FD4">
        <w:t xml:space="preserve">% of subjects in any treatment group are provided in </w:t>
      </w:r>
      <w:r w:rsidR="009C3D53" w:rsidRPr="00E61FD4">
        <w:fldChar w:fldCharType="begin"/>
      </w:r>
      <w:r w:rsidR="009C3D53" w:rsidRPr="00E61FD4">
        <w:instrText xml:space="preserve"> REF _Ref75263770 \h </w:instrText>
      </w:r>
      <w:r w:rsidR="00DD316B" w:rsidRPr="00E61FD4">
        <w:instrText xml:space="preserve"> \* MERGEFORMAT </w:instrText>
      </w:r>
      <w:r w:rsidR="009C3D53" w:rsidRPr="00E61FD4">
        <w:fldChar w:fldCharType="separate"/>
      </w:r>
      <w:r w:rsidR="00E61FD4" w:rsidRPr="00E61FD4">
        <w:t xml:space="preserve">Table </w:t>
      </w:r>
      <w:r w:rsidR="00E61FD4">
        <w:rPr>
          <w:noProof/>
        </w:rPr>
        <w:t>1</w:t>
      </w:r>
      <w:r w:rsidR="009C3D53" w:rsidRPr="00E61FD4">
        <w:fldChar w:fldCharType="end"/>
      </w:r>
      <w:r w:rsidR="009C3D53" w:rsidRPr="00E61FD4">
        <w:t>.</w:t>
      </w:r>
    </w:p>
    <w:p w14:paraId="266A6BC8" w14:textId="1EE24FC1" w:rsidR="0024014F" w:rsidRPr="00E61FD4" w:rsidRDefault="00776315" w:rsidP="00776315">
      <w:pPr>
        <w:pStyle w:val="Caption"/>
        <w:keepNext/>
        <w:spacing w:after="0"/>
        <w:jc w:val="left"/>
      </w:pPr>
      <w:bookmarkStart w:id="5" w:name="_Ref75263770"/>
      <w:r w:rsidRPr="00E61FD4">
        <w:t xml:space="preserve">Table </w:t>
      </w:r>
      <w:r w:rsidRPr="00E61FD4">
        <w:fldChar w:fldCharType="begin"/>
      </w:r>
      <w:r w:rsidRPr="00E61FD4">
        <w:instrText>SEQ Table \* ARABIC</w:instrText>
      </w:r>
      <w:r w:rsidRPr="00E61FD4">
        <w:fldChar w:fldCharType="separate"/>
      </w:r>
      <w:r w:rsidR="00E61FD4">
        <w:rPr>
          <w:noProof/>
        </w:rPr>
        <w:t>1</w:t>
      </w:r>
      <w:r w:rsidRPr="00E61FD4">
        <w:fldChar w:fldCharType="end"/>
      </w:r>
      <w:bookmarkEnd w:id="5"/>
      <w:r w:rsidRPr="00E61FD4">
        <w:t xml:space="preserve"> </w:t>
      </w:r>
      <w:r w:rsidR="00E25ED0" w:rsidRPr="00E61FD4">
        <w:rPr>
          <w:szCs w:val="20"/>
        </w:rPr>
        <w:t xml:space="preserve">Treatment-emergent Adverse Events Reported in ≥ </w:t>
      </w:r>
      <w:r w:rsidR="00E378C2" w:rsidRPr="00E61FD4">
        <w:t>5</w:t>
      </w:r>
      <w:r w:rsidR="00E25ED0" w:rsidRPr="00E61FD4">
        <w:rPr>
          <w:szCs w:val="20"/>
        </w:rPr>
        <w:t>% of Subjects in Any Treatment Group</w:t>
      </w:r>
      <w:r w:rsidR="0024014F" w:rsidRPr="00E61FD4">
        <w:t xml:space="preserve"> in pivotal clinical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3964"/>
        <w:gridCol w:w="2526"/>
        <w:gridCol w:w="2526"/>
      </w:tblGrid>
      <w:tr w:rsidR="0024014F" w:rsidRPr="00E61FD4" w14:paraId="7E486F0A" w14:textId="77777777" w:rsidTr="00A966F7">
        <w:trPr>
          <w:cantSplit/>
          <w:tblHeader/>
        </w:trPr>
        <w:tc>
          <w:tcPr>
            <w:tcW w:w="2198" w:type="pct"/>
            <w:vAlign w:val="center"/>
            <w:hideMark/>
          </w:tcPr>
          <w:p w14:paraId="5BB59565" w14:textId="597DD49C" w:rsidR="0024014F" w:rsidRPr="00E61FD4" w:rsidRDefault="0024014F" w:rsidP="00776315">
            <w:pPr>
              <w:pStyle w:val="EMEABodyText"/>
              <w:keepNext/>
              <w:rPr>
                <w:b/>
                <w:bCs/>
                <w:sz w:val="20"/>
              </w:rPr>
            </w:pPr>
            <w:r w:rsidRPr="00E61FD4">
              <w:rPr>
                <w:b/>
                <w:bCs/>
                <w:sz w:val="20"/>
              </w:rPr>
              <w:t>System organ class</w:t>
            </w:r>
            <w:r w:rsidR="00B012E3" w:rsidRPr="00E61FD4">
              <w:rPr>
                <w:b/>
                <w:bCs/>
                <w:sz w:val="20"/>
              </w:rPr>
              <w:t xml:space="preserve"> and Preferred Term</w:t>
            </w:r>
          </w:p>
        </w:tc>
        <w:tc>
          <w:tcPr>
            <w:tcW w:w="1401" w:type="pct"/>
            <w:vAlign w:val="center"/>
            <w:hideMark/>
          </w:tcPr>
          <w:p w14:paraId="5F82F007" w14:textId="1A04B404" w:rsidR="002750B1" w:rsidRPr="00E61FD4" w:rsidRDefault="00E5063D" w:rsidP="00776315">
            <w:pPr>
              <w:pStyle w:val="EMEABodyText"/>
              <w:keepNext/>
              <w:jc w:val="center"/>
              <w:rPr>
                <w:b/>
                <w:bCs/>
                <w:sz w:val="20"/>
              </w:rPr>
            </w:pPr>
            <w:r w:rsidRPr="00E61FD4">
              <w:rPr>
                <w:b/>
                <w:bCs/>
                <w:sz w:val="20"/>
              </w:rPr>
              <w:t>CAMZYOS</w:t>
            </w:r>
            <w:r w:rsidR="002750B1" w:rsidRPr="00E61FD4">
              <w:rPr>
                <w:b/>
                <w:bCs/>
                <w:sz w:val="20"/>
              </w:rPr>
              <w:t xml:space="preserve"> (N = 123)</w:t>
            </w:r>
          </w:p>
          <w:p w14:paraId="6031374E" w14:textId="0EBA3A85" w:rsidR="00A86993" w:rsidRPr="00E61FD4" w:rsidRDefault="002B2B68" w:rsidP="00776315">
            <w:pPr>
              <w:pStyle w:val="EMEABodyText"/>
              <w:keepNext/>
              <w:jc w:val="center"/>
              <w:rPr>
                <w:b/>
                <w:bCs/>
                <w:sz w:val="20"/>
              </w:rPr>
            </w:pPr>
            <w:r w:rsidRPr="00E61FD4">
              <w:rPr>
                <w:b/>
                <w:bCs/>
                <w:sz w:val="20"/>
              </w:rPr>
              <w:t xml:space="preserve">N </w:t>
            </w:r>
            <w:r w:rsidR="00A86993" w:rsidRPr="00E61FD4">
              <w:rPr>
                <w:b/>
                <w:bCs/>
                <w:sz w:val="20"/>
              </w:rPr>
              <w:t>(%)</w:t>
            </w:r>
          </w:p>
        </w:tc>
        <w:tc>
          <w:tcPr>
            <w:tcW w:w="1401" w:type="pct"/>
          </w:tcPr>
          <w:p w14:paraId="6C535572" w14:textId="77777777" w:rsidR="0024014F" w:rsidRPr="00E61FD4" w:rsidRDefault="002750B1" w:rsidP="00776315">
            <w:pPr>
              <w:pStyle w:val="EMEABodyText"/>
              <w:keepNext/>
              <w:jc w:val="center"/>
              <w:rPr>
                <w:b/>
                <w:bCs/>
                <w:sz w:val="20"/>
              </w:rPr>
            </w:pPr>
            <w:r w:rsidRPr="00E61FD4">
              <w:rPr>
                <w:b/>
                <w:bCs/>
                <w:sz w:val="20"/>
              </w:rPr>
              <w:t>Placebo (N = 129)</w:t>
            </w:r>
          </w:p>
          <w:p w14:paraId="5B238F97" w14:textId="58DB6A0A" w:rsidR="00A86993" w:rsidRPr="00E61FD4" w:rsidRDefault="002B2B68" w:rsidP="00776315">
            <w:pPr>
              <w:pStyle w:val="EMEABodyText"/>
              <w:keepNext/>
              <w:jc w:val="center"/>
              <w:rPr>
                <w:b/>
                <w:bCs/>
                <w:sz w:val="20"/>
              </w:rPr>
            </w:pPr>
            <w:r w:rsidRPr="00E61FD4">
              <w:rPr>
                <w:b/>
                <w:bCs/>
                <w:sz w:val="20"/>
              </w:rPr>
              <w:t xml:space="preserve">N </w:t>
            </w:r>
            <w:r w:rsidR="00A86993" w:rsidRPr="00E61FD4">
              <w:rPr>
                <w:b/>
                <w:bCs/>
                <w:sz w:val="20"/>
              </w:rPr>
              <w:t>(%)</w:t>
            </w:r>
          </w:p>
        </w:tc>
      </w:tr>
      <w:tr w:rsidR="00FB6182" w:rsidRPr="00E61FD4" w14:paraId="0FDA5117" w14:textId="77777777" w:rsidTr="00A966F7">
        <w:trPr>
          <w:cantSplit/>
          <w:trHeight w:val="237"/>
        </w:trPr>
        <w:tc>
          <w:tcPr>
            <w:tcW w:w="2198" w:type="pct"/>
          </w:tcPr>
          <w:p w14:paraId="1AE6DE58" w14:textId="643BF97F" w:rsidR="00FB6182" w:rsidRPr="00E61FD4" w:rsidRDefault="00FB6182" w:rsidP="00776315">
            <w:pPr>
              <w:pStyle w:val="EMEABodyText"/>
              <w:keepNext/>
              <w:rPr>
                <w:sz w:val="20"/>
              </w:rPr>
            </w:pPr>
            <w:r w:rsidRPr="00E61FD4">
              <w:rPr>
                <w:sz w:val="20"/>
              </w:rPr>
              <w:t>Cardiac disorders</w:t>
            </w:r>
          </w:p>
        </w:tc>
        <w:tc>
          <w:tcPr>
            <w:tcW w:w="1401" w:type="pct"/>
          </w:tcPr>
          <w:p w14:paraId="25EC8B05" w14:textId="77777777" w:rsidR="00FB6182" w:rsidRPr="00E61FD4" w:rsidRDefault="00FB6182" w:rsidP="00776315">
            <w:pPr>
              <w:pStyle w:val="EMEABodyText"/>
              <w:keepNext/>
              <w:jc w:val="center"/>
              <w:rPr>
                <w:iCs/>
                <w:sz w:val="20"/>
                <w:u w:val="single"/>
              </w:rPr>
            </w:pPr>
          </w:p>
        </w:tc>
        <w:tc>
          <w:tcPr>
            <w:tcW w:w="1401" w:type="pct"/>
          </w:tcPr>
          <w:p w14:paraId="7E9E095E" w14:textId="77777777" w:rsidR="00FB6182" w:rsidRPr="00E61FD4" w:rsidRDefault="00FB6182" w:rsidP="00776315">
            <w:pPr>
              <w:pStyle w:val="EMEABodyText"/>
              <w:keepNext/>
              <w:jc w:val="center"/>
              <w:rPr>
                <w:iCs/>
                <w:sz w:val="20"/>
              </w:rPr>
            </w:pPr>
          </w:p>
        </w:tc>
      </w:tr>
      <w:tr w:rsidR="00FB6182" w:rsidRPr="00E61FD4" w14:paraId="003D9574" w14:textId="77777777" w:rsidTr="00A966F7">
        <w:trPr>
          <w:cantSplit/>
          <w:trHeight w:val="237"/>
        </w:trPr>
        <w:tc>
          <w:tcPr>
            <w:tcW w:w="2198" w:type="pct"/>
          </w:tcPr>
          <w:p w14:paraId="02D455AE" w14:textId="28616DB3" w:rsidR="00FB6182" w:rsidRPr="00E61FD4" w:rsidRDefault="00804006" w:rsidP="00776315">
            <w:pPr>
              <w:pStyle w:val="EMEABodyText"/>
              <w:keepNext/>
              <w:rPr>
                <w:sz w:val="20"/>
              </w:rPr>
            </w:pPr>
            <w:r w:rsidRPr="00E61FD4">
              <w:rPr>
                <w:sz w:val="20"/>
              </w:rPr>
              <w:tab/>
              <w:t>Atrial fibrillation</w:t>
            </w:r>
          </w:p>
        </w:tc>
        <w:tc>
          <w:tcPr>
            <w:tcW w:w="1401" w:type="pct"/>
          </w:tcPr>
          <w:p w14:paraId="26E7B7DF" w14:textId="79049666" w:rsidR="00FB6182" w:rsidRPr="00E61FD4" w:rsidRDefault="009831C9" w:rsidP="00776315">
            <w:pPr>
              <w:pStyle w:val="EMEABodyText"/>
              <w:keepNext/>
              <w:jc w:val="center"/>
              <w:rPr>
                <w:iCs/>
                <w:sz w:val="20"/>
              </w:rPr>
            </w:pPr>
            <w:r w:rsidRPr="00E61FD4">
              <w:rPr>
                <w:iCs/>
                <w:sz w:val="20"/>
              </w:rPr>
              <w:t>10 (8.1)</w:t>
            </w:r>
          </w:p>
        </w:tc>
        <w:tc>
          <w:tcPr>
            <w:tcW w:w="1401" w:type="pct"/>
          </w:tcPr>
          <w:p w14:paraId="2285C0AE" w14:textId="458CE712" w:rsidR="00FB6182" w:rsidRPr="00E61FD4" w:rsidRDefault="009831C9" w:rsidP="00776315">
            <w:pPr>
              <w:pStyle w:val="EMEABodyText"/>
              <w:keepNext/>
              <w:jc w:val="center"/>
              <w:rPr>
                <w:iCs/>
                <w:sz w:val="20"/>
              </w:rPr>
            </w:pPr>
            <w:r w:rsidRPr="00E61FD4">
              <w:rPr>
                <w:iCs/>
                <w:sz w:val="20"/>
              </w:rPr>
              <w:t>10 (7.8)</w:t>
            </w:r>
          </w:p>
        </w:tc>
      </w:tr>
      <w:tr w:rsidR="009831C9" w:rsidRPr="00E61FD4" w14:paraId="571328C7" w14:textId="77777777" w:rsidTr="00A966F7">
        <w:trPr>
          <w:cantSplit/>
          <w:trHeight w:val="237"/>
        </w:trPr>
        <w:tc>
          <w:tcPr>
            <w:tcW w:w="2198" w:type="pct"/>
          </w:tcPr>
          <w:p w14:paraId="1CDEC911" w14:textId="00E2DA90" w:rsidR="009831C9" w:rsidRPr="00E61FD4" w:rsidRDefault="009831C9" w:rsidP="00776315">
            <w:pPr>
              <w:pStyle w:val="EMEABodyText"/>
              <w:keepNext/>
              <w:rPr>
                <w:sz w:val="20"/>
              </w:rPr>
            </w:pPr>
            <w:r w:rsidRPr="00E61FD4">
              <w:rPr>
                <w:sz w:val="20"/>
              </w:rPr>
              <w:tab/>
              <w:t>Palpitations</w:t>
            </w:r>
          </w:p>
        </w:tc>
        <w:tc>
          <w:tcPr>
            <w:tcW w:w="1401" w:type="pct"/>
          </w:tcPr>
          <w:p w14:paraId="29D465B2" w14:textId="523E87DF" w:rsidR="009831C9" w:rsidRPr="00E61FD4" w:rsidRDefault="009831C9" w:rsidP="00776315">
            <w:pPr>
              <w:pStyle w:val="EMEABodyText"/>
              <w:keepNext/>
              <w:jc w:val="center"/>
              <w:rPr>
                <w:iCs/>
                <w:sz w:val="20"/>
              </w:rPr>
            </w:pPr>
            <w:r w:rsidRPr="00E61FD4">
              <w:rPr>
                <w:iCs/>
                <w:sz w:val="20"/>
              </w:rPr>
              <w:t>7 (5.7)</w:t>
            </w:r>
          </w:p>
        </w:tc>
        <w:tc>
          <w:tcPr>
            <w:tcW w:w="1401" w:type="pct"/>
          </w:tcPr>
          <w:p w14:paraId="544E334E" w14:textId="03B093D2" w:rsidR="009831C9" w:rsidRPr="00E61FD4" w:rsidRDefault="004F6893" w:rsidP="00776315">
            <w:pPr>
              <w:pStyle w:val="EMEABodyText"/>
              <w:keepNext/>
              <w:jc w:val="center"/>
              <w:rPr>
                <w:iCs/>
                <w:sz w:val="20"/>
              </w:rPr>
            </w:pPr>
            <w:r w:rsidRPr="00E61FD4">
              <w:rPr>
                <w:iCs/>
                <w:sz w:val="20"/>
              </w:rPr>
              <w:t>10 (7.8)</w:t>
            </w:r>
          </w:p>
        </w:tc>
      </w:tr>
      <w:tr w:rsidR="009831C9" w:rsidRPr="00E61FD4" w14:paraId="56921192" w14:textId="77777777" w:rsidTr="00A966F7">
        <w:trPr>
          <w:cantSplit/>
          <w:trHeight w:val="237"/>
        </w:trPr>
        <w:tc>
          <w:tcPr>
            <w:tcW w:w="2198" w:type="pct"/>
          </w:tcPr>
          <w:p w14:paraId="14F500FB" w14:textId="5A6BDFA0" w:rsidR="009831C9" w:rsidRPr="00E61FD4" w:rsidRDefault="00DA5D3B" w:rsidP="00776315">
            <w:pPr>
              <w:pStyle w:val="EMEABodyText"/>
              <w:keepNext/>
              <w:rPr>
                <w:sz w:val="20"/>
              </w:rPr>
            </w:pPr>
            <w:r w:rsidRPr="00E61FD4">
              <w:rPr>
                <w:sz w:val="20"/>
              </w:rPr>
              <w:tab/>
            </w:r>
            <w:r w:rsidR="004F6893" w:rsidRPr="00E61FD4">
              <w:rPr>
                <w:sz w:val="20"/>
              </w:rPr>
              <w:t>Angina pectoris</w:t>
            </w:r>
          </w:p>
        </w:tc>
        <w:tc>
          <w:tcPr>
            <w:tcW w:w="1401" w:type="pct"/>
          </w:tcPr>
          <w:p w14:paraId="16335F0C" w14:textId="003A0CE0" w:rsidR="009831C9" w:rsidRPr="00E61FD4" w:rsidRDefault="004F6893" w:rsidP="00776315">
            <w:pPr>
              <w:pStyle w:val="EMEABodyText"/>
              <w:keepNext/>
              <w:jc w:val="center"/>
              <w:rPr>
                <w:iCs/>
                <w:sz w:val="20"/>
              </w:rPr>
            </w:pPr>
            <w:r w:rsidRPr="00E61FD4">
              <w:rPr>
                <w:iCs/>
                <w:sz w:val="20"/>
              </w:rPr>
              <w:t>3 (2.4)</w:t>
            </w:r>
          </w:p>
        </w:tc>
        <w:tc>
          <w:tcPr>
            <w:tcW w:w="1401" w:type="pct"/>
          </w:tcPr>
          <w:p w14:paraId="4BD21C3C" w14:textId="06BAE7D1" w:rsidR="009831C9" w:rsidRPr="00E61FD4" w:rsidRDefault="004F6893" w:rsidP="00776315">
            <w:pPr>
              <w:pStyle w:val="EMEABodyText"/>
              <w:keepNext/>
              <w:jc w:val="center"/>
              <w:rPr>
                <w:iCs/>
                <w:sz w:val="20"/>
              </w:rPr>
            </w:pPr>
            <w:r w:rsidRPr="00E61FD4">
              <w:rPr>
                <w:iCs/>
                <w:sz w:val="20"/>
              </w:rPr>
              <w:t>7 (5.5)</w:t>
            </w:r>
          </w:p>
        </w:tc>
      </w:tr>
      <w:tr w:rsidR="004F6893" w:rsidRPr="00E61FD4" w14:paraId="6104F501" w14:textId="77777777" w:rsidTr="00A966F7">
        <w:trPr>
          <w:cantSplit/>
          <w:trHeight w:val="237"/>
        </w:trPr>
        <w:tc>
          <w:tcPr>
            <w:tcW w:w="2198" w:type="pct"/>
          </w:tcPr>
          <w:p w14:paraId="53BFB90F" w14:textId="282F9845" w:rsidR="004F6893" w:rsidRPr="00E61FD4" w:rsidRDefault="004F6893" w:rsidP="00776315">
            <w:pPr>
              <w:pStyle w:val="EMEABodyText"/>
              <w:keepNext/>
              <w:rPr>
                <w:sz w:val="20"/>
              </w:rPr>
            </w:pPr>
            <w:r w:rsidRPr="00E61FD4">
              <w:rPr>
                <w:sz w:val="20"/>
              </w:rPr>
              <w:t>Gastrointestinal disorders</w:t>
            </w:r>
          </w:p>
        </w:tc>
        <w:tc>
          <w:tcPr>
            <w:tcW w:w="1401" w:type="pct"/>
          </w:tcPr>
          <w:p w14:paraId="7D2B510F" w14:textId="77777777" w:rsidR="004F6893" w:rsidRPr="00E61FD4" w:rsidRDefault="004F6893" w:rsidP="00776315">
            <w:pPr>
              <w:pStyle w:val="EMEABodyText"/>
              <w:keepNext/>
              <w:jc w:val="center"/>
              <w:rPr>
                <w:iCs/>
                <w:sz w:val="20"/>
              </w:rPr>
            </w:pPr>
          </w:p>
        </w:tc>
        <w:tc>
          <w:tcPr>
            <w:tcW w:w="1401" w:type="pct"/>
          </w:tcPr>
          <w:p w14:paraId="01D199C6" w14:textId="77777777" w:rsidR="004F6893" w:rsidRPr="00E61FD4" w:rsidRDefault="004F6893" w:rsidP="00776315">
            <w:pPr>
              <w:pStyle w:val="EMEABodyText"/>
              <w:keepNext/>
              <w:jc w:val="center"/>
              <w:rPr>
                <w:iCs/>
                <w:sz w:val="20"/>
              </w:rPr>
            </w:pPr>
          </w:p>
        </w:tc>
      </w:tr>
      <w:tr w:rsidR="004F6893" w:rsidRPr="00E61FD4" w14:paraId="2E6B5613" w14:textId="77777777" w:rsidTr="00A966F7">
        <w:trPr>
          <w:cantSplit/>
          <w:trHeight w:val="237"/>
        </w:trPr>
        <w:tc>
          <w:tcPr>
            <w:tcW w:w="2198" w:type="pct"/>
          </w:tcPr>
          <w:p w14:paraId="657F550D" w14:textId="776EF2C2" w:rsidR="004F6893" w:rsidRPr="00E61FD4" w:rsidRDefault="00DA5D3B" w:rsidP="00DB1A44">
            <w:pPr>
              <w:pStyle w:val="EMEABodyText"/>
              <w:keepNext/>
              <w:rPr>
                <w:sz w:val="20"/>
              </w:rPr>
            </w:pPr>
            <w:r w:rsidRPr="00E61FD4">
              <w:rPr>
                <w:sz w:val="20"/>
              </w:rPr>
              <w:tab/>
            </w:r>
            <w:r w:rsidR="004F6893" w:rsidRPr="00E61FD4">
              <w:rPr>
                <w:sz w:val="20"/>
              </w:rPr>
              <w:t>Diarrhoea</w:t>
            </w:r>
          </w:p>
        </w:tc>
        <w:tc>
          <w:tcPr>
            <w:tcW w:w="1401" w:type="pct"/>
          </w:tcPr>
          <w:p w14:paraId="60EEC157" w14:textId="6BD757D4" w:rsidR="004F6893" w:rsidRPr="00E61FD4" w:rsidRDefault="004F6893" w:rsidP="005F4BD3">
            <w:pPr>
              <w:pStyle w:val="EMEABodyText"/>
              <w:keepNext/>
              <w:jc w:val="center"/>
              <w:rPr>
                <w:iCs/>
                <w:sz w:val="20"/>
              </w:rPr>
            </w:pPr>
            <w:r w:rsidRPr="00E61FD4">
              <w:rPr>
                <w:iCs/>
                <w:sz w:val="20"/>
              </w:rPr>
              <w:t>5 (4.1)</w:t>
            </w:r>
          </w:p>
        </w:tc>
        <w:tc>
          <w:tcPr>
            <w:tcW w:w="1401" w:type="pct"/>
          </w:tcPr>
          <w:p w14:paraId="427C1CD8" w14:textId="26BDF3AF" w:rsidR="004F6893" w:rsidRPr="00E61FD4" w:rsidRDefault="00C71C99" w:rsidP="00755A9F">
            <w:pPr>
              <w:pStyle w:val="EMEABodyText"/>
              <w:keepNext/>
              <w:jc w:val="center"/>
              <w:rPr>
                <w:iCs/>
                <w:sz w:val="20"/>
              </w:rPr>
            </w:pPr>
            <w:r w:rsidRPr="00E61FD4">
              <w:rPr>
                <w:iCs/>
                <w:sz w:val="20"/>
              </w:rPr>
              <w:t>7 (5.5)</w:t>
            </w:r>
          </w:p>
        </w:tc>
      </w:tr>
      <w:tr w:rsidR="00C71C99" w:rsidRPr="00E61FD4" w14:paraId="78FBF7DC" w14:textId="77777777" w:rsidTr="00A966F7">
        <w:trPr>
          <w:cantSplit/>
          <w:trHeight w:val="237"/>
        </w:trPr>
        <w:tc>
          <w:tcPr>
            <w:tcW w:w="2198" w:type="pct"/>
          </w:tcPr>
          <w:p w14:paraId="0FAA6571" w14:textId="7664036B" w:rsidR="00C71C99" w:rsidRPr="00E61FD4" w:rsidRDefault="00DA5D3B" w:rsidP="00DB1A44">
            <w:pPr>
              <w:pStyle w:val="EMEABodyText"/>
              <w:keepNext/>
              <w:rPr>
                <w:sz w:val="20"/>
              </w:rPr>
            </w:pPr>
            <w:r w:rsidRPr="00E61FD4">
              <w:rPr>
                <w:sz w:val="20"/>
              </w:rPr>
              <w:tab/>
            </w:r>
            <w:proofErr w:type="spellStart"/>
            <w:r w:rsidR="00C71C99" w:rsidRPr="00E61FD4">
              <w:rPr>
                <w:sz w:val="20"/>
              </w:rPr>
              <w:t>Gastrooesophageal</w:t>
            </w:r>
            <w:proofErr w:type="spellEnd"/>
            <w:r w:rsidR="00C71C99" w:rsidRPr="00E61FD4">
              <w:rPr>
                <w:sz w:val="20"/>
              </w:rPr>
              <w:t xml:space="preserve"> reflux disease</w:t>
            </w:r>
          </w:p>
        </w:tc>
        <w:tc>
          <w:tcPr>
            <w:tcW w:w="1401" w:type="pct"/>
          </w:tcPr>
          <w:p w14:paraId="17026609" w14:textId="1AB3547F" w:rsidR="00C71C99" w:rsidRPr="00E61FD4" w:rsidRDefault="00C71C99" w:rsidP="005F4BD3">
            <w:pPr>
              <w:pStyle w:val="EMEABodyText"/>
              <w:keepNext/>
              <w:jc w:val="center"/>
              <w:rPr>
                <w:iCs/>
                <w:sz w:val="20"/>
              </w:rPr>
            </w:pPr>
            <w:r w:rsidRPr="00E61FD4">
              <w:rPr>
                <w:iCs/>
                <w:sz w:val="20"/>
              </w:rPr>
              <w:t>7 (5.7)</w:t>
            </w:r>
          </w:p>
        </w:tc>
        <w:tc>
          <w:tcPr>
            <w:tcW w:w="1401" w:type="pct"/>
          </w:tcPr>
          <w:p w14:paraId="521133C5" w14:textId="68C915CD" w:rsidR="00C71C99" w:rsidRPr="00E61FD4" w:rsidRDefault="00C71C99" w:rsidP="00755A9F">
            <w:pPr>
              <w:pStyle w:val="EMEABodyText"/>
              <w:keepNext/>
              <w:jc w:val="center"/>
              <w:rPr>
                <w:iCs/>
                <w:sz w:val="20"/>
              </w:rPr>
            </w:pPr>
            <w:r w:rsidRPr="00E61FD4">
              <w:rPr>
                <w:iCs/>
                <w:sz w:val="20"/>
              </w:rPr>
              <w:t>3 (2.3)</w:t>
            </w:r>
          </w:p>
        </w:tc>
      </w:tr>
      <w:tr w:rsidR="00C71C99" w:rsidRPr="00E61FD4" w14:paraId="77A7DC82" w14:textId="77777777" w:rsidTr="00A966F7">
        <w:trPr>
          <w:cantSplit/>
          <w:trHeight w:val="237"/>
        </w:trPr>
        <w:tc>
          <w:tcPr>
            <w:tcW w:w="2198" w:type="pct"/>
          </w:tcPr>
          <w:p w14:paraId="48922313" w14:textId="475F0569" w:rsidR="00C71C99" w:rsidRPr="00E61FD4" w:rsidRDefault="00F13D05" w:rsidP="00DB1A44">
            <w:pPr>
              <w:pStyle w:val="EMEABodyText"/>
              <w:keepNext/>
              <w:rPr>
                <w:sz w:val="20"/>
              </w:rPr>
            </w:pPr>
            <w:r w:rsidRPr="00E61FD4">
              <w:rPr>
                <w:sz w:val="20"/>
              </w:rPr>
              <w:t>General disorders and administration site conditions</w:t>
            </w:r>
          </w:p>
        </w:tc>
        <w:tc>
          <w:tcPr>
            <w:tcW w:w="1401" w:type="pct"/>
          </w:tcPr>
          <w:p w14:paraId="295873B5" w14:textId="77777777" w:rsidR="00C71C99" w:rsidRPr="00E61FD4" w:rsidRDefault="00C71C99" w:rsidP="005F4BD3">
            <w:pPr>
              <w:pStyle w:val="EMEABodyText"/>
              <w:keepNext/>
              <w:jc w:val="center"/>
              <w:rPr>
                <w:iCs/>
                <w:sz w:val="20"/>
              </w:rPr>
            </w:pPr>
          </w:p>
        </w:tc>
        <w:tc>
          <w:tcPr>
            <w:tcW w:w="1401" w:type="pct"/>
          </w:tcPr>
          <w:p w14:paraId="415BBE7F" w14:textId="77777777" w:rsidR="00C71C99" w:rsidRPr="00E61FD4" w:rsidRDefault="00C71C99" w:rsidP="00755A9F">
            <w:pPr>
              <w:pStyle w:val="EMEABodyText"/>
              <w:keepNext/>
              <w:jc w:val="center"/>
              <w:rPr>
                <w:iCs/>
                <w:sz w:val="20"/>
              </w:rPr>
            </w:pPr>
          </w:p>
        </w:tc>
      </w:tr>
      <w:tr w:rsidR="00F13D05" w:rsidRPr="00E61FD4" w14:paraId="12C9EA03" w14:textId="77777777" w:rsidTr="00A966F7">
        <w:trPr>
          <w:cantSplit/>
          <w:trHeight w:val="237"/>
        </w:trPr>
        <w:tc>
          <w:tcPr>
            <w:tcW w:w="2198" w:type="pct"/>
          </w:tcPr>
          <w:p w14:paraId="5A29F7AA" w14:textId="75E42551" w:rsidR="00F13D05" w:rsidRPr="00E61FD4" w:rsidRDefault="00DA5D3B" w:rsidP="00DB1A44">
            <w:pPr>
              <w:pStyle w:val="EMEABodyText"/>
              <w:keepNext/>
              <w:rPr>
                <w:sz w:val="20"/>
              </w:rPr>
            </w:pPr>
            <w:r w:rsidRPr="00E61FD4">
              <w:rPr>
                <w:sz w:val="20"/>
              </w:rPr>
              <w:tab/>
            </w:r>
            <w:r w:rsidR="00F13D05" w:rsidRPr="00E61FD4">
              <w:rPr>
                <w:sz w:val="20"/>
              </w:rPr>
              <w:t>Fatigue</w:t>
            </w:r>
          </w:p>
        </w:tc>
        <w:tc>
          <w:tcPr>
            <w:tcW w:w="1401" w:type="pct"/>
          </w:tcPr>
          <w:p w14:paraId="170F1831" w14:textId="2E659A5A" w:rsidR="00F13D05" w:rsidRPr="00E61FD4" w:rsidRDefault="00F13D05" w:rsidP="005F4BD3">
            <w:pPr>
              <w:pStyle w:val="EMEABodyText"/>
              <w:keepNext/>
              <w:jc w:val="center"/>
              <w:rPr>
                <w:iCs/>
                <w:sz w:val="20"/>
              </w:rPr>
            </w:pPr>
            <w:r w:rsidRPr="00E61FD4">
              <w:rPr>
                <w:iCs/>
                <w:sz w:val="20"/>
              </w:rPr>
              <w:t>7 (5.7)</w:t>
            </w:r>
          </w:p>
        </w:tc>
        <w:tc>
          <w:tcPr>
            <w:tcW w:w="1401" w:type="pct"/>
          </w:tcPr>
          <w:p w14:paraId="391FC4B3" w14:textId="0A2E391D" w:rsidR="00F13D05" w:rsidRPr="00E61FD4" w:rsidRDefault="00F13D05" w:rsidP="00755A9F">
            <w:pPr>
              <w:pStyle w:val="EMEABodyText"/>
              <w:keepNext/>
              <w:jc w:val="center"/>
              <w:rPr>
                <w:iCs/>
                <w:sz w:val="20"/>
              </w:rPr>
            </w:pPr>
            <w:r w:rsidRPr="00E61FD4">
              <w:rPr>
                <w:iCs/>
                <w:sz w:val="20"/>
              </w:rPr>
              <w:t>7 (5.5)</w:t>
            </w:r>
          </w:p>
        </w:tc>
      </w:tr>
      <w:tr w:rsidR="00F13D05" w:rsidRPr="00E61FD4" w14:paraId="26FA74CA" w14:textId="77777777" w:rsidTr="00A966F7">
        <w:trPr>
          <w:cantSplit/>
          <w:trHeight w:val="237"/>
        </w:trPr>
        <w:tc>
          <w:tcPr>
            <w:tcW w:w="2198" w:type="pct"/>
          </w:tcPr>
          <w:p w14:paraId="3437DFF1" w14:textId="281CC514" w:rsidR="00F13D05" w:rsidRPr="00E61FD4" w:rsidRDefault="00F13D05" w:rsidP="00DB1A44">
            <w:pPr>
              <w:pStyle w:val="EMEABodyText"/>
              <w:keepNext/>
              <w:rPr>
                <w:sz w:val="20"/>
              </w:rPr>
            </w:pPr>
            <w:r w:rsidRPr="00E61FD4">
              <w:rPr>
                <w:sz w:val="20"/>
              </w:rPr>
              <w:t>Infections and infestations</w:t>
            </w:r>
          </w:p>
        </w:tc>
        <w:tc>
          <w:tcPr>
            <w:tcW w:w="1401" w:type="pct"/>
          </w:tcPr>
          <w:p w14:paraId="5E96EA5B" w14:textId="77777777" w:rsidR="00F13D05" w:rsidRPr="00E61FD4" w:rsidRDefault="00F13D05" w:rsidP="005F4BD3">
            <w:pPr>
              <w:pStyle w:val="EMEABodyText"/>
              <w:keepNext/>
              <w:jc w:val="center"/>
              <w:rPr>
                <w:iCs/>
                <w:sz w:val="20"/>
              </w:rPr>
            </w:pPr>
          </w:p>
        </w:tc>
        <w:tc>
          <w:tcPr>
            <w:tcW w:w="1401" w:type="pct"/>
          </w:tcPr>
          <w:p w14:paraId="5EA97BAD" w14:textId="77777777" w:rsidR="00F13D05" w:rsidRPr="00E61FD4" w:rsidRDefault="00F13D05" w:rsidP="00755A9F">
            <w:pPr>
              <w:pStyle w:val="EMEABodyText"/>
              <w:keepNext/>
              <w:jc w:val="center"/>
              <w:rPr>
                <w:iCs/>
                <w:sz w:val="20"/>
              </w:rPr>
            </w:pPr>
          </w:p>
        </w:tc>
      </w:tr>
      <w:tr w:rsidR="00F13D05" w:rsidRPr="00E61FD4" w14:paraId="246D4662" w14:textId="77777777" w:rsidTr="00A966F7">
        <w:trPr>
          <w:cantSplit/>
          <w:trHeight w:val="237"/>
        </w:trPr>
        <w:tc>
          <w:tcPr>
            <w:tcW w:w="2198" w:type="pct"/>
          </w:tcPr>
          <w:p w14:paraId="58FF26E7" w14:textId="4C788199" w:rsidR="00F13D05" w:rsidRPr="00E61FD4" w:rsidRDefault="00DA5D3B" w:rsidP="00DB1A44">
            <w:pPr>
              <w:pStyle w:val="EMEABodyText"/>
              <w:keepNext/>
              <w:rPr>
                <w:sz w:val="20"/>
              </w:rPr>
            </w:pPr>
            <w:r w:rsidRPr="00E61FD4">
              <w:rPr>
                <w:sz w:val="20"/>
              </w:rPr>
              <w:tab/>
            </w:r>
            <w:r w:rsidR="00F13D05" w:rsidRPr="00E61FD4">
              <w:rPr>
                <w:sz w:val="20"/>
              </w:rPr>
              <w:t>Nasopharyngitis</w:t>
            </w:r>
          </w:p>
        </w:tc>
        <w:tc>
          <w:tcPr>
            <w:tcW w:w="1401" w:type="pct"/>
          </w:tcPr>
          <w:p w14:paraId="4F844442" w14:textId="78A29BDB" w:rsidR="00F13D05" w:rsidRPr="00E61FD4" w:rsidRDefault="00B937C8" w:rsidP="005F4BD3">
            <w:pPr>
              <w:pStyle w:val="EMEABodyText"/>
              <w:keepNext/>
              <w:jc w:val="center"/>
              <w:rPr>
                <w:iCs/>
                <w:sz w:val="20"/>
              </w:rPr>
            </w:pPr>
            <w:r w:rsidRPr="00E61FD4">
              <w:rPr>
                <w:iCs/>
                <w:sz w:val="20"/>
              </w:rPr>
              <w:t>15 (12.2)</w:t>
            </w:r>
          </w:p>
        </w:tc>
        <w:tc>
          <w:tcPr>
            <w:tcW w:w="1401" w:type="pct"/>
          </w:tcPr>
          <w:p w14:paraId="203B77BD" w14:textId="47149DFF" w:rsidR="00F13D05" w:rsidRPr="00E61FD4" w:rsidRDefault="00B937C8" w:rsidP="00755A9F">
            <w:pPr>
              <w:pStyle w:val="EMEABodyText"/>
              <w:keepNext/>
              <w:jc w:val="center"/>
              <w:rPr>
                <w:iCs/>
                <w:sz w:val="20"/>
              </w:rPr>
            </w:pPr>
            <w:r w:rsidRPr="00E61FD4">
              <w:rPr>
                <w:iCs/>
                <w:sz w:val="20"/>
              </w:rPr>
              <w:t>19 (14.8)</w:t>
            </w:r>
          </w:p>
        </w:tc>
      </w:tr>
      <w:tr w:rsidR="00B937C8" w:rsidRPr="00E61FD4" w14:paraId="2A03340A" w14:textId="77777777" w:rsidTr="00A966F7">
        <w:trPr>
          <w:cantSplit/>
          <w:trHeight w:val="237"/>
        </w:trPr>
        <w:tc>
          <w:tcPr>
            <w:tcW w:w="2198" w:type="pct"/>
          </w:tcPr>
          <w:p w14:paraId="0A77DAF3" w14:textId="46109715" w:rsidR="00B937C8" w:rsidRPr="00E61FD4" w:rsidRDefault="00DA5D3B" w:rsidP="00DB1A44">
            <w:pPr>
              <w:pStyle w:val="EMEABodyText"/>
              <w:keepNext/>
              <w:rPr>
                <w:sz w:val="20"/>
              </w:rPr>
            </w:pPr>
            <w:r w:rsidRPr="00E61FD4">
              <w:rPr>
                <w:sz w:val="20"/>
              </w:rPr>
              <w:tab/>
            </w:r>
            <w:r w:rsidR="00B937C8" w:rsidRPr="00E61FD4">
              <w:rPr>
                <w:sz w:val="20"/>
              </w:rPr>
              <w:t>Upper respiratory tract infection</w:t>
            </w:r>
          </w:p>
        </w:tc>
        <w:tc>
          <w:tcPr>
            <w:tcW w:w="1401" w:type="pct"/>
          </w:tcPr>
          <w:p w14:paraId="331752C0" w14:textId="0E248587" w:rsidR="00B937C8" w:rsidRPr="00E61FD4" w:rsidRDefault="00B937C8" w:rsidP="005F4BD3">
            <w:pPr>
              <w:pStyle w:val="EMEABodyText"/>
              <w:keepNext/>
              <w:jc w:val="center"/>
              <w:rPr>
                <w:iCs/>
                <w:sz w:val="20"/>
              </w:rPr>
            </w:pPr>
            <w:r w:rsidRPr="00E61FD4">
              <w:rPr>
                <w:iCs/>
                <w:sz w:val="20"/>
              </w:rPr>
              <w:t>10 (8.1)</w:t>
            </w:r>
          </w:p>
        </w:tc>
        <w:tc>
          <w:tcPr>
            <w:tcW w:w="1401" w:type="pct"/>
          </w:tcPr>
          <w:p w14:paraId="20CE6B9D" w14:textId="5783B14F" w:rsidR="00B937C8" w:rsidRPr="00E61FD4" w:rsidRDefault="00DB0A1A" w:rsidP="00755A9F">
            <w:pPr>
              <w:pStyle w:val="EMEABodyText"/>
              <w:keepNext/>
              <w:jc w:val="center"/>
              <w:rPr>
                <w:iCs/>
                <w:sz w:val="20"/>
              </w:rPr>
            </w:pPr>
            <w:r w:rsidRPr="00E61FD4">
              <w:rPr>
                <w:iCs/>
                <w:sz w:val="20"/>
              </w:rPr>
              <w:t>6 (4.7)</w:t>
            </w:r>
          </w:p>
        </w:tc>
      </w:tr>
      <w:tr w:rsidR="00DB0A1A" w:rsidRPr="00E61FD4" w14:paraId="6493AA67" w14:textId="77777777" w:rsidTr="00A966F7">
        <w:trPr>
          <w:cantSplit/>
          <w:trHeight w:val="237"/>
        </w:trPr>
        <w:tc>
          <w:tcPr>
            <w:tcW w:w="2198" w:type="pct"/>
          </w:tcPr>
          <w:p w14:paraId="0CDDA417" w14:textId="6C727D17" w:rsidR="00DB0A1A" w:rsidRPr="00E61FD4" w:rsidRDefault="00DB0A1A" w:rsidP="00DB1A44">
            <w:pPr>
              <w:pStyle w:val="EMEABodyText"/>
              <w:keepNext/>
              <w:rPr>
                <w:sz w:val="20"/>
              </w:rPr>
            </w:pPr>
            <w:r w:rsidRPr="00E61FD4">
              <w:rPr>
                <w:sz w:val="20"/>
              </w:rPr>
              <w:t>Musculoskeletal and connective tissue disorders</w:t>
            </w:r>
          </w:p>
        </w:tc>
        <w:tc>
          <w:tcPr>
            <w:tcW w:w="1401" w:type="pct"/>
          </w:tcPr>
          <w:p w14:paraId="2DECCF90" w14:textId="77777777" w:rsidR="00DB0A1A" w:rsidRPr="00E61FD4" w:rsidRDefault="00DB0A1A" w:rsidP="005F4BD3">
            <w:pPr>
              <w:pStyle w:val="EMEABodyText"/>
              <w:keepNext/>
              <w:jc w:val="center"/>
              <w:rPr>
                <w:iCs/>
                <w:sz w:val="20"/>
              </w:rPr>
            </w:pPr>
          </w:p>
        </w:tc>
        <w:tc>
          <w:tcPr>
            <w:tcW w:w="1401" w:type="pct"/>
          </w:tcPr>
          <w:p w14:paraId="70E38C8B" w14:textId="77777777" w:rsidR="00DB0A1A" w:rsidRPr="00E61FD4" w:rsidRDefault="00DB0A1A" w:rsidP="00755A9F">
            <w:pPr>
              <w:pStyle w:val="EMEABodyText"/>
              <w:keepNext/>
              <w:jc w:val="center"/>
              <w:rPr>
                <w:iCs/>
                <w:sz w:val="20"/>
              </w:rPr>
            </w:pPr>
          </w:p>
        </w:tc>
      </w:tr>
      <w:tr w:rsidR="00DB0A1A" w:rsidRPr="00E61FD4" w14:paraId="6964BFF4" w14:textId="77777777" w:rsidTr="00A966F7">
        <w:trPr>
          <w:cantSplit/>
          <w:trHeight w:val="237"/>
        </w:trPr>
        <w:tc>
          <w:tcPr>
            <w:tcW w:w="2198" w:type="pct"/>
          </w:tcPr>
          <w:p w14:paraId="00542FA3" w14:textId="0580EBEE" w:rsidR="00DB0A1A" w:rsidRPr="00E61FD4" w:rsidRDefault="00DA5D3B" w:rsidP="00DB1A44">
            <w:pPr>
              <w:pStyle w:val="EMEABodyText"/>
              <w:keepNext/>
              <w:rPr>
                <w:sz w:val="20"/>
              </w:rPr>
            </w:pPr>
            <w:r w:rsidRPr="00E61FD4">
              <w:rPr>
                <w:sz w:val="20"/>
              </w:rPr>
              <w:tab/>
            </w:r>
            <w:r w:rsidR="00DB0A1A" w:rsidRPr="00E61FD4">
              <w:rPr>
                <w:sz w:val="20"/>
              </w:rPr>
              <w:t>Back pain</w:t>
            </w:r>
          </w:p>
        </w:tc>
        <w:tc>
          <w:tcPr>
            <w:tcW w:w="1401" w:type="pct"/>
          </w:tcPr>
          <w:p w14:paraId="38B43ABC" w14:textId="2FD6BE75" w:rsidR="00DB0A1A" w:rsidRPr="00E61FD4" w:rsidRDefault="00DB0A1A" w:rsidP="005F4BD3">
            <w:pPr>
              <w:pStyle w:val="EMEABodyText"/>
              <w:keepNext/>
              <w:jc w:val="center"/>
              <w:rPr>
                <w:iCs/>
                <w:sz w:val="20"/>
              </w:rPr>
            </w:pPr>
            <w:r w:rsidRPr="00E61FD4">
              <w:rPr>
                <w:iCs/>
                <w:sz w:val="20"/>
              </w:rPr>
              <w:t>10 (8.1)</w:t>
            </w:r>
          </w:p>
        </w:tc>
        <w:tc>
          <w:tcPr>
            <w:tcW w:w="1401" w:type="pct"/>
          </w:tcPr>
          <w:p w14:paraId="753E12D1" w14:textId="49002AB4" w:rsidR="00DB0A1A" w:rsidRPr="00E61FD4" w:rsidRDefault="00446231" w:rsidP="00755A9F">
            <w:pPr>
              <w:pStyle w:val="EMEABodyText"/>
              <w:keepNext/>
              <w:jc w:val="center"/>
              <w:rPr>
                <w:iCs/>
                <w:sz w:val="20"/>
              </w:rPr>
            </w:pPr>
            <w:r w:rsidRPr="00E61FD4">
              <w:rPr>
                <w:iCs/>
                <w:sz w:val="20"/>
              </w:rPr>
              <w:t>8 (6.3)</w:t>
            </w:r>
          </w:p>
        </w:tc>
      </w:tr>
      <w:tr w:rsidR="00446231" w:rsidRPr="00E61FD4" w14:paraId="395FB4FF" w14:textId="77777777" w:rsidTr="00A966F7">
        <w:trPr>
          <w:cantSplit/>
          <w:trHeight w:val="237"/>
        </w:trPr>
        <w:tc>
          <w:tcPr>
            <w:tcW w:w="2198" w:type="pct"/>
          </w:tcPr>
          <w:p w14:paraId="6B02F0C1" w14:textId="3DE7C122" w:rsidR="00446231" w:rsidRPr="00E61FD4" w:rsidRDefault="00DA5D3B" w:rsidP="00DB1A44">
            <w:pPr>
              <w:pStyle w:val="EMEABodyText"/>
              <w:keepNext/>
              <w:rPr>
                <w:sz w:val="20"/>
              </w:rPr>
            </w:pPr>
            <w:r w:rsidRPr="00E61FD4">
              <w:rPr>
                <w:sz w:val="20"/>
              </w:rPr>
              <w:tab/>
            </w:r>
            <w:r w:rsidR="00446231" w:rsidRPr="00E61FD4">
              <w:rPr>
                <w:sz w:val="20"/>
              </w:rPr>
              <w:t>Arthralgia</w:t>
            </w:r>
          </w:p>
        </w:tc>
        <w:tc>
          <w:tcPr>
            <w:tcW w:w="1401" w:type="pct"/>
          </w:tcPr>
          <w:p w14:paraId="6ADB1319" w14:textId="5551734E" w:rsidR="00446231" w:rsidRPr="00E61FD4" w:rsidRDefault="00446231" w:rsidP="005F4BD3">
            <w:pPr>
              <w:pStyle w:val="EMEABodyText"/>
              <w:keepNext/>
              <w:jc w:val="center"/>
              <w:rPr>
                <w:iCs/>
                <w:sz w:val="20"/>
              </w:rPr>
            </w:pPr>
            <w:r w:rsidRPr="00E61FD4">
              <w:rPr>
                <w:iCs/>
                <w:sz w:val="20"/>
              </w:rPr>
              <w:t>7 (5.7)</w:t>
            </w:r>
          </w:p>
        </w:tc>
        <w:tc>
          <w:tcPr>
            <w:tcW w:w="1401" w:type="pct"/>
          </w:tcPr>
          <w:p w14:paraId="71789101" w14:textId="67245ACC" w:rsidR="00446231" w:rsidRPr="00E61FD4" w:rsidRDefault="00446231" w:rsidP="00755A9F">
            <w:pPr>
              <w:pStyle w:val="EMEABodyText"/>
              <w:keepNext/>
              <w:jc w:val="center"/>
              <w:rPr>
                <w:iCs/>
                <w:sz w:val="20"/>
              </w:rPr>
            </w:pPr>
            <w:r w:rsidRPr="00E61FD4">
              <w:rPr>
                <w:iCs/>
                <w:sz w:val="20"/>
              </w:rPr>
              <w:t>2 (1.6)</w:t>
            </w:r>
          </w:p>
        </w:tc>
      </w:tr>
      <w:tr w:rsidR="00446231" w:rsidRPr="00E61FD4" w14:paraId="5C773283" w14:textId="77777777" w:rsidTr="00A966F7">
        <w:trPr>
          <w:cantSplit/>
          <w:trHeight w:val="237"/>
        </w:trPr>
        <w:tc>
          <w:tcPr>
            <w:tcW w:w="2198" w:type="pct"/>
          </w:tcPr>
          <w:p w14:paraId="342DEF23" w14:textId="1DCCCCC0" w:rsidR="00446231" w:rsidRPr="00E61FD4" w:rsidRDefault="00446231" w:rsidP="00DB1A44">
            <w:pPr>
              <w:pStyle w:val="EMEABodyText"/>
              <w:keepNext/>
              <w:rPr>
                <w:sz w:val="20"/>
              </w:rPr>
            </w:pPr>
            <w:r w:rsidRPr="00E61FD4">
              <w:rPr>
                <w:sz w:val="20"/>
              </w:rPr>
              <w:t>Nervous system disorders</w:t>
            </w:r>
          </w:p>
        </w:tc>
        <w:tc>
          <w:tcPr>
            <w:tcW w:w="1401" w:type="pct"/>
          </w:tcPr>
          <w:p w14:paraId="613BDA52" w14:textId="77777777" w:rsidR="00446231" w:rsidRPr="00E61FD4" w:rsidRDefault="00446231" w:rsidP="005F4BD3">
            <w:pPr>
              <w:pStyle w:val="EMEABodyText"/>
              <w:keepNext/>
              <w:jc w:val="center"/>
              <w:rPr>
                <w:iCs/>
                <w:sz w:val="20"/>
              </w:rPr>
            </w:pPr>
          </w:p>
        </w:tc>
        <w:tc>
          <w:tcPr>
            <w:tcW w:w="1401" w:type="pct"/>
          </w:tcPr>
          <w:p w14:paraId="50335601" w14:textId="77777777" w:rsidR="00446231" w:rsidRPr="00E61FD4" w:rsidRDefault="00446231" w:rsidP="00755A9F">
            <w:pPr>
              <w:pStyle w:val="EMEABodyText"/>
              <w:keepNext/>
              <w:jc w:val="center"/>
              <w:rPr>
                <w:iCs/>
                <w:sz w:val="20"/>
              </w:rPr>
            </w:pPr>
          </w:p>
        </w:tc>
      </w:tr>
      <w:tr w:rsidR="00446231" w:rsidRPr="00E61FD4" w14:paraId="61BCB749" w14:textId="77777777" w:rsidTr="00A966F7">
        <w:trPr>
          <w:cantSplit/>
          <w:trHeight w:val="237"/>
        </w:trPr>
        <w:tc>
          <w:tcPr>
            <w:tcW w:w="2198" w:type="pct"/>
          </w:tcPr>
          <w:p w14:paraId="51080FCC" w14:textId="7EE90D9D" w:rsidR="00446231" w:rsidRPr="00E61FD4" w:rsidRDefault="00DA5D3B" w:rsidP="00DB1A44">
            <w:pPr>
              <w:pStyle w:val="EMEABodyText"/>
              <w:keepNext/>
              <w:rPr>
                <w:sz w:val="20"/>
              </w:rPr>
            </w:pPr>
            <w:r w:rsidRPr="00E61FD4">
              <w:rPr>
                <w:sz w:val="20"/>
              </w:rPr>
              <w:tab/>
            </w:r>
            <w:r w:rsidR="00446231" w:rsidRPr="00E61FD4">
              <w:rPr>
                <w:sz w:val="20"/>
              </w:rPr>
              <w:t>Dizziness</w:t>
            </w:r>
          </w:p>
        </w:tc>
        <w:tc>
          <w:tcPr>
            <w:tcW w:w="1401" w:type="pct"/>
          </w:tcPr>
          <w:p w14:paraId="3D52F474" w14:textId="59EA474C" w:rsidR="00446231" w:rsidRPr="00E61FD4" w:rsidRDefault="003574CE" w:rsidP="005F4BD3">
            <w:pPr>
              <w:pStyle w:val="EMEABodyText"/>
              <w:keepNext/>
              <w:jc w:val="center"/>
              <w:rPr>
                <w:iCs/>
                <w:sz w:val="20"/>
              </w:rPr>
            </w:pPr>
            <w:r w:rsidRPr="00E61FD4">
              <w:rPr>
                <w:iCs/>
                <w:sz w:val="20"/>
              </w:rPr>
              <w:t>26 (21.1)</w:t>
            </w:r>
          </w:p>
        </w:tc>
        <w:tc>
          <w:tcPr>
            <w:tcW w:w="1401" w:type="pct"/>
          </w:tcPr>
          <w:p w14:paraId="3278DCD5" w14:textId="001C6031" w:rsidR="00446231" w:rsidRPr="00E61FD4" w:rsidRDefault="003574CE" w:rsidP="00755A9F">
            <w:pPr>
              <w:pStyle w:val="EMEABodyText"/>
              <w:keepNext/>
              <w:jc w:val="center"/>
              <w:rPr>
                <w:iCs/>
                <w:sz w:val="20"/>
              </w:rPr>
            </w:pPr>
            <w:r w:rsidRPr="00E61FD4">
              <w:rPr>
                <w:iCs/>
                <w:sz w:val="20"/>
              </w:rPr>
              <w:t>17 (13.3)</w:t>
            </w:r>
          </w:p>
        </w:tc>
      </w:tr>
      <w:tr w:rsidR="003574CE" w:rsidRPr="00E61FD4" w14:paraId="1F103A44" w14:textId="77777777" w:rsidTr="00A966F7">
        <w:trPr>
          <w:cantSplit/>
          <w:trHeight w:val="237"/>
        </w:trPr>
        <w:tc>
          <w:tcPr>
            <w:tcW w:w="2198" w:type="pct"/>
          </w:tcPr>
          <w:p w14:paraId="443AB4C7" w14:textId="4DBC3F30" w:rsidR="003574CE" w:rsidRPr="00E61FD4" w:rsidRDefault="00DA5D3B" w:rsidP="00DB1A44">
            <w:pPr>
              <w:pStyle w:val="EMEABodyText"/>
              <w:keepNext/>
              <w:rPr>
                <w:sz w:val="20"/>
              </w:rPr>
            </w:pPr>
            <w:r w:rsidRPr="00E61FD4">
              <w:rPr>
                <w:sz w:val="20"/>
              </w:rPr>
              <w:tab/>
            </w:r>
            <w:r w:rsidR="00DC05E2" w:rsidRPr="00E61FD4">
              <w:rPr>
                <w:sz w:val="20"/>
              </w:rPr>
              <w:t>Headache</w:t>
            </w:r>
          </w:p>
        </w:tc>
        <w:tc>
          <w:tcPr>
            <w:tcW w:w="1401" w:type="pct"/>
          </w:tcPr>
          <w:p w14:paraId="1B361AA0" w14:textId="1BDA2688" w:rsidR="003574CE" w:rsidRPr="00E61FD4" w:rsidRDefault="00DC05E2" w:rsidP="005F4BD3">
            <w:pPr>
              <w:pStyle w:val="EMEABodyText"/>
              <w:keepNext/>
              <w:jc w:val="center"/>
              <w:rPr>
                <w:iCs/>
                <w:sz w:val="20"/>
              </w:rPr>
            </w:pPr>
            <w:r w:rsidRPr="00E61FD4">
              <w:rPr>
                <w:iCs/>
                <w:sz w:val="20"/>
              </w:rPr>
              <w:t>15 (12.2)</w:t>
            </w:r>
          </w:p>
        </w:tc>
        <w:tc>
          <w:tcPr>
            <w:tcW w:w="1401" w:type="pct"/>
          </w:tcPr>
          <w:p w14:paraId="05A827EC" w14:textId="7A1C9E1B" w:rsidR="003574CE" w:rsidRPr="00E61FD4" w:rsidRDefault="00DC05E2" w:rsidP="00755A9F">
            <w:pPr>
              <w:pStyle w:val="EMEABodyText"/>
              <w:keepNext/>
              <w:jc w:val="center"/>
              <w:rPr>
                <w:iCs/>
                <w:sz w:val="20"/>
              </w:rPr>
            </w:pPr>
            <w:r w:rsidRPr="00E61FD4">
              <w:rPr>
                <w:iCs/>
                <w:sz w:val="20"/>
              </w:rPr>
              <w:t>10 (7.8)</w:t>
            </w:r>
          </w:p>
        </w:tc>
      </w:tr>
      <w:tr w:rsidR="00DC05E2" w:rsidRPr="00E61FD4" w14:paraId="6D18D57C" w14:textId="77777777" w:rsidTr="00A966F7">
        <w:trPr>
          <w:cantSplit/>
          <w:trHeight w:val="237"/>
        </w:trPr>
        <w:tc>
          <w:tcPr>
            <w:tcW w:w="2198" w:type="pct"/>
          </w:tcPr>
          <w:p w14:paraId="7112ED01" w14:textId="49D0F7B8" w:rsidR="00DC05E2" w:rsidRPr="00E61FD4" w:rsidRDefault="00DA5D3B" w:rsidP="00DB1A44">
            <w:pPr>
              <w:pStyle w:val="EMEABodyText"/>
              <w:keepNext/>
              <w:rPr>
                <w:sz w:val="20"/>
              </w:rPr>
            </w:pPr>
            <w:r w:rsidRPr="00E61FD4">
              <w:rPr>
                <w:sz w:val="20"/>
              </w:rPr>
              <w:tab/>
            </w:r>
            <w:r w:rsidR="00DC05E2" w:rsidRPr="00E61FD4">
              <w:rPr>
                <w:sz w:val="20"/>
              </w:rPr>
              <w:t>Syncope</w:t>
            </w:r>
          </w:p>
        </w:tc>
        <w:tc>
          <w:tcPr>
            <w:tcW w:w="1401" w:type="pct"/>
          </w:tcPr>
          <w:p w14:paraId="7E1B2929" w14:textId="180FD6C3" w:rsidR="00DC05E2" w:rsidRPr="00E61FD4" w:rsidRDefault="000C5ED5" w:rsidP="005F4BD3">
            <w:pPr>
              <w:pStyle w:val="EMEABodyText"/>
              <w:keepNext/>
              <w:jc w:val="center"/>
              <w:rPr>
                <w:iCs/>
                <w:sz w:val="20"/>
              </w:rPr>
            </w:pPr>
            <w:r w:rsidRPr="00E61FD4">
              <w:rPr>
                <w:iCs/>
                <w:sz w:val="20"/>
              </w:rPr>
              <w:t>7 (5.7)</w:t>
            </w:r>
          </w:p>
        </w:tc>
        <w:tc>
          <w:tcPr>
            <w:tcW w:w="1401" w:type="pct"/>
          </w:tcPr>
          <w:p w14:paraId="7306F603" w14:textId="6DEFE3B0" w:rsidR="00DC05E2" w:rsidRPr="00E61FD4" w:rsidRDefault="000C5ED5" w:rsidP="00755A9F">
            <w:pPr>
              <w:pStyle w:val="EMEABodyText"/>
              <w:keepNext/>
              <w:jc w:val="center"/>
              <w:rPr>
                <w:iCs/>
                <w:sz w:val="20"/>
              </w:rPr>
            </w:pPr>
            <w:r w:rsidRPr="00E61FD4">
              <w:rPr>
                <w:iCs/>
                <w:sz w:val="20"/>
              </w:rPr>
              <w:t>2 (1.6)</w:t>
            </w:r>
          </w:p>
        </w:tc>
      </w:tr>
      <w:tr w:rsidR="000C5ED5" w:rsidRPr="00E61FD4" w14:paraId="3CB3E5D1" w14:textId="77777777" w:rsidTr="00A966F7">
        <w:trPr>
          <w:cantSplit/>
          <w:trHeight w:val="237"/>
        </w:trPr>
        <w:tc>
          <w:tcPr>
            <w:tcW w:w="2198" w:type="pct"/>
          </w:tcPr>
          <w:p w14:paraId="4F4524E1" w14:textId="7807EED1" w:rsidR="000C5ED5" w:rsidRPr="00E61FD4" w:rsidRDefault="000C5ED5" w:rsidP="00DB1A44">
            <w:pPr>
              <w:pStyle w:val="EMEABodyText"/>
              <w:keepNext/>
              <w:rPr>
                <w:sz w:val="20"/>
              </w:rPr>
            </w:pPr>
            <w:r w:rsidRPr="00E61FD4">
              <w:rPr>
                <w:sz w:val="20"/>
              </w:rPr>
              <w:t xml:space="preserve">Respiratory, </w:t>
            </w:r>
            <w:proofErr w:type="gramStart"/>
            <w:r w:rsidRPr="00E61FD4">
              <w:rPr>
                <w:sz w:val="20"/>
              </w:rPr>
              <w:t>thoracic</w:t>
            </w:r>
            <w:proofErr w:type="gramEnd"/>
            <w:r w:rsidRPr="00E61FD4">
              <w:rPr>
                <w:sz w:val="20"/>
              </w:rPr>
              <w:t xml:space="preserve"> and mediastinal disorders</w:t>
            </w:r>
          </w:p>
        </w:tc>
        <w:tc>
          <w:tcPr>
            <w:tcW w:w="1401" w:type="pct"/>
          </w:tcPr>
          <w:p w14:paraId="2AA4B218" w14:textId="77777777" w:rsidR="000C5ED5" w:rsidRPr="00E61FD4" w:rsidRDefault="000C5ED5" w:rsidP="005F4BD3">
            <w:pPr>
              <w:pStyle w:val="EMEABodyText"/>
              <w:keepNext/>
              <w:jc w:val="center"/>
              <w:rPr>
                <w:iCs/>
                <w:sz w:val="20"/>
              </w:rPr>
            </w:pPr>
          </w:p>
        </w:tc>
        <w:tc>
          <w:tcPr>
            <w:tcW w:w="1401" w:type="pct"/>
          </w:tcPr>
          <w:p w14:paraId="0B50FAD8" w14:textId="77777777" w:rsidR="000C5ED5" w:rsidRPr="00E61FD4" w:rsidRDefault="000C5ED5" w:rsidP="00755A9F">
            <w:pPr>
              <w:pStyle w:val="EMEABodyText"/>
              <w:keepNext/>
              <w:jc w:val="center"/>
              <w:rPr>
                <w:iCs/>
                <w:sz w:val="20"/>
              </w:rPr>
            </w:pPr>
          </w:p>
        </w:tc>
      </w:tr>
      <w:tr w:rsidR="000C5ED5" w:rsidRPr="00E61FD4" w14:paraId="74A0B5D1" w14:textId="77777777" w:rsidTr="00A966F7">
        <w:trPr>
          <w:cantSplit/>
          <w:trHeight w:val="237"/>
        </w:trPr>
        <w:tc>
          <w:tcPr>
            <w:tcW w:w="2198" w:type="pct"/>
          </w:tcPr>
          <w:p w14:paraId="62B8AA69" w14:textId="70BC1B2B" w:rsidR="000C5ED5" w:rsidRPr="00E61FD4" w:rsidRDefault="00DA5D3B" w:rsidP="00DB1A44">
            <w:pPr>
              <w:pStyle w:val="EMEABodyText"/>
              <w:keepNext/>
              <w:rPr>
                <w:sz w:val="20"/>
              </w:rPr>
            </w:pPr>
            <w:r w:rsidRPr="00E61FD4">
              <w:rPr>
                <w:sz w:val="20"/>
              </w:rPr>
              <w:tab/>
            </w:r>
            <w:r w:rsidR="000C5ED5" w:rsidRPr="00E61FD4">
              <w:rPr>
                <w:sz w:val="20"/>
              </w:rPr>
              <w:t>Dys</w:t>
            </w:r>
            <w:r w:rsidR="00BC4F3F" w:rsidRPr="00E61FD4">
              <w:rPr>
                <w:sz w:val="20"/>
              </w:rPr>
              <w:t>pnoea</w:t>
            </w:r>
          </w:p>
        </w:tc>
        <w:tc>
          <w:tcPr>
            <w:tcW w:w="1401" w:type="pct"/>
          </w:tcPr>
          <w:p w14:paraId="616E69BD" w14:textId="530B4383" w:rsidR="000C5ED5" w:rsidRPr="00E61FD4" w:rsidRDefault="00BC4F3F" w:rsidP="005F4BD3">
            <w:pPr>
              <w:pStyle w:val="EMEABodyText"/>
              <w:keepNext/>
              <w:jc w:val="center"/>
              <w:rPr>
                <w:iCs/>
                <w:sz w:val="20"/>
              </w:rPr>
            </w:pPr>
            <w:r w:rsidRPr="00E61FD4">
              <w:rPr>
                <w:iCs/>
                <w:sz w:val="20"/>
              </w:rPr>
              <w:t>18 (14.6)</w:t>
            </w:r>
          </w:p>
        </w:tc>
        <w:tc>
          <w:tcPr>
            <w:tcW w:w="1401" w:type="pct"/>
          </w:tcPr>
          <w:p w14:paraId="63DB7191" w14:textId="56C2A569" w:rsidR="000C5ED5" w:rsidRPr="00E61FD4" w:rsidRDefault="00BC4F3F" w:rsidP="00755A9F">
            <w:pPr>
              <w:pStyle w:val="EMEABodyText"/>
              <w:keepNext/>
              <w:jc w:val="center"/>
              <w:rPr>
                <w:iCs/>
                <w:sz w:val="20"/>
              </w:rPr>
            </w:pPr>
            <w:r w:rsidRPr="00E61FD4">
              <w:rPr>
                <w:iCs/>
                <w:sz w:val="20"/>
              </w:rPr>
              <w:t>13 (10.2)</w:t>
            </w:r>
          </w:p>
        </w:tc>
      </w:tr>
      <w:tr w:rsidR="00BC4F3F" w:rsidRPr="00E61FD4" w14:paraId="1EED25D0" w14:textId="77777777" w:rsidTr="00A966F7">
        <w:trPr>
          <w:cantSplit/>
          <w:trHeight w:val="237"/>
        </w:trPr>
        <w:tc>
          <w:tcPr>
            <w:tcW w:w="2198" w:type="pct"/>
          </w:tcPr>
          <w:p w14:paraId="5187FC2A" w14:textId="7B6B2BD7" w:rsidR="00BC4F3F" w:rsidRPr="00E61FD4" w:rsidRDefault="00DA5D3B" w:rsidP="00DB1A44">
            <w:pPr>
              <w:pStyle w:val="EMEABodyText"/>
              <w:keepNext/>
              <w:rPr>
                <w:sz w:val="20"/>
              </w:rPr>
            </w:pPr>
            <w:r w:rsidRPr="00E61FD4">
              <w:rPr>
                <w:sz w:val="20"/>
              </w:rPr>
              <w:tab/>
            </w:r>
            <w:r w:rsidR="00BC4F3F" w:rsidRPr="00E61FD4">
              <w:rPr>
                <w:sz w:val="20"/>
              </w:rPr>
              <w:t>Cough</w:t>
            </w:r>
          </w:p>
        </w:tc>
        <w:tc>
          <w:tcPr>
            <w:tcW w:w="1401" w:type="pct"/>
          </w:tcPr>
          <w:p w14:paraId="68E1A69B" w14:textId="20266513" w:rsidR="00BC4F3F" w:rsidRPr="00E61FD4" w:rsidRDefault="00BC4F3F" w:rsidP="005F4BD3">
            <w:pPr>
              <w:pStyle w:val="EMEABodyText"/>
              <w:keepNext/>
              <w:jc w:val="center"/>
              <w:rPr>
                <w:iCs/>
                <w:sz w:val="20"/>
              </w:rPr>
            </w:pPr>
            <w:r w:rsidRPr="00E61FD4">
              <w:rPr>
                <w:iCs/>
                <w:sz w:val="20"/>
              </w:rPr>
              <w:t>10 (8.1)</w:t>
            </w:r>
          </w:p>
        </w:tc>
        <w:tc>
          <w:tcPr>
            <w:tcW w:w="1401" w:type="pct"/>
          </w:tcPr>
          <w:p w14:paraId="33C16FDC" w14:textId="54422403" w:rsidR="00BC4F3F" w:rsidRPr="00E61FD4" w:rsidRDefault="00BC4F3F" w:rsidP="00755A9F">
            <w:pPr>
              <w:pStyle w:val="EMEABodyText"/>
              <w:keepNext/>
              <w:jc w:val="center"/>
              <w:rPr>
                <w:iCs/>
                <w:sz w:val="20"/>
              </w:rPr>
            </w:pPr>
            <w:r w:rsidRPr="00E61FD4">
              <w:rPr>
                <w:iCs/>
                <w:sz w:val="20"/>
              </w:rPr>
              <w:t>4 (3.1)</w:t>
            </w:r>
          </w:p>
        </w:tc>
      </w:tr>
    </w:tbl>
    <w:p w14:paraId="465CC745" w14:textId="77777777" w:rsidR="00C077EA" w:rsidRPr="00E61FD4" w:rsidRDefault="00C077EA" w:rsidP="00C077EA">
      <w:pPr>
        <w:autoSpaceDE w:val="0"/>
        <w:autoSpaceDN w:val="0"/>
        <w:adjustRightInd w:val="0"/>
        <w:spacing w:after="0"/>
        <w:jc w:val="left"/>
        <w:rPr>
          <w:rFonts w:ascii="TimesNewRomanPSMT" w:hAnsi="TimesNewRomanPSMT" w:cs="TimesNewRomanPSMT"/>
          <w:sz w:val="18"/>
          <w:szCs w:val="18"/>
        </w:rPr>
      </w:pPr>
      <w:r w:rsidRPr="00E61FD4">
        <w:rPr>
          <w:rFonts w:ascii="TimesNewRomanPSMT" w:hAnsi="TimesNewRomanPSMT" w:cs="TimesNewRomanPSMT"/>
          <w:sz w:val="18"/>
          <w:szCs w:val="18"/>
        </w:rPr>
        <w:t>The treatment-emergent period is defined as the date of the first dose of study drug to the date of the last dose of</w:t>
      </w:r>
    </w:p>
    <w:p w14:paraId="110B7A17" w14:textId="70558B57" w:rsidR="000F0FF8" w:rsidRPr="00E61FD4" w:rsidRDefault="00C077EA" w:rsidP="00C077EA">
      <w:pPr>
        <w:autoSpaceDE w:val="0"/>
        <w:autoSpaceDN w:val="0"/>
        <w:adjustRightInd w:val="0"/>
        <w:spacing w:after="120"/>
        <w:rPr>
          <w:sz w:val="20"/>
          <w:szCs w:val="20"/>
        </w:rPr>
      </w:pPr>
      <w:r w:rsidRPr="00E61FD4">
        <w:rPr>
          <w:rFonts w:ascii="TimesNewRomanPSMT" w:hAnsi="TimesNewRomanPSMT" w:cs="TimesNewRomanPSMT"/>
          <w:sz w:val="18"/>
          <w:szCs w:val="18"/>
        </w:rPr>
        <w:t>study drug plus 56 days.</w:t>
      </w:r>
    </w:p>
    <w:p w14:paraId="66B7BC33" w14:textId="25DBCEAA" w:rsidR="00B81199" w:rsidRPr="00E61FD4" w:rsidRDefault="00B81199" w:rsidP="000F0630">
      <w:pPr>
        <w:pStyle w:val="EMEABodyText"/>
        <w:jc w:val="both"/>
        <w:rPr>
          <w:bCs/>
          <w:iCs/>
          <w:noProof/>
        </w:rPr>
      </w:pPr>
      <w:r w:rsidRPr="00E61FD4">
        <w:t>The adverse drug reactions (ADRs) according to system organ class in MedDRA</w:t>
      </w:r>
      <w:r w:rsidR="00C4048C" w:rsidRPr="00E61FD4">
        <w:t xml:space="preserve"> are listed in </w:t>
      </w:r>
      <w:r w:rsidR="00CD46D5" w:rsidRPr="00E61FD4">
        <w:fldChar w:fldCharType="begin"/>
      </w:r>
      <w:r w:rsidR="00CD46D5" w:rsidRPr="00E61FD4">
        <w:instrText xml:space="preserve"> REF _Ref75263793 \h </w:instrText>
      </w:r>
      <w:r w:rsidR="00DD316B" w:rsidRPr="00E61FD4">
        <w:instrText xml:space="preserve"> \* MERGEFORMAT </w:instrText>
      </w:r>
      <w:r w:rsidR="00CD46D5" w:rsidRPr="00E61FD4">
        <w:fldChar w:fldCharType="separate"/>
      </w:r>
      <w:r w:rsidR="00E61FD4" w:rsidRPr="00E61FD4">
        <w:t xml:space="preserve">Table </w:t>
      </w:r>
      <w:r w:rsidR="00E61FD4">
        <w:rPr>
          <w:noProof/>
        </w:rPr>
        <w:t>2</w:t>
      </w:r>
      <w:r w:rsidR="00CD46D5" w:rsidRPr="00E61FD4">
        <w:fldChar w:fldCharType="end"/>
      </w:r>
      <w:r w:rsidR="00CD46D5" w:rsidRPr="00E61FD4">
        <w:t>.</w:t>
      </w:r>
      <w:r w:rsidRPr="00E61FD4">
        <w:t xml:space="preserve"> Within each system organ class, the ADRs are presented in order of decreasing seriousness. In addition, the corresponding frequency category for each ADR is defined as: very common (</w:t>
      </w:r>
      <w:r w:rsidRPr="00E61FD4">
        <w:rPr>
          <w:rFonts w:hint="eastAsia"/>
        </w:rPr>
        <w:t>≥</w:t>
      </w:r>
      <w:r w:rsidRPr="00E61FD4">
        <w:rPr>
          <w:bCs/>
        </w:rPr>
        <w:t> </w:t>
      </w:r>
      <w:r w:rsidRPr="00E61FD4">
        <w:t>1/10); common (</w:t>
      </w:r>
      <w:r w:rsidRPr="00E61FD4">
        <w:rPr>
          <w:rFonts w:hint="eastAsia"/>
        </w:rPr>
        <w:t>≥</w:t>
      </w:r>
      <w:r w:rsidRPr="00E61FD4">
        <w:rPr>
          <w:bCs/>
        </w:rPr>
        <w:t> </w:t>
      </w:r>
      <w:r w:rsidRPr="00E61FD4">
        <w:t>1/100 to &lt;</w:t>
      </w:r>
      <w:r w:rsidRPr="00E61FD4">
        <w:rPr>
          <w:bCs/>
        </w:rPr>
        <w:t> </w:t>
      </w:r>
      <w:r w:rsidRPr="00E61FD4">
        <w:t>1/10); uncommon (</w:t>
      </w:r>
      <w:r w:rsidRPr="00E61FD4">
        <w:rPr>
          <w:rFonts w:hint="eastAsia"/>
        </w:rPr>
        <w:t>≥</w:t>
      </w:r>
      <w:r w:rsidRPr="00E61FD4">
        <w:rPr>
          <w:bCs/>
        </w:rPr>
        <w:t> </w:t>
      </w:r>
      <w:r w:rsidRPr="00E61FD4">
        <w:t>1/1,000 to &lt;</w:t>
      </w:r>
      <w:r w:rsidRPr="00E61FD4">
        <w:rPr>
          <w:bCs/>
        </w:rPr>
        <w:t> </w:t>
      </w:r>
      <w:r w:rsidRPr="00E61FD4">
        <w:t>1/100); rare (</w:t>
      </w:r>
      <w:r w:rsidRPr="00E61FD4">
        <w:rPr>
          <w:rFonts w:hint="eastAsia"/>
        </w:rPr>
        <w:t>≥</w:t>
      </w:r>
      <w:r w:rsidRPr="00E61FD4">
        <w:rPr>
          <w:bCs/>
        </w:rPr>
        <w:t> </w:t>
      </w:r>
      <w:r w:rsidRPr="00E61FD4">
        <w:t>1/10,000 to &lt;</w:t>
      </w:r>
      <w:r w:rsidRPr="00E61FD4">
        <w:rPr>
          <w:bCs/>
        </w:rPr>
        <w:t> </w:t>
      </w:r>
      <w:r w:rsidRPr="00E61FD4">
        <w:t>1/1,000); very rare (&lt;</w:t>
      </w:r>
      <w:r w:rsidRPr="00E61FD4">
        <w:rPr>
          <w:bCs/>
        </w:rPr>
        <w:t> </w:t>
      </w:r>
      <w:r w:rsidRPr="00E61FD4">
        <w:t xml:space="preserve">1/10,000). </w:t>
      </w:r>
    </w:p>
    <w:p w14:paraId="31BBD6F5" w14:textId="77777777" w:rsidR="00B81199" w:rsidRPr="00E61FD4" w:rsidRDefault="00B81199" w:rsidP="00B81199">
      <w:pPr>
        <w:pStyle w:val="EMEABodyText"/>
        <w:rPr>
          <w:bCs/>
          <w:iCs/>
          <w:noProof/>
        </w:rPr>
      </w:pPr>
    </w:p>
    <w:p w14:paraId="0E323419" w14:textId="40C60032" w:rsidR="00B81199" w:rsidRPr="00E61FD4" w:rsidRDefault="003A222B" w:rsidP="003A222B">
      <w:pPr>
        <w:pStyle w:val="Caption"/>
        <w:keepNext/>
        <w:spacing w:after="0"/>
        <w:jc w:val="left"/>
      </w:pPr>
      <w:bookmarkStart w:id="6" w:name="_Ref75263793"/>
      <w:r w:rsidRPr="00E61FD4">
        <w:t xml:space="preserve">Table </w:t>
      </w:r>
      <w:r w:rsidRPr="00E61FD4">
        <w:fldChar w:fldCharType="begin"/>
      </w:r>
      <w:r w:rsidRPr="00E61FD4">
        <w:instrText>SEQ Table \* ARABIC</w:instrText>
      </w:r>
      <w:r w:rsidRPr="00E61FD4">
        <w:fldChar w:fldCharType="separate"/>
      </w:r>
      <w:r w:rsidR="00E61FD4">
        <w:rPr>
          <w:noProof/>
        </w:rPr>
        <w:t>2</w:t>
      </w:r>
      <w:r w:rsidRPr="00E61FD4">
        <w:fldChar w:fldCharType="end"/>
      </w:r>
      <w:bookmarkEnd w:id="6"/>
      <w:r w:rsidRPr="00E61FD4">
        <w:t xml:space="preserve"> </w:t>
      </w:r>
      <w:r w:rsidR="00B81199" w:rsidRPr="00E61FD4">
        <w:t>ADRs in patients with o</w:t>
      </w:r>
      <w:r w:rsidR="00116735" w:rsidRPr="00E61FD4">
        <w:t xml:space="preserve">bstructive </w:t>
      </w:r>
      <w:r w:rsidR="00B81199" w:rsidRPr="00E61FD4">
        <w:t xml:space="preserve">HCM treated with </w:t>
      </w:r>
      <w:r w:rsidR="00B81199" w:rsidRPr="00E61FD4">
        <w:rPr>
          <w:noProof/>
        </w:rPr>
        <w:t>mavacamten</w:t>
      </w:r>
      <w:r w:rsidR="00B81199" w:rsidRPr="00E61FD4">
        <w:t xml:space="preserve"> in pivotal clinical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2900"/>
        <w:gridCol w:w="2966"/>
        <w:gridCol w:w="3150"/>
      </w:tblGrid>
      <w:tr w:rsidR="00B81199" w:rsidRPr="00E61FD4" w14:paraId="3DD33E50" w14:textId="77777777" w:rsidTr="0DCD38C0">
        <w:trPr>
          <w:cantSplit/>
          <w:tblHeader/>
        </w:trPr>
        <w:tc>
          <w:tcPr>
            <w:tcW w:w="1608" w:type="pct"/>
            <w:vAlign w:val="center"/>
            <w:hideMark/>
          </w:tcPr>
          <w:p w14:paraId="37055450" w14:textId="77777777" w:rsidR="00B81199" w:rsidRPr="00E61FD4" w:rsidRDefault="00B81199" w:rsidP="003A222B">
            <w:pPr>
              <w:pStyle w:val="EMEABodyText"/>
              <w:keepNext/>
              <w:rPr>
                <w:b/>
                <w:bCs/>
                <w:sz w:val="20"/>
                <w:szCs w:val="18"/>
              </w:rPr>
            </w:pPr>
            <w:bookmarkStart w:id="7" w:name="_Hlk508359151"/>
            <w:r w:rsidRPr="00E61FD4">
              <w:rPr>
                <w:b/>
                <w:bCs/>
                <w:sz w:val="20"/>
                <w:szCs w:val="18"/>
              </w:rPr>
              <w:t>System organ class</w:t>
            </w:r>
          </w:p>
        </w:tc>
        <w:tc>
          <w:tcPr>
            <w:tcW w:w="1645" w:type="pct"/>
            <w:vAlign w:val="center"/>
            <w:hideMark/>
          </w:tcPr>
          <w:p w14:paraId="62804180" w14:textId="77777777" w:rsidR="00B81199" w:rsidRPr="00E61FD4" w:rsidRDefault="00B81199" w:rsidP="003A222B">
            <w:pPr>
              <w:pStyle w:val="EMEABodyText"/>
              <w:keepNext/>
              <w:rPr>
                <w:b/>
                <w:bCs/>
                <w:sz w:val="20"/>
                <w:szCs w:val="18"/>
                <w:vertAlign w:val="superscript"/>
              </w:rPr>
            </w:pPr>
            <w:r w:rsidRPr="00E61FD4">
              <w:rPr>
                <w:b/>
                <w:bCs/>
                <w:spacing w:val="-1"/>
                <w:sz w:val="20"/>
                <w:szCs w:val="18"/>
              </w:rPr>
              <w:t>ADR</w:t>
            </w:r>
            <w:r w:rsidRPr="00E61FD4">
              <w:rPr>
                <w:b/>
                <w:bCs/>
                <w:sz w:val="20"/>
                <w:szCs w:val="18"/>
                <w:vertAlign w:val="superscript"/>
              </w:rPr>
              <w:t xml:space="preserve"> </w:t>
            </w:r>
          </w:p>
        </w:tc>
        <w:tc>
          <w:tcPr>
            <w:tcW w:w="1747" w:type="pct"/>
          </w:tcPr>
          <w:p w14:paraId="6D5DAD6E" w14:textId="77777777" w:rsidR="00B81199" w:rsidRPr="00E61FD4" w:rsidRDefault="00B81199" w:rsidP="003A222B">
            <w:pPr>
              <w:pStyle w:val="EMEABodyText"/>
              <w:keepNext/>
              <w:rPr>
                <w:b/>
                <w:bCs/>
                <w:spacing w:val="-1"/>
                <w:sz w:val="20"/>
                <w:szCs w:val="18"/>
              </w:rPr>
            </w:pPr>
            <w:r w:rsidRPr="00E61FD4">
              <w:rPr>
                <w:b/>
                <w:bCs/>
                <w:sz w:val="20"/>
                <w:szCs w:val="18"/>
              </w:rPr>
              <w:t>Frequency</w:t>
            </w:r>
          </w:p>
        </w:tc>
      </w:tr>
      <w:tr w:rsidR="00B81199" w:rsidRPr="00E61FD4" w14:paraId="6C5E8496" w14:textId="77777777" w:rsidTr="0DCD38C0">
        <w:trPr>
          <w:cantSplit/>
          <w:trHeight w:val="350"/>
          <w:tblHeader/>
        </w:trPr>
        <w:tc>
          <w:tcPr>
            <w:tcW w:w="1608" w:type="pct"/>
            <w:vAlign w:val="center"/>
          </w:tcPr>
          <w:p w14:paraId="6C0A4586" w14:textId="77777777" w:rsidR="00B81199" w:rsidRPr="00E61FD4" w:rsidRDefault="00B81199" w:rsidP="003A222B">
            <w:pPr>
              <w:pStyle w:val="EMEABodyText"/>
              <w:keepNext/>
              <w:rPr>
                <w:b/>
                <w:bCs/>
                <w:sz w:val="20"/>
                <w:szCs w:val="18"/>
              </w:rPr>
            </w:pPr>
            <w:r w:rsidRPr="00E61FD4">
              <w:rPr>
                <w:b/>
                <w:bCs/>
                <w:sz w:val="20"/>
                <w:szCs w:val="18"/>
              </w:rPr>
              <w:t>Nervous system disorders</w:t>
            </w:r>
          </w:p>
        </w:tc>
        <w:tc>
          <w:tcPr>
            <w:tcW w:w="1645" w:type="pct"/>
            <w:vAlign w:val="center"/>
          </w:tcPr>
          <w:p w14:paraId="611A03F0" w14:textId="77777777" w:rsidR="00B81199" w:rsidRPr="00E61FD4" w:rsidRDefault="00B81199" w:rsidP="003A222B">
            <w:pPr>
              <w:pStyle w:val="EMEABodyText"/>
              <w:keepNext/>
              <w:rPr>
                <w:sz w:val="20"/>
                <w:szCs w:val="18"/>
              </w:rPr>
            </w:pPr>
            <w:r w:rsidRPr="00E61FD4">
              <w:rPr>
                <w:sz w:val="20"/>
                <w:szCs w:val="18"/>
              </w:rPr>
              <w:t>Dizziness</w:t>
            </w:r>
          </w:p>
        </w:tc>
        <w:tc>
          <w:tcPr>
            <w:tcW w:w="1747" w:type="pct"/>
          </w:tcPr>
          <w:p w14:paraId="3E15FB82" w14:textId="77777777" w:rsidR="00B81199" w:rsidRPr="00E61FD4" w:rsidRDefault="00B81199" w:rsidP="003A222B">
            <w:pPr>
              <w:pStyle w:val="EMEABodyText"/>
              <w:keepNext/>
              <w:rPr>
                <w:sz w:val="20"/>
                <w:szCs w:val="18"/>
              </w:rPr>
            </w:pPr>
            <w:r w:rsidRPr="00E61FD4">
              <w:rPr>
                <w:sz w:val="20"/>
                <w:szCs w:val="18"/>
              </w:rPr>
              <w:t>Very common</w:t>
            </w:r>
          </w:p>
        </w:tc>
      </w:tr>
      <w:tr w:rsidR="00B81199" w:rsidRPr="00E61FD4" w14:paraId="5FED508D" w14:textId="77777777" w:rsidTr="0DCD38C0">
        <w:trPr>
          <w:cantSplit/>
          <w:trHeight w:val="237"/>
        </w:trPr>
        <w:tc>
          <w:tcPr>
            <w:tcW w:w="1608" w:type="pct"/>
            <w:vMerge w:val="restart"/>
          </w:tcPr>
          <w:p w14:paraId="011170F2" w14:textId="77777777" w:rsidR="00B81199" w:rsidRPr="00E61FD4" w:rsidRDefault="00B81199" w:rsidP="003A222B">
            <w:pPr>
              <w:pStyle w:val="EMEABodyText"/>
              <w:keepNext/>
              <w:rPr>
                <w:b/>
                <w:bCs/>
                <w:sz w:val="20"/>
                <w:szCs w:val="18"/>
              </w:rPr>
            </w:pPr>
            <w:r w:rsidRPr="00E61FD4">
              <w:rPr>
                <w:b/>
                <w:bCs/>
                <w:sz w:val="20"/>
                <w:szCs w:val="18"/>
              </w:rPr>
              <w:t>Cardiac disorders</w:t>
            </w:r>
          </w:p>
        </w:tc>
        <w:tc>
          <w:tcPr>
            <w:tcW w:w="1645" w:type="pct"/>
          </w:tcPr>
          <w:p w14:paraId="1526B089" w14:textId="77777777" w:rsidR="00B81199" w:rsidRPr="00E61FD4" w:rsidRDefault="23F3FB3D" w:rsidP="0DCD38C0">
            <w:pPr>
              <w:pStyle w:val="EMEABodyText"/>
              <w:keepNext/>
              <w:rPr>
                <w:sz w:val="20"/>
                <w:u w:val="single"/>
              </w:rPr>
            </w:pPr>
            <w:r w:rsidRPr="00E61FD4">
              <w:rPr>
                <w:sz w:val="20"/>
              </w:rPr>
              <w:t>Heart failure</w:t>
            </w:r>
          </w:p>
        </w:tc>
        <w:tc>
          <w:tcPr>
            <w:tcW w:w="1747" w:type="pct"/>
          </w:tcPr>
          <w:p w14:paraId="084F293A" w14:textId="77777777" w:rsidR="00B81199" w:rsidRPr="00E61FD4" w:rsidRDefault="00B81199" w:rsidP="003A222B">
            <w:pPr>
              <w:pStyle w:val="EMEABodyText"/>
              <w:keepNext/>
              <w:rPr>
                <w:iCs/>
                <w:sz w:val="20"/>
                <w:szCs w:val="18"/>
              </w:rPr>
            </w:pPr>
            <w:r w:rsidRPr="00E61FD4">
              <w:rPr>
                <w:iCs/>
                <w:sz w:val="20"/>
                <w:szCs w:val="18"/>
              </w:rPr>
              <w:t>Common</w:t>
            </w:r>
          </w:p>
        </w:tc>
      </w:tr>
      <w:tr w:rsidR="00B81199" w:rsidRPr="00E61FD4" w14:paraId="35C0220D" w14:textId="77777777" w:rsidTr="0DCD38C0">
        <w:trPr>
          <w:cantSplit/>
          <w:trHeight w:val="322"/>
        </w:trPr>
        <w:tc>
          <w:tcPr>
            <w:tcW w:w="1608" w:type="pct"/>
            <w:vMerge/>
          </w:tcPr>
          <w:p w14:paraId="2E381571" w14:textId="77777777" w:rsidR="00B81199" w:rsidRPr="00E61FD4" w:rsidRDefault="00B81199" w:rsidP="003A222B">
            <w:pPr>
              <w:pStyle w:val="EMEABodyText"/>
              <w:keepNext/>
              <w:rPr>
                <w:sz w:val="20"/>
                <w:szCs w:val="18"/>
              </w:rPr>
            </w:pPr>
          </w:p>
        </w:tc>
        <w:tc>
          <w:tcPr>
            <w:tcW w:w="1645" w:type="pct"/>
          </w:tcPr>
          <w:p w14:paraId="389B5489" w14:textId="77777777" w:rsidR="00B81199" w:rsidRPr="00E61FD4" w:rsidRDefault="00B81199" w:rsidP="003A222B">
            <w:pPr>
              <w:pStyle w:val="EMEABodyText"/>
              <w:keepNext/>
              <w:rPr>
                <w:sz w:val="20"/>
                <w:szCs w:val="18"/>
              </w:rPr>
            </w:pPr>
            <w:r w:rsidRPr="00E61FD4">
              <w:rPr>
                <w:sz w:val="20"/>
                <w:szCs w:val="18"/>
              </w:rPr>
              <w:t xml:space="preserve">Systolic </w:t>
            </w:r>
            <w:proofErr w:type="spellStart"/>
            <w:r w:rsidRPr="00E61FD4">
              <w:rPr>
                <w:sz w:val="20"/>
                <w:szCs w:val="18"/>
              </w:rPr>
              <w:t>dysfunction</w:t>
            </w:r>
            <w:r w:rsidRPr="00E61FD4">
              <w:rPr>
                <w:sz w:val="20"/>
                <w:szCs w:val="18"/>
                <w:vertAlign w:val="superscript"/>
              </w:rPr>
              <w:t>a</w:t>
            </w:r>
            <w:proofErr w:type="spellEnd"/>
          </w:p>
        </w:tc>
        <w:tc>
          <w:tcPr>
            <w:tcW w:w="1747" w:type="pct"/>
          </w:tcPr>
          <w:p w14:paraId="3A06E65C" w14:textId="77777777" w:rsidR="00B81199" w:rsidRPr="00E61FD4" w:rsidRDefault="00B81199" w:rsidP="003A222B">
            <w:pPr>
              <w:pStyle w:val="EMEABodyText"/>
              <w:keepNext/>
              <w:rPr>
                <w:iCs/>
                <w:sz w:val="20"/>
                <w:szCs w:val="18"/>
              </w:rPr>
            </w:pPr>
            <w:r w:rsidRPr="00E61FD4">
              <w:rPr>
                <w:sz w:val="20"/>
                <w:szCs w:val="18"/>
              </w:rPr>
              <w:t>Common</w:t>
            </w:r>
          </w:p>
        </w:tc>
      </w:tr>
    </w:tbl>
    <w:bookmarkEnd w:id="7"/>
    <w:p w14:paraId="42A2FBE9" w14:textId="01A70086" w:rsidR="00B44C50" w:rsidRPr="00E61FD4" w:rsidRDefault="00B44C50" w:rsidP="00F04441">
      <w:pPr>
        <w:pStyle w:val="BMSBodyText"/>
        <w:rPr>
          <w:sz w:val="20"/>
          <w:szCs w:val="16"/>
        </w:rPr>
      </w:pPr>
      <w:r w:rsidRPr="00E61FD4">
        <w:rPr>
          <w:sz w:val="20"/>
          <w:szCs w:val="16"/>
          <w:vertAlign w:val="superscript"/>
        </w:rPr>
        <w:t xml:space="preserve">a </w:t>
      </w:r>
      <w:r w:rsidRPr="00E61FD4">
        <w:rPr>
          <w:sz w:val="20"/>
          <w:szCs w:val="16"/>
        </w:rPr>
        <w:t>Defined as LVEF &lt; 50% with or without symptoms.</w:t>
      </w:r>
    </w:p>
    <w:p w14:paraId="3EDE053C" w14:textId="25477D69" w:rsidR="002639A7" w:rsidRPr="00E61FD4" w:rsidRDefault="002639A7" w:rsidP="000143BD">
      <w:pPr>
        <w:pStyle w:val="Heading4"/>
      </w:pPr>
      <w:r w:rsidRPr="00E61FD4">
        <w:t>Effects on Systolic Function</w:t>
      </w:r>
    </w:p>
    <w:p w14:paraId="19D12F92" w14:textId="327A68A3" w:rsidR="002639A7" w:rsidRPr="00E61FD4" w:rsidRDefault="002639A7" w:rsidP="00F02075">
      <w:pPr>
        <w:autoSpaceDE w:val="0"/>
        <w:autoSpaceDN w:val="0"/>
        <w:adjustRightInd w:val="0"/>
        <w:spacing w:after="120"/>
        <w:rPr>
          <w:rFonts w:cs="Times New Roman"/>
        </w:rPr>
      </w:pPr>
      <w:r w:rsidRPr="00E61FD4">
        <w:rPr>
          <w:rFonts w:cs="Times New Roman"/>
        </w:rPr>
        <w:t xml:space="preserve">In the EXPLORER-HCM trial, 7 (6%) patients in the </w:t>
      </w:r>
      <w:r w:rsidR="00E5063D" w:rsidRPr="00E61FD4">
        <w:rPr>
          <w:rFonts w:cs="Times New Roman"/>
        </w:rPr>
        <w:t>CAMZYOS</w:t>
      </w:r>
      <w:r w:rsidRPr="00E61FD4">
        <w:rPr>
          <w:rFonts w:cs="Times New Roman"/>
        </w:rPr>
        <w:t xml:space="preserve"> group and 2 (2%) patients in the placebo group experienced reversible reductions in LVEF &lt;</w:t>
      </w:r>
      <w:r w:rsidR="00432C97" w:rsidRPr="00E61FD4">
        <w:rPr>
          <w:rFonts w:cs="Times New Roman"/>
        </w:rPr>
        <w:t> </w:t>
      </w:r>
      <w:r w:rsidRPr="00E61FD4">
        <w:rPr>
          <w:rFonts w:cs="Times New Roman"/>
        </w:rPr>
        <w:t xml:space="preserve">50% (median 48%: range 35-49%) while on treatment. None of the 7 patients receiving mavacamten had systolic dysfunction leading to heart </w:t>
      </w:r>
      <w:r w:rsidRPr="00E61FD4">
        <w:rPr>
          <w:rFonts w:cs="Times New Roman"/>
        </w:rPr>
        <w:lastRenderedPageBreak/>
        <w:t xml:space="preserve">failure. In 3 of the 7 </w:t>
      </w:r>
      <w:r w:rsidR="00E5063D" w:rsidRPr="00E61FD4">
        <w:rPr>
          <w:rFonts w:cs="Times New Roman"/>
        </w:rPr>
        <w:t>CAMZYOS</w:t>
      </w:r>
      <w:r w:rsidRPr="00E61FD4">
        <w:rPr>
          <w:rFonts w:cs="Times New Roman"/>
        </w:rPr>
        <w:t xml:space="preserve"> patients and in 1 of the 2 placebo patients, these reductions were observed without other clinical manifestations (</w:t>
      </w:r>
      <w:proofErr w:type="gramStart"/>
      <w:r w:rsidRPr="00E61FD4">
        <w:rPr>
          <w:rFonts w:cs="Times New Roman"/>
        </w:rPr>
        <w:t>e.g.</w:t>
      </w:r>
      <w:proofErr w:type="gramEnd"/>
      <w:r w:rsidR="00686D59" w:rsidRPr="00E61FD4">
        <w:rPr>
          <w:rFonts w:cs="Times New Roman"/>
        </w:rPr>
        <w:t xml:space="preserve"> </w:t>
      </w:r>
      <w:r w:rsidRPr="00E61FD4">
        <w:rPr>
          <w:rFonts w:cs="Times New Roman"/>
        </w:rPr>
        <w:t xml:space="preserve">symptoms). In all 7 patients treated with </w:t>
      </w:r>
      <w:r w:rsidR="00E5063D" w:rsidRPr="00E61FD4">
        <w:rPr>
          <w:rFonts w:cs="Times New Roman"/>
        </w:rPr>
        <w:t>CAMZYOS</w:t>
      </w:r>
      <w:r w:rsidRPr="00E61FD4">
        <w:rPr>
          <w:rFonts w:cs="Times New Roman"/>
        </w:rPr>
        <w:t xml:space="preserve">, LVEF recovered following interruption of </w:t>
      </w:r>
      <w:proofErr w:type="gramStart"/>
      <w:r w:rsidR="00E5063D" w:rsidRPr="00E61FD4">
        <w:rPr>
          <w:rFonts w:cs="Times New Roman"/>
        </w:rPr>
        <w:t>CAMZYOS</w:t>
      </w:r>
      <w:proofErr w:type="gramEnd"/>
      <w:r w:rsidRPr="00E61FD4">
        <w:rPr>
          <w:rFonts w:cs="Times New Roman"/>
        </w:rPr>
        <w:t xml:space="preserve"> and they completed the study (see</w:t>
      </w:r>
      <w:r w:rsidR="003B0A92" w:rsidRPr="00E61FD4">
        <w:rPr>
          <w:rFonts w:cs="Times New Roman"/>
        </w:rPr>
        <w:t xml:space="preserve"> 4.4 Special warnings and precautions</w:t>
      </w:r>
      <w:r w:rsidRPr="00E61FD4">
        <w:rPr>
          <w:rFonts w:cs="Times New Roman"/>
        </w:rPr>
        <w:t>).</w:t>
      </w:r>
    </w:p>
    <w:p w14:paraId="7C24FDA8" w14:textId="3F37C7F0" w:rsidR="00F677B7" w:rsidRPr="00E61FD4" w:rsidRDefault="00F677B7" w:rsidP="008E41AB">
      <w:pPr>
        <w:pStyle w:val="Heading3"/>
      </w:pPr>
      <w:r w:rsidRPr="00E61FD4">
        <w:t>Reporting suspected adverse effects</w:t>
      </w:r>
    </w:p>
    <w:p w14:paraId="3D139680" w14:textId="01A21577" w:rsidR="00B57C92" w:rsidRPr="00E61FD4" w:rsidRDefault="00B57C92" w:rsidP="003D202A">
      <w:pPr>
        <w:rPr>
          <w:rFonts w:cs="Times New Roman"/>
          <w:lang w:val="en-US"/>
        </w:rPr>
      </w:pPr>
      <w:r w:rsidRPr="00E61FD4">
        <w:rPr>
          <w:rFonts w:cs="Times New Roman"/>
        </w:rPr>
        <w:t xml:space="preserve">Reporting suspected adverse reactions after registration of the medicinal product is important. It allows continued monitoring of the benefit-risk balance of the medicinal product. </w:t>
      </w:r>
      <w:r w:rsidR="003D202A" w:rsidRPr="00E61FD4">
        <w:rPr>
          <w:rFonts w:cs="Times New Roman"/>
          <w:lang w:val="en-US"/>
        </w:rPr>
        <w:t>Healthcare professionals are asked to report any suspected adverse reactions at http://www.tga.gov.au/reporting-problems.</w:t>
      </w:r>
    </w:p>
    <w:p w14:paraId="6D047B41" w14:textId="77777777" w:rsidR="001A3992" w:rsidRPr="00E61FD4" w:rsidRDefault="001A3992" w:rsidP="00E61FD4">
      <w:pPr>
        <w:pStyle w:val="Heading2"/>
      </w:pPr>
      <w:r w:rsidRPr="00E61FD4">
        <w:t>Overdose</w:t>
      </w:r>
    </w:p>
    <w:p w14:paraId="626A8C6C" w14:textId="4605CFF5" w:rsidR="00163919" w:rsidRPr="00E61FD4" w:rsidRDefault="000409C2" w:rsidP="003A222B">
      <w:pPr>
        <w:keepNext/>
        <w:rPr>
          <w:rFonts w:cs="Times New Roman"/>
        </w:rPr>
      </w:pPr>
      <w:r w:rsidRPr="00E61FD4">
        <w:rPr>
          <w:rFonts w:cs="Times New Roman"/>
        </w:rPr>
        <w:t xml:space="preserve">Human experience of overdose with </w:t>
      </w:r>
      <w:r w:rsidR="00E5063D" w:rsidRPr="00E61FD4">
        <w:rPr>
          <w:rFonts w:cs="Times New Roman"/>
        </w:rPr>
        <w:t>CAMZYOS</w:t>
      </w:r>
      <w:r w:rsidRPr="00E61FD4">
        <w:rPr>
          <w:rFonts w:cs="Times New Roman"/>
        </w:rPr>
        <w:t xml:space="preserve"> is limited. </w:t>
      </w:r>
      <w:r w:rsidR="00E5063D" w:rsidRPr="00E61FD4">
        <w:rPr>
          <w:rFonts w:cs="Times New Roman"/>
        </w:rPr>
        <w:t>CAMZYOS</w:t>
      </w:r>
      <w:r w:rsidRPr="00E61FD4">
        <w:rPr>
          <w:rFonts w:cs="Times New Roman"/>
        </w:rPr>
        <w:t xml:space="preserve"> has been</w:t>
      </w:r>
      <w:r w:rsidR="00163919" w:rsidRPr="00E61FD4">
        <w:rPr>
          <w:rFonts w:cs="Times New Roman"/>
        </w:rPr>
        <w:t xml:space="preserve"> </w:t>
      </w:r>
      <w:r w:rsidRPr="00E61FD4">
        <w:rPr>
          <w:rFonts w:cs="Times New Roman"/>
        </w:rPr>
        <w:t>given as a single dose of up to 144</w:t>
      </w:r>
      <w:r w:rsidR="00432C97" w:rsidRPr="00E61FD4">
        <w:rPr>
          <w:rFonts w:cs="Times New Roman"/>
        </w:rPr>
        <w:t> </w:t>
      </w:r>
      <w:r w:rsidRPr="00E61FD4">
        <w:rPr>
          <w:rFonts w:cs="Times New Roman"/>
        </w:rPr>
        <w:t>mg in patients with HCM. There was one serious adverse</w:t>
      </w:r>
      <w:r w:rsidR="00163919" w:rsidRPr="00E61FD4">
        <w:rPr>
          <w:rFonts w:cs="Times New Roman"/>
        </w:rPr>
        <w:t xml:space="preserve"> </w:t>
      </w:r>
      <w:r w:rsidRPr="00E61FD4">
        <w:rPr>
          <w:rFonts w:cs="Times New Roman"/>
        </w:rPr>
        <w:t>reaction of vasovagal reaction, hypotension, and asystole lasting 38</w:t>
      </w:r>
      <w:r w:rsidR="00432C97" w:rsidRPr="00E61FD4">
        <w:rPr>
          <w:rFonts w:cs="Times New Roman"/>
        </w:rPr>
        <w:t> </w:t>
      </w:r>
      <w:r w:rsidRPr="00E61FD4">
        <w:rPr>
          <w:rFonts w:cs="Times New Roman"/>
        </w:rPr>
        <w:t>seconds reported at that</w:t>
      </w:r>
      <w:r w:rsidR="00163919" w:rsidRPr="00E61FD4">
        <w:rPr>
          <w:rFonts w:cs="Times New Roman"/>
        </w:rPr>
        <w:t xml:space="preserve"> </w:t>
      </w:r>
      <w:r w:rsidRPr="00E61FD4">
        <w:rPr>
          <w:rFonts w:cs="Times New Roman"/>
        </w:rPr>
        <w:t>dose. In healthy subjects, doses of up to 25</w:t>
      </w:r>
      <w:r w:rsidR="00432C97" w:rsidRPr="00E61FD4">
        <w:rPr>
          <w:rFonts w:cs="Times New Roman"/>
        </w:rPr>
        <w:t> </w:t>
      </w:r>
      <w:r w:rsidRPr="00E61FD4">
        <w:rPr>
          <w:rFonts w:cs="Times New Roman"/>
        </w:rPr>
        <w:t>mg have been administered for up to 25</w:t>
      </w:r>
      <w:r w:rsidR="00432C97" w:rsidRPr="00E61FD4">
        <w:rPr>
          <w:rFonts w:cs="Times New Roman"/>
        </w:rPr>
        <w:t> </w:t>
      </w:r>
      <w:r w:rsidRPr="00E61FD4">
        <w:rPr>
          <w:rFonts w:cs="Times New Roman"/>
        </w:rPr>
        <w:t>days. Three</w:t>
      </w:r>
      <w:r w:rsidR="00163919" w:rsidRPr="00E61FD4">
        <w:rPr>
          <w:rFonts w:cs="Times New Roman"/>
        </w:rPr>
        <w:t xml:space="preserve"> out of 8 participants treated at the 25</w:t>
      </w:r>
      <w:r w:rsidR="00432C97" w:rsidRPr="00E61FD4">
        <w:rPr>
          <w:rFonts w:cs="Times New Roman"/>
        </w:rPr>
        <w:t> </w:t>
      </w:r>
      <w:r w:rsidR="00163919" w:rsidRPr="00E61FD4">
        <w:rPr>
          <w:rFonts w:cs="Times New Roman"/>
        </w:rPr>
        <w:t xml:space="preserve">mg dose level experienced 20% or greater reductions in LVEF. Systolic dysfunction is the most likely result of overdosage of </w:t>
      </w:r>
      <w:r w:rsidR="00E5063D" w:rsidRPr="00E61FD4">
        <w:rPr>
          <w:rFonts w:cs="Times New Roman"/>
        </w:rPr>
        <w:t>CAMZYOS</w:t>
      </w:r>
      <w:r w:rsidR="00163919" w:rsidRPr="00E61FD4">
        <w:rPr>
          <w:rFonts w:cs="Times New Roman"/>
        </w:rPr>
        <w:t>.</w:t>
      </w:r>
    </w:p>
    <w:p w14:paraId="2C9A048B" w14:textId="77777777" w:rsidR="00163919" w:rsidRPr="00E61FD4" w:rsidRDefault="00163919" w:rsidP="008E41AB">
      <w:pPr>
        <w:pStyle w:val="Heading3"/>
      </w:pPr>
      <w:r w:rsidRPr="00E61FD4">
        <w:t>Management of overdose</w:t>
      </w:r>
    </w:p>
    <w:p w14:paraId="2658D5EE" w14:textId="5C191A54" w:rsidR="003D7174" w:rsidRPr="00E61FD4" w:rsidRDefault="00163919" w:rsidP="00D722C6">
      <w:pPr>
        <w:rPr>
          <w:rFonts w:cs="Times New Roman"/>
          <w:i/>
        </w:rPr>
      </w:pPr>
      <w:r w:rsidRPr="00E61FD4">
        <w:rPr>
          <w:rFonts w:cs="Times New Roman"/>
        </w:rPr>
        <w:t xml:space="preserve">If warranted, treatment of overdose with </w:t>
      </w:r>
      <w:r w:rsidR="00E5063D" w:rsidRPr="00E61FD4">
        <w:rPr>
          <w:rFonts w:cs="Times New Roman"/>
        </w:rPr>
        <w:t>CAMZYOS</w:t>
      </w:r>
      <w:r w:rsidRPr="00E61FD4">
        <w:rPr>
          <w:rFonts w:cs="Times New Roman"/>
        </w:rPr>
        <w:t xml:space="preserve"> consists of discontinuation of </w:t>
      </w:r>
      <w:r w:rsidR="00E5063D" w:rsidRPr="00E61FD4">
        <w:rPr>
          <w:rFonts w:cs="Times New Roman"/>
        </w:rPr>
        <w:t>CAMZYOS</w:t>
      </w:r>
      <w:r w:rsidRPr="00E61FD4">
        <w:rPr>
          <w:rFonts w:cs="Times New Roman"/>
        </w:rPr>
        <w:t xml:space="preserve"> treatment as well as medically supportive measures to maintain hemodynamic status (</w:t>
      </w:r>
      <w:proofErr w:type="gramStart"/>
      <w:r w:rsidRPr="00E61FD4">
        <w:rPr>
          <w:rFonts w:cs="Times New Roman"/>
        </w:rPr>
        <w:t>e.g.</w:t>
      </w:r>
      <w:proofErr w:type="gramEnd"/>
      <w:r w:rsidRPr="00E61FD4">
        <w:rPr>
          <w:rFonts w:cs="Times New Roman"/>
        </w:rPr>
        <w:t xml:space="preserve"> initiation of inotropic support with adrenergic agents), including close monitoring of vital signs and LVEF and management of the clinical status of the patient. Early administration of activated charcoal may be considered in case of mavacamten overdose to reduce absorption although has not been specifically studied.</w:t>
      </w:r>
      <w:r w:rsidR="003D7174" w:rsidRPr="00E61FD4">
        <w:rPr>
          <w:rFonts w:cs="Times New Roman"/>
        </w:rPr>
        <w:t xml:space="preserve"> In patients who are not fully conscious or have impaired gag reflex, consideration should be given to administering activated charcoal via a nasogastric </w:t>
      </w:r>
      <w:proofErr w:type="gramStart"/>
      <w:r w:rsidR="003D7174" w:rsidRPr="00E61FD4">
        <w:rPr>
          <w:rFonts w:cs="Times New Roman"/>
        </w:rPr>
        <w:t>tube, once</w:t>
      </w:r>
      <w:proofErr w:type="gramEnd"/>
      <w:r w:rsidR="003D7174" w:rsidRPr="00E61FD4">
        <w:rPr>
          <w:rFonts w:cs="Times New Roman"/>
        </w:rPr>
        <w:t xml:space="preserve"> the airway is protected.</w:t>
      </w:r>
    </w:p>
    <w:p w14:paraId="3A089AC3" w14:textId="4780F439" w:rsidR="003D202A" w:rsidRPr="00E61FD4" w:rsidRDefault="003D202A" w:rsidP="003D202A">
      <w:pPr>
        <w:rPr>
          <w:rFonts w:cs="Times New Roman"/>
        </w:rPr>
      </w:pPr>
      <w:r w:rsidRPr="00E61FD4">
        <w:rPr>
          <w:rFonts w:cs="Times New Roman"/>
        </w:rPr>
        <w:t>For information on the management of overdose, contact the Poison Information Centre on 131126 (Australia).</w:t>
      </w:r>
    </w:p>
    <w:p w14:paraId="5FF95703" w14:textId="77777777" w:rsidR="001A3992" w:rsidRPr="00E61FD4" w:rsidRDefault="001A3992" w:rsidP="008E41AB">
      <w:pPr>
        <w:pStyle w:val="Heading1"/>
      </w:pPr>
      <w:r w:rsidRPr="00E61FD4">
        <w:t>Pharmacological properties</w:t>
      </w:r>
    </w:p>
    <w:p w14:paraId="7B8BE53A" w14:textId="3076F219" w:rsidR="001A3992" w:rsidRPr="00E61FD4" w:rsidRDefault="00E61227" w:rsidP="008E41AB">
      <w:pPr>
        <w:pStyle w:val="Heading2"/>
      </w:pPr>
      <w:r w:rsidRPr="00E61FD4">
        <w:t>Pharmacodynamic properties</w:t>
      </w:r>
    </w:p>
    <w:p w14:paraId="40E5EBCA" w14:textId="204C7C86" w:rsidR="001A3992" w:rsidRPr="00E61FD4" w:rsidRDefault="001A3992" w:rsidP="008E41AB">
      <w:pPr>
        <w:pStyle w:val="Heading3"/>
      </w:pPr>
      <w:r w:rsidRPr="00E61FD4">
        <w:t>Mechanism of action</w:t>
      </w:r>
    </w:p>
    <w:p w14:paraId="4B4C095A" w14:textId="61262BBE" w:rsidR="00ED6AA0" w:rsidRPr="00E61FD4" w:rsidRDefault="00ED6AA0" w:rsidP="004A173B">
      <w:pPr>
        <w:rPr>
          <w:rFonts w:cs="Times New Roman"/>
        </w:rPr>
      </w:pPr>
      <w:r w:rsidRPr="00E61FD4">
        <w:rPr>
          <w:rFonts w:cs="Times New Roman"/>
        </w:rPr>
        <w:t>Mavacamten is a selective, allosteric, and reversible cardiac myosin inhibitor. Mavacamten</w:t>
      </w:r>
      <w:r w:rsidR="004A173B" w:rsidRPr="00E61FD4">
        <w:rPr>
          <w:rFonts w:cs="Times New Roman"/>
        </w:rPr>
        <w:t xml:space="preserve"> </w:t>
      </w:r>
      <w:r w:rsidRPr="00E61FD4">
        <w:rPr>
          <w:rFonts w:cs="Times New Roman"/>
        </w:rPr>
        <w:t>modulates the number of myosin heads that can enter power-generating states, thus reducing, (or</w:t>
      </w:r>
      <w:r w:rsidR="004A173B" w:rsidRPr="00E61FD4">
        <w:rPr>
          <w:rFonts w:cs="Times New Roman"/>
        </w:rPr>
        <w:t xml:space="preserve"> in HCM normalizing), the probability of force-producing systolic and residual diastolic crossbridge formation. Mavacamten also shifts the overall myosin population towards an energy</w:t>
      </w:r>
      <w:r w:rsidR="00CD7BA3" w:rsidRPr="00E61FD4">
        <w:rPr>
          <w:rFonts w:cs="Times New Roman"/>
        </w:rPr>
        <w:t xml:space="preserve"> </w:t>
      </w:r>
      <w:r w:rsidR="004A173B" w:rsidRPr="00E61FD4">
        <w:rPr>
          <w:rFonts w:cs="Times New Roman"/>
        </w:rPr>
        <w:t>sparing, but recruitable, super-relaxed state. Excess cross-bridge formation and dysregulation of the super-relaxed state of myosin are mechanistic hallmarks of HCM, which can result in hypercontractility, impaired relaxation, excess energy consumption, and myocardial wall stress. In HCM patients, myosin inhibition with mavacamten normalizes contractility, reduces dynamic LVOT obstruction, and improves cardiac filling pressures and biomarkers of cardiac stress, improving symptoms and exercise capacity.</w:t>
      </w:r>
    </w:p>
    <w:p w14:paraId="63338998" w14:textId="793F16DB" w:rsidR="00BE1EFE" w:rsidRPr="00E61FD4" w:rsidRDefault="00BE1EFE" w:rsidP="008E41AB">
      <w:pPr>
        <w:pStyle w:val="Heading3"/>
      </w:pPr>
      <w:r w:rsidRPr="00E61FD4">
        <w:t>LVEF</w:t>
      </w:r>
    </w:p>
    <w:p w14:paraId="4171E8AF" w14:textId="6807C544" w:rsidR="00BE1EFE" w:rsidRPr="00E61FD4" w:rsidRDefault="00BE1EFE" w:rsidP="008403B6">
      <w:pPr>
        <w:rPr>
          <w:rFonts w:cs="Times New Roman"/>
        </w:rPr>
      </w:pPr>
      <w:r w:rsidRPr="00E61FD4">
        <w:rPr>
          <w:rFonts w:cs="Times New Roman"/>
        </w:rPr>
        <w:t>A reduction in ejection fraction is expected with mavacamten treatment. In the EXPLORERHCM</w:t>
      </w:r>
      <w:r w:rsidR="008403B6" w:rsidRPr="00E61FD4">
        <w:rPr>
          <w:rFonts w:cs="Times New Roman"/>
        </w:rPr>
        <w:t xml:space="preserve"> </w:t>
      </w:r>
      <w:r w:rsidRPr="00E61FD4">
        <w:rPr>
          <w:rFonts w:cs="Times New Roman"/>
        </w:rPr>
        <w:t>trial, mean (SD) resting LVEF was 74% (6) at baseline in both treatment groups.</w:t>
      </w:r>
      <w:r w:rsidR="008403B6" w:rsidRPr="00E61FD4">
        <w:rPr>
          <w:rFonts w:cs="Times New Roman"/>
        </w:rPr>
        <w:t xml:space="preserve"> </w:t>
      </w:r>
      <w:r w:rsidRPr="00E61FD4">
        <w:rPr>
          <w:rFonts w:cs="Times New Roman"/>
        </w:rPr>
        <w:t xml:space="preserve">Consistent with the mechanism of action of </w:t>
      </w:r>
      <w:r w:rsidR="00E5063D" w:rsidRPr="00E61FD4">
        <w:rPr>
          <w:rFonts w:cs="Times New Roman"/>
        </w:rPr>
        <w:t>CAMZYOS</w:t>
      </w:r>
      <w:r w:rsidRPr="00E61FD4">
        <w:rPr>
          <w:rFonts w:cs="Times New Roman"/>
        </w:rPr>
        <w:t>, reductions in mean (SD) absolute</w:t>
      </w:r>
      <w:r w:rsidR="008403B6" w:rsidRPr="00E61FD4">
        <w:rPr>
          <w:rFonts w:cs="Times New Roman"/>
        </w:rPr>
        <w:t xml:space="preserve"> </w:t>
      </w:r>
      <w:r w:rsidRPr="00E61FD4">
        <w:rPr>
          <w:rFonts w:cs="Times New Roman"/>
        </w:rPr>
        <w:t xml:space="preserve">change from baseline in LVEF was -4% (8) in the </w:t>
      </w:r>
      <w:r w:rsidR="00E5063D" w:rsidRPr="00E61FD4">
        <w:rPr>
          <w:rFonts w:cs="Times New Roman"/>
        </w:rPr>
        <w:t>CAMZYOS</w:t>
      </w:r>
      <w:r w:rsidRPr="00E61FD4">
        <w:rPr>
          <w:rFonts w:cs="Times New Roman"/>
        </w:rPr>
        <w:t xml:space="preserve"> group and 0% (7) in the</w:t>
      </w:r>
      <w:r w:rsidR="008403B6" w:rsidRPr="00E61FD4">
        <w:rPr>
          <w:rFonts w:cs="Times New Roman"/>
        </w:rPr>
        <w:t xml:space="preserve"> </w:t>
      </w:r>
      <w:r w:rsidRPr="00E61FD4">
        <w:rPr>
          <w:rFonts w:cs="Times New Roman"/>
        </w:rPr>
        <w:t xml:space="preserve">placebo group over the 30-week treatment </w:t>
      </w:r>
      <w:r w:rsidRPr="00E61FD4">
        <w:rPr>
          <w:rFonts w:cs="Times New Roman"/>
        </w:rPr>
        <w:lastRenderedPageBreak/>
        <w:t>period. At Week</w:t>
      </w:r>
      <w:r w:rsidR="00BE71AA" w:rsidRPr="00E61FD4">
        <w:rPr>
          <w:rFonts w:cs="Times New Roman"/>
        </w:rPr>
        <w:t> </w:t>
      </w:r>
      <w:r w:rsidRPr="00E61FD4">
        <w:rPr>
          <w:rFonts w:cs="Times New Roman"/>
        </w:rPr>
        <w:t>38, following an 8-week</w:t>
      </w:r>
      <w:r w:rsidR="008403B6" w:rsidRPr="00E61FD4">
        <w:rPr>
          <w:rFonts w:cs="Times New Roman"/>
        </w:rPr>
        <w:t xml:space="preserve"> </w:t>
      </w:r>
      <w:r w:rsidRPr="00E61FD4">
        <w:rPr>
          <w:rFonts w:cs="Times New Roman"/>
        </w:rPr>
        <w:t xml:space="preserve">interruption of trial drug, mean LVEF was </w:t>
      </w:r>
      <w:proofErr w:type="gramStart"/>
      <w:r w:rsidRPr="00E61FD4">
        <w:rPr>
          <w:rFonts w:cs="Times New Roman"/>
        </w:rPr>
        <w:t>similar to</w:t>
      </w:r>
      <w:proofErr w:type="gramEnd"/>
      <w:r w:rsidRPr="00E61FD4">
        <w:rPr>
          <w:rFonts w:cs="Times New Roman"/>
        </w:rPr>
        <w:t xml:space="preserve"> baseline for both treatment groups.</w:t>
      </w:r>
    </w:p>
    <w:p w14:paraId="49F85113" w14:textId="7DDAE057" w:rsidR="00BE1EFE" w:rsidRPr="00E61FD4" w:rsidRDefault="00BE1EFE" w:rsidP="008E41AB">
      <w:pPr>
        <w:pStyle w:val="Heading3"/>
      </w:pPr>
      <w:r w:rsidRPr="00E61FD4">
        <w:t>LVOT obstruction</w:t>
      </w:r>
    </w:p>
    <w:p w14:paraId="55B5F1E3" w14:textId="7FC8419E" w:rsidR="00BE1EFE" w:rsidRPr="00E61FD4" w:rsidRDefault="00BE1EFE" w:rsidP="008403B6">
      <w:pPr>
        <w:rPr>
          <w:rFonts w:cs="Times New Roman"/>
        </w:rPr>
      </w:pPr>
      <w:r w:rsidRPr="00E61FD4">
        <w:rPr>
          <w:rFonts w:cs="Times New Roman"/>
        </w:rPr>
        <w:t>In the EXPLORER-HCM trial, patients achieved significant reductions in mean resting and</w:t>
      </w:r>
      <w:r w:rsidR="008403B6" w:rsidRPr="00E61FD4">
        <w:rPr>
          <w:rFonts w:cs="Times New Roman"/>
        </w:rPr>
        <w:t xml:space="preserve"> </w:t>
      </w:r>
      <w:r w:rsidRPr="00E61FD4">
        <w:rPr>
          <w:rFonts w:cs="Times New Roman"/>
        </w:rPr>
        <w:t>provoked (Valsalva) LVOT gradient by Week</w:t>
      </w:r>
      <w:r w:rsidR="00BE71AA" w:rsidRPr="00E61FD4">
        <w:rPr>
          <w:rFonts w:cs="Times New Roman"/>
        </w:rPr>
        <w:t> </w:t>
      </w:r>
      <w:r w:rsidRPr="00E61FD4">
        <w:rPr>
          <w:rFonts w:cs="Times New Roman"/>
        </w:rPr>
        <w:t>4 which were sustained throughout the 30-week</w:t>
      </w:r>
      <w:r w:rsidR="008403B6" w:rsidRPr="00E61FD4">
        <w:rPr>
          <w:rFonts w:cs="Times New Roman"/>
        </w:rPr>
        <w:t xml:space="preserve"> </w:t>
      </w:r>
      <w:r w:rsidRPr="00E61FD4">
        <w:rPr>
          <w:rFonts w:cs="Times New Roman"/>
        </w:rPr>
        <w:t>trial. At Week</w:t>
      </w:r>
      <w:r w:rsidR="00BE71AA" w:rsidRPr="00E61FD4">
        <w:rPr>
          <w:rFonts w:cs="Times New Roman"/>
        </w:rPr>
        <w:t> </w:t>
      </w:r>
      <w:r w:rsidRPr="00E61FD4">
        <w:rPr>
          <w:rFonts w:cs="Times New Roman"/>
        </w:rPr>
        <w:t>30, the mean (SD) change from baseline in resting and Valsalva LVOT gradients</w:t>
      </w:r>
      <w:r w:rsidR="008403B6" w:rsidRPr="00E61FD4">
        <w:rPr>
          <w:rFonts w:cs="Times New Roman"/>
        </w:rPr>
        <w:t xml:space="preserve"> </w:t>
      </w:r>
      <w:r w:rsidRPr="00E61FD4">
        <w:rPr>
          <w:rFonts w:cs="Times New Roman"/>
        </w:rPr>
        <w:t>were 39</w:t>
      </w:r>
      <w:r w:rsidR="00BE71AA" w:rsidRPr="00E61FD4">
        <w:rPr>
          <w:rFonts w:cs="Times New Roman"/>
        </w:rPr>
        <w:t> </w:t>
      </w:r>
      <w:r w:rsidRPr="00E61FD4">
        <w:rPr>
          <w:rFonts w:cs="Times New Roman"/>
        </w:rPr>
        <w:t>(29)</w:t>
      </w:r>
      <w:r w:rsidR="00BE71AA" w:rsidRPr="00E61FD4">
        <w:rPr>
          <w:rFonts w:cs="Times New Roman"/>
        </w:rPr>
        <w:t> </w:t>
      </w:r>
      <w:r w:rsidRPr="00E61FD4">
        <w:rPr>
          <w:rFonts w:cs="Times New Roman"/>
        </w:rPr>
        <w:t>mmHg and -49</w:t>
      </w:r>
      <w:r w:rsidR="00BE71AA" w:rsidRPr="00E61FD4">
        <w:rPr>
          <w:rFonts w:cs="Times New Roman"/>
        </w:rPr>
        <w:t> </w:t>
      </w:r>
      <w:r w:rsidRPr="00E61FD4">
        <w:rPr>
          <w:rFonts w:cs="Times New Roman"/>
        </w:rPr>
        <w:t>(34)</w:t>
      </w:r>
      <w:r w:rsidR="00BE71AA" w:rsidRPr="00E61FD4">
        <w:rPr>
          <w:rFonts w:cs="Times New Roman"/>
        </w:rPr>
        <w:t> </w:t>
      </w:r>
      <w:r w:rsidRPr="00E61FD4">
        <w:rPr>
          <w:rFonts w:cs="Times New Roman"/>
        </w:rPr>
        <w:t xml:space="preserve">mmHg, respectively, for the </w:t>
      </w:r>
      <w:r w:rsidR="00E5063D" w:rsidRPr="00E61FD4">
        <w:rPr>
          <w:rFonts w:cs="Times New Roman"/>
        </w:rPr>
        <w:t>CAMZYOS</w:t>
      </w:r>
      <w:r w:rsidRPr="00E61FD4">
        <w:rPr>
          <w:rFonts w:cs="Times New Roman"/>
        </w:rPr>
        <w:t xml:space="preserve"> group and</w:t>
      </w:r>
      <w:r w:rsidR="008403B6" w:rsidRPr="00E61FD4">
        <w:rPr>
          <w:rFonts w:cs="Times New Roman"/>
        </w:rPr>
        <w:t xml:space="preserve"> </w:t>
      </w:r>
      <w:r w:rsidRPr="00E61FD4">
        <w:rPr>
          <w:rFonts w:cs="Times New Roman"/>
        </w:rPr>
        <w:t>-6 (28) mmHg and -12</w:t>
      </w:r>
      <w:r w:rsidR="00BE71AA" w:rsidRPr="00E61FD4">
        <w:rPr>
          <w:rFonts w:cs="Times New Roman"/>
        </w:rPr>
        <w:t> </w:t>
      </w:r>
      <w:r w:rsidRPr="00E61FD4">
        <w:rPr>
          <w:rFonts w:cs="Times New Roman"/>
        </w:rPr>
        <w:t>(31)</w:t>
      </w:r>
      <w:r w:rsidR="00BE71AA" w:rsidRPr="00E61FD4">
        <w:rPr>
          <w:rFonts w:cs="Times New Roman"/>
        </w:rPr>
        <w:t> </w:t>
      </w:r>
      <w:r w:rsidRPr="00E61FD4">
        <w:rPr>
          <w:rFonts w:cs="Times New Roman"/>
        </w:rPr>
        <w:t>mmHg, respectively, for the placebo group. The clinically</w:t>
      </w:r>
      <w:r w:rsidR="00FB14B5" w:rsidRPr="00E61FD4">
        <w:rPr>
          <w:rFonts w:cs="Times New Roman"/>
        </w:rPr>
        <w:t xml:space="preserve"> </w:t>
      </w:r>
      <w:r w:rsidRPr="00E61FD4">
        <w:rPr>
          <w:rFonts w:cs="Times New Roman"/>
        </w:rPr>
        <w:t>significant reductions in LVOT gradient were mediated by the mechanism of action of</w:t>
      </w:r>
      <w:r w:rsidR="00FB14B5" w:rsidRPr="00E61FD4">
        <w:rPr>
          <w:rFonts w:cs="Times New Roman"/>
        </w:rPr>
        <w:t xml:space="preserve"> </w:t>
      </w:r>
      <w:r w:rsidRPr="00E61FD4">
        <w:rPr>
          <w:rFonts w:cs="Times New Roman"/>
        </w:rPr>
        <w:t>mavacamten, which resulted in small decreases in LVEF, attenuating the hypercontractility</w:t>
      </w:r>
      <w:r w:rsidR="00FB14B5" w:rsidRPr="00E61FD4">
        <w:rPr>
          <w:rFonts w:cs="Times New Roman"/>
        </w:rPr>
        <w:t xml:space="preserve"> </w:t>
      </w:r>
      <w:r w:rsidRPr="00E61FD4">
        <w:rPr>
          <w:rFonts w:cs="Times New Roman"/>
        </w:rPr>
        <w:t>typical of o</w:t>
      </w:r>
      <w:r w:rsidR="00116735" w:rsidRPr="00E61FD4">
        <w:rPr>
          <w:rFonts w:cs="Times New Roman"/>
        </w:rPr>
        <w:t xml:space="preserve">bstructive </w:t>
      </w:r>
      <w:r w:rsidRPr="00E61FD4">
        <w:rPr>
          <w:rFonts w:cs="Times New Roman"/>
        </w:rPr>
        <w:t>HCM while maintaining LVEF within the normal range. The reductions in LVOT</w:t>
      </w:r>
      <w:r w:rsidR="00FB14B5" w:rsidRPr="00E61FD4">
        <w:rPr>
          <w:rFonts w:cs="Times New Roman"/>
        </w:rPr>
        <w:t xml:space="preserve"> </w:t>
      </w:r>
      <w:r w:rsidRPr="00E61FD4">
        <w:rPr>
          <w:rFonts w:cs="Times New Roman"/>
        </w:rPr>
        <w:t>gradient while maintaining stable heart rate and systemic blood pressure demonstrate</w:t>
      </w:r>
      <w:r w:rsidR="00FB14B5" w:rsidRPr="00E61FD4">
        <w:rPr>
          <w:rFonts w:cs="Times New Roman"/>
        </w:rPr>
        <w:t xml:space="preserve"> </w:t>
      </w:r>
      <w:r w:rsidRPr="00E61FD4">
        <w:rPr>
          <w:rFonts w:cs="Times New Roman"/>
        </w:rPr>
        <w:t>improvement in forward blood flow. At Week</w:t>
      </w:r>
      <w:r w:rsidR="00BE71AA" w:rsidRPr="00E61FD4">
        <w:rPr>
          <w:rFonts w:cs="Times New Roman"/>
        </w:rPr>
        <w:t> </w:t>
      </w:r>
      <w:r w:rsidRPr="00E61FD4">
        <w:rPr>
          <w:rFonts w:cs="Times New Roman"/>
        </w:rPr>
        <w:t>38, following 8</w:t>
      </w:r>
      <w:r w:rsidR="00BE71AA" w:rsidRPr="00E61FD4">
        <w:rPr>
          <w:rFonts w:cs="Times New Roman"/>
        </w:rPr>
        <w:t> </w:t>
      </w:r>
      <w:r w:rsidRPr="00E61FD4">
        <w:rPr>
          <w:rFonts w:cs="Times New Roman"/>
        </w:rPr>
        <w:t>weeks of trial drug washout, mean</w:t>
      </w:r>
      <w:r w:rsidR="00FB14B5" w:rsidRPr="00E61FD4">
        <w:rPr>
          <w:rFonts w:cs="Times New Roman"/>
        </w:rPr>
        <w:t xml:space="preserve"> </w:t>
      </w:r>
      <w:r w:rsidRPr="00E61FD4">
        <w:rPr>
          <w:rFonts w:cs="Times New Roman"/>
        </w:rPr>
        <w:t xml:space="preserve">LVEF and LVOT gradients were </w:t>
      </w:r>
      <w:proofErr w:type="gramStart"/>
      <w:r w:rsidRPr="00E61FD4">
        <w:rPr>
          <w:rFonts w:cs="Times New Roman"/>
        </w:rPr>
        <w:t>similar to</w:t>
      </w:r>
      <w:proofErr w:type="gramEnd"/>
      <w:r w:rsidRPr="00E61FD4">
        <w:rPr>
          <w:rFonts w:cs="Times New Roman"/>
        </w:rPr>
        <w:t xml:space="preserve"> baseline for both treatment groups.</w:t>
      </w:r>
    </w:p>
    <w:p w14:paraId="400D7771" w14:textId="293CD5C5" w:rsidR="00BE1EFE" w:rsidRPr="00E61FD4" w:rsidRDefault="00BE1EFE" w:rsidP="008E41AB">
      <w:pPr>
        <w:pStyle w:val="Heading3"/>
      </w:pPr>
      <w:r w:rsidRPr="00E61FD4">
        <w:t>Cardiac Structure</w:t>
      </w:r>
    </w:p>
    <w:p w14:paraId="29382C87" w14:textId="38FF2C1E" w:rsidR="008403B6" w:rsidRPr="00E61FD4" w:rsidRDefault="00BE1EFE" w:rsidP="008403B6">
      <w:pPr>
        <w:rPr>
          <w:rFonts w:cs="Times New Roman"/>
        </w:rPr>
      </w:pPr>
      <w:r w:rsidRPr="00E61FD4">
        <w:rPr>
          <w:rFonts w:cs="Times New Roman"/>
        </w:rPr>
        <w:t>In EXPLORER-HCM trial, echocardiographic measurements of cardiac structure showed a mean</w:t>
      </w:r>
      <w:r w:rsidR="00FB14B5" w:rsidRPr="00E61FD4">
        <w:rPr>
          <w:rFonts w:cs="Times New Roman"/>
        </w:rPr>
        <w:t xml:space="preserve"> </w:t>
      </w:r>
      <w:r w:rsidRPr="00E61FD4">
        <w:rPr>
          <w:rFonts w:cs="Times New Roman"/>
        </w:rPr>
        <w:t>(SD) reduction from baseline at Week</w:t>
      </w:r>
      <w:r w:rsidR="00BE71AA" w:rsidRPr="00E61FD4">
        <w:rPr>
          <w:rFonts w:cs="Times New Roman"/>
        </w:rPr>
        <w:t> </w:t>
      </w:r>
      <w:r w:rsidRPr="00E61FD4">
        <w:rPr>
          <w:rFonts w:cs="Times New Roman"/>
        </w:rPr>
        <w:t>30 in left ventricular mass index (LVMI) in the</w:t>
      </w:r>
      <w:r w:rsidR="00FB14B5" w:rsidRPr="00E61FD4">
        <w:rPr>
          <w:rFonts w:cs="Times New Roman"/>
        </w:rPr>
        <w:t xml:space="preserve"> </w:t>
      </w:r>
      <w:r w:rsidRPr="00E61FD4">
        <w:rPr>
          <w:rFonts w:cs="Times New Roman"/>
        </w:rPr>
        <w:t>mavacamten group of -7.4</w:t>
      </w:r>
      <w:r w:rsidR="00BE71AA" w:rsidRPr="00E61FD4">
        <w:rPr>
          <w:rFonts w:cs="Times New Roman"/>
        </w:rPr>
        <w:t> </w:t>
      </w:r>
      <w:r w:rsidRPr="00E61FD4">
        <w:rPr>
          <w:rFonts w:cs="Times New Roman"/>
        </w:rPr>
        <w:t>(17.8)</w:t>
      </w:r>
      <w:r w:rsidR="00BE71AA" w:rsidRPr="00E61FD4">
        <w:rPr>
          <w:rFonts w:cs="Times New Roman"/>
        </w:rPr>
        <w:t> </w:t>
      </w:r>
      <w:r w:rsidRPr="00E61FD4">
        <w:rPr>
          <w:rFonts w:cs="Times New Roman"/>
        </w:rPr>
        <w:t>g/m2 versus an increase in LVMI in the placebo group of</w:t>
      </w:r>
      <w:r w:rsidR="00FB14B5" w:rsidRPr="00E61FD4">
        <w:rPr>
          <w:rFonts w:cs="Times New Roman"/>
        </w:rPr>
        <w:t xml:space="preserve"> </w:t>
      </w:r>
      <w:r w:rsidRPr="00E61FD4">
        <w:rPr>
          <w:rFonts w:cs="Times New Roman"/>
        </w:rPr>
        <w:t>9.0</w:t>
      </w:r>
      <w:r w:rsidR="00BE71AA" w:rsidRPr="00E61FD4">
        <w:rPr>
          <w:rFonts w:cs="Times New Roman"/>
        </w:rPr>
        <w:t> </w:t>
      </w:r>
      <w:r w:rsidRPr="00E61FD4">
        <w:rPr>
          <w:rFonts w:cs="Times New Roman"/>
        </w:rPr>
        <w:t>(15.3)</w:t>
      </w:r>
      <w:r w:rsidR="00BE71AA" w:rsidRPr="00E61FD4">
        <w:rPr>
          <w:rFonts w:cs="Times New Roman"/>
        </w:rPr>
        <w:t> </w:t>
      </w:r>
      <w:r w:rsidRPr="00E61FD4">
        <w:rPr>
          <w:rFonts w:cs="Times New Roman"/>
        </w:rPr>
        <w:t>g/m2. There was also a mean (SD) reduction from baseline in left atrial volume index</w:t>
      </w:r>
      <w:r w:rsidR="008403B6" w:rsidRPr="00E61FD4">
        <w:rPr>
          <w:rFonts w:cs="Times New Roman"/>
        </w:rPr>
        <w:t xml:space="preserve"> (LAVI) in the mavacamten group -7.5</w:t>
      </w:r>
      <w:r w:rsidR="00BE71AA" w:rsidRPr="00E61FD4">
        <w:rPr>
          <w:rFonts w:cs="Times New Roman"/>
        </w:rPr>
        <w:t> </w:t>
      </w:r>
      <w:r w:rsidR="008403B6" w:rsidRPr="00E61FD4">
        <w:rPr>
          <w:rFonts w:cs="Times New Roman"/>
        </w:rPr>
        <w:t>(7.8)</w:t>
      </w:r>
      <w:r w:rsidR="00BE71AA" w:rsidRPr="00E61FD4">
        <w:rPr>
          <w:rFonts w:cs="Times New Roman"/>
        </w:rPr>
        <w:t> </w:t>
      </w:r>
      <w:r w:rsidR="008403B6" w:rsidRPr="00E61FD4">
        <w:rPr>
          <w:rFonts w:cs="Times New Roman"/>
        </w:rPr>
        <w:t>mL/m2 versus no change in the placebo group with</w:t>
      </w:r>
      <w:r w:rsidR="00FB14B5" w:rsidRPr="00E61FD4">
        <w:rPr>
          <w:rFonts w:cs="Times New Roman"/>
        </w:rPr>
        <w:t xml:space="preserve"> </w:t>
      </w:r>
      <w:r w:rsidR="008403B6" w:rsidRPr="00E61FD4">
        <w:rPr>
          <w:rFonts w:cs="Times New Roman"/>
        </w:rPr>
        <w:t>-0.1</w:t>
      </w:r>
      <w:r w:rsidR="00BE71AA" w:rsidRPr="00E61FD4">
        <w:rPr>
          <w:rFonts w:cs="Times New Roman"/>
        </w:rPr>
        <w:t> </w:t>
      </w:r>
      <w:r w:rsidR="008403B6" w:rsidRPr="00E61FD4">
        <w:rPr>
          <w:rFonts w:cs="Times New Roman"/>
        </w:rPr>
        <w:t>(8.7)</w:t>
      </w:r>
      <w:r w:rsidR="00BE71AA" w:rsidRPr="00E61FD4">
        <w:rPr>
          <w:rFonts w:cs="Times New Roman"/>
        </w:rPr>
        <w:t> </w:t>
      </w:r>
      <w:r w:rsidR="008403B6" w:rsidRPr="00E61FD4">
        <w:rPr>
          <w:rFonts w:cs="Times New Roman"/>
        </w:rPr>
        <w:t>mL/m2.</w:t>
      </w:r>
    </w:p>
    <w:p w14:paraId="57B2FA12" w14:textId="1F3D9FFC" w:rsidR="008403B6" w:rsidRPr="00E61FD4" w:rsidRDefault="008403B6" w:rsidP="008E41AB">
      <w:pPr>
        <w:pStyle w:val="Heading3"/>
      </w:pPr>
      <w:r w:rsidRPr="00E61FD4">
        <w:t>Cardiac Electrophysiology</w:t>
      </w:r>
    </w:p>
    <w:p w14:paraId="5AC491F6" w14:textId="2D482E52" w:rsidR="008403B6" w:rsidRPr="00E61FD4" w:rsidRDefault="008403B6" w:rsidP="008403B6">
      <w:pPr>
        <w:rPr>
          <w:rFonts w:cs="Times New Roman"/>
        </w:rPr>
      </w:pPr>
      <w:r w:rsidRPr="00E61FD4">
        <w:rPr>
          <w:rFonts w:cs="Times New Roman"/>
        </w:rPr>
        <w:t>In HCM, the QT interval may be intrinsically prolonged due to the underlying disease, in</w:t>
      </w:r>
      <w:r w:rsidR="00FB14B5" w:rsidRPr="00E61FD4">
        <w:rPr>
          <w:rFonts w:cs="Times New Roman"/>
        </w:rPr>
        <w:t xml:space="preserve"> </w:t>
      </w:r>
      <w:r w:rsidRPr="00E61FD4">
        <w:rPr>
          <w:rFonts w:cs="Times New Roman"/>
        </w:rPr>
        <w:t>association with ventricular pacing, or in association with drugs with potential for QT</w:t>
      </w:r>
      <w:r w:rsidR="00FB14B5" w:rsidRPr="00E61FD4">
        <w:rPr>
          <w:rFonts w:cs="Times New Roman"/>
        </w:rPr>
        <w:t xml:space="preserve"> </w:t>
      </w:r>
      <w:r w:rsidRPr="00E61FD4">
        <w:rPr>
          <w:rFonts w:cs="Times New Roman"/>
        </w:rPr>
        <w:t>prolongation commonly used in HCM population. An exposure-response analysis across all</w:t>
      </w:r>
      <w:r w:rsidR="00FB14B5" w:rsidRPr="00E61FD4">
        <w:rPr>
          <w:rFonts w:cs="Times New Roman"/>
        </w:rPr>
        <w:t xml:space="preserve"> </w:t>
      </w:r>
      <w:r w:rsidRPr="00E61FD4">
        <w:rPr>
          <w:rFonts w:cs="Times New Roman"/>
        </w:rPr>
        <w:t xml:space="preserve">clinical studies in HCM patients has shown a concentration-dependent shortening of the </w:t>
      </w:r>
      <w:proofErr w:type="spellStart"/>
      <w:r w:rsidRPr="00E61FD4">
        <w:rPr>
          <w:rFonts w:cs="Times New Roman"/>
        </w:rPr>
        <w:t>QTcF</w:t>
      </w:r>
      <w:proofErr w:type="spellEnd"/>
      <w:r w:rsidR="00FB14B5" w:rsidRPr="00E61FD4">
        <w:rPr>
          <w:rFonts w:cs="Times New Roman"/>
        </w:rPr>
        <w:t xml:space="preserve"> </w:t>
      </w:r>
      <w:r w:rsidRPr="00E61FD4">
        <w:rPr>
          <w:rFonts w:cs="Times New Roman"/>
        </w:rPr>
        <w:t>interval. The mean placebo corrected change from baseline in o</w:t>
      </w:r>
      <w:r w:rsidR="00116735" w:rsidRPr="00E61FD4">
        <w:rPr>
          <w:rFonts w:cs="Times New Roman"/>
        </w:rPr>
        <w:t xml:space="preserve">bstructive </w:t>
      </w:r>
      <w:r w:rsidRPr="00E61FD4">
        <w:rPr>
          <w:rFonts w:cs="Times New Roman"/>
        </w:rPr>
        <w:t>HCM patients was -8.7</w:t>
      </w:r>
      <w:r w:rsidR="007C07AC" w:rsidRPr="00E61FD4">
        <w:rPr>
          <w:rFonts w:cs="Times New Roman"/>
        </w:rPr>
        <w:t> </w:t>
      </w:r>
      <w:proofErr w:type="spellStart"/>
      <w:r w:rsidRPr="00E61FD4">
        <w:rPr>
          <w:rFonts w:cs="Times New Roman"/>
        </w:rPr>
        <w:t>ms</w:t>
      </w:r>
      <w:proofErr w:type="spellEnd"/>
      <w:r w:rsidRPr="00E61FD4">
        <w:rPr>
          <w:rFonts w:cs="Times New Roman"/>
        </w:rPr>
        <w:t xml:space="preserve"> (upper</w:t>
      </w:r>
      <w:r w:rsidR="00FB14B5" w:rsidRPr="00E61FD4">
        <w:rPr>
          <w:rFonts w:cs="Times New Roman"/>
        </w:rPr>
        <w:t xml:space="preserve"> </w:t>
      </w:r>
      <w:r w:rsidRPr="00E61FD4">
        <w:rPr>
          <w:rFonts w:cs="Times New Roman"/>
        </w:rPr>
        <w:t>and lower limit of the 90% CI -6.7</w:t>
      </w:r>
      <w:r w:rsidR="007C07AC" w:rsidRPr="00E61FD4">
        <w:rPr>
          <w:rFonts w:cs="Times New Roman"/>
        </w:rPr>
        <w:t> </w:t>
      </w:r>
      <w:proofErr w:type="spellStart"/>
      <w:r w:rsidRPr="00E61FD4">
        <w:rPr>
          <w:rFonts w:cs="Times New Roman"/>
        </w:rPr>
        <w:t>ms</w:t>
      </w:r>
      <w:proofErr w:type="spellEnd"/>
      <w:r w:rsidRPr="00E61FD4">
        <w:rPr>
          <w:rFonts w:cs="Times New Roman"/>
        </w:rPr>
        <w:t xml:space="preserve"> and -10.8</w:t>
      </w:r>
      <w:r w:rsidR="007C07AC" w:rsidRPr="00E61FD4">
        <w:rPr>
          <w:rFonts w:cs="Times New Roman"/>
        </w:rPr>
        <w:t> </w:t>
      </w:r>
      <w:proofErr w:type="spellStart"/>
      <w:r w:rsidRPr="00E61FD4">
        <w:rPr>
          <w:rFonts w:cs="Times New Roman"/>
        </w:rPr>
        <w:t>ms</w:t>
      </w:r>
      <w:proofErr w:type="spellEnd"/>
      <w:r w:rsidRPr="00E61FD4">
        <w:rPr>
          <w:rFonts w:cs="Times New Roman"/>
        </w:rPr>
        <w:t>, respectively) at the median steady-state</w:t>
      </w:r>
      <w:r w:rsidR="00FB14B5" w:rsidRPr="00E61FD4">
        <w:rPr>
          <w:rFonts w:cs="Times New Roman"/>
        </w:rPr>
        <w:t xml:space="preserve"> </w:t>
      </w:r>
      <w:proofErr w:type="spellStart"/>
      <w:r w:rsidRPr="00E61FD4">
        <w:rPr>
          <w:rFonts w:cs="Times New Roman"/>
        </w:rPr>
        <w:t>Cmax</w:t>
      </w:r>
      <w:proofErr w:type="spellEnd"/>
      <w:r w:rsidRPr="00E61FD4">
        <w:rPr>
          <w:rFonts w:cs="Times New Roman"/>
        </w:rPr>
        <w:t xml:space="preserve"> of 452</w:t>
      </w:r>
      <w:r w:rsidR="007C07AC" w:rsidRPr="00E61FD4">
        <w:rPr>
          <w:rFonts w:cs="Times New Roman"/>
        </w:rPr>
        <w:t> </w:t>
      </w:r>
      <w:r w:rsidRPr="00E61FD4">
        <w:rPr>
          <w:rFonts w:cs="Times New Roman"/>
        </w:rPr>
        <w:t>ng/</w:t>
      </w:r>
      <w:proofErr w:type="spellStart"/>
      <w:r w:rsidRPr="00E61FD4">
        <w:rPr>
          <w:rFonts w:cs="Times New Roman"/>
        </w:rPr>
        <w:t>mL.</w:t>
      </w:r>
      <w:proofErr w:type="spellEnd"/>
      <w:r w:rsidRPr="00E61FD4">
        <w:rPr>
          <w:rFonts w:cs="Times New Roman"/>
        </w:rPr>
        <w:t xml:space="preserve"> Patients with longer baseline </w:t>
      </w:r>
      <w:proofErr w:type="spellStart"/>
      <w:r w:rsidRPr="00E61FD4">
        <w:rPr>
          <w:rFonts w:cs="Times New Roman"/>
        </w:rPr>
        <w:t>QTcF</w:t>
      </w:r>
      <w:proofErr w:type="spellEnd"/>
      <w:r w:rsidRPr="00E61FD4">
        <w:rPr>
          <w:rFonts w:cs="Times New Roman"/>
        </w:rPr>
        <w:t xml:space="preserve"> intervals tended to display the greatest</w:t>
      </w:r>
      <w:r w:rsidR="00FB14B5" w:rsidRPr="00E61FD4">
        <w:rPr>
          <w:rFonts w:cs="Times New Roman"/>
        </w:rPr>
        <w:t xml:space="preserve"> </w:t>
      </w:r>
      <w:r w:rsidRPr="00E61FD4">
        <w:rPr>
          <w:rFonts w:cs="Times New Roman"/>
        </w:rPr>
        <w:t>shortening. In the EXPLORER-HCM trial, there was no evidence of an increase in clinical</w:t>
      </w:r>
      <w:r w:rsidR="00FB14B5" w:rsidRPr="00E61FD4">
        <w:rPr>
          <w:rFonts w:cs="Times New Roman"/>
        </w:rPr>
        <w:t xml:space="preserve"> </w:t>
      </w:r>
      <w:r w:rsidRPr="00E61FD4">
        <w:rPr>
          <w:rFonts w:cs="Times New Roman"/>
        </w:rPr>
        <w:t>events suggestive of ventricular arrhythmias (</w:t>
      </w:r>
      <w:proofErr w:type="gramStart"/>
      <w:r w:rsidRPr="00E61FD4">
        <w:rPr>
          <w:rFonts w:cs="Times New Roman"/>
        </w:rPr>
        <w:t>e.g.</w:t>
      </w:r>
      <w:proofErr w:type="gramEnd"/>
      <w:r w:rsidRPr="00E61FD4">
        <w:rPr>
          <w:rFonts w:cs="Times New Roman"/>
        </w:rPr>
        <w:t xml:space="preserve"> sudden deaths, </w:t>
      </w:r>
      <w:r w:rsidR="00462715" w:rsidRPr="00E61FD4">
        <w:rPr>
          <w:rFonts w:cs="Times New Roman"/>
        </w:rPr>
        <w:t xml:space="preserve">syncope, </w:t>
      </w:r>
      <w:r w:rsidRPr="00E61FD4">
        <w:rPr>
          <w:rFonts w:cs="Times New Roman"/>
        </w:rPr>
        <w:t>or seizures) in the mavacamten</w:t>
      </w:r>
      <w:r w:rsidR="00FB14B5" w:rsidRPr="00E61FD4">
        <w:rPr>
          <w:rFonts w:cs="Times New Roman"/>
        </w:rPr>
        <w:t xml:space="preserve"> </w:t>
      </w:r>
      <w:r w:rsidRPr="00E61FD4">
        <w:rPr>
          <w:rFonts w:cs="Times New Roman"/>
        </w:rPr>
        <w:t>group compared to placebo. There is limited experience on co-administration of mavacamten</w:t>
      </w:r>
      <w:r w:rsidR="00FB14B5" w:rsidRPr="00E61FD4">
        <w:rPr>
          <w:rFonts w:cs="Times New Roman"/>
        </w:rPr>
        <w:t xml:space="preserve"> </w:t>
      </w:r>
      <w:r w:rsidRPr="00E61FD4">
        <w:rPr>
          <w:rFonts w:cs="Times New Roman"/>
        </w:rPr>
        <w:t>with QT prolonging drugs or in patients with potassium channel variants resulting in a long QT</w:t>
      </w:r>
      <w:r w:rsidR="00FB14B5" w:rsidRPr="00E61FD4">
        <w:rPr>
          <w:rFonts w:cs="Times New Roman"/>
        </w:rPr>
        <w:t xml:space="preserve"> </w:t>
      </w:r>
      <w:r w:rsidRPr="00E61FD4">
        <w:rPr>
          <w:rFonts w:cs="Times New Roman"/>
        </w:rPr>
        <w:t>interval.</w:t>
      </w:r>
    </w:p>
    <w:p w14:paraId="44676B70" w14:textId="4525C519" w:rsidR="008403B6" w:rsidRPr="00E61FD4" w:rsidRDefault="008403B6" w:rsidP="00946721">
      <w:pPr>
        <w:spacing w:after="120"/>
        <w:rPr>
          <w:rFonts w:cs="Times New Roman"/>
        </w:rPr>
      </w:pPr>
      <w:r w:rsidRPr="00E61FD4">
        <w:rPr>
          <w:rFonts w:cs="Times New Roman"/>
        </w:rPr>
        <w:t>Consistent with nonclinical findings in normal hearts, in one clinical trial in healthy subjects</w:t>
      </w:r>
      <w:r w:rsidR="00A838D7" w:rsidRPr="00E61FD4">
        <w:rPr>
          <w:rFonts w:cs="Times New Roman"/>
        </w:rPr>
        <w:t xml:space="preserve"> </w:t>
      </w:r>
      <w:r w:rsidRPr="00E61FD4">
        <w:rPr>
          <w:rFonts w:cs="Times New Roman"/>
        </w:rPr>
        <w:t>sustained exposure to mavacamten at supratherapeutic levels leading to marked depression of</w:t>
      </w:r>
      <w:r w:rsidR="00A838D7" w:rsidRPr="00E61FD4">
        <w:rPr>
          <w:rFonts w:cs="Times New Roman"/>
        </w:rPr>
        <w:t xml:space="preserve"> </w:t>
      </w:r>
      <w:r w:rsidRPr="00E61FD4">
        <w:rPr>
          <w:rFonts w:cs="Times New Roman"/>
        </w:rPr>
        <w:t>systolic function was associated with QTc prolongation (&lt; 20</w:t>
      </w:r>
      <w:r w:rsidR="005C7482" w:rsidRPr="00E61FD4">
        <w:rPr>
          <w:rFonts w:cs="Times New Roman"/>
        </w:rPr>
        <w:t> </w:t>
      </w:r>
      <w:proofErr w:type="spellStart"/>
      <w:r w:rsidRPr="00E61FD4">
        <w:rPr>
          <w:rFonts w:cs="Times New Roman"/>
        </w:rPr>
        <w:t>ms</w:t>
      </w:r>
      <w:proofErr w:type="spellEnd"/>
      <w:r w:rsidRPr="00E61FD4">
        <w:rPr>
          <w:rFonts w:cs="Times New Roman"/>
        </w:rPr>
        <w:t>). No acute QTc changes have</w:t>
      </w:r>
      <w:r w:rsidR="00A838D7" w:rsidRPr="00E61FD4">
        <w:rPr>
          <w:rFonts w:cs="Times New Roman"/>
        </w:rPr>
        <w:t xml:space="preserve"> </w:t>
      </w:r>
      <w:r w:rsidRPr="00E61FD4">
        <w:rPr>
          <w:rFonts w:cs="Times New Roman"/>
        </w:rPr>
        <w:t>been observed at comparable (or higher) exposures after single doses.</w:t>
      </w:r>
    </w:p>
    <w:p w14:paraId="62683B00" w14:textId="0EF9F33F" w:rsidR="008403B6" w:rsidRPr="00E61FD4" w:rsidRDefault="008403B6" w:rsidP="00946721">
      <w:pPr>
        <w:spacing w:after="120"/>
        <w:rPr>
          <w:rFonts w:cs="Times New Roman"/>
        </w:rPr>
      </w:pPr>
      <w:r w:rsidRPr="00E61FD4">
        <w:rPr>
          <w:rFonts w:cs="Times New Roman"/>
        </w:rPr>
        <w:t>Preclinical studies to investigate the observed QTc prolongation in healthy hearts in animals</w:t>
      </w:r>
      <w:r w:rsidR="00A838D7" w:rsidRPr="00E61FD4">
        <w:rPr>
          <w:rFonts w:cs="Times New Roman"/>
        </w:rPr>
        <w:t xml:space="preserve"> </w:t>
      </w:r>
      <w:r w:rsidRPr="00E61FD4">
        <w:rPr>
          <w:rFonts w:cs="Times New Roman"/>
        </w:rPr>
        <w:t xml:space="preserve">demonstrated no proarrhythmic and/or </w:t>
      </w:r>
      <w:proofErr w:type="spellStart"/>
      <w:r w:rsidRPr="00E61FD4">
        <w:rPr>
          <w:rFonts w:cs="Times New Roman"/>
        </w:rPr>
        <w:t>torsadogenic</w:t>
      </w:r>
      <w:proofErr w:type="spellEnd"/>
      <w:r w:rsidRPr="00E61FD4">
        <w:rPr>
          <w:rFonts w:cs="Times New Roman"/>
        </w:rPr>
        <w:t xml:space="preserve"> potential either </w:t>
      </w:r>
      <w:r w:rsidR="00C91470" w:rsidRPr="00E61FD4">
        <w:rPr>
          <w:rFonts w:cs="Times New Roman"/>
          <w:i/>
        </w:rPr>
        <w:t>in vivo</w:t>
      </w:r>
      <w:r w:rsidRPr="00E61FD4">
        <w:rPr>
          <w:rFonts w:cs="Times New Roman"/>
        </w:rPr>
        <w:t xml:space="preserve">, </w:t>
      </w:r>
      <w:r w:rsidR="00C91470" w:rsidRPr="00E61FD4">
        <w:rPr>
          <w:rFonts w:cs="Times New Roman"/>
          <w:i/>
        </w:rPr>
        <w:t>in vitro</w:t>
      </w:r>
      <w:r w:rsidRPr="00E61FD4">
        <w:rPr>
          <w:rFonts w:cs="Times New Roman"/>
        </w:rPr>
        <w:t>, and/or in</w:t>
      </w:r>
      <w:r w:rsidR="00A838D7" w:rsidRPr="00E61FD4">
        <w:rPr>
          <w:rFonts w:cs="Times New Roman"/>
        </w:rPr>
        <w:t xml:space="preserve"> </w:t>
      </w:r>
      <w:r w:rsidRPr="00E61FD4">
        <w:rPr>
          <w:rFonts w:cs="Times New Roman"/>
        </w:rPr>
        <w:t>silico, and confirmed that the QTc prolongation observed in healthy hearts is not the result of an</w:t>
      </w:r>
      <w:r w:rsidR="00A838D7" w:rsidRPr="00E61FD4">
        <w:rPr>
          <w:rFonts w:cs="Times New Roman"/>
        </w:rPr>
        <w:t xml:space="preserve"> </w:t>
      </w:r>
      <w:r w:rsidRPr="00E61FD4">
        <w:rPr>
          <w:rFonts w:cs="Times New Roman"/>
        </w:rPr>
        <w:t xml:space="preserve">off-target direct effect of mavacamten on late-repolarization currents like </w:t>
      </w:r>
      <w:proofErr w:type="spellStart"/>
      <w:r w:rsidRPr="00E61FD4">
        <w:rPr>
          <w:rFonts w:cs="Times New Roman"/>
        </w:rPr>
        <w:t>hERG</w:t>
      </w:r>
      <w:proofErr w:type="spellEnd"/>
      <w:r w:rsidRPr="00E61FD4">
        <w:rPr>
          <w:rFonts w:cs="Times New Roman"/>
        </w:rPr>
        <w:t xml:space="preserve"> ion channel</w:t>
      </w:r>
      <w:r w:rsidR="00A838D7" w:rsidRPr="00E61FD4">
        <w:rPr>
          <w:rFonts w:cs="Times New Roman"/>
        </w:rPr>
        <w:t xml:space="preserve"> </w:t>
      </w:r>
      <w:r w:rsidRPr="00E61FD4">
        <w:rPr>
          <w:rFonts w:cs="Times New Roman"/>
        </w:rPr>
        <w:t>activity and/or trafficking. The findings in healthy hearts are attributed to an adaptive response</w:t>
      </w:r>
      <w:r w:rsidR="00A838D7" w:rsidRPr="00E61FD4">
        <w:rPr>
          <w:rFonts w:cs="Times New Roman"/>
        </w:rPr>
        <w:t xml:space="preserve"> </w:t>
      </w:r>
      <w:r w:rsidRPr="00E61FD4">
        <w:rPr>
          <w:rFonts w:cs="Times New Roman"/>
        </w:rPr>
        <w:t>to the cardiac mechanical/functional changes (marked mechanical LV depression) occurring in</w:t>
      </w:r>
      <w:r w:rsidR="00A838D7" w:rsidRPr="00E61FD4">
        <w:rPr>
          <w:rFonts w:cs="Times New Roman"/>
        </w:rPr>
        <w:t xml:space="preserve"> </w:t>
      </w:r>
      <w:r w:rsidRPr="00E61FD4">
        <w:rPr>
          <w:rFonts w:cs="Times New Roman"/>
        </w:rPr>
        <w:t>response to myosin inhibition in hearts with normal physiology and LV contractility.</w:t>
      </w:r>
    </w:p>
    <w:p w14:paraId="3DF66CF8" w14:textId="53AC6D41" w:rsidR="00BE1EFE" w:rsidRPr="00E61FD4" w:rsidRDefault="008403B6" w:rsidP="00946721">
      <w:pPr>
        <w:spacing w:after="120"/>
        <w:rPr>
          <w:rFonts w:cs="Times New Roman"/>
        </w:rPr>
      </w:pPr>
      <w:r w:rsidRPr="00E61FD4">
        <w:rPr>
          <w:rFonts w:cs="Times New Roman"/>
        </w:rPr>
        <w:t xml:space="preserve">The totality of the evidence supports the conclusion that </w:t>
      </w:r>
      <w:proofErr w:type="spellStart"/>
      <w:r w:rsidRPr="00E61FD4">
        <w:rPr>
          <w:rFonts w:cs="Times New Roman"/>
        </w:rPr>
        <w:t>mavacamten</w:t>
      </w:r>
      <w:proofErr w:type="spellEnd"/>
      <w:r w:rsidRPr="00E61FD4">
        <w:rPr>
          <w:rFonts w:cs="Times New Roman"/>
        </w:rPr>
        <w:t xml:space="preserve"> is not </w:t>
      </w:r>
      <w:proofErr w:type="spellStart"/>
      <w:r w:rsidRPr="00E61FD4">
        <w:rPr>
          <w:rFonts w:cs="Times New Roman"/>
        </w:rPr>
        <w:t>torsadogenic</w:t>
      </w:r>
      <w:proofErr w:type="spellEnd"/>
      <w:r w:rsidRPr="00E61FD4">
        <w:rPr>
          <w:rFonts w:cs="Times New Roman"/>
        </w:rPr>
        <w:t>.</w:t>
      </w:r>
    </w:p>
    <w:p w14:paraId="0E7ADC3E" w14:textId="77777777" w:rsidR="001071A5" w:rsidRPr="00E61FD4" w:rsidRDefault="001071A5" w:rsidP="008E41AB">
      <w:pPr>
        <w:pStyle w:val="Heading3"/>
      </w:pPr>
      <w:r w:rsidRPr="00E61FD4">
        <w:lastRenderedPageBreak/>
        <w:t>Cardiac Biomarkers</w:t>
      </w:r>
    </w:p>
    <w:p w14:paraId="1A5FEFFF" w14:textId="77777777" w:rsidR="001071A5" w:rsidRPr="00E61FD4" w:rsidRDefault="001071A5" w:rsidP="001071A5">
      <w:pPr>
        <w:rPr>
          <w:rFonts w:cs="Times New Roman"/>
        </w:rPr>
      </w:pPr>
      <w:r w:rsidRPr="00E61FD4">
        <w:rPr>
          <w:rFonts w:cs="Times New Roman"/>
        </w:rPr>
        <w:t>In the EXPLORER-HCM trial, reductions in a biomarker of cardiac wall stress, N-terminal pro-B-type natriuretic peptide (NT-</w:t>
      </w:r>
      <w:proofErr w:type="spellStart"/>
      <w:r w:rsidRPr="00E61FD4">
        <w:rPr>
          <w:rFonts w:cs="Times New Roman"/>
        </w:rPr>
        <w:t>proBNP</w:t>
      </w:r>
      <w:proofErr w:type="spellEnd"/>
      <w:r w:rsidRPr="00E61FD4">
        <w:rPr>
          <w:rFonts w:cs="Times New Roman"/>
        </w:rPr>
        <w:t>) were observed by Week </w:t>
      </w:r>
      <w:proofErr w:type="gramStart"/>
      <w:r w:rsidRPr="00E61FD4">
        <w:rPr>
          <w:rFonts w:cs="Times New Roman"/>
        </w:rPr>
        <w:t>4, and</w:t>
      </w:r>
      <w:proofErr w:type="gramEnd"/>
      <w:r w:rsidRPr="00E61FD4">
        <w:rPr>
          <w:rFonts w:cs="Times New Roman"/>
        </w:rPr>
        <w:t xml:space="preserve"> sustained through the end of treatment. The Week 30 ratio to baseline geometric mean was 0.20 for mavacamten and 1.02 for placebo (proportion of geometric mean ratio between the two arms 0.20, [95% CI: 0.17, 0.24]); therefore, the reduction in NT-</w:t>
      </w:r>
      <w:proofErr w:type="spellStart"/>
      <w:r w:rsidRPr="00E61FD4">
        <w:rPr>
          <w:rFonts w:cs="Times New Roman"/>
        </w:rPr>
        <w:t>proBNP</w:t>
      </w:r>
      <w:proofErr w:type="spellEnd"/>
      <w:r w:rsidRPr="00E61FD4">
        <w:rPr>
          <w:rFonts w:cs="Times New Roman"/>
        </w:rPr>
        <w:t xml:space="preserve"> after </w:t>
      </w:r>
      <w:proofErr w:type="spellStart"/>
      <w:r w:rsidRPr="00E61FD4">
        <w:rPr>
          <w:rFonts w:cs="Times New Roman"/>
        </w:rPr>
        <w:t>mavacamten</w:t>
      </w:r>
      <w:proofErr w:type="spellEnd"/>
      <w:r w:rsidRPr="00E61FD4">
        <w:rPr>
          <w:rFonts w:cs="Times New Roman"/>
        </w:rPr>
        <w:t xml:space="preserve"> treatment was 80% greater than for placebo.</w:t>
      </w:r>
    </w:p>
    <w:p w14:paraId="4F9378D4" w14:textId="77777777" w:rsidR="001A3992" w:rsidRPr="00E61FD4" w:rsidRDefault="001A3992" w:rsidP="008E41AB">
      <w:pPr>
        <w:pStyle w:val="Heading3"/>
      </w:pPr>
      <w:r w:rsidRPr="00E61FD4">
        <w:t>Clinical trials</w:t>
      </w:r>
    </w:p>
    <w:p w14:paraId="3D16DEB9" w14:textId="77777777" w:rsidR="00D53910" w:rsidRPr="00E61FD4" w:rsidRDefault="00D53910" w:rsidP="00946721">
      <w:pPr>
        <w:pStyle w:val="EMEABodyText"/>
        <w:keepNext/>
        <w:spacing w:after="120"/>
        <w:rPr>
          <w:u w:val="single"/>
        </w:rPr>
      </w:pPr>
      <w:bookmarkStart w:id="8" w:name="_Hlk72318228"/>
      <w:bookmarkStart w:id="9" w:name="_Hlk64550416"/>
      <w:r w:rsidRPr="00E61FD4">
        <w:rPr>
          <w:u w:val="single"/>
        </w:rPr>
        <w:t>Clinical efficacy and safety</w:t>
      </w:r>
    </w:p>
    <w:bookmarkEnd w:id="8"/>
    <w:bookmarkEnd w:id="9"/>
    <w:p w14:paraId="7B837B7E" w14:textId="78FD4942" w:rsidR="00D53910" w:rsidRPr="00E61FD4" w:rsidRDefault="00D53910" w:rsidP="00946721">
      <w:pPr>
        <w:spacing w:after="120"/>
        <w:rPr>
          <w:rFonts w:cs="Times New Roman"/>
        </w:rPr>
      </w:pPr>
      <w:r w:rsidRPr="00E61FD4">
        <w:rPr>
          <w:rFonts w:cs="Times New Roman"/>
        </w:rPr>
        <w:t xml:space="preserve">The efficacy of </w:t>
      </w:r>
      <w:r w:rsidR="00E5063D" w:rsidRPr="00E61FD4">
        <w:rPr>
          <w:rFonts w:cs="Times New Roman"/>
        </w:rPr>
        <w:t>CAMZYOS</w:t>
      </w:r>
      <w:r w:rsidRPr="00E61FD4">
        <w:rPr>
          <w:rFonts w:cs="Times New Roman"/>
        </w:rPr>
        <w:t xml:space="preserve"> was evaluated in a double-blind, randomised, placebo-controlled, parallel-arm, multicentre, international, Phase 3 study (EXPLORER-HCM) enrolling 251 adult patients with symptomatic NYHA class II and III o</w:t>
      </w:r>
      <w:r w:rsidR="00116735" w:rsidRPr="00E61FD4">
        <w:rPr>
          <w:rFonts w:cs="Times New Roman"/>
        </w:rPr>
        <w:t xml:space="preserve">bstructive </w:t>
      </w:r>
      <w:r w:rsidRPr="00E61FD4">
        <w:rPr>
          <w:rFonts w:cs="Times New Roman"/>
        </w:rPr>
        <w:t xml:space="preserve">HCM, LVEF ≥ 55%, and LVOT peak gradient ≥ 50 mmHg at rest or with provocation. </w:t>
      </w:r>
      <w:proofErr w:type="gramStart"/>
      <w:r w:rsidRPr="00E61FD4">
        <w:rPr>
          <w:rFonts w:cs="Times New Roman"/>
        </w:rPr>
        <w:t>The majority of</w:t>
      </w:r>
      <w:proofErr w:type="gramEnd"/>
      <w:r w:rsidRPr="00E61FD4">
        <w:rPr>
          <w:rFonts w:cs="Times New Roman"/>
        </w:rPr>
        <w:t xml:space="preserve"> patients received background HCM treatment for a total of 96% in </w:t>
      </w:r>
      <w:r w:rsidR="00E5063D" w:rsidRPr="00E61FD4">
        <w:rPr>
          <w:rFonts w:eastAsia="SimSun"/>
        </w:rPr>
        <w:t>CAMZYOS</w:t>
      </w:r>
      <w:r w:rsidR="000F0630" w:rsidRPr="00E61FD4">
        <w:rPr>
          <w:rFonts w:eastAsia="SimSun"/>
        </w:rPr>
        <w:t xml:space="preserve"> </w:t>
      </w:r>
      <w:r w:rsidRPr="00E61FD4">
        <w:rPr>
          <w:rFonts w:cs="Times New Roman"/>
        </w:rPr>
        <w:t>arm (beta blockers 76%, calcium channel blockers 20%) and of 87% in the placebo arm (beta blockers 74%, calcium channel blockers 13%).</w:t>
      </w:r>
    </w:p>
    <w:p w14:paraId="7EFBBDCF" w14:textId="6381C011" w:rsidR="00D53910" w:rsidRPr="00E61FD4" w:rsidRDefault="00D53910" w:rsidP="00946721">
      <w:pPr>
        <w:spacing w:after="120"/>
        <w:rPr>
          <w:rFonts w:cs="Times New Roman"/>
        </w:rPr>
      </w:pPr>
      <w:r w:rsidRPr="00E61FD4">
        <w:rPr>
          <w:rFonts w:cs="Times New Roman"/>
        </w:rPr>
        <w:t xml:space="preserve">Patients were randomised in a 1:1 ratio to receive either a starting dose of 5 mg of </w:t>
      </w:r>
      <w:r w:rsidR="00E5063D" w:rsidRPr="00E61FD4">
        <w:rPr>
          <w:rFonts w:cs="Times New Roman"/>
        </w:rPr>
        <w:t>CAMZYOS</w:t>
      </w:r>
      <w:r w:rsidR="00C01964" w:rsidRPr="00E61FD4">
        <w:rPr>
          <w:rFonts w:cs="Times New Roman"/>
        </w:rPr>
        <w:t xml:space="preserve"> </w:t>
      </w:r>
      <w:r w:rsidRPr="00E61FD4">
        <w:rPr>
          <w:rFonts w:cs="Times New Roman"/>
        </w:rPr>
        <w:t xml:space="preserve">(123 patients) or matching placebo (128 patients) once daily for 30 weeks. The dose was periodically adjusted </w:t>
      </w:r>
      <w:r w:rsidR="00365DAF" w:rsidRPr="00E61FD4">
        <w:rPr>
          <w:rFonts w:cs="Times New Roman"/>
        </w:rPr>
        <w:t>based on plasma concentrations</w:t>
      </w:r>
      <w:r w:rsidR="006A180A" w:rsidRPr="00E61FD4">
        <w:rPr>
          <w:rFonts w:cs="Times New Roman"/>
        </w:rPr>
        <w:t xml:space="preserve"> of CAMZYOS and pharmacodynamic response </w:t>
      </w:r>
      <w:r w:rsidR="0086303E" w:rsidRPr="00E61FD4">
        <w:rPr>
          <w:rFonts w:cs="Times New Roman"/>
        </w:rPr>
        <w:t xml:space="preserve">(decrease in LVOT gradient with Valsalva </w:t>
      </w:r>
      <w:r w:rsidR="00FA7E07" w:rsidRPr="00E61FD4">
        <w:rPr>
          <w:rFonts w:cs="Times New Roman"/>
        </w:rPr>
        <w:t>manoeuvre</w:t>
      </w:r>
      <w:r w:rsidR="0086303E" w:rsidRPr="00E61FD4">
        <w:rPr>
          <w:rFonts w:cs="Times New Roman"/>
        </w:rPr>
        <w:t xml:space="preserve"> and maintenance of LVEF ≥</w:t>
      </w:r>
      <w:r w:rsidR="00FA7E07" w:rsidRPr="00E61FD4">
        <w:rPr>
          <w:rFonts w:cs="Times New Roman"/>
        </w:rPr>
        <w:t xml:space="preserve"> 50%) </w:t>
      </w:r>
      <w:r w:rsidRPr="00E61FD4">
        <w:rPr>
          <w:rFonts w:cs="Times New Roman"/>
        </w:rPr>
        <w:t xml:space="preserve">to optimise patients’ response. Within the dose range of 2.5 mg to 15 mg, a total of 81% (100/123) of patients were receiving either the 5 mg or 10 mg dose at the end of the treatment period, with 49% (60/123) receiving the 5 mg dose. During the study, 3 of 7 patients on </w:t>
      </w:r>
      <w:r w:rsidR="00E5063D" w:rsidRPr="00E61FD4">
        <w:rPr>
          <w:rFonts w:cs="Times New Roman"/>
        </w:rPr>
        <w:t>CAMZYOS</w:t>
      </w:r>
      <w:r w:rsidR="00C01964" w:rsidRPr="00E61FD4">
        <w:rPr>
          <w:rFonts w:cs="Times New Roman"/>
        </w:rPr>
        <w:t xml:space="preserve"> </w:t>
      </w:r>
      <w:r w:rsidRPr="00E61FD4">
        <w:rPr>
          <w:rFonts w:cs="Times New Roman"/>
        </w:rPr>
        <w:t>had LVEF &lt; 50% prior to the Week 30 visit and temporarily interrupted their dose; 2 patients resumed treatment at the same dose and 1 patient had the dose reduced from 10 mg to 5 mg.</w:t>
      </w:r>
    </w:p>
    <w:p w14:paraId="14A96FED" w14:textId="100FC345" w:rsidR="00D53910" w:rsidRPr="00E61FD4" w:rsidRDefault="00D53910" w:rsidP="00946721">
      <w:pPr>
        <w:spacing w:after="120"/>
        <w:rPr>
          <w:rFonts w:cs="Times New Roman"/>
        </w:rPr>
      </w:pPr>
      <w:r w:rsidRPr="00E61FD4">
        <w:rPr>
          <w:rFonts w:cs="Times New Roman"/>
        </w:rPr>
        <w:t>Treatment assignment was stratified by baseline disease severity NYHA functional class (II or III), current treatment with beta blockers (yes or no), type of ergometer (treadmill or exercise bicycle) used for assessment of peak oxygen consumption (pVO2). Patients on background dual treatment with beta blocker and calcium channel blocker treatment or disopyramide or ranolazine were excluded. Patients with known infiltrative or storage disorder causing cardiac hypertrophy that mimicked o</w:t>
      </w:r>
      <w:r w:rsidR="00116735" w:rsidRPr="00E61FD4">
        <w:rPr>
          <w:rFonts w:cs="Times New Roman"/>
        </w:rPr>
        <w:t xml:space="preserve">bstructive </w:t>
      </w:r>
      <w:r w:rsidRPr="00E61FD4">
        <w:rPr>
          <w:rFonts w:cs="Times New Roman"/>
        </w:rPr>
        <w:t>HCM, such as Fabry disease, amyloidosis, or Noonan syndrome with LV hypertrophy, were also excluded.</w:t>
      </w:r>
    </w:p>
    <w:p w14:paraId="45AF10DB" w14:textId="046C817A" w:rsidR="00D53910" w:rsidRPr="00E61FD4" w:rsidRDefault="00D53910" w:rsidP="00946721">
      <w:pPr>
        <w:spacing w:after="120"/>
        <w:rPr>
          <w:rFonts w:cs="Times New Roman"/>
        </w:rPr>
      </w:pPr>
      <w:r w:rsidRPr="00E61FD4">
        <w:rPr>
          <w:rFonts w:cs="Times New Roman"/>
        </w:rPr>
        <w:t xml:space="preserve">The baseline demographic and disease characteristics are shown in </w:t>
      </w:r>
      <w:r w:rsidR="003A222B" w:rsidRPr="00E61FD4">
        <w:rPr>
          <w:rFonts w:cs="Times New Roman"/>
        </w:rPr>
        <w:fldChar w:fldCharType="begin"/>
      </w:r>
      <w:r w:rsidR="003A222B" w:rsidRPr="00E61FD4">
        <w:rPr>
          <w:rFonts w:cs="Times New Roman"/>
        </w:rPr>
        <w:instrText xml:space="preserve"> REF _Ref75263543 \h </w:instrText>
      </w:r>
      <w:r w:rsidR="00DD316B" w:rsidRPr="00E61FD4">
        <w:rPr>
          <w:rFonts w:cs="Times New Roman"/>
        </w:rPr>
        <w:instrText xml:space="preserve"> \* MERGEFORMAT </w:instrText>
      </w:r>
      <w:r w:rsidR="003A222B" w:rsidRPr="00E61FD4">
        <w:rPr>
          <w:rFonts w:cs="Times New Roman"/>
        </w:rPr>
      </w:r>
      <w:r w:rsidR="003A222B" w:rsidRPr="00E61FD4">
        <w:rPr>
          <w:rFonts w:cs="Times New Roman"/>
        </w:rPr>
        <w:fldChar w:fldCharType="separate"/>
      </w:r>
      <w:r w:rsidR="00E61FD4" w:rsidRPr="00E61FD4">
        <w:t xml:space="preserve">Table </w:t>
      </w:r>
      <w:r w:rsidR="00E61FD4">
        <w:rPr>
          <w:noProof/>
        </w:rPr>
        <w:t>3</w:t>
      </w:r>
      <w:r w:rsidR="003A222B" w:rsidRPr="00E61FD4">
        <w:rPr>
          <w:rFonts w:cs="Times New Roman"/>
        </w:rPr>
        <w:fldChar w:fldCharType="end"/>
      </w:r>
      <w:r w:rsidR="003A222B" w:rsidRPr="00E61FD4">
        <w:rPr>
          <w:rFonts w:cs="Times New Roman"/>
        </w:rPr>
        <w:t>.</w:t>
      </w:r>
    </w:p>
    <w:p w14:paraId="2A3B887E" w14:textId="3E562FCD" w:rsidR="00D53910" w:rsidRPr="00E61FD4" w:rsidRDefault="003A222B" w:rsidP="003A222B">
      <w:pPr>
        <w:pStyle w:val="Caption"/>
        <w:keepNext/>
        <w:spacing w:after="0"/>
        <w:jc w:val="left"/>
        <w:rPr>
          <w:szCs w:val="22"/>
        </w:rPr>
      </w:pPr>
      <w:bookmarkStart w:id="10" w:name="_Ref75263543"/>
      <w:r w:rsidRPr="00E61FD4">
        <w:t xml:space="preserve">Table </w:t>
      </w:r>
      <w:r w:rsidRPr="00E61FD4">
        <w:fldChar w:fldCharType="begin"/>
      </w:r>
      <w:r w:rsidRPr="00E61FD4">
        <w:instrText>SEQ Table \* ARABIC</w:instrText>
      </w:r>
      <w:r w:rsidRPr="00E61FD4">
        <w:fldChar w:fldCharType="separate"/>
      </w:r>
      <w:r w:rsidR="00E61FD4">
        <w:rPr>
          <w:noProof/>
        </w:rPr>
        <w:t>3</w:t>
      </w:r>
      <w:r w:rsidRPr="00E61FD4">
        <w:fldChar w:fldCharType="end"/>
      </w:r>
      <w:bookmarkEnd w:id="10"/>
      <w:r w:rsidRPr="00E61FD4">
        <w:t xml:space="preserve"> </w:t>
      </w:r>
      <w:r w:rsidR="00D53910" w:rsidRPr="00E61FD4">
        <w:rPr>
          <w:szCs w:val="22"/>
        </w:rPr>
        <w:t>Baseline demographics and disease-related characteristics in study EXPLORER</w:t>
      </w:r>
      <w:r w:rsidR="00D53910" w:rsidRPr="00E61FD4">
        <w:rPr>
          <w:szCs w:val="22"/>
        </w:rPr>
        <w:noBreakHyphen/>
        <w:t>HCM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gridCol w:w="8"/>
        <w:gridCol w:w="1851"/>
        <w:gridCol w:w="1311"/>
      </w:tblGrid>
      <w:tr w:rsidR="00D53910" w:rsidRPr="00E61FD4" w14:paraId="0FAADCFB" w14:textId="77777777" w:rsidTr="00DB1A44">
        <w:trPr>
          <w:tblHeader/>
        </w:trPr>
        <w:tc>
          <w:tcPr>
            <w:tcW w:w="6070" w:type="dxa"/>
            <w:gridSpan w:val="2"/>
            <w:shd w:val="clear" w:color="auto" w:fill="auto"/>
          </w:tcPr>
          <w:p w14:paraId="48F00BDC" w14:textId="77777777" w:rsidR="00D53910" w:rsidRPr="00E61FD4" w:rsidRDefault="00D53910" w:rsidP="003A222B">
            <w:pPr>
              <w:pStyle w:val="C-BodyText"/>
              <w:spacing w:before="0" w:after="0" w:line="240" w:lineRule="auto"/>
              <w:rPr>
                <w:bCs/>
                <w:sz w:val="20"/>
                <w:lang w:val="en-GB"/>
              </w:rPr>
            </w:pPr>
          </w:p>
        </w:tc>
        <w:tc>
          <w:tcPr>
            <w:tcW w:w="1883" w:type="dxa"/>
            <w:shd w:val="clear" w:color="auto" w:fill="auto"/>
          </w:tcPr>
          <w:p w14:paraId="3C03D8B4" w14:textId="7BB50EA1" w:rsidR="00D53910" w:rsidRPr="00E61FD4" w:rsidRDefault="00E5063D" w:rsidP="003A222B">
            <w:pPr>
              <w:pStyle w:val="EMEABodyText"/>
              <w:jc w:val="center"/>
              <w:rPr>
                <w:b/>
                <w:bCs/>
                <w:sz w:val="20"/>
              </w:rPr>
            </w:pPr>
            <w:r w:rsidRPr="00E61FD4">
              <w:rPr>
                <w:b/>
                <w:bCs/>
                <w:sz w:val="20"/>
              </w:rPr>
              <w:t>CAMZYOS</w:t>
            </w:r>
            <w:r w:rsidR="005235ED" w:rsidRPr="00E61FD4">
              <w:rPr>
                <w:b/>
                <w:bCs/>
                <w:sz w:val="20"/>
              </w:rPr>
              <w:t xml:space="preserve"> </w:t>
            </w:r>
            <w:r w:rsidR="00D53910" w:rsidRPr="00E61FD4">
              <w:rPr>
                <w:b/>
                <w:bCs/>
                <w:sz w:val="20"/>
              </w:rPr>
              <w:t>N = 123</w:t>
            </w:r>
          </w:p>
        </w:tc>
        <w:tc>
          <w:tcPr>
            <w:tcW w:w="1334" w:type="dxa"/>
            <w:shd w:val="clear" w:color="auto" w:fill="auto"/>
          </w:tcPr>
          <w:p w14:paraId="7A9D4CCD" w14:textId="77777777" w:rsidR="00D53910" w:rsidRPr="00E61FD4" w:rsidRDefault="00D53910" w:rsidP="003A222B">
            <w:pPr>
              <w:pStyle w:val="EMEABodyText"/>
              <w:jc w:val="center"/>
              <w:rPr>
                <w:b/>
                <w:sz w:val="20"/>
              </w:rPr>
            </w:pPr>
            <w:r w:rsidRPr="00E61FD4">
              <w:rPr>
                <w:b/>
                <w:sz w:val="20"/>
              </w:rPr>
              <w:t>Placebo</w:t>
            </w:r>
          </w:p>
          <w:p w14:paraId="7F984563" w14:textId="77777777" w:rsidR="00D53910" w:rsidRPr="00E61FD4" w:rsidRDefault="00D53910" w:rsidP="003A222B">
            <w:pPr>
              <w:pStyle w:val="EMEABodyText"/>
              <w:jc w:val="center"/>
              <w:rPr>
                <w:b/>
                <w:sz w:val="20"/>
              </w:rPr>
            </w:pPr>
            <w:r w:rsidRPr="00E61FD4">
              <w:rPr>
                <w:b/>
                <w:sz w:val="20"/>
              </w:rPr>
              <w:t>N = 128</w:t>
            </w:r>
          </w:p>
        </w:tc>
      </w:tr>
      <w:tr w:rsidR="00D53910" w:rsidRPr="00E61FD4" w14:paraId="634A25C1" w14:textId="77777777" w:rsidTr="00DB1A44">
        <w:tc>
          <w:tcPr>
            <w:tcW w:w="6070" w:type="dxa"/>
            <w:gridSpan w:val="2"/>
            <w:shd w:val="clear" w:color="auto" w:fill="auto"/>
          </w:tcPr>
          <w:p w14:paraId="28EC3FF5" w14:textId="77777777" w:rsidR="00D53910" w:rsidRPr="00E61FD4" w:rsidRDefault="00D53910" w:rsidP="003A222B">
            <w:pPr>
              <w:pStyle w:val="EMEABodyText"/>
              <w:rPr>
                <w:b/>
                <w:bCs/>
                <w:sz w:val="20"/>
              </w:rPr>
            </w:pPr>
            <w:r w:rsidRPr="00E61FD4">
              <w:rPr>
                <w:b/>
                <w:bCs/>
                <w:sz w:val="20"/>
              </w:rPr>
              <w:t>Demographics</w:t>
            </w:r>
          </w:p>
        </w:tc>
        <w:tc>
          <w:tcPr>
            <w:tcW w:w="3217" w:type="dxa"/>
            <w:gridSpan w:val="2"/>
            <w:shd w:val="clear" w:color="auto" w:fill="auto"/>
          </w:tcPr>
          <w:p w14:paraId="0A5E6B61" w14:textId="77777777" w:rsidR="00D53910" w:rsidRPr="00E61FD4" w:rsidRDefault="00D53910" w:rsidP="003A222B">
            <w:pPr>
              <w:pStyle w:val="EMEABodyText"/>
              <w:rPr>
                <w:b/>
                <w:bCs/>
                <w:sz w:val="20"/>
              </w:rPr>
            </w:pPr>
          </w:p>
        </w:tc>
      </w:tr>
      <w:tr w:rsidR="00D53910" w:rsidRPr="00E61FD4" w14:paraId="7ADED7E7" w14:textId="77777777" w:rsidTr="00DB1A44">
        <w:tc>
          <w:tcPr>
            <w:tcW w:w="9287" w:type="dxa"/>
            <w:gridSpan w:val="4"/>
            <w:shd w:val="clear" w:color="auto" w:fill="auto"/>
          </w:tcPr>
          <w:p w14:paraId="2E973BD3" w14:textId="77777777" w:rsidR="00D53910" w:rsidRPr="00E61FD4" w:rsidRDefault="00D53910" w:rsidP="003A222B">
            <w:pPr>
              <w:pStyle w:val="EMEABodyText"/>
              <w:rPr>
                <w:b/>
                <w:bCs/>
                <w:sz w:val="20"/>
              </w:rPr>
            </w:pPr>
            <w:r w:rsidRPr="00E61FD4">
              <w:rPr>
                <w:b/>
                <w:bCs/>
                <w:sz w:val="20"/>
              </w:rPr>
              <w:t>Age (years)</w:t>
            </w:r>
          </w:p>
        </w:tc>
      </w:tr>
      <w:tr w:rsidR="00D53910" w:rsidRPr="00E61FD4" w14:paraId="1810D5BF" w14:textId="77777777" w:rsidTr="00DB1A44">
        <w:tc>
          <w:tcPr>
            <w:tcW w:w="6070" w:type="dxa"/>
            <w:gridSpan w:val="2"/>
            <w:shd w:val="clear" w:color="auto" w:fill="auto"/>
          </w:tcPr>
          <w:p w14:paraId="520DB958" w14:textId="77777777" w:rsidR="00D53910" w:rsidRPr="00E61FD4" w:rsidRDefault="00D53910" w:rsidP="003A222B">
            <w:pPr>
              <w:pStyle w:val="EMEABodyText"/>
              <w:ind w:left="157"/>
              <w:rPr>
                <w:bCs/>
                <w:sz w:val="20"/>
              </w:rPr>
            </w:pPr>
            <w:r w:rsidRPr="00E61FD4">
              <w:rPr>
                <w:sz w:val="20"/>
              </w:rPr>
              <w:t>Mean (minimum, maximum)</w:t>
            </w:r>
          </w:p>
        </w:tc>
        <w:tc>
          <w:tcPr>
            <w:tcW w:w="1883" w:type="dxa"/>
            <w:shd w:val="clear" w:color="auto" w:fill="auto"/>
          </w:tcPr>
          <w:p w14:paraId="738C4BB1" w14:textId="77777777" w:rsidR="00D53910" w:rsidRPr="00E61FD4" w:rsidRDefault="00D53910" w:rsidP="003A222B">
            <w:pPr>
              <w:pStyle w:val="EMEABodyText"/>
              <w:jc w:val="center"/>
              <w:rPr>
                <w:bCs/>
                <w:sz w:val="20"/>
              </w:rPr>
            </w:pPr>
            <w:r w:rsidRPr="00E61FD4">
              <w:rPr>
                <w:bCs/>
                <w:sz w:val="20"/>
              </w:rPr>
              <w:t>59 (26, 82)</w:t>
            </w:r>
          </w:p>
        </w:tc>
        <w:tc>
          <w:tcPr>
            <w:tcW w:w="1334" w:type="dxa"/>
            <w:shd w:val="clear" w:color="auto" w:fill="auto"/>
          </w:tcPr>
          <w:p w14:paraId="6840C6A0" w14:textId="77777777" w:rsidR="00D53910" w:rsidRPr="00E61FD4" w:rsidRDefault="00D53910" w:rsidP="003A222B">
            <w:pPr>
              <w:pStyle w:val="EMEABodyText"/>
              <w:jc w:val="center"/>
              <w:rPr>
                <w:bCs/>
                <w:sz w:val="20"/>
              </w:rPr>
            </w:pPr>
            <w:r w:rsidRPr="00E61FD4">
              <w:rPr>
                <w:bCs/>
                <w:sz w:val="20"/>
              </w:rPr>
              <w:t>59 (18, 81)</w:t>
            </w:r>
          </w:p>
        </w:tc>
      </w:tr>
      <w:tr w:rsidR="00D53910" w:rsidRPr="00E61FD4" w14:paraId="5D1665F1" w14:textId="77777777" w:rsidTr="00DB1A44">
        <w:tc>
          <w:tcPr>
            <w:tcW w:w="9287" w:type="dxa"/>
            <w:gridSpan w:val="4"/>
            <w:shd w:val="clear" w:color="auto" w:fill="auto"/>
          </w:tcPr>
          <w:p w14:paraId="58E4D042" w14:textId="77777777" w:rsidR="00D53910" w:rsidRPr="00E61FD4" w:rsidRDefault="00D53910" w:rsidP="003A222B">
            <w:pPr>
              <w:pStyle w:val="EMEABodyText"/>
              <w:rPr>
                <w:b/>
                <w:sz w:val="20"/>
              </w:rPr>
            </w:pPr>
            <w:r w:rsidRPr="00E61FD4">
              <w:rPr>
                <w:b/>
                <w:bCs/>
                <w:sz w:val="20"/>
              </w:rPr>
              <w:t>Sex, n (%)</w:t>
            </w:r>
          </w:p>
        </w:tc>
      </w:tr>
      <w:tr w:rsidR="00D53910" w:rsidRPr="00E61FD4" w14:paraId="29C7D225" w14:textId="77777777" w:rsidTr="00DB1A44">
        <w:tc>
          <w:tcPr>
            <w:tcW w:w="6070" w:type="dxa"/>
            <w:gridSpan w:val="2"/>
            <w:shd w:val="clear" w:color="auto" w:fill="auto"/>
          </w:tcPr>
          <w:p w14:paraId="3F51B2F4" w14:textId="77777777" w:rsidR="00D53910" w:rsidRPr="00E61FD4" w:rsidRDefault="00D53910" w:rsidP="00DB1A44">
            <w:pPr>
              <w:pStyle w:val="EMEABodyText"/>
              <w:ind w:left="157"/>
              <w:rPr>
                <w:sz w:val="20"/>
              </w:rPr>
            </w:pPr>
            <w:r w:rsidRPr="00E61FD4">
              <w:rPr>
                <w:sz w:val="20"/>
              </w:rPr>
              <w:t>Male</w:t>
            </w:r>
          </w:p>
        </w:tc>
        <w:tc>
          <w:tcPr>
            <w:tcW w:w="1883" w:type="dxa"/>
            <w:shd w:val="clear" w:color="auto" w:fill="auto"/>
          </w:tcPr>
          <w:p w14:paraId="3C4B23C4" w14:textId="77777777" w:rsidR="00D53910" w:rsidRPr="00E61FD4" w:rsidRDefault="00D53910" w:rsidP="00DB1A44">
            <w:pPr>
              <w:pStyle w:val="EMEABodyText"/>
              <w:jc w:val="center"/>
              <w:rPr>
                <w:bCs/>
                <w:sz w:val="20"/>
              </w:rPr>
            </w:pPr>
            <w:r w:rsidRPr="00E61FD4">
              <w:rPr>
                <w:bCs/>
                <w:sz w:val="20"/>
              </w:rPr>
              <w:t>66 (54)</w:t>
            </w:r>
          </w:p>
        </w:tc>
        <w:tc>
          <w:tcPr>
            <w:tcW w:w="1334" w:type="dxa"/>
            <w:shd w:val="clear" w:color="auto" w:fill="auto"/>
          </w:tcPr>
          <w:p w14:paraId="29A7E9FA" w14:textId="77777777" w:rsidR="00D53910" w:rsidRPr="00E61FD4" w:rsidRDefault="00D53910" w:rsidP="00DB1A44">
            <w:pPr>
              <w:pStyle w:val="EMEABodyText"/>
              <w:jc w:val="center"/>
              <w:rPr>
                <w:bCs/>
                <w:sz w:val="20"/>
              </w:rPr>
            </w:pPr>
            <w:r w:rsidRPr="00E61FD4">
              <w:rPr>
                <w:bCs/>
                <w:sz w:val="20"/>
              </w:rPr>
              <w:t>83 (65)</w:t>
            </w:r>
          </w:p>
        </w:tc>
      </w:tr>
      <w:tr w:rsidR="00D53910" w:rsidRPr="00E61FD4" w14:paraId="4C3EF7A3" w14:textId="77777777" w:rsidTr="00DB1A44">
        <w:tc>
          <w:tcPr>
            <w:tcW w:w="6070" w:type="dxa"/>
            <w:gridSpan w:val="2"/>
            <w:shd w:val="clear" w:color="auto" w:fill="auto"/>
          </w:tcPr>
          <w:p w14:paraId="71D5A35D" w14:textId="77777777" w:rsidR="00D53910" w:rsidRPr="00E61FD4" w:rsidRDefault="00D53910" w:rsidP="00DB1A44">
            <w:pPr>
              <w:pStyle w:val="EMEABodyText"/>
              <w:ind w:left="157"/>
              <w:rPr>
                <w:sz w:val="20"/>
              </w:rPr>
            </w:pPr>
            <w:r w:rsidRPr="00E61FD4">
              <w:rPr>
                <w:sz w:val="20"/>
              </w:rPr>
              <w:t>Female</w:t>
            </w:r>
          </w:p>
        </w:tc>
        <w:tc>
          <w:tcPr>
            <w:tcW w:w="1883" w:type="dxa"/>
            <w:shd w:val="clear" w:color="auto" w:fill="auto"/>
          </w:tcPr>
          <w:p w14:paraId="2BE92364" w14:textId="77777777" w:rsidR="00D53910" w:rsidRPr="00E61FD4" w:rsidRDefault="00D53910" w:rsidP="00DB1A44">
            <w:pPr>
              <w:pStyle w:val="EMEABodyText"/>
              <w:jc w:val="center"/>
              <w:rPr>
                <w:bCs/>
                <w:sz w:val="20"/>
              </w:rPr>
            </w:pPr>
            <w:r w:rsidRPr="00E61FD4">
              <w:rPr>
                <w:bCs/>
                <w:sz w:val="20"/>
              </w:rPr>
              <w:t>57 (46)</w:t>
            </w:r>
          </w:p>
        </w:tc>
        <w:tc>
          <w:tcPr>
            <w:tcW w:w="1334" w:type="dxa"/>
            <w:shd w:val="clear" w:color="auto" w:fill="auto"/>
          </w:tcPr>
          <w:p w14:paraId="29FF8FDE" w14:textId="77777777" w:rsidR="00D53910" w:rsidRPr="00E61FD4" w:rsidRDefault="00D53910" w:rsidP="00DB1A44">
            <w:pPr>
              <w:pStyle w:val="EMEABodyText"/>
              <w:jc w:val="center"/>
              <w:rPr>
                <w:bCs/>
                <w:sz w:val="20"/>
              </w:rPr>
            </w:pPr>
            <w:r w:rsidRPr="00E61FD4">
              <w:rPr>
                <w:bCs/>
                <w:sz w:val="20"/>
              </w:rPr>
              <w:t>45 (35)</w:t>
            </w:r>
          </w:p>
        </w:tc>
      </w:tr>
      <w:tr w:rsidR="00D53910" w:rsidRPr="00E61FD4" w14:paraId="7738A271" w14:textId="77777777" w:rsidTr="00DB1A44">
        <w:tc>
          <w:tcPr>
            <w:tcW w:w="6070" w:type="dxa"/>
            <w:gridSpan w:val="2"/>
            <w:shd w:val="clear" w:color="auto" w:fill="auto"/>
          </w:tcPr>
          <w:p w14:paraId="26AF06B4" w14:textId="77777777" w:rsidR="00D53910" w:rsidRPr="00E61FD4" w:rsidRDefault="00D53910" w:rsidP="00DB1A44">
            <w:pPr>
              <w:pStyle w:val="EMEABodyText"/>
              <w:rPr>
                <w:b/>
                <w:bCs/>
                <w:sz w:val="20"/>
              </w:rPr>
            </w:pPr>
            <w:r w:rsidRPr="00E61FD4">
              <w:rPr>
                <w:b/>
                <w:bCs/>
                <w:sz w:val="20"/>
              </w:rPr>
              <w:t>Mean body mass index, kg/m</w:t>
            </w:r>
            <w:r w:rsidRPr="00E61FD4">
              <w:rPr>
                <w:b/>
                <w:bCs/>
                <w:sz w:val="20"/>
                <w:vertAlign w:val="superscript"/>
              </w:rPr>
              <w:t>2</w:t>
            </w:r>
            <w:r w:rsidRPr="00E61FD4">
              <w:rPr>
                <w:b/>
                <w:bCs/>
                <w:sz w:val="20"/>
              </w:rPr>
              <w:t xml:space="preserve"> (SD)</w:t>
            </w:r>
          </w:p>
        </w:tc>
        <w:tc>
          <w:tcPr>
            <w:tcW w:w="1883" w:type="dxa"/>
            <w:shd w:val="clear" w:color="auto" w:fill="auto"/>
          </w:tcPr>
          <w:p w14:paraId="23A0DCBE" w14:textId="77777777" w:rsidR="00D53910" w:rsidRPr="00E61FD4" w:rsidRDefault="00D53910" w:rsidP="00DB1A44">
            <w:pPr>
              <w:pStyle w:val="EMEABodyText"/>
              <w:jc w:val="center"/>
              <w:rPr>
                <w:bCs/>
                <w:sz w:val="20"/>
              </w:rPr>
            </w:pPr>
            <w:r w:rsidRPr="00E61FD4">
              <w:rPr>
                <w:bCs/>
                <w:sz w:val="20"/>
              </w:rPr>
              <w:t>30 (5)</w:t>
            </w:r>
          </w:p>
        </w:tc>
        <w:tc>
          <w:tcPr>
            <w:tcW w:w="1334" w:type="dxa"/>
            <w:shd w:val="clear" w:color="auto" w:fill="auto"/>
          </w:tcPr>
          <w:p w14:paraId="6D412516" w14:textId="77777777" w:rsidR="00D53910" w:rsidRPr="00E61FD4" w:rsidRDefault="00D53910" w:rsidP="00DB1A44">
            <w:pPr>
              <w:pStyle w:val="EMEABodyText"/>
              <w:jc w:val="center"/>
              <w:rPr>
                <w:bCs/>
                <w:sz w:val="20"/>
              </w:rPr>
            </w:pPr>
            <w:r w:rsidRPr="00E61FD4">
              <w:rPr>
                <w:bCs/>
                <w:sz w:val="20"/>
              </w:rPr>
              <w:t>29 (6)</w:t>
            </w:r>
          </w:p>
        </w:tc>
      </w:tr>
      <w:tr w:rsidR="00D53910" w:rsidRPr="00E61FD4" w14:paraId="6F989615" w14:textId="77777777" w:rsidTr="00DB1A44">
        <w:tc>
          <w:tcPr>
            <w:tcW w:w="6070" w:type="dxa"/>
            <w:gridSpan w:val="2"/>
            <w:shd w:val="clear" w:color="auto" w:fill="auto"/>
          </w:tcPr>
          <w:p w14:paraId="52BCC727" w14:textId="77777777" w:rsidR="00D53910" w:rsidRPr="00E61FD4" w:rsidRDefault="00D53910" w:rsidP="00DB1A44">
            <w:pPr>
              <w:pStyle w:val="EMEABodyText"/>
              <w:rPr>
                <w:b/>
                <w:bCs/>
                <w:sz w:val="20"/>
              </w:rPr>
            </w:pPr>
            <w:r w:rsidRPr="00E61FD4">
              <w:rPr>
                <w:b/>
                <w:bCs/>
                <w:sz w:val="20"/>
              </w:rPr>
              <w:t>Mean heart rate, beats/min (SD)</w:t>
            </w:r>
          </w:p>
        </w:tc>
        <w:tc>
          <w:tcPr>
            <w:tcW w:w="1883" w:type="dxa"/>
            <w:shd w:val="clear" w:color="auto" w:fill="auto"/>
          </w:tcPr>
          <w:p w14:paraId="2F3117FC" w14:textId="77777777" w:rsidR="00D53910" w:rsidRPr="00E61FD4" w:rsidRDefault="00D53910" w:rsidP="00DB1A44">
            <w:pPr>
              <w:pStyle w:val="EMEABodyText"/>
              <w:jc w:val="center"/>
              <w:rPr>
                <w:bCs/>
                <w:sz w:val="20"/>
              </w:rPr>
            </w:pPr>
            <w:r w:rsidRPr="00E61FD4">
              <w:rPr>
                <w:bCs/>
                <w:sz w:val="20"/>
              </w:rPr>
              <w:t>63 (10)</w:t>
            </w:r>
          </w:p>
        </w:tc>
        <w:tc>
          <w:tcPr>
            <w:tcW w:w="1334" w:type="dxa"/>
            <w:shd w:val="clear" w:color="auto" w:fill="auto"/>
          </w:tcPr>
          <w:p w14:paraId="0971D8D8" w14:textId="77777777" w:rsidR="00D53910" w:rsidRPr="00E61FD4" w:rsidRDefault="00D53910" w:rsidP="00DB1A44">
            <w:pPr>
              <w:pStyle w:val="EMEABodyText"/>
              <w:jc w:val="center"/>
              <w:rPr>
                <w:bCs/>
                <w:sz w:val="20"/>
              </w:rPr>
            </w:pPr>
            <w:r w:rsidRPr="00E61FD4">
              <w:rPr>
                <w:bCs/>
                <w:sz w:val="20"/>
              </w:rPr>
              <w:t>62 (11)</w:t>
            </w:r>
          </w:p>
        </w:tc>
      </w:tr>
      <w:tr w:rsidR="00D53910" w:rsidRPr="00E61FD4" w14:paraId="008D882C" w14:textId="77777777" w:rsidTr="00DB1A44">
        <w:tc>
          <w:tcPr>
            <w:tcW w:w="9287" w:type="dxa"/>
            <w:gridSpan w:val="4"/>
            <w:shd w:val="clear" w:color="auto" w:fill="auto"/>
          </w:tcPr>
          <w:p w14:paraId="4BC285A2" w14:textId="77777777" w:rsidR="00D53910" w:rsidRPr="00E61FD4" w:rsidRDefault="00D53910" w:rsidP="00DB1A44">
            <w:pPr>
              <w:pStyle w:val="EMEABodyText"/>
              <w:rPr>
                <w:b/>
                <w:bCs/>
                <w:sz w:val="20"/>
              </w:rPr>
            </w:pPr>
            <w:r w:rsidRPr="00E61FD4">
              <w:rPr>
                <w:b/>
                <w:bCs/>
                <w:sz w:val="20"/>
              </w:rPr>
              <w:t>Mean blood pressure, mmHg (SD)</w:t>
            </w:r>
          </w:p>
        </w:tc>
      </w:tr>
      <w:tr w:rsidR="00D53910" w:rsidRPr="00E61FD4" w14:paraId="6960861D" w14:textId="77777777" w:rsidTr="00DB1A44">
        <w:tc>
          <w:tcPr>
            <w:tcW w:w="6070" w:type="dxa"/>
            <w:gridSpan w:val="2"/>
            <w:shd w:val="clear" w:color="auto" w:fill="auto"/>
          </w:tcPr>
          <w:p w14:paraId="50ADBE2D" w14:textId="77777777" w:rsidR="00D53910" w:rsidRPr="00E61FD4" w:rsidRDefault="00D53910" w:rsidP="00DB1A44">
            <w:pPr>
              <w:pStyle w:val="EMEABodyText"/>
              <w:ind w:left="157"/>
              <w:rPr>
                <w:sz w:val="20"/>
              </w:rPr>
            </w:pPr>
            <w:r w:rsidRPr="00E61FD4">
              <w:rPr>
                <w:sz w:val="20"/>
              </w:rPr>
              <w:t>Systolic</w:t>
            </w:r>
          </w:p>
        </w:tc>
        <w:tc>
          <w:tcPr>
            <w:tcW w:w="1883" w:type="dxa"/>
            <w:shd w:val="clear" w:color="auto" w:fill="auto"/>
          </w:tcPr>
          <w:p w14:paraId="3465950C" w14:textId="77777777" w:rsidR="00D53910" w:rsidRPr="00E61FD4" w:rsidRDefault="00D53910" w:rsidP="00DB1A44">
            <w:pPr>
              <w:pStyle w:val="EMEABodyText"/>
              <w:jc w:val="center"/>
              <w:rPr>
                <w:bCs/>
                <w:sz w:val="20"/>
              </w:rPr>
            </w:pPr>
            <w:r w:rsidRPr="00E61FD4">
              <w:rPr>
                <w:bCs/>
                <w:sz w:val="20"/>
              </w:rPr>
              <w:t>128 (16)</w:t>
            </w:r>
          </w:p>
        </w:tc>
        <w:tc>
          <w:tcPr>
            <w:tcW w:w="1334" w:type="dxa"/>
            <w:shd w:val="clear" w:color="auto" w:fill="auto"/>
          </w:tcPr>
          <w:p w14:paraId="3813C45A" w14:textId="77777777" w:rsidR="00D53910" w:rsidRPr="00E61FD4" w:rsidRDefault="00D53910" w:rsidP="00DB1A44">
            <w:pPr>
              <w:pStyle w:val="EMEABodyText"/>
              <w:jc w:val="center"/>
              <w:rPr>
                <w:bCs/>
                <w:sz w:val="20"/>
              </w:rPr>
            </w:pPr>
            <w:r w:rsidRPr="00E61FD4">
              <w:rPr>
                <w:bCs/>
                <w:sz w:val="20"/>
              </w:rPr>
              <w:t>128 (15)</w:t>
            </w:r>
          </w:p>
        </w:tc>
      </w:tr>
      <w:tr w:rsidR="00D53910" w:rsidRPr="00E61FD4" w14:paraId="6670E4D9" w14:textId="77777777" w:rsidTr="00DB1A44">
        <w:tc>
          <w:tcPr>
            <w:tcW w:w="6062" w:type="dxa"/>
            <w:shd w:val="clear" w:color="auto" w:fill="auto"/>
          </w:tcPr>
          <w:p w14:paraId="3705E313" w14:textId="77777777" w:rsidR="00D53910" w:rsidRPr="00E61FD4" w:rsidRDefault="00D53910" w:rsidP="00DB1A44">
            <w:pPr>
              <w:pStyle w:val="EMEABodyText"/>
              <w:ind w:left="157"/>
              <w:rPr>
                <w:sz w:val="20"/>
              </w:rPr>
            </w:pPr>
            <w:r w:rsidRPr="00E61FD4">
              <w:rPr>
                <w:sz w:val="20"/>
              </w:rPr>
              <w:t>Diastolic</w:t>
            </w:r>
          </w:p>
        </w:tc>
        <w:tc>
          <w:tcPr>
            <w:tcW w:w="1891" w:type="dxa"/>
            <w:gridSpan w:val="2"/>
            <w:shd w:val="clear" w:color="auto" w:fill="auto"/>
          </w:tcPr>
          <w:p w14:paraId="77E50FE3" w14:textId="77777777" w:rsidR="00D53910" w:rsidRPr="00E61FD4" w:rsidRDefault="00D53910" w:rsidP="00DB1A44">
            <w:pPr>
              <w:pStyle w:val="EMEABodyText"/>
              <w:jc w:val="center"/>
              <w:rPr>
                <w:bCs/>
                <w:sz w:val="20"/>
              </w:rPr>
            </w:pPr>
            <w:r w:rsidRPr="00E61FD4">
              <w:rPr>
                <w:bCs/>
                <w:sz w:val="20"/>
              </w:rPr>
              <w:t>75 (11)</w:t>
            </w:r>
          </w:p>
        </w:tc>
        <w:tc>
          <w:tcPr>
            <w:tcW w:w="1334" w:type="dxa"/>
            <w:shd w:val="clear" w:color="auto" w:fill="auto"/>
          </w:tcPr>
          <w:p w14:paraId="299F7C50" w14:textId="77777777" w:rsidR="00D53910" w:rsidRPr="00E61FD4" w:rsidRDefault="00D53910" w:rsidP="00DB1A44">
            <w:pPr>
              <w:pStyle w:val="EMEABodyText"/>
              <w:jc w:val="center"/>
              <w:rPr>
                <w:bCs/>
                <w:sz w:val="20"/>
              </w:rPr>
            </w:pPr>
            <w:r w:rsidRPr="00E61FD4">
              <w:rPr>
                <w:bCs/>
                <w:sz w:val="20"/>
              </w:rPr>
              <w:t>76 (10)</w:t>
            </w:r>
          </w:p>
        </w:tc>
      </w:tr>
      <w:tr w:rsidR="00D53910" w:rsidRPr="00E61FD4" w14:paraId="1C7B0068" w14:textId="77777777" w:rsidTr="00DB1A44">
        <w:tc>
          <w:tcPr>
            <w:tcW w:w="9287" w:type="dxa"/>
            <w:gridSpan w:val="4"/>
            <w:shd w:val="clear" w:color="auto" w:fill="auto"/>
          </w:tcPr>
          <w:p w14:paraId="1408463B" w14:textId="77777777" w:rsidR="00D53910" w:rsidRPr="00E61FD4" w:rsidRDefault="00D53910" w:rsidP="00DB1A44">
            <w:pPr>
              <w:pStyle w:val="EMEABodyText"/>
              <w:rPr>
                <w:b/>
                <w:sz w:val="20"/>
              </w:rPr>
            </w:pPr>
            <w:r w:rsidRPr="00E61FD4">
              <w:rPr>
                <w:b/>
                <w:bCs/>
                <w:sz w:val="20"/>
              </w:rPr>
              <w:t>Race, n</w:t>
            </w:r>
            <w:r w:rsidRPr="00E61FD4" w:rsidDel="006B00AB">
              <w:rPr>
                <w:b/>
                <w:bCs/>
                <w:sz w:val="20"/>
              </w:rPr>
              <w:t xml:space="preserve"> </w:t>
            </w:r>
            <w:r w:rsidRPr="00E61FD4">
              <w:rPr>
                <w:b/>
                <w:bCs/>
                <w:sz w:val="20"/>
              </w:rPr>
              <w:t>(%)</w:t>
            </w:r>
          </w:p>
        </w:tc>
      </w:tr>
      <w:tr w:rsidR="00D53910" w:rsidRPr="00E61FD4" w14:paraId="5B5364D2" w14:textId="77777777" w:rsidTr="00DB1A44">
        <w:tc>
          <w:tcPr>
            <w:tcW w:w="6062" w:type="dxa"/>
            <w:shd w:val="clear" w:color="auto" w:fill="auto"/>
          </w:tcPr>
          <w:p w14:paraId="35CB4762" w14:textId="77777777" w:rsidR="00D53910" w:rsidRPr="00E61FD4" w:rsidRDefault="00D53910" w:rsidP="00DB1A44">
            <w:pPr>
              <w:pStyle w:val="EMEABodyText"/>
              <w:ind w:left="157"/>
              <w:rPr>
                <w:sz w:val="20"/>
              </w:rPr>
            </w:pPr>
            <w:r w:rsidRPr="00E61FD4">
              <w:rPr>
                <w:sz w:val="20"/>
              </w:rPr>
              <w:t>Asian</w:t>
            </w:r>
          </w:p>
        </w:tc>
        <w:tc>
          <w:tcPr>
            <w:tcW w:w="1891" w:type="dxa"/>
            <w:gridSpan w:val="2"/>
            <w:shd w:val="clear" w:color="auto" w:fill="auto"/>
          </w:tcPr>
          <w:p w14:paraId="527E5DE1" w14:textId="77777777" w:rsidR="00D53910" w:rsidRPr="00E61FD4" w:rsidRDefault="00D53910" w:rsidP="00DB1A44">
            <w:pPr>
              <w:pStyle w:val="EMEABodyText"/>
              <w:jc w:val="center"/>
              <w:rPr>
                <w:bCs/>
                <w:sz w:val="20"/>
              </w:rPr>
            </w:pPr>
            <w:r w:rsidRPr="00E61FD4">
              <w:rPr>
                <w:bCs/>
                <w:sz w:val="20"/>
              </w:rPr>
              <w:t>4 (3)</w:t>
            </w:r>
          </w:p>
        </w:tc>
        <w:tc>
          <w:tcPr>
            <w:tcW w:w="1334" w:type="dxa"/>
            <w:shd w:val="clear" w:color="auto" w:fill="auto"/>
          </w:tcPr>
          <w:p w14:paraId="54E4746D" w14:textId="77777777" w:rsidR="00D53910" w:rsidRPr="00E61FD4" w:rsidRDefault="00D53910" w:rsidP="00DB1A44">
            <w:pPr>
              <w:pStyle w:val="EMEABodyText"/>
              <w:jc w:val="center"/>
              <w:rPr>
                <w:bCs/>
                <w:sz w:val="20"/>
              </w:rPr>
            </w:pPr>
            <w:r w:rsidRPr="00E61FD4">
              <w:rPr>
                <w:bCs/>
                <w:sz w:val="20"/>
              </w:rPr>
              <w:t>2 (1)</w:t>
            </w:r>
          </w:p>
        </w:tc>
      </w:tr>
      <w:tr w:rsidR="00D53910" w:rsidRPr="00E61FD4" w14:paraId="5DB0AABE" w14:textId="77777777" w:rsidTr="00DB1A44">
        <w:tc>
          <w:tcPr>
            <w:tcW w:w="6062" w:type="dxa"/>
            <w:shd w:val="clear" w:color="auto" w:fill="auto"/>
          </w:tcPr>
          <w:p w14:paraId="294FA35C" w14:textId="77777777" w:rsidR="00D53910" w:rsidRPr="00E61FD4" w:rsidRDefault="00D53910" w:rsidP="00DB1A44">
            <w:pPr>
              <w:pStyle w:val="EMEABodyText"/>
              <w:ind w:left="157"/>
              <w:rPr>
                <w:sz w:val="20"/>
              </w:rPr>
            </w:pPr>
            <w:r w:rsidRPr="00E61FD4">
              <w:rPr>
                <w:sz w:val="20"/>
              </w:rPr>
              <w:lastRenderedPageBreak/>
              <w:t>Black or African American</w:t>
            </w:r>
          </w:p>
        </w:tc>
        <w:tc>
          <w:tcPr>
            <w:tcW w:w="1891" w:type="dxa"/>
            <w:gridSpan w:val="2"/>
            <w:shd w:val="clear" w:color="auto" w:fill="auto"/>
          </w:tcPr>
          <w:p w14:paraId="6F3AB671" w14:textId="77777777" w:rsidR="00D53910" w:rsidRPr="00E61FD4" w:rsidRDefault="00D53910" w:rsidP="00DB1A44">
            <w:pPr>
              <w:pStyle w:val="EMEABodyText"/>
              <w:jc w:val="center"/>
              <w:rPr>
                <w:bCs/>
                <w:sz w:val="20"/>
              </w:rPr>
            </w:pPr>
            <w:r w:rsidRPr="00E61FD4">
              <w:rPr>
                <w:bCs/>
                <w:sz w:val="20"/>
              </w:rPr>
              <w:t>1 (1)</w:t>
            </w:r>
          </w:p>
        </w:tc>
        <w:tc>
          <w:tcPr>
            <w:tcW w:w="1334" w:type="dxa"/>
            <w:shd w:val="clear" w:color="auto" w:fill="auto"/>
          </w:tcPr>
          <w:p w14:paraId="3A760BD5" w14:textId="77777777" w:rsidR="00D53910" w:rsidRPr="00E61FD4" w:rsidRDefault="00D53910" w:rsidP="00DB1A44">
            <w:pPr>
              <w:pStyle w:val="EMEABodyText"/>
              <w:jc w:val="center"/>
              <w:rPr>
                <w:bCs/>
                <w:sz w:val="20"/>
              </w:rPr>
            </w:pPr>
            <w:r w:rsidRPr="00E61FD4">
              <w:rPr>
                <w:bCs/>
                <w:sz w:val="20"/>
              </w:rPr>
              <w:t>5 (4)</w:t>
            </w:r>
          </w:p>
        </w:tc>
      </w:tr>
      <w:tr w:rsidR="00D53910" w:rsidRPr="00E61FD4" w14:paraId="51F8FEF5" w14:textId="77777777" w:rsidTr="00DB1A44">
        <w:tc>
          <w:tcPr>
            <w:tcW w:w="6062" w:type="dxa"/>
            <w:shd w:val="clear" w:color="auto" w:fill="auto"/>
          </w:tcPr>
          <w:p w14:paraId="5D9315FC" w14:textId="77777777" w:rsidR="00D53910" w:rsidRPr="00E61FD4" w:rsidRDefault="00D53910" w:rsidP="00DB1A44">
            <w:pPr>
              <w:pStyle w:val="EMEABodyText"/>
              <w:ind w:left="157"/>
              <w:rPr>
                <w:sz w:val="20"/>
              </w:rPr>
            </w:pPr>
            <w:r w:rsidRPr="00E61FD4">
              <w:rPr>
                <w:sz w:val="20"/>
              </w:rPr>
              <w:t>White</w:t>
            </w:r>
          </w:p>
        </w:tc>
        <w:tc>
          <w:tcPr>
            <w:tcW w:w="1891" w:type="dxa"/>
            <w:gridSpan w:val="2"/>
            <w:shd w:val="clear" w:color="auto" w:fill="auto"/>
          </w:tcPr>
          <w:p w14:paraId="6EBF5204" w14:textId="77777777" w:rsidR="00D53910" w:rsidRPr="00E61FD4" w:rsidRDefault="00D53910" w:rsidP="00DB1A44">
            <w:pPr>
              <w:pStyle w:val="EMEABodyText"/>
              <w:jc w:val="center"/>
              <w:rPr>
                <w:bCs/>
                <w:sz w:val="20"/>
              </w:rPr>
            </w:pPr>
            <w:r w:rsidRPr="00E61FD4">
              <w:rPr>
                <w:bCs/>
                <w:sz w:val="20"/>
              </w:rPr>
              <w:t>115 (94)</w:t>
            </w:r>
          </w:p>
        </w:tc>
        <w:tc>
          <w:tcPr>
            <w:tcW w:w="1334" w:type="dxa"/>
            <w:shd w:val="clear" w:color="auto" w:fill="auto"/>
          </w:tcPr>
          <w:p w14:paraId="3CBA4BC1" w14:textId="77777777" w:rsidR="00D53910" w:rsidRPr="00E61FD4" w:rsidRDefault="00D53910" w:rsidP="00DB1A44">
            <w:pPr>
              <w:pStyle w:val="EMEABodyText"/>
              <w:jc w:val="center"/>
              <w:rPr>
                <w:bCs/>
                <w:sz w:val="20"/>
              </w:rPr>
            </w:pPr>
            <w:r w:rsidRPr="00E61FD4">
              <w:rPr>
                <w:bCs/>
                <w:sz w:val="20"/>
              </w:rPr>
              <w:t>114 (89)</w:t>
            </w:r>
          </w:p>
        </w:tc>
      </w:tr>
      <w:tr w:rsidR="00D53910" w:rsidRPr="00E61FD4" w14:paraId="23DC3862" w14:textId="77777777" w:rsidTr="00DB1A44">
        <w:tc>
          <w:tcPr>
            <w:tcW w:w="6062" w:type="dxa"/>
            <w:shd w:val="clear" w:color="auto" w:fill="auto"/>
          </w:tcPr>
          <w:p w14:paraId="5859E0A8" w14:textId="77777777" w:rsidR="00D53910" w:rsidRPr="00E61FD4" w:rsidRDefault="00D53910" w:rsidP="00DB1A44">
            <w:pPr>
              <w:pStyle w:val="EMEABodyText"/>
              <w:ind w:left="157"/>
              <w:rPr>
                <w:sz w:val="20"/>
              </w:rPr>
            </w:pPr>
            <w:r w:rsidRPr="00E61FD4">
              <w:rPr>
                <w:sz w:val="20"/>
              </w:rPr>
              <w:t>Unknown/Others</w:t>
            </w:r>
          </w:p>
        </w:tc>
        <w:tc>
          <w:tcPr>
            <w:tcW w:w="1891" w:type="dxa"/>
            <w:gridSpan w:val="2"/>
            <w:shd w:val="clear" w:color="auto" w:fill="auto"/>
          </w:tcPr>
          <w:p w14:paraId="0B0C7D34" w14:textId="77777777" w:rsidR="00D53910" w:rsidRPr="00E61FD4" w:rsidRDefault="00D53910" w:rsidP="00DB1A44">
            <w:pPr>
              <w:pStyle w:val="EMEABodyText"/>
              <w:jc w:val="center"/>
              <w:rPr>
                <w:bCs/>
                <w:sz w:val="20"/>
              </w:rPr>
            </w:pPr>
            <w:r w:rsidRPr="00E61FD4">
              <w:rPr>
                <w:bCs/>
                <w:sz w:val="20"/>
              </w:rPr>
              <w:t>3 (2)</w:t>
            </w:r>
          </w:p>
        </w:tc>
        <w:tc>
          <w:tcPr>
            <w:tcW w:w="1334" w:type="dxa"/>
            <w:shd w:val="clear" w:color="auto" w:fill="auto"/>
          </w:tcPr>
          <w:p w14:paraId="792BE424" w14:textId="77777777" w:rsidR="00D53910" w:rsidRPr="00E61FD4" w:rsidRDefault="00D53910" w:rsidP="00DB1A44">
            <w:pPr>
              <w:pStyle w:val="EMEABodyText"/>
              <w:jc w:val="center"/>
              <w:rPr>
                <w:bCs/>
                <w:sz w:val="20"/>
              </w:rPr>
            </w:pPr>
            <w:r w:rsidRPr="00E61FD4">
              <w:rPr>
                <w:bCs/>
                <w:sz w:val="20"/>
              </w:rPr>
              <w:t>7 (6)</w:t>
            </w:r>
          </w:p>
        </w:tc>
      </w:tr>
      <w:tr w:rsidR="00D53910" w:rsidRPr="00E61FD4" w14:paraId="73454176" w14:textId="77777777" w:rsidTr="00DB1A44">
        <w:tc>
          <w:tcPr>
            <w:tcW w:w="6062" w:type="dxa"/>
            <w:shd w:val="clear" w:color="auto" w:fill="auto"/>
          </w:tcPr>
          <w:p w14:paraId="526BD274" w14:textId="77777777" w:rsidR="00D53910" w:rsidRPr="00E61FD4" w:rsidRDefault="00D53910" w:rsidP="00DB1A44">
            <w:pPr>
              <w:pStyle w:val="C-BodyText"/>
              <w:spacing w:before="0" w:after="0" w:line="240" w:lineRule="auto"/>
              <w:rPr>
                <w:b/>
                <w:bCs/>
                <w:sz w:val="20"/>
                <w:lang w:val="en-GB"/>
              </w:rPr>
            </w:pPr>
            <w:r w:rsidRPr="00E61FD4">
              <w:rPr>
                <w:b/>
                <w:bCs/>
                <w:sz w:val="20"/>
                <w:lang w:val="en-GB"/>
              </w:rPr>
              <w:t>Disease characteristics</w:t>
            </w:r>
          </w:p>
        </w:tc>
        <w:tc>
          <w:tcPr>
            <w:tcW w:w="3225" w:type="dxa"/>
            <w:gridSpan w:val="3"/>
            <w:shd w:val="clear" w:color="auto" w:fill="auto"/>
          </w:tcPr>
          <w:p w14:paraId="0D759797" w14:textId="77777777" w:rsidR="00D53910" w:rsidRPr="00E61FD4" w:rsidRDefault="00D53910" w:rsidP="00DB1A44">
            <w:pPr>
              <w:pStyle w:val="C-BodyText"/>
              <w:spacing w:before="0" w:after="0" w:line="240" w:lineRule="auto"/>
              <w:jc w:val="center"/>
              <w:rPr>
                <w:bCs/>
                <w:sz w:val="20"/>
                <w:lang w:val="en-GB"/>
              </w:rPr>
            </w:pPr>
          </w:p>
        </w:tc>
      </w:tr>
      <w:tr w:rsidR="00D53910" w:rsidRPr="00E61FD4" w14:paraId="23139128" w14:textId="77777777" w:rsidTr="00DB1A44">
        <w:tc>
          <w:tcPr>
            <w:tcW w:w="9287" w:type="dxa"/>
            <w:gridSpan w:val="4"/>
            <w:shd w:val="clear" w:color="auto" w:fill="auto"/>
          </w:tcPr>
          <w:p w14:paraId="42ED4241" w14:textId="77777777" w:rsidR="00D53910" w:rsidRPr="00E61FD4" w:rsidRDefault="00D53910" w:rsidP="00DB1A44">
            <w:pPr>
              <w:pStyle w:val="EMEABodyText"/>
              <w:rPr>
                <w:b/>
                <w:sz w:val="20"/>
              </w:rPr>
            </w:pPr>
            <w:r w:rsidRPr="00E61FD4">
              <w:rPr>
                <w:b/>
                <w:bCs/>
                <w:sz w:val="20"/>
              </w:rPr>
              <w:t>NYHA functional class, n (%)</w:t>
            </w:r>
            <w:r w:rsidRPr="00E61FD4">
              <w:rPr>
                <w:b/>
                <w:sz w:val="20"/>
                <w:vertAlign w:val="superscript"/>
              </w:rPr>
              <w:t xml:space="preserve"> </w:t>
            </w:r>
          </w:p>
        </w:tc>
      </w:tr>
      <w:tr w:rsidR="00D53910" w:rsidRPr="00E61FD4" w14:paraId="50D05CED" w14:textId="77777777" w:rsidTr="00DB1A44">
        <w:tc>
          <w:tcPr>
            <w:tcW w:w="6062" w:type="dxa"/>
            <w:shd w:val="clear" w:color="auto" w:fill="auto"/>
          </w:tcPr>
          <w:p w14:paraId="40B46154" w14:textId="77777777" w:rsidR="00D53910" w:rsidRPr="00E61FD4" w:rsidRDefault="00D53910" w:rsidP="00DB1A44">
            <w:pPr>
              <w:pStyle w:val="EMEABodyText"/>
              <w:ind w:left="157"/>
              <w:rPr>
                <w:sz w:val="20"/>
              </w:rPr>
            </w:pPr>
            <w:r w:rsidRPr="00E61FD4">
              <w:rPr>
                <w:sz w:val="20"/>
              </w:rPr>
              <w:t>NYHA Class II</w:t>
            </w:r>
          </w:p>
        </w:tc>
        <w:tc>
          <w:tcPr>
            <w:tcW w:w="1891" w:type="dxa"/>
            <w:gridSpan w:val="2"/>
            <w:shd w:val="clear" w:color="auto" w:fill="auto"/>
          </w:tcPr>
          <w:p w14:paraId="6306BD63" w14:textId="77777777" w:rsidR="00D53910" w:rsidRPr="00E61FD4" w:rsidRDefault="00D53910" w:rsidP="00DB1A44">
            <w:pPr>
              <w:pStyle w:val="EMEABodyText"/>
              <w:jc w:val="center"/>
              <w:rPr>
                <w:bCs/>
                <w:sz w:val="20"/>
              </w:rPr>
            </w:pPr>
            <w:r w:rsidRPr="00E61FD4">
              <w:rPr>
                <w:bCs/>
                <w:sz w:val="20"/>
              </w:rPr>
              <w:t>88 (72)</w:t>
            </w:r>
          </w:p>
        </w:tc>
        <w:tc>
          <w:tcPr>
            <w:tcW w:w="1334" w:type="dxa"/>
            <w:shd w:val="clear" w:color="auto" w:fill="auto"/>
          </w:tcPr>
          <w:p w14:paraId="149C720F" w14:textId="77777777" w:rsidR="00D53910" w:rsidRPr="00E61FD4" w:rsidRDefault="00D53910" w:rsidP="00DB1A44">
            <w:pPr>
              <w:pStyle w:val="EMEABodyText"/>
              <w:jc w:val="center"/>
              <w:rPr>
                <w:bCs/>
                <w:sz w:val="20"/>
              </w:rPr>
            </w:pPr>
            <w:r w:rsidRPr="00E61FD4">
              <w:rPr>
                <w:bCs/>
                <w:sz w:val="20"/>
              </w:rPr>
              <w:t>95 (74)</w:t>
            </w:r>
          </w:p>
        </w:tc>
      </w:tr>
      <w:tr w:rsidR="00D53910" w:rsidRPr="00E61FD4" w14:paraId="3BF38730" w14:textId="77777777" w:rsidTr="00DB1A44">
        <w:tc>
          <w:tcPr>
            <w:tcW w:w="6062" w:type="dxa"/>
            <w:shd w:val="clear" w:color="auto" w:fill="auto"/>
          </w:tcPr>
          <w:p w14:paraId="6489C1C5" w14:textId="77777777" w:rsidR="00D53910" w:rsidRPr="00E61FD4" w:rsidRDefault="00D53910" w:rsidP="00DB1A44">
            <w:pPr>
              <w:pStyle w:val="EMEABodyText"/>
              <w:ind w:left="157"/>
              <w:rPr>
                <w:sz w:val="20"/>
              </w:rPr>
            </w:pPr>
            <w:r w:rsidRPr="00E61FD4">
              <w:rPr>
                <w:sz w:val="20"/>
              </w:rPr>
              <w:t>NYHA Class III</w:t>
            </w:r>
          </w:p>
        </w:tc>
        <w:tc>
          <w:tcPr>
            <w:tcW w:w="1891" w:type="dxa"/>
            <w:gridSpan w:val="2"/>
            <w:shd w:val="clear" w:color="auto" w:fill="auto"/>
          </w:tcPr>
          <w:p w14:paraId="13DB7BF5" w14:textId="77777777" w:rsidR="00D53910" w:rsidRPr="00E61FD4" w:rsidRDefault="00D53910" w:rsidP="00DB1A44">
            <w:pPr>
              <w:pStyle w:val="EMEABodyText"/>
              <w:jc w:val="center"/>
              <w:rPr>
                <w:bCs/>
                <w:sz w:val="20"/>
              </w:rPr>
            </w:pPr>
            <w:r w:rsidRPr="00E61FD4">
              <w:rPr>
                <w:bCs/>
                <w:sz w:val="20"/>
              </w:rPr>
              <w:t>35 (28)</w:t>
            </w:r>
          </w:p>
        </w:tc>
        <w:tc>
          <w:tcPr>
            <w:tcW w:w="1334" w:type="dxa"/>
            <w:shd w:val="clear" w:color="auto" w:fill="auto"/>
          </w:tcPr>
          <w:p w14:paraId="662F343A" w14:textId="77777777" w:rsidR="00D53910" w:rsidRPr="00E61FD4" w:rsidRDefault="00D53910" w:rsidP="00DB1A44">
            <w:pPr>
              <w:pStyle w:val="EMEABodyText"/>
              <w:jc w:val="center"/>
              <w:rPr>
                <w:bCs/>
                <w:sz w:val="20"/>
              </w:rPr>
            </w:pPr>
            <w:r w:rsidRPr="00E61FD4">
              <w:rPr>
                <w:bCs/>
                <w:sz w:val="20"/>
              </w:rPr>
              <w:t>33 (26)</w:t>
            </w:r>
          </w:p>
        </w:tc>
      </w:tr>
      <w:tr w:rsidR="00D53910" w:rsidRPr="00E61FD4" w14:paraId="7ECDAB63" w14:textId="77777777" w:rsidTr="00DB1A44">
        <w:tc>
          <w:tcPr>
            <w:tcW w:w="9287" w:type="dxa"/>
            <w:gridSpan w:val="4"/>
            <w:shd w:val="clear" w:color="auto" w:fill="auto"/>
          </w:tcPr>
          <w:p w14:paraId="0896086B" w14:textId="77777777" w:rsidR="00D53910" w:rsidRPr="00E61FD4" w:rsidRDefault="00D53910" w:rsidP="00DB1A44">
            <w:pPr>
              <w:pStyle w:val="EMEABodyText"/>
              <w:rPr>
                <w:b/>
                <w:sz w:val="20"/>
              </w:rPr>
            </w:pPr>
            <w:r w:rsidRPr="00E61FD4">
              <w:rPr>
                <w:b/>
                <w:bCs/>
                <w:sz w:val="20"/>
              </w:rPr>
              <w:t>Background HCM treatment, n</w:t>
            </w:r>
            <w:r w:rsidRPr="00E61FD4" w:rsidDel="006B00AB">
              <w:rPr>
                <w:b/>
                <w:bCs/>
                <w:sz w:val="20"/>
              </w:rPr>
              <w:t xml:space="preserve"> </w:t>
            </w:r>
            <w:r w:rsidRPr="00E61FD4">
              <w:rPr>
                <w:b/>
                <w:bCs/>
                <w:sz w:val="20"/>
              </w:rPr>
              <w:t>(%)</w:t>
            </w:r>
          </w:p>
        </w:tc>
      </w:tr>
      <w:tr w:rsidR="00D53910" w:rsidRPr="00E61FD4" w14:paraId="62065F0B" w14:textId="77777777" w:rsidTr="00DB1A44">
        <w:tc>
          <w:tcPr>
            <w:tcW w:w="6062" w:type="dxa"/>
            <w:shd w:val="clear" w:color="auto" w:fill="auto"/>
          </w:tcPr>
          <w:p w14:paraId="3334EFD9" w14:textId="77777777" w:rsidR="00D53910" w:rsidRPr="00E61FD4" w:rsidRDefault="00D53910" w:rsidP="00DB1A44">
            <w:pPr>
              <w:pStyle w:val="EMEABodyText"/>
              <w:ind w:left="157"/>
              <w:rPr>
                <w:sz w:val="20"/>
              </w:rPr>
            </w:pPr>
            <w:proofErr w:type="spellStart"/>
            <w:r w:rsidRPr="00E61FD4">
              <w:rPr>
                <w:sz w:val="20"/>
              </w:rPr>
              <w:t>Βeta</w:t>
            </w:r>
            <w:proofErr w:type="spellEnd"/>
            <w:r w:rsidRPr="00E61FD4">
              <w:rPr>
                <w:sz w:val="20"/>
              </w:rPr>
              <w:t xml:space="preserve"> blockers </w:t>
            </w:r>
          </w:p>
        </w:tc>
        <w:tc>
          <w:tcPr>
            <w:tcW w:w="1891" w:type="dxa"/>
            <w:gridSpan w:val="2"/>
            <w:shd w:val="clear" w:color="auto" w:fill="auto"/>
          </w:tcPr>
          <w:p w14:paraId="10E22D7A" w14:textId="77777777" w:rsidR="00D53910" w:rsidRPr="00E61FD4" w:rsidRDefault="00D53910" w:rsidP="00DB1A44">
            <w:pPr>
              <w:pStyle w:val="EMEABodyText"/>
              <w:jc w:val="center"/>
              <w:rPr>
                <w:bCs/>
                <w:sz w:val="20"/>
              </w:rPr>
            </w:pPr>
            <w:r w:rsidRPr="00E61FD4">
              <w:rPr>
                <w:bCs/>
                <w:sz w:val="20"/>
              </w:rPr>
              <w:t>94 (76)</w:t>
            </w:r>
          </w:p>
        </w:tc>
        <w:tc>
          <w:tcPr>
            <w:tcW w:w="1334" w:type="dxa"/>
            <w:shd w:val="clear" w:color="auto" w:fill="auto"/>
          </w:tcPr>
          <w:p w14:paraId="4FF76C66" w14:textId="77777777" w:rsidR="00D53910" w:rsidRPr="00E61FD4" w:rsidRDefault="00D53910" w:rsidP="00DB1A44">
            <w:pPr>
              <w:pStyle w:val="EMEABodyText"/>
              <w:jc w:val="center"/>
              <w:rPr>
                <w:bCs/>
                <w:sz w:val="20"/>
              </w:rPr>
            </w:pPr>
            <w:r w:rsidRPr="00E61FD4">
              <w:rPr>
                <w:bCs/>
                <w:sz w:val="20"/>
              </w:rPr>
              <w:t>95 (74)</w:t>
            </w:r>
          </w:p>
        </w:tc>
      </w:tr>
      <w:tr w:rsidR="00D53910" w:rsidRPr="00E61FD4" w14:paraId="0C179965" w14:textId="77777777" w:rsidTr="00DB1A44">
        <w:tc>
          <w:tcPr>
            <w:tcW w:w="6062" w:type="dxa"/>
            <w:shd w:val="clear" w:color="auto" w:fill="auto"/>
          </w:tcPr>
          <w:p w14:paraId="2979089B" w14:textId="77777777" w:rsidR="00D53910" w:rsidRPr="00E61FD4" w:rsidRDefault="00D53910" w:rsidP="00DB1A44">
            <w:pPr>
              <w:pStyle w:val="EMEABodyText"/>
              <w:ind w:left="157"/>
              <w:rPr>
                <w:sz w:val="20"/>
              </w:rPr>
            </w:pPr>
            <w:r w:rsidRPr="00E61FD4">
              <w:rPr>
                <w:sz w:val="20"/>
              </w:rPr>
              <w:t>Calcium channel blockers*</w:t>
            </w:r>
          </w:p>
        </w:tc>
        <w:tc>
          <w:tcPr>
            <w:tcW w:w="1891" w:type="dxa"/>
            <w:gridSpan w:val="2"/>
            <w:shd w:val="clear" w:color="auto" w:fill="auto"/>
          </w:tcPr>
          <w:p w14:paraId="234BF375" w14:textId="77777777" w:rsidR="00D53910" w:rsidRPr="00E61FD4" w:rsidRDefault="00D53910" w:rsidP="00DB1A44">
            <w:pPr>
              <w:pStyle w:val="EMEABodyText"/>
              <w:jc w:val="center"/>
              <w:rPr>
                <w:bCs/>
                <w:sz w:val="20"/>
              </w:rPr>
            </w:pPr>
            <w:r w:rsidRPr="00E61FD4">
              <w:rPr>
                <w:bCs/>
                <w:sz w:val="20"/>
              </w:rPr>
              <w:t>25 (20)</w:t>
            </w:r>
          </w:p>
        </w:tc>
        <w:tc>
          <w:tcPr>
            <w:tcW w:w="1334" w:type="dxa"/>
            <w:shd w:val="clear" w:color="auto" w:fill="auto"/>
          </w:tcPr>
          <w:p w14:paraId="33C79E7B" w14:textId="77777777" w:rsidR="00D53910" w:rsidRPr="00E61FD4" w:rsidRDefault="00D53910" w:rsidP="00DB1A44">
            <w:pPr>
              <w:pStyle w:val="EMEABodyText"/>
              <w:jc w:val="center"/>
              <w:rPr>
                <w:bCs/>
                <w:sz w:val="20"/>
              </w:rPr>
            </w:pPr>
            <w:r w:rsidRPr="00E61FD4">
              <w:rPr>
                <w:bCs/>
                <w:sz w:val="20"/>
              </w:rPr>
              <w:t>17 (13)</w:t>
            </w:r>
          </w:p>
        </w:tc>
      </w:tr>
      <w:tr w:rsidR="00D53910" w:rsidRPr="00E61FD4" w14:paraId="2AAEDCEB" w14:textId="77777777" w:rsidTr="00DB1A44">
        <w:tc>
          <w:tcPr>
            <w:tcW w:w="9287" w:type="dxa"/>
            <w:gridSpan w:val="4"/>
            <w:shd w:val="clear" w:color="auto" w:fill="auto"/>
          </w:tcPr>
          <w:p w14:paraId="006480D3" w14:textId="77777777" w:rsidR="00D53910" w:rsidRPr="00E61FD4" w:rsidRDefault="00D53910" w:rsidP="00DB1A44">
            <w:pPr>
              <w:pStyle w:val="EMEABodyText"/>
              <w:rPr>
                <w:b/>
                <w:sz w:val="20"/>
              </w:rPr>
            </w:pPr>
            <w:r w:rsidRPr="00E61FD4">
              <w:rPr>
                <w:b/>
                <w:bCs/>
                <w:sz w:val="20"/>
              </w:rPr>
              <w:t>Echocardiography parameters</w:t>
            </w:r>
            <w:r w:rsidRPr="00E61FD4">
              <w:rPr>
                <w:b/>
                <w:sz w:val="20"/>
              </w:rPr>
              <w:t xml:space="preserve"> </w:t>
            </w:r>
          </w:p>
        </w:tc>
      </w:tr>
      <w:tr w:rsidR="00D53910" w:rsidRPr="00E61FD4" w14:paraId="2B81B2C9" w14:textId="77777777" w:rsidTr="00DB1A44">
        <w:tc>
          <w:tcPr>
            <w:tcW w:w="6062" w:type="dxa"/>
            <w:shd w:val="clear" w:color="auto" w:fill="auto"/>
          </w:tcPr>
          <w:p w14:paraId="115DFB0B" w14:textId="77777777" w:rsidR="00D53910" w:rsidRPr="00E61FD4" w:rsidRDefault="00D53910" w:rsidP="00DB1A44">
            <w:pPr>
              <w:pStyle w:val="EMEABodyText"/>
              <w:ind w:left="157"/>
              <w:rPr>
                <w:sz w:val="20"/>
              </w:rPr>
            </w:pPr>
            <w:r w:rsidRPr="00E61FD4">
              <w:rPr>
                <w:sz w:val="20"/>
              </w:rPr>
              <w:t>Mean interventricular septum thickness, mm (SD)</w:t>
            </w:r>
          </w:p>
        </w:tc>
        <w:tc>
          <w:tcPr>
            <w:tcW w:w="1891" w:type="dxa"/>
            <w:gridSpan w:val="2"/>
            <w:shd w:val="clear" w:color="auto" w:fill="auto"/>
          </w:tcPr>
          <w:p w14:paraId="5D74846D" w14:textId="77777777" w:rsidR="00D53910" w:rsidRPr="00E61FD4" w:rsidRDefault="00D53910" w:rsidP="00DB1A44">
            <w:pPr>
              <w:pStyle w:val="EMEABodyText"/>
              <w:jc w:val="center"/>
              <w:rPr>
                <w:bCs/>
                <w:sz w:val="20"/>
              </w:rPr>
            </w:pPr>
            <w:r w:rsidRPr="00E61FD4">
              <w:rPr>
                <w:bCs/>
                <w:sz w:val="20"/>
              </w:rPr>
              <w:t>17 (3)</w:t>
            </w:r>
          </w:p>
        </w:tc>
        <w:tc>
          <w:tcPr>
            <w:tcW w:w="1334" w:type="dxa"/>
            <w:shd w:val="clear" w:color="auto" w:fill="auto"/>
          </w:tcPr>
          <w:p w14:paraId="5A09229C" w14:textId="77777777" w:rsidR="00D53910" w:rsidRPr="00E61FD4" w:rsidRDefault="00D53910" w:rsidP="00DB1A44">
            <w:pPr>
              <w:pStyle w:val="EMEABodyText"/>
              <w:jc w:val="center"/>
              <w:rPr>
                <w:bCs/>
                <w:sz w:val="20"/>
              </w:rPr>
            </w:pPr>
            <w:r w:rsidRPr="00E61FD4">
              <w:rPr>
                <w:bCs/>
                <w:sz w:val="20"/>
              </w:rPr>
              <w:t>17 (3)</w:t>
            </w:r>
          </w:p>
        </w:tc>
      </w:tr>
      <w:tr w:rsidR="00D53910" w:rsidRPr="00E61FD4" w14:paraId="579323B8" w14:textId="77777777" w:rsidTr="00DB1A44">
        <w:tc>
          <w:tcPr>
            <w:tcW w:w="6062" w:type="dxa"/>
            <w:shd w:val="clear" w:color="auto" w:fill="auto"/>
          </w:tcPr>
          <w:p w14:paraId="29B48304" w14:textId="77777777" w:rsidR="00D53910" w:rsidRPr="00E61FD4" w:rsidRDefault="00D53910" w:rsidP="00DB1A44">
            <w:pPr>
              <w:pStyle w:val="EMEABodyText"/>
              <w:ind w:left="157"/>
              <w:rPr>
                <w:sz w:val="20"/>
              </w:rPr>
            </w:pPr>
            <w:r w:rsidRPr="00E61FD4">
              <w:rPr>
                <w:sz w:val="20"/>
              </w:rPr>
              <w:t>Systolic anterior motion of mitral valve, n (%)</w:t>
            </w:r>
          </w:p>
        </w:tc>
        <w:tc>
          <w:tcPr>
            <w:tcW w:w="1891" w:type="dxa"/>
            <w:gridSpan w:val="2"/>
            <w:shd w:val="clear" w:color="auto" w:fill="auto"/>
          </w:tcPr>
          <w:p w14:paraId="0D12FA90" w14:textId="77777777" w:rsidR="00D53910" w:rsidRPr="00E61FD4" w:rsidRDefault="00D53910" w:rsidP="00DB1A44">
            <w:pPr>
              <w:pStyle w:val="EMEABodyText"/>
              <w:jc w:val="center"/>
              <w:rPr>
                <w:bCs/>
                <w:sz w:val="20"/>
              </w:rPr>
            </w:pPr>
            <w:r w:rsidRPr="00E61FD4">
              <w:rPr>
                <w:bCs/>
                <w:sz w:val="20"/>
              </w:rPr>
              <w:t>97 (82)</w:t>
            </w:r>
          </w:p>
        </w:tc>
        <w:tc>
          <w:tcPr>
            <w:tcW w:w="1334" w:type="dxa"/>
            <w:shd w:val="clear" w:color="auto" w:fill="auto"/>
          </w:tcPr>
          <w:p w14:paraId="2C230C14" w14:textId="77777777" w:rsidR="00D53910" w:rsidRPr="00E61FD4" w:rsidRDefault="00D53910" w:rsidP="00DB1A44">
            <w:pPr>
              <w:pStyle w:val="EMEABodyText"/>
              <w:jc w:val="center"/>
              <w:rPr>
                <w:bCs/>
                <w:sz w:val="20"/>
              </w:rPr>
            </w:pPr>
            <w:r w:rsidRPr="00E61FD4">
              <w:rPr>
                <w:bCs/>
                <w:sz w:val="20"/>
              </w:rPr>
              <w:t>102 (81)</w:t>
            </w:r>
          </w:p>
        </w:tc>
      </w:tr>
      <w:tr w:rsidR="00D53910" w:rsidRPr="00E61FD4" w14:paraId="10FD5923" w14:textId="77777777" w:rsidTr="00DB1A44">
        <w:tc>
          <w:tcPr>
            <w:tcW w:w="6062" w:type="dxa"/>
            <w:shd w:val="clear" w:color="auto" w:fill="auto"/>
          </w:tcPr>
          <w:p w14:paraId="42CE3C7C" w14:textId="77777777" w:rsidR="00D53910" w:rsidRPr="00E61FD4" w:rsidRDefault="00D53910" w:rsidP="00DB1A44">
            <w:pPr>
              <w:pStyle w:val="EMEABodyText"/>
              <w:ind w:left="157"/>
              <w:rPr>
                <w:sz w:val="20"/>
              </w:rPr>
            </w:pPr>
            <w:r w:rsidRPr="00E61FD4">
              <w:rPr>
                <w:sz w:val="20"/>
              </w:rPr>
              <w:t>Mean LAVI, mL/m</w:t>
            </w:r>
            <w:r w:rsidRPr="00E61FD4">
              <w:rPr>
                <w:sz w:val="20"/>
                <w:vertAlign w:val="superscript"/>
              </w:rPr>
              <w:t>2</w:t>
            </w:r>
            <w:r w:rsidRPr="00E61FD4">
              <w:rPr>
                <w:sz w:val="20"/>
              </w:rPr>
              <w:t xml:space="preserve"> (SD)</w:t>
            </w:r>
          </w:p>
        </w:tc>
        <w:tc>
          <w:tcPr>
            <w:tcW w:w="1891" w:type="dxa"/>
            <w:gridSpan w:val="2"/>
            <w:shd w:val="clear" w:color="auto" w:fill="auto"/>
          </w:tcPr>
          <w:p w14:paraId="7CF33770" w14:textId="77777777" w:rsidR="00D53910" w:rsidRPr="00E61FD4" w:rsidRDefault="00D53910" w:rsidP="00DB1A44">
            <w:pPr>
              <w:pStyle w:val="EMEABodyText"/>
              <w:jc w:val="center"/>
              <w:rPr>
                <w:bCs/>
                <w:sz w:val="20"/>
              </w:rPr>
            </w:pPr>
            <w:r w:rsidRPr="00E61FD4">
              <w:rPr>
                <w:bCs/>
                <w:sz w:val="20"/>
              </w:rPr>
              <w:t>40 (12)</w:t>
            </w:r>
          </w:p>
        </w:tc>
        <w:tc>
          <w:tcPr>
            <w:tcW w:w="1334" w:type="dxa"/>
            <w:shd w:val="clear" w:color="auto" w:fill="auto"/>
          </w:tcPr>
          <w:p w14:paraId="19A2AE17" w14:textId="77777777" w:rsidR="00D53910" w:rsidRPr="00E61FD4" w:rsidRDefault="00D53910" w:rsidP="00DB1A44">
            <w:pPr>
              <w:pStyle w:val="EMEABodyText"/>
              <w:jc w:val="center"/>
              <w:rPr>
                <w:bCs/>
                <w:sz w:val="20"/>
              </w:rPr>
            </w:pPr>
            <w:r w:rsidRPr="00E61FD4">
              <w:rPr>
                <w:bCs/>
                <w:sz w:val="20"/>
              </w:rPr>
              <w:t>41 (14)</w:t>
            </w:r>
          </w:p>
        </w:tc>
      </w:tr>
      <w:tr w:rsidR="00D53910" w:rsidRPr="00E61FD4" w14:paraId="5DA0B14F" w14:textId="77777777" w:rsidTr="00DB1A44">
        <w:tc>
          <w:tcPr>
            <w:tcW w:w="6062" w:type="dxa"/>
            <w:shd w:val="clear" w:color="auto" w:fill="auto"/>
          </w:tcPr>
          <w:p w14:paraId="625150B4" w14:textId="77777777" w:rsidR="00D53910" w:rsidRPr="00E61FD4" w:rsidRDefault="00D53910" w:rsidP="00DB1A44">
            <w:pPr>
              <w:pStyle w:val="EMEABodyText"/>
              <w:ind w:left="157"/>
              <w:rPr>
                <w:sz w:val="20"/>
              </w:rPr>
            </w:pPr>
            <w:r w:rsidRPr="00E61FD4">
              <w:rPr>
                <w:sz w:val="20"/>
              </w:rPr>
              <w:t>Mean LVEF (SD), (%)</w:t>
            </w:r>
          </w:p>
        </w:tc>
        <w:tc>
          <w:tcPr>
            <w:tcW w:w="1891" w:type="dxa"/>
            <w:gridSpan w:val="2"/>
            <w:shd w:val="clear" w:color="auto" w:fill="auto"/>
          </w:tcPr>
          <w:p w14:paraId="6492040C" w14:textId="77777777" w:rsidR="00D53910" w:rsidRPr="00E61FD4" w:rsidRDefault="00D53910" w:rsidP="00DB1A44">
            <w:pPr>
              <w:pStyle w:val="EMEABodyText"/>
              <w:jc w:val="center"/>
              <w:rPr>
                <w:bCs/>
                <w:sz w:val="20"/>
              </w:rPr>
            </w:pPr>
            <w:r w:rsidRPr="00E61FD4">
              <w:rPr>
                <w:bCs/>
                <w:sz w:val="20"/>
              </w:rPr>
              <w:t>74 (6)</w:t>
            </w:r>
          </w:p>
        </w:tc>
        <w:tc>
          <w:tcPr>
            <w:tcW w:w="1334" w:type="dxa"/>
            <w:shd w:val="clear" w:color="auto" w:fill="auto"/>
          </w:tcPr>
          <w:p w14:paraId="50B22776" w14:textId="77777777" w:rsidR="00D53910" w:rsidRPr="00E61FD4" w:rsidRDefault="00D53910" w:rsidP="00DB1A44">
            <w:pPr>
              <w:pStyle w:val="EMEABodyText"/>
              <w:jc w:val="center"/>
              <w:rPr>
                <w:bCs/>
                <w:sz w:val="20"/>
              </w:rPr>
            </w:pPr>
            <w:r w:rsidRPr="00E61FD4">
              <w:rPr>
                <w:bCs/>
                <w:sz w:val="20"/>
              </w:rPr>
              <w:t>74 (6)</w:t>
            </w:r>
          </w:p>
        </w:tc>
      </w:tr>
      <w:tr w:rsidR="00D53910" w:rsidRPr="00E61FD4" w14:paraId="2DDCCC88" w14:textId="77777777" w:rsidTr="00DB1A44">
        <w:tc>
          <w:tcPr>
            <w:tcW w:w="6062" w:type="dxa"/>
            <w:shd w:val="clear" w:color="auto" w:fill="auto"/>
          </w:tcPr>
          <w:p w14:paraId="78BEFC90" w14:textId="77777777" w:rsidR="00D53910" w:rsidRPr="00E61FD4" w:rsidRDefault="00D53910" w:rsidP="00DB1A44">
            <w:pPr>
              <w:pStyle w:val="EMEABodyText"/>
              <w:ind w:left="157"/>
              <w:rPr>
                <w:sz w:val="20"/>
              </w:rPr>
            </w:pPr>
            <w:r w:rsidRPr="00E61FD4">
              <w:rPr>
                <w:sz w:val="20"/>
              </w:rPr>
              <w:t>Mean LVOT gradient with Valsalva manoeuvre, mmHg</w:t>
            </w:r>
            <w:r w:rsidRPr="00E61FD4" w:rsidDel="0036083B">
              <w:rPr>
                <w:sz w:val="20"/>
              </w:rPr>
              <w:t xml:space="preserve"> </w:t>
            </w:r>
            <w:r w:rsidRPr="00E61FD4">
              <w:rPr>
                <w:sz w:val="20"/>
              </w:rPr>
              <w:t>(SD)</w:t>
            </w:r>
          </w:p>
        </w:tc>
        <w:tc>
          <w:tcPr>
            <w:tcW w:w="1891" w:type="dxa"/>
            <w:gridSpan w:val="2"/>
            <w:shd w:val="clear" w:color="auto" w:fill="auto"/>
          </w:tcPr>
          <w:p w14:paraId="51EC0A7C" w14:textId="77777777" w:rsidR="00D53910" w:rsidRPr="00E61FD4" w:rsidRDefault="00D53910" w:rsidP="00DB1A44">
            <w:pPr>
              <w:pStyle w:val="EMEABodyText"/>
              <w:jc w:val="center"/>
              <w:rPr>
                <w:bCs/>
                <w:sz w:val="20"/>
              </w:rPr>
            </w:pPr>
            <w:r w:rsidRPr="00E61FD4">
              <w:rPr>
                <w:bCs/>
                <w:sz w:val="20"/>
              </w:rPr>
              <w:t>72 (32)</w:t>
            </w:r>
          </w:p>
        </w:tc>
        <w:tc>
          <w:tcPr>
            <w:tcW w:w="1334" w:type="dxa"/>
            <w:shd w:val="clear" w:color="auto" w:fill="auto"/>
          </w:tcPr>
          <w:p w14:paraId="675B1FB8" w14:textId="77777777" w:rsidR="00D53910" w:rsidRPr="00E61FD4" w:rsidRDefault="00D53910" w:rsidP="00DB1A44">
            <w:pPr>
              <w:pStyle w:val="EMEABodyText"/>
              <w:jc w:val="center"/>
              <w:rPr>
                <w:bCs/>
                <w:sz w:val="20"/>
              </w:rPr>
            </w:pPr>
            <w:r w:rsidRPr="00E61FD4">
              <w:rPr>
                <w:bCs/>
                <w:sz w:val="20"/>
              </w:rPr>
              <w:t>74 (32)</w:t>
            </w:r>
          </w:p>
        </w:tc>
      </w:tr>
      <w:tr w:rsidR="00D53910" w:rsidRPr="00E61FD4" w14:paraId="09730AA3" w14:textId="77777777" w:rsidTr="00DB1A44">
        <w:tc>
          <w:tcPr>
            <w:tcW w:w="6062" w:type="dxa"/>
            <w:shd w:val="clear" w:color="auto" w:fill="auto"/>
          </w:tcPr>
          <w:p w14:paraId="0A9F4C76" w14:textId="77777777" w:rsidR="00D53910" w:rsidRPr="00E61FD4" w:rsidRDefault="00D53910" w:rsidP="00DB1A44">
            <w:pPr>
              <w:pStyle w:val="EMEABodyText"/>
              <w:ind w:left="157"/>
              <w:rPr>
                <w:sz w:val="20"/>
              </w:rPr>
            </w:pPr>
            <w:r w:rsidRPr="00E61FD4">
              <w:rPr>
                <w:sz w:val="20"/>
              </w:rPr>
              <w:t>Mean LVOT gradient post-exercise, mmHg (SD)</w:t>
            </w:r>
          </w:p>
        </w:tc>
        <w:tc>
          <w:tcPr>
            <w:tcW w:w="1891" w:type="dxa"/>
            <w:gridSpan w:val="2"/>
            <w:shd w:val="clear" w:color="auto" w:fill="auto"/>
          </w:tcPr>
          <w:p w14:paraId="1C44F02F" w14:textId="77777777" w:rsidR="00D53910" w:rsidRPr="00E61FD4" w:rsidRDefault="00D53910" w:rsidP="00DB1A44">
            <w:pPr>
              <w:pStyle w:val="EMEABodyText"/>
              <w:jc w:val="center"/>
              <w:rPr>
                <w:bCs/>
                <w:sz w:val="20"/>
              </w:rPr>
            </w:pPr>
            <w:r w:rsidRPr="00E61FD4">
              <w:rPr>
                <w:bCs/>
                <w:sz w:val="20"/>
              </w:rPr>
              <w:t>86 (34)</w:t>
            </w:r>
          </w:p>
        </w:tc>
        <w:tc>
          <w:tcPr>
            <w:tcW w:w="1334" w:type="dxa"/>
            <w:shd w:val="clear" w:color="auto" w:fill="auto"/>
          </w:tcPr>
          <w:p w14:paraId="1BBF0016" w14:textId="77777777" w:rsidR="00D53910" w:rsidRPr="00E61FD4" w:rsidRDefault="00D53910" w:rsidP="00DB1A44">
            <w:pPr>
              <w:pStyle w:val="EMEABodyText"/>
              <w:jc w:val="center"/>
              <w:rPr>
                <w:bCs/>
                <w:sz w:val="20"/>
              </w:rPr>
            </w:pPr>
            <w:r w:rsidRPr="00E61FD4">
              <w:rPr>
                <w:bCs/>
                <w:sz w:val="20"/>
              </w:rPr>
              <w:t>84 (36)</w:t>
            </w:r>
          </w:p>
        </w:tc>
      </w:tr>
      <w:tr w:rsidR="00D53910" w:rsidRPr="00E61FD4" w14:paraId="493E5BCD" w14:textId="77777777" w:rsidTr="00DB1A44">
        <w:tc>
          <w:tcPr>
            <w:tcW w:w="9287" w:type="dxa"/>
            <w:gridSpan w:val="4"/>
            <w:shd w:val="clear" w:color="auto" w:fill="auto"/>
          </w:tcPr>
          <w:p w14:paraId="1D6BBD00" w14:textId="77777777" w:rsidR="00D53910" w:rsidRPr="00E61FD4" w:rsidRDefault="00D53910" w:rsidP="00DB1A44">
            <w:pPr>
              <w:pStyle w:val="EMEABodyText"/>
              <w:rPr>
                <w:b/>
                <w:bCs/>
                <w:sz w:val="20"/>
              </w:rPr>
            </w:pPr>
            <w:r w:rsidRPr="00E61FD4">
              <w:rPr>
                <w:b/>
                <w:bCs/>
                <w:sz w:val="20"/>
              </w:rPr>
              <w:t>Other relevant cardiac history</w:t>
            </w:r>
          </w:p>
        </w:tc>
      </w:tr>
      <w:tr w:rsidR="00D53910" w:rsidRPr="00E61FD4" w14:paraId="040B51FB" w14:textId="77777777" w:rsidTr="00DB1A44">
        <w:tc>
          <w:tcPr>
            <w:tcW w:w="6062" w:type="dxa"/>
            <w:shd w:val="clear" w:color="auto" w:fill="auto"/>
          </w:tcPr>
          <w:p w14:paraId="7854A727" w14:textId="77777777" w:rsidR="00D53910" w:rsidRPr="00E61FD4" w:rsidRDefault="00D53910" w:rsidP="00DB1A44">
            <w:pPr>
              <w:pStyle w:val="EMEABodyText"/>
              <w:ind w:left="157"/>
              <w:rPr>
                <w:sz w:val="20"/>
              </w:rPr>
            </w:pPr>
            <w:r w:rsidRPr="00E61FD4">
              <w:rPr>
                <w:sz w:val="20"/>
              </w:rPr>
              <w:t>Atrial fibrillation, n (%)</w:t>
            </w:r>
          </w:p>
        </w:tc>
        <w:tc>
          <w:tcPr>
            <w:tcW w:w="1891" w:type="dxa"/>
            <w:gridSpan w:val="2"/>
            <w:shd w:val="clear" w:color="auto" w:fill="auto"/>
          </w:tcPr>
          <w:p w14:paraId="629D81A5" w14:textId="77777777" w:rsidR="00D53910" w:rsidRPr="00E61FD4" w:rsidRDefault="00D53910" w:rsidP="00DB1A44">
            <w:pPr>
              <w:pStyle w:val="EMEABodyText"/>
              <w:jc w:val="center"/>
              <w:rPr>
                <w:bCs/>
                <w:sz w:val="20"/>
              </w:rPr>
            </w:pPr>
            <w:r w:rsidRPr="00E61FD4">
              <w:rPr>
                <w:bCs/>
                <w:sz w:val="20"/>
              </w:rPr>
              <w:t>12 (10)</w:t>
            </w:r>
          </w:p>
        </w:tc>
        <w:tc>
          <w:tcPr>
            <w:tcW w:w="1334" w:type="dxa"/>
            <w:shd w:val="clear" w:color="auto" w:fill="auto"/>
          </w:tcPr>
          <w:p w14:paraId="4F838828" w14:textId="77777777" w:rsidR="00D53910" w:rsidRPr="00E61FD4" w:rsidRDefault="00D53910" w:rsidP="00DB1A44">
            <w:pPr>
              <w:pStyle w:val="EMEABodyText"/>
              <w:jc w:val="center"/>
              <w:rPr>
                <w:bCs/>
                <w:sz w:val="20"/>
              </w:rPr>
            </w:pPr>
            <w:r w:rsidRPr="00E61FD4">
              <w:rPr>
                <w:bCs/>
                <w:sz w:val="20"/>
              </w:rPr>
              <w:t>23 (18)</w:t>
            </w:r>
          </w:p>
        </w:tc>
      </w:tr>
      <w:tr w:rsidR="00D53910" w:rsidRPr="00E61FD4" w14:paraId="2D6FC90C" w14:textId="77777777" w:rsidTr="00DB1A44">
        <w:tc>
          <w:tcPr>
            <w:tcW w:w="6062" w:type="dxa"/>
            <w:shd w:val="clear" w:color="auto" w:fill="auto"/>
          </w:tcPr>
          <w:p w14:paraId="4154CFCB" w14:textId="77777777" w:rsidR="00D53910" w:rsidRPr="00E61FD4" w:rsidRDefault="00D53910" w:rsidP="00DB1A44">
            <w:pPr>
              <w:pStyle w:val="EMEABodyText"/>
              <w:ind w:left="157"/>
              <w:rPr>
                <w:sz w:val="20"/>
              </w:rPr>
            </w:pPr>
            <w:r w:rsidRPr="00E61FD4">
              <w:rPr>
                <w:sz w:val="20"/>
              </w:rPr>
              <w:t>Implantable cardioverter defibrillator (ICD), n (%)</w:t>
            </w:r>
          </w:p>
        </w:tc>
        <w:tc>
          <w:tcPr>
            <w:tcW w:w="1891" w:type="dxa"/>
            <w:gridSpan w:val="2"/>
            <w:shd w:val="clear" w:color="auto" w:fill="auto"/>
          </w:tcPr>
          <w:p w14:paraId="6DB46EC4" w14:textId="77777777" w:rsidR="00D53910" w:rsidRPr="00E61FD4" w:rsidRDefault="00D53910" w:rsidP="00DB1A44">
            <w:pPr>
              <w:pStyle w:val="EMEABodyText"/>
              <w:jc w:val="center"/>
              <w:rPr>
                <w:bCs/>
                <w:sz w:val="20"/>
              </w:rPr>
            </w:pPr>
            <w:r w:rsidRPr="00E61FD4">
              <w:rPr>
                <w:bCs/>
                <w:sz w:val="20"/>
              </w:rPr>
              <w:t>27 (22)</w:t>
            </w:r>
          </w:p>
        </w:tc>
        <w:tc>
          <w:tcPr>
            <w:tcW w:w="1334" w:type="dxa"/>
            <w:shd w:val="clear" w:color="auto" w:fill="auto"/>
          </w:tcPr>
          <w:p w14:paraId="3E0A551B" w14:textId="77777777" w:rsidR="00D53910" w:rsidRPr="00E61FD4" w:rsidRDefault="00D53910" w:rsidP="00DB1A44">
            <w:pPr>
              <w:pStyle w:val="EMEABodyText"/>
              <w:jc w:val="center"/>
              <w:rPr>
                <w:bCs/>
                <w:sz w:val="20"/>
              </w:rPr>
            </w:pPr>
            <w:r w:rsidRPr="00E61FD4">
              <w:rPr>
                <w:bCs/>
                <w:sz w:val="20"/>
              </w:rPr>
              <w:t>29 (23)</w:t>
            </w:r>
          </w:p>
        </w:tc>
      </w:tr>
      <w:tr w:rsidR="00D53910" w:rsidRPr="00E61FD4" w14:paraId="3D5D3208" w14:textId="77777777" w:rsidTr="00DB1A44">
        <w:tc>
          <w:tcPr>
            <w:tcW w:w="6062" w:type="dxa"/>
            <w:shd w:val="clear" w:color="auto" w:fill="auto"/>
          </w:tcPr>
          <w:p w14:paraId="34809BD7" w14:textId="77777777" w:rsidR="00D53910" w:rsidRPr="00E61FD4" w:rsidRDefault="00D53910" w:rsidP="00DB1A44">
            <w:pPr>
              <w:pStyle w:val="EMEABodyText"/>
              <w:ind w:left="157"/>
              <w:rPr>
                <w:sz w:val="20"/>
              </w:rPr>
            </w:pPr>
            <w:r w:rsidRPr="00E61FD4">
              <w:rPr>
                <w:sz w:val="20"/>
              </w:rPr>
              <w:t>Prior invasive septal reduction therapies, n (%)</w:t>
            </w:r>
          </w:p>
        </w:tc>
        <w:tc>
          <w:tcPr>
            <w:tcW w:w="1891" w:type="dxa"/>
            <w:gridSpan w:val="2"/>
            <w:shd w:val="clear" w:color="auto" w:fill="auto"/>
          </w:tcPr>
          <w:p w14:paraId="44E74FB6" w14:textId="77777777" w:rsidR="00D53910" w:rsidRPr="00E61FD4" w:rsidRDefault="00D53910" w:rsidP="00DB1A44">
            <w:pPr>
              <w:pStyle w:val="EMEABodyText"/>
              <w:jc w:val="center"/>
              <w:rPr>
                <w:bCs/>
                <w:sz w:val="20"/>
              </w:rPr>
            </w:pPr>
            <w:r w:rsidRPr="00E61FD4">
              <w:rPr>
                <w:bCs/>
                <w:sz w:val="20"/>
              </w:rPr>
              <w:t>11 (9)</w:t>
            </w:r>
          </w:p>
        </w:tc>
        <w:tc>
          <w:tcPr>
            <w:tcW w:w="1334" w:type="dxa"/>
            <w:shd w:val="clear" w:color="auto" w:fill="auto"/>
          </w:tcPr>
          <w:p w14:paraId="78E9D354" w14:textId="77777777" w:rsidR="00D53910" w:rsidRPr="00E61FD4" w:rsidRDefault="00D53910" w:rsidP="00DB1A44">
            <w:pPr>
              <w:pStyle w:val="EMEABodyText"/>
              <w:jc w:val="center"/>
              <w:rPr>
                <w:bCs/>
                <w:sz w:val="20"/>
              </w:rPr>
            </w:pPr>
            <w:r w:rsidRPr="00E61FD4">
              <w:rPr>
                <w:bCs/>
                <w:sz w:val="20"/>
              </w:rPr>
              <w:t>8 (6)</w:t>
            </w:r>
          </w:p>
        </w:tc>
      </w:tr>
    </w:tbl>
    <w:p w14:paraId="3B5521C4" w14:textId="77777777" w:rsidR="00D53910" w:rsidRPr="00E61FD4" w:rsidRDefault="00D53910" w:rsidP="00D53910">
      <w:pPr>
        <w:pStyle w:val="EMEABodyText"/>
        <w:rPr>
          <w:sz w:val="18"/>
          <w:szCs w:val="18"/>
        </w:rPr>
      </w:pPr>
      <w:r w:rsidRPr="00E61FD4">
        <w:rPr>
          <w:sz w:val="18"/>
          <w:szCs w:val="18"/>
        </w:rPr>
        <w:t>* Non-dihydropyridine</w:t>
      </w:r>
      <w:r w:rsidRPr="00E61FD4" w:rsidDel="00854AFC">
        <w:rPr>
          <w:sz w:val="18"/>
          <w:szCs w:val="18"/>
        </w:rPr>
        <w:t xml:space="preserve"> </w:t>
      </w:r>
      <w:r w:rsidRPr="00E61FD4">
        <w:rPr>
          <w:sz w:val="18"/>
          <w:szCs w:val="18"/>
        </w:rPr>
        <w:t>calcium channel blockers; SD=Standard deviation</w:t>
      </w:r>
    </w:p>
    <w:p w14:paraId="4BFD3345" w14:textId="77777777" w:rsidR="00D53910" w:rsidRPr="00E61FD4" w:rsidRDefault="00D53910" w:rsidP="00946721">
      <w:pPr>
        <w:pStyle w:val="EMEABodyText"/>
        <w:spacing w:after="120"/>
      </w:pPr>
    </w:p>
    <w:p w14:paraId="4BA4BA74" w14:textId="03B22D36" w:rsidR="00D53910" w:rsidRPr="00E61FD4" w:rsidRDefault="00D53910" w:rsidP="00735F1A">
      <w:pPr>
        <w:spacing w:after="120"/>
        <w:rPr>
          <w:rFonts w:cs="Times New Roman"/>
        </w:rPr>
      </w:pPr>
      <w:bookmarkStart w:id="11" w:name="_Hlk72391163"/>
      <w:bookmarkStart w:id="12" w:name="_Hlk70948854"/>
      <w:r w:rsidRPr="00E61FD4">
        <w:rPr>
          <w:rFonts w:cs="Times New Roman"/>
        </w:rPr>
        <w:t>The primary endpoint was comprised of a composite of change at Week</w:t>
      </w:r>
      <w:r w:rsidR="00F3326C" w:rsidRPr="00E61FD4">
        <w:rPr>
          <w:rFonts w:cs="Times New Roman"/>
        </w:rPr>
        <w:t> </w:t>
      </w:r>
      <w:r w:rsidRPr="00E61FD4">
        <w:rPr>
          <w:rFonts w:cs="Times New Roman"/>
        </w:rPr>
        <w:t>30 in exercise capacity measured by pVO2 and symptoms measured by NYHA functional classification, defined as an improvement of pVO2 by ≥ 1.5 mL/kg/min and an improvement in NYHA class by at least 1 OR an improvement of pVO2 by ≥ 3.0 mL/kg/min and no worsening in NYHA class.</w:t>
      </w:r>
    </w:p>
    <w:bookmarkEnd w:id="11"/>
    <w:p w14:paraId="39614A50" w14:textId="67EF9B4B" w:rsidR="00D53910" w:rsidRPr="00E61FD4" w:rsidRDefault="00D53910" w:rsidP="00946721">
      <w:pPr>
        <w:spacing w:after="120"/>
        <w:rPr>
          <w:rFonts w:cs="Times New Roman"/>
        </w:rPr>
      </w:pPr>
      <w:r w:rsidRPr="00E61FD4">
        <w:rPr>
          <w:rFonts w:cs="Times New Roman"/>
        </w:rPr>
        <w:t xml:space="preserve">A greater proportion of patients met the primary endpoint at Week 30 in the </w:t>
      </w:r>
      <w:r w:rsidR="00E5063D" w:rsidRPr="00E61FD4">
        <w:rPr>
          <w:rFonts w:cs="Times New Roman"/>
        </w:rPr>
        <w:t>CAMZYOS</w:t>
      </w:r>
      <w:r w:rsidR="005235ED" w:rsidRPr="00E61FD4">
        <w:rPr>
          <w:rFonts w:cs="Times New Roman"/>
        </w:rPr>
        <w:t xml:space="preserve"> </w:t>
      </w:r>
      <w:r w:rsidRPr="00E61FD4">
        <w:rPr>
          <w:rFonts w:cs="Times New Roman"/>
        </w:rPr>
        <w:t xml:space="preserve">arm compared to the placebo arm (36.6% versus 17.2%, respectively, p = 0.0005) (see </w:t>
      </w:r>
      <w:r w:rsidR="00393C94" w:rsidRPr="00E61FD4">
        <w:rPr>
          <w:rFonts w:cs="Times New Roman"/>
        </w:rPr>
        <w:fldChar w:fldCharType="begin"/>
      </w:r>
      <w:r w:rsidR="00393C94" w:rsidRPr="00E61FD4">
        <w:rPr>
          <w:rFonts w:cs="Times New Roman"/>
        </w:rPr>
        <w:instrText xml:space="preserve"> REF _Ref75263836 \h  \* MERGEFORMAT </w:instrText>
      </w:r>
      <w:r w:rsidR="00393C94" w:rsidRPr="00E61FD4">
        <w:rPr>
          <w:rFonts w:cs="Times New Roman"/>
        </w:rPr>
      </w:r>
      <w:r w:rsidR="00393C94" w:rsidRPr="00E61FD4">
        <w:rPr>
          <w:rFonts w:cs="Times New Roman"/>
        </w:rPr>
        <w:fldChar w:fldCharType="separate"/>
      </w:r>
      <w:r w:rsidR="00E61FD4" w:rsidRPr="00E61FD4">
        <w:t xml:space="preserve">Table </w:t>
      </w:r>
      <w:r w:rsidR="00E61FD4">
        <w:rPr>
          <w:noProof/>
        </w:rPr>
        <w:t>4</w:t>
      </w:r>
      <w:r w:rsidR="00393C94" w:rsidRPr="00E61FD4">
        <w:rPr>
          <w:rFonts w:cs="Times New Roman"/>
        </w:rPr>
        <w:fldChar w:fldCharType="end"/>
      </w:r>
      <w:r w:rsidRPr="00E61FD4">
        <w:rPr>
          <w:rFonts w:cs="Times New Roman"/>
        </w:rPr>
        <w:t xml:space="preserve">). </w:t>
      </w:r>
    </w:p>
    <w:p w14:paraId="3A2965A7" w14:textId="31185864" w:rsidR="00D53910" w:rsidRPr="00E61FD4" w:rsidRDefault="003A222B" w:rsidP="003A222B">
      <w:pPr>
        <w:pStyle w:val="Caption"/>
        <w:keepNext/>
        <w:spacing w:after="0"/>
        <w:jc w:val="left"/>
        <w:rPr>
          <w:szCs w:val="22"/>
        </w:rPr>
      </w:pPr>
      <w:bookmarkStart w:id="13" w:name="_Ref75263836"/>
      <w:bookmarkStart w:id="14" w:name="_Hlk70948870"/>
      <w:bookmarkStart w:id="15" w:name="_Hlk70977671"/>
      <w:bookmarkEnd w:id="12"/>
      <w:r w:rsidRPr="00E61FD4">
        <w:t xml:space="preserve">Table </w:t>
      </w:r>
      <w:r w:rsidRPr="00E61FD4">
        <w:fldChar w:fldCharType="begin"/>
      </w:r>
      <w:r w:rsidRPr="00E61FD4">
        <w:instrText>SEQ Table \* ARABIC</w:instrText>
      </w:r>
      <w:r w:rsidRPr="00E61FD4">
        <w:fldChar w:fldCharType="separate"/>
      </w:r>
      <w:r w:rsidR="00E61FD4">
        <w:rPr>
          <w:noProof/>
        </w:rPr>
        <w:t>4</w:t>
      </w:r>
      <w:r w:rsidRPr="00E61FD4">
        <w:fldChar w:fldCharType="end"/>
      </w:r>
      <w:bookmarkEnd w:id="13"/>
      <w:r w:rsidRPr="00E61FD4">
        <w:t xml:space="preserve"> </w:t>
      </w:r>
      <w:r w:rsidR="00D53910" w:rsidRPr="00E61FD4">
        <w:rPr>
          <w:szCs w:val="22"/>
        </w:rPr>
        <w:t xml:space="preserve">Analysis of the primary composite endpoint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843"/>
        <w:gridCol w:w="1275"/>
      </w:tblGrid>
      <w:tr w:rsidR="00D53910" w:rsidRPr="00E61FD4" w14:paraId="7C58A312" w14:textId="77777777" w:rsidTr="00DB1A44">
        <w:trPr>
          <w:tblHeader/>
        </w:trPr>
        <w:tc>
          <w:tcPr>
            <w:tcW w:w="6062" w:type="dxa"/>
            <w:shd w:val="clear" w:color="auto" w:fill="auto"/>
          </w:tcPr>
          <w:p w14:paraId="612D799A" w14:textId="77777777" w:rsidR="00D53910" w:rsidRPr="00E61FD4" w:rsidRDefault="00D53910" w:rsidP="003A222B">
            <w:pPr>
              <w:spacing w:after="0"/>
              <w:rPr>
                <w:bCs/>
                <w:sz w:val="20"/>
                <w:szCs w:val="18"/>
              </w:rPr>
            </w:pPr>
            <w:bookmarkStart w:id="16" w:name="_Hlk72245865"/>
            <w:bookmarkEnd w:id="14"/>
          </w:p>
        </w:tc>
        <w:tc>
          <w:tcPr>
            <w:tcW w:w="1843" w:type="dxa"/>
            <w:shd w:val="clear" w:color="auto" w:fill="auto"/>
          </w:tcPr>
          <w:p w14:paraId="7748D2D2" w14:textId="3907544B" w:rsidR="00D53910" w:rsidRPr="00E61FD4" w:rsidRDefault="00E5063D" w:rsidP="003A222B">
            <w:pPr>
              <w:pStyle w:val="EMEABodyText"/>
              <w:jc w:val="center"/>
              <w:rPr>
                <w:b/>
                <w:bCs/>
                <w:sz w:val="20"/>
                <w:szCs w:val="18"/>
              </w:rPr>
            </w:pPr>
            <w:r w:rsidRPr="00E61FD4">
              <w:rPr>
                <w:b/>
                <w:bCs/>
                <w:sz w:val="20"/>
                <w:szCs w:val="18"/>
              </w:rPr>
              <w:t>CAMZYOS</w:t>
            </w:r>
            <w:r w:rsidR="005235ED" w:rsidRPr="00E61FD4">
              <w:rPr>
                <w:b/>
                <w:bCs/>
                <w:sz w:val="20"/>
                <w:szCs w:val="18"/>
              </w:rPr>
              <w:t xml:space="preserve"> </w:t>
            </w:r>
            <w:r w:rsidR="00D53910" w:rsidRPr="00E61FD4">
              <w:rPr>
                <w:b/>
                <w:bCs/>
                <w:sz w:val="20"/>
                <w:szCs w:val="18"/>
              </w:rPr>
              <w:t>N = 123</w:t>
            </w:r>
          </w:p>
        </w:tc>
        <w:tc>
          <w:tcPr>
            <w:tcW w:w="1275" w:type="dxa"/>
            <w:shd w:val="clear" w:color="auto" w:fill="auto"/>
          </w:tcPr>
          <w:p w14:paraId="3FCCB275" w14:textId="77777777" w:rsidR="00D53910" w:rsidRPr="00E61FD4" w:rsidRDefault="00D53910" w:rsidP="003A222B">
            <w:pPr>
              <w:pStyle w:val="EMEABodyText"/>
              <w:jc w:val="center"/>
              <w:rPr>
                <w:b/>
                <w:bCs/>
                <w:sz w:val="20"/>
                <w:szCs w:val="18"/>
              </w:rPr>
            </w:pPr>
            <w:r w:rsidRPr="00E61FD4">
              <w:rPr>
                <w:b/>
                <w:bCs/>
                <w:sz w:val="20"/>
                <w:szCs w:val="18"/>
              </w:rPr>
              <w:t>Placebo</w:t>
            </w:r>
          </w:p>
          <w:p w14:paraId="2AE70933" w14:textId="77777777" w:rsidR="00D53910" w:rsidRPr="00E61FD4" w:rsidRDefault="00D53910" w:rsidP="003A222B">
            <w:pPr>
              <w:pStyle w:val="EMEABodyText"/>
              <w:jc w:val="center"/>
              <w:rPr>
                <w:b/>
                <w:bCs/>
                <w:sz w:val="20"/>
                <w:szCs w:val="18"/>
              </w:rPr>
            </w:pPr>
            <w:r w:rsidRPr="00E61FD4">
              <w:rPr>
                <w:b/>
                <w:bCs/>
                <w:sz w:val="20"/>
                <w:szCs w:val="18"/>
              </w:rPr>
              <w:t>N = 128</w:t>
            </w:r>
          </w:p>
        </w:tc>
      </w:tr>
      <w:tr w:rsidR="00D53910" w:rsidRPr="00E61FD4" w14:paraId="0BA5523E" w14:textId="77777777" w:rsidTr="00DB1A44">
        <w:trPr>
          <w:tblHeader/>
        </w:trPr>
        <w:tc>
          <w:tcPr>
            <w:tcW w:w="6062" w:type="dxa"/>
            <w:shd w:val="clear" w:color="auto" w:fill="auto"/>
          </w:tcPr>
          <w:p w14:paraId="6F74D68F" w14:textId="77777777" w:rsidR="00D53910" w:rsidRPr="00E61FD4" w:rsidRDefault="00D53910" w:rsidP="003A222B">
            <w:pPr>
              <w:pStyle w:val="EMEABodyText"/>
              <w:rPr>
                <w:b/>
                <w:sz w:val="20"/>
                <w:szCs w:val="18"/>
              </w:rPr>
            </w:pPr>
            <w:r w:rsidRPr="00E61FD4">
              <w:rPr>
                <w:b/>
                <w:bCs/>
                <w:sz w:val="20"/>
                <w:szCs w:val="18"/>
              </w:rPr>
              <w:t>Patients achieving primary endpoint at Week 30</w:t>
            </w:r>
            <w:r w:rsidRPr="00E61FD4">
              <w:rPr>
                <w:bCs/>
                <w:sz w:val="20"/>
                <w:szCs w:val="18"/>
              </w:rPr>
              <w:t xml:space="preserve">, </w:t>
            </w:r>
            <w:r w:rsidRPr="00E61FD4">
              <w:rPr>
                <w:b/>
                <w:sz w:val="20"/>
                <w:szCs w:val="18"/>
              </w:rPr>
              <w:t>n (%)</w:t>
            </w:r>
          </w:p>
        </w:tc>
        <w:tc>
          <w:tcPr>
            <w:tcW w:w="1843" w:type="dxa"/>
            <w:shd w:val="clear" w:color="auto" w:fill="auto"/>
            <w:vAlign w:val="center"/>
          </w:tcPr>
          <w:p w14:paraId="705810E0" w14:textId="77777777" w:rsidR="00D53910" w:rsidRPr="00E61FD4" w:rsidRDefault="00D53910" w:rsidP="003A222B">
            <w:pPr>
              <w:pStyle w:val="EMEABodyText"/>
              <w:jc w:val="center"/>
              <w:rPr>
                <w:bCs/>
                <w:sz w:val="20"/>
                <w:szCs w:val="18"/>
              </w:rPr>
            </w:pPr>
            <w:r w:rsidRPr="00E61FD4">
              <w:rPr>
                <w:bCs/>
                <w:sz w:val="20"/>
                <w:szCs w:val="18"/>
              </w:rPr>
              <w:t>45 (37%)</w:t>
            </w:r>
          </w:p>
        </w:tc>
        <w:tc>
          <w:tcPr>
            <w:tcW w:w="1275" w:type="dxa"/>
            <w:shd w:val="clear" w:color="auto" w:fill="auto"/>
            <w:vAlign w:val="center"/>
          </w:tcPr>
          <w:p w14:paraId="7D8C54FC" w14:textId="77777777" w:rsidR="00D53910" w:rsidRPr="00E61FD4" w:rsidRDefault="00D53910" w:rsidP="003A222B">
            <w:pPr>
              <w:pStyle w:val="EMEABodyText"/>
              <w:jc w:val="center"/>
              <w:rPr>
                <w:bCs/>
                <w:sz w:val="20"/>
                <w:szCs w:val="18"/>
              </w:rPr>
            </w:pPr>
            <w:r w:rsidRPr="00E61FD4">
              <w:rPr>
                <w:bCs/>
                <w:sz w:val="20"/>
                <w:szCs w:val="18"/>
              </w:rPr>
              <w:t>22 (17%)</w:t>
            </w:r>
          </w:p>
        </w:tc>
      </w:tr>
      <w:tr w:rsidR="00D53910" w:rsidRPr="00E61FD4" w14:paraId="0FB7E8A2" w14:textId="77777777" w:rsidTr="00DB1A44">
        <w:trPr>
          <w:tblHeader/>
        </w:trPr>
        <w:tc>
          <w:tcPr>
            <w:tcW w:w="6062" w:type="dxa"/>
            <w:shd w:val="clear" w:color="auto" w:fill="auto"/>
          </w:tcPr>
          <w:p w14:paraId="6050D064" w14:textId="77777777" w:rsidR="00D53910" w:rsidRPr="00E61FD4" w:rsidRDefault="00D53910" w:rsidP="003A222B">
            <w:pPr>
              <w:pStyle w:val="EMEABodyText"/>
              <w:rPr>
                <w:sz w:val="20"/>
                <w:szCs w:val="18"/>
              </w:rPr>
            </w:pPr>
            <w:r w:rsidRPr="00E61FD4">
              <w:rPr>
                <w:sz w:val="20"/>
                <w:szCs w:val="18"/>
              </w:rPr>
              <w:t>Treatment difference (95% CI)</w:t>
            </w:r>
          </w:p>
        </w:tc>
        <w:tc>
          <w:tcPr>
            <w:tcW w:w="3118" w:type="dxa"/>
            <w:gridSpan w:val="2"/>
            <w:shd w:val="clear" w:color="auto" w:fill="auto"/>
            <w:vAlign w:val="center"/>
          </w:tcPr>
          <w:p w14:paraId="17576B31" w14:textId="77777777" w:rsidR="00D53910" w:rsidRPr="00E61FD4" w:rsidRDefault="00D53910" w:rsidP="003A222B">
            <w:pPr>
              <w:pStyle w:val="EMEABodyText"/>
              <w:jc w:val="center"/>
              <w:rPr>
                <w:bCs/>
                <w:sz w:val="20"/>
                <w:szCs w:val="18"/>
              </w:rPr>
            </w:pPr>
            <w:r w:rsidRPr="00E61FD4">
              <w:rPr>
                <w:bCs/>
                <w:sz w:val="20"/>
                <w:szCs w:val="18"/>
              </w:rPr>
              <w:t>19 (8.67, 30.13)</w:t>
            </w:r>
          </w:p>
        </w:tc>
      </w:tr>
      <w:tr w:rsidR="00D53910" w:rsidRPr="00E61FD4" w14:paraId="77C26286" w14:textId="77777777" w:rsidTr="00DB1A44">
        <w:trPr>
          <w:tblHeader/>
        </w:trPr>
        <w:tc>
          <w:tcPr>
            <w:tcW w:w="6062" w:type="dxa"/>
            <w:shd w:val="clear" w:color="auto" w:fill="auto"/>
          </w:tcPr>
          <w:p w14:paraId="1D643A50" w14:textId="77777777" w:rsidR="00D53910" w:rsidRPr="00E61FD4" w:rsidRDefault="00D53910" w:rsidP="003A222B">
            <w:pPr>
              <w:pStyle w:val="EMEABodyText"/>
              <w:rPr>
                <w:sz w:val="20"/>
                <w:szCs w:val="18"/>
              </w:rPr>
            </w:pPr>
            <w:r w:rsidRPr="00E61FD4">
              <w:rPr>
                <w:sz w:val="20"/>
                <w:szCs w:val="18"/>
              </w:rPr>
              <w:t>p-value</w:t>
            </w:r>
          </w:p>
        </w:tc>
        <w:tc>
          <w:tcPr>
            <w:tcW w:w="3118" w:type="dxa"/>
            <w:gridSpan w:val="2"/>
            <w:shd w:val="clear" w:color="auto" w:fill="auto"/>
            <w:vAlign w:val="center"/>
          </w:tcPr>
          <w:p w14:paraId="291DD007" w14:textId="77777777" w:rsidR="00D53910" w:rsidRPr="00E61FD4" w:rsidRDefault="00D53910" w:rsidP="003A222B">
            <w:pPr>
              <w:pStyle w:val="EMEABodyText"/>
              <w:jc w:val="center"/>
              <w:rPr>
                <w:bCs/>
                <w:sz w:val="20"/>
                <w:szCs w:val="18"/>
              </w:rPr>
            </w:pPr>
            <w:r w:rsidRPr="00E61FD4">
              <w:rPr>
                <w:bCs/>
                <w:sz w:val="20"/>
                <w:szCs w:val="18"/>
              </w:rPr>
              <w:t>0.0005</w:t>
            </w:r>
          </w:p>
        </w:tc>
      </w:tr>
      <w:tr w:rsidR="00D53910" w:rsidRPr="00E61FD4" w14:paraId="62C2BBAE" w14:textId="77777777" w:rsidTr="00DB1A44">
        <w:trPr>
          <w:tblHeader/>
        </w:trPr>
        <w:tc>
          <w:tcPr>
            <w:tcW w:w="6062" w:type="dxa"/>
            <w:shd w:val="clear" w:color="auto" w:fill="auto"/>
          </w:tcPr>
          <w:p w14:paraId="774AA18B" w14:textId="77777777" w:rsidR="00D53910" w:rsidRPr="00E61FD4" w:rsidRDefault="00D53910" w:rsidP="003A222B">
            <w:pPr>
              <w:pStyle w:val="EMEABodyText"/>
              <w:rPr>
                <w:b/>
                <w:sz w:val="20"/>
                <w:szCs w:val="18"/>
              </w:rPr>
            </w:pPr>
            <w:r w:rsidRPr="00E61FD4">
              <w:rPr>
                <w:b/>
                <w:bCs/>
                <w:sz w:val="20"/>
                <w:szCs w:val="18"/>
              </w:rPr>
              <w:t>Patients with change from baseline in pVO</w:t>
            </w:r>
            <w:r w:rsidRPr="00E61FD4">
              <w:rPr>
                <w:b/>
                <w:bCs/>
                <w:sz w:val="20"/>
                <w:szCs w:val="18"/>
                <w:vertAlign w:val="subscript"/>
              </w:rPr>
              <w:t>2</w:t>
            </w:r>
            <w:r w:rsidRPr="00E61FD4">
              <w:rPr>
                <w:b/>
                <w:bCs/>
                <w:sz w:val="20"/>
                <w:szCs w:val="18"/>
              </w:rPr>
              <w:t xml:space="preserve"> ≥ 1.5 mL/kg/min and improvement in NYHA class ≥ 1 at Week 30, n (%)</w:t>
            </w:r>
          </w:p>
        </w:tc>
        <w:tc>
          <w:tcPr>
            <w:tcW w:w="1843" w:type="dxa"/>
            <w:shd w:val="clear" w:color="auto" w:fill="auto"/>
            <w:vAlign w:val="center"/>
          </w:tcPr>
          <w:p w14:paraId="05243CDF" w14:textId="77777777" w:rsidR="00D53910" w:rsidRPr="00E61FD4" w:rsidRDefault="00D53910" w:rsidP="003A222B">
            <w:pPr>
              <w:pStyle w:val="EMEABodyText"/>
              <w:jc w:val="center"/>
              <w:rPr>
                <w:bCs/>
                <w:sz w:val="20"/>
                <w:szCs w:val="18"/>
              </w:rPr>
            </w:pPr>
            <w:r w:rsidRPr="00E61FD4">
              <w:rPr>
                <w:bCs/>
                <w:sz w:val="20"/>
                <w:szCs w:val="18"/>
              </w:rPr>
              <w:t>41 (33%)</w:t>
            </w:r>
          </w:p>
        </w:tc>
        <w:tc>
          <w:tcPr>
            <w:tcW w:w="1275" w:type="dxa"/>
            <w:shd w:val="clear" w:color="auto" w:fill="auto"/>
            <w:vAlign w:val="center"/>
          </w:tcPr>
          <w:p w14:paraId="5A3FF5BA" w14:textId="77777777" w:rsidR="00D53910" w:rsidRPr="00E61FD4" w:rsidRDefault="00D53910" w:rsidP="003A222B">
            <w:pPr>
              <w:pStyle w:val="EMEABodyText"/>
              <w:jc w:val="center"/>
              <w:rPr>
                <w:bCs/>
                <w:sz w:val="20"/>
                <w:szCs w:val="18"/>
              </w:rPr>
            </w:pPr>
            <w:r w:rsidRPr="00E61FD4">
              <w:rPr>
                <w:bCs/>
                <w:sz w:val="20"/>
                <w:szCs w:val="18"/>
              </w:rPr>
              <w:t>18 (14%)</w:t>
            </w:r>
          </w:p>
        </w:tc>
      </w:tr>
      <w:tr w:rsidR="00D53910" w:rsidRPr="00E61FD4" w14:paraId="2E393B19" w14:textId="77777777" w:rsidTr="00DB1A44">
        <w:trPr>
          <w:tblHeader/>
        </w:trPr>
        <w:tc>
          <w:tcPr>
            <w:tcW w:w="6062" w:type="dxa"/>
            <w:shd w:val="clear" w:color="auto" w:fill="auto"/>
          </w:tcPr>
          <w:p w14:paraId="63A6FD9E" w14:textId="77777777" w:rsidR="00D53910" w:rsidRPr="00E61FD4" w:rsidRDefault="00D53910" w:rsidP="003A222B">
            <w:pPr>
              <w:spacing w:after="0"/>
              <w:rPr>
                <w:bCs/>
                <w:sz w:val="20"/>
                <w:szCs w:val="18"/>
              </w:rPr>
            </w:pPr>
            <w:r w:rsidRPr="00E61FD4">
              <w:rPr>
                <w:sz w:val="20"/>
                <w:szCs w:val="18"/>
              </w:rPr>
              <w:t>Treatment difference (95% CI</w:t>
            </w:r>
            <w:r w:rsidRPr="00E61FD4">
              <w:rPr>
                <w:bCs/>
                <w:sz w:val="20"/>
                <w:szCs w:val="18"/>
              </w:rPr>
              <w:t>)</w:t>
            </w:r>
          </w:p>
        </w:tc>
        <w:tc>
          <w:tcPr>
            <w:tcW w:w="3118" w:type="dxa"/>
            <w:gridSpan w:val="2"/>
            <w:shd w:val="clear" w:color="auto" w:fill="auto"/>
            <w:vAlign w:val="center"/>
          </w:tcPr>
          <w:p w14:paraId="185C7676" w14:textId="77777777" w:rsidR="00D53910" w:rsidRPr="00E61FD4" w:rsidRDefault="00D53910" w:rsidP="003A222B">
            <w:pPr>
              <w:pStyle w:val="EMEABodyText"/>
              <w:jc w:val="center"/>
              <w:rPr>
                <w:bCs/>
                <w:sz w:val="20"/>
                <w:szCs w:val="18"/>
              </w:rPr>
            </w:pPr>
            <w:r w:rsidRPr="00E61FD4">
              <w:rPr>
                <w:bCs/>
                <w:sz w:val="20"/>
                <w:szCs w:val="18"/>
              </w:rPr>
              <w:t>19 (8.99,29.55)</w:t>
            </w:r>
          </w:p>
        </w:tc>
      </w:tr>
      <w:tr w:rsidR="00D53910" w:rsidRPr="00E61FD4" w14:paraId="0CFA5ADD" w14:textId="77777777" w:rsidTr="00DB1A44">
        <w:trPr>
          <w:tblHeader/>
        </w:trPr>
        <w:tc>
          <w:tcPr>
            <w:tcW w:w="6062" w:type="dxa"/>
            <w:shd w:val="clear" w:color="auto" w:fill="auto"/>
          </w:tcPr>
          <w:p w14:paraId="649D0AB1" w14:textId="77777777" w:rsidR="00D53910" w:rsidRPr="00E61FD4" w:rsidRDefault="00D53910" w:rsidP="003A222B">
            <w:pPr>
              <w:pStyle w:val="EMEABodyText"/>
              <w:rPr>
                <w:b/>
                <w:sz w:val="20"/>
                <w:szCs w:val="18"/>
              </w:rPr>
            </w:pPr>
            <w:r w:rsidRPr="00E61FD4">
              <w:rPr>
                <w:b/>
                <w:bCs/>
                <w:sz w:val="20"/>
                <w:szCs w:val="18"/>
              </w:rPr>
              <w:t>Patients with change from baseline in pVO</w:t>
            </w:r>
            <w:r w:rsidRPr="00E61FD4">
              <w:rPr>
                <w:b/>
                <w:bCs/>
                <w:sz w:val="20"/>
                <w:szCs w:val="18"/>
                <w:vertAlign w:val="subscript"/>
              </w:rPr>
              <w:t>2</w:t>
            </w:r>
            <w:r w:rsidRPr="00E61FD4">
              <w:rPr>
                <w:b/>
                <w:bCs/>
                <w:sz w:val="20"/>
                <w:szCs w:val="18"/>
              </w:rPr>
              <w:t xml:space="preserve"> ≥ 3.0 mL/kg/min and no worsening in NYHA class at Week 30, n (%)</w:t>
            </w:r>
          </w:p>
        </w:tc>
        <w:tc>
          <w:tcPr>
            <w:tcW w:w="1843" w:type="dxa"/>
            <w:shd w:val="clear" w:color="auto" w:fill="auto"/>
            <w:vAlign w:val="center"/>
          </w:tcPr>
          <w:p w14:paraId="77B0159E" w14:textId="77777777" w:rsidR="00D53910" w:rsidRPr="00E61FD4" w:rsidRDefault="00D53910" w:rsidP="003A222B">
            <w:pPr>
              <w:pStyle w:val="EMEABodyText"/>
              <w:jc w:val="center"/>
              <w:rPr>
                <w:bCs/>
                <w:sz w:val="20"/>
                <w:szCs w:val="18"/>
              </w:rPr>
            </w:pPr>
            <w:r w:rsidRPr="00E61FD4">
              <w:rPr>
                <w:bCs/>
                <w:sz w:val="20"/>
                <w:szCs w:val="18"/>
              </w:rPr>
              <w:t>29 (24%)</w:t>
            </w:r>
          </w:p>
        </w:tc>
        <w:tc>
          <w:tcPr>
            <w:tcW w:w="1275" w:type="dxa"/>
            <w:shd w:val="clear" w:color="auto" w:fill="auto"/>
            <w:vAlign w:val="center"/>
          </w:tcPr>
          <w:p w14:paraId="393A4F20" w14:textId="77777777" w:rsidR="00D53910" w:rsidRPr="00E61FD4" w:rsidRDefault="00D53910" w:rsidP="003A222B">
            <w:pPr>
              <w:pStyle w:val="EMEABodyText"/>
              <w:jc w:val="center"/>
              <w:rPr>
                <w:bCs/>
                <w:sz w:val="20"/>
                <w:szCs w:val="18"/>
              </w:rPr>
            </w:pPr>
            <w:r w:rsidRPr="00E61FD4">
              <w:rPr>
                <w:bCs/>
                <w:sz w:val="20"/>
                <w:szCs w:val="18"/>
              </w:rPr>
              <w:t>14 (11%)</w:t>
            </w:r>
          </w:p>
        </w:tc>
      </w:tr>
      <w:tr w:rsidR="00D53910" w:rsidRPr="00E61FD4" w14:paraId="13CCF47E" w14:textId="77777777" w:rsidTr="00DB1A44">
        <w:trPr>
          <w:tblHeader/>
        </w:trPr>
        <w:tc>
          <w:tcPr>
            <w:tcW w:w="6062" w:type="dxa"/>
            <w:shd w:val="clear" w:color="auto" w:fill="auto"/>
          </w:tcPr>
          <w:p w14:paraId="7B7C9AC3" w14:textId="77777777" w:rsidR="00D53910" w:rsidRPr="00E61FD4" w:rsidRDefault="00D53910" w:rsidP="003A222B">
            <w:pPr>
              <w:pStyle w:val="EMEABodyText"/>
              <w:rPr>
                <w:bCs/>
                <w:sz w:val="20"/>
                <w:szCs w:val="18"/>
              </w:rPr>
            </w:pPr>
            <w:r w:rsidRPr="00E61FD4">
              <w:rPr>
                <w:sz w:val="20"/>
                <w:szCs w:val="18"/>
              </w:rPr>
              <w:t>Treatment difference (95% CI)</w:t>
            </w:r>
          </w:p>
        </w:tc>
        <w:tc>
          <w:tcPr>
            <w:tcW w:w="3118" w:type="dxa"/>
            <w:gridSpan w:val="2"/>
            <w:shd w:val="clear" w:color="auto" w:fill="auto"/>
            <w:vAlign w:val="center"/>
          </w:tcPr>
          <w:p w14:paraId="764A19CE" w14:textId="77777777" w:rsidR="00D53910" w:rsidRPr="00E61FD4" w:rsidRDefault="00D53910" w:rsidP="003A222B">
            <w:pPr>
              <w:pStyle w:val="EMEABodyText"/>
              <w:jc w:val="center"/>
              <w:rPr>
                <w:bCs/>
                <w:sz w:val="20"/>
                <w:szCs w:val="18"/>
              </w:rPr>
            </w:pPr>
            <w:r w:rsidRPr="00E61FD4">
              <w:rPr>
                <w:bCs/>
                <w:sz w:val="20"/>
                <w:szCs w:val="18"/>
              </w:rPr>
              <w:t>13 (3.39, 21.89)</w:t>
            </w:r>
          </w:p>
        </w:tc>
      </w:tr>
      <w:bookmarkEnd w:id="15"/>
      <w:bookmarkEnd w:id="16"/>
    </w:tbl>
    <w:p w14:paraId="38CC349B" w14:textId="77777777" w:rsidR="00D53910" w:rsidRPr="00E61FD4" w:rsidRDefault="00D53910" w:rsidP="00D53910">
      <w:pPr>
        <w:pStyle w:val="EMEABodyText"/>
      </w:pPr>
    </w:p>
    <w:p w14:paraId="0D0AE5F2" w14:textId="6A15272E" w:rsidR="00D53910" w:rsidRPr="00E61FD4" w:rsidRDefault="00D53910" w:rsidP="00946721">
      <w:pPr>
        <w:spacing w:after="120"/>
        <w:rPr>
          <w:rFonts w:cs="Times New Roman"/>
        </w:rPr>
      </w:pPr>
      <w:bookmarkStart w:id="17" w:name="_Hlk72336736"/>
      <w:r w:rsidRPr="00E61FD4">
        <w:rPr>
          <w:rFonts w:cs="Times New Roman"/>
        </w:rPr>
        <w:t xml:space="preserve">A range of demographic characteristics, baseline disease characteristics, and baseline concomitant medications were examined for their influence on outcomes. Results of the primary analysis consistently favoured </w:t>
      </w:r>
      <w:r w:rsidR="00E5063D" w:rsidRPr="00E61FD4">
        <w:rPr>
          <w:rFonts w:cs="Times New Roman"/>
        </w:rPr>
        <w:t>CAMZYOS</w:t>
      </w:r>
      <w:r w:rsidR="00211058" w:rsidRPr="00E61FD4">
        <w:rPr>
          <w:rFonts w:cs="Times New Roman"/>
        </w:rPr>
        <w:t xml:space="preserve"> </w:t>
      </w:r>
      <w:r w:rsidRPr="00E61FD4">
        <w:rPr>
          <w:rFonts w:cs="Times New Roman"/>
        </w:rPr>
        <w:t>across all subgroups analysed</w:t>
      </w:r>
      <w:r w:rsidR="00C268BA" w:rsidRPr="00E61FD4">
        <w:rPr>
          <w:rFonts w:cs="Times New Roman"/>
        </w:rPr>
        <w:t xml:space="preserve"> (</w:t>
      </w:r>
      <w:r w:rsidR="00C268BA" w:rsidRPr="00E61FD4">
        <w:rPr>
          <w:rFonts w:cs="Times New Roman"/>
        </w:rPr>
        <w:fldChar w:fldCharType="begin"/>
      </w:r>
      <w:r w:rsidR="00C268BA" w:rsidRPr="00E61FD4">
        <w:rPr>
          <w:rFonts w:cs="Times New Roman"/>
        </w:rPr>
        <w:instrText xml:space="preserve"> REF _Ref112661390 \h </w:instrText>
      </w:r>
      <w:r w:rsidR="00641C89" w:rsidRPr="00E61FD4">
        <w:rPr>
          <w:rFonts w:cs="Times New Roman"/>
        </w:rPr>
        <w:instrText xml:space="preserve"> \* MERGEFORMAT </w:instrText>
      </w:r>
      <w:r w:rsidR="00C268BA" w:rsidRPr="00E61FD4">
        <w:rPr>
          <w:rFonts w:cs="Times New Roman"/>
        </w:rPr>
      </w:r>
      <w:r w:rsidR="00C268BA" w:rsidRPr="00E61FD4">
        <w:rPr>
          <w:rFonts w:cs="Times New Roman"/>
        </w:rPr>
        <w:fldChar w:fldCharType="separate"/>
      </w:r>
      <w:r w:rsidR="00E61FD4" w:rsidRPr="00E61FD4">
        <w:t xml:space="preserve">Figure </w:t>
      </w:r>
      <w:r w:rsidR="00E61FD4">
        <w:rPr>
          <w:noProof/>
        </w:rPr>
        <w:t>4</w:t>
      </w:r>
      <w:r w:rsidR="00C268BA" w:rsidRPr="00E61FD4">
        <w:rPr>
          <w:rFonts w:cs="Times New Roman"/>
        </w:rPr>
        <w:fldChar w:fldCharType="end"/>
      </w:r>
      <w:r w:rsidR="00C268BA" w:rsidRPr="00E61FD4">
        <w:rPr>
          <w:rFonts w:cs="Times New Roman"/>
        </w:rPr>
        <w:t>)</w:t>
      </w:r>
      <w:r w:rsidRPr="00E61FD4">
        <w:rPr>
          <w:rFonts w:cs="Times New Roman"/>
        </w:rPr>
        <w:t>.</w:t>
      </w:r>
    </w:p>
    <w:p w14:paraId="4B5192D6" w14:textId="651F7D5E" w:rsidR="00C268BA" w:rsidRPr="00E61FD4" w:rsidRDefault="00C268BA" w:rsidP="00C268BA">
      <w:pPr>
        <w:pStyle w:val="Caption"/>
        <w:keepNext/>
        <w:jc w:val="left"/>
        <w:rPr>
          <w:b w:val="0"/>
          <w:bCs/>
          <w:szCs w:val="24"/>
        </w:rPr>
      </w:pPr>
      <w:bookmarkStart w:id="18" w:name="_Ref112661390"/>
      <w:r w:rsidRPr="00E61FD4">
        <w:lastRenderedPageBreak/>
        <w:t xml:space="preserve">Figure </w:t>
      </w:r>
      <w:r w:rsidR="00C126C5">
        <w:fldChar w:fldCharType="begin"/>
      </w:r>
      <w:r w:rsidR="00C126C5">
        <w:instrText xml:space="preserve"> SEQ Figure \* ARABIC </w:instrText>
      </w:r>
      <w:r w:rsidR="00C126C5">
        <w:fldChar w:fldCharType="separate"/>
      </w:r>
      <w:r w:rsidR="00E61FD4">
        <w:rPr>
          <w:noProof/>
        </w:rPr>
        <w:t>4</w:t>
      </w:r>
      <w:r w:rsidR="00C126C5">
        <w:rPr>
          <w:noProof/>
        </w:rPr>
        <w:fldChar w:fldCharType="end"/>
      </w:r>
      <w:bookmarkEnd w:id="18"/>
      <w:r w:rsidRPr="00E61FD4">
        <w:t xml:space="preserve"> </w:t>
      </w:r>
      <w:r w:rsidRPr="00E61FD4">
        <w:rPr>
          <w:bCs/>
          <w:szCs w:val="24"/>
        </w:rPr>
        <w:t xml:space="preserve">Subgroup Analysis of the Primary Composite Functional Endpoint </w:t>
      </w:r>
    </w:p>
    <w:p w14:paraId="137AE7B9" w14:textId="77777777" w:rsidR="00C268BA" w:rsidRPr="00E61FD4" w:rsidRDefault="00C268BA" w:rsidP="00C268BA">
      <w:pPr>
        <w:pStyle w:val="C-BodyText"/>
        <w:rPr>
          <w:b/>
          <w:bCs/>
          <w:sz w:val="23"/>
          <w:szCs w:val="23"/>
        </w:rPr>
      </w:pPr>
      <w:r w:rsidRPr="00E61FD4">
        <w:rPr>
          <w:b/>
          <w:bCs/>
          <w:noProof/>
          <w:sz w:val="23"/>
          <w:szCs w:val="23"/>
        </w:rPr>
        <w:drawing>
          <wp:inline distT="0" distB="0" distL="0" distR="0" wp14:anchorId="4B197A00" wp14:editId="2B6A1D14">
            <wp:extent cx="5930900" cy="443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0900" cy="4432300"/>
                    </a:xfrm>
                    <a:prstGeom prst="rect">
                      <a:avLst/>
                    </a:prstGeom>
                    <a:noFill/>
                    <a:ln>
                      <a:noFill/>
                    </a:ln>
                  </pic:spPr>
                </pic:pic>
              </a:graphicData>
            </a:graphic>
          </wp:inline>
        </w:drawing>
      </w:r>
    </w:p>
    <w:p w14:paraId="6D185EB9" w14:textId="77777777" w:rsidR="00C268BA" w:rsidRPr="00E61FD4" w:rsidRDefault="00C268BA" w:rsidP="00C268BA">
      <w:pPr>
        <w:pStyle w:val="Default"/>
        <w:jc w:val="both"/>
        <w:rPr>
          <w:sz w:val="18"/>
          <w:szCs w:val="18"/>
        </w:rPr>
      </w:pPr>
      <w:r w:rsidRPr="00E61FD4">
        <w:rPr>
          <w:sz w:val="18"/>
          <w:szCs w:val="18"/>
        </w:rPr>
        <w:t xml:space="preserve">The dashed vertical line represents the overall treatment </w:t>
      </w:r>
      <w:proofErr w:type="gramStart"/>
      <w:r w:rsidRPr="00E61FD4">
        <w:rPr>
          <w:sz w:val="18"/>
          <w:szCs w:val="18"/>
        </w:rPr>
        <w:t>effect</w:t>
      </w:r>
      <w:proofErr w:type="gramEnd"/>
      <w:r w:rsidRPr="00E61FD4">
        <w:rPr>
          <w:sz w:val="18"/>
          <w:szCs w:val="18"/>
        </w:rPr>
        <w:t xml:space="preserve"> and the solid vertical line (no effect) indicates no difference between treatment groups.  Note: The figure above presents effects in various subgroups, all of which are baseline characteristics. The 95% confidence limits that are shown do not </w:t>
      </w:r>
      <w:proofErr w:type="gramStart"/>
      <w:r w:rsidRPr="00E61FD4">
        <w:rPr>
          <w:sz w:val="18"/>
          <w:szCs w:val="18"/>
        </w:rPr>
        <w:t>take into account</w:t>
      </w:r>
      <w:proofErr w:type="gramEnd"/>
      <w:r w:rsidRPr="00E61FD4">
        <w:rPr>
          <w:sz w:val="18"/>
          <w:szCs w:val="18"/>
        </w:rPr>
        <w:t xml:space="preserve"> the number of comparisons made and may not reflect the effect of a particular factor after adjustment for all other factors. Apparent homogeneity or heterogeneity among groups should not be over-interpreted.</w:t>
      </w:r>
    </w:p>
    <w:p w14:paraId="5A24A818" w14:textId="2A80A4BF" w:rsidR="00C268BA" w:rsidRPr="00E61FD4" w:rsidRDefault="00C268BA" w:rsidP="00C268BA">
      <w:pPr>
        <w:pStyle w:val="C-BodyText"/>
        <w:jc w:val="both"/>
      </w:pPr>
      <w:r w:rsidRPr="00E61FD4">
        <w:rPr>
          <w:bCs/>
          <w:sz w:val="22"/>
          <w:szCs w:val="22"/>
        </w:rPr>
        <w:t xml:space="preserve">The benefit of mavacamten on the primary endpoint was smaller in patients on background beta blocker therapy versus those who were not. </w:t>
      </w:r>
      <w:r w:rsidR="00CC688A" w:rsidRPr="00E61FD4">
        <w:rPr>
          <w:bCs/>
          <w:sz w:val="22"/>
          <w:szCs w:val="22"/>
        </w:rPr>
        <w:t>B</w:t>
      </w:r>
      <w:r w:rsidRPr="00E61FD4">
        <w:rPr>
          <w:bCs/>
          <w:sz w:val="22"/>
          <w:szCs w:val="22"/>
        </w:rPr>
        <w:t>eta blocker therapy blunts heart rate, which attenuates improvements in pVO</w:t>
      </w:r>
      <w:r w:rsidRPr="00E61FD4">
        <w:rPr>
          <w:sz w:val="22"/>
          <w:szCs w:val="22"/>
          <w:vertAlign w:val="subscript"/>
        </w:rPr>
        <w:t>2</w:t>
      </w:r>
      <w:r w:rsidRPr="00E61FD4">
        <w:rPr>
          <w:sz w:val="22"/>
          <w:szCs w:val="22"/>
        </w:rPr>
        <w:t>. A</w:t>
      </w:r>
      <w:r w:rsidRPr="00E61FD4">
        <w:rPr>
          <w:bCs/>
          <w:sz w:val="22"/>
          <w:szCs w:val="22"/>
        </w:rPr>
        <w:t xml:space="preserve">nalyses of other secondary endpoints (symptoms, LVOT gradient) </w:t>
      </w:r>
      <w:r w:rsidRPr="00E61FD4">
        <w:rPr>
          <w:sz w:val="22"/>
          <w:szCs w:val="22"/>
        </w:rPr>
        <w:t>as well as other non-heart rate-dependent cardiopulmonary exercise testing measurements (VE/VCO</w:t>
      </w:r>
      <w:r w:rsidRPr="00E61FD4">
        <w:rPr>
          <w:sz w:val="22"/>
          <w:szCs w:val="22"/>
          <w:vertAlign w:val="subscript"/>
        </w:rPr>
        <w:t>2</w:t>
      </w:r>
      <w:r w:rsidRPr="00E61FD4">
        <w:rPr>
          <w:sz w:val="22"/>
          <w:szCs w:val="22"/>
        </w:rPr>
        <w:t xml:space="preserve"> slope) </w:t>
      </w:r>
      <w:r w:rsidR="00D56416" w:rsidRPr="00E61FD4">
        <w:rPr>
          <w:bCs/>
          <w:sz w:val="22"/>
          <w:szCs w:val="22"/>
        </w:rPr>
        <w:t>suggest</w:t>
      </w:r>
      <w:r w:rsidRPr="00E61FD4">
        <w:rPr>
          <w:bCs/>
          <w:sz w:val="22"/>
          <w:szCs w:val="22"/>
        </w:rPr>
        <w:t xml:space="preserve"> that patients </w:t>
      </w:r>
      <w:r w:rsidR="00D56416" w:rsidRPr="00E61FD4">
        <w:rPr>
          <w:bCs/>
          <w:sz w:val="22"/>
          <w:szCs w:val="22"/>
        </w:rPr>
        <w:t xml:space="preserve">may </w:t>
      </w:r>
      <w:r w:rsidRPr="00E61FD4">
        <w:rPr>
          <w:bCs/>
          <w:sz w:val="22"/>
          <w:szCs w:val="22"/>
        </w:rPr>
        <w:t>benefit from mavacamten treatment regardless of beta blocker use.</w:t>
      </w:r>
    </w:p>
    <w:p w14:paraId="5723A338" w14:textId="7A311F07" w:rsidR="00D53910" w:rsidRPr="00E61FD4" w:rsidRDefault="00D53910" w:rsidP="00946721">
      <w:pPr>
        <w:spacing w:after="120"/>
        <w:rPr>
          <w:rFonts w:cs="Times New Roman"/>
        </w:rPr>
      </w:pPr>
      <w:r w:rsidRPr="00E61FD4">
        <w:rPr>
          <w:rFonts w:cs="Times New Roman"/>
        </w:rPr>
        <w:t xml:space="preserve">The treatment effects of </w:t>
      </w:r>
      <w:r w:rsidR="00E5063D" w:rsidRPr="00E61FD4">
        <w:rPr>
          <w:rFonts w:cs="Times New Roman"/>
        </w:rPr>
        <w:t>CAMZYOS</w:t>
      </w:r>
      <w:r w:rsidR="00211058" w:rsidRPr="00E61FD4">
        <w:rPr>
          <w:rFonts w:cs="Times New Roman"/>
        </w:rPr>
        <w:t xml:space="preserve"> </w:t>
      </w:r>
      <w:r w:rsidRPr="00E61FD4">
        <w:rPr>
          <w:rFonts w:cs="Times New Roman"/>
        </w:rPr>
        <w:t xml:space="preserve">on LVOT obstruction, functional capacity, and health status were assessed by change from baseline through Week 30 in post-exercise LVOT peak gradient, change in pVO2, proportion of patients with improvement in NYHA class, </w:t>
      </w:r>
      <w:proofErr w:type="gramStart"/>
      <w:r w:rsidRPr="00E61FD4">
        <w:rPr>
          <w:rFonts w:cs="Times New Roman"/>
        </w:rPr>
        <w:t>Kansas city</w:t>
      </w:r>
      <w:proofErr w:type="gramEnd"/>
      <w:r w:rsidRPr="00E61FD4">
        <w:rPr>
          <w:rFonts w:cs="Times New Roman"/>
        </w:rPr>
        <w:t xml:space="preserve"> cardiomyopathy questionnaire-23 (KCCQ-23) Clinical summary score (CSS), and Hypertrophic cardiomyopathy symptom questionnaire (HCMSQ) Shortness of breath (</w:t>
      </w:r>
      <w:proofErr w:type="spellStart"/>
      <w:r w:rsidRPr="00E61FD4">
        <w:rPr>
          <w:rFonts w:cs="Times New Roman"/>
        </w:rPr>
        <w:t>SoB</w:t>
      </w:r>
      <w:proofErr w:type="spellEnd"/>
      <w:r w:rsidRPr="00E61FD4">
        <w:rPr>
          <w:rFonts w:cs="Times New Roman"/>
        </w:rPr>
        <w:t xml:space="preserve">) domain score. At Week 30, patients receiving </w:t>
      </w:r>
      <w:r w:rsidR="00E5063D" w:rsidRPr="00E61FD4">
        <w:rPr>
          <w:rFonts w:cs="Times New Roman"/>
        </w:rPr>
        <w:t>CAMZYOS</w:t>
      </w:r>
      <w:r w:rsidR="005B26EA" w:rsidRPr="00E61FD4">
        <w:rPr>
          <w:rFonts w:cs="Times New Roman"/>
        </w:rPr>
        <w:t xml:space="preserve"> </w:t>
      </w:r>
      <w:r w:rsidRPr="00E61FD4">
        <w:rPr>
          <w:rFonts w:cs="Times New Roman"/>
        </w:rPr>
        <w:t>had greater improvement compared to placebo arm across all secondary endpoints (</w:t>
      </w:r>
      <w:r w:rsidR="00393C94" w:rsidRPr="00E61FD4">
        <w:rPr>
          <w:rFonts w:cs="Times New Roman"/>
        </w:rPr>
        <w:t xml:space="preserve">see </w:t>
      </w:r>
      <w:r w:rsidR="00393C94" w:rsidRPr="00E61FD4">
        <w:rPr>
          <w:rFonts w:cs="Times New Roman"/>
        </w:rPr>
        <w:fldChar w:fldCharType="begin"/>
      </w:r>
      <w:r w:rsidR="00393C94" w:rsidRPr="00E61FD4">
        <w:rPr>
          <w:rFonts w:cs="Times New Roman"/>
        </w:rPr>
        <w:instrText xml:space="preserve"> REF _Ref75263851 \h </w:instrText>
      </w:r>
      <w:r w:rsidR="00DD316B" w:rsidRPr="00E61FD4">
        <w:rPr>
          <w:rFonts w:cs="Times New Roman"/>
        </w:rPr>
        <w:instrText xml:space="preserve"> \* MERGEFORMAT </w:instrText>
      </w:r>
      <w:r w:rsidR="00393C94" w:rsidRPr="00E61FD4">
        <w:rPr>
          <w:rFonts w:cs="Times New Roman"/>
        </w:rPr>
      </w:r>
      <w:r w:rsidR="00393C94" w:rsidRPr="00E61FD4">
        <w:rPr>
          <w:rFonts w:cs="Times New Roman"/>
        </w:rPr>
        <w:fldChar w:fldCharType="separate"/>
      </w:r>
      <w:r w:rsidR="00E61FD4" w:rsidRPr="00E61FD4">
        <w:t xml:space="preserve">Table </w:t>
      </w:r>
      <w:r w:rsidR="00E61FD4">
        <w:rPr>
          <w:noProof/>
        </w:rPr>
        <w:t>5</w:t>
      </w:r>
      <w:r w:rsidR="00393C94" w:rsidRPr="00E61FD4">
        <w:rPr>
          <w:rFonts w:cs="Times New Roman"/>
        </w:rPr>
        <w:fldChar w:fldCharType="end"/>
      </w:r>
      <w:r w:rsidR="00393C94" w:rsidRPr="00E61FD4">
        <w:rPr>
          <w:rFonts w:cs="Times New Roman"/>
        </w:rPr>
        <w:t>).</w:t>
      </w:r>
    </w:p>
    <w:p w14:paraId="720EE9B3" w14:textId="34DAFDFE" w:rsidR="00D53910" w:rsidRPr="00E61FD4" w:rsidRDefault="003A222B" w:rsidP="003A222B">
      <w:pPr>
        <w:pStyle w:val="Caption"/>
        <w:keepNext/>
        <w:spacing w:after="0"/>
        <w:jc w:val="left"/>
        <w:rPr>
          <w:szCs w:val="22"/>
        </w:rPr>
      </w:pPr>
      <w:bookmarkStart w:id="19" w:name="_Ref75263851"/>
      <w:bookmarkStart w:id="20" w:name="_Hlk72337694"/>
      <w:bookmarkStart w:id="21" w:name="_Hlk66792276"/>
      <w:bookmarkEnd w:id="17"/>
      <w:r w:rsidRPr="00E61FD4">
        <w:lastRenderedPageBreak/>
        <w:t xml:space="preserve">Table </w:t>
      </w:r>
      <w:r w:rsidRPr="00E61FD4">
        <w:fldChar w:fldCharType="begin"/>
      </w:r>
      <w:r w:rsidRPr="00E61FD4">
        <w:instrText>SEQ Table \* ARABIC</w:instrText>
      </w:r>
      <w:r w:rsidRPr="00E61FD4">
        <w:fldChar w:fldCharType="separate"/>
      </w:r>
      <w:r w:rsidR="00E61FD4">
        <w:rPr>
          <w:noProof/>
        </w:rPr>
        <w:t>5</w:t>
      </w:r>
      <w:r w:rsidRPr="00E61FD4">
        <w:fldChar w:fldCharType="end"/>
      </w:r>
      <w:bookmarkEnd w:id="19"/>
      <w:r w:rsidRPr="00E61FD4">
        <w:t xml:space="preserve"> </w:t>
      </w:r>
      <w:r w:rsidR="00D53910" w:rsidRPr="00E61FD4">
        <w:rPr>
          <w:szCs w:val="22"/>
        </w:rPr>
        <w:t>Analysis of the secondary endpoints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84"/>
        <w:gridCol w:w="1276"/>
      </w:tblGrid>
      <w:tr w:rsidR="00D53910" w:rsidRPr="00E61FD4" w14:paraId="00A101C8" w14:textId="77777777" w:rsidTr="00DB1A44">
        <w:tc>
          <w:tcPr>
            <w:tcW w:w="5949" w:type="dxa"/>
            <w:shd w:val="clear" w:color="auto" w:fill="auto"/>
          </w:tcPr>
          <w:p w14:paraId="41285ED4" w14:textId="77777777" w:rsidR="00D53910" w:rsidRPr="00E61FD4" w:rsidRDefault="00D53910" w:rsidP="003A222B">
            <w:pPr>
              <w:pStyle w:val="C-BodyText"/>
              <w:spacing w:before="0" w:after="0" w:line="240" w:lineRule="auto"/>
              <w:rPr>
                <w:bCs/>
                <w:sz w:val="20"/>
                <w:lang w:val="en-GB"/>
              </w:rPr>
            </w:pPr>
            <w:bookmarkStart w:id="22" w:name="_Hlk72245881"/>
          </w:p>
        </w:tc>
        <w:tc>
          <w:tcPr>
            <w:tcW w:w="1984" w:type="dxa"/>
            <w:shd w:val="clear" w:color="auto" w:fill="auto"/>
          </w:tcPr>
          <w:p w14:paraId="33254944" w14:textId="29479F11" w:rsidR="00D53910" w:rsidRPr="00E61FD4" w:rsidRDefault="00E5063D" w:rsidP="003A222B">
            <w:pPr>
              <w:pStyle w:val="EMEABodyText"/>
              <w:jc w:val="center"/>
              <w:rPr>
                <w:b/>
                <w:bCs/>
                <w:sz w:val="20"/>
              </w:rPr>
            </w:pPr>
            <w:r w:rsidRPr="00E61FD4">
              <w:rPr>
                <w:b/>
                <w:bCs/>
                <w:sz w:val="20"/>
              </w:rPr>
              <w:t>CAMZYOS</w:t>
            </w:r>
            <w:r w:rsidR="005B26EA" w:rsidRPr="00E61FD4">
              <w:rPr>
                <w:b/>
                <w:bCs/>
                <w:sz w:val="20"/>
              </w:rPr>
              <w:t xml:space="preserve"> </w:t>
            </w:r>
          </w:p>
        </w:tc>
        <w:tc>
          <w:tcPr>
            <w:tcW w:w="1276" w:type="dxa"/>
            <w:shd w:val="clear" w:color="auto" w:fill="auto"/>
          </w:tcPr>
          <w:p w14:paraId="38787804" w14:textId="77777777" w:rsidR="00D53910" w:rsidRPr="00E61FD4" w:rsidRDefault="00D53910" w:rsidP="003A222B">
            <w:pPr>
              <w:pStyle w:val="EMEABodyText"/>
              <w:jc w:val="center"/>
              <w:rPr>
                <w:b/>
                <w:sz w:val="20"/>
              </w:rPr>
            </w:pPr>
            <w:r w:rsidRPr="00E61FD4">
              <w:rPr>
                <w:b/>
                <w:sz w:val="20"/>
              </w:rPr>
              <w:t xml:space="preserve">Placebo </w:t>
            </w:r>
            <w:r w:rsidRPr="00E61FD4">
              <w:rPr>
                <w:b/>
                <w:sz w:val="20"/>
              </w:rPr>
              <w:br/>
            </w:r>
          </w:p>
        </w:tc>
      </w:tr>
      <w:tr w:rsidR="00D53910" w:rsidRPr="00E61FD4" w14:paraId="3E26A848" w14:textId="77777777" w:rsidTr="00DB1A44">
        <w:tc>
          <w:tcPr>
            <w:tcW w:w="5949" w:type="dxa"/>
            <w:shd w:val="clear" w:color="auto" w:fill="auto"/>
          </w:tcPr>
          <w:p w14:paraId="3BCDFE58" w14:textId="77777777" w:rsidR="00D53910" w:rsidRPr="00E61FD4" w:rsidRDefault="00D53910" w:rsidP="003A222B">
            <w:pPr>
              <w:pStyle w:val="EMEABodyText"/>
              <w:keepNext/>
              <w:rPr>
                <w:b/>
                <w:sz w:val="20"/>
              </w:rPr>
            </w:pPr>
            <w:r w:rsidRPr="00E61FD4">
              <w:rPr>
                <w:b/>
                <w:bCs/>
                <w:sz w:val="20"/>
              </w:rPr>
              <w:t xml:space="preserve">Change from baseline post-exercise LVOT peak gradient at Week 30, </w:t>
            </w:r>
            <w:r w:rsidRPr="00E61FD4">
              <w:rPr>
                <w:b/>
                <w:sz w:val="20"/>
              </w:rPr>
              <w:t>mmHg</w:t>
            </w:r>
          </w:p>
        </w:tc>
        <w:tc>
          <w:tcPr>
            <w:tcW w:w="1984" w:type="dxa"/>
            <w:shd w:val="clear" w:color="auto" w:fill="auto"/>
            <w:vAlign w:val="center"/>
          </w:tcPr>
          <w:p w14:paraId="68A341A5" w14:textId="77777777" w:rsidR="00D53910" w:rsidRPr="00E61FD4" w:rsidRDefault="00D53910" w:rsidP="003A222B">
            <w:pPr>
              <w:pStyle w:val="EMEABodyText"/>
              <w:jc w:val="center"/>
              <w:rPr>
                <w:bCs/>
                <w:sz w:val="20"/>
              </w:rPr>
            </w:pPr>
            <w:r w:rsidRPr="00E61FD4">
              <w:rPr>
                <w:bCs/>
                <w:sz w:val="20"/>
              </w:rPr>
              <w:t>N = 123</w:t>
            </w:r>
          </w:p>
        </w:tc>
        <w:tc>
          <w:tcPr>
            <w:tcW w:w="1276" w:type="dxa"/>
            <w:shd w:val="clear" w:color="auto" w:fill="auto"/>
            <w:vAlign w:val="center"/>
          </w:tcPr>
          <w:p w14:paraId="5A1A4DC7" w14:textId="77777777" w:rsidR="00D53910" w:rsidRPr="00E61FD4" w:rsidRDefault="00D53910" w:rsidP="003A222B">
            <w:pPr>
              <w:pStyle w:val="EMEABodyText"/>
              <w:jc w:val="center"/>
              <w:rPr>
                <w:bCs/>
                <w:sz w:val="20"/>
              </w:rPr>
            </w:pPr>
            <w:r w:rsidRPr="00E61FD4">
              <w:rPr>
                <w:bCs/>
                <w:sz w:val="20"/>
              </w:rPr>
              <w:t>N = 128</w:t>
            </w:r>
          </w:p>
        </w:tc>
      </w:tr>
      <w:tr w:rsidR="00D53910" w:rsidRPr="00E61FD4" w14:paraId="65F802D2" w14:textId="77777777" w:rsidTr="00DB1A44">
        <w:tc>
          <w:tcPr>
            <w:tcW w:w="5949" w:type="dxa"/>
            <w:shd w:val="clear" w:color="auto" w:fill="auto"/>
          </w:tcPr>
          <w:p w14:paraId="6C129597" w14:textId="77777777" w:rsidR="00D53910" w:rsidRPr="00E61FD4" w:rsidRDefault="00D53910" w:rsidP="00DB1A44">
            <w:pPr>
              <w:pStyle w:val="EMEABodyText"/>
              <w:keepNext/>
              <w:rPr>
                <w:sz w:val="20"/>
              </w:rPr>
            </w:pPr>
            <w:r w:rsidRPr="00E61FD4">
              <w:rPr>
                <w:sz w:val="20"/>
              </w:rPr>
              <w:t>Mean (SD)</w:t>
            </w:r>
          </w:p>
        </w:tc>
        <w:tc>
          <w:tcPr>
            <w:tcW w:w="1984" w:type="dxa"/>
            <w:shd w:val="clear" w:color="auto" w:fill="auto"/>
            <w:vAlign w:val="center"/>
          </w:tcPr>
          <w:p w14:paraId="2001ADFB" w14:textId="77777777" w:rsidR="00D53910" w:rsidRPr="00E61FD4" w:rsidRDefault="00D53910" w:rsidP="00DB1A44">
            <w:pPr>
              <w:pStyle w:val="EMEABodyText"/>
              <w:jc w:val="center"/>
              <w:rPr>
                <w:bCs/>
                <w:sz w:val="20"/>
              </w:rPr>
            </w:pPr>
            <w:r w:rsidRPr="00E61FD4">
              <w:rPr>
                <w:bCs/>
                <w:sz w:val="20"/>
              </w:rPr>
              <w:t>-47 (40)</w:t>
            </w:r>
          </w:p>
        </w:tc>
        <w:tc>
          <w:tcPr>
            <w:tcW w:w="1276" w:type="dxa"/>
            <w:shd w:val="clear" w:color="auto" w:fill="auto"/>
            <w:vAlign w:val="center"/>
          </w:tcPr>
          <w:p w14:paraId="7B7C2DDA" w14:textId="77777777" w:rsidR="00D53910" w:rsidRPr="00E61FD4" w:rsidRDefault="00D53910" w:rsidP="00DB1A44">
            <w:pPr>
              <w:pStyle w:val="EMEABodyText"/>
              <w:jc w:val="center"/>
              <w:rPr>
                <w:bCs/>
                <w:sz w:val="20"/>
              </w:rPr>
            </w:pPr>
            <w:r w:rsidRPr="00E61FD4">
              <w:rPr>
                <w:bCs/>
                <w:sz w:val="20"/>
              </w:rPr>
              <w:t>-10 (30)</w:t>
            </w:r>
          </w:p>
        </w:tc>
      </w:tr>
      <w:tr w:rsidR="00D53910" w:rsidRPr="00E61FD4" w14:paraId="16D14145" w14:textId="77777777" w:rsidTr="00DB1A44">
        <w:tc>
          <w:tcPr>
            <w:tcW w:w="5949" w:type="dxa"/>
            <w:shd w:val="clear" w:color="auto" w:fill="auto"/>
          </w:tcPr>
          <w:p w14:paraId="76913197" w14:textId="77777777" w:rsidR="00D53910" w:rsidRPr="00E61FD4" w:rsidRDefault="00D53910" w:rsidP="00DB1A44">
            <w:pPr>
              <w:pStyle w:val="EMEABodyText"/>
              <w:rPr>
                <w:sz w:val="20"/>
              </w:rPr>
            </w:pPr>
            <w:r w:rsidRPr="00E61FD4">
              <w:rPr>
                <w:sz w:val="20"/>
              </w:rPr>
              <w:t>Treatment difference (95% CI)</w:t>
            </w:r>
          </w:p>
        </w:tc>
        <w:tc>
          <w:tcPr>
            <w:tcW w:w="3260" w:type="dxa"/>
            <w:gridSpan w:val="2"/>
            <w:shd w:val="clear" w:color="auto" w:fill="auto"/>
            <w:vAlign w:val="center"/>
          </w:tcPr>
          <w:p w14:paraId="3B285EFF" w14:textId="77777777" w:rsidR="00D53910" w:rsidRPr="00E61FD4" w:rsidRDefault="00D53910" w:rsidP="00DB1A44">
            <w:pPr>
              <w:pStyle w:val="EMEABodyText"/>
              <w:jc w:val="center"/>
              <w:rPr>
                <w:bCs/>
                <w:sz w:val="20"/>
              </w:rPr>
            </w:pPr>
            <w:r w:rsidRPr="00E61FD4">
              <w:rPr>
                <w:bCs/>
                <w:sz w:val="20"/>
              </w:rPr>
              <w:t>-35 (-43, -28)</w:t>
            </w:r>
          </w:p>
        </w:tc>
      </w:tr>
      <w:tr w:rsidR="00D53910" w:rsidRPr="00E61FD4" w14:paraId="344DB942" w14:textId="77777777" w:rsidTr="00DB1A44">
        <w:tc>
          <w:tcPr>
            <w:tcW w:w="5949" w:type="dxa"/>
            <w:shd w:val="clear" w:color="auto" w:fill="auto"/>
          </w:tcPr>
          <w:p w14:paraId="74C1A55E" w14:textId="77777777" w:rsidR="00D53910" w:rsidRPr="00E61FD4" w:rsidRDefault="00D53910" w:rsidP="00DB1A44">
            <w:pPr>
              <w:pStyle w:val="EMEABodyText"/>
              <w:rPr>
                <w:sz w:val="20"/>
              </w:rPr>
            </w:pPr>
            <w:r w:rsidRPr="00E61FD4">
              <w:rPr>
                <w:sz w:val="20"/>
              </w:rPr>
              <w:t>p-value</w:t>
            </w:r>
          </w:p>
        </w:tc>
        <w:tc>
          <w:tcPr>
            <w:tcW w:w="3260" w:type="dxa"/>
            <w:gridSpan w:val="2"/>
            <w:shd w:val="clear" w:color="auto" w:fill="auto"/>
            <w:vAlign w:val="center"/>
          </w:tcPr>
          <w:p w14:paraId="43F1F4EB" w14:textId="77777777" w:rsidR="00D53910" w:rsidRPr="00E61FD4" w:rsidRDefault="00D53910" w:rsidP="00DB1A44">
            <w:pPr>
              <w:pStyle w:val="EMEABodyText"/>
              <w:jc w:val="center"/>
              <w:rPr>
                <w:bCs/>
                <w:sz w:val="20"/>
              </w:rPr>
            </w:pPr>
            <w:r w:rsidRPr="00E61FD4">
              <w:rPr>
                <w:bCs/>
                <w:sz w:val="20"/>
              </w:rPr>
              <w:t>&lt;0.0001</w:t>
            </w:r>
          </w:p>
        </w:tc>
      </w:tr>
      <w:bookmarkEnd w:id="22"/>
      <w:tr w:rsidR="00D53910" w:rsidRPr="00E61FD4" w14:paraId="4F5B67B5" w14:textId="77777777" w:rsidTr="00DB1A44">
        <w:tc>
          <w:tcPr>
            <w:tcW w:w="5949" w:type="dxa"/>
            <w:shd w:val="clear" w:color="auto" w:fill="auto"/>
          </w:tcPr>
          <w:p w14:paraId="24C8E34F" w14:textId="77777777" w:rsidR="00D53910" w:rsidRPr="00E61FD4" w:rsidRDefault="00D53910" w:rsidP="00DB1A44">
            <w:pPr>
              <w:pStyle w:val="EMEABodyText"/>
              <w:keepNext/>
              <w:rPr>
                <w:b/>
                <w:sz w:val="20"/>
              </w:rPr>
            </w:pPr>
            <w:r w:rsidRPr="00E61FD4">
              <w:rPr>
                <w:b/>
                <w:bCs/>
                <w:sz w:val="20"/>
              </w:rPr>
              <w:t>Change from baseline to Week 30 in pVO</w:t>
            </w:r>
            <w:r w:rsidRPr="00E61FD4">
              <w:rPr>
                <w:b/>
                <w:bCs/>
                <w:sz w:val="20"/>
                <w:vertAlign w:val="subscript"/>
              </w:rPr>
              <w:t>2</w:t>
            </w:r>
            <w:r w:rsidRPr="00E61FD4">
              <w:rPr>
                <w:b/>
                <w:bCs/>
                <w:sz w:val="20"/>
              </w:rPr>
              <w:t xml:space="preserve">, </w:t>
            </w:r>
            <w:r w:rsidRPr="00E61FD4">
              <w:rPr>
                <w:b/>
                <w:sz w:val="20"/>
              </w:rPr>
              <w:t>mL/kg/min</w:t>
            </w:r>
            <w:r w:rsidRPr="00E61FD4">
              <w:rPr>
                <w:b/>
                <w:bCs/>
                <w:sz w:val="20"/>
              </w:rPr>
              <w:t xml:space="preserve"> </w:t>
            </w:r>
          </w:p>
        </w:tc>
        <w:tc>
          <w:tcPr>
            <w:tcW w:w="1984" w:type="dxa"/>
            <w:shd w:val="clear" w:color="auto" w:fill="auto"/>
            <w:vAlign w:val="center"/>
          </w:tcPr>
          <w:p w14:paraId="49C5085E" w14:textId="77777777" w:rsidR="00D53910" w:rsidRPr="00E61FD4" w:rsidRDefault="00D53910" w:rsidP="00DB1A44">
            <w:pPr>
              <w:pStyle w:val="EMEABodyText"/>
              <w:jc w:val="center"/>
              <w:rPr>
                <w:bCs/>
                <w:sz w:val="20"/>
              </w:rPr>
            </w:pPr>
            <w:r w:rsidRPr="00E61FD4">
              <w:rPr>
                <w:bCs/>
                <w:sz w:val="20"/>
              </w:rPr>
              <w:t>N = 123</w:t>
            </w:r>
          </w:p>
        </w:tc>
        <w:tc>
          <w:tcPr>
            <w:tcW w:w="1276" w:type="dxa"/>
            <w:shd w:val="clear" w:color="auto" w:fill="auto"/>
            <w:vAlign w:val="center"/>
          </w:tcPr>
          <w:p w14:paraId="26DEE09B" w14:textId="77777777" w:rsidR="00D53910" w:rsidRPr="00E61FD4" w:rsidRDefault="00D53910" w:rsidP="00DB1A44">
            <w:pPr>
              <w:pStyle w:val="EMEABodyText"/>
              <w:jc w:val="center"/>
              <w:rPr>
                <w:bCs/>
                <w:sz w:val="20"/>
              </w:rPr>
            </w:pPr>
            <w:r w:rsidRPr="00E61FD4">
              <w:rPr>
                <w:bCs/>
                <w:sz w:val="20"/>
              </w:rPr>
              <w:t>N = 128</w:t>
            </w:r>
          </w:p>
        </w:tc>
      </w:tr>
      <w:tr w:rsidR="00D53910" w:rsidRPr="00E61FD4" w14:paraId="112DCFF9" w14:textId="77777777" w:rsidTr="00DB1A44">
        <w:tc>
          <w:tcPr>
            <w:tcW w:w="5949" w:type="dxa"/>
            <w:shd w:val="clear" w:color="auto" w:fill="auto"/>
          </w:tcPr>
          <w:p w14:paraId="00A67CF3" w14:textId="77777777" w:rsidR="00D53910" w:rsidRPr="00E61FD4" w:rsidRDefault="00D53910" w:rsidP="00DB1A44">
            <w:pPr>
              <w:pStyle w:val="EMEABodyText"/>
              <w:keepNext/>
              <w:rPr>
                <w:b/>
                <w:bCs/>
                <w:sz w:val="20"/>
              </w:rPr>
            </w:pPr>
            <w:r w:rsidRPr="00E61FD4">
              <w:rPr>
                <w:sz w:val="20"/>
              </w:rPr>
              <w:t>Mean (SD)</w:t>
            </w:r>
          </w:p>
        </w:tc>
        <w:tc>
          <w:tcPr>
            <w:tcW w:w="1984" w:type="dxa"/>
            <w:shd w:val="clear" w:color="auto" w:fill="auto"/>
            <w:vAlign w:val="center"/>
          </w:tcPr>
          <w:p w14:paraId="0E1422DD" w14:textId="77777777" w:rsidR="00D53910" w:rsidRPr="00E61FD4" w:rsidRDefault="00D53910" w:rsidP="00DB1A44">
            <w:pPr>
              <w:pStyle w:val="EMEABodyText"/>
              <w:jc w:val="center"/>
              <w:rPr>
                <w:bCs/>
                <w:sz w:val="20"/>
              </w:rPr>
            </w:pPr>
            <w:r w:rsidRPr="00E61FD4">
              <w:rPr>
                <w:bCs/>
                <w:sz w:val="20"/>
              </w:rPr>
              <w:t>1.4 (3)</w:t>
            </w:r>
          </w:p>
        </w:tc>
        <w:tc>
          <w:tcPr>
            <w:tcW w:w="1276" w:type="dxa"/>
            <w:shd w:val="clear" w:color="auto" w:fill="auto"/>
            <w:vAlign w:val="center"/>
          </w:tcPr>
          <w:p w14:paraId="358A2EAF" w14:textId="77777777" w:rsidR="00D53910" w:rsidRPr="00E61FD4" w:rsidRDefault="00D53910" w:rsidP="00DB1A44">
            <w:pPr>
              <w:pStyle w:val="EMEABodyText"/>
              <w:jc w:val="center"/>
              <w:rPr>
                <w:bCs/>
                <w:sz w:val="20"/>
              </w:rPr>
            </w:pPr>
            <w:r w:rsidRPr="00E61FD4">
              <w:rPr>
                <w:bCs/>
                <w:sz w:val="20"/>
              </w:rPr>
              <w:t>-0.05 (3)</w:t>
            </w:r>
          </w:p>
        </w:tc>
      </w:tr>
      <w:tr w:rsidR="00D53910" w:rsidRPr="00E61FD4" w14:paraId="0383995D" w14:textId="77777777" w:rsidTr="00DB1A44">
        <w:tc>
          <w:tcPr>
            <w:tcW w:w="5949" w:type="dxa"/>
            <w:shd w:val="clear" w:color="auto" w:fill="auto"/>
          </w:tcPr>
          <w:p w14:paraId="25903DE7" w14:textId="77777777" w:rsidR="00D53910" w:rsidRPr="00E61FD4" w:rsidRDefault="00D53910" w:rsidP="00DB1A44">
            <w:pPr>
              <w:pStyle w:val="EMEABodyText"/>
              <w:rPr>
                <w:sz w:val="20"/>
              </w:rPr>
            </w:pPr>
            <w:r w:rsidRPr="00E61FD4">
              <w:rPr>
                <w:sz w:val="20"/>
              </w:rPr>
              <w:t>Treatment difference (95% CI)</w:t>
            </w:r>
          </w:p>
        </w:tc>
        <w:tc>
          <w:tcPr>
            <w:tcW w:w="3260" w:type="dxa"/>
            <w:gridSpan w:val="2"/>
            <w:shd w:val="clear" w:color="auto" w:fill="auto"/>
            <w:vAlign w:val="center"/>
          </w:tcPr>
          <w:p w14:paraId="29A39478" w14:textId="77777777" w:rsidR="00D53910" w:rsidRPr="00E61FD4" w:rsidRDefault="00D53910" w:rsidP="00DB1A44">
            <w:pPr>
              <w:pStyle w:val="EMEABodyText"/>
              <w:jc w:val="center"/>
              <w:rPr>
                <w:bCs/>
                <w:sz w:val="20"/>
              </w:rPr>
            </w:pPr>
            <w:r w:rsidRPr="00E61FD4">
              <w:rPr>
                <w:bCs/>
                <w:sz w:val="20"/>
              </w:rPr>
              <w:t>1.4 (0.6, 2)</w:t>
            </w:r>
          </w:p>
        </w:tc>
      </w:tr>
      <w:tr w:rsidR="00D53910" w:rsidRPr="00E61FD4" w14:paraId="5ECEA290" w14:textId="77777777" w:rsidTr="00DB1A44">
        <w:tc>
          <w:tcPr>
            <w:tcW w:w="5949" w:type="dxa"/>
            <w:shd w:val="clear" w:color="auto" w:fill="auto"/>
          </w:tcPr>
          <w:p w14:paraId="6A9F2920" w14:textId="77777777" w:rsidR="00D53910" w:rsidRPr="00E61FD4" w:rsidRDefault="00D53910" w:rsidP="00DB1A44">
            <w:pPr>
              <w:pStyle w:val="EMEABodyText"/>
              <w:rPr>
                <w:sz w:val="20"/>
              </w:rPr>
            </w:pPr>
            <w:r w:rsidRPr="00E61FD4">
              <w:rPr>
                <w:sz w:val="20"/>
              </w:rPr>
              <w:t>p-value</w:t>
            </w:r>
          </w:p>
        </w:tc>
        <w:tc>
          <w:tcPr>
            <w:tcW w:w="3260" w:type="dxa"/>
            <w:gridSpan w:val="2"/>
            <w:shd w:val="clear" w:color="auto" w:fill="auto"/>
            <w:vAlign w:val="center"/>
          </w:tcPr>
          <w:p w14:paraId="76F98E22" w14:textId="77777777" w:rsidR="00D53910" w:rsidRPr="00E61FD4" w:rsidRDefault="00D53910" w:rsidP="00DB1A44">
            <w:pPr>
              <w:pStyle w:val="EMEABodyText"/>
              <w:jc w:val="center"/>
              <w:rPr>
                <w:bCs/>
                <w:sz w:val="20"/>
              </w:rPr>
            </w:pPr>
            <w:r w:rsidRPr="00E61FD4">
              <w:rPr>
                <w:bCs/>
                <w:sz w:val="20"/>
              </w:rPr>
              <w:t>&lt;0.0006</w:t>
            </w:r>
          </w:p>
        </w:tc>
      </w:tr>
      <w:tr w:rsidR="00D53910" w:rsidRPr="00E61FD4" w14:paraId="76D1A7DD" w14:textId="77777777" w:rsidTr="00DB1A44">
        <w:tc>
          <w:tcPr>
            <w:tcW w:w="5949" w:type="dxa"/>
            <w:shd w:val="clear" w:color="auto" w:fill="auto"/>
          </w:tcPr>
          <w:p w14:paraId="383F6407" w14:textId="77777777" w:rsidR="00D53910" w:rsidRPr="00E61FD4" w:rsidRDefault="00D53910" w:rsidP="00DB1A44">
            <w:pPr>
              <w:pStyle w:val="EMEABodyText"/>
              <w:keepNext/>
              <w:rPr>
                <w:b/>
                <w:sz w:val="20"/>
              </w:rPr>
            </w:pPr>
            <w:r w:rsidRPr="00E61FD4">
              <w:rPr>
                <w:b/>
                <w:bCs/>
                <w:sz w:val="20"/>
              </w:rPr>
              <w:t>Patients with improvement of NYHA class ≥ 1 at Week 30</w:t>
            </w:r>
            <w:r w:rsidRPr="00E61FD4">
              <w:rPr>
                <w:b/>
                <w:bCs/>
                <w:sz w:val="20"/>
                <w:vertAlign w:val="superscript"/>
              </w:rPr>
              <w:t xml:space="preserve"> </w:t>
            </w:r>
          </w:p>
        </w:tc>
        <w:tc>
          <w:tcPr>
            <w:tcW w:w="1984" w:type="dxa"/>
            <w:shd w:val="clear" w:color="auto" w:fill="auto"/>
            <w:vAlign w:val="center"/>
          </w:tcPr>
          <w:p w14:paraId="72ED21BA" w14:textId="77777777" w:rsidR="00D53910" w:rsidRPr="00E61FD4" w:rsidRDefault="00D53910" w:rsidP="00DB1A44">
            <w:pPr>
              <w:pStyle w:val="EMEABodyText"/>
              <w:jc w:val="center"/>
              <w:rPr>
                <w:bCs/>
                <w:sz w:val="20"/>
              </w:rPr>
            </w:pPr>
            <w:r w:rsidRPr="00E61FD4">
              <w:rPr>
                <w:bCs/>
                <w:sz w:val="20"/>
              </w:rPr>
              <w:t>N = 123</w:t>
            </w:r>
          </w:p>
        </w:tc>
        <w:tc>
          <w:tcPr>
            <w:tcW w:w="1276" w:type="dxa"/>
            <w:shd w:val="clear" w:color="auto" w:fill="auto"/>
            <w:vAlign w:val="center"/>
          </w:tcPr>
          <w:p w14:paraId="0E33DDD3" w14:textId="77777777" w:rsidR="00D53910" w:rsidRPr="00E61FD4" w:rsidRDefault="00D53910" w:rsidP="00DB1A44">
            <w:pPr>
              <w:pStyle w:val="EMEABodyText"/>
              <w:jc w:val="center"/>
              <w:rPr>
                <w:bCs/>
                <w:sz w:val="20"/>
              </w:rPr>
            </w:pPr>
            <w:r w:rsidRPr="00E61FD4">
              <w:rPr>
                <w:bCs/>
                <w:sz w:val="20"/>
              </w:rPr>
              <w:t>N = 128</w:t>
            </w:r>
          </w:p>
        </w:tc>
      </w:tr>
      <w:tr w:rsidR="00D53910" w:rsidRPr="00E61FD4" w14:paraId="6A4D4084" w14:textId="77777777" w:rsidTr="00DB1A44">
        <w:tc>
          <w:tcPr>
            <w:tcW w:w="5949" w:type="dxa"/>
            <w:shd w:val="clear" w:color="auto" w:fill="auto"/>
          </w:tcPr>
          <w:p w14:paraId="6421BCAC" w14:textId="77777777" w:rsidR="00D53910" w:rsidRPr="00E61FD4" w:rsidRDefault="00D53910" w:rsidP="00DB1A44">
            <w:pPr>
              <w:pStyle w:val="EMEABodyText"/>
              <w:keepNext/>
              <w:rPr>
                <w:sz w:val="20"/>
              </w:rPr>
            </w:pPr>
            <w:r w:rsidRPr="00E61FD4">
              <w:rPr>
                <w:sz w:val="20"/>
              </w:rPr>
              <w:t>N, (%)</w:t>
            </w:r>
          </w:p>
        </w:tc>
        <w:tc>
          <w:tcPr>
            <w:tcW w:w="1984" w:type="dxa"/>
            <w:shd w:val="clear" w:color="auto" w:fill="auto"/>
            <w:vAlign w:val="center"/>
          </w:tcPr>
          <w:p w14:paraId="7D500831" w14:textId="77777777" w:rsidR="00D53910" w:rsidRPr="00E61FD4" w:rsidRDefault="00D53910" w:rsidP="00DB1A44">
            <w:pPr>
              <w:pStyle w:val="EMEABodyText"/>
              <w:jc w:val="center"/>
              <w:rPr>
                <w:bCs/>
                <w:sz w:val="20"/>
              </w:rPr>
            </w:pPr>
            <w:r w:rsidRPr="00E61FD4">
              <w:rPr>
                <w:bCs/>
                <w:sz w:val="20"/>
              </w:rPr>
              <w:t>80 (65%)</w:t>
            </w:r>
          </w:p>
        </w:tc>
        <w:tc>
          <w:tcPr>
            <w:tcW w:w="1276" w:type="dxa"/>
            <w:shd w:val="clear" w:color="auto" w:fill="auto"/>
            <w:vAlign w:val="center"/>
          </w:tcPr>
          <w:p w14:paraId="02574DB8" w14:textId="77777777" w:rsidR="00D53910" w:rsidRPr="00E61FD4" w:rsidRDefault="00D53910" w:rsidP="00DB1A44">
            <w:pPr>
              <w:pStyle w:val="EMEABodyText"/>
              <w:jc w:val="center"/>
              <w:rPr>
                <w:bCs/>
                <w:sz w:val="20"/>
              </w:rPr>
            </w:pPr>
            <w:r w:rsidRPr="00E61FD4">
              <w:rPr>
                <w:bCs/>
                <w:sz w:val="20"/>
              </w:rPr>
              <w:t>40 (31%)</w:t>
            </w:r>
          </w:p>
        </w:tc>
      </w:tr>
      <w:tr w:rsidR="00D53910" w:rsidRPr="00E61FD4" w14:paraId="03F503BF" w14:textId="77777777" w:rsidTr="00DB1A44">
        <w:tc>
          <w:tcPr>
            <w:tcW w:w="5949" w:type="dxa"/>
            <w:shd w:val="clear" w:color="auto" w:fill="auto"/>
          </w:tcPr>
          <w:p w14:paraId="30B0FC65" w14:textId="77777777" w:rsidR="00D53910" w:rsidRPr="00E61FD4" w:rsidRDefault="00D53910" w:rsidP="00DB1A44">
            <w:pPr>
              <w:pStyle w:val="EMEABodyText"/>
              <w:rPr>
                <w:sz w:val="20"/>
              </w:rPr>
            </w:pPr>
            <w:r w:rsidRPr="00E61FD4">
              <w:rPr>
                <w:sz w:val="20"/>
              </w:rPr>
              <w:t>Treatment difference (95% CI)</w:t>
            </w:r>
          </w:p>
        </w:tc>
        <w:tc>
          <w:tcPr>
            <w:tcW w:w="3260" w:type="dxa"/>
            <w:gridSpan w:val="2"/>
            <w:shd w:val="clear" w:color="auto" w:fill="auto"/>
            <w:vAlign w:val="center"/>
          </w:tcPr>
          <w:p w14:paraId="10CF8383" w14:textId="77777777" w:rsidR="00D53910" w:rsidRPr="00E61FD4" w:rsidRDefault="00D53910" w:rsidP="00DB1A44">
            <w:pPr>
              <w:pStyle w:val="EMEABodyText"/>
              <w:jc w:val="center"/>
              <w:rPr>
                <w:bCs/>
                <w:sz w:val="20"/>
              </w:rPr>
            </w:pPr>
            <w:r w:rsidRPr="00E61FD4">
              <w:rPr>
                <w:bCs/>
                <w:sz w:val="20"/>
              </w:rPr>
              <w:t>34 (22, 45)</w:t>
            </w:r>
          </w:p>
        </w:tc>
      </w:tr>
      <w:tr w:rsidR="00D53910" w:rsidRPr="00E61FD4" w14:paraId="32992002" w14:textId="77777777" w:rsidTr="00DB1A44">
        <w:tc>
          <w:tcPr>
            <w:tcW w:w="5949" w:type="dxa"/>
            <w:shd w:val="clear" w:color="auto" w:fill="auto"/>
          </w:tcPr>
          <w:p w14:paraId="699D70FA" w14:textId="77777777" w:rsidR="00D53910" w:rsidRPr="00E61FD4" w:rsidRDefault="00D53910" w:rsidP="00DB1A44">
            <w:pPr>
              <w:pStyle w:val="EMEABodyText"/>
              <w:rPr>
                <w:sz w:val="20"/>
              </w:rPr>
            </w:pPr>
            <w:r w:rsidRPr="00E61FD4">
              <w:rPr>
                <w:sz w:val="20"/>
              </w:rPr>
              <w:t>p-value</w:t>
            </w:r>
          </w:p>
        </w:tc>
        <w:tc>
          <w:tcPr>
            <w:tcW w:w="3260" w:type="dxa"/>
            <w:gridSpan w:val="2"/>
            <w:shd w:val="clear" w:color="auto" w:fill="auto"/>
            <w:vAlign w:val="center"/>
          </w:tcPr>
          <w:p w14:paraId="580428AB" w14:textId="77777777" w:rsidR="00D53910" w:rsidRPr="00E61FD4" w:rsidRDefault="00D53910" w:rsidP="00DB1A44">
            <w:pPr>
              <w:pStyle w:val="EMEABodyText"/>
              <w:jc w:val="center"/>
              <w:rPr>
                <w:bCs/>
                <w:sz w:val="20"/>
              </w:rPr>
            </w:pPr>
            <w:r w:rsidRPr="00E61FD4">
              <w:rPr>
                <w:bCs/>
                <w:sz w:val="20"/>
              </w:rPr>
              <w:t>&lt;0.0001</w:t>
            </w:r>
          </w:p>
        </w:tc>
      </w:tr>
      <w:tr w:rsidR="00D53910" w:rsidRPr="00E61FD4" w14:paraId="2ABA3D81" w14:textId="77777777" w:rsidTr="00DB1A44">
        <w:tc>
          <w:tcPr>
            <w:tcW w:w="5949" w:type="dxa"/>
            <w:shd w:val="clear" w:color="auto" w:fill="auto"/>
          </w:tcPr>
          <w:p w14:paraId="376DB82E" w14:textId="77777777" w:rsidR="00D53910" w:rsidRPr="00E61FD4" w:rsidRDefault="00D53910" w:rsidP="00DB1A44">
            <w:pPr>
              <w:pStyle w:val="EMEABodyText"/>
              <w:rPr>
                <w:b/>
                <w:bCs/>
                <w:sz w:val="20"/>
              </w:rPr>
            </w:pPr>
            <w:r w:rsidRPr="00E61FD4">
              <w:rPr>
                <w:b/>
                <w:bCs/>
                <w:sz w:val="20"/>
              </w:rPr>
              <w:t>Change from baseline to Week 30 in KCCQ-23 CSS†</w:t>
            </w:r>
          </w:p>
        </w:tc>
        <w:tc>
          <w:tcPr>
            <w:tcW w:w="1984" w:type="dxa"/>
            <w:shd w:val="clear" w:color="auto" w:fill="auto"/>
            <w:vAlign w:val="center"/>
          </w:tcPr>
          <w:p w14:paraId="073F932F" w14:textId="77777777" w:rsidR="00D53910" w:rsidRPr="00E61FD4" w:rsidRDefault="00D53910" w:rsidP="00DB1A44">
            <w:pPr>
              <w:pStyle w:val="EMEABodyText"/>
              <w:jc w:val="center"/>
              <w:rPr>
                <w:bCs/>
                <w:sz w:val="20"/>
              </w:rPr>
            </w:pPr>
            <w:r w:rsidRPr="00E61FD4">
              <w:rPr>
                <w:bCs/>
                <w:sz w:val="20"/>
              </w:rPr>
              <w:t xml:space="preserve">N = 92 </w:t>
            </w:r>
          </w:p>
        </w:tc>
        <w:tc>
          <w:tcPr>
            <w:tcW w:w="1276" w:type="dxa"/>
            <w:shd w:val="clear" w:color="auto" w:fill="auto"/>
            <w:vAlign w:val="center"/>
          </w:tcPr>
          <w:p w14:paraId="2CFE16B7" w14:textId="77777777" w:rsidR="00D53910" w:rsidRPr="00E61FD4" w:rsidRDefault="00D53910" w:rsidP="00DB1A44">
            <w:pPr>
              <w:pStyle w:val="EMEABodyText"/>
              <w:jc w:val="center"/>
              <w:rPr>
                <w:bCs/>
                <w:sz w:val="20"/>
              </w:rPr>
            </w:pPr>
            <w:r w:rsidRPr="00E61FD4">
              <w:rPr>
                <w:bCs/>
                <w:sz w:val="20"/>
              </w:rPr>
              <w:t>N = 88</w:t>
            </w:r>
          </w:p>
        </w:tc>
      </w:tr>
      <w:tr w:rsidR="00D53910" w:rsidRPr="00E61FD4" w14:paraId="7BF68510" w14:textId="77777777" w:rsidTr="00DB1A44">
        <w:tc>
          <w:tcPr>
            <w:tcW w:w="5949" w:type="dxa"/>
            <w:shd w:val="clear" w:color="auto" w:fill="auto"/>
          </w:tcPr>
          <w:p w14:paraId="45D63B3B" w14:textId="77777777" w:rsidR="00D53910" w:rsidRPr="00E61FD4" w:rsidRDefault="00D53910" w:rsidP="00DB1A44">
            <w:pPr>
              <w:pStyle w:val="EMEABodyText"/>
              <w:rPr>
                <w:sz w:val="20"/>
              </w:rPr>
            </w:pPr>
            <w:r w:rsidRPr="00E61FD4">
              <w:rPr>
                <w:sz w:val="20"/>
              </w:rPr>
              <w:t>Mean (SD)</w:t>
            </w:r>
          </w:p>
        </w:tc>
        <w:tc>
          <w:tcPr>
            <w:tcW w:w="1984" w:type="dxa"/>
            <w:shd w:val="clear" w:color="auto" w:fill="auto"/>
            <w:vAlign w:val="center"/>
          </w:tcPr>
          <w:p w14:paraId="46AB1735" w14:textId="77777777" w:rsidR="00D53910" w:rsidRPr="00E61FD4" w:rsidRDefault="00D53910" w:rsidP="00DB1A44">
            <w:pPr>
              <w:pStyle w:val="EMEABodyText"/>
              <w:jc w:val="center"/>
              <w:rPr>
                <w:bCs/>
                <w:sz w:val="20"/>
              </w:rPr>
            </w:pPr>
            <w:r w:rsidRPr="00E61FD4">
              <w:rPr>
                <w:bCs/>
                <w:sz w:val="20"/>
              </w:rPr>
              <w:t>14 (14)</w:t>
            </w:r>
          </w:p>
        </w:tc>
        <w:tc>
          <w:tcPr>
            <w:tcW w:w="1276" w:type="dxa"/>
            <w:shd w:val="clear" w:color="auto" w:fill="auto"/>
            <w:vAlign w:val="center"/>
          </w:tcPr>
          <w:p w14:paraId="2CA61EC0" w14:textId="77777777" w:rsidR="00D53910" w:rsidRPr="00E61FD4" w:rsidRDefault="00D53910" w:rsidP="00DB1A44">
            <w:pPr>
              <w:pStyle w:val="EMEABodyText"/>
              <w:jc w:val="center"/>
              <w:rPr>
                <w:bCs/>
                <w:sz w:val="20"/>
              </w:rPr>
            </w:pPr>
            <w:r w:rsidRPr="00E61FD4">
              <w:rPr>
                <w:bCs/>
                <w:sz w:val="20"/>
              </w:rPr>
              <w:t>4 (14)</w:t>
            </w:r>
          </w:p>
        </w:tc>
      </w:tr>
      <w:tr w:rsidR="00D53910" w:rsidRPr="00E61FD4" w14:paraId="72BD7DFF" w14:textId="77777777" w:rsidTr="00DB1A44">
        <w:tc>
          <w:tcPr>
            <w:tcW w:w="5949" w:type="dxa"/>
            <w:shd w:val="clear" w:color="auto" w:fill="auto"/>
          </w:tcPr>
          <w:p w14:paraId="3B5BA46F" w14:textId="77777777" w:rsidR="00D53910" w:rsidRPr="00E61FD4" w:rsidRDefault="00D53910" w:rsidP="00DB1A44">
            <w:pPr>
              <w:pStyle w:val="EMEABodyText"/>
              <w:rPr>
                <w:sz w:val="20"/>
              </w:rPr>
            </w:pPr>
            <w:r w:rsidRPr="00E61FD4">
              <w:rPr>
                <w:sz w:val="20"/>
              </w:rPr>
              <w:t>Treatment difference (95% CI)</w:t>
            </w:r>
          </w:p>
        </w:tc>
        <w:tc>
          <w:tcPr>
            <w:tcW w:w="3260" w:type="dxa"/>
            <w:gridSpan w:val="2"/>
            <w:shd w:val="clear" w:color="auto" w:fill="auto"/>
            <w:vAlign w:val="center"/>
          </w:tcPr>
          <w:p w14:paraId="45C00646" w14:textId="77777777" w:rsidR="00D53910" w:rsidRPr="00E61FD4" w:rsidRDefault="00D53910" w:rsidP="00DB1A44">
            <w:pPr>
              <w:pStyle w:val="EMEABodyText"/>
              <w:jc w:val="center"/>
              <w:rPr>
                <w:bCs/>
                <w:sz w:val="20"/>
              </w:rPr>
            </w:pPr>
            <w:r w:rsidRPr="00E61FD4">
              <w:rPr>
                <w:bCs/>
                <w:sz w:val="20"/>
              </w:rPr>
              <w:t>9 (5, 13)</w:t>
            </w:r>
          </w:p>
        </w:tc>
      </w:tr>
      <w:tr w:rsidR="00D53910" w:rsidRPr="00E61FD4" w14:paraId="77F63A26" w14:textId="77777777" w:rsidTr="00DB1A44">
        <w:tc>
          <w:tcPr>
            <w:tcW w:w="5949" w:type="dxa"/>
            <w:shd w:val="clear" w:color="auto" w:fill="auto"/>
          </w:tcPr>
          <w:p w14:paraId="6A97A648" w14:textId="77777777" w:rsidR="00D53910" w:rsidRPr="00E61FD4" w:rsidRDefault="00D53910" w:rsidP="00DB1A44">
            <w:pPr>
              <w:pStyle w:val="EMEABodyText"/>
              <w:rPr>
                <w:sz w:val="20"/>
              </w:rPr>
            </w:pPr>
            <w:r w:rsidRPr="00E61FD4">
              <w:rPr>
                <w:sz w:val="20"/>
              </w:rPr>
              <w:t>p-value</w:t>
            </w:r>
          </w:p>
        </w:tc>
        <w:tc>
          <w:tcPr>
            <w:tcW w:w="3260" w:type="dxa"/>
            <w:gridSpan w:val="2"/>
            <w:shd w:val="clear" w:color="auto" w:fill="auto"/>
            <w:vAlign w:val="center"/>
          </w:tcPr>
          <w:p w14:paraId="56D301BB" w14:textId="77777777" w:rsidR="00D53910" w:rsidRPr="00E61FD4" w:rsidRDefault="00D53910" w:rsidP="00DB1A44">
            <w:pPr>
              <w:pStyle w:val="EMEABodyText"/>
              <w:jc w:val="center"/>
              <w:rPr>
                <w:bCs/>
                <w:sz w:val="20"/>
              </w:rPr>
            </w:pPr>
            <w:r w:rsidRPr="00E61FD4">
              <w:rPr>
                <w:bCs/>
                <w:sz w:val="20"/>
              </w:rPr>
              <w:t>&lt;0.0001</w:t>
            </w:r>
          </w:p>
        </w:tc>
      </w:tr>
      <w:tr w:rsidR="00D53910" w:rsidRPr="00E61FD4" w14:paraId="34D88E79" w14:textId="77777777" w:rsidTr="00DB1A44">
        <w:tc>
          <w:tcPr>
            <w:tcW w:w="5949" w:type="dxa"/>
            <w:shd w:val="clear" w:color="auto" w:fill="auto"/>
            <w:vAlign w:val="center"/>
          </w:tcPr>
          <w:p w14:paraId="3C21AE21" w14:textId="77777777" w:rsidR="00D53910" w:rsidRPr="00E61FD4" w:rsidRDefault="00D53910" w:rsidP="00DB1A44">
            <w:pPr>
              <w:pStyle w:val="EMEABodyText"/>
              <w:ind w:left="168"/>
              <w:rPr>
                <w:bCs/>
                <w:sz w:val="20"/>
              </w:rPr>
            </w:pPr>
            <w:r w:rsidRPr="00E61FD4">
              <w:rPr>
                <w:b/>
                <w:bCs/>
                <w:sz w:val="20"/>
              </w:rPr>
              <w:t>Baseline</w:t>
            </w:r>
          </w:p>
        </w:tc>
        <w:tc>
          <w:tcPr>
            <w:tcW w:w="1984" w:type="dxa"/>
            <w:shd w:val="clear" w:color="auto" w:fill="auto"/>
            <w:vAlign w:val="center"/>
          </w:tcPr>
          <w:p w14:paraId="7321F83C" w14:textId="77777777" w:rsidR="00D53910" w:rsidRPr="00E61FD4" w:rsidRDefault="00D53910" w:rsidP="00DB1A44">
            <w:pPr>
              <w:pStyle w:val="EMEABodyText"/>
              <w:jc w:val="center"/>
              <w:rPr>
                <w:bCs/>
                <w:sz w:val="20"/>
              </w:rPr>
            </w:pPr>
            <w:r w:rsidRPr="00E61FD4">
              <w:rPr>
                <w:bCs/>
                <w:sz w:val="20"/>
              </w:rPr>
              <w:t>N = 99</w:t>
            </w:r>
          </w:p>
        </w:tc>
        <w:tc>
          <w:tcPr>
            <w:tcW w:w="1276" w:type="dxa"/>
            <w:shd w:val="clear" w:color="auto" w:fill="auto"/>
            <w:vAlign w:val="center"/>
          </w:tcPr>
          <w:p w14:paraId="793D043D" w14:textId="77777777" w:rsidR="00D53910" w:rsidRPr="00E61FD4" w:rsidRDefault="00D53910" w:rsidP="00DB1A44">
            <w:pPr>
              <w:pStyle w:val="EMEABodyText"/>
              <w:jc w:val="center"/>
              <w:rPr>
                <w:bCs/>
                <w:sz w:val="20"/>
              </w:rPr>
            </w:pPr>
            <w:r w:rsidRPr="00E61FD4">
              <w:rPr>
                <w:bCs/>
                <w:sz w:val="20"/>
              </w:rPr>
              <w:t>N = 97</w:t>
            </w:r>
          </w:p>
        </w:tc>
      </w:tr>
      <w:tr w:rsidR="00D53910" w:rsidRPr="00E61FD4" w14:paraId="74F920DB" w14:textId="77777777" w:rsidTr="00DB1A44">
        <w:tc>
          <w:tcPr>
            <w:tcW w:w="5949" w:type="dxa"/>
            <w:shd w:val="clear" w:color="auto" w:fill="auto"/>
            <w:vAlign w:val="center"/>
          </w:tcPr>
          <w:p w14:paraId="72DE8A9A" w14:textId="77777777" w:rsidR="00D53910" w:rsidRPr="00E61FD4" w:rsidRDefault="00D53910" w:rsidP="00DB1A44">
            <w:pPr>
              <w:pStyle w:val="EMEABodyText"/>
              <w:ind w:left="168"/>
              <w:rPr>
                <w:bCs/>
                <w:sz w:val="20"/>
              </w:rPr>
            </w:pPr>
            <w:r w:rsidRPr="00E61FD4">
              <w:rPr>
                <w:sz w:val="20"/>
              </w:rPr>
              <w:t>Mean (SD)</w:t>
            </w:r>
          </w:p>
        </w:tc>
        <w:tc>
          <w:tcPr>
            <w:tcW w:w="1984" w:type="dxa"/>
            <w:shd w:val="clear" w:color="auto" w:fill="auto"/>
            <w:vAlign w:val="center"/>
          </w:tcPr>
          <w:p w14:paraId="5E781D32" w14:textId="77777777" w:rsidR="00D53910" w:rsidRPr="00E61FD4" w:rsidRDefault="00D53910" w:rsidP="00DB1A44">
            <w:pPr>
              <w:pStyle w:val="EMEABodyText"/>
              <w:jc w:val="center"/>
              <w:rPr>
                <w:bCs/>
                <w:sz w:val="20"/>
              </w:rPr>
            </w:pPr>
            <w:r w:rsidRPr="00E61FD4">
              <w:rPr>
                <w:bCs/>
                <w:sz w:val="20"/>
              </w:rPr>
              <w:t>71 (16)</w:t>
            </w:r>
          </w:p>
        </w:tc>
        <w:tc>
          <w:tcPr>
            <w:tcW w:w="1276" w:type="dxa"/>
            <w:shd w:val="clear" w:color="auto" w:fill="auto"/>
            <w:vAlign w:val="center"/>
          </w:tcPr>
          <w:p w14:paraId="4104ECB1" w14:textId="77777777" w:rsidR="00D53910" w:rsidRPr="00E61FD4" w:rsidRDefault="00D53910" w:rsidP="00DB1A44">
            <w:pPr>
              <w:pStyle w:val="EMEABodyText"/>
              <w:jc w:val="center"/>
              <w:rPr>
                <w:bCs/>
                <w:sz w:val="20"/>
              </w:rPr>
            </w:pPr>
            <w:r w:rsidRPr="00E61FD4">
              <w:rPr>
                <w:bCs/>
                <w:sz w:val="20"/>
              </w:rPr>
              <w:t>71 (19)</w:t>
            </w:r>
          </w:p>
        </w:tc>
      </w:tr>
      <w:tr w:rsidR="00D53910" w:rsidRPr="00E61FD4" w14:paraId="60622E39" w14:textId="77777777" w:rsidTr="00DB1A44">
        <w:tc>
          <w:tcPr>
            <w:tcW w:w="5949" w:type="dxa"/>
            <w:shd w:val="clear" w:color="auto" w:fill="auto"/>
          </w:tcPr>
          <w:p w14:paraId="146E7A9B" w14:textId="77777777" w:rsidR="00D53910" w:rsidRPr="00E61FD4" w:rsidRDefault="00D53910" w:rsidP="00DB1A44">
            <w:pPr>
              <w:pStyle w:val="EMEABodyText"/>
              <w:ind w:left="168"/>
              <w:rPr>
                <w:bCs/>
                <w:sz w:val="20"/>
              </w:rPr>
            </w:pPr>
            <w:r w:rsidRPr="00E61FD4">
              <w:rPr>
                <w:b/>
                <w:bCs/>
                <w:sz w:val="20"/>
              </w:rPr>
              <w:t>Week 30</w:t>
            </w:r>
          </w:p>
        </w:tc>
        <w:tc>
          <w:tcPr>
            <w:tcW w:w="1984" w:type="dxa"/>
            <w:shd w:val="clear" w:color="auto" w:fill="auto"/>
            <w:vAlign w:val="center"/>
          </w:tcPr>
          <w:p w14:paraId="6D624853" w14:textId="77777777" w:rsidR="00D53910" w:rsidRPr="00E61FD4" w:rsidRDefault="00D53910" w:rsidP="00DB1A44">
            <w:pPr>
              <w:pStyle w:val="EMEABodyText"/>
              <w:jc w:val="center"/>
              <w:rPr>
                <w:bCs/>
                <w:sz w:val="20"/>
              </w:rPr>
            </w:pPr>
            <w:r w:rsidRPr="00E61FD4">
              <w:rPr>
                <w:bCs/>
                <w:sz w:val="20"/>
              </w:rPr>
              <w:t>N = 108</w:t>
            </w:r>
          </w:p>
        </w:tc>
        <w:tc>
          <w:tcPr>
            <w:tcW w:w="1276" w:type="dxa"/>
            <w:shd w:val="clear" w:color="auto" w:fill="auto"/>
            <w:vAlign w:val="center"/>
          </w:tcPr>
          <w:p w14:paraId="6E7D84F2" w14:textId="77777777" w:rsidR="00D53910" w:rsidRPr="00E61FD4" w:rsidRDefault="00D53910" w:rsidP="00DB1A44">
            <w:pPr>
              <w:pStyle w:val="EMEABodyText"/>
              <w:jc w:val="center"/>
              <w:rPr>
                <w:bCs/>
                <w:sz w:val="20"/>
              </w:rPr>
            </w:pPr>
            <w:r w:rsidRPr="00E61FD4">
              <w:rPr>
                <w:bCs/>
                <w:sz w:val="20"/>
              </w:rPr>
              <w:t>N = 113</w:t>
            </w:r>
          </w:p>
        </w:tc>
      </w:tr>
      <w:tr w:rsidR="00D53910" w:rsidRPr="00E61FD4" w14:paraId="503574AF" w14:textId="77777777" w:rsidTr="00DB1A44">
        <w:tc>
          <w:tcPr>
            <w:tcW w:w="5949" w:type="dxa"/>
            <w:shd w:val="clear" w:color="auto" w:fill="auto"/>
          </w:tcPr>
          <w:p w14:paraId="319439B8" w14:textId="77777777" w:rsidR="00D53910" w:rsidRPr="00E61FD4" w:rsidRDefault="00D53910" w:rsidP="00DB1A44">
            <w:pPr>
              <w:pStyle w:val="EMEABodyText"/>
              <w:ind w:left="168"/>
              <w:rPr>
                <w:bCs/>
                <w:sz w:val="20"/>
              </w:rPr>
            </w:pPr>
            <w:r w:rsidRPr="00E61FD4">
              <w:rPr>
                <w:sz w:val="20"/>
              </w:rPr>
              <w:t>Mean (SD)</w:t>
            </w:r>
          </w:p>
        </w:tc>
        <w:tc>
          <w:tcPr>
            <w:tcW w:w="1984" w:type="dxa"/>
            <w:shd w:val="clear" w:color="auto" w:fill="auto"/>
            <w:vAlign w:val="center"/>
          </w:tcPr>
          <w:p w14:paraId="1E7708BC" w14:textId="77777777" w:rsidR="00D53910" w:rsidRPr="00E61FD4" w:rsidRDefault="00D53910" w:rsidP="00DB1A44">
            <w:pPr>
              <w:pStyle w:val="EMEABodyText"/>
              <w:jc w:val="center"/>
              <w:rPr>
                <w:bCs/>
                <w:sz w:val="20"/>
              </w:rPr>
            </w:pPr>
            <w:r w:rsidRPr="00E61FD4">
              <w:rPr>
                <w:bCs/>
                <w:sz w:val="20"/>
              </w:rPr>
              <w:t>82 (16)</w:t>
            </w:r>
          </w:p>
        </w:tc>
        <w:tc>
          <w:tcPr>
            <w:tcW w:w="1276" w:type="dxa"/>
            <w:shd w:val="clear" w:color="auto" w:fill="auto"/>
            <w:vAlign w:val="center"/>
          </w:tcPr>
          <w:p w14:paraId="5796D34F" w14:textId="77777777" w:rsidR="00D53910" w:rsidRPr="00E61FD4" w:rsidRDefault="00D53910" w:rsidP="00DB1A44">
            <w:pPr>
              <w:pStyle w:val="EMEABodyText"/>
              <w:jc w:val="center"/>
              <w:rPr>
                <w:bCs/>
                <w:sz w:val="20"/>
              </w:rPr>
            </w:pPr>
            <w:r w:rsidRPr="00E61FD4">
              <w:rPr>
                <w:bCs/>
                <w:sz w:val="20"/>
              </w:rPr>
              <w:t>73 (20)</w:t>
            </w:r>
          </w:p>
        </w:tc>
      </w:tr>
      <w:tr w:rsidR="00D53910" w:rsidRPr="00E61FD4" w14:paraId="4AC08EE7" w14:textId="77777777" w:rsidTr="00DB1A44">
        <w:tc>
          <w:tcPr>
            <w:tcW w:w="5949" w:type="dxa"/>
            <w:shd w:val="clear" w:color="auto" w:fill="auto"/>
          </w:tcPr>
          <w:p w14:paraId="2DCA4880" w14:textId="77777777" w:rsidR="00D53910" w:rsidRPr="00E61FD4" w:rsidRDefault="00D53910" w:rsidP="00DB1A44">
            <w:pPr>
              <w:pStyle w:val="EMEABodyText"/>
              <w:rPr>
                <w:b/>
                <w:bCs/>
                <w:sz w:val="20"/>
              </w:rPr>
            </w:pPr>
            <w:r w:rsidRPr="00E61FD4">
              <w:rPr>
                <w:b/>
                <w:bCs/>
                <w:sz w:val="20"/>
              </w:rPr>
              <w:t xml:space="preserve">Change from baseline to Week 30 in HCMSQ </w:t>
            </w:r>
            <w:proofErr w:type="spellStart"/>
            <w:r w:rsidRPr="00E61FD4">
              <w:rPr>
                <w:b/>
                <w:bCs/>
                <w:sz w:val="20"/>
              </w:rPr>
              <w:t>SoB</w:t>
            </w:r>
            <w:proofErr w:type="spellEnd"/>
            <w:r w:rsidRPr="00E61FD4">
              <w:rPr>
                <w:b/>
                <w:bCs/>
                <w:sz w:val="20"/>
              </w:rPr>
              <w:t xml:space="preserve"> domain score‡</w:t>
            </w:r>
          </w:p>
        </w:tc>
        <w:tc>
          <w:tcPr>
            <w:tcW w:w="1984" w:type="dxa"/>
            <w:shd w:val="clear" w:color="auto" w:fill="auto"/>
            <w:vAlign w:val="center"/>
          </w:tcPr>
          <w:p w14:paraId="444C11B2" w14:textId="77777777" w:rsidR="00D53910" w:rsidRPr="00E61FD4" w:rsidRDefault="00D53910" w:rsidP="00DB1A44">
            <w:pPr>
              <w:pStyle w:val="EMEABodyText"/>
              <w:jc w:val="center"/>
              <w:rPr>
                <w:bCs/>
                <w:sz w:val="20"/>
              </w:rPr>
            </w:pPr>
            <w:r w:rsidRPr="00E61FD4">
              <w:rPr>
                <w:bCs/>
                <w:sz w:val="20"/>
              </w:rPr>
              <w:t>N = 85</w:t>
            </w:r>
          </w:p>
        </w:tc>
        <w:tc>
          <w:tcPr>
            <w:tcW w:w="1276" w:type="dxa"/>
            <w:shd w:val="clear" w:color="auto" w:fill="auto"/>
            <w:vAlign w:val="center"/>
          </w:tcPr>
          <w:p w14:paraId="354FA02C" w14:textId="77777777" w:rsidR="00D53910" w:rsidRPr="00E61FD4" w:rsidRDefault="00D53910" w:rsidP="00DB1A44">
            <w:pPr>
              <w:pStyle w:val="EMEABodyText"/>
              <w:jc w:val="center"/>
              <w:rPr>
                <w:bCs/>
                <w:sz w:val="20"/>
              </w:rPr>
            </w:pPr>
            <w:r w:rsidRPr="00E61FD4">
              <w:rPr>
                <w:bCs/>
                <w:sz w:val="20"/>
              </w:rPr>
              <w:t>N = 86</w:t>
            </w:r>
          </w:p>
        </w:tc>
      </w:tr>
      <w:tr w:rsidR="00D53910" w:rsidRPr="00E61FD4" w14:paraId="0B967192" w14:textId="77777777" w:rsidTr="00DB1A44">
        <w:tc>
          <w:tcPr>
            <w:tcW w:w="5949" w:type="dxa"/>
            <w:shd w:val="clear" w:color="auto" w:fill="auto"/>
          </w:tcPr>
          <w:p w14:paraId="5837025E" w14:textId="77777777" w:rsidR="00D53910" w:rsidRPr="00E61FD4" w:rsidRDefault="00D53910" w:rsidP="00DB1A44">
            <w:pPr>
              <w:pStyle w:val="EMEABodyText"/>
              <w:rPr>
                <w:sz w:val="20"/>
              </w:rPr>
            </w:pPr>
            <w:r w:rsidRPr="00E61FD4">
              <w:rPr>
                <w:sz w:val="20"/>
              </w:rPr>
              <w:t>Mean (SD)</w:t>
            </w:r>
          </w:p>
        </w:tc>
        <w:tc>
          <w:tcPr>
            <w:tcW w:w="1984" w:type="dxa"/>
            <w:shd w:val="clear" w:color="auto" w:fill="auto"/>
            <w:vAlign w:val="center"/>
          </w:tcPr>
          <w:p w14:paraId="5162B0CE" w14:textId="77777777" w:rsidR="00D53910" w:rsidRPr="00E61FD4" w:rsidRDefault="00D53910" w:rsidP="00DB1A44">
            <w:pPr>
              <w:pStyle w:val="EMEABodyText"/>
              <w:jc w:val="center"/>
              <w:rPr>
                <w:bCs/>
                <w:sz w:val="20"/>
              </w:rPr>
            </w:pPr>
            <w:r w:rsidRPr="00E61FD4">
              <w:rPr>
                <w:bCs/>
                <w:sz w:val="20"/>
              </w:rPr>
              <w:t>-2.8 (2.7)</w:t>
            </w:r>
          </w:p>
        </w:tc>
        <w:tc>
          <w:tcPr>
            <w:tcW w:w="1276" w:type="dxa"/>
            <w:shd w:val="clear" w:color="auto" w:fill="auto"/>
            <w:vAlign w:val="center"/>
          </w:tcPr>
          <w:p w14:paraId="5225B4D0" w14:textId="77777777" w:rsidR="00D53910" w:rsidRPr="00E61FD4" w:rsidRDefault="00D53910" w:rsidP="00DB1A44">
            <w:pPr>
              <w:pStyle w:val="EMEABodyText"/>
              <w:jc w:val="center"/>
              <w:rPr>
                <w:bCs/>
                <w:sz w:val="20"/>
              </w:rPr>
            </w:pPr>
            <w:r w:rsidRPr="00E61FD4">
              <w:rPr>
                <w:bCs/>
                <w:sz w:val="20"/>
              </w:rPr>
              <w:t>-0.9 (2.4)</w:t>
            </w:r>
          </w:p>
        </w:tc>
      </w:tr>
      <w:tr w:rsidR="00D53910" w:rsidRPr="00E61FD4" w14:paraId="2DD8E8B7" w14:textId="77777777" w:rsidTr="00DB1A44">
        <w:tc>
          <w:tcPr>
            <w:tcW w:w="5949" w:type="dxa"/>
            <w:shd w:val="clear" w:color="auto" w:fill="auto"/>
          </w:tcPr>
          <w:p w14:paraId="258FB7FF" w14:textId="77777777" w:rsidR="00D53910" w:rsidRPr="00E61FD4" w:rsidRDefault="00D53910" w:rsidP="00DB1A44">
            <w:pPr>
              <w:pStyle w:val="EMEABodyText"/>
              <w:rPr>
                <w:sz w:val="20"/>
              </w:rPr>
            </w:pPr>
            <w:r w:rsidRPr="00E61FD4">
              <w:rPr>
                <w:sz w:val="20"/>
              </w:rPr>
              <w:t>Treatment difference (95% CI)</w:t>
            </w:r>
          </w:p>
        </w:tc>
        <w:tc>
          <w:tcPr>
            <w:tcW w:w="3260" w:type="dxa"/>
            <w:gridSpan w:val="2"/>
            <w:shd w:val="clear" w:color="auto" w:fill="auto"/>
            <w:vAlign w:val="center"/>
          </w:tcPr>
          <w:p w14:paraId="15926FD5" w14:textId="77777777" w:rsidR="00D53910" w:rsidRPr="00E61FD4" w:rsidRDefault="00D53910" w:rsidP="00DB1A44">
            <w:pPr>
              <w:pStyle w:val="EMEABodyText"/>
              <w:jc w:val="center"/>
              <w:rPr>
                <w:bCs/>
                <w:sz w:val="20"/>
              </w:rPr>
            </w:pPr>
            <w:r w:rsidRPr="00E61FD4">
              <w:rPr>
                <w:bCs/>
                <w:sz w:val="20"/>
              </w:rPr>
              <w:t>-1.8 (-2.4, -1.2)</w:t>
            </w:r>
          </w:p>
        </w:tc>
      </w:tr>
      <w:tr w:rsidR="00D53910" w:rsidRPr="00E61FD4" w14:paraId="417FD437" w14:textId="77777777" w:rsidTr="00DB1A44">
        <w:tc>
          <w:tcPr>
            <w:tcW w:w="5949" w:type="dxa"/>
            <w:shd w:val="clear" w:color="auto" w:fill="auto"/>
          </w:tcPr>
          <w:p w14:paraId="75648001" w14:textId="77777777" w:rsidR="00D53910" w:rsidRPr="00E61FD4" w:rsidRDefault="00D53910" w:rsidP="00DB1A44">
            <w:pPr>
              <w:pStyle w:val="EMEABodyText"/>
              <w:rPr>
                <w:sz w:val="20"/>
              </w:rPr>
            </w:pPr>
            <w:r w:rsidRPr="00E61FD4">
              <w:rPr>
                <w:sz w:val="20"/>
              </w:rPr>
              <w:t>p-value</w:t>
            </w:r>
          </w:p>
        </w:tc>
        <w:tc>
          <w:tcPr>
            <w:tcW w:w="3260" w:type="dxa"/>
            <w:gridSpan w:val="2"/>
            <w:shd w:val="clear" w:color="auto" w:fill="auto"/>
            <w:vAlign w:val="center"/>
          </w:tcPr>
          <w:p w14:paraId="2B8FAA2A" w14:textId="77777777" w:rsidR="00D53910" w:rsidRPr="00E61FD4" w:rsidRDefault="00D53910" w:rsidP="00DB1A44">
            <w:pPr>
              <w:pStyle w:val="EMEABodyText"/>
              <w:jc w:val="center"/>
              <w:rPr>
                <w:bCs/>
                <w:sz w:val="20"/>
              </w:rPr>
            </w:pPr>
            <w:r w:rsidRPr="00E61FD4">
              <w:rPr>
                <w:bCs/>
                <w:sz w:val="20"/>
              </w:rPr>
              <w:t>&lt; 0.0001</w:t>
            </w:r>
          </w:p>
        </w:tc>
      </w:tr>
      <w:tr w:rsidR="00D53910" w:rsidRPr="00E61FD4" w14:paraId="5107081F" w14:textId="77777777" w:rsidTr="00DB1A44">
        <w:tc>
          <w:tcPr>
            <w:tcW w:w="5949" w:type="dxa"/>
            <w:shd w:val="clear" w:color="auto" w:fill="auto"/>
            <w:vAlign w:val="center"/>
          </w:tcPr>
          <w:p w14:paraId="5FFD1C58" w14:textId="77777777" w:rsidR="00D53910" w:rsidRPr="00E61FD4" w:rsidRDefault="00D53910" w:rsidP="00DB1A44">
            <w:pPr>
              <w:pStyle w:val="EMEABodyText"/>
              <w:ind w:left="168"/>
              <w:rPr>
                <w:bCs/>
                <w:sz w:val="20"/>
              </w:rPr>
            </w:pPr>
            <w:r w:rsidRPr="00E61FD4">
              <w:rPr>
                <w:b/>
                <w:bCs/>
                <w:sz w:val="20"/>
              </w:rPr>
              <w:t>Baseline</w:t>
            </w:r>
          </w:p>
        </w:tc>
        <w:tc>
          <w:tcPr>
            <w:tcW w:w="1984" w:type="dxa"/>
            <w:shd w:val="clear" w:color="auto" w:fill="auto"/>
            <w:vAlign w:val="center"/>
          </w:tcPr>
          <w:p w14:paraId="0C35380F" w14:textId="77777777" w:rsidR="00D53910" w:rsidRPr="00E61FD4" w:rsidRDefault="00D53910" w:rsidP="00DB1A44">
            <w:pPr>
              <w:pStyle w:val="EMEABodyText"/>
              <w:jc w:val="center"/>
              <w:rPr>
                <w:bCs/>
                <w:sz w:val="20"/>
              </w:rPr>
            </w:pPr>
            <w:r w:rsidRPr="00E61FD4">
              <w:rPr>
                <w:bCs/>
                <w:sz w:val="20"/>
              </w:rPr>
              <w:t>N = 108</w:t>
            </w:r>
          </w:p>
        </w:tc>
        <w:tc>
          <w:tcPr>
            <w:tcW w:w="1276" w:type="dxa"/>
            <w:shd w:val="clear" w:color="auto" w:fill="auto"/>
            <w:vAlign w:val="center"/>
          </w:tcPr>
          <w:p w14:paraId="70B453FD" w14:textId="77777777" w:rsidR="00D53910" w:rsidRPr="00E61FD4" w:rsidRDefault="00D53910" w:rsidP="00DB1A44">
            <w:pPr>
              <w:pStyle w:val="EMEABodyText"/>
              <w:jc w:val="center"/>
              <w:rPr>
                <w:bCs/>
                <w:sz w:val="20"/>
              </w:rPr>
            </w:pPr>
            <w:r w:rsidRPr="00E61FD4">
              <w:rPr>
                <w:bCs/>
                <w:sz w:val="20"/>
              </w:rPr>
              <w:t>N = 109</w:t>
            </w:r>
          </w:p>
        </w:tc>
      </w:tr>
      <w:tr w:rsidR="00D53910" w:rsidRPr="00E61FD4" w14:paraId="71034E4B" w14:textId="77777777" w:rsidTr="00DB1A44">
        <w:tc>
          <w:tcPr>
            <w:tcW w:w="5949" w:type="dxa"/>
            <w:shd w:val="clear" w:color="auto" w:fill="auto"/>
            <w:vAlign w:val="center"/>
          </w:tcPr>
          <w:p w14:paraId="15CF66CE" w14:textId="77777777" w:rsidR="00D53910" w:rsidRPr="00E61FD4" w:rsidRDefault="00D53910" w:rsidP="00DB1A44">
            <w:pPr>
              <w:pStyle w:val="EMEABodyText"/>
              <w:ind w:left="168"/>
              <w:rPr>
                <w:bCs/>
                <w:sz w:val="20"/>
              </w:rPr>
            </w:pPr>
            <w:r w:rsidRPr="00E61FD4">
              <w:rPr>
                <w:sz w:val="20"/>
              </w:rPr>
              <w:t>Mean (SD)</w:t>
            </w:r>
          </w:p>
        </w:tc>
        <w:tc>
          <w:tcPr>
            <w:tcW w:w="1984" w:type="dxa"/>
            <w:shd w:val="clear" w:color="auto" w:fill="auto"/>
            <w:vAlign w:val="center"/>
          </w:tcPr>
          <w:p w14:paraId="50A7A2A2" w14:textId="77777777" w:rsidR="00D53910" w:rsidRPr="00E61FD4" w:rsidRDefault="00D53910" w:rsidP="00DB1A44">
            <w:pPr>
              <w:pStyle w:val="EMEABodyText"/>
              <w:jc w:val="center"/>
              <w:rPr>
                <w:bCs/>
                <w:sz w:val="20"/>
              </w:rPr>
            </w:pPr>
            <w:r w:rsidRPr="00E61FD4">
              <w:rPr>
                <w:bCs/>
                <w:sz w:val="20"/>
              </w:rPr>
              <w:t>4.9 (2.5)</w:t>
            </w:r>
          </w:p>
        </w:tc>
        <w:tc>
          <w:tcPr>
            <w:tcW w:w="1276" w:type="dxa"/>
            <w:shd w:val="clear" w:color="auto" w:fill="auto"/>
            <w:vAlign w:val="center"/>
          </w:tcPr>
          <w:p w14:paraId="4A170ABA" w14:textId="77777777" w:rsidR="00D53910" w:rsidRPr="00E61FD4" w:rsidRDefault="00D53910" w:rsidP="00DB1A44">
            <w:pPr>
              <w:pStyle w:val="EMEABodyText"/>
              <w:jc w:val="center"/>
              <w:rPr>
                <w:bCs/>
                <w:sz w:val="20"/>
              </w:rPr>
            </w:pPr>
            <w:r w:rsidRPr="00E61FD4">
              <w:rPr>
                <w:bCs/>
                <w:sz w:val="20"/>
              </w:rPr>
              <w:t>4.5 (3.2)</w:t>
            </w:r>
          </w:p>
        </w:tc>
      </w:tr>
      <w:tr w:rsidR="00D53910" w:rsidRPr="00E61FD4" w14:paraId="1DCC5EBD" w14:textId="77777777" w:rsidTr="00DB1A44">
        <w:tc>
          <w:tcPr>
            <w:tcW w:w="5949" w:type="dxa"/>
            <w:shd w:val="clear" w:color="auto" w:fill="auto"/>
          </w:tcPr>
          <w:p w14:paraId="26DF9373" w14:textId="77777777" w:rsidR="00D53910" w:rsidRPr="00E61FD4" w:rsidRDefault="00D53910" w:rsidP="00DB1A44">
            <w:pPr>
              <w:pStyle w:val="EMEABodyText"/>
              <w:ind w:left="168"/>
              <w:rPr>
                <w:bCs/>
                <w:sz w:val="20"/>
              </w:rPr>
            </w:pPr>
            <w:r w:rsidRPr="00E61FD4">
              <w:rPr>
                <w:b/>
                <w:bCs/>
                <w:sz w:val="20"/>
              </w:rPr>
              <w:t>Week 30</w:t>
            </w:r>
          </w:p>
        </w:tc>
        <w:tc>
          <w:tcPr>
            <w:tcW w:w="1984" w:type="dxa"/>
            <w:shd w:val="clear" w:color="auto" w:fill="auto"/>
            <w:vAlign w:val="center"/>
          </w:tcPr>
          <w:p w14:paraId="6A287486" w14:textId="77777777" w:rsidR="00D53910" w:rsidRPr="00E61FD4" w:rsidRDefault="00D53910" w:rsidP="00DB1A44">
            <w:pPr>
              <w:pStyle w:val="EMEABodyText"/>
              <w:jc w:val="center"/>
              <w:rPr>
                <w:bCs/>
                <w:sz w:val="20"/>
              </w:rPr>
            </w:pPr>
            <w:r w:rsidRPr="00E61FD4">
              <w:rPr>
                <w:bCs/>
                <w:sz w:val="20"/>
              </w:rPr>
              <w:t>N = 92</w:t>
            </w:r>
          </w:p>
        </w:tc>
        <w:tc>
          <w:tcPr>
            <w:tcW w:w="1276" w:type="dxa"/>
            <w:shd w:val="clear" w:color="auto" w:fill="auto"/>
            <w:vAlign w:val="center"/>
          </w:tcPr>
          <w:p w14:paraId="2D0B190A" w14:textId="77777777" w:rsidR="00D53910" w:rsidRPr="00E61FD4" w:rsidRDefault="00D53910" w:rsidP="00DB1A44">
            <w:pPr>
              <w:pStyle w:val="EMEABodyText"/>
              <w:jc w:val="center"/>
              <w:rPr>
                <w:bCs/>
                <w:sz w:val="20"/>
              </w:rPr>
            </w:pPr>
            <w:r w:rsidRPr="00E61FD4">
              <w:rPr>
                <w:bCs/>
                <w:sz w:val="20"/>
              </w:rPr>
              <w:t>N = 97</w:t>
            </w:r>
          </w:p>
        </w:tc>
      </w:tr>
      <w:tr w:rsidR="00D53910" w:rsidRPr="00E61FD4" w14:paraId="285C8325" w14:textId="77777777" w:rsidTr="00DB1A44">
        <w:tc>
          <w:tcPr>
            <w:tcW w:w="5949" w:type="dxa"/>
            <w:shd w:val="clear" w:color="auto" w:fill="auto"/>
          </w:tcPr>
          <w:p w14:paraId="445B44CA" w14:textId="77777777" w:rsidR="00D53910" w:rsidRPr="00E61FD4" w:rsidRDefault="00D53910" w:rsidP="00DB1A44">
            <w:pPr>
              <w:pStyle w:val="EMEABodyText"/>
              <w:ind w:left="168"/>
              <w:rPr>
                <w:bCs/>
                <w:sz w:val="20"/>
              </w:rPr>
            </w:pPr>
            <w:r w:rsidRPr="00E61FD4">
              <w:rPr>
                <w:sz w:val="20"/>
              </w:rPr>
              <w:t>Mean (SD)</w:t>
            </w:r>
          </w:p>
        </w:tc>
        <w:tc>
          <w:tcPr>
            <w:tcW w:w="1984" w:type="dxa"/>
            <w:shd w:val="clear" w:color="auto" w:fill="auto"/>
            <w:vAlign w:val="center"/>
          </w:tcPr>
          <w:p w14:paraId="7C6AC1D6" w14:textId="77777777" w:rsidR="00D53910" w:rsidRPr="00E61FD4" w:rsidRDefault="00D53910" w:rsidP="00DB1A44">
            <w:pPr>
              <w:pStyle w:val="EMEABodyText"/>
              <w:jc w:val="center"/>
              <w:rPr>
                <w:bCs/>
                <w:sz w:val="20"/>
              </w:rPr>
            </w:pPr>
            <w:r w:rsidRPr="00E61FD4">
              <w:rPr>
                <w:bCs/>
                <w:sz w:val="20"/>
              </w:rPr>
              <w:t>2.0 (2.6)</w:t>
            </w:r>
          </w:p>
        </w:tc>
        <w:tc>
          <w:tcPr>
            <w:tcW w:w="1276" w:type="dxa"/>
            <w:shd w:val="clear" w:color="auto" w:fill="auto"/>
            <w:vAlign w:val="center"/>
          </w:tcPr>
          <w:p w14:paraId="269B2162" w14:textId="77777777" w:rsidR="00D53910" w:rsidRPr="00E61FD4" w:rsidRDefault="00D53910" w:rsidP="00DB1A44">
            <w:pPr>
              <w:pStyle w:val="EMEABodyText"/>
              <w:jc w:val="center"/>
              <w:rPr>
                <w:bCs/>
                <w:sz w:val="20"/>
              </w:rPr>
            </w:pPr>
            <w:r w:rsidRPr="00E61FD4">
              <w:rPr>
                <w:bCs/>
                <w:sz w:val="20"/>
              </w:rPr>
              <w:t>3.7 (3.0)</w:t>
            </w:r>
          </w:p>
        </w:tc>
      </w:tr>
    </w:tbl>
    <w:bookmarkEnd w:id="20"/>
    <w:p w14:paraId="001FF46B" w14:textId="77777777" w:rsidR="00D53910" w:rsidRPr="00E61FD4" w:rsidRDefault="00D53910" w:rsidP="00D53910">
      <w:pPr>
        <w:pStyle w:val="EMEABodyText"/>
        <w:rPr>
          <w:sz w:val="18"/>
          <w:szCs w:val="18"/>
        </w:rPr>
      </w:pPr>
      <w:r w:rsidRPr="00E61FD4">
        <w:rPr>
          <w:rStyle w:val="BMSSuperscript"/>
          <w:sz w:val="18"/>
          <w:szCs w:val="18"/>
        </w:rPr>
        <w:t>†</w:t>
      </w:r>
      <w:r w:rsidRPr="00E61FD4">
        <w:rPr>
          <w:sz w:val="18"/>
          <w:szCs w:val="18"/>
        </w:rPr>
        <w:t>The KCCQ-23 CSS is composed of the physical limitations and the total symptom burden scores of the KCCQ</w:t>
      </w:r>
      <w:r w:rsidRPr="00E61FD4">
        <w:rPr>
          <w:sz w:val="18"/>
          <w:szCs w:val="18"/>
        </w:rPr>
        <w:noBreakHyphen/>
        <w:t>23. The CSS ranges from 0 to 100, with higher scores representing better health status.</w:t>
      </w:r>
    </w:p>
    <w:p w14:paraId="64F05568" w14:textId="77777777" w:rsidR="00D53910" w:rsidRPr="00E61FD4" w:rsidRDefault="00D53910" w:rsidP="00D53910">
      <w:pPr>
        <w:pStyle w:val="EMEABodyText"/>
        <w:rPr>
          <w:sz w:val="18"/>
          <w:szCs w:val="18"/>
        </w:rPr>
      </w:pPr>
      <w:r w:rsidRPr="00E61FD4">
        <w:rPr>
          <w:rStyle w:val="BMSSuperscript"/>
          <w:sz w:val="18"/>
          <w:szCs w:val="18"/>
        </w:rPr>
        <w:t>‡</w:t>
      </w:r>
      <w:r w:rsidRPr="00E61FD4">
        <w:rPr>
          <w:sz w:val="18"/>
          <w:szCs w:val="18"/>
        </w:rPr>
        <w:t xml:space="preserve"> The HCMSQ </w:t>
      </w:r>
      <w:proofErr w:type="spellStart"/>
      <w:r w:rsidRPr="00E61FD4">
        <w:rPr>
          <w:sz w:val="18"/>
          <w:szCs w:val="18"/>
        </w:rPr>
        <w:t>SoB</w:t>
      </w:r>
      <w:proofErr w:type="spellEnd"/>
      <w:r w:rsidRPr="00E61FD4">
        <w:rPr>
          <w:sz w:val="18"/>
          <w:szCs w:val="18"/>
        </w:rPr>
        <w:t xml:space="preserve"> domain score measures frequency and severity of shortness of breath. The HCMSQ </w:t>
      </w:r>
      <w:proofErr w:type="spellStart"/>
      <w:r w:rsidRPr="00E61FD4">
        <w:rPr>
          <w:sz w:val="18"/>
          <w:szCs w:val="18"/>
        </w:rPr>
        <w:t>SoB</w:t>
      </w:r>
      <w:proofErr w:type="spellEnd"/>
      <w:r w:rsidRPr="00E61FD4">
        <w:rPr>
          <w:sz w:val="18"/>
          <w:szCs w:val="18"/>
        </w:rPr>
        <w:t xml:space="preserve"> domain score ranges from 0 to 18, with lower scores representing less shortness of breath.</w:t>
      </w:r>
    </w:p>
    <w:bookmarkEnd w:id="21"/>
    <w:p w14:paraId="73095AE2" w14:textId="77777777" w:rsidR="00D53910" w:rsidRPr="00E61FD4" w:rsidRDefault="00D53910" w:rsidP="00946721">
      <w:pPr>
        <w:pStyle w:val="EMEABodyText"/>
        <w:spacing w:after="120"/>
      </w:pPr>
    </w:p>
    <w:p w14:paraId="48F0921A" w14:textId="2BDC6633" w:rsidR="00D53910" w:rsidRPr="00E61FD4" w:rsidRDefault="00D53910" w:rsidP="00946721">
      <w:pPr>
        <w:spacing w:after="120"/>
        <w:rPr>
          <w:rFonts w:cs="Times New Roman"/>
        </w:rPr>
      </w:pPr>
      <w:r w:rsidRPr="00E61FD4">
        <w:rPr>
          <w:rFonts w:cs="Times New Roman"/>
        </w:rPr>
        <w:t>The KCCQ</w:t>
      </w:r>
      <w:r w:rsidRPr="00E61FD4">
        <w:rPr>
          <w:rFonts w:cs="Times New Roman"/>
        </w:rPr>
        <w:noBreakHyphen/>
        <w:t xml:space="preserve">23 CSS favoured </w:t>
      </w:r>
      <w:r w:rsidR="00E5063D" w:rsidRPr="00E61FD4">
        <w:rPr>
          <w:rFonts w:cs="Times New Roman"/>
        </w:rPr>
        <w:t>CAMZYOS</w:t>
      </w:r>
      <w:r w:rsidR="00E42AF8" w:rsidRPr="00E61FD4">
        <w:rPr>
          <w:rFonts w:cs="Times New Roman"/>
        </w:rPr>
        <w:t xml:space="preserve"> </w:t>
      </w:r>
      <w:r w:rsidRPr="00E61FD4">
        <w:rPr>
          <w:rFonts w:cs="Times New Roman"/>
        </w:rPr>
        <w:t>compared to placebo at Week 30. The mean improvement from baseline on the KCCQ</w:t>
      </w:r>
      <w:r w:rsidRPr="00E61FD4">
        <w:rPr>
          <w:rFonts w:cs="Times New Roman"/>
        </w:rPr>
        <w:noBreakHyphen/>
        <w:t xml:space="preserve">23 CSS was greater in the </w:t>
      </w:r>
      <w:r w:rsidR="00E5063D" w:rsidRPr="00E61FD4">
        <w:rPr>
          <w:rFonts w:cs="Times New Roman"/>
        </w:rPr>
        <w:t>CAMZYOS</w:t>
      </w:r>
      <w:r w:rsidR="00E42AF8" w:rsidRPr="00E61FD4">
        <w:rPr>
          <w:rFonts w:cs="Times New Roman"/>
        </w:rPr>
        <w:t xml:space="preserve"> </w:t>
      </w:r>
      <w:r w:rsidRPr="00E61FD4">
        <w:rPr>
          <w:rFonts w:cs="Times New Roman"/>
        </w:rPr>
        <w:t>arm compared to placebo at Week 30 (p &lt; 0.0001), with effects observed as early as 6 weeks (</w:t>
      </w:r>
      <w:r w:rsidR="00393C94" w:rsidRPr="00E61FD4">
        <w:rPr>
          <w:rFonts w:cs="Times New Roman"/>
        </w:rPr>
        <w:t xml:space="preserve">see </w:t>
      </w:r>
      <w:r w:rsidR="00393C94" w:rsidRPr="00E61FD4">
        <w:rPr>
          <w:rFonts w:cs="Times New Roman"/>
        </w:rPr>
        <w:fldChar w:fldCharType="begin"/>
      </w:r>
      <w:r w:rsidR="00393C94" w:rsidRPr="00E61FD4">
        <w:rPr>
          <w:rFonts w:cs="Times New Roman"/>
        </w:rPr>
        <w:instrText xml:space="preserve"> REF _Ref75263882 \h </w:instrText>
      </w:r>
      <w:r w:rsidR="00DD316B" w:rsidRPr="00E61FD4">
        <w:rPr>
          <w:rFonts w:cs="Times New Roman"/>
        </w:rPr>
        <w:instrText xml:space="preserve"> \* MERGEFORMAT </w:instrText>
      </w:r>
      <w:r w:rsidR="00393C94" w:rsidRPr="00E61FD4">
        <w:rPr>
          <w:rFonts w:cs="Times New Roman"/>
        </w:rPr>
      </w:r>
      <w:r w:rsidR="00393C94" w:rsidRPr="00E61FD4">
        <w:rPr>
          <w:rFonts w:cs="Times New Roman"/>
        </w:rPr>
        <w:fldChar w:fldCharType="separate"/>
      </w:r>
      <w:r w:rsidR="00E61FD4" w:rsidRPr="00E61FD4">
        <w:t xml:space="preserve">Figure </w:t>
      </w:r>
      <w:r w:rsidR="00E61FD4">
        <w:rPr>
          <w:noProof/>
        </w:rPr>
        <w:t>5</w:t>
      </w:r>
      <w:r w:rsidR="00393C94" w:rsidRPr="00E61FD4">
        <w:rPr>
          <w:rFonts w:cs="Times New Roman"/>
        </w:rPr>
        <w:fldChar w:fldCharType="end"/>
      </w:r>
      <w:r w:rsidRPr="00E61FD4">
        <w:rPr>
          <w:rFonts w:cs="Times New Roman"/>
        </w:rPr>
        <w:t xml:space="preserve">). </w:t>
      </w:r>
    </w:p>
    <w:p w14:paraId="3C0E3D5D" w14:textId="0905C73C" w:rsidR="00D53910" w:rsidRPr="00E61FD4" w:rsidRDefault="003A222B" w:rsidP="003A222B">
      <w:pPr>
        <w:pStyle w:val="Caption"/>
        <w:keepNext/>
        <w:jc w:val="left"/>
        <w:rPr>
          <w:szCs w:val="22"/>
        </w:rPr>
      </w:pPr>
      <w:bookmarkStart w:id="23" w:name="_Ref75263882"/>
      <w:r w:rsidRPr="00E61FD4">
        <w:lastRenderedPageBreak/>
        <w:t xml:space="preserve">Figure </w:t>
      </w:r>
      <w:r w:rsidRPr="00E61FD4">
        <w:fldChar w:fldCharType="begin"/>
      </w:r>
      <w:r w:rsidRPr="00E61FD4">
        <w:instrText>SEQ Figure \* ARABIC</w:instrText>
      </w:r>
      <w:r w:rsidRPr="00E61FD4">
        <w:fldChar w:fldCharType="separate"/>
      </w:r>
      <w:r w:rsidR="00E61FD4">
        <w:rPr>
          <w:noProof/>
        </w:rPr>
        <w:t>5</w:t>
      </w:r>
      <w:r w:rsidRPr="00E61FD4">
        <w:fldChar w:fldCharType="end"/>
      </w:r>
      <w:bookmarkEnd w:id="23"/>
      <w:r w:rsidRPr="00E61FD4">
        <w:t xml:space="preserve"> </w:t>
      </w:r>
      <w:r w:rsidR="00D53910" w:rsidRPr="00E61FD4">
        <w:rPr>
          <w:szCs w:val="22"/>
        </w:rPr>
        <w:t>KCCQ-23 CSS: Mean change from baseline over time</w:t>
      </w:r>
    </w:p>
    <w:p w14:paraId="19EA0170" w14:textId="77777777" w:rsidR="00D53910" w:rsidRPr="00E61FD4" w:rsidRDefault="00D53910" w:rsidP="00D53910">
      <w:pPr>
        <w:pStyle w:val="EMEABodyText"/>
      </w:pPr>
      <w:r w:rsidRPr="00E61FD4">
        <w:rPr>
          <w:noProof/>
        </w:rPr>
        <w:drawing>
          <wp:inline distT="0" distB="0" distL="0" distR="0" wp14:anchorId="647C76A7" wp14:editId="15E0DECE">
            <wp:extent cx="5548566" cy="28281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48566" cy="2828139"/>
                    </a:xfrm>
                    <a:prstGeom prst="rect">
                      <a:avLst/>
                    </a:prstGeom>
                  </pic:spPr>
                </pic:pic>
              </a:graphicData>
            </a:graphic>
          </wp:inline>
        </w:drawing>
      </w:r>
    </w:p>
    <w:p w14:paraId="4145F257" w14:textId="77777777" w:rsidR="00D53910" w:rsidRPr="00E61FD4" w:rsidRDefault="00D53910" w:rsidP="00D53910">
      <w:pPr>
        <w:pStyle w:val="EMEABodyText"/>
      </w:pPr>
    </w:p>
    <w:p w14:paraId="336EC67A" w14:textId="5A656528" w:rsidR="00D53910" w:rsidRPr="00E61FD4" w:rsidRDefault="00D53910" w:rsidP="00E228A5">
      <w:pPr>
        <w:rPr>
          <w:rFonts w:cs="Times New Roman"/>
        </w:rPr>
      </w:pPr>
      <w:r w:rsidRPr="00E61FD4">
        <w:rPr>
          <w:rFonts w:cs="Times New Roman"/>
        </w:rPr>
        <w:t xml:space="preserve">A greater proportion of patients taking </w:t>
      </w:r>
      <w:r w:rsidR="00E5063D" w:rsidRPr="00E61FD4">
        <w:rPr>
          <w:rFonts w:cs="Times New Roman"/>
        </w:rPr>
        <w:t>CAMZYOS</w:t>
      </w:r>
      <w:r w:rsidR="00A40C89" w:rsidRPr="00E61FD4">
        <w:rPr>
          <w:rFonts w:cs="Times New Roman"/>
        </w:rPr>
        <w:t xml:space="preserve"> </w:t>
      </w:r>
      <w:r w:rsidRPr="00E61FD4">
        <w:rPr>
          <w:rFonts w:cs="Times New Roman"/>
        </w:rPr>
        <w:t>compared to placebo achieved a clinically meaningful improvement of ≥ 10 points between baseline and Week 30 in health status (symptoms and physical limitations) (</w:t>
      </w:r>
      <w:r w:rsidR="00393C94" w:rsidRPr="00E61FD4">
        <w:rPr>
          <w:rFonts w:cs="Times New Roman"/>
        </w:rPr>
        <w:t xml:space="preserve">see </w:t>
      </w:r>
      <w:r w:rsidR="00393C94" w:rsidRPr="00E61FD4">
        <w:rPr>
          <w:rFonts w:cs="Times New Roman"/>
        </w:rPr>
        <w:fldChar w:fldCharType="begin"/>
      </w:r>
      <w:r w:rsidR="00393C94" w:rsidRPr="00E61FD4">
        <w:rPr>
          <w:rFonts w:cs="Times New Roman"/>
        </w:rPr>
        <w:instrText xml:space="preserve"> REF _Ref75263902 \h </w:instrText>
      </w:r>
      <w:r w:rsidR="00DD316B" w:rsidRPr="00E61FD4">
        <w:rPr>
          <w:rFonts w:cs="Times New Roman"/>
        </w:rPr>
        <w:instrText xml:space="preserve"> \* MERGEFORMAT </w:instrText>
      </w:r>
      <w:r w:rsidR="00393C94" w:rsidRPr="00E61FD4">
        <w:rPr>
          <w:rFonts w:cs="Times New Roman"/>
        </w:rPr>
      </w:r>
      <w:r w:rsidR="00393C94" w:rsidRPr="00E61FD4">
        <w:rPr>
          <w:rFonts w:cs="Times New Roman"/>
        </w:rPr>
        <w:fldChar w:fldCharType="separate"/>
      </w:r>
      <w:r w:rsidR="00E61FD4" w:rsidRPr="00E61FD4">
        <w:t xml:space="preserve">Figure </w:t>
      </w:r>
      <w:r w:rsidR="00E61FD4">
        <w:rPr>
          <w:noProof/>
        </w:rPr>
        <w:t>6</w:t>
      </w:r>
      <w:r w:rsidR="00393C94" w:rsidRPr="00E61FD4">
        <w:rPr>
          <w:rFonts w:cs="Times New Roman"/>
        </w:rPr>
        <w:fldChar w:fldCharType="end"/>
      </w:r>
      <w:r w:rsidRPr="00E61FD4">
        <w:rPr>
          <w:rFonts w:cs="Times New Roman"/>
        </w:rPr>
        <w:t>).</w:t>
      </w:r>
    </w:p>
    <w:p w14:paraId="77FA8D8C" w14:textId="29D3382C" w:rsidR="00D53910" w:rsidRPr="00E61FD4" w:rsidRDefault="003A222B" w:rsidP="003A222B">
      <w:pPr>
        <w:pStyle w:val="Caption"/>
        <w:keepNext/>
        <w:jc w:val="left"/>
        <w:rPr>
          <w:szCs w:val="22"/>
        </w:rPr>
      </w:pPr>
      <w:bookmarkStart w:id="24" w:name="_Ref75263902"/>
      <w:bookmarkStart w:id="25" w:name="_Toc47276155"/>
      <w:bookmarkStart w:id="26" w:name="_Toc47298259"/>
      <w:r w:rsidRPr="00E61FD4">
        <w:t xml:space="preserve">Figure </w:t>
      </w:r>
      <w:r w:rsidRPr="00E61FD4">
        <w:fldChar w:fldCharType="begin"/>
      </w:r>
      <w:r w:rsidRPr="00E61FD4">
        <w:instrText>SEQ Figure \* ARABIC</w:instrText>
      </w:r>
      <w:r w:rsidRPr="00E61FD4">
        <w:fldChar w:fldCharType="separate"/>
      </w:r>
      <w:r w:rsidR="00E61FD4">
        <w:rPr>
          <w:noProof/>
        </w:rPr>
        <w:t>6</w:t>
      </w:r>
      <w:r w:rsidRPr="00E61FD4">
        <w:fldChar w:fldCharType="end"/>
      </w:r>
      <w:bookmarkEnd w:id="24"/>
      <w:r w:rsidRPr="00E61FD4">
        <w:t xml:space="preserve"> </w:t>
      </w:r>
      <w:r w:rsidR="00D53910" w:rsidRPr="00E61FD4">
        <w:rPr>
          <w:szCs w:val="22"/>
        </w:rPr>
        <w:t>KCCQ-23 CSS: Cumulative distribution of change from baseline to Week 30</w:t>
      </w:r>
      <w:bookmarkEnd w:id="25"/>
      <w:bookmarkEnd w:id="26"/>
    </w:p>
    <w:p w14:paraId="62152BF8" w14:textId="44DE92C0" w:rsidR="00D53910" w:rsidRPr="00E61FD4" w:rsidRDefault="7C902085" w:rsidP="7C902085">
      <w:pPr>
        <w:pStyle w:val="EMEABodyText"/>
      </w:pPr>
      <w:r w:rsidRPr="00E61FD4">
        <w:rPr>
          <w:noProof/>
        </w:rPr>
        <w:drawing>
          <wp:inline distT="0" distB="0" distL="0" distR="0" wp14:anchorId="459B4D3E" wp14:editId="6E0EBD15">
            <wp:extent cx="5533638" cy="3124200"/>
            <wp:effectExtent l="0" t="0" r="0" b="0"/>
            <wp:docPr id="1855610983" name="Picture 18556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610983"/>
                    <pic:cNvPicPr/>
                  </pic:nvPicPr>
                  <pic:blipFill>
                    <a:blip r:embed="rId16">
                      <a:extLst>
                        <a:ext uri="{28A0092B-C50C-407E-A947-70E740481C1C}">
                          <a14:useLocalDpi xmlns:a14="http://schemas.microsoft.com/office/drawing/2010/main" val="0"/>
                        </a:ext>
                      </a:extLst>
                    </a:blip>
                    <a:stretch>
                      <a:fillRect/>
                    </a:stretch>
                  </pic:blipFill>
                  <pic:spPr>
                    <a:xfrm>
                      <a:off x="0" y="0"/>
                      <a:ext cx="5533638" cy="3124200"/>
                    </a:xfrm>
                    <a:prstGeom prst="rect">
                      <a:avLst/>
                    </a:prstGeom>
                  </pic:spPr>
                </pic:pic>
              </a:graphicData>
            </a:graphic>
          </wp:inline>
        </w:drawing>
      </w:r>
    </w:p>
    <w:p w14:paraId="2228711E" w14:textId="63223989" w:rsidR="00D53910" w:rsidRPr="00E61FD4" w:rsidRDefault="00645638" w:rsidP="00946721">
      <w:pPr>
        <w:spacing w:after="120"/>
        <w:rPr>
          <w:rFonts w:cs="Times New Roman"/>
          <w:sz w:val="18"/>
          <w:szCs w:val="18"/>
        </w:rPr>
      </w:pPr>
      <w:r w:rsidRPr="00E61FD4">
        <w:rPr>
          <w:rFonts w:cs="Times New Roman"/>
          <w:sz w:val="18"/>
          <w:szCs w:val="18"/>
        </w:rPr>
        <w:t>The figure displays</w:t>
      </w:r>
      <w:r w:rsidR="00D53910" w:rsidRPr="00E61FD4">
        <w:rPr>
          <w:rFonts w:cs="Times New Roman"/>
          <w:sz w:val="18"/>
          <w:szCs w:val="18"/>
        </w:rPr>
        <w:t xml:space="preserve"> the cumulative percentage of patients achieving a certain level of response.</w:t>
      </w:r>
    </w:p>
    <w:p w14:paraId="7D07B41C" w14:textId="5E868882" w:rsidR="00D53910" w:rsidRPr="00E61FD4" w:rsidRDefault="00D53910" w:rsidP="00946721">
      <w:pPr>
        <w:spacing w:after="120"/>
        <w:rPr>
          <w:rFonts w:cs="Times New Roman"/>
        </w:rPr>
      </w:pPr>
      <w:r w:rsidRPr="00E61FD4">
        <w:rPr>
          <w:rFonts w:cs="Times New Roman"/>
        </w:rPr>
        <w:t xml:space="preserve">The HCMSQ </w:t>
      </w:r>
      <w:proofErr w:type="spellStart"/>
      <w:r w:rsidRPr="00E61FD4">
        <w:rPr>
          <w:rFonts w:cs="Times New Roman"/>
        </w:rPr>
        <w:t>SoB</w:t>
      </w:r>
      <w:proofErr w:type="spellEnd"/>
      <w:r w:rsidRPr="00E61FD4">
        <w:rPr>
          <w:rFonts w:cs="Times New Roman"/>
        </w:rPr>
        <w:t xml:space="preserve"> domain favoured </w:t>
      </w:r>
      <w:r w:rsidR="00E5063D" w:rsidRPr="00E61FD4">
        <w:rPr>
          <w:rFonts w:cs="Times New Roman"/>
        </w:rPr>
        <w:t>CAMZYOS</w:t>
      </w:r>
      <w:r w:rsidR="00A40C89" w:rsidRPr="00E61FD4">
        <w:rPr>
          <w:rFonts w:cs="Times New Roman"/>
        </w:rPr>
        <w:t xml:space="preserve"> </w:t>
      </w:r>
      <w:r w:rsidRPr="00E61FD4">
        <w:rPr>
          <w:rFonts w:cs="Times New Roman"/>
        </w:rPr>
        <w:t xml:space="preserve">compared to placebo at Week 30. The mean improvement from baseline on the HCMSQ </w:t>
      </w:r>
      <w:proofErr w:type="spellStart"/>
      <w:r w:rsidRPr="00E61FD4">
        <w:rPr>
          <w:rFonts w:cs="Times New Roman"/>
        </w:rPr>
        <w:t>SoB</w:t>
      </w:r>
      <w:proofErr w:type="spellEnd"/>
      <w:r w:rsidRPr="00E61FD4">
        <w:rPr>
          <w:rFonts w:cs="Times New Roman"/>
        </w:rPr>
        <w:t xml:space="preserve"> domain was greater in the </w:t>
      </w:r>
      <w:r w:rsidR="00E5063D" w:rsidRPr="00E61FD4">
        <w:rPr>
          <w:rFonts w:cs="Times New Roman"/>
        </w:rPr>
        <w:t>CAMZYOS</w:t>
      </w:r>
      <w:r w:rsidR="00A40C89" w:rsidRPr="00E61FD4">
        <w:rPr>
          <w:rFonts w:cs="Times New Roman"/>
        </w:rPr>
        <w:t xml:space="preserve"> </w:t>
      </w:r>
      <w:r w:rsidRPr="00E61FD4">
        <w:rPr>
          <w:rFonts w:cs="Times New Roman"/>
        </w:rPr>
        <w:t>arm compared to placebo at Week 30 (p &lt; 0.0001), with effects observed as early as 4 weeks (</w:t>
      </w:r>
      <w:r w:rsidR="00415308" w:rsidRPr="00E61FD4">
        <w:rPr>
          <w:rFonts w:cs="Times New Roman"/>
        </w:rPr>
        <w:fldChar w:fldCharType="begin"/>
      </w:r>
      <w:r w:rsidR="00415308" w:rsidRPr="00E61FD4">
        <w:rPr>
          <w:rFonts w:cs="Times New Roman"/>
        </w:rPr>
        <w:instrText xml:space="preserve"> REF _Ref75264104 \h </w:instrText>
      </w:r>
      <w:r w:rsidR="00DD316B" w:rsidRPr="00E61FD4">
        <w:rPr>
          <w:rFonts w:cs="Times New Roman"/>
        </w:rPr>
        <w:instrText xml:space="preserve"> \* MERGEFORMAT </w:instrText>
      </w:r>
      <w:r w:rsidR="00415308" w:rsidRPr="00E61FD4">
        <w:rPr>
          <w:rFonts w:cs="Times New Roman"/>
        </w:rPr>
      </w:r>
      <w:r w:rsidR="00415308" w:rsidRPr="00E61FD4">
        <w:rPr>
          <w:rFonts w:cs="Times New Roman"/>
        </w:rPr>
        <w:fldChar w:fldCharType="separate"/>
      </w:r>
      <w:r w:rsidR="00E61FD4" w:rsidRPr="00E61FD4">
        <w:t xml:space="preserve">Figure </w:t>
      </w:r>
      <w:r w:rsidR="00E61FD4">
        <w:rPr>
          <w:noProof/>
        </w:rPr>
        <w:t>7</w:t>
      </w:r>
      <w:r w:rsidR="00415308" w:rsidRPr="00E61FD4">
        <w:rPr>
          <w:rFonts w:cs="Times New Roman"/>
        </w:rPr>
        <w:fldChar w:fldCharType="end"/>
      </w:r>
      <w:r w:rsidRPr="00E61FD4">
        <w:rPr>
          <w:rFonts w:cs="Times New Roman"/>
        </w:rPr>
        <w:t>).</w:t>
      </w:r>
    </w:p>
    <w:p w14:paraId="2227501C" w14:textId="1F6BE0A2" w:rsidR="00D53910" w:rsidRPr="00E61FD4" w:rsidRDefault="003A222B" w:rsidP="003A222B">
      <w:pPr>
        <w:pStyle w:val="Caption"/>
        <w:keepNext/>
        <w:jc w:val="left"/>
        <w:rPr>
          <w:szCs w:val="22"/>
        </w:rPr>
      </w:pPr>
      <w:bookmarkStart w:id="27" w:name="_Ref75264104"/>
      <w:r w:rsidRPr="00E61FD4">
        <w:lastRenderedPageBreak/>
        <w:t xml:space="preserve">Figure </w:t>
      </w:r>
      <w:r w:rsidRPr="00E61FD4">
        <w:fldChar w:fldCharType="begin"/>
      </w:r>
      <w:r w:rsidRPr="00E61FD4">
        <w:instrText>SEQ Figure \* ARABIC</w:instrText>
      </w:r>
      <w:r w:rsidRPr="00E61FD4">
        <w:fldChar w:fldCharType="separate"/>
      </w:r>
      <w:r w:rsidR="00E61FD4">
        <w:rPr>
          <w:noProof/>
        </w:rPr>
        <w:t>7</w:t>
      </w:r>
      <w:r w:rsidRPr="00E61FD4">
        <w:fldChar w:fldCharType="end"/>
      </w:r>
      <w:bookmarkEnd w:id="27"/>
      <w:r w:rsidRPr="00E61FD4">
        <w:t xml:space="preserve"> </w:t>
      </w:r>
      <w:r w:rsidR="00D53910" w:rsidRPr="00E61FD4">
        <w:rPr>
          <w:szCs w:val="22"/>
        </w:rPr>
        <w:t xml:space="preserve">HCMSQ </w:t>
      </w:r>
      <w:proofErr w:type="spellStart"/>
      <w:r w:rsidR="00D53910" w:rsidRPr="00E61FD4">
        <w:rPr>
          <w:szCs w:val="22"/>
        </w:rPr>
        <w:t>SoB</w:t>
      </w:r>
      <w:proofErr w:type="spellEnd"/>
      <w:r w:rsidR="00D53910" w:rsidRPr="00E61FD4">
        <w:rPr>
          <w:szCs w:val="22"/>
        </w:rPr>
        <w:t xml:space="preserve"> domain: Mean change from baseline over time</w:t>
      </w:r>
    </w:p>
    <w:p w14:paraId="59390F0C" w14:textId="77777777" w:rsidR="00D53910" w:rsidRPr="00E61FD4" w:rsidRDefault="00D53910" w:rsidP="00D53910">
      <w:pPr>
        <w:pStyle w:val="EMEABodyText"/>
        <w:rPr>
          <w:noProof/>
          <w:color w:val="002060"/>
          <w:szCs w:val="24"/>
          <w:lang w:eastAsia="en-GB"/>
        </w:rPr>
      </w:pPr>
      <w:r w:rsidRPr="00E61FD4">
        <w:rPr>
          <w:noProof/>
        </w:rPr>
        <w:drawing>
          <wp:inline distT="0" distB="0" distL="0" distR="0" wp14:anchorId="03078B89" wp14:editId="5380BCDE">
            <wp:extent cx="5346698" cy="272524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46698" cy="2725247"/>
                    </a:xfrm>
                    <a:prstGeom prst="rect">
                      <a:avLst/>
                    </a:prstGeom>
                  </pic:spPr>
                </pic:pic>
              </a:graphicData>
            </a:graphic>
          </wp:inline>
        </w:drawing>
      </w:r>
    </w:p>
    <w:p w14:paraId="7D032722" w14:textId="77777777" w:rsidR="00D53910" w:rsidRPr="00E61FD4" w:rsidRDefault="00D53910" w:rsidP="00946721">
      <w:pPr>
        <w:pStyle w:val="EMEABodyText"/>
        <w:spacing w:after="120"/>
      </w:pPr>
    </w:p>
    <w:p w14:paraId="7D013324" w14:textId="29063602" w:rsidR="00D53910" w:rsidRPr="00E61FD4" w:rsidRDefault="00D53910" w:rsidP="00946721">
      <w:pPr>
        <w:spacing w:after="120"/>
        <w:rPr>
          <w:rFonts w:cs="Times New Roman"/>
        </w:rPr>
      </w:pPr>
      <w:r w:rsidRPr="00E61FD4">
        <w:rPr>
          <w:rFonts w:cs="Times New Roman"/>
        </w:rPr>
        <w:t xml:space="preserve">A greater proportion of patients taking </w:t>
      </w:r>
      <w:r w:rsidR="00E5063D" w:rsidRPr="00E61FD4">
        <w:rPr>
          <w:rFonts w:cs="Times New Roman"/>
        </w:rPr>
        <w:t>CAMZYOS</w:t>
      </w:r>
      <w:r w:rsidR="00A40C89" w:rsidRPr="00E61FD4">
        <w:rPr>
          <w:rFonts w:cs="Times New Roman"/>
        </w:rPr>
        <w:t xml:space="preserve"> </w:t>
      </w:r>
      <w:r w:rsidRPr="00E61FD4">
        <w:rPr>
          <w:rFonts w:cs="Times New Roman"/>
        </w:rPr>
        <w:t>compared to placebo achieved a clinically meaningful improvement of ≤ </w:t>
      </w:r>
      <w:r w:rsidRPr="00E61FD4">
        <w:rPr>
          <w:rFonts w:cs="Times New Roman"/>
        </w:rPr>
        <w:noBreakHyphen/>
        <w:t xml:space="preserve">2.5 points between baseline and Week 30 in the HCMSQ </w:t>
      </w:r>
      <w:proofErr w:type="spellStart"/>
      <w:r w:rsidRPr="00E61FD4">
        <w:rPr>
          <w:rFonts w:cs="Times New Roman"/>
        </w:rPr>
        <w:t>SoB</w:t>
      </w:r>
      <w:proofErr w:type="spellEnd"/>
      <w:r w:rsidRPr="00E61FD4">
        <w:rPr>
          <w:rFonts w:cs="Times New Roman"/>
        </w:rPr>
        <w:t xml:space="preserve"> domain (</w:t>
      </w:r>
      <w:r w:rsidR="00415308" w:rsidRPr="00E61FD4">
        <w:rPr>
          <w:rFonts w:cs="Times New Roman"/>
        </w:rPr>
        <w:fldChar w:fldCharType="begin"/>
      </w:r>
      <w:r w:rsidR="00415308" w:rsidRPr="00E61FD4">
        <w:rPr>
          <w:rFonts w:cs="Times New Roman"/>
        </w:rPr>
        <w:instrText xml:space="preserve"> REF _Ref75264117 \h </w:instrText>
      </w:r>
      <w:r w:rsidR="00CD2A7F" w:rsidRPr="00E61FD4">
        <w:rPr>
          <w:rFonts w:cs="Times New Roman"/>
        </w:rPr>
        <w:instrText xml:space="preserve"> \* MERGEFORMAT </w:instrText>
      </w:r>
      <w:r w:rsidR="00415308" w:rsidRPr="00E61FD4">
        <w:rPr>
          <w:rFonts w:cs="Times New Roman"/>
        </w:rPr>
      </w:r>
      <w:r w:rsidR="00415308" w:rsidRPr="00E61FD4">
        <w:rPr>
          <w:rFonts w:cs="Times New Roman"/>
        </w:rPr>
        <w:fldChar w:fldCharType="separate"/>
      </w:r>
      <w:r w:rsidR="00E61FD4" w:rsidRPr="00E61FD4">
        <w:t xml:space="preserve">Figure </w:t>
      </w:r>
      <w:r w:rsidR="00E61FD4">
        <w:rPr>
          <w:noProof/>
        </w:rPr>
        <w:t>8</w:t>
      </w:r>
      <w:r w:rsidR="00415308" w:rsidRPr="00E61FD4">
        <w:rPr>
          <w:rFonts w:cs="Times New Roman"/>
        </w:rPr>
        <w:fldChar w:fldCharType="end"/>
      </w:r>
      <w:r w:rsidRPr="00E61FD4">
        <w:rPr>
          <w:rFonts w:cs="Times New Roman"/>
        </w:rPr>
        <w:t>).</w:t>
      </w:r>
    </w:p>
    <w:p w14:paraId="4167D763" w14:textId="12386D93" w:rsidR="00D53910" w:rsidRPr="00E61FD4" w:rsidRDefault="003A222B" w:rsidP="003A222B">
      <w:pPr>
        <w:pStyle w:val="Caption"/>
        <w:keepNext/>
        <w:jc w:val="left"/>
        <w:rPr>
          <w:szCs w:val="22"/>
        </w:rPr>
      </w:pPr>
      <w:bookmarkStart w:id="28" w:name="_Ref75264117"/>
      <w:bookmarkStart w:id="29" w:name="_Toc47276157"/>
      <w:bookmarkStart w:id="30" w:name="_Toc47298261"/>
      <w:r w:rsidRPr="00E61FD4">
        <w:t xml:space="preserve">Figure </w:t>
      </w:r>
      <w:r w:rsidRPr="00E61FD4">
        <w:fldChar w:fldCharType="begin"/>
      </w:r>
      <w:r w:rsidRPr="00E61FD4">
        <w:instrText>SEQ Figure \* ARABIC</w:instrText>
      </w:r>
      <w:r w:rsidRPr="00E61FD4">
        <w:fldChar w:fldCharType="separate"/>
      </w:r>
      <w:r w:rsidR="00E61FD4">
        <w:rPr>
          <w:noProof/>
        </w:rPr>
        <w:t>8</w:t>
      </w:r>
      <w:r w:rsidRPr="00E61FD4">
        <w:fldChar w:fldCharType="end"/>
      </w:r>
      <w:bookmarkEnd w:id="28"/>
      <w:r w:rsidRPr="00E61FD4">
        <w:t xml:space="preserve"> </w:t>
      </w:r>
      <w:r w:rsidR="00D53910" w:rsidRPr="00E61FD4">
        <w:rPr>
          <w:szCs w:val="22"/>
        </w:rPr>
        <w:t xml:space="preserve">HCMSQ </w:t>
      </w:r>
      <w:proofErr w:type="spellStart"/>
      <w:r w:rsidR="00D53910" w:rsidRPr="00E61FD4">
        <w:rPr>
          <w:szCs w:val="22"/>
        </w:rPr>
        <w:t>SoB</w:t>
      </w:r>
      <w:proofErr w:type="spellEnd"/>
      <w:r w:rsidR="00D53910" w:rsidRPr="00E61FD4">
        <w:rPr>
          <w:szCs w:val="22"/>
        </w:rPr>
        <w:t xml:space="preserve"> Domain: Cumulative distribution of change from baseline to Week 30</w:t>
      </w:r>
      <w:bookmarkEnd w:id="29"/>
      <w:bookmarkEnd w:id="30"/>
    </w:p>
    <w:p w14:paraId="47BEC0D7" w14:textId="077C6667" w:rsidR="00D53910" w:rsidRPr="00E61FD4" w:rsidRDefault="5E941371" w:rsidP="5E941371">
      <w:pPr>
        <w:pStyle w:val="EMEABodyText"/>
      </w:pPr>
      <w:r w:rsidRPr="00E61FD4">
        <w:rPr>
          <w:noProof/>
        </w:rPr>
        <w:drawing>
          <wp:inline distT="0" distB="0" distL="0" distR="0" wp14:anchorId="74E96266" wp14:editId="62D45284">
            <wp:extent cx="5499896" cy="3105150"/>
            <wp:effectExtent l="0" t="0" r="0" b="0"/>
            <wp:docPr id="1421329845" name="Picture 142132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499896" cy="3105150"/>
                    </a:xfrm>
                    <a:prstGeom prst="rect">
                      <a:avLst/>
                    </a:prstGeom>
                  </pic:spPr>
                </pic:pic>
              </a:graphicData>
            </a:graphic>
          </wp:inline>
        </w:drawing>
      </w:r>
    </w:p>
    <w:p w14:paraId="261C7E38" w14:textId="18153385" w:rsidR="00AE7C1F" w:rsidRPr="00E61FD4" w:rsidRDefault="00AE7C1F" w:rsidP="00AE7C1F">
      <w:pPr>
        <w:spacing w:after="120"/>
        <w:rPr>
          <w:rFonts w:cs="Times New Roman"/>
          <w:sz w:val="18"/>
          <w:szCs w:val="18"/>
        </w:rPr>
      </w:pPr>
      <w:r w:rsidRPr="00E61FD4">
        <w:rPr>
          <w:rFonts w:cs="Times New Roman"/>
          <w:sz w:val="18"/>
          <w:szCs w:val="18"/>
        </w:rPr>
        <w:t>The figure displays the cumulative percentage of patients achieving a certain level of response.</w:t>
      </w:r>
    </w:p>
    <w:p w14:paraId="0066353C" w14:textId="77777777" w:rsidR="00AE7C1F" w:rsidRPr="00E61FD4" w:rsidRDefault="00AE7C1F" w:rsidP="00AE7C1F">
      <w:pPr>
        <w:spacing w:after="120"/>
        <w:rPr>
          <w:rFonts w:cs="Times New Roman"/>
          <w:sz w:val="18"/>
          <w:szCs w:val="18"/>
        </w:rPr>
      </w:pPr>
    </w:p>
    <w:p w14:paraId="678F2BB0" w14:textId="4FC4ACB6" w:rsidR="001A3992" w:rsidRPr="00E61FD4" w:rsidRDefault="00E61227" w:rsidP="009315FA">
      <w:pPr>
        <w:pStyle w:val="Heading2"/>
        <w:pageBreakBefore/>
        <w:ind w:left="811" w:hanging="811"/>
      </w:pPr>
      <w:r w:rsidRPr="00E61FD4">
        <w:lastRenderedPageBreak/>
        <w:t>Pharmacokinetic properties</w:t>
      </w:r>
    </w:p>
    <w:p w14:paraId="77F06320" w14:textId="23399929" w:rsidR="0013698B" w:rsidRPr="00E61FD4" w:rsidRDefault="00933890" w:rsidP="00933890">
      <w:pPr>
        <w:rPr>
          <w:rFonts w:cs="Times New Roman"/>
        </w:rPr>
      </w:pPr>
      <w:r w:rsidRPr="00E61FD4">
        <w:rPr>
          <w:rFonts w:cs="Times New Roman"/>
        </w:rPr>
        <w:t>Mavacamten has a variable terminal t</w:t>
      </w:r>
      <w:r w:rsidRPr="00E61FD4">
        <w:rPr>
          <w:rStyle w:val="BMSSubscript"/>
        </w:rPr>
        <w:t>1/2</w:t>
      </w:r>
      <w:r w:rsidRPr="00E61FD4">
        <w:rPr>
          <w:rFonts w:cs="Times New Roman"/>
        </w:rPr>
        <w:t xml:space="preserve"> that depends on CYP 2C19 metabolic status (6-9 days in normal metaboli</w:t>
      </w:r>
      <w:r w:rsidR="000C52D5" w:rsidRPr="00E61FD4">
        <w:rPr>
          <w:rFonts w:cs="Times New Roman"/>
        </w:rPr>
        <w:t>s</w:t>
      </w:r>
      <w:r w:rsidRPr="00E61FD4">
        <w:rPr>
          <w:rFonts w:cs="Times New Roman"/>
        </w:rPr>
        <w:t>ers and 23</w:t>
      </w:r>
      <w:r w:rsidR="006E1B2C" w:rsidRPr="00E61FD4">
        <w:rPr>
          <w:rFonts w:cs="Times New Roman"/>
        </w:rPr>
        <w:t> </w:t>
      </w:r>
      <w:r w:rsidRPr="00E61FD4">
        <w:rPr>
          <w:rFonts w:cs="Times New Roman"/>
        </w:rPr>
        <w:t>days in poor metaboli</w:t>
      </w:r>
      <w:r w:rsidR="000C52D5" w:rsidRPr="00E61FD4">
        <w:rPr>
          <w:rFonts w:cs="Times New Roman"/>
        </w:rPr>
        <w:t>s</w:t>
      </w:r>
      <w:r w:rsidRPr="00E61FD4">
        <w:rPr>
          <w:rFonts w:cs="Times New Roman"/>
        </w:rPr>
        <w:t>ers). Exposure to mavacamten increased approximately dose proportionally between 2</w:t>
      </w:r>
      <w:r w:rsidR="006E1B2C" w:rsidRPr="00E61FD4">
        <w:rPr>
          <w:rFonts w:cs="Times New Roman"/>
        </w:rPr>
        <w:t> </w:t>
      </w:r>
      <w:r w:rsidRPr="00E61FD4">
        <w:rPr>
          <w:rFonts w:cs="Times New Roman"/>
        </w:rPr>
        <w:t>mg and 48</w:t>
      </w:r>
      <w:r w:rsidR="006E1B2C" w:rsidRPr="00E61FD4">
        <w:rPr>
          <w:rFonts w:cs="Times New Roman"/>
        </w:rPr>
        <w:t> </w:t>
      </w:r>
      <w:r w:rsidRPr="00E61FD4">
        <w:rPr>
          <w:rFonts w:cs="Times New Roman"/>
        </w:rPr>
        <w:t>mg.</w:t>
      </w:r>
    </w:p>
    <w:p w14:paraId="7A8BF47F" w14:textId="3DA5F203" w:rsidR="001A3992" w:rsidRPr="00E61FD4" w:rsidRDefault="001A3992" w:rsidP="008E41AB">
      <w:pPr>
        <w:pStyle w:val="Heading3"/>
      </w:pPr>
      <w:r w:rsidRPr="00E61FD4">
        <w:t>Absorption</w:t>
      </w:r>
    </w:p>
    <w:p w14:paraId="70EEB33A" w14:textId="158D2085" w:rsidR="0072524E" w:rsidRPr="00E61FD4" w:rsidRDefault="0072524E" w:rsidP="00330580">
      <w:pPr>
        <w:spacing w:after="120"/>
        <w:rPr>
          <w:rFonts w:cs="Times New Roman"/>
        </w:rPr>
      </w:pPr>
      <w:bookmarkStart w:id="31" w:name="_Hlk79738904"/>
      <w:r w:rsidRPr="00E61FD4">
        <w:rPr>
          <w:rFonts w:cs="Times New Roman"/>
        </w:rPr>
        <w:t>Mavacamten is readily absorbed (</w:t>
      </w:r>
      <w:proofErr w:type="spellStart"/>
      <w:r w:rsidRPr="00E61FD4">
        <w:rPr>
          <w:rFonts w:cs="Times New Roman"/>
        </w:rPr>
        <w:t>tmax</w:t>
      </w:r>
      <w:proofErr w:type="spellEnd"/>
      <w:r w:rsidRPr="00E61FD4">
        <w:rPr>
          <w:rFonts w:cs="Times New Roman"/>
        </w:rPr>
        <w:t xml:space="preserve"> of 1 hour) after oral administration with an estimated oral bioavailability of approximately 85% within the clinical dose range. The increase in mavacamten exposure is generally dose proportional after once daily doses of mavacamten (2</w:t>
      </w:r>
      <w:r w:rsidR="006E1B2C" w:rsidRPr="00E61FD4">
        <w:rPr>
          <w:rFonts w:cs="Times New Roman"/>
        </w:rPr>
        <w:t> </w:t>
      </w:r>
      <w:r w:rsidRPr="00E61FD4">
        <w:rPr>
          <w:rFonts w:cs="Times New Roman"/>
        </w:rPr>
        <w:t>mg to 48</w:t>
      </w:r>
      <w:r w:rsidR="006E1B2C" w:rsidRPr="00E61FD4">
        <w:rPr>
          <w:rFonts w:cs="Times New Roman"/>
        </w:rPr>
        <w:t> </w:t>
      </w:r>
      <w:r w:rsidRPr="00E61FD4">
        <w:rPr>
          <w:rFonts w:cs="Times New Roman"/>
        </w:rPr>
        <w:t>mg).</w:t>
      </w:r>
    </w:p>
    <w:bookmarkEnd w:id="31"/>
    <w:p w14:paraId="105EA2FF" w14:textId="77777777" w:rsidR="0072524E" w:rsidRPr="00E61FD4" w:rsidRDefault="0072524E" w:rsidP="000143BD">
      <w:pPr>
        <w:pStyle w:val="Heading4"/>
      </w:pPr>
      <w:r w:rsidRPr="00E61FD4">
        <w:t>Effect of Food</w:t>
      </w:r>
    </w:p>
    <w:p w14:paraId="78C94CF9" w14:textId="2FA02C13" w:rsidR="0072524E" w:rsidRPr="00E61FD4" w:rsidRDefault="0072524E" w:rsidP="00330580">
      <w:pPr>
        <w:spacing w:after="120"/>
        <w:rPr>
          <w:rFonts w:cs="Times New Roman"/>
        </w:rPr>
      </w:pPr>
      <w:r w:rsidRPr="00E61FD4">
        <w:rPr>
          <w:rFonts w:cs="Times New Roman"/>
        </w:rPr>
        <w:t xml:space="preserve">A high fat, high calorie meal delayed absorption resulting in a </w:t>
      </w:r>
      <w:proofErr w:type="spellStart"/>
      <w:r w:rsidRPr="00E61FD4">
        <w:rPr>
          <w:rFonts w:cs="Times New Roman"/>
        </w:rPr>
        <w:t>tmax</w:t>
      </w:r>
      <w:proofErr w:type="spellEnd"/>
      <w:r w:rsidRPr="00E61FD4">
        <w:rPr>
          <w:rFonts w:cs="Times New Roman"/>
        </w:rPr>
        <w:t xml:space="preserve"> of 4</w:t>
      </w:r>
      <w:r w:rsidR="006E1B2C" w:rsidRPr="00E61FD4">
        <w:rPr>
          <w:rFonts w:cs="Times New Roman"/>
        </w:rPr>
        <w:t> </w:t>
      </w:r>
      <w:r w:rsidRPr="00E61FD4">
        <w:rPr>
          <w:rFonts w:cs="Times New Roman"/>
        </w:rPr>
        <w:t xml:space="preserve">hours in the fed state compared to 1 hour in the fasted state. Administration with food resulted in a 13% decrease in AUC0-inf, however this decrease is not considered clinically significant. </w:t>
      </w:r>
      <w:r w:rsidR="00E5063D" w:rsidRPr="00E61FD4">
        <w:rPr>
          <w:rFonts w:cs="Times New Roman"/>
        </w:rPr>
        <w:t>CAMZYOS</w:t>
      </w:r>
      <w:r w:rsidRPr="00E61FD4">
        <w:rPr>
          <w:rFonts w:cs="Times New Roman"/>
        </w:rPr>
        <w:t xml:space="preserve"> may be administered </w:t>
      </w:r>
      <w:r w:rsidR="0052428C" w:rsidRPr="00E61FD4">
        <w:rPr>
          <w:rFonts w:cs="Times New Roman"/>
        </w:rPr>
        <w:t xml:space="preserve">with or </w:t>
      </w:r>
      <w:r w:rsidRPr="00E61FD4">
        <w:rPr>
          <w:rFonts w:cs="Times New Roman"/>
        </w:rPr>
        <w:t>without food.</w:t>
      </w:r>
    </w:p>
    <w:p w14:paraId="662FAC1D" w14:textId="181FD3ED" w:rsidR="001A3992" w:rsidRPr="00E61FD4" w:rsidRDefault="001A3992" w:rsidP="008E41AB">
      <w:pPr>
        <w:pStyle w:val="Heading3"/>
      </w:pPr>
      <w:r w:rsidRPr="00E61FD4">
        <w:t>Distribution</w:t>
      </w:r>
    </w:p>
    <w:p w14:paraId="06F4A347" w14:textId="07A44543" w:rsidR="003B7AB7" w:rsidRPr="00E61FD4" w:rsidRDefault="003B7AB7" w:rsidP="00D436CE">
      <w:pPr>
        <w:spacing w:after="120"/>
        <w:rPr>
          <w:rFonts w:cs="Times New Roman"/>
        </w:rPr>
      </w:pPr>
      <w:r w:rsidRPr="00E61FD4">
        <w:rPr>
          <w:rFonts w:cs="Times New Roman"/>
        </w:rPr>
        <w:t>Specific studies to assess distribution of mavacamten have not been conducted in humans, however data are consistent with a high volume of distribution. Plasma protein binding of mavacamten is 97-98% in clinical studies. The blood-to-plasma concentration ratio is 0.79.</w:t>
      </w:r>
    </w:p>
    <w:p w14:paraId="1811EFA9" w14:textId="2EC7B21D" w:rsidR="003B7AB7" w:rsidRPr="00E61FD4" w:rsidRDefault="003B7AB7" w:rsidP="00D436CE">
      <w:pPr>
        <w:spacing w:after="120"/>
        <w:rPr>
          <w:rFonts w:cs="Times New Roman"/>
        </w:rPr>
      </w:pPr>
      <w:r w:rsidRPr="00E61FD4">
        <w:rPr>
          <w:rFonts w:cs="Times New Roman"/>
        </w:rPr>
        <w:t>Based upon measurements of mavacamten in semen of 10 male subjects who received either an 18.5</w:t>
      </w:r>
      <w:r w:rsidR="000F0630" w:rsidRPr="00E61FD4">
        <w:rPr>
          <w:rFonts w:cs="Times New Roman"/>
        </w:rPr>
        <w:t> </w:t>
      </w:r>
      <w:r w:rsidRPr="00E61FD4">
        <w:rPr>
          <w:rFonts w:cs="Times New Roman"/>
        </w:rPr>
        <w:t>mg (n=4) or 25 mg (n=6) dose for up to 28</w:t>
      </w:r>
      <w:r w:rsidR="009571DC" w:rsidRPr="00E61FD4">
        <w:rPr>
          <w:rFonts w:cs="Times New Roman"/>
        </w:rPr>
        <w:t> </w:t>
      </w:r>
      <w:r w:rsidRPr="00E61FD4">
        <w:rPr>
          <w:rFonts w:cs="Times New Roman"/>
        </w:rPr>
        <w:t>days, the mean (SD) mavacamten semen-to-plasma ratio was 0.039 (0.0047) and 0.044 (0.016), respectively.</w:t>
      </w:r>
    </w:p>
    <w:p w14:paraId="4DEAB7AA" w14:textId="312841A5" w:rsidR="001A3992" w:rsidRPr="00E61FD4" w:rsidRDefault="001A3992" w:rsidP="008E41AB">
      <w:pPr>
        <w:pStyle w:val="Heading3"/>
      </w:pPr>
      <w:r w:rsidRPr="00E61FD4">
        <w:t>Metabolism</w:t>
      </w:r>
    </w:p>
    <w:p w14:paraId="706B14E8" w14:textId="7E0947AB" w:rsidR="00D436CE" w:rsidRPr="00E61FD4" w:rsidRDefault="00D436CE" w:rsidP="00D436CE">
      <w:pPr>
        <w:spacing w:after="120"/>
        <w:rPr>
          <w:rFonts w:cs="Times New Roman"/>
        </w:rPr>
      </w:pPr>
      <w:r w:rsidRPr="00E61FD4">
        <w:rPr>
          <w:rFonts w:cs="Times New Roman"/>
        </w:rPr>
        <w:t>Mavacamten is extensively metaboli</w:t>
      </w:r>
      <w:r w:rsidR="000C52D5" w:rsidRPr="00E61FD4">
        <w:rPr>
          <w:rFonts w:cs="Times New Roman"/>
        </w:rPr>
        <w:t>s</w:t>
      </w:r>
      <w:r w:rsidRPr="00E61FD4">
        <w:rPr>
          <w:rFonts w:cs="Times New Roman"/>
        </w:rPr>
        <w:t>ed, primarily through CYP 2C19 (74%), CYP 3A4 (18%), and CYP 2C9 (7.6%). Three metabolites have been detected in human plasma. The exposure of the most abundant metabolite MYK-1078 in human plasma was less than 4% of the exposure of mavacamten, and the other two metabolites had exposures less than 3% of the exposure of mavacamten indicating these would have minimal to no impact on the overall activity of mavacamten.</w:t>
      </w:r>
    </w:p>
    <w:p w14:paraId="4094DA83" w14:textId="0732AE71" w:rsidR="001A3992" w:rsidRPr="00E61FD4" w:rsidRDefault="001A3992" w:rsidP="008E41AB">
      <w:pPr>
        <w:pStyle w:val="Heading3"/>
      </w:pPr>
      <w:bookmarkStart w:id="32" w:name="_Hlk79739374"/>
      <w:r w:rsidRPr="00E61FD4">
        <w:t>E</w:t>
      </w:r>
      <w:r w:rsidR="001D6FD0" w:rsidRPr="00E61FD4">
        <w:t>limination</w:t>
      </w:r>
    </w:p>
    <w:p w14:paraId="0E9E2B11" w14:textId="3FCDDA5C" w:rsidR="001D6FD0" w:rsidRPr="00E61FD4" w:rsidRDefault="001D6FD0" w:rsidP="001D6FD0">
      <w:pPr>
        <w:spacing w:after="120"/>
        <w:rPr>
          <w:rFonts w:cs="Times New Roman"/>
        </w:rPr>
      </w:pPr>
      <w:r w:rsidRPr="00E61FD4">
        <w:rPr>
          <w:rFonts w:cs="Times New Roman"/>
        </w:rPr>
        <w:t>Mavacamten is cleared from plasma primarily by metabolism through cytochrome P450</w:t>
      </w:r>
      <w:r w:rsidR="00BA4A97" w:rsidRPr="00E61FD4">
        <w:rPr>
          <w:rFonts w:cs="Times New Roman"/>
        </w:rPr>
        <w:t xml:space="preserve"> </w:t>
      </w:r>
      <w:r w:rsidRPr="00E61FD4">
        <w:rPr>
          <w:rFonts w:cs="Times New Roman"/>
        </w:rPr>
        <w:t>enzymes. Terminal half-life is 6-9 days in CYP 2C19 NM. Drug</w:t>
      </w:r>
      <w:r w:rsidR="00BA4A97" w:rsidRPr="00E61FD4">
        <w:rPr>
          <w:rFonts w:cs="Times New Roman"/>
        </w:rPr>
        <w:t xml:space="preserve"> </w:t>
      </w:r>
      <w:r w:rsidRPr="00E61FD4">
        <w:rPr>
          <w:rFonts w:cs="Times New Roman"/>
        </w:rPr>
        <w:t>accumulation occurs with an accumulation ratio about 2-fold for Cmax and about 7-fold for AUC.</w:t>
      </w:r>
    </w:p>
    <w:p w14:paraId="60EE8AB7" w14:textId="18C66725" w:rsidR="001D6FD0" w:rsidRPr="00E61FD4" w:rsidRDefault="001D6FD0" w:rsidP="001D6FD0">
      <w:pPr>
        <w:spacing w:after="120"/>
        <w:rPr>
          <w:rFonts w:cs="Times New Roman"/>
        </w:rPr>
      </w:pPr>
      <w:r w:rsidRPr="00E61FD4">
        <w:rPr>
          <w:rFonts w:cs="Times New Roman"/>
        </w:rPr>
        <w:t>At steady-state, the peak-to-trough plasma concentration ratio with once daily dosing is</w:t>
      </w:r>
      <w:r w:rsidR="00BA4A97" w:rsidRPr="00E61FD4">
        <w:rPr>
          <w:rFonts w:cs="Times New Roman"/>
        </w:rPr>
        <w:t xml:space="preserve"> </w:t>
      </w:r>
      <w:r w:rsidRPr="00E61FD4">
        <w:rPr>
          <w:rFonts w:cs="Times New Roman"/>
        </w:rPr>
        <w:t xml:space="preserve">approximately 1.5. </w:t>
      </w:r>
      <w:proofErr w:type="spellStart"/>
      <w:r w:rsidRPr="00E61FD4">
        <w:rPr>
          <w:rFonts w:cs="Times New Roman"/>
        </w:rPr>
        <w:t>Intersubject</w:t>
      </w:r>
      <w:proofErr w:type="spellEnd"/>
      <w:r w:rsidRPr="00E61FD4">
        <w:rPr>
          <w:rFonts w:cs="Times New Roman"/>
        </w:rPr>
        <w:t xml:space="preserve"> pharmacokinetic (PK) variability is moderate, with a</w:t>
      </w:r>
      <w:r w:rsidR="00BA4A97" w:rsidRPr="00E61FD4">
        <w:rPr>
          <w:rFonts w:cs="Times New Roman"/>
        </w:rPr>
        <w:t xml:space="preserve"> </w:t>
      </w:r>
      <w:r w:rsidRPr="00E61FD4">
        <w:rPr>
          <w:rFonts w:cs="Times New Roman"/>
        </w:rPr>
        <w:t>coefficient of variation for exposure in of approximately 30 to 50% for Cmax and AUC.</w:t>
      </w:r>
    </w:p>
    <w:p w14:paraId="3A4C7FEC" w14:textId="573EE286" w:rsidR="001D6FD0" w:rsidRPr="00E61FD4" w:rsidRDefault="001D6FD0" w:rsidP="000143BD">
      <w:pPr>
        <w:pStyle w:val="Heading4"/>
      </w:pPr>
      <w:r w:rsidRPr="00E61FD4">
        <w:t xml:space="preserve">CYP 2C19 PM - </w:t>
      </w:r>
      <w:r w:rsidR="00E9697E" w:rsidRPr="00E61FD4">
        <w:t>PM</w:t>
      </w:r>
    </w:p>
    <w:p w14:paraId="01D778E2" w14:textId="6448AC20" w:rsidR="001D6FD0" w:rsidRPr="00E61FD4" w:rsidRDefault="001D6FD0" w:rsidP="001D6FD0">
      <w:pPr>
        <w:spacing w:after="120"/>
        <w:rPr>
          <w:rFonts w:cs="Times New Roman"/>
        </w:rPr>
      </w:pPr>
      <w:r w:rsidRPr="00E61FD4">
        <w:rPr>
          <w:rFonts w:cs="Times New Roman"/>
        </w:rPr>
        <w:t>After a single dose of 15 mg mavacamten, Cmax and AUCinf increased by 47% and 241%,</w:t>
      </w:r>
      <w:r w:rsidR="00BA4A97" w:rsidRPr="00E61FD4">
        <w:rPr>
          <w:rFonts w:cs="Times New Roman"/>
        </w:rPr>
        <w:t xml:space="preserve"> </w:t>
      </w:r>
      <w:r w:rsidRPr="00E61FD4">
        <w:rPr>
          <w:rFonts w:cs="Times New Roman"/>
        </w:rPr>
        <w:t>respectively, in CYP 2C19 PM compared to NM. Mean half-life is</w:t>
      </w:r>
      <w:r w:rsidR="00BA4A97" w:rsidRPr="00E61FD4">
        <w:rPr>
          <w:rFonts w:cs="Times New Roman"/>
        </w:rPr>
        <w:t xml:space="preserve"> </w:t>
      </w:r>
      <w:r w:rsidRPr="00E61FD4">
        <w:rPr>
          <w:rFonts w:cs="Times New Roman"/>
        </w:rPr>
        <w:t>prolonged in CYP 2C19 PM compared to NM (23 days vs 6-9 days, respectively). The incidence</w:t>
      </w:r>
      <w:r w:rsidR="00BA4A97" w:rsidRPr="00E61FD4">
        <w:rPr>
          <w:rFonts w:cs="Times New Roman"/>
        </w:rPr>
        <w:t xml:space="preserve"> </w:t>
      </w:r>
      <w:r w:rsidRPr="00E61FD4">
        <w:rPr>
          <w:rFonts w:cs="Times New Roman"/>
        </w:rPr>
        <w:t>of CYP 2C19 PM ranges from approximately 2% in Caucasian to 18% in Asian populations.</w:t>
      </w:r>
    </w:p>
    <w:bookmarkEnd w:id="32"/>
    <w:p w14:paraId="42451473" w14:textId="77777777" w:rsidR="001D6FD0" w:rsidRPr="00E61FD4" w:rsidRDefault="001D6FD0" w:rsidP="000143BD">
      <w:pPr>
        <w:pStyle w:val="Heading4"/>
      </w:pPr>
      <w:r w:rsidRPr="00E61FD4">
        <w:lastRenderedPageBreak/>
        <w:t>Excretion</w:t>
      </w:r>
    </w:p>
    <w:p w14:paraId="7C9FF089" w14:textId="20DD1592" w:rsidR="00D436CE" w:rsidRPr="00E61FD4" w:rsidRDefault="001D6FD0" w:rsidP="001D6FD0">
      <w:pPr>
        <w:spacing w:after="120"/>
        <w:rPr>
          <w:rFonts w:cs="Times New Roman"/>
        </w:rPr>
      </w:pPr>
      <w:r w:rsidRPr="00E61FD4">
        <w:rPr>
          <w:rFonts w:cs="Times New Roman"/>
        </w:rPr>
        <w:t xml:space="preserve">Following a single 25 mg dose of 14C </w:t>
      </w:r>
      <w:proofErr w:type="spellStart"/>
      <w:r w:rsidRPr="00E61FD4">
        <w:rPr>
          <w:rFonts w:cs="Times New Roman"/>
        </w:rPr>
        <w:t>labeled</w:t>
      </w:r>
      <w:proofErr w:type="spellEnd"/>
      <w:r w:rsidRPr="00E61FD4">
        <w:rPr>
          <w:rFonts w:cs="Times New Roman"/>
        </w:rPr>
        <w:t xml:space="preserve"> </w:t>
      </w:r>
      <w:proofErr w:type="spellStart"/>
      <w:r w:rsidRPr="00E61FD4">
        <w:rPr>
          <w:rFonts w:cs="Times New Roman"/>
        </w:rPr>
        <w:t>mavacamten</w:t>
      </w:r>
      <w:proofErr w:type="spellEnd"/>
      <w:r w:rsidRPr="00E61FD4">
        <w:rPr>
          <w:rFonts w:cs="Times New Roman"/>
        </w:rPr>
        <w:t>, 7% and 85% of the total radioactivity</w:t>
      </w:r>
      <w:r w:rsidR="00BA4A97" w:rsidRPr="00E61FD4">
        <w:rPr>
          <w:rFonts w:cs="Times New Roman"/>
        </w:rPr>
        <w:t xml:space="preserve"> </w:t>
      </w:r>
      <w:r w:rsidRPr="00E61FD4">
        <w:rPr>
          <w:rFonts w:cs="Times New Roman"/>
        </w:rPr>
        <w:t xml:space="preserve">was recovered in the </w:t>
      </w:r>
      <w:r w:rsidR="000F0630" w:rsidRPr="00E61FD4">
        <w:rPr>
          <w:rFonts w:cs="Times New Roman"/>
        </w:rPr>
        <w:t>faeces</w:t>
      </w:r>
      <w:r w:rsidRPr="00E61FD4">
        <w:rPr>
          <w:rFonts w:cs="Times New Roman"/>
        </w:rPr>
        <w:t xml:space="preserve"> and urine, respectively. Unchanged drug accounted for approximately</w:t>
      </w:r>
      <w:r w:rsidR="00BA4A97" w:rsidRPr="00E61FD4">
        <w:rPr>
          <w:rFonts w:cs="Times New Roman"/>
        </w:rPr>
        <w:t xml:space="preserve"> </w:t>
      </w:r>
      <w:r w:rsidRPr="00E61FD4">
        <w:rPr>
          <w:rFonts w:cs="Times New Roman"/>
        </w:rPr>
        <w:t xml:space="preserve">1% and 3% of the administered dose in the </w:t>
      </w:r>
      <w:r w:rsidR="000F0630" w:rsidRPr="00E61FD4">
        <w:rPr>
          <w:rFonts w:cs="Times New Roman"/>
        </w:rPr>
        <w:t>faeces</w:t>
      </w:r>
      <w:r w:rsidRPr="00E61FD4">
        <w:rPr>
          <w:rFonts w:cs="Times New Roman"/>
        </w:rPr>
        <w:t xml:space="preserve"> and urine, respectively.</w:t>
      </w:r>
    </w:p>
    <w:p w14:paraId="1EDFE83E" w14:textId="71A88EEF" w:rsidR="00BA4A97" w:rsidRPr="00E61FD4" w:rsidRDefault="00BA4A97" w:rsidP="008E41AB">
      <w:pPr>
        <w:pStyle w:val="Heading3"/>
      </w:pPr>
      <w:r w:rsidRPr="00E61FD4">
        <w:t>Special populations</w:t>
      </w:r>
    </w:p>
    <w:p w14:paraId="5CB03EB1" w14:textId="56B3E257" w:rsidR="00BA4A97" w:rsidRPr="00E61FD4" w:rsidRDefault="00BA4A97" w:rsidP="00BA4A97">
      <w:pPr>
        <w:spacing w:after="120"/>
        <w:rPr>
          <w:rFonts w:cs="Times New Roman"/>
        </w:rPr>
      </w:pPr>
      <w:r w:rsidRPr="00E61FD4">
        <w:rPr>
          <w:rFonts w:cs="Times New Roman"/>
        </w:rPr>
        <w:t xml:space="preserve">No clinically significant differences in the pharmacokinetics of mavacamten were observed using population PK modelling based on age, sex, </w:t>
      </w:r>
      <w:proofErr w:type="gramStart"/>
      <w:r w:rsidRPr="00E61FD4">
        <w:rPr>
          <w:rFonts w:cs="Times New Roman"/>
        </w:rPr>
        <w:t>race</w:t>
      </w:r>
      <w:proofErr w:type="gramEnd"/>
      <w:r w:rsidRPr="00E61FD4">
        <w:rPr>
          <w:rFonts w:cs="Times New Roman"/>
        </w:rPr>
        <w:t xml:space="preserve"> or ethnicity.</w:t>
      </w:r>
    </w:p>
    <w:p w14:paraId="7061FCFE" w14:textId="753AFF0B" w:rsidR="00BA4A97" w:rsidRPr="00E61FD4" w:rsidRDefault="00BA4A97" w:rsidP="000143BD">
      <w:pPr>
        <w:pStyle w:val="Heading4"/>
      </w:pPr>
      <w:r w:rsidRPr="00E61FD4">
        <w:t>Renal impairment</w:t>
      </w:r>
    </w:p>
    <w:p w14:paraId="4E438F65" w14:textId="3CEFA9A4" w:rsidR="00BA4A97" w:rsidRPr="00E61FD4" w:rsidRDefault="00BA4A97" w:rsidP="00BA4A97">
      <w:pPr>
        <w:spacing w:after="120"/>
        <w:rPr>
          <w:rFonts w:cs="Times New Roman"/>
        </w:rPr>
      </w:pPr>
      <w:r w:rsidRPr="00E61FD4">
        <w:rPr>
          <w:rFonts w:cs="Times New Roman"/>
        </w:rPr>
        <w:t>Approximately 3% of a mavacamten dose is excreted in the urine as parent drug. A population</w:t>
      </w:r>
      <w:r w:rsidR="00276FBD" w:rsidRPr="00E61FD4">
        <w:rPr>
          <w:rFonts w:cs="Times New Roman"/>
        </w:rPr>
        <w:t xml:space="preserve"> </w:t>
      </w:r>
      <w:r w:rsidRPr="00E61FD4">
        <w:rPr>
          <w:rFonts w:cs="Times New Roman"/>
        </w:rPr>
        <w:t>PK analysis, which comprised eGFR levels down to 29.5</w:t>
      </w:r>
      <w:r w:rsidR="00AA4A7F" w:rsidRPr="00E61FD4">
        <w:rPr>
          <w:rFonts w:cs="Times New Roman"/>
        </w:rPr>
        <w:t> </w:t>
      </w:r>
      <w:r w:rsidRPr="00E61FD4">
        <w:rPr>
          <w:rFonts w:cs="Times New Roman"/>
        </w:rPr>
        <w:t>mL/min/1.73m2, demonstrated no</w:t>
      </w:r>
      <w:r w:rsidR="00276FBD" w:rsidRPr="00E61FD4">
        <w:rPr>
          <w:rFonts w:cs="Times New Roman"/>
        </w:rPr>
        <w:t xml:space="preserve"> </w:t>
      </w:r>
      <w:r w:rsidRPr="00E61FD4">
        <w:rPr>
          <w:rFonts w:cs="Times New Roman"/>
        </w:rPr>
        <w:t>correlation between renal function and exposure. A dedicated PK study has not been conducted</w:t>
      </w:r>
      <w:r w:rsidR="00276FBD" w:rsidRPr="00E61FD4">
        <w:rPr>
          <w:rFonts w:cs="Times New Roman"/>
        </w:rPr>
        <w:t xml:space="preserve"> </w:t>
      </w:r>
      <w:r w:rsidRPr="00E61FD4">
        <w:rPr>
          <w:rFonts w:cs="Times New Roman"/>
        </w:rPr>
        <w:t>in patients with severe renal impairment (&lt;</w:t>
      </w:r>
      <w:r w:rsidR="00AA4A7F" w:rsidRPr="00E61FD4">
        <w:rPr>
          <w:rFonts w:cs="Times New Roman"/>
        </w:rPr>
        <w:t> </w:t>
      </w:r>
      <w:r w:rsidRPr="00E61FD4">
        <w:rPr>
          <w:rFonts w:cs="Times New Roman"/>
        </w:rPr>
        <w:t xml:space="preserve">30 mL/min/1.73m2) (see </w:t>
      </w:r>
      <w:r w:rsidR="00197349" w:rsidRPr="00E61FD4">
        <w:rPr>
          <w:rFonts w:cs="Times New Roman"/>
        </w:rPr>
        <w:t>4.2 Dose and method of administration</w:t>
      </w:r>
      <w:r w:rsidRPr="00E61FD4">
        <w:rPr>
          <w:rFonts w:cs="Times New Roman"/>
        </w:rPr>
        <w:t>).</w:t>
      </w:r>
    </w:p>
    <w:p w14:paraId="10E0E4E5" w14:textId="5C7D0651" w:rsidR="00BA4A97" w:rsidRPr="00E61FD4" w:rsidRDefault="00BA4A97" w:rsidP="000143BD">
      <w:pPr>
        <w:pStyle w:val="Heading4"/>
      </w:pPr>
      <w:r w:rsidRPr="00E61FD4">
        <w:t>Hepatic impairment</w:t>
      </w:r>
    </w:p>
    <w:p w14:paraId="0AEB9A9D" w14:textId="57715C3D" w:rsidR="00BA4A97" w:rsidRPr="00E61FD4" w:rsidRDefault="00BA4A97" w:rsidP="00BA4A97">
      <w:pPr>
        <w:spacing w:after="120"/>
        <w:rPr>
          <w:rFonts w:cs="Times New Roman"/>
        </w:rPr>
      </w:pPr>
      <w:r w:rsidRPr="00E61FD4">
        <w:rPr>
          <w:rFonts w:cs="Times New Roman"/>
        </w:rPr>
        <w:t>A single dose PK study was conducted in patients with mild (Child-Pugh Class A) or moderate</w:t>
      </w:r>
      <w:r w:rsidR="00276FBD" w:rsidRPr="00E61FD4">
        <w:rPr>
          <w:rFonts w:cs="Times New Roman"/>
        </w:rPr>
        <w:t xml:space="preserve"> </w:t>
      </w:r>
      <w:r w:rsidRPr="00E61FD4">
        <w:rPr>
          <w:rFonts w:cs="Times New Roman"/>
        </w:rPr>
        <w:t>(Child-Pugh Class B) hepatic impairment, as well as a control group with normal hepatic</w:t>
      </w:r>
      <w:r w:rsidR="00276FBD" w:rsidRPr="00E61FD4">
        <w:rPr>
          <w:rFonts w:cs="Times New Roman"/>
        </w:rPr>
        <w:t xml:space="preserve"> </w:t>
      </w:r>
      <w:r w:rsidRPr="00E61FD4">
        <w:rPr>
          <w:rFonts w:cs="Times New Roman"/>
        </w:rPr>
        <w:t>function. Mavacamten exposures (AUC) increased 3.2-fold and 1.8-fold in patients with mild</w:t>
      </w:r>
      <w:r w:rsidR="00276FBD" w:rsidRPr="00E61FD4">
        <w:rPr>
          <w:rFonts w:cs="Times New Roman"/>
        </w:rPr>
        <w:t xml:space="preserve"> </w:t>
      </w:r>
      <w:r w:rsidRPr="00E61FD4">
        <w:rPr>
          <w:rFonts w:cs="Times New Roman"/>
        </w:rPr>
        <w:t>and moderate impairment, respectively, compared to patients with normal hepatic function.</w:t>
      </w:r>
      <w:r w:rsidR="00276FBD" w:rsidRPr="00E61FD4">
        <w:rPr>
          <w:rFonts w:cs="Times New Roman"/>
        </w:rPr>
        <w:t xml:space="preserve"> </w:t>
      </w:r>
      <w:r w:rsidRPr="00E61FD4">
        <w:rPr>
          <w:rFonts w:cs="Times New Roman"/>
        </w:rPr>
        <w:t>There was no effect of hepatic function on Cmax, consistent with no change in the rate of</w:t>
      </w:r>
      <w:r w:rsidR="00276FBD" w:rsidRPr="00E61FD4">
        <w:rPr>
          <w:rFonts w:cs="Times New Roman"/>
        </w:rPr>
        <w:t xml:space="preserve"> </w:t>
      </w:r>
      <w:r w:rsidRPr="00E61FD4">
        <w:rPr>
          <w:rFonts w:cs="Times New Roman"/>
        </w:rPr>
        <w:t>absorption and/or volume of distribution. A dedicated PK study has not been conducted in</w:t>
      </w:r>
      <w:r w:rsidR="00276FBD" w:rsidRPr="00E61FD4">
        <w:rPr>
          <w:rFonts w:cs="Times New Roman"/>
        </w:rPr>
        <w:t xml:space="preserve"> </w:t>
      </w:r>
      <w:r w:rsidRPr="00E61FD4">
        <w:rPr>
          <w:rFonts w:cs="Times New Roman"/>
        </w:rPr>
        <w:t xml:space="preserve">patients with severe (Child-Pugh Class C) hepatic impairment (see </w:t>
      </w:r>
      <w:r w:rsidR="00B7355B" w:rsidRPr="00E61FD4">
        <w:rPr>
          <w:rFonts w:cs="Times New Roman"/>
        </w:rPr>
        <w:t>4.2 Dose and method of administration</w:t>
      </w:r>
      <w:r w:rsidRPr="00E61FD4">
        <w:rPr>
          <w:rFonts w:cs="Times New Roman"/>
        </w:rPr>
        <w:t>).</w:t>
      </w:r>
    </w:p>
    <w:p w14:paraId="5A7D76DA" w14:textId="1AFD8318" w:rsidR="000A64D1" w:rsidRPr="00E61FD4" w:rsidRDefault="000A64D1" w:rsidP="000143BD">
      <w:pPr>
        <w:pStyle w:val="Heading4"/>
        <w:rPr>
          <w:rFonts w:ascii="Times New Roman" w:eastAsiaTheme="minorHAnsi" w:hAnsi="Times New Roman"/>
        </w:rPr>
      </w:pPr>
      <w:r w:rsidRPr="00E61FD4">
        <w:t>Elderly</w:t>
      </w:r>
    </w:p>
    <w:p w14:paraId="2D8532ED" w14:textId="0953B633" w:rsidR="000A64D1" w:rsidRPr="00E61FD4" w:rsidRDefault="000A64D1" w:rsidP="000A64D1">
      <w:pPr>
        <w:spacing w:after="120"/>
        <w:rPr>
          <w:rFonts w:cs="Times New Roman"/>
        </w:rPr>
      </w:pPr>
      <w:r w:rsidRPr="00E61FD4">
        <w:rPr>
          <w:rFonts w:cs="Times New Roman"/>
        </w:rPr>
        <w:t xml:space="preserve">Clinical trials of </w:t>
      </w:r>
      <w:r w:rsidR="00E5063D" w:rsidRPr="00E61FD4">
        <w:rPr>
          <w:rFonts w:cs="Times New Roman"/>
        </w:rPr>
        <w:t>CAMZYOS</w:t>
      </w:r>
      <w:r w:rsidRPr="00E61FD4">
        <w:rPr>
          <w:rFonts w:cs="Times New Roman"/>
        </w:rPr>
        <w:t xml:space="preserve"> included 95 patients aged 65 years and over; 95/263 (36.1%) patients dosed with </w:t>
      </w:r>
      <w:r w:rsidR="003C395C" w:rsidRPr="00E61FD4">
        <w:rPr>
          <w:rFonts w:cs="Times New Roman"/>
        </w:rPr>
        <w:t xml:space="preserve">CAMZYOS </w:t>
      </w:r>
      <w:r w:rsidRPr="00E61FD4">
        <w:rPr>
          <w:rFonts w:cs="Times New Roman"/>
        </w:rPr>
        <w:t>were 65</w:t>
      </w:r>
      <w:r w:rsidR="00AA4A7F" w:rsidRPr="00E61FD4">
        <w:rPr>
          <w:rFonts w:cs="Times New Roman"/>
        </w:rPr>
        <w:t> </w:t>
      </w:r>
      <w:r w:rsidRPr="00E61FD4">
        <w:rPr>
          <w:rFonts w:cs="Times New Roman"/>
        </w:rPr>
        <w:t>years of age or older, and 17/263 (6.5%) were age 75</w:t>
      </w:r>
      <w:r w:rsidR="00AA4A7F" w:rsidRPr="00E61FD4">
        <w:rPr>
          <w:rFonts w:cs="Times New Roman"/>
        </w:rPr>
        <w:t> </w:t>
      </w:r>
      <w:r w:rsidRPr="00E61FD4">
        <w:rPr>
          <w:rFonts w:cs="Times New Roman"/>
        </w:rPr>
        <w:t>years or older. safety, effectiveness, and pharmacokinetics were consistent between elderly patients (</w:t>
      </w:r>
      <w:r w:rsidRPr="00E61FD4">
        <w:rPr>
          <w:rFonts w:cs="Times New Roman" w:hint="eastAsia"/>
        </w:rPr>
        <w:t>≥</w:t>
      </w:r>
      <w:r w:rsidR="00AA4A7F" w:rsidRPr="00E61FD4">
        <w:rPr>
          <w:rFonts w:cs="Times New Roman"/>
        </w:rPr>
        <w:t> </w:t>
      </w:r>
      <w:r w:rsidRPr="00E61FD4">
        <w:rPr>
          <w:rFonts w:cs="Times New Roman"/>
        </w:rPr>
        <w:t>65 years) and younger patients (18 to &lt; 65</w:t>
      </w:r>
      <w:r w:rsidR="00AA4A7F" w:rsidRPr="00E61FD4">
        <w:rPr>
          <w:rFonts w:cs="Times New Roman"/>
        </w:rPr>
        <w:t> </w:t>
      </w:r>
      <w:r w:rsidRPr="00E61FD4">
        <w:rPr>
          <w:rFonts w:cs="Times New Roman"/>
        </w:rPr>
        <w:t>years) (</w:t>
      </w:r>
      <w:r w:rsidR="00B7355B" w:rsidRPr="00E61FD4">
        <w:rPr>
          <w:rFonts w:cs="Times New Roman"/>
        </w:rPr>
        <w:t>see 4.2 Dose and method of administration</w:t>
      </w:r>
      <w:r w:rsidRPr="00E61FD4">
        <w:rPr>
          <w:rFonts w:cs="Times New Roman"/>
        </w:rPr>
        <w:t>).</w:t>
      </w:r>
    </w:p>
    <w:p w14:paraId="69FF8084" w14:textId="5BAB32C2" w:rsidR="000A64D1" w:rsidRPr="00E61FD4" w:rsidRDefault="00697ECD" w:rsidP="000143BD">
      <w:pPr>
        <w:pStyle w:val="Heading4"/>
      </w:pPr>
      <w:r w:rsidRPr="00E61FD4">
        <w:t>Paediatric</w:t>
      </w:r>
      <w:r w:rsidR="000A64D1" w:rsidRPr="00E61FD4">
        <w:t xml:space="preserve"> and adolescent</w:t>
      </w:r>
    </w:p>
    <w:p w14:paraId="4FA5C8B3" w14:textId="632558AD" w:rsidR="000A64D1" w:rsidRPr="00E61FD4" w:rsidRDefault="000A64D1" w:rsidP="000A64D1">
      <w:pPr>
        <w:spacing w:after="120"/>
        <w:rPr>
          <w:rFonts w:cs="Times New Roman"/>
        </w:rPr>
      </w:pPr>
      <w:r w:rsidRPr="00E61FD4">
        <w:rPr>
          <w:rFonts w:cs="Times New Roman"/>
        </w:rPr>
        <w:t xml:space="preserve">The safety and efficacy of </w:t>
      </w:r>
      <w:r w:rsidR="00E5063D" w:rsidRPr="00E61FD4">
        <w:rPr>
          <w:rFonts w:cs="Times New Roman"/>
        </w:rPr>
        <w:t>CAMZYOS</w:t>
      </w:r>
      <w:r w:rsidRPr="00E61FD4">
        <w:rPr>
          <w:rFonts w:cs="Times New Roman"/>
        </w:rPr>
        <w:t xml:space="preserve"> in </w:t>
      </w:r>
      <w:r w:rsidR="00AA4A7F" w:rsidRPr="00E61FD4">
        <w:rPr>
          <w:rFonts w:cs="Times New Roman"/>
        </w:rPr>
        <w:t>paediatric</w:t>
      </w:r>
      <w:r w:rsidRPr="00E61FD4">
        <w:rPr>
          <w:rFonts w:cs="Times New Roman"/>
        </w:rPr>
        <w:t xml:space="preserve"> patients aged less than 18</w:t>
      </w:r>
      <w:r w:rsidR="00AA4A7F" w:rsidRPr="00E61FD4">
        <w:rPr>
          <w:rFonts w:cs="Times New Roman"/>
        </w:rPr>
        <w:t> </w:t>
      </w:r>
      <w:r w:rsidRPr="00E61FD4">
        <w:rPr>
          <w:rFonts w:cs="Times New Roman"/>
        </w:rPr>
        <w:t>years of age</w:t>
      </w:r>
      <w:r w:rsidR="00697ECD" w:rsidRPr="00E61FD4">
        <w:rPr>
          <w:rFonts w:cs="Times New Roman"/>
        </w:rPr>
        <w:t xml:space="preserve"> </w:t>
      </w:r>
      <w:r w:rsidRPr="00E61FD4">
        <w:rPr>
          <w:rFonts w:cs="Times New Roman"/>
        </w:rPr>
        <w:t>have not been established. No data are available.</w:t>
      </w:r>
    </w:p>
    <w:p w14:paraId="298FA0B1" w14:textId="77777777" w:rsidR="001A3992" w:rsidRPr="00E61FD4" w:rsidRDefault="001A3992" w:rsidP="008E41AB">
      <w:pPr>
        <w:pStyle w:val="Heading2"/>
      </w:pPr>
      <w:r w:rsidRPr="00E61FD4">
        <w:t>Preclinical safety data</w:t>
      </w:r>
    </w:p>
    <w:p w14:paraId="06147C9F" w14:textId="6BDE444B" w:rsidR="001A3992" w:rsidRPr="00E61FD4" w:rsidRDefault="001A3992" w:rsidP="008E41AB">
      <w:pPr>
        <w:pStyle w:val="Heading3"/>
      </w:pPr>
      <w:r w:rsidRPr="00E61FD4">
        <w:t>Genotoxicity</w:t>
      </w:r>
    </w:p>
    <w:p w14:paraId="6A34B65D" w14:textId="4F664F85" w:rsidR="006A4C7E" w:rsidRPr="00E61FD4" w:rsidRDefault="006A4C7E" w:rsidP="00050C57">
      <w:pPr>
        <w:spacing w:after="120"/>
        <w:rPr>
          <w:rFonts w:cs="Times New Roman"/>
        </w:rPr>
      </w:pPr>
      <w:r w:rsidRPr="00E61FD4">
        <w:rPr>
          <w:rFonts w:cs="Times New Roman"/>
        </w:rPr>
        <w:t>Mavacamten was not found to be genotoxic in a reverse mutation bacterial test (</w:t>
      </w:r>
      <w:proofErr w:type="gramStart"/>
      <w:r w:rsidRPr="00E61FD4">
        <w:rPr>
          <w:rFonts w:cs="Times New Roman"/>
        </w:rPr>
        <w:t>Ames</w:t>
      </w:r>
      <w:proofErr w:type="gramEnd"/>
      <w:r w:rsidRPr="00E61FD4">
        <w:rPr>
          <w:rFonts w:cs="Times New Roman"/>
        </w:rPr>
        <w:t xml:space="preserve"> test), a</w:t>
      </w:r>
      <w:r w:rsidR="00050C57" w:rsidRPr="00E61FD4">
        <w:rPr>
          <w:rFonts w:cs="Times New Roman"/>
        </w:rPr>
        <w:t xml:space="preserve"> </w:t>
      </w:r>
      <w:r w:rsidRPr="00E61FD4">
        <w:rPr>
          <w:rFonts w:cs="Times New Roman"/>
        </w:rPr>
        <w:t xml:space="preserve">human </w:t>
      </w:r>
      <w:r w:rsidR="00C91470" w:rsidRPr="00E61FD4">
        <w:rPr>
          <w:rFonts w:cs="Times New Roman"/>
          <w:i/>
          <w:iCs/>
        </w:rPr>
        <w:t>in vitro</w:t>
      </w:r>
      <w:r w:rsidRPr="00E61FD4">
        <w:rPr>
          <w:rFonts w:cs="Times New Roman"/>
        </w:rPr>
        <w:t xml:space="preserve"> lymphocyte </w:t>
      </w:r>
      <w:proofErr w:type="spellStart"/>
      <w:r w:rsidRPr="00E61FD4">
        <w:rPr>
          <w:rFonts w:cs="Times New Roman"/>
        </w:rPr>
        <w:t>clastogenicity</w:t>
      </w:r>
      <w:proofErr w:type="spellEnd"/>
      <w:r w:rsidRPr="00E61FD4">
        <w:rPr>
          <w:rFonts w:cs="Times New Roman"/>
        </w:rPr>
        <w:t xml:space="preserve"> assay, or a rat </w:t>
      </w:r>
      <w:r w:rsidR="00C91470" w:rsidRPr="00E61FD4">
        <w:rPr>
          <w:rFonts w:cs="Times New Roman"/>
          <w:i/>
        </w:rPr>
        <w:t>in vivo</w:t>
      </w:r>
      <w:r w:rsidRPr="00E61FD4">
        <w:rPr>
          <w:rFonts w:cs="Times New Roman"/>
        </w:rPr>
        <w:t xml:space="preserve"> micronucleus assay.</w:t>
      </w:r>
    </w:p>
    <w:p w14:paraId="5AFD9CD4" w14:textId="5D887893" w:rsidR="001A3992" w:rsidRPr="00E61FD4" w:rsidRDefault="001A3992" w:rsidP="008E41AB">
      <w:pPr>
        <w:pStyle w:val="Heading3"/>
      </w:pPr>
      <w:r w:rsidRPr="00E61FD4">
        <w:t>Carcinogenicity</w:t>
      </w:r>
    </w:p>
    <w:p w14:paraId="003EA8B9" w14:textId="1795205B" w:rsidR="00E01A17" w:rsidRPr="00E61FD4" w:rsidRDefault="00E01A17" w:rsidP="00E01A17">
      <w:pPr>
        <w:spacing w:after="120"/>
        <w:rPr>
          <w:rFonts w:cs="Times New Roman"/>
        </w:rPr>
      </w:pPr>
      <w:r w:rsidRPr="00E61FD4">
        <w:rPr>
          <w:rFonts w:cs="Times New Roman"/>
        </w:rPr>
        <w:t xml:space="preserve">There was no evidence of carcinogenicity at the highest mavacamten doses tested in a 6-month rasH2 transgenic mouse study or a 2-year rat study. Exposures </w:t>
      </w:r>
      <w:r w:rsidR="0052428C" w:rsidRPr="00E61FD4">
        <w:rPr>
          <w:rFonts w:cs="Times New Roman"/>
        </w:rPr>
        <w:t xml:space="preserve">(AUC) </w:t>
      </w:r>
      <w:r w:rsidRPr="00E61FD4">
        <w:rPr>
          <w:rFonts w:cs="Times New Roman"/>
        </w:rPr>
        <w:t xml:space="preserve">in mice </w:t>
      </w:r>
      <w:r w:rsidR="0052428C" w:rsidRPr="00E61FD4">
        <w:rPr>
          <w:rFonts w:cs="Times New Roman"/>
        </w:rPr>
        <w:t>were up to 3-fold higher compared to the MRHD, while exposures (AUC) in</w:t>
      </w:r>
      <w:r w:rsidR="00630BE1" w:rsidRPr="00E61FD4">
        <w:rPr>
          <w:rFonts w:cs="Times New Roman"/>
        </w:rPr>
        <w:t xml:space="preserve"> </w:t>
      </w:r>
      <w:r w:rsidRPr="00E61FD4">
        <w:rPr>
          <w:rFonts w:cs="Times New Roman"/>
        </w:rPr>
        <w:t xml:space="preserve">rats were up to 0.2-fold </w:t>
      </w:r>
      <w:r w:rsidR="0052428C" w:rsidRPr="00E61FD4">
        <w:rPr>
          <w:rFonts w:cs="Times New Roman"/>
        </w:rPr>
        <w:t xml:space="preserve">higher </w:t>
      </w:r>
      <w:r w:rsidRPr="00E61FD4">
        <w:rPr>
          <w:rFonts w:cs="Times New Roman"/>
        </w:rPr>
        <w:t xml:space="preserve">compared to the </w:t>
      </w:r>
      <w:r w:rsidR="00D27CFF" w:rsidRPr="00E61FD4">
        <w:rPr>
          <w:rFonts w:cs="Times New Roman"/>
        </w:rPr>
        <w:t>maximum recommended human dose (</w:t>
      </w:r>
      <w:r w:rsidRPr="00E61FD4">
        <w:rPr>
          <w:rFonts w:cs="Times New Roman"/>
        </w:rPr>
        <w:t>MRHD</w:t>
      </w:r>
      <w:r w:rsidR="00D27CFF" w:rsidRPr="00E61FD4">
        <w:rPr>
          <w:rFonts w:cs="Times New Roman"/>
        </w:rPr>
        <w:t>)</w:t>
      </w:r>
      <w:r w:rsidRPr="00E61FD4">
        <w:rPr>
          <w:rFonts w:cs="Times New Roman"/>
        </w:rPr>
        <w:t>.</w:t>
      </w:r>
    </w:p>
    <w:p w14:paraId="76B018A1" w14:textId="1D8C1157" w:rsidR="00BB4F74" w:rsidRPr="00E61FD4" w:rsidRDefault="00BB4F74" w:rsidP="008E41AB">
      <w:pPr>
        <w:pStyle w:val="Heading3"/>
      </w:pPr>
      <w:r w:rsidRPr="00E61FD4">
        <w:t>Animal toxicology</w:t>
      </w:r>
    </w:p>
    <w:p w14:paraId="3B8C5CEE" w14:textId="2181F6BF" w:rsidR="00BB4F74" w:rsidRPr="00E61FD4" w:rsidRDefault="00BB4F74" w:rsidP="00F71660">
      <w:pPr>
        <w:spacing w:after="120"/>
        <w:rPr>
          <w:rFonts w:cs="Times New Roman"/>
        </w:rPr>
      </w:pPr>
      <w:r w:rsidRPr="00E61FD4">
        <w:rPr>
          <w:rFonts w:cs="Times New Roman"/>
        </w:rPr>
        <w:t>The safety of mavacamten has been evaluated in rats and dogs dosed for up to 6 and 9</w:t>
      </w:r>
      <w:r w:rsidR="00AA4A7F" w:rsidRPr="00E61FD4">
        <w:rPr>
          <w:rFonts w:cs="Times New Roman"/>
        </w:rPr>
        <w:t> </w:t>
      </w:r>
      <w:r w:rsidRPr="00E61FD4">
        <w:rPr>
          <w:rFonts w:cs="Times New Roman"/>
        </w:rPr>
        <w:t xml:space="preserve">months, respectively. Noted toxicities, including echocardiographic findings of reduced systolic performance and cardiac dilation, death, due to heart failure, and, in rats, increased heart weights likely secondary to </w:t>
      </w:r>
      <w:r w:rsidRPr="00E61FD4">
        <w:rPr>
          <w:rFonts w:cs="Times New Roman"/>
        </w:rPr>
        <w:lastRenderedPageBreak/>
        <w:t>cardiac hypertrophy in response to decreased contractility, were consistent with the mavacamten mechanism of action and primary pharmacological activity.</w:t>
      </w:r>
      <w:r w:rsidR="00F71660" w:rsidRPr="00E61FD4">
        <w:rPr>
          <w:rFonts w:cs="Times New Roman"/>
        </w:rPr>
        <w:t xml:space="preserve"> </w:t>
      </w:r>
      <w:r w:rsidRPr="00E61FD4">
        <w:rPr>
          <w:rFonts w:cs="Times New Roman"/>
        </w:rPr>
        <w:t>Other findings included cardiac osseous metaplasia in rats and QTc prolongation in dogs. Plasma exposures (AUC) at the no observed adverse effect level NOAEL in rats and dogs respectively are lower than those in humans at the MRHD.</w:t>
      </w:r>
    </w:p>
    <w:p w14:paraId="417F57ED" w14:textId="5B2235F2" w:rsidR="00BB4F74" w:rsidRPr="00E61FD4" w:rsidRDefault="00BB4F74" w:rsidP="00BB4F74">
      <w:pPr>
        <w:spacing w:after="120"/>
        <w:rPr>
          <w:rFonts w:cs="Times New Roman"/>
        </w:rPr>
      </w:pPr>
    </w:p>
    <w:p w14:paraId="4E764C47" w14:textId="77777777" w:rsidR="001A3992" w:rsidRPr="00E61FD4" w:rsidRDefault="001A3992" w:rsidP="008E41AB">
      <w:pPr>
        <w:pStyle w:val="Heading1"/>
      </w:pPr>
      <w:r w:rsidRPr="00E61FD4">
        <w:t>Pharmaceutical particulars</w:t>
      </w:r>
    </w:p>
    <w:p w14:paraId="2B5922C6" w14:textId="7D1A6621" w:rsidR="001A3992" w:rsidRPr="00E61FD4" w:rsidRDefault="00F01F58" w:rsidP="00E61FD4">
      <w:pPr>
        <w:pStyle w:val="Heading2"/>
        <w:rPr>
          <w:lang w:val="en-US"/>
        </w:rPr>
      </w:pPr>
      <w:r w:rsidRPr="00E61FD4">
        <w:rPr>
          <w:lang w:val="en-US"/>
        </w:rPr>
        <w:t>List of excipients</w:t>
      </w:r>
    </w:p>
    <w:p w14:paraId="1DE0F74A" w14:textId="77777777" w:rsidR="0048592D" w:rsidRPr="00E61FD4" w:rsidRDefault="0048592D" w:rsidP="000F0630">
      <w:pPr>
        <w:pStyle w:val="BMSBodyText"/>
        <w:keepNext/>
        <w:spacing w:line="240" w:lineRule="auto"/>
        <w:rPr>
          <w:sz w:val="22"/>
          <w:szCs w:val="22"/>
          <w:u w:val="single"/>
        </w:rPr>
      </w:pPr>
      <w:r w:rsidRPr="00E61FD4">
        <w:rPr>
          <w:sz w:val="22"/>
          <w:szCs w:val="22"/>
          <w:u w:val="single"/>
        </w:rPr>
        <w:t>Capsules:</w:t>
      </w:r>
    </w:p>
    <w:p w14:paraId="5A7B831C" w14:textId="77777777" w:rsidR="0048592D" w:rsidRPr="00E61FD4" w:rsidRDefault="0048592D" w:rsidP="000F0630">
      <w:pPr>
        <w:pStyle w:val="BMSBodyText"/>
        <w:keepNext/>
        <w:spacing w:line="240" w:lineRule="auto"/>
        <w:rPr>
          <w:sz w:val="22"/>
          <w:szCs w:val="22"/>
        </w:rPr>
      </w:pPr>
      <w:r w:rsidRPr="00E61FD4">
        <w:rPr>
          <w:sz w:val="22"/>
          <w:szCs w:val="22"/>
        </w:rPr>
        <w:t>Silicon dioxide</w:t>
      </w:r>
    </w:p>
    <w:p w14:paraId="4F61AFF9" w14:textId="5FCD6DF5" w:rsidR="0048592D" w:rsidRPr="00E61FD4" w:rsidRDefault="0048592D" w:rsidP="0014212B">
      <w:pPr>
        <w:pStyle w:val="BMSBodyText"/>
        <w:spacing w:line="240" w:lineRule="auto"/>
        <w:rPr>
          <w:sz w:val="22"/>
          <w:szCs w:val="22"/>
        </w:rPr>
      </w:pPr>
      <w:r w:rsidRPr="00E61FD4">
        <w:rPr>
          <w:sz w:val="22"/>
          <w:szCs w:val="22"/>
        </w:rPr>
        <w:t xml:space="preserve">Mannitol </w:t>
      </w:r>
    </w:p>
    <w:p w14:paraId="71A8C563" w14:textId="616EE82C" w:rsidR="0048592D" w:rsidRPr="00E61FD4" w:rsidRDefault="0048592D" w:rsidP="0014212B">
      <w:pPr>
        <w:pStyle w:val="BMSBodyText"/>
        <w:spacing w:line="240" w:lineRule="auto"/>
        <w:rPr>
          <w:sz w:val="22"/>
          <w:szCs w:val="22"/>
        </w:rPr>
      </w:pPr>
      <w:r w:rsidRPr="00E61FD4">
        <w:rPr>
          <w:sz w:val="22"/>
          <w:szCs w:val="22"/>
        </w:rPr>
        <w:t xml:space="preserve">Hypromellose </w:t>
      </w:r>
    </w:p>
    <w:p w14:paraId="72A95050" w14:textId="18DD7B91" w:rsidR="0048592D" w:rsidRPr="00E61FD4" w:rsidRDefault="0048592D" w:rsidP="0014212B">
      <w:pPr>
        <w:pStyle w:val="BMSBodyText"/>
        <w:spacing w:line="240" w:lineRule="auto"/>
        <w:rPr>
          <w:sz w:val="22"/>
          <w:szCs w:val="22"/>
        </w:rPr>
      </w:pPr>
      <w:r w:rsidRPr="00E61FD4">
        <w:rPr>
          <w:sz w:val="22"/>
          <w:szCs w:val="22"/>
        </w:rPr>
        <w:t xml:space="preserve">Croscarmellose Sodium </w:t>
      </w:r>
    </w:p>
    <w:p w14:paraId="647AF5E3" w14:textId="4B39F6DA" w:rsidR="0048592D" w:rsidRPr="00E61FD4" w:rsidRDefault="0048592D" w:rsidP="0014212B">
      <w:pPr>
        <w:pStyle w:val="BMSBodyText"/>
        <w:spacing w:line="240" w:lineRule="auto"/>
        <w:rPr>
          <w:sz w:val="22"/>
          <w:szCs w:val="22"/>
        </w:rPr>
      </w:pPr>
      <w:r w:rsidRPr="00E61FD4">
        <w:rPr>
          <w:sz w:val="22"/>
          <w:szCs w:val="22"/>
        </w:rPr>
        <w:t xml:space="preserve">Magnesium Stearate </w:t>
      </w:r>
    </w:p>
    <w:p w14:paraId="672AFD3F" w14:textId="77777777" w:rsidR="0048592D" w:rsidRPr="00E61FD4" w:rsidRDefault="0048592D" w:rsidP="0014212B">
      <w:pPr>
        <w:pStyle w:val="BMSBodyText"/>
        <w:spacing w:line="240" w:lineRule="auto"/>
        <w:rPr>
          <w:sz w:val="22"/>
          <w:szCs w:val="22"/>
          <w:u w:val="single"/>
        </w:rPr>
      </w:pPr>
      <w:r w:rsidRPr="00E61FD4">
        <w:rPr>
          <w:sz w:val="22"/>
          <w:szCs w:val="22"/>
          <w:u w:val="single"/>
        </w:rPr>
        <w:t>Capsule Shell:</w:t>
      </w:r>
    </w:p>
    <w:p w14:paraId="7742488E" w14:textId="77777777" w:rsidR="0048592D" w:rsidRPr="00E61FD4" w:rsidRDefault="0048592D" w:rsidP="0014212B">
      <w:pPr>
        <w:pStyle w:val="BMSBodyText"/>
        <w:spacing w:line="240" w:lineRule="auto"/>
        <w:rPr>
          <w:sz w:val="22"/>
          <w:szCs w:val="22"/>
        </w:rPr>
      </w:pPr>
      <w:r w:rsidRPr="00E61FD4">
        <w:rPr>
          <w:sz w:val="22"/>
          <w:szCs w:val="22"/>
        </w:rPr>
        <w:t>Gelatin</w:t>
      </w:r>
    </w:p>
    <w:p w14:paraId="44E6544A" w14:textId="149705F0" w:rsidR="0048592D" w:rsidRPr="00E61FD4" w:rsidRDefault="0048592D" w:rsidP="0014212B">
      <w:pPr>
        <w:pStyle w:val="BMSBodyText"/>
        <w:spacing w:line="240" w:lineRule="auto"/>
        <w:rPr>
          <w:sz w:val="22"/>
          <w:szCs w:val="22"/>
        </w:rPr>
      </w:pPr>
      <w:r w:rsidRPr="00E61FD4">
        <w:rPr>
          <w:sz w:val="22"/>
          <w:szCs w:val="22"/>
        </w:rPr>
        <w:t xml:space="preserve">Titanium Dioxide </w:t>
      </w:r>
    </w:p>
    <w:p w14:paraId="533C7984" w14:textId="1DC4D377" w:rsidR="0048592D" w:rsidRPr="00E61FD4" w:rsidRDefault="0048592D" w:rsidP="0014212B">
      <w:pPr>
        <w:pStyle w:val="BMSBodyText"/>
        <w:spacing w:line="240" w:lineRule="auto"/>
        <w:rPr>
          <w:sz w:val="22"/>
          <w:szCs w:val="22"/>
        </w:rPr>
      </w:pPr>
      <w:r w:rsidRPr="00E61FD4">
        <w:rPr>
          <w:sz w:val="22"/>
          <w:szCs w:val="22"/>
        </w:rPr>
        <w:t xml:space="preserve">Black Iron Oxide </w:t>
      </w:r>
    </w:p>
    <w:p w14:paraId="520EA69A" w14:textId="5A8ACC46" w:rsidR="0048592D" w:rsidRPr="00E61FD4" w:rsidRDefault="0048592D" w:rsidP="0014212B">
      <w:pPr>
        <w:pStyle w:val="BMSBodyText"/>
        <w:spacing w:line="240" w:lineRule="auto"/>
        <w:rPr>
          <w:sz w:val="22"/>
          <w:szCs w:val="22"/>
        </w:rPr>
      </w:pPr>
      <w:r w:rsidRPr="00E61FD4">
        <w:rPr>
          <w:sz w:val="22"/>
          <w:szCs w:val="22"/>
        </w:rPr>
        <w:t xml:space="preserve">Red Iron Oxide </w:t>
      </w:r>
    </w:p>
    <w:p w14:paraId="171A4022" w14:textId="12CC5739" w:rsidR="0048592D" w:rsidRPr="00E61FD4" w:rsidRDefault="0048592D" w:rsidP="0014212B">
      <w:pPr>
        <w:pStyle w:val="BMSBodyText"/>
        <w:spacing w:line="240" w:lineRule="auto"/>
        <w:rPr>
          <w:sz w:val="22"/>
          <w:szCs w:val="22"/>
        </w:rPr>
      </w:pPr>
      <w:r w:rsidRPr="00E61FD4">
        <w:rPr>
          <w:sz w:val="22"/>
          <w:szCs w:val="22"/>
        </w:rPr>
        <w:t xml:space="preserve">Yellow Iron Oxide </w:t>
      </w:r>
    </w:p>
    <w:p w14:paraId="651B1830" w14:textId="77777777" w:rsidR="0048592D" w:rsidRPr="00E61FD4" w:rsidRDefault="0048592D" w:rsidP="0014212B">
      <w:pPr>
        <w:pStyle w:val="BMSBodyText"/>
        <w:spacing w:line="240" w:lineRule="auto"/>
        <w:rPr>
          <w:sz w:val="22"/>
          <w:szCs w:val="22"/>
          <w:u w:val="single"/>
        </w:rPr>
      </w:pPr>
      <w:r w:rsidRPr="00E61FD4">
        <w:rPr>
          <w:sz w:val="22"/>
          <w:szCs w:val="22"/>
          <w:u w:val="single"/>
        </w:rPr>
        <w:t>Printing ink</w:t>
      </w:r>
    </w:p>
    <w:p w14:paraId="5B7BE059" w14:textId="748E0A1F" w:rsidR="0048592D" w:rsidRPr="00E61FD4" w:rsidRDefault="0048592D" w:rsidP="0014212B">
      <w:pPr>
        <w:pStyle w:val="BMSBodyText"/>
        <w:spacing w:line="240" w:lineRule="auto"/>
        <w:rPr>
          <w:i/>
          <w:sz w:val="22"/>
          <w:szCs w:val="22"/>
        </w:rPr>
      </w:pPr>
      <w:proofErr w:type="spellStart"/>
      <w:r w:rsidRPr="00E61FD4">
        <w:rPr>
          <w:i/>
          <w:sz w:val="22"/>
          <w:szCs w:val="22"/>
        </w:rPr>
        <w:t>TekPrint</w:t>
      </w:r>
      <w:r w:rsidRPr="00E61FD4">
        <w:rPr>
          <w:rStyle w:val="BMSSuperscript"/>
          <w:i/>
          <w:sz w:val="22"/>
          <w:szCs w:val="22"/>
        </w:rPr>
        <w:t>TM</w:t>
      </w:r>
      <w:proofErr w:type="spellEnd"/>
      <w:r w:rsidRPr="00E61FD4">
        <w:rPr>
          <w:i/>
          <w:sz w:val="22"/>
          <w:szCs w:val="22"/>
        </w:rPr>
        <w:t xml:space="preserve"> SW-9008-N / SW-9009-N Black Ink</w:t>
      </w:r>
    </w:p>
    <w:p w14:paraId="1597DDC0" w14:textId="0608399F" w:rsidR="001A3992" w:rsidRPr="00E61FD4" w:rsidRDefault="00F01F58" w:rsidP="008E41AB">
      <w:pPr>
        <w:pStyle w:val="Heading2"/>
        <w:rPr>
          <w:lang w:val="en-US"/>
        </w:rPr>
      </w:pPr>
      <w:r w:rsidRPr="00E61FD4">
        <w:rPr>
          <w:lang w:val="en-US"/>
        </w:rPr>
        <w:t>Incompatibilities</w:t>
      </w:r>
    </w:p>
    <w:p w14:paraId="6F787CD0" w14:textId="04B8024D" w:rsidR="003D7174" w:rsidRPr="00E61FD4" w:rsidRDefault="00A52A94" w:rsidP="003D7174">
      <w:pPr>
        <w:rPr>
          <w:rFonts w:cs="Times New Roman"/>
        </w:rPr>
      </w:pPr>
      <w:r w:rsidRPr="00E61FD4">
        <w:rPr>
          <w:rFonts w:cs="Times New Roman"/>
        </w:rPr>
        <w:t>Not applicable.</w:t>
      </w:r>
    </w:p>
    <w:p w14:paraId="7E22BDBA" w14:textId="55EA094E" w:rsidR="001A3992" w:rsidRPr="00E61FD4" w:rsidRDefault="00F01F58" w:rsidP="008E41AB">
      <w:pPr>
        <w:pStyle w:val="Heading2"/>
        <w:rPr>
          <w:lang w:val="en-US"/>
        </w:rPr>
      </w:pPr>
      <w:r w:rsidRPr="00E61FD4">
        <w:rPr>
          <w:lang w:val="en-US"/>
        </w:rPr>
        <w:t>Shelf life</w:t>
      </w:r>
    </w:p>
    <w:p w14:paraId="36780BD0" w14:textId="1704F2ED" w:rsidR="00F01F58" w:rsidRPr="00E61FD4" w:rsidRDefault="00F01F58" w:rsidP="00F01F58">
      <w:pPr>
        <w:rPr>
          <w:rFonts w:cs="Times New Roman"/>
        </w:rPr>
      </w:pPr>
      <w:r w:rsidRPr="00E61FD4">
        <w:rPr>
          <w:rFonts w:cs="Times New Roman"/>
        </w:rPr>
        <w:t xml:space="preserve">In Australia, information on the shelf life can be found on the public summary of the </w:t>
      </w:r>
      <w:r w:rsidR="00BF3128" w:rsidRPr="00E61FD4">
        <w:rPr>
          <w:rFonts w:cs="Times New Roman"/>
        </w:rPr>
        <w:t>Australian Register of Therapeutic Goods (</w:t>
      </w:r>
      <w:r w:rsidRPr="00E61FD4">
        <w:rPr>
          <w:rFonts w:cs="Times New Roman"/>
        </w:rPr>
        <w:t>ARTG</w:t>
      </w:r>
      <w:r w:rsidR="00BF3128" w:rsidRPr="00E61FD4">
        <w:rPr>
          <w:rFonts w:cs="Times New Roman"/>
        </w:rPr>
        <w:t>)</w:t>
      </w:r>
      <w:r w:rsidRPr="00E61FD4">
        <w:rPr>
          <w:rFonts w:cs="Times New Roman"/>
        </w:rPr>
        <w:t>. The expiry date can be found on the packaging</w:t>
      </w:r>
      <w:r w:rsidR="00BF3128" w:rsidRPr="00E61FD4">
        <w:rPr>
          <w:rFonts w:cs="Times New Roman"/>
        </w:rPr>
        <w:t>.</w:t>
      </w:r>
    </w:p>
    <w:p w14:paraId="15D58481" w14:textId="71640D57" w:rsidR="001A3992" w:rsidRPr="00E61FD4" w:rsidRDefault="00F01F58" w:rsidP="008E41AB">
      <w:pPr>
        <w:pStyle w:val="Heading2"/>
        <w:rPr>
          <w:lang w:val="en-US"/>
        </w:rPr>
      </w:pPr>
      <w:r w:rsidRPr="00E61FD4">
        <w:rPr>
          <w:lang w:val="en-US"/>
        </w:rPr>
        <w:t>Special precautions for storage</w:t>
      </w:r>
    </w:p>
    <w:p w14:paraId="770E5B11" w14:textId="3FB1BEA9" w:rsidR="00B32B06" w:rsidRPr="00E61FD4" w:rsidRDefault="00B32B06" w:rsidP="00EA48C0">
      <w:r w:rsidRPr="00E61FD4">
        <w:t xml:space="preserve">Store below 30°C. </w:t>
      </w:r>
    </w:p>
    <w:p w14:paraId="3B490D20" w14:textId="1D5F4E69" w:rsidR="001A3992" w:rsidRPr="00E61FD4" w:rsidRDefault="001A3992" w:rsidP="00E61FD4">
      <w:pPr>
        <w:pStyle w:val="Heading2"/>
        <w:rPr>
          <w:lang w:val="en-US"/>
        </w:rPr>
      </w:pPr>
      <w:r w:rsidRPr="00E61FD4">
        <w:rPr>
          <w:lang w:val="en-US"/>
        </w:rPr>
        <w:t>N</w:t>
      </w:r>
      <w:r w:rsidR="005A7542" w:rsidRPr="00E61FD4">
        <w:rPr>
          <w:lang w:val="en-US"/>
        </w:rPr>
        <w:t>ature and contents of container</w:t>
      </w:r>
    </w:p>
    <w:p w14:paraId="0C4179F7" w14:textId="20EC3615" w:rsidR="0014212B" w:rsidRPr="00E61FD4" w:rsidRDefault="008F407B" w:rsidP="00E812FA">
      <w:pPr>
        <w:keepNext/>
        <w:autoSpaceDE w:val="0"/>
        <w:autoSpaceDN w:val="0"/>
        <w:adjustRightInd w:val="0"/>
        <w:spacing w:after="120"/>
        <w:jc w:val="left"/>
        <w:rPr>
          <w:rFonts w:cs="Times New Roman"/>
        </w:rPr>
      </w:pPr>
      <w:r w:rsidRPr="00E61FD4">
        <w:rPr>
          <w:rFonts w:cs="Times New Roman"/>
        </w:rPr>
        <w:t xml:space="preserve">Polyvinylchloride (PVC) / Polychlorotrifluoroethylene (PCTFE) / </w:t>
      </w:r>
      <w:r w:rsidR="00ED2D70" w:rsidRPr="00E61FD4">
        <w:rPr>
          <w:rFonts w:cs="Times New Roman"/>
        </w:rPr>
        <w:t>Aluminium</w:t>
      </w:r>
      <w:r w:rsidRPr="00E61FD4">
        <w:rPr>
          <w:rFonts w:cs="Times New Roman"/>
        </w:rPr>
        <w:t xml:space="preserve"> foil</w:t>
      </w:r>
      <w:r w:rsidR="00FB14ED" w:rsidRPr="00E61FD4">
        <w:rPr>
          <w:rFonts w:cs="Times New Roman"/>
        </w:rPr>
        <w:t xml:space="preserve"> </w:t>
      </w:r>
      <w:r w:rsidRPr="00E61FD4">
        <w:rPr>
          <w:rFonts w:cs="Times New Roman"/>
        </w:rPr>
        <w:t xml:space="preserve">blister containing 14 hard capsules. </w:t>
      </w:r>
    </w:p>
    <w:p w14:paraId="19AC9B0D" w14:textId="7F84338B" w:rsidR="008F407B" w:rsidRPr="00E61FD4" w:rsidRDefault="008F407B" w:rsidP="0014212B">
      <w:pPr>
        <w:autoSpaceDE w:val="0"/>
        <w:autoSpaceDN w:val="0"/>
        <w:adjustRightInd w:val="0"/>
        <w:spacing w:after="120"/>
        <w:jc w:val="left"/>
        <w:rPr>
          <w:rFonts w:cs="Times New Roman"/>
        </w:rPr>
      </w:pPr>
      <w:r w:rsidRPr="00E61FD4">
        <w:rPr>
          <w:rFonts w:cs="Times New Roman"/>
        </w:rPr>
        <w:t>Pack size 28 capsules</w:t>
      </w:r>
    </w:p>
    <w:p w14:paraId="7C894A4E" w14:textId="249B8E5F" w:rsidR="001A3992" w:rsidRPr="00E61FD4" w:rsidRDefault="001A3992" w:rsidP="00DF034F">
      <w:pPr>
        <w:pStyle w:val="Heading2"/>
        <w:keepNext/>
        <w:rPr>
          <w:lang w:val="en-US"/>
        </w:rPr>
      </w:pPr>
      <w:r w:rsidRPr="00E61FD4">
        <w:rPr>
          <w:lang w:val="en-US"/>
        </w:rPr>
        <w:lastRenderedPageBreak/>
        <w:t>S</w:t>
      </w:r>
      <w:r w:rsidR="004F767B" w:rsidRPr="00E61FD4">
        <w:rPr>
          <w:lang w:val="en-US"/>
        </w:rPr>
        <w:t>pecial precautions for disposal</w:t>
      </w:r>
    </w:p>
    <w:p w14:paraId="09B1A80F" w14:textId="3A66F3B9" w:rsidR="00BF3128" w:rsidRPr="00E61FD4" w:rsidRDefault="00392A02" w:rsidP="00DF034F">
      <w:pPr>
        <w:keepNext/>
        <w:autoSpaceDE w:val="0"/>
        <w:autoSpaceDN w:val="0"/>
        <w:adjustRightInd w:val="0"/>
        <w:spacing w:after="0"/>
        <w:jc w:val="left"/>
        <w:rPr>
          <w:rFonts w:cs="Times New Roman"/>
        </w:rPr>
      </w:pPr>
      <w:r w:rsidRPr="00E61FD4">
        <w:rPr>
          <w:rFonts w:cs="Times New Roman"/>
        </w:rPr>
        <w:t>In Australia, any unused medicine or waste material should be disposed of by taking to your local pharmacy.</w:t>
      </w:r>
    </w:p>
    <w:p w14:paraId="39F48FB1" w14:textId="77777777" w:rsidR="001A3992" w:rsidRPr="00E61FD4" w:rsidRDefault="001A3992" w:rsidP="008E41AB">
      <w:pPr>
        <w:pStyle w:val="Heading2"/>
        <w:rPr>
          <w:lang w:val="en-US"/>
        </w:rPr>
      </w:pPr>
      <w:r w:rsidRPr="00E61FD4">
        <w:rPr>
          <w:lang w:val="en-US"/>
        </w:rPr>
        <w:t>Physicochemical properties</w:t>
      </w:r>
    </w:p>
    <w:p w14:paraId="76394ECA" w14:textId="77777777" w:rsidR="001A3992" w:rsidRPr="00E61FD4" w:rsidRDefault="001A3992" w:rsidP="008E41AB">
      <w:pPr>
        <w:pStyle w:val="Heading3"/>
      </w:pPr>
      <w:r w:rsidRPr="00E61FD4">
        <w:t>Chemical structure</w:t>
      </w:r>
    </w:p>
    <w:p w14:paraId="5FBD7469" w14:textId="728473D1" w:rsidR="007C479F" w:rsidRPr="00E61FD4" w:rsidRDefault="007C479F" w:rsidP="007C479F">
      <w:pPr>
        <w:pStyle w:val="BMSBodyText"/>
        <w:jc w:val="left"/>
        <w:rPr>
          <w:sz w:val="22"/>
          <w:szCs w:val="22"/>
        </w:rPr>
      </w:pPr>
      <w:r w:rsidRPr="00E61FD4">
        <w:rPr>
          <w:sz w:val="22"/>
          <w:szCs w:val="22"/>
        </w:rPr>
        <w:t>The chemical name of mavacamten is 3-(1-methylethyl)-6-[[(1S)-1-</w:t>
      </w:r>
      <w:proofErr w:type="gramStart"/>
      <w:r w:rsidRPr="00E61FD4">
        <w:rPr>
          <w:sz w:val="22"/>
          <w:szCs w:val="22"/>
        </w:rPr>
        <w:t>phenylethyl]amino</w:t>
      </w:r>
      <w:proofErr w:type="gramEnd"/>
      <w:r w:rsidRPr="00E61FD4">
        <w:rPr>
          <w:sz w:val="22"/>
          <w:szCs w:val="22"/>
        </w:rPr>
        <w:t>]-2,4(1</w:t>
      </w:r>
      <w:r w:rsidRPr="00E61FD4">
        <w:rPr>
          <w:i/>
          <w:sz w:val="22"/>
          <w:szCs w:val="22"/>
        </w:rPr>
        <w:t>H</w:t>
      </w:r>
      <w:r w:rsidRPr="00E61FD4">
        <w:rPr>
          <w:sz w:val="22"/>
          <w:szCs w:val="22"/>
        </w:rPr>
        <w:t>,3</w:t>
      </w:r>
      <w:r w:rsidRPr="00E61FD4">
        <w:rPr>
          <w:i/>
          <w:sz w:val="22"/>
          <w:szCs w:val="22"/>
        </w:rPr>
        <w:t>H</w:t>
      </w:r>
      <w:r w:rsidRPr="00E61FD4">
        <w:rPr>
          <w:sz w:val="22"/>
          <w:szCs w:val="22"/>
        </w:rPr>
        <w:t>)-pyrimidinedione.</w:t>
      </w:r>
    </w:p>
    <w:p w14:paraId="0227D3EA" w14:textId="3A602BC9" w:rsidR="007C479F" w:rsidRPr="00E61FD4" w:rsidRDefault="007C479F" w:rsidP="007C479F">
      <w:pPr>
        <w:pStyle w:val="BMSBodyText"/>
        <w:jc w:val="left"/>
        <w:rPr>
          <w:sz w:val="22"/>
          <w:szCs w:val="22"/>
        </w:rPr>
      </w:pPr>
      <w:r w:rsidRPr="00E61FD4">
        <w:rPr>
          <w:sz w:val="22"/>
          <w:szCs w:val="22"/>
        </w:rPr>
        <w:t>The IUPAC Name is 6-[[(1S)-1-</w:t>
      </w:r>
      <w:proofErr w:type="gramStart"/>
      <w:r w:rsidRPr="00E61FD4">
        <w:rPr>
          <w:sz w:val="22"/>
          <w:szCs w:val="22"/>
        </w:rPr>
        <w:t>phenylethyl]amino</w:t>
      </w:r>
      <w:proofErr w:type="gramEnd"/>
      <w:r w:rsidRPr="00E61FD4">
        <w:rPr>
          <w:sz w:val="22"/>
          <w:szCs w:val="22"/>
        </w:rPr>
        <w:t>]-3-propan-2-yl-1H-pyrimidine-2,4-dione.</w:t>
      </w:r>
      <w:r w:rsidR="000B6E4C" w:rsidRPr="00E61FD4">
        <w:rPr>
          <w:sz w:val="22"/>
          <w:szCs w:val="22"/>
        </w:rPr>
        <w:t xml:space="preserve"> </w:t>
      </w:r>
    </w:p>
    <w:p w14:paraId="4CF95D79" w14:textId="55C2DF7D" w:rsidR="007C479F" w:rsidRPr="00E61FD4" w:rsidRDefault="007C479F" w:rsidP="007C479F">
      <w:pPr>
        <w:pStyle w:val="BMSBodyText"/>
        <w:jc w:val="left"/>
        <w:rPr>
          <w:sz w:val="22"/>
          <w:szCs w:val="22"/>
        </w:rPr>
      </w:pPr>
      <w:r w:rsidRPr="00E61FD4">
        <w:rPr>
          <w:sz w:val="22"/>
          <w:szCs w:val="22"/>
        </w:rPr>
        <w:t>The molecular formula is C</w:t>
      </w:r>
      <w:r w:rsidRPr="00E61FD4">
        <w:rPr>
          <w:rStyle w:val="BMSSubscript"/>
          <w:sz w:val="22"/>
          <w:szCs w:val="22"/>
        </w:rPr>
        <w:t>15</w:t>
      </w:r>
      <w:r w:rsidRPr="00E61FD4">
        <w:rPr>
          <w:sz w:val="22"/>
          <w:szCs w:val="22"/>
        </w:rPr>
        <w:t>H</w:t>
      </w:r>
      <w:r w:rsidRPr="00E61FD4">
        <w:rPr>
          <w:rStyle w:val="BMSSubscript"/>
          <w:sz w:val="22"/>
          <w:szCs w:val="22"/>
        </w:rPr>
        <w:t>19</w:t>
      </w:r>
      <w:r w:rsidRPr="00E61FD4">
        <w:rPr>
          <w:sz w:val="22"/>
          <w:szCs w:val="22"/>
        </w:rPr>
        <w:t>N</w:t>
      </w:r>
      <w:r w:rsidRPr="00E61FD4">
        <w:rPr>
          <w:rStyle w:val="BMSSubscript"/>
          <w:sz w:val="22"/>
          <w:szCs w:val="22"/>
        </w:rPr>
        <w:t>3</w:t>
      </w:r>
      <w:r w:rsidRPr="00E61FD4">
        <w:rPr>
          <w:sz w:val="22"/>
          <w:szCs w:val="22"/>
        </w:rPr>
        <w:t>O</w:t>
      </w:r>
      <w:r w:rsidRPr="00E61FD4">
        <w:rPr>
          <w:rStyle w:val="BMSSubscript"/>
          <w:sz w:val="22"/>
          <w:szCs w:val="22"/>
        </w:rPr>
        <w:t>2</w:t>
      </w:r>
      <w:r w:rsidRPr="00E61FD4">
        <w:rPr>
          <w:sz w:val="22"/>
          <w:szCs w:val="22"/>
        </w:rPr>
        <w:t>, and the molecular weight is 273.33 g/mol.</w:t>
      </w:r>
      <w:r w:rsidRPr="00E61FD4">
        <w:rPr>
          <w:rStyle w:val="EndnoteReference"/>
          <w:sz w:val="22"/>
          <w:szCs w:val="22"/>
        </w:rPr>
        <w:t xml:space="preserve"> </w:t>
      </w:r>
    </w:p>
    <w:p w14:paraId="1583BDE8" w14:textId="44EBE3D1" w:rsidR="007C479F" w:rsidRPr="00E61FD4" w:rsidRDefault="007C479F" w:rsidP="007C479F">
      <w:pPr>
        <w:pStyle w:val="BMSBodyText"/>
        <w:jc w:val="left"/>
        <w:rPr>
          <w:sz w:val="22"/>
          <w:szCs w:val="22"/>
        </w:rPr>
      </w:pPr>
      <w:r w:rsidRPr="00E61FD4">
        <w:rPr>
          <w:sz w:val="22"/>
          <w:szCs w:val="22"/>
        </w:rPr>
        <w:t>The chemical structure is:</w:t>
      </w:r>
      <w:r w:rsidR="000B6E4C" w:rsidRPr="00E61FD4">
        <w:rPr>
          <w:sz w:val="22"/>
          <w:szCs w:val="22"/>
        </w:rPr>
        <w:t xml:space="preserve"> </w:t>
      </w:r>
    </w:p>
    <w:p w14:paraId="7A193AAE" w14:textId="77777777" w:rsidR="007C479F" w:rsidRPr="00E61FD4" w:rsidRDefault="007C479F" w:rsidP="007C479F">
      <w:pPr>
        <w:pStyle w:val="BMSBodyText"/>
      </w:pPr>
      <w:r w:rsidRPr="00E61FD4">
        <w:rPr>
          <w:noProof/>
        </w:rPr>
        <w:object w:dxaOrig="2326" w:dyaOrig="1467" w14:anchorId="62513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in" o:ole="">
            <v:imagedata r:id="rId19" o:title=""/>
          </v:shape>
          <o:OLEObject Type="Embed" ProgID="ChemDraw.Document.6.0" ShapeID="_x0000_i1033" DrawAspect="Content" ObjectID="_1750246515" r:id="rId20"/>
        </w:object>
      </w:r>
    </w:p>
    <w:p w14:paraId="13439205" w14:textId="77777777" w:rsidR="007C479F" w:rsidRPr="00E61FD4" w:rsidRDefault="007C479F">
      <w:pPr>
        <w:pStyle w:val="NoSpacing"/>
      </w:pPr>
    </w:p>
    <w:p w14:paraId="0F90A541" w14:textId="77777777" w:rsidR="001A3992" w:rsidRPr="00E61FD4" w:rsidRDefault="001A3992" w:rsidP="008E41AB">
      <w:pPr>
        <w:pStyle w:val="Heading3"/>
      </w:pPr>
      <w:r w:rsidRPr="00E61FD4">
        <w:t>CAS number</w:t>
      </w:r>
    </w:p>
    <w:p w14:paraId="7992F11C" w14:textId="77777777" w:rsidR="00B64424" w:rsidRPr="00E61FD4" w:rsidRDefault="000B6E4C" w:rsidP="00B64424">
      <w:pPr>
        <w:tabs>
          <w:tab w:val="left" w:pos="-720"/>
        </w:tabs>
        <w:suppressAutoHyphens/>
      </w:pPr>
      <w:r w:rsidRPr="00E61FD4">
        <w:rPr>
          <w:rFonts w:cs="Times New Roman"/>
          <w:color w:val="000000"/>
        </w:rPr>
        <w:t>1642288</w:t>
      </w:r>
      <w:r w:rsidR="00A1260F" w:rsidRPr="00E61FD4">
        <w:rPr>
          <w:rFonts w:cs="Times New Roman"/>
          <w:color w:val="000000"/>
        </w:rPr>
        <w:t>-</w:t>
      </w:r>
      <w:r w:rsidRPr="00E61FD4">
        <w:rPr>
          <w:rFonts w:cs="Times New Roman"/>
          <w:color w:val="000000"/>
        </w:rPr>
        <w:t>47-8</w:t>
      </w:r>
      <w:r w:rsidR="00B64424" w:rsidRPr="00E61FD4" w:rsidDel="00D93CC2">
        <w:t xml:space="preserve"> </w:t>
      </w:r>
    </w:p>
    <w:p w14:paraId="1FE8B6D3" w14:textId="0A99037B" w:rsidR="000B6E4C" w:rsidRPr="00E61FD4" w:rsidRDefault="00B64424" w:rsidP="00B64424">
      <w:pPr>
        <w:tabs>
          <w:tab w:val="left" w:pos="-720"/>
        </w:tabs>
        <w:suppressAutoHyphens/>
        <w:rPr>
          <w:rFonts w:cs="Times New Roman"/>
          <w:color w:val="000000"/>
        </w:rPr>
      </w:pPr>
      <w:r w:rsidRPr="00E61FD4" w:rsidDel="00D93CC2">
        <w:t>Mavacamten is a white to off-white powder that is practically insoluble in water and aqueous buffers, sparingly soluble in methanol and ethanol, and freely soluble in dimethyl sulfoxide and N-Methyl-2-pyrrolidone.</w:t>
      </w:r>
    </w:p>
    <w:p w14:paraId="3B206A7B" w14:textId="77777777" w:rsidR="001A3992" w:rsidRPr="00E61FD4" w:rsidRDefault="001A3992" w:rsidP="008E41AB">
      <w:pPr>
        <w:pStyle w:val="Heading1"/>
      </w:pPr>
      <w:r w:rsidRPr="00E61FD4">
        <w:t>Medicine schedule (Poisons Standard)</w:t>
      </w:r>
    </w:p>
    <w:p w14:paraId="3B8B424C" w14:textId="1B8821E5" w:rsidR="00207448" w:rsidRPr="00E61FD4" w:rsidRDefault="00BF3128" w:rsidP="00207448">
      <w:pPr>
        <w:rPr>
          <w:rFonts w:cs="Times New Roman"/>
          <w:lang w:val="en-US"/>
        </w:rPr>
      </w:pPr>
      <w:r w:rsidRPr="00E61FD4">
        <w:rPr>
          <w:rFonts w:cs="Times New Roman"/>
          <w:lang w:val="en-US"/>
        </w:rPr>
        <w:t xml:space="preserve">Schedule 4 - </w:t>
      </w:r>
      <w:r w:rsidR="00207448" w:rsidRPr="00E61FD4">
        <w:rPr>
          <w:rFonts w:cs="Times New Roman"/>
          <w:lang w:val="en-US"/>
        </w:rPr>
        <w:t>Prescription Only Medicine</w:t>
      </w:r>
      <w:r w:rsidR="00C300B1" w:rsidRPr="00E61FD4">
        <w:rPr>
          <w:rFonts w:cs="Times New Roman"/>
          <w:lang w:val="en-US"/>
        </w:rPr>
        <w:t>.</w:t>
      </w:r>
    </w:p>
    <w:p w14:paraId="65A1CF8A" w14:textId="77777777" w:rsidR="001A3992" w:rsidRPr="00E61FD4" w:rsidRDefault="001A3992" w:rsidP="008E41AB">
      <w:pPr>
        <w:pStyle w:val="Heading1"/>
      </w:pPr>
      <w:r w:rsidRPr="00E61FD4">
        <w:t>Sponsor</w:t>
      </w:r>
    </w:p>
    <w:p w14:paraId="3BDC93D9" w14:textId="77777777" w:rsidR="00C300B1" w:rsidRPr="00E61FD4" w:rsidRDefault="00A20060" w:rsidP="00C300B1">
      <w:pPr>
        <w:spacing w:after="0"/>
        <w:rPr>
          <w:rFonts w:cs="Times New Roman"/>
        </w:rPr>
      </w:pPr>
      <w:r w:rsidRPr="00E61FD4">
        <w:rPr>
          <w:rFonts w:cs="Times New Roman"/>
        </w:rPr>
        <w:t>Bristol-Myers Squibb Australia Pty Ltd</w:t>
      </w:r>
    </w:p>
    <w:p w14:paraId="1D4FA472" w14:textId="77777777" w:rsidR="00C300B1" w:rsidRPr="00E61FD4" w:rsidRDefault="00A20060" w:rsidP="00C300B1">
      <w:pPr>
        <w:spacing w:after="0"/>
        <w:rPr>
          <w:rFonts w:cs="Times New Roman"/>
        </w:rPr>
      </w:pPr>
      <w:r w:rsidRPr="00E61FD4">
        <w:rPr>
          <w:rFonts w:cs="Times New Roman"/>
        </w:rPr>
        <w:t>4 Nexus Court, Mulgrave,</w:t>
      </w:r>
    </w:p>
    <w:p w14:paraId="6CF9DC6B" w14:textId="13646A3B" w:rsidR="00A20060" w:rsidRPr="00E61FD4" w:rsidRDefault="00A20060" w:rsidP="00C300B1">
      <w:pPr>
        <w:spacing w:after="0"/>
        <w:rPr>
          <w:rFonts w:cs="Times New Roman"/>
        </w:rPr>
      </w:pPr>
      <w:r w:rsidRPr="00E61FD4">
        <w:rPr>
          <w:rFonts w:cs="Times New Roman"/>
        </w:rPr>
        <w:t>Victoria 3170, Australia.</w:t>
      </w:r>
    </w:p>
    <w:p w14:paraId="0F2BF442" w14:textId="36101B0E" w:rsidR="004E0E70" w:rsidRPr="00E61FD4" w:rsidRDefault="004E0E70" w:rsidP="00C300B1">
      <w:pPr>
        <w:spacing w:after="0"/>
        <w:rPr>
          <w:rFonts w:cs="Times New Roman"/>
        </w:rPr>
      </w:pPr>
      <w:r w:rsidRPr="00E61FD4">
        <w:rPr>
          <w:rFonts w:cs="Times New Roman"/>
        </w:rPr>
        <w:t>Toll free number: 1800 067 567</w:t>
      </w:r>
    </w:p>
    <w:p w14:paraId="24463FF3" w14:textId="597FAFC6" w:rsidR="004E0E70" w:rsidRPr="00E61FD4" w:rsidRDefault="004E0E70" w:rsidP="00C300B1">
      <w:pPr>
        <w:rPr>
          <w:rFonts w:cs="Times New Roman"/>
        </w:rPr>
      </w:pPr>
      <w:r w:rsidRPr="00E61FD4">
        <w:rPr>
          <w:rFonts w:cs="Times New Roman"/>
        </w:rPr>
        <w:t xml:space="preserve">Email: </w:t>
      </w:r>
      <w:hyperlink r:id="rId21" w:history="1">
        <w:r w:rsidRPr="00E61FD4">
          <w:rPr>
            <w:rFonts w:cs="Times New Roman"/>
          </w:rPr>
          <w:t>MedInfo.Australia@bms.com</w:t>
        </w:r>
      </w:hyperlink>
    </w:p>
    <w:p w14:paraId="0BA3DFB1" w14:textId="4EBC4DBA" w:rsidR="001A3992" w:rsidRPr="00E61FD4" w:rsidRDefault="001A3992" w:rsidP="008E41AB">
      <w:pPr>
        <w:pStyle w:val="Heading1"/>
      </w:pPr>
      <w:r w:rsidRPr="00E61FD4">
        <w:t>Date</w:t>
      </w:r>
      <w:r w:rsidR="007C4044" w:rsidRPr="00E61FD4">
        <w:t xml:space="preserve"> of first approval (ARTG entry)</w:t>
      </w:r>
    </w:p>
    <w:p w14:paraId="516EA795" w14:textId="3DCBCF1A" w:rsidR="00207448" w:rsidRPr="00E61FD4" w:rsidRDefault="00341065" w:rsidP="00207448">
      <w:pPr>
        <w:ind w:left="630" w:hanging="630"/>
        <w:rPr>
          <w:rFonts w:cs="Times New Roman"/>
        </w:rPr>
      </w:pPr>
      <w:r>
        <w:rPr>
          <w:rFonts w:cs="Times New Roman"/>
        </w:rPr>
        <w:t>19 September 2022</w:t>
      </w:r>
    </w:p>
    <w:p w14:paraId="28C934C3" w14:textId="77777777" w:rsidR="001A3992" w:rsidRPr="00E61FD4" w:rsidRDefault="001A3992" w:rsidP="008E41AB">
      <w:pPr>
        <w:pStyle w:val="Heading1"/>
      </w:pPr>
      <w:r w:rsidRPr="00E61FD4">
        <w:t>Date of revision of the text</w:t>
      </w:r>
    </w:p>
    <w:p w14:paraId="6CBD3527" w14:textId="7A38DF46" w:rsidR="007C4044" w:rsidRDefault="00603C06" w:rsidP="00207448">
      <w:pPr>
        <w:ind w:left="630" w:hanging="630"/>
        <w:rPr>
          <w:rFonts w:cs="Times New Roman"/>
        </w:rPr>
      </w:pPr>
      <w:r w:rsidRPr="00E61FD4">
        <w:rPr>
          <w:rFonts w:cs="Times New Roman"/>
        </w:rPr>
        <w:t>N/A</w:t>
      </w:r>
    </w:p>
    <w:p w14:paraId="72DA7EAE" w14:textId="433ADBF6" w:rsidR="009315FA" w:rsidRDefault="009315FA" w:rsidP="00207448">
      <w:pPr>
        <w:ind w:left="630" w:hanging="630"/>
        <w:rPr>
          <w:rFonts w:cs="Times New Roman"/>
        </w:rPr>
      </w:pPr>
    </w:p>
    <w:p w14:paraId="441544DC" w14:textId="77777777" w:rsidR="009315FA" w:rsidRPr="00E61FD4" w:rsidRDefault="009315FA" w:rsidP="00207448">
      <w:pPr>
        <w:ind w:left="630" w:hanging="630"/>
        <w:rPr>
          <w:rFonts w:cs="Times New Roman"/>
        </w:rPr>
      </w:pPr>
    </w:p>
    <w:p w14:paraId="49F9DDCD" w14:textId="77777777" w:rsidR="001A3992" w:rsidRPr="00E61FD4" w:rsidRDefault="001A3992" w:rsidP="008E41AB">
      <w:pPr>
        <w:pStyle w:val="Heading2"/>
        <w:numPr>
          <w:ilvl w:val="0"/>
          <w:numId w:val="0"/>
        </w:numPr>
        <w:rPr>
          <w:lang w:val="en-US"/>
        </w:rPr>
      </w:pPr>
      <w:r w:rsidRPr="00E61FD4">
        <w:rPr>
          <w:lang w:val="en-US"/>
        </w:rPr>
        <w:lastRenderedPageBreak/>
        <w:t>Summary table of changes</w:t>
      </w:r>
    </w:p>
    <w:tbl>
      <w:tblPr>
        <w:tblStyle w:val="LightGrid"/>
        <w:tblW w:w="9062" w:type="dxa"/>
        <w:tblCellMar>
          <w:top w:w="57" w:type="dxa"/>
          <w:bottom w:w="57" w:type="dxa"/>
        </w:tblCellMar>
        <w:tblLook w:val="06A0" w:firstRow="1" w:lastRow="0" w:firstColumn="1" w:lastColumn="0" w:noHBand="1" w:noVBand="1"/>
      </w:tblPr>
      <w:tblGrid>
        <w:gridCol w:w="1368"/>
        <w:gridCol w:w="7694"/>
      </w:tblGrid>
      <w:tr w:rsidR="003217A8" w:rsidRPr="00E61FD4" w14:paraId="7BCF663E" w14:textId="77777777" w:rsidTr="00BF3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2F2F2" w:themeFill="background1" w:themeFillShade="F2"/>
            <w:vAlign w:val="center"/>
          </w:tcPr>
          <w:p w14:paraId="11BEEDD2" w14:textId="77777777" w:rsidR="003217A8" w:rsidRPr="00E61FD4" w:rsidRDefault="003217A8" w:rsidP="001A3992">
            <w:pPr>
              <w:rPr>
                <w:rFonts w:cs="Times New Roman"/>
                <w:sz w:val="20"/>
                <w:lang w:val="en-US"/>
              </w:rPr>
            </w:pPr>
            <w:r w:rsidRPr="00E61FD4">
              <w:rPr>
                <w:rFonts w:cs="Times New Roman"/>
                <w:sz w:val="20"/>
                <w:lang w:val="en-US"/>
              </w:rPr>
              <w:t>Section Changed</w:t>
            </w:r>
          </w:p>
        </w:tc>
        <w:tc>
          <w:tcPr>
            <w:tcW w:w="7694" w:type="dxa"/>
            <w:shd w:val="clear" w:color="auto" w:fill="F2F2F2" w:themeFill="background1" w:themeFillShade="F2"/>
            <w:vAlign w:val="center"/>
          </w:tcPr>
          <w:p w14:paraId="4338F9AE" w14:textId="77777777" w:rsidR="003217A8" w:rsidRPr="00E61FD4" w:rsidRDefault="003217A8" w:rsidP="001A3992">
            <w:pPr>
              <w:cnfStyle w:val="100000000000" w:firstRow="1" w:lastRow="0" w:firstColumn="0" w:lastColumn="0" w:oddVBand="0" w:evenVBand="0" w:oddHBand="0" w:evenHBand="0" w:firstRowFirstColumn="0" w:firstRowLastColumn="0" w:lastRowFirstColumn="0" w:lastRowLastColumn="0"/>
              <w:rPr>
                <w:rFonts w:cs="Times New Roman"/>
                <w:sz w:val="20"/>
                <w:lang w:val="en-US"/>
              </w:rPr>
            </w:pPr>
            <w:r w:rsidRPr="00E61FD4">
              <w:rPr>
                <w:rFonts w:cs="Times New Roman"/>
                <w:sz w:val="20"/>
                <w:lang w:val="en-US"/>
              </w:rPr>
              <w:t>Summary of new information</w:t>
            </w:r>
          </w:p>
        </w:tc>
      </w:tr>
      <w:tr w:rsidR="003217A8" w:rsidRPr="00E61FD4" w14:paraId="74F286C1" w14:textId="77777777" w:rsidTr="00BF3128">
        <w:tc>
          <w:tcPr>
            <w:cnfStyle w:val="001000000000" w:firstRow="0" w:lastRow="0" w:firstColumn="1" w:lastColumn="0" w:oddVBand="0" w:evenVBand="0" w:oddHBand="0" w:evenHBand="0" w:firstRowFirstColumn="0" w:firstRowLastColumn="0" w:lastRowFirstColumn="0" w:lastRowLastColumn="0"/>
            <w:tcW w:w="1368" w:type="dxa"/>
            <w:vAlign w:val="center"/>
          </w:tcPr>
          <w:p w14:paraId="5E925727" w14:textId="47E09684" w:rsidR="003217A8" w:rsidRPr="00E61FD4" w:rsidRDefault="00603C06" w:rsidP="001A3992">
            <w:pPr>
              <w:rPr>
                <w:rFonts w:cs="Times New Roman"/>
                <w:b w:val="0"/>
                <w:bCs w:val="0"/>
                <w:lang w:val="en-US"/>
              </w:rPr>
            </w:pPr>
            <w:r w:rsidRPr="00E61FD4">
              <w:rPr>
                <w:rFonts w:cs="Times New Roman"/>
                <w:b w:val="0"/>
                <w:bCs w:val="0"/>
                <w:lang w:val="en-US"/>
              </w:rPr>
              <w:t>N/A</w:t>
            </w:r>
          </w:p>
        </w:tc>
        <w:tc>
          <w:tcPr>
            <w:tcW w:w="7694" w:type="dxa"/>
            <w:vAlign w:val="center"/>
          </w:tcPr>
          <w:p w14:paraId="6B4298F3" w14:textId="086F7DED" w:rsidR="003217A8" w:rsidRPr="00E61FD4" w:rsidRDefault="00603C06" w:rsidP="001A3992">
            <w:pPr>
              <w:cnfStyle w:val="000000000000" w:firstRow="0" w:lastRow="0" w:firstColumn="0" w:lastColumn="0" w:oddVBand="0" w:evenVBand="0" w:oddHBand="0" w:evenHBand="0" w:firstRowFirstColumn="0" w:firstRowLastColumn="0" w:lastRowFirstColumn="0" w:lastRowLastColumn="0"/>
              <w:rPr>
                <w:rFonts w:cs="Times New Roman"/>
                <w:lang w:val="en-US"/>
              </w:rPr>
            </w:pPr>
            <w:r w:rsidRPr="00E61FD4">
              <w:rPr>
                <w:rFonts w:cs="Times New Roman"/>
                <w:lang w:val="en-US"/>
              </w:rPr>
              <w:t>First Version</w:t>
            </w:r>
          </w:p>
        </w:tc>
      </w:tr>
    </w:tbl>
    <w:p w14:paraId="1E6CBE4A" w14:textId="06D35690" w:rsidR="00960CD5" w:rsidRPr="000A4651" w:rsidRDefault="00E5063D" w:rsidP="00C300B1">
      <w:pPr>
        <w:spacing w:before="240" w:after="120"/>
        <w:rPr>
          <w:rFonts w:cs="Times New Roman"/>
        </w:rPr>
      </w:pPr>
      <w:r w:rsidRPr="00E61FD4">
        <w:rPr>
          <w:rFonts w:cs="Times New Roman"/>
          <w:lang w:val="en-US"/>
        </w:rPr>
        <w:t>CAMZYOS</w:t>
      </w:r>
      <w:r w:rsidR="004704A9" w:rsidRPr="00E61FD4">
        <w:rPr>
          <w:rFonts w:cs="Times New Roman"/>
          <w:vertAlign w:val="superscript"/>
          <w:lang w:val="en-US"/>
        </w:rPr>
        <w:t>®</w:t>
      </w:r>
      <w:r w:rsidR="004704A9" w:rsidRPr="00E61FD4">
        <w:rPr>
          <w:rFonts w:cs="Times New Roman"/>
          <w:lang w:val="en-US"/>
        </w:rPr>
        <w:t xml:space="preserve"> is a registered trademark of </w:t>
      </w:r>
      <w:proofErr w:type="spellStart"/>
      <w:r w:rsidR="00575A72" w:rsidRPr="00E61FD4">
        <w:rPr>
          <w:rFonts w:cs="Times New Roman"/>
          <w:lang w:val="en-US"/>
        </w:rPr>
        <w:t>MyoKardia</w:t>
      </w:r>
      <w:proofErr w:type="spellEnd"/>
      <w:r w:rsidR="00575A72" w:rsidRPr="00E61FD4">
        <w:rPr>
          <w:rFonts w:cs="Times New Roman"/>
          <w:lang w:val="en-US"/>
        </w:rPr>
        <w:t xml:space="preserve"> Inc, a </w:t>
      </w:r>
      <w:r w:rsidR="004704A9" w:rsidRPr="00E61FD4">
        <w:rPr>
          <w:rFonts w:cs="Times New Roman"/>
          <w:lang w:val="en-US"/>
        </w:rPr>
        <w:t>Bristol-Myers Squibb</w:t>
      </w:r>
      <w:r w:rsidR="004D18C7" w:rsidRPr="00E61FD4">
        <w:rPr>
          <w:rFonts w:cs="Times New Roman"/>
          <w:lang w:val="en-US"/>
        </w:rPr>
        <w:t xml:space="preserve"> Company</w:t>
      </w:r>
      <w:r w:rsidR="00CB5929" w:rsidRPr="00E61FD4">
        <w:rPr>
          <w:rFonts w:cs="Times New Roman"/>
          <w:lang w:val="en-US"/>
        </w:rPr>
        <w:t>.</w:t>
      </w:r>
    </w:p>
    <w:sectPr w:rsidR="00960CD5" w:rsidRPr="000A4651" w:rsidSect="002B7B0E">
      <w:headerReference w:type="default" r:id="rId22"/>
      <w:footerReference w:type="default" r:id="rId23"/>
      <w:endnotePr>
        <w:numFmt w:val="decimal"/>
      </w:endnotePr>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9E7B" w14:textId="77777777" w:rsidR="00E037D9" w:rsidRDefault="00E037D9" w:rsidP="001A3992">
      <w:pPr>
        <w:spacing w:after="0"/>
      </w:pPr>
      <w:r>
        <w:separator/>
      </w:r>
    </w:p>
  </w:endnote>
  <w:endnote w:type="continuationSeparator" w:id="0">
    <w:p w14:paraId="0BC967FF" w14:textId="77777777" w:rsidR="00E037D9" w:rsidRDefault="00E037D9" w:rsidP="001A3992">
      <w:pPr>
        <w:spacing w:after="0"/>
      </w:pPr>
      <w:r>
        <w:continuationSeparator/>
      </w:r>
    </w:p>
  </w:endnote>
  <w:endnote w:type="continuationNotice" w:id="1">
    <w:p w14:paraId="547F21F8" w14:textId="77777777" w:rsidR="00E037D9" w:rsidRDefault="00E03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93163430"/>
      <w:docPartObj>
        <w:docPartGallery w:val="Page Numbers (Bottom of Page)"/>
        <w:docPartUnique/>
      </w:docPartObj>
    </w:sdtPr>
    <w:sdtEndPr>
      <w:rPr>
        <w:noProof/>
        <w:sz w:val="20"/>
      </w:rPr>
    </w:sdtEndPr>
    <w:sdtContent>
      <w:p w14:paraId="13ED8EB3" w14:textId="7838FFAD" w:rsidR="00D279C7" w:rsidRPr="003109D8" w:rsidRDefault="00D279C7" w:rsidP="003109D8">
        <w:pPr>
          <w:pStyle w:val="Footer"/>
          <w:tabs>
            <w:tab w:val="clear" w:pos="4513"/>
          </w:tabs>
          <w:rPr>
            <w:rFonts w:ascii="Times New Roman" w:hAnsi="Times New Roman" w:cs="Times New Roman"/>
            <w:sz w:val="20"/>
          </w:rPr>
        </w:pPr>
        <w:r w:rsidRPr="00DD316B">
          <w:rPr>
            <w:rFonts w:ascii="Times New Roman" w:hAnsi="Times New Roman" w:cs="Times New Roman"/>
            <w:sz w:val="20"/>
            <w:szCs w:val="20"/>
          </w:rPr>
          <w:t>AU_PI_CAMZYOS_V</w:t>
        </w:r>
        <w:r w:rsidR="00341065">
          <w:rPr>
            <w:rFonts w:ascii="Times New Roman" w:hAnsi="Times New Roman" w:cs="Times New Roman"/>
            <w:sz w:val="20"/>
            <w:szCs w:val="20"/>
          </w:rPr>
          <w:t>1.0</w:t>
        </w:r>
        <w:r>
          <w:rPr>
            <w:rFonts w:ascii="Times New Roman" w:hAnsi="Times New Roman" w:cs="Times New Roman"/>
            <w:sz w:val="20"/>
            <w:szCs w:val="20"/>
          </w:rPr>
          <w:tab/>
        </w:r>
        <w:r w:rsidRPr="003109D8">
          <w:rPr>
            <w:rFonts w:ascii="Times New Roman" w:hAnsi="Times New Roman" w:cs="Times New Roman"/>
            <w:sz w:val="20"/>
          </w:rPr>
          <w:fldChar w:fldCharType="begin"/>
        </w:r>
        <w:r w:rsidRPr="003109D8">
          <w:rPr>
            <w:rFonts w:ascii="Times New Roman" w:hAnsi="Times New Roman" w:cs="Times New Roman"/>
            <w:sz w:val="20"/>
          </w:rPr>
          <w:instrText xml:space="preserve"> PAGE   \* MERGEFORMAT </w:instrText>
        </w:r>
        <w:r w:rsidRPr="003109D8">
          <w:rPr>
            <w:rFonts w:ascii="Times New Roman" w:hAnsi="Times New Roman" w:cs="Times New Roman"/>
            <w:sz w:val="20"/>
          </w:rPr>
          <w:fldChar w:fldCharType="separate"/>
        </w:r>
        <w:r>
          <w:rPr>
            <w:rFonts w:ascii="Times New Roman" w:hAnsi="Times New Roman" w:cs="Times New Roman"/>
            <w:noProof/>
            <w:sz w:val="20"/>
          </w:rPr>
          <w:t>1</w:t>
        </w:r>
        <w:r w:rsidRPr="003109D8">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16F2" w14:textId="77777777" w:rsidR="00E037D9" w:rsidRDefault="00E037D9" w:rsidP="001A3992">
      <w:pPr>
        <w:spacing w:after="0"/>
      </w:pPr>
      <w:r>
        <w:separator/>
      </w:r>
    </w:p>
  </w:footnote>
  <w:footnote w:type="continuationSeparator" w:id="0">
    <w:p w14:paraId="071DAAD9" w14:textId="77777777" w:rsidR="00E037D9" w:rsidRDefault="00E037D9" w:rsidP="001A3992">
      <w:pPr>
        <w:spacing w:after="0"/>
      </w:pPr>
      <w:r>
        <w:continuationSeparator/>
      </w:r>
    </w:p>
  </w:footnote>
  <w:footnote w:type="continuationNotice" w:id="1">
    <w:p w14:paraId="05D02149" w14:textId="77777777" w:rsidR="00E037D9" w:rsidRDefault="00E037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Ind w:w="0" w:type="dxa"/>
      <w:shd w:val="clear" w:color="auto" w:fill="E4F2E0"/>
      <w:tblLook w:val="04A0" w:firstRow="1" w:lastRow="0" w:firstColumn="1" w:lastColumn="0" w:noHBand="0" w:noVBand="1"/>
    </w:tblPr>
    <w:tblGrid>
      <w:gridCol w:w="8720"/>
    </w:tblGrid>
    <w:tr w:rsidR="009315FA" w:rsidRPr="00D93657" w14:paraId="1E40C6A5" w14:textId="77777777" w:rsidTr="00CB5674">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13116AF4" w14:textId="6405C9B3" w:rsidR="009315FA" w:rsidRPr="00D93657" w:rsidRDefault="009315FA" w:rsidP="009315FA">
          <w:pPr>
            <w:spacing w:before="180" w:after="180" w:line="240" w:lineRule="atLeast"/>
            <w:rPr>
              <w:rFonts w:cs="Arial"/>
              <w:b/>
              <w:spacing w:val="-1"/>
              <w:sz w:val="18"/>
              <w:szCs w:val="18"/>
            </w:rPr>
          </w:pPr>
          <w:bookmarkStart w:id="33" w:name="_Hlk126587363"/>
          <w:r w:rsidRPr="00D93657">
            <w:rPr>
              <w:rFonts w:eastAsia="Calibri" w:cs="Arial"/>
              <w:b/>
              <w:spacing w:val="-1"/>
              <w:sz w:val="18"/>
              <w:szCs w:val="18"/>
            </w:rPr>
            <w:t>Attachment 1: Product information for</w:t>
          </w:r>
          <w:r>
            <w:t xml:space="preserve"> </w:t>
          </w:r>
          <w:proofErr w:type="spellStart"/>
          <w:r w:rsidRPr="009315FA">
            <w:rPr>
              <w:rFonts w:eastAsia="Calibri" w:cs="Arial"/>
              <w:b/>
              <w:spacing w:val="-1"/>
              <w:sz w:val="18"/>
              <w:szCs w:val="18"/>
            </w:rPr>
            <w:t>AusPAR</w:t>
          </w:r>
          <w:proofErr w:type="spellEnd"/>
          <w:r w:rsidRPr="009315FA">
            <w:rPr>
              <w:rFonts w:eastAsia="Calibri" w:cs="Arial"/>
              <w:b/>
              <w:spacing w:val="-1"/>
              <w:sz w:val="18"/>
              <w:szCs w:val="18"/>
            </w:rPr>
            <w:t xml:space="preserve"> - </w:t>
          </w:r>
          <w:proofErr w:type="spellStart"/>
          <w:r w:rsidRPr="009315FA">
            <w:rPr>
              <w:rFonts w:eastAsia="Calibri" w:cs="Arial"/>
              <w:b/>
              <w:spacing w:val="-1"/>
              <w:sz w:val="18"/>
              <w:szCs w:val="18"/>
            </w:rPr>
            <w:t>Camzyos</w:t>
          </w:r>
          <w:proofErr w:type="spellEnd"/>
          <w:r w:rsidRPr="009315FA">
            <w:rPr>
              <w:rFonts w:eastAsia="Calibri" w:cs="Arial"/>
              <w:b/>
              <w:spacing w:val="-1"/>
              <w:sz w:val="18"/>
              <w:szCs w:val="18"/>
            </w:rPr>
            <w:t xml:space="preserve"> - </w:t>
          </w:r>
          <w:proofErr w:type="spellStart"/>
          <w:r w:rsidRPr="009315FA">
            <w:rPr>
              <w:rFonts w:eastAsia="Calibri" w:cs="Arial"/>
              <w:b/>
              <w:spacing w:val="-1"/>
              <w:sz w:val="18"/>
              <w:szCs w:val="18"/>
            </w:rPr>
            <w:t>Mavacamten</w:t>
          </w:r>
          <w:proofErr w:type="spellEnd"/>
          <w:r w:rsidRPr="009315FA">
            <w:rPr>
              <w:rFonts w:eastAsia="Calibri" w:cs="Arial"/>
              <w:b/>
              <w:spacing w:val="-1"/>
              <w:sz w:val="18"/>
              <w:szCs w:val="18"/>
            </w:rPr>
            <w:t xml:space="preserve"> - Bristol-Myers Squibb Australia Pty Ltd - PM-2021-03751-1-3 FINAL 3 July 2023</w:t>
          </w:r>
          <w:r w:rsidRPr="00D93657">
            <w:rPr>
              <w:rFonts w:eastAsia="Calibri" w:cs="Arial"/>
              <w:b/>
              <w:spacing w:val="-1"/>
              <w:sz w:val="18"/>
              <w:szCs w:val="18"/>
            </w:rPr>
            <w:t xml:space="preserve">. This is the Product Information that was approved with the submission described in this </w:t>
          </w:r>
          <w:proofErr w:type="spellStart"/>
          <w:r w:rsidRPr="00D93657">
            <w:rPr>
              <w:rFonts w:eastAsia="Calibri" w:cs="Arial"/>
              <w:b/>
              <w:spacing w:val="-1"/>
              <w:sz w:val="18"/>
              <w:szCs w:val="18"/>
            </w:rPr>
            <w:t>AusPAR</w:t>
          </w:r>
          <w:proofErr w:type="spellEnd"/>
          <w:r w:rsidRPr="00D93657">
            <w:rPr>
              <w:rFonts w:eastAsia="Calibri" w:cs="Arial"/>
              <w:b/>
              <w:spacing w:val="-1"/>
              <w:sz w:val="18"/>
              <w:szCs w:val="18"/>
            </w:rPr>
            <w:t>. It may have been superseded. For the most recent PI, please refer to the TGA website at &lt;</w:t>
          </w:r>
          <w:hyperlink r:id="rId1" w:history="1">
            <w:r w:rsidRPr="00D93657">
              <w:rPr>
                <w:rFonts w:eastAsia="Calibri" w:cs="Arial"/>
                <w:b/>
                <w:color w:val="0000FF"/>
                <w:spacing w:val="-1"/>
                <w:sz w:val="18"/>
                <w:szCs w:val="18"/>
                <w:u w:val="single"/>
              </w:rPr>
              <w:t>https://www.tga.gov.au/products/australian-register-therapeutic-goods-artg/product-information-one</w:t>
            </w:r>
          </w:hyperlink>
          <w:r w:rsidRPr="00D93657">
            <w:rPr>
              <w:rFonts w:eastAsia="Calibri" w:cs="Arial"/>
              <w:b/>
              <w:spacing w:val="-1"/>
              <w:sz w:val="18"/>
              <w:szCs w:val="18"/>
            </w:rPr>
            <w:t>&gt;</w:t>
          </w:r>
        </w:p>
      </w:tc>
      <w:bookmarkEnd w:id="33"/>
    </w:tr>
  </w:tbl>
  <w:p w14:paraId="551353F3" w14:textId="5A413815" w:rsidR="009315FA" w:rsidRDefault="0093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F02"/>
    <w:multiLevelType w:val="hybridMultilevel"/>
    <w:tmpl w:val="7D4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EE4"/>
    <w:multiLevelType w:val="hybridMultilevel"/>
    <w:tmpl w:val="80301114"/>
    <w:lvl w:ilvl="0" w:tplc="E7C630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76465"/>
    <w:multiLevelType w:val="hybridMultilevel"/>
    <w:tmpl w:val="7682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C7240"/>
    <w:multiLevelType w:val="hybridMultilevel"/>
    <w:tmpl w:val="A26EDE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E017A"/>
    <w:multiLevelType w:val="hybridMultilevel"/>
    <w:tmpl w:val="A1D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15A07"/>
    <w:multiLevelType w:val="hybridMultilevel"/>
    <w:tmpl w:val="205C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A5516"/>
    <w:multiLevelType w:val="hybridMultilevel"/>
    <w:tmpl w:val="6B2AB80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F3744EF"/>
    <w:multiLevelType w:val="hybridMultilevel"/>
    <w:tmpl w:val="562C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45350"/>
    <w:multiLevelType w:val="hybridMultilevel"/>
    <w:tmpl w:val="E30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22408"/>
    <w:multiLevelType w:val="hybridMultilevel"/>
    <w:tmpl w:val="18B2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0085B"/>
    <w:multiLevelType w:val="hybridMultilevel"/>
    <w:tmpl w:val="7C6A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AE5758"/>
    <w:multiLevelType w:val="hybridMultilevel"/>
    <w:tmpl w:val="4456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256E9"/>
    <w:multiLevelType w:val="hybridMultilevel"/>
    <w:tmpl w:val="FBD26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13908"/>
    <w:multiLevelType w:val="hybridMultilevel"/>
    <w:tmpl w:val="35EAA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5E59"/>
    <w:multiLevelType w:val="hybridMultilevel"/>
    <w:tmpl w:val="05AE1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50DFA"/>
    <w:multiLevelType w:val="hybridMultilevel"/>
    <w:tmpl w:val="A7DA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D3E76"/>
    <w:multiLevelType w:val="hybridMultilevel"/>
    <w:tmpl w:val="D02CE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75B2B"/>
    <w:multiLevelType w:val="hybridMultilevel"/>
    <w:tmpl w:val="695A0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F55404"/>
    <w:multiLevelType w:val="hybridMultilevel"/>
    <w:tmpl w:val="C1988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AF6C4D"/>
    <w:multiLevelType w:val="hybridMultilevel"/>
    <w:tmpl w:val="03A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7661F"/>
    <w:multiLevelType w:val="hybridMultilevel"/>
    <w:tmpl w:val="22B4C2BC"/>
    <w:lvl w:ilvl="0" w:tplc="AF12D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32797"/>
    <w:multiLevelType w:val="multilevel"/>
    <w:tmpl w:val="86CE10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C14AC"/>
    <w:multiLevelType w:val="hybridMultilevel"/>
    <w:tmpl w:val="2C94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3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
  </w:num>
  <w:num w:numId="4">
    <w:abstractNumId w:val="22"/>
  </w:num>
  <w:num w:numId="5">
    <w:abstractNumId w:val="31"/>
  </w:num>
  <w:num w:numId="6">
    <w:abstractNumId w:val="28"/>
  </w:num>
  <w:num w:numId="7">
    <w:abstractNumId w:val="25"/>
  </w:num>
  <w:num w:numId="8">
    <w:abstractNumId w:val="29"/>
  </w:num>
  <w:num w:numId="9">
    <w:abstractNumId w:val="13"/>
  </w:num>
  <w:num w:numId="10">
    <w:abstractNumId w:val="24"/>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12"/>
  </w:num>
  <w:num w:numId="19">
    <w:abstractNumId w:val="16"/>
  </w:num>
  <w:num w:numId="20">
    <w:abstractNumId w:val="23"/>
  </w:num>
  <w:num w:numId="21">
    <w:abstractNumId w:val="11"/>
  </w:num>
  <w:num w:numId="22">
    <w:abstractNumId w:val="26"/>
  </w:num>
  <w:num w:numId="23">
    <w:abstractNumId w:val="10"/>
  </w:num>
  <w:num w:numId="24">
    <w:abstractNumId w:val="6"/>
  </w:num>
  <w:num w:numId="25">
    <w:abstractNumId w:val="21"/>
  </w:num>
  <w:num w:numId="26">
    <w:abstractNumId w:val="0"/>
  </w:num>
  <w:num w:numId="27">
    <w:abstractNumId w:val="2"/>
  </w:num>
  <w:num w:numId="28">
    <w:abstractNumId w:val="9"/>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7"/>
  </w:num>
  <w:num w:numId="33">
    <w:abstractNumId w:val="15"/>
  </w:num>
  <w:num w:numId="34">
    <w:abstractNumId w:val="20"/>
  </w:num>
  <w:num w:numId="35">
    <w:abstractNumId w:val="5"/>
  </w:num>
  <w:num w:numId="36">
    <w:abstractNumId w:val="30"/>
  </w:num>
  <w:num w:numId="37">
    <w:abstractNumId w:val="7"/>
  </w:num>
  <w:num w:numId="38">
    <w:abstractNumId w:val="3"/>
  </w:num>
  <w:num w:numId="39">
    <w:abstractNumId w:val="1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MSCT_StylesUpdated" w:val="N"/>
    <w:docVar w:name="CurrentCoreTemplateVersion" w:val="4.01"/>
    <w:docVar w:name="InitialCoreTemplateVersion" w:val="4.01"/>
  </w:docVars>
  <w:rsids>
    <w:rsidRoot w:val="001829B1"/>
    <w:rsid w:val="00000CBA"/>
    <w:rsid w:val="000025AA"/>
    <w:rsid w:val="0000369D"/>
    <w:rsid w:val="00007AD1"/>
    <w:rsid w:val="00011838"/>
    <w:rsid w:val="00011F01"/>
    <w:rsid w:val="00011F45"/>
    <w:rsid w:val="00012391"/>
    <w:rsid w:val="00013756"/>
    <w:rsid w:val="00013B9D"/>
    <w:rsid w:val="0001416F"/>
    <w:rsid w:val="000143BD"/>
    <w:rsid w:val="00015DFA"/>
    <w:rsid w:val="00016527"/>
    <w:rsid w:val="00016D39"/>
    <w:rsid w:val="00017460"/>
    <w:rsid w:val="000204E8"/>
    <w:rsid w:val="00020BA4"/>
    <w:rsid w:val="0002102A"/>
    <w:rsid w:val="00021517"/>
    <w:rsid w:val="000221DB"/>
    <w:rsid w:val="00023B89"/>
    <w:rsid w:val="0002622D"/>
    <w:rsid w:val="00031F04"/>
    <w:rsid w:val="0003411D"/>
    <w:rsid w:val="00036C3E"/>
    <w:rsid w:val="00036F95"/>
    <w:rsid w:val="000409C2"/>
    <w:rsid w:val="000468D3"/>
    <w:rsid w:val="00047977"/>
    <w:rsid w:val="000506AD"/>
    <w:rsid w:val="00050C57"/>
    <w:rsid w:val="000524B3"/>
    <w:rsid w:val="0005514D"/>
    <w:rsid w:val="0005772C"/>
    <w:rsid w:val="00060506"/>
    <w:rsid w:val="0006159E"/>
    <w:rsid w:val="00065D0D"/>
    <w:rsid w:val="000700DE"/>
    <w:rsid w:val="0007651D"/>
    <w:rsid w:val="00081343"/>
    <w:rsid w:val="00081D3B"/>
    <w:rsid w:val="00085CFF"/>
    <w:rsid w:val="0009111A"/>
    <w:rsid w:val="00094C97"/>
    <w:rsid w:val="00094D5C"/>
    <w:rsid w:val="0009734B"/>
    <w:rsid w:val="000A1ED9"/>
    <w:rsid w:val="000A4304"/>
    <w:rsid w:val="000A4651"/>
    <w:rsid w:val="000A64D1"/>
    <w:rsid w:val="000A735C"/>
    <w:rsid w:val="000A7645"/>
    <w:rsid w:val="000B1379"/>
    <w:rsid w:val="000B24BA"/>
    <w:rsid w:val="000B2D75"/>
    <w:rsid w:val="000B3078"/>
    <w:rsid w:val="000B6E4C"/>
    <w:rsid w:val="000B79C4"/>
    <w:rsid w:val="000C17DD"/>
    <w:rsid w:val="000C3E3B"/>
    <w:rsid w:val="000C4817"/>
    <w:rsid w:val="000C4D6E"/>
    <w:rsid w:val="000C4F80"/>
    <w:rsid w:val="000C52D5"/>
    <w:rsid w:val="000C5ED5"/>
    <w:rsid w:val="000C6223"/>
    <w:rsid w:val="000C662B"/>
    <w:rsid w:val="000D6146"/>
    <w:rsid w:val="000D714A"/>
    <w:rsid w:val="000D751B"/>
    <w:rsid w:val="000E2BE6"/>
    <w:rsid w:val="000E4D67"/>
    <w:rsid w:val="000E5012"/>
    <w:rsid w:val="000E71DE"/>
    <w:rsid w:val="000E71E4"/>
    <w:rsid w:val="000E74DF"/>
    <w:rsid w:val="000F03E1"/>
    <w:rsid w:val="000F0630"/>
    <w:rsid w:val="000F0FF8"/>
    <w:rsid w:val="000F1B06"/>
    <w:rsid w:val="000F2CAC"/>
    <w:rsid w:val="000F5156"/>
    <w:rsid w:val="000F5EE6"/>
    <w:rsid w:val="000F7484"/>
    <w:rsid w:val="00101D77"/>
    <w:rsid w:val="00103C08"/>
    <w:rsid w:val="00105567"/>
    <w:rsid w:val="001071A5"/>
    <w:rsid w:val="001116E4"/>
    <w:rsid w:val="001126B2"/>
    <w:rsid w:val="00116735"/>
    <w:rsid w:val="001207AE"/>
    <w:rsid w:val="00122796"/>
    <w:rsid w:val="00122D66"/>
    <w:rsid w:val="00123050"/>
    <w:rsid w:val="001235A1"/>
    <w:rsid w:val="00124C37"/>
    <w:rsid w:val="0012522F"/>
    <w:rsid w:val="00126F3E"/>
    <w:rsid w:val="00127469"/>
    <w:rsid w:val="001277B7"/>
    <w:rsid w:val="00127ADF"/>
    <w:rsid w:val="00130D02"/>
    <w:rsid w:val="001327B2"/>
    <w:rsid w:val="00132E1F"/>
    <w:rsid w:val="001338C2"/>
    <w:rsid w:val="001364AF"/>
    <w:rsid w:val="0013698B"/>
    <w:rsid w:val="00140485"/>
    <w:rsid w:val="0014212B"/>
    <w:rsid w:val="001448BA"/>
    <w:rsid w:val="001455A3"/>
    <w:rsid w:val="00147FF6"/>
    <w:rsid w:val="00150301"/>
    <w:rsid w:val="001507D4"/>
    <w:rsid w:val="00153B2E"/>
    <w:rsid w:val="00154EB6"/>
    <w:rsid w:val="00155E49"/>
    <w:rsid w:val="001562A1"/>
    <w:rsid w:val="001563A5"/>
    <w:rsid w:val="0016237E"/>
    <w:rsid w:val="00163919"/>
    <w:rsid w:val="00165525"/>
    <w:rsid w:val="00167658"/>
    <w:rsid w:val="001802F1"/>
    <w:rsid w:val="001829B1"/>
    <w:rsid w:val="00184904"/>
    <w:rsid w:val="00185339"/>
    <w:rsid w:val="001903FB"/>
    <w:rsid w:val="00194D03"/>
    <w:rsid w:val="00197349"/>
    <w:rsid w:val="001A2060"/>
    <w:rsid w:val="001A2CFE"/>
    <w:rsid w:val="001A3992"/>
    <w:rsid w:val="001A5A2A"/>
    <w:rsid w:val="001B0363"/>
    <w:rsid w:val="001B34D1"/>
    <w:rsid w:val="001B53DA"/>
    <w:rsid w:val="001B7302"/>
    <w:rsid w:val="001B7627"/>
    <w:rsid w:val="001C201E"/>
    <w:rsid w:val="001C66FD"/>
    <w:rsid w:val="001C69C3"/>
    <w:rsid w:val="001C701F"/>
    <w:rsid w:val="001C7146"/>
    <w:rsid w:val="001D1898"/>
    <w:rsid w:val="001D5C14"/>
    <w:rsid w:val="001D5CE3"/>
    <w:rsid w:val="001D6A4E"/>
    <w:rsid w:val="001D6FD0"/>
    <w:rsid w:val="001E6C2E"/>
    <w:rsid w:val="001E72A0"/>
    <w:rsid w:val="001F57B8"/>
    <w:rsid w:val="001F5BA8"/>
    <w:rsid w:val="001F6E96"/>
    <w:rsid w:val="0020264B"/>
    <w:rsid w:val="0020446C"/>
    <w:rsid w:val="00204F29"/>
    <w:rsid w:val="00207448"/>
    <w:rsid w:val="00210833"/>
    <w:rsid w:val="00211058"/>
    <w:rsid w:val="00211722"/>
    <w:rsid w:val="0021250C"/>
    <w:rsid w:val="002131E1"/>
    <w:rsid w:val="002134C8"/>
    <w:rsid w:val="00215CA8"/>
    <w:rsid w:val="00216F0D"/>
    <w:rsid w:val="00217732"/>
    <w:rsid w:val="0022005D"/>
    <w:rsid w:val="00221D20"/>
    <w:rsid w:val="00223EAE"/>
    <w:rsid w:val="0022449C"/>
    <w:rsid w:val="0022456B"/>
    <w:rsid w:val="002255A5"/>
    <w:rsid w:val="00225F71"/>
    <w:rsid w:val="00226615"/>
    <w:rsid w:val="0023046F"/>
    <w:rsid w:val="002318EE"/>
    <w:rsid w:val="00231F7E"/>
    <w:rsid w:val="0024014F"/>
    <w:rsid w:val="00240563"/>
    <w:rsid w:val="00245DE3"/>
    <w:rsid w:val="00246373"/>
    <w:rsid w:val="00250221"/>
    <w:rsid w:val="002512B1"/>
    <w:rsid w:val="00252D3A"/>
    <w:rsid w:val="00253CB0"/>
    <w:rsid w:val="00255379"/>
    <w:rsid w:val="00255FC3"/>
    <w:rsid w:val="00257C8F"/>
    <w:rsid w:val="00260CE8"/>
    <w:rsid w:val="00260EDC"/>
    <w:rsid w:val="00263761"/>
    <w:rsid w:val="002639A7"/>
    <w:rsid w:val="00267EE5"/>
    <w:rsid w:val="00270C4A"/>
    <w:rsid w:val="0027246D"/>
    <w:rsid w:val="00273500"/>
    <w:rsid w:val="002750B1"/>
    <w:rsid w:val="00276FBD"/>
    <w:rsid w:val="002807F5"/>
    <w:rsid w:val="00280970"/>
    <w:rsid w:val="002814EB"/>
    <w:rsid w:val="00282167"/>
    <w:rsid w:val="002831F4"/>
    <w:rsid w:val="0029176B"/>
    <w:rsid w:val="00292E43"/>
    <w:rsid w:val="0029459C"/>
    <w:rsid w:val="002A0B9A"/>
    <w:rsid w:val="002A4F57"/>
    <w:rsid w:val="002A5AB4"/>
    <w:rsid w:val="002A6FBC"/>
    <w:rsid w:val="002B0641"/>
    <w:rsid w:val="002B0C81"/>
    <w:rsid w:val="002B13B3"/>
    <w:rsid w:val="002B2B68"/>
    <w:rsid w:val="002B4430"/>
    <w:rsid w:val="002B7B0E"/>
    <w:rsid w:val="002C1AA5"/>
    <w:rsid w:val="002C2EC2"/>
    <w:rsid w:val="002C7DEC"/>
    <w:rsid w:val="002D0E71"/>
    <w:rsid w:val="002D2BF4"/>
    <w:rsid w:val="002D4562"/>
    <w:rsid w:val="002D5D83"/>
    <w:rsid w:val="002E03D9"/>
    <w:rsid w:val="002E078F"/>
    <w:rsid w:val="002E277D"/>
    <w:rsid w:val="002E29AE"/>
    <w:rsid w:val="002E32DA"/>
    <w:rsid w:val="002F0C39"/>
    <w:rsid w:val="002F0F62"/>
    <w:rsid w:val="002F34C2"/>
    <w:rsid w:val="002F3947"/>
    <w:rsid w:val="002F3A3D"/>
    <w:rsid w:val="002F6422"/>
    <w:rsid w:val="002F6EF3"/>
    <w:rsid w:val="00300E0E"/>
    <w:rsid w:val="003010BC"/>
    <w:rsid w:val="00301A6C"/>
    <w:rsid w:val="0030249B"/>
    <w:rsid w:val="0030417C"/>
    <w:rsid w:val="003056E0"/>
    <w:rsid w:val="003064F7"/>
    <w:rsid w:val="00306A18"/>
    <w:rsid w:val="00307951"/>
    <w:rsid w:val="00307E98"/>
    <w:rsid w:val="003109D8"/>
    <w:rsid w:val="00313A4A"/>
    <w:rsid w:val="00313E49"/>
    <w:rsid w:val="003144B2"/>
    <w:rsid w:val="0031543C"/>
    <w:rsid w:val="003217A8"/>
    <w:rsid w:val="0032363C"/>
    <w:rsid w:val="00323BF6"/>
    <w:rsid w:val="003258DC"/>
    <w:rsid w:val="00326D05"/>
    <w:rsid w:val="003278F5"/>
    <w:rsid w:val="00330580"/>
    <w:rsid w:val="00332DB1"/>
    <w:rsid w:val="00333092"/>
    <w:rsid w:val="003331AD"/>
    <w:rsid w:val="003340AF"/>
    <w:rsid w:val="00335FE8"/>
    <w:rsid w:val="0033639B"/>
    <w:rsid w:val="00336A8A"/>
    <w:rsid w:val="00336DB3"/>
    <w:rsid w:val="00336FD6"/>
    <w:rsid w:val="00341065"/>
    <w:rsid w:val="00342C2F"/>
    <w:rsid w:val="00342DA3"/>
    <w:rsid w:val="003436D7"/>
    <w:rsid w:val="00350646"/>
    <w:rsid w:val="003543F5"/>
    <w:rsid w:val="00355684"/>
    <w:rsid w:val="00356DFB"/>
    <w:rsid w:val="00356FBD"/>
    <w:rsid w:val="003573AA"/>
    <w:rsid w:val="003574CE"/>
    <w:rsid w:val="0035784D"/>
    <w:rsid w:val="003579B4"/>
    <w:rsid w:val="003620BC"/>
    <w:rsid w:val="003635F7"/>
    <w:rsid w:val="0036550D"/>
    <w:rsid w:val="00365933"/>
    <w:rsid w:val="00365DAF"/>
    <w:rsid w:val="00366829"/>
    <w:rsid w:val="00367C66"/>
    <w:rsid w:val="00367F1D"/>
    <w:rsid w:val="003734FD"/>
    <w:rsid w:val="00373AF1"/>
    <w:rsid w:val="00374832"/>
    <w:rsid w:val="0037523A"/>
    <w:rsid w:val="003768FC"/>
    <w:rsid w:val="003819C5"/>
    <w:rsid w:val="00392778"/>
    <w:rsid w:val="00392A02"/>
    <w:rsid w:val="00392B1C"/>
    <w:rsid w:val="0039375C"/>
    <w:rsid w:val="00393C94"/>
    <w:rsid w:val="00393D14"/>
    <w:rsid w:val="00394197"/>
    <w:rsid w:val="00394724"/>
    <w:rsid w:val="00396C59"/>
    <w:rsid w:val="003A0891"/>
    <w:rsid w:val="003A222B"/>
    <w:rsid w:val="003A43CC"/>
    <w:rsid w:val="003B0910"/>
    <w:rsid w:val="003B0A92"/>
    <w:rsid w:val="003B14A8"/>
    <w:rsid w:val="003B258E"/>
    <w:rsid w:val="003B6938"/>
    <w:rsid w:val="003B7AB7"/>
    <w:rsid w:val="003C15A4"/>
    <w:rsid w:val="003C272F"/>
    <w:rsid w:val="003C2850"/>
    <w:rsid w:val="003C395C"/>
    <w:rsid w:val="003C5E1F"/>
    <w:rsid w:val="003C741E"/>
    <w:rsid w:val="003D202A"/>
    <w:rsid w:val="003D259E"/>
    <w:rsid w:val="003D28B7"/>
    <w:rsid w:val="003D3EAE"/>
    <w:rsid w:val="003D44B0"/>
    <w:rsid w:val="003D7174"/>
    <w:rsid w:val="003D7446"/>
    <w:rsid w:val="003D7821"/>
    <w:rsid w:val="003E20DA"/>
    <w:rsid w:val="003E225E"/>
    <w:rsid w:val="003E3033"/>
    <w:rsid w:val="003E3991"/>
    <w:rsid w:val="003E41EC"/>
    <w:rsid w:val="003E4268"/>
    <w:rsid w:val="003E61CC"/>
    <w:rsid w:val="003F16F6"/>
    <w:rsid w:val="003F706F"/>
    <w:rsid w:val="003F7332"/>
    <w:rsid w:val="003F74C3"/>
    <w:rsid w:val="00400565"/>
    <w:rsid w:val="00401AF3"/>
    <w:rsid w:val="00401C2F"/>
    <w:rsid w:val="00401D65"/>
    <w:rsid w:val="00402CFB"/>
    <w:rsid w:val="004032BD"/>
    <w:rsid w:val="00403D1A"/>
    <w:rsid w:val="0040717F"/>
    <w:rsid w:val="00411AA8"/>
    <w:rsid w:val="00411CF2"/>
    <w:rsid w:val="00412877"/>
    <w:rsid w:val="00413966"/>
    <w:rsid w:val="00414873"/>
    <w:rsid w:val="00415308"/>
    <w:rsid w:val="00420AC1"/>
    <w:rsid w:val="00424E3E"/>
    <w:rsid w:val="004261E1"/>
    <w:rsid w:val="004276E7"/>
    <w:rsid w:val="00430927"/>
    <w:rsid w:val="00431316"/>
    <w:rsid w:val="00431ACD"/>
    <w:rsid w:val="004321FC"/>
    <w:rsid w:val="00432C97"/>
    <w:rsid w:val="0043340A"/>
    <w:rsid w:val="00434080"/>
    <w:rsid w:val="004365A9"/>
    <w:rsid w:val="00443035"/>
    <w:rsid w:val="00446174"/>
    <w:rsid w:val="00446231"/>
    <w:rsid w:val="00447609"/>
    <w:rsid w:val="00447E27"/>
    <w:rsid w:val="00453AE0"/>
    <w:rsid w:val="004543FF"/>
    <w:rsid w:val="00454C12"/>
    <w:rsid w:val="004562A9"/>
    <w:rsid w:val="00460731"/>
    <w:rsid w:val="00462715"/>
    <w:rsid w:val="0046494A"/>
    <w:rsid w:val="00465682"/>
    <w:rsid w:val="004704A9"/>
    <w:rsid w:val="00470EE5"/>
    <w:rsid w:val="00471F95"/>
    <w:rsid w:val="00474BB5"/>
    <w:rsid w:val="00475B91"/>
    <w:rsid w:val="00475F8B"/>
    <w:rsid w:val="00480CAA"/>
    <w:rsid w:val="00483293"/>
    <w:rsid w:val="0048592D"/>
    <w:rsid w:val="0048729F"/>
    <w:rsid w:val="004878D7"/>
    <w:rsid w:val="004901FA"/>
    <w:rsid w:val="00490AE2"/>
    <w:rsid w:val="00491133"/>
    <w:rsid w:val="00495C31"/>
    <w:rsid w:val="00496DBC"/>
    <w:rsid w:val="00497937"/>
    <w:rsid w:val="004A01E1"/>
    <w:rsid w:val="004A0C88"/>
    <w:rsid w:val="004A173B"/>
    <w:rsid w:val="004A317F"/>
    <w:rsid w:val="004A42CB"/>
    <w:rsid w:val="004A4384"/>
    <w:rsid w:val="004A49F7"/>
    <w:rsid w:val="004A5C79"/>
    <w:rsid w:val="004A69BB"/>
    <w:rsid w:val="004B31EB"/>
    <w:rsid w:val="004B460A"/>
    <w:rsid w:val="004B4E23"/>
    <w:rsid w:val="004B4FB8"/>
    <w:rsid w:val="004B69F2"/>
    <w:rsid w:val="004C3A0A"/>
    <w:rsid w:val="004C6E80"/>
    <w:rsid w:val="004D0714"/>
    <w:rsid w:val="004D0FD7"/>
    <w:rsid w:val="004D18C7"/>
    <w:rsid w:val="004D4545"/>
    <w:rsid w:val="004D6AB4"/>
    <w:rsid w:val="004D72B6"/>
    <w:rsid w:val="004E012C"/>
    <w:rsid w:val="004E0E70"/>
    <w:rsid w:val="004E30A0"/>
    <w:rsid w:val="004E30B3"/>
    <w:rsid w:val="004E4C78"/>
    <w:rsid w:val="004E4E5A"/>
    <w:rsid w:val="004E5814"/>
    <w:rsid w:val="004F11E4"/>
    <w:rsid w:val="004F1BEC"/>
    <w:rsid w:val="004F1E67"/>
    <w:rsid w:val="004F2E3D"/>
    <w:rsid w:val="004F35E9"/>
    <w:rsid w:val="004F4306"/>
    <w:rsid w:val="004F467A"/>
    <w:rsid w:val="004F6893"/>
    <w:rsid w:val="004F767B"/>
    <w:rsid w:val="005001F3"/>
    <w:rsid w:val="00500F5A"/>
    <w:rsid w:val="0050237B"/>
    <w:rsid w:val="005025E8"/>
    <w:rsid w:val="00503E06"/>
    <w:rsid w:val="00505410"/>
    <w:rsid w:val="005054AC"/>
    <w:rsid w:val="00505ABD"/>
    <w:rsid w:val="00507586"/>
    <w:rsid w:val="005104B0"/>
    <w:rsid w:val="0051054B"/>
    <w:rsid w:val="005113C1"/>
    <w:rsid w:val="0051298D"/>
    <w:rsid w:val="00512BA0"/>
    <w:rsid w:val="00514DFC"/>
    <w:rsid w:val="00515F7E"/>
    <w:rsid w:val="00516BE7"/>
    <w:rsid w:val="00521773"/>
    <w:rsid w:val="005235ED"/>
    <w:rsid w:val="0052428C"/>
    <w:rsid w:val="00525078"/>
    <w:rsid w:val="0052606D"/>
    <w:rsid w:val="00531B47"/>
    <w:rsid w:val="00532EF6"/>
    <w:rsid w:val="00533CA3"/>
    <w:rsid w:val="00534BA1"/>
    <w:rsid w:val="005378E6"/>
    <w:rsid w:val="005401EB"/>
    <w:rsid w:val="00540200"/>
    <w:rsid w:val="00541B1C"/>
    <w:rsid w:val="005449F1"/>
    <w:rsid w:val="00544A7F"/>
    <w:rsid w:val="00544C71"/>
    <w:rsid w:val="00544DB9"/>
    <w:rsid w:val="005455F2"/>
    <w:rsid w:val="005458EB"/>
    <w:rsid w:val="00553A61"/>
    <w:rsid w:val="0055536A"/>
    <w:rsid w:val="0055628E"/>
    <w:rsid w:val="00556C17"/>
    <w:rsid w:val="00557AC8"/>
    <w:rsid w:val="005621DB"/>
    <w:rsid w:val="005625A6"/>
    <w:rsid w:val="005665DB"/>
    <w:rsid w:val="00567B6B"/>
    <w:rsid w:val="005707C4"/>
    <w:rsid w:val="00570F78"/>
    <w:rsid w:val="005723A2"/>
    <w:rsid w:val="0057394A"/>
    <w:rsid w:val="00574554"/>
    <w:rsid w:val="00575A72"/>
    <w:rsid w:val="00576C91"/>
    <w:rsid w:val="0058008F"/>
    <w:rsid w:val="00582929"/>
    <w:rsid w:val="00583299"/>
    <w:rsid w:val="00585AF3"/>
    <w:rsid w:val="00585D37"/>
    <w:rsid w:val="005878B2"/>
    <w:rsid w:val="0059222D"/>
    <w:rsid w:val="005925E4"/>
    <w:rsid w:val="00592A4C"/>
    <w:rsid w:val="00592CEE"/>
    <w:rsid w:val="00593EB3"/>
    <w:rsid w:val="00594CD2"/>
    <w:rsid w:val="0059539F"/>
    <w:rsid w:val="00595C5A"/>
    <w:rsid w:val="00597057"/>
    <w:rsid w:val="0059795A"/>
    <w:rsid w:val="00597C38"/>
    <w:rsid w:val="005A05A4"/>
    <w:rsid w:val="005A6528"/>
    <w:rsid w:val="005A7542"/>
    <w:rsid w:val="005A7EF8"/>
    <w:rsid w:val="005B193F"/>
    <w:rsid w:val="005B26EA"/>
    <w:rsid w:val="005B2A97"/>
    <w:rsid w:val="005B2D21"/>
    <w:rsid w:val="005B42F2"/>
    <w:rsid w:val="005B550A"/>
    <w:rsid w:val="005C059C"/>
    <w:rsid w:val="005C0986"/>
    <w:rsid w:val="005C271E"/>
    <w:rsid w:val="005C37DE"/>
    <w:rsid w:val="005C6D5F"/>
    <w:rsid w:val="005C7482"/>
    <w:rsid w:val="005D34A8"/>
    <w:rsid w:val="005D5619"/>
    <w:rsid w:val="005D5ED5"/>
    <w:rsid w:val="005D7CBD"/>
    <w:rsid w:val="005E1323"/>
    <w:rsid w:val="005E439B"/>
    <w:rsid w:val="005E4668"/>
    <w:rsid w:val="005E69FA"/>
    <w:rsid w:val="005E7A9C"/>
    <w:rsid w:val="005F015E"/>
    <w:rsid w:val="005F2814"/>
    <w:rsid w:val="005F294B"/>
    <w:rsid w:val="005F3168"/>
    <w:rsid w:val="005F3EED"/>
    <w:rsid w:val="005F4BD3"/>
    <w:rsid w:val="005F4EAC"/>
    <w:rsid w:val="005F524A"/>
    <w:rsid w:val="005F6FEF"/>
    <w:rsid w:val="005F7E54"/>
    <w:rsid w:val="00600667"/>
    <w:rsid w:val="0060230E"/>
    <w:rsid w:val="006039BA"/>
    <w:rsid w:val="00603C06"/>
    <w:rsid w:val="00603FBF"/>
    <w:rsid w:val="006068F9"/>
    <w:rsid w:val="00607119"/>
    <w:rsid w:val="00607536"/>
    <w:rsid w:val="00607F71"/>
    <w:rsid w:val="006114E0"/>
    <w:rsid w:val="00611743"/>
    <w:rsid w:val="00612427"/>
    <w:rsid w:val="00612EC1"/>
    <w:rsid w:val="00612FB4"/>
    <w:rsid w:val="006136FD"/>
    <w:rsid w:val="006205A8"/>
    <w:rsid w:val="00621FDB"/>
    <w:rsid w:val="00623672"/>
    <w:rsid w:val="00623A8C"/>
    <w:rsid w:val="00623B86"/>
    <w:rsid w:val="0062422B"/>
    <w:rsid w:val="00625194"/>
    <w:rsid w:val="00625FB4"/>
    <w:rsid w:val="00630BE1"/>
    <w:rsid w:val="0063737C"/>
    <w:rsid w:val="00641C89"/>
    <w:rsid w:val="00642728"/>
    <w:rsid w:val="00644086"/>
    <w:rsid w:val="00644643"/>
    <w:rsid w:val="00645638"/>
    <w:rsid w:val="00647374"/>
    <w:rsid w:val="006548FD"/>
    <w:rsid w:val="006610EA"/>
    <w:rsid w:val="0066204C"/>
    <w:rsid w:val="00665E9D"/>
    <w:rsid w:val="00666714"/>
    <w:rsid w:val="00670B03"/>
    <w:rsid w:val="00677AF5"/>
    <w:rsid w:val="0068228E"/>
    <w:rsid w:val="00683062"/>
    <w:rsid w:val="006833CE"/>
    <w:rsid w:val="00683A4B"/>
    <w:rsid w:val="00686549"/>
    <w:rsid w:val="00686D59"/>
    <w:rsid w:val="0069797B"/>
    <w:rsid w:val="00697ECD"/>
    <w:rsid w:val="006A180A"/>
    <w:rsid w:val="006A1B50"/>
    <w:rsid w:val="006A3577"/>
    <w:rsid w:val="006A3F29"/>
    <w:rsid w:val="006A4C7E"/>
    <w:rsid w:val="006A5C4C"/>
    <w:rsid w:val="006A75CD"/>
    <w:rsid w:val="006B0208"/>
    <w:rsid w:val="006B0430"/>
    <w:rsid w:val="006B5712"/>
    <w:rsid w:val="006B63F4"/>
    <w:rsid w:val="006B6C85"/>
    <w:rsid w:val="006C18CA"/>
    <w:rsid w:val="006C4D34"/>
    <w:rsid w:val="006C53F0"/>
    <w:rsid w:val="006C6A81"/>
    <w:rsid w:val="006C75B6"/>
    <w:rsid w:val="006D02F2"/>
    <w:rsid w:val="006D042E"/>
    <w:rsid w:val="006D1A72"/>
    <w:rsid w:val="006D7746"/>
    <w:rsid w:val="006E1B2C"/>
    <w:rsid w:val="006E23A4"/>
    <w:rsid w:val="006E2C15"/>
    <w:rsid w:val="006E352C"/>
    <w:rsid w:val="006E4605"/>
    <w:rsid w:val="006E5D93"/>
    <w:rsid w:val="006E6CBB"/>
    <w:rsid w:val="006F0B93"/>
    <w:rsid w:val="006F20D7"/>
    <w:rsid w:val="006F2D2E"/>
    <w:rsid w:val="006F3F04"/>
    <w:rsid w:val="006F5AEB"/>
    <w:rsid w:val="006F713C"/>
    <w:rsid w:val="00700888"/>
    <w:rsid w:val="0070311A"/>
    <w:rsid w:val="00704BEF"/>
    <w:rsid w:val="00704EE6"/>
    <w:rsid w:val="0070506F"/>
    <w:rsid w:val="00706B04"/>
    <w:rsid w:val="00707452"/>
    <w:rsid w:val="00710EC7"/>
    <w:rsid w:val="00711185"/>
    <w:rsid w:val="00712A8D"/>
    <w:rsid w:val="00712C76"/>
    <w:rsid w:val="00713BF7"/>
    <w:rsid w:val="007155A5"/>
    <w:rsid w:val="00717455"/>
    <w:rsid w:val="00722328"/>
    <w:rsid w:val="00724DF2"/>
    <w:rsid w:val="0072524E"/>
    <w:rsid w:val="0072697A"/>
    <w:rsid w:val="00731313"/>
    <w:rsid w:val="0073191F"/>
    <w:rsid w:val="007323F6"/>
    <w:rsid w:val="007326B7"/>
    <w:rsid w:val="00735802"/>
    <w:rsid w:val="00735F1A"/>
    <w:rsid w:val="00737119"/>
    <w:rsid w:val="00737BE2"/>
    <w:rsid w:val="00744550"/>
    <w:rsid w:val="00747A05"/>
    <w:rsid w:val="00751D01"/>
    <w:rsid w:val="0075248F"/>
    <w:rsid w:val="00752873"/>
    <w:rsid w:val="007530CA"/>
    <w:rsid w:val="007531D6"/>
    <w:rsid w:val="00755A9F"/>
    <w:rsid w:val="00760A59"/>
    <w:rsid w:val="00761094"/>
    <w:rsid w:val="00761713"/>
    <w:rsid w:val="007621F3"/>
    <w:rsid w:val="00762710"/>
    <w:rsid w:val="007649EA"/>
    <w:rsid w:val="00765545"/>
    <w:rsid w:val="00767B0D"/>
    <w:rsid w:val="00767B19"/>
    <w:rsid w:val="007702D1"/>
    <w:rsid w:val="00770A79"/>
    <w:rsid w:val="00776315"/>
    <w:rsid w:val="00776F5A"/>
    <w:rsid w:val="00780858"/>
    <w:rsid w:val="0078144F"/>
    <w:rsid w:val="007817CF"/>
    <w:rsid w:val="007820AA"/>
    <w:rsid w:val="00782131"/>
    <w:rsid w:val="00783D06"/>
    <w:rsid w:val="00786A4E"/>
    <w:rsid w:val="00786BCE"/>
    <w:rsid w:val="00791F1C"/>
    <w:rsid w:val="0079306A"/>
    <w:rsid w:val="00794B63"/>
    <w:rsid w:val="00795363"/>
    <w:rsid w:val="007957F3"/>
    <w:rsid w:val="007961AF"/>
    <w:rsid w:val="007A0D60"/>
    <w:rsid w:val="007B0941"/>
    <w:rsid w:val="007B0AB7"/>
    <w:rsid w:val="007B1160"/>
    <w:rsid w:val="007B26DD"/>
    <w:rsid w:val="007B3887"/>
    <w:rsid w:val="007B624B"/>
    <w:rsid w:val="007B6285"/>
    <w:rsid w:val="007C07AC"/>
    <w:rsid w:val="007C12BB"/>
    <w:rsid w:val="007C1EDB"/>
    <w:rsid w:val="007C38DA"/>
    <w:rsid w:val="007C3994"/>
    <w:rsid w:val="007C3A66"/>
    <w:rsid w:val="007C4044"/>
    <w:rsid w:val="007C479F"/>
    <w:rsid w:val="007C5467"/>
    <w:rsid w:val="007D33DA"/>
    <w:rsid w:val="007D4A43"/>
    <w:rsid w:val="007D7084"/>
    <w:rsid w:val="007E125A"/>
    <w:rsid w:val="007E3F57"/>
    <w:rsid w:val="007F1466"/>
    <w:rsid w:val="007F21B3"/>
    <w:rsid w:val="007F2B45"/>
    <w:rsid w:val="007F35E1"/>
    <w:rsid w:val="00800445"/>
    <w:rsid w:val="0080108D"/>
    <w:rsid w:val="00801C27"/>
    <w:rsid w:val="00802DD6"/>
    <w:rsid w:val="00802F59"/>
    <w:rsid w:val="00803BC8"/>
    <w:rsid w:val="00804006"/>
    <w:rsid w:val="0081037B"/>
    <w:rsid w:val="0081096F"/>
    <w:rsid w:val="00813087"/>
    <w:rsid w:val="0081759E"/>
    <w:rsid w:val="00821173"/>
    <w:rsid w:val="008222E0"/>
    <w:rsid w:val="00827710"/>
    <w:rsid w:val="00827E5B"/>
    <w:rsid w:val="00830C9C"/>
    <w:rsid w:val="0083136B"/>
    <w:rsid w:val="00831EE5"/>
    <w:rsid w:val="00833BB2"/>
    <w:rsid w:val="008341C4"/>
    <w:rsid w:val="00835BAF"/>
    <w:rsid w:val="00837381"/>
    <w:rsid w:val="008403B6"/>
    <w:rsid w:val="00842FF3"/>
    <w:rsid w:val="008431F7"/>
    <w:rsid w:val="00843E29"/>
    <w:rsid w:val="00844C2B"/>
    <w:rsid w:val="00845FC3"/>
    <w:rsid w:val="00847937"/>
    <w:rsid w:val="00854A57"/>
    <w:rsid w:val="00855731"/>
    <w:rsid w:val="00861104"/>
    <w:rsid w:val="00861594"/>
    <w:rsid w:val="00862B96"/>
    <w:rsid w:val="0086303E"/>
    <w:rsid w:val="0086587F"/>
    <w:rsid w:val="0086703D"/>
    <w:rsid w:val="0087188D"/>
    <w:rsid w:val="00874926"/>
    <w:rsid w:val="00877333"/>
    <w:rsid w:val="00881608"/>
    <w:rsid w:val="0088325B"/>
    <w:rsid w:val="00883435"/>
    <w:rsid w:val="0088390A"/>
    <w:rsid w:val="0089013E"/>
    <w:rsid w:val="0089050D"/>
    <w:rsid w:val="008911F2"/>
    <w:rsid w:val="008918D3"/>
    <w:rsid w:val="00891C9E"/>
    <w:rsid w:val="00892BA5"/>
    <w:rsid w:val="0089319E"/>
    <w:rsid w:val="00894B1F"/>
    <w:rsid w:val="0089537A"/>
    <w:rsid w:val="00895EE5"/>
    <w:rsid w:val="0089627E"/>
    <w:rsid w:val="008976A0"/>
    <w:rsid w:val="00897A59"/>
    <w:rsid w:val="008A0A7A"/>
    <w:rsid w:val="008A134F"/>
    <w:rsid w:val="008A2720"/>
    <w:rsid w:val="008A446C"/>
    <w:rsid w:val="008A4DD5"/>
    <w:rsid w:val="008A545E"/>
    <w:rsid w:val="008B0019"/>
    <w:rsid w:val="008B0D87"/>
    <w:rsid w:val="008B2699"/>
    <w:rsid w:val="008B5056"/>
    <w:rsid w:val="008B58B7"/>
    <w:rsid w:val="008B66A0"/>
    <w:rsid w:val="008C045F"/>
    <w:rsid w:val="008C3C48"/>
    <w:rsid w:val="008C586C"/>
    <w:rsid w:val="008C724E"/>
    <w:rsid w:val="008C7662"/>
    <w:rsid w:val="008C7DB1"/>
    <w:rsid w:val="008D029C"/>
    <w:rsid w:val="008D1466"/>
    <w:rsid w:val="008D1748"/>
    <w:rsid w:val="008D1ED3"/>
    <w:rsid w:val="008D1F7C"/>
    <w:rsid w:val="008D430C"/>
    <w:rsid w:val="008D53B8"/>
    <w:rsid w:val="008E16C9"/>
    <w:rsid w:val="008E41AB"/>
    <w:rsid w:val="008E42A4"/>
    <w:rsid w:val="008E6BEC"/>
    <w:rsid w:val="008F188D"/>
    <w:rsid w:val="008F210B"/>
    <w:rsid w:val="008F218B"/>
    <w:rsid w:val="008F407B"/>
    <w:rsid w:val="008F4CD0"/>
    <w:rsid w:val="008F61FE"/>
    <w:rsid w:val="008F6380"/>
    <w:rsid w:val="00900D74"/>
    <w:rsid w:val="00900D8F"/>
    <w:rsid w:val="0090580D"/>
    <w:rsid w:val="00910F9D"/>
    <w:rsid w:val="009116A5"/>
    <w:rsid w:val="0091528C"/>
    <w:rsid w:val="00915469"/>
    <w:rsid w:val="00915D0B"/>
    <w:rsid w:val="009163DA"/>
    <w:rsid w:val="00917C8C"/>
    <w:rsid w:val="00924631"/>
    <w:rsid w:val="009257DA"/>
    <w:rsid w:val="00926703"/>
    <w:rsid w:val="0092748F"/>
    <w:rsid w:val="0093110A"/>
    <w:rsid w:val="009315FA"/>
    <w:rsid w:val="00932E0F"/>
    <w:rsid w:val="00933890"/>
    <w:rsid w:val="00935EDA"/>
    <w:rsid w:val="0094068B"/>
    <w:rsid w:val="0094130A"/>
    <w:rsid w:val="009413D0"/>
    <w:rsid w:val="00941E75"/>
    <w:rsid w:val="00942056"/>
    <w:rsid w:val="009428B8"/>
    <w:rsid w:val="00944617"/>
    <w:rsid w:val="00945828"/>
    <w:rsid w:val="009466BC"/>
    <w:rsid w:val="00946721"/>
    <w:rsid w:val="00946978"/>
    <w:rsid w:val="00950CCD"/>
    <w:rsid w:val="00952661"/>
    <w:rsid w:val="009526F2"/>
    <w:rsid w:val="00952A57"/>
    <w:rsid w:val="00956F0C"/>
    <w:rsid w:val="009571DC"/>
    <w:rsid w:val="00960AF2"/>
    <w:rsid w:val="00960CD5"/>
    <w:rsid w:val="00962F80"/>
    <w:rsid w:val="00964C1C"/>
    <w:rsid w:val="00965143"/>
    <w:rsid w:val="009665C7"/>
    <w:rsid w:val="00967D00"/>
    <w:rsid w:val="00970F2E"/>
    <w:rsid w:val="009718D8"/>
    <w:rsid w:val="009778E8"/>
    <w:rsid w:val="0098179D"/>
    <w:rsid w:val="009831C9"/>
    <w:rsid w:val="00984445"/>
    <w:rsid w:val="009859A5"/>
    <w:rsid w:val="00986176"/>
    <w:rsid w:val="0098650F"/>
    <w:rsid w:val="009875E6"/>
    <w:rsid w:val="0099057A"/>
    <w:rsid w:val="0099283E"/>
    <w:rsid w:val="0099379D"/>
    <w:rsid w:val="009966F4"/>
    <w:rsid w:val="009970DA"/>
    <w:rsid w:val="009A3C3C"/>
    <w:rsid w:val="009A537B"/>
    <w:rsid w:val="009A70D4"/>
    <w:rsid w:val="009A7F7F"/>
    <w:rsid w:val="009B5127"/>
    <w:rsid w:val="009B55A0"/>
    <w:rsid w:val="009B59BA"/>
    <w:rsid w:val="009B757F"/>
    <w:rsid w:val="009B7A09"/>
    <w:rsid w:val="009C262E"/>
    <w:rsid w:val="009C26EA"/>
    <w:rsid w:val="009C3C8D"/>
    <w:rsid w:val="009C3D53"/>
    <w:rsid w:val="009C4450"/>
    <w:rsid w:val="009D051C"/>
    <w:rsid w:val="009D278A"/>
    <w:rsid w:val="009D4906"/>
    <w:rsid w:val="009D5058"/>
    <w:rsid w:val="009D5ADC"/>
    <w:rsid w:val="009D6A87"/>
    <w:rsid w:val="009D77E2"/>
    <w:rsid w:val="009D7DB1"/>
    <w:rsid w:val="009E00FF"/>
    <w:rsid w:val="009E2EBD"/>
    <w:rsid w:val="009E4151"/>
    <w:rsid w:val="009E4E9D"/>
    <w:rsid w:val="009E561D"/>
    <w:rsid w:val="009E73BE"/>
    <w:rsid w:val="009F1321"/>
    <w:rsid w:val="009F43C2"/>
    <w:rsid w:val="009F50EB"/>
    <w:rsid w:val="009F71C9"/>
    <w:rsid w:val="009F7686"/>
    <w:rsid w:val="009F7AB4"/>
    <w:rsid w:val="00A015B2"/>
    <w:rsid w:val="00A01F3A"/>
    <w:rsid w:val="00A03C76"/>
    <w:rsid w:val="00A04894"/>
    <w:rsid w:val="00A1154E"/>
    <w:rsid w:val="00A1260F"/>
    <w:rsid w:val="00A151AD"/>
    <w:rsid w:val="00A15B65"/>
    <w:rsid w:val="00A20060"/>
    <w:rsid w:val="00A20229"/>
    <w:rsid w:val="00A2204B"/>
    <w:rsid w:val="00A23768"/>
    <w:rsid w:val="00A23863"/>
    <w:rsid w:val="00A239AD"/>
    <w:rsid w:val="00A23F15"/>
    <w:rsid w:val="00A24380"/>
    <w:rsid w:val="00A26B85"/>
    <w:rsid w:val="00A30C73"/>
    <w:rsid w:val="00A31CAB"/>
    <w:rsid w:val="00A3224F"/>
    <w:rsid w:val="00A32E90"/>
    <w:rsid w:val="00A35ED0"/>
    <w:rsid w:val="00A4003D"/>
    <w:rsid w:val="00A40C89"/>
    <w:rsid w:val="00A43445"/>
    <w:rsid w:val="00A44791"/>
    <w:rsid w:val="00A45BBC"/>
    <w:rsid w:val="00A52A94"/>
    <w:rsid w:val="00A52E51"/>
    <w:rsid w:val="00A55610"/>
    <w:rsid w:val="00A66ED8"/>
    <w:rsid w:val="00A67680"/>
    <w:rsid w:val="00A67E82"/>
    <w:rsid w:val="00A67EA7"/>
    <w:rsid w:val="00A72927"/>
    <w:rsid w:val="00A72CDD"/>
    <w:rsid w:val="00A76594"/>
    <w:rsid w:val="00A811C4"/>
    <w:rsid w:val="00A8317D"/>
    <w:rsid w:val="00A837AD"/>
    <w:rsid w:val="00A838D7"/>
    <w:rsid w:val="00A86993"/>
    <w:rsid w:val="00A905A6"/>
    <w:rsid w:val="00A966F7"/>
    <w:rsid w:val="00A970B3"/>
    <w:rsid w:val="00A97E19"/>
    <w:rsid w:val="00AA314B"/>
    <w:rsid w:val="00AA31E1"/>
    <w:rsid w:val="00AA3327"/>
    <w:rsid w:val="00AA4648"/>
    <w:rsid w:val="00AA4A7F"/>
    <w:rsid w:val="00AA512D"/>
    <w:rsid w:val="00AA58A4"/>
    <w:rsid w:val="00AA595B"/>
    <w:rsid w:val="00AA5AC1"/>
    <w:rsid w:val="00AA6634"/>
    <w:rsid w:val="00AA703C"/>
    <w:rsid w:val="00AA7E77"/>
    <w:rsid w:val="00AB24C5"/>
    <w:rsid w:val="00AB25DE"/>
    <w:rsid w:val="00AB2AED"/>
    <w:rsid w:val="00AB3021"/>
    <w:rsid w:val="00AB3B14"/>
    <w:rsid w:val="00AB4D65"/>
    <w:rsid w:val="00AB5D6F"/>
    <w:rsid w:val="00AB6339"/>
    <w:rsid w:val="00AB6750"/>
    <w:rsid w:val="00AB7077"/>
    <w:rsid w:val="00AB778A"/>
    <w:rsid w:val="00AB79AD"/>
    <w:rsid w:val="00AB7F49"/>
    <w:rsid w:val="00AC06D8"/>
    <w:rsid w:val="00AC4804"/>
    <w:rsid w:val="00AC4A80"/>
    <w:rsid w:val="00AD15B2"/>
    <w:rsid w:val="00AD383D"/>
    <w:rsid w:val="00AD6BAD"/>
    <w:rsid w:val="00AD7956"/>
    <w:rsid w:val="00AE0D7E"/>
    <w:rsid w:val="00AE1839"/>
    <w:rsid w:val="00AE19E9"/>
    <w:rsid w:val="00AE3505"/>
    <w:rsid w:val="00AE35AF"/>
    <w:rsid w:val="00AE61A9"/>
    <w:rsid w:val="00AE6EBA"/>
    <w:rsid w:val="00AE7458"/>
    <w:rsid w:val="00AE7C1F"/>
    <w:rsid w:val="00AF0E18"/>
    <w:rsid w:val="00AF2514"/>
    <w:rsid w:val="00AF460A"/>
    <w:rsid w:val="00AF4CAB"/>
    <w:rsid w:val="00AF521E"/>
    <w:rsid w:val="00B00E04"/>
    <w:rsid w:val="00B012E3"/>
    <w:rsid w:val="00B02807"/>
    <w:rsid w:val="00B068B6"/>
    <w:rsid w:val="00B070DF"/>
    <w:rsid w:val="00B07278"/>
    <w:rsid w:val="00B142C9"/>
    <w:rsid w:val="00B15B01"/>
    <w:rsid w:val="00B17BF0"/>
    <w:rsid w:val="00B20C9B"/>
    <w:rsid w:val="00B22592"/>
    <w:rsid w:val="00B23EBF"/>
    <w:rsid w:val="00B2577F"/>
    <w:rsid w:val="00B25C87"/>
    <w:rsid w:val="00B26719"/>
    <w:rsid w:val="00B30B48"/>
    <w:rsid w:val="00B31E6D"/>
    <w:rsid w:val="00B32B06"/>
    <w:rsid w:val="00B32F0E"/>
    <w:rsid w:val="00B36B90"/>
    <w:rsid w:val="00B41B75"/>
    <w:rsid w:val="00B44C50"/>
    <w:rsid w:val="00B45CFB"/>
    <w:rsid w:val="00B471D9"/>
    <w:rsid w:val="00B5154F"/>
    <w:rsid w:val="00B54224"/>
    <w:rsid w:val="00B55AE9"/>
    <w:rsid w:val="00B57C92"/>
    <w:rsid w:val="00B63488"/>
    <w:rsid w:val="00B6401A"/>
    <w:rsid w:val="00B6408E"/>
    <w:rsid w:val="00B64424"/>
    <w:rsid w:val="00B64777"/>
    <w:rsid w:val="00B65404"/>
    <w:rsid w:val="00B65E5B"/>
    <w:rsid w:val="00B66432"/>
    <w:rsid w:val="00B7105B"/>
    <w:rsid w:val="00B7196A"/>
    <w:rsid w:val="00B7355B"/>
    <w:rsid w:val="00B756B4"/>
    <w:rsid w:val="00B75999"/>
    <w:rsid w:val="00B76AC9"/>
    <w:rsid w:val="00B76BEF"/>
    <w:rsid w:val="00B77FA3"/>
    <w:rsid w:val="00B80D67"/>
    <w:rsid w:val="00B81129"/>
    <w:rsid w:val="00B81199"/>
    <w:rsid w:val="00B830E2"/>
    <w:rsid w:val="00B8588D"/>
    <w:rsid w:val="00B85C78"/>
    <w:rsid w:val="00B92B45"/>
    <w:rsid w:val="00B937C8"/>
    <w:rsid w:val="00B97CDB"/>
    <w:rsid w:val="00BA066C"/>
    <w:rsid w:val="00BA08EC"/>
    <w:rsid w:val="00BA205B"/>
    <w:rsid w:val="00BA2985"/>
    <w:rsid w:val="00BA3A82"/>
    <w:rsid w:val="00BA4A97"/>
    <w:rsid w:val="00BA6981"/>
    <w:rsid w:val="00BA7361"/>
    <w:rsid w:val="00BB00A7"/>
    <w:rsid w:val="00BB1BC5"/>
    <w:rsid w:val="00BB1F04"/>
    <w:rsid w:val="00BB24B3"/>
    <w:rsid w:val="00BB3CED"/>
    <w:rsid w:val="00BB4F74"/>
    <w:rsid w:val="00BB57E4"/>
    <w:rsid w:val="00BB682F"/>
    <w:rsid w:val="00BC0684"/>
    <w:rsid w:val="00BC0D29"/>
    <w:rsid w:val="00BC1FD1"/>
    <w:rsid w:val="00BC2173"/>
    <w:rsid w:val="00BC4F3F"/>
    <w:rsid w:val="00BD1399"/>
    <w:rsid w:val="00BD17F2"/>
    <w:rsid w:val="00BD3B50"/>
    <w:rsid w:val="00BD6360"/>
    <w:rsid w:val="00BD64CD"/>
    <w:rsid w:val="00BD66B5"/>
    <w:rsid w:val="00BD6F06"/>
    <w:rsid w:val="00BD7881"/>
    <w:rsid w:val="00BD7931"/>
    <w:rsid w:val="00BE012D"/>
    <w:rsid w:val="00BE01F9"/>
    <w:rsid w:val="00BE0F8C"/>
    <w:rsid w:val="00BE1EFE"/>
    <w:rsid w:val="00BE2EAB"/>
    <w:rsid w:val="00BE31B5"/>
    <w:rsid w:val="00BE355A"/>
    <w:rsid w:val="00BE4B8B"/>
    <w:rsid w:val="00BE71AA"/>
    <w:rsid w:val="00BF3128"/>
    <w:rsid w:val="00BF316A"/>
    <w:rsid w:val="00BF3627"/>
    <w:rsid w:val="00BF4B81"/>
    <w:rsid w:val="00BF56AF"/>
    <w:rsid w:val="00BF5CEC"/>
    <w:rsid w:val="00BF5FE7"/>
    <w:rsid w:val="00C01964"/>
    <w:rsid w:val="00C046F7"/>
    <w:rsid w:val="00C06749"/>
    <w:rsid w:val="00C06FEE"/>
    <w:rsid w:val="00C077EA"/>
    <w:rsid w:val="00C12635"/>
    <w:rsid w:val="00C126C5"/>
    <w:rsid w:val="00C13A8C"/>
    <w:rsid w:val="00C16FBB"/>
    <w:rsid w:val="00C206A8"/>
    <w:rsid w:val="00C20CAC"/>
    <w:rsid w:val="00C218C0"/>
    <w:rsid w:val="00C21E4A"/>
    <w:rsid w:val="00C22181"/>
    <w:rsid w:val="00C23890"/>
    <w:rsid w:val="00C23FCD"/>
    <w:rsid w:val="00C268BA"/>
    <w:rsid w:val="00C273E6"/>
    <w:rsid w:val="00C276B1"/>
    <w:rsid w:val="00C27979"/>
    <w:rsid w:val="00C300B1"/>
    <w:rsid w:val="00C329E5"/>
    <w:rsid w:val="00C3459C"/>
    <w:rsid w:val="00C36BC3"/>
    <w:rsid w:val="00C36DC7"/>
    <w:rsid w:val="00C37ED1"/>
    <w:rsid w:val="00C4018D"/>
    <w:rsid w:val="00C4048C"/>
    <w:rsid w:val="00C40A89"/>
    <w:rsid w:val="00C42A89"/>
    <w:rsid w:val="00C445D5"/>
    <w:rsid w:val="00C461C3"/>
    <w:rsid w:val="00C50A6A"/>
    <w:rsid w:val="00C52619"/>
    <w:rsid w:val="00C5341B"/>
    <w:rsid w:val="00C54763"/>
    <w:rsid w:val="00C54922"/>
    <w:rsid w:val="00C56F82"/>
    <w:rsid w:val="00C605D2"/>
    <w:rsid w:val="00C622EC"/>
    <w:rsid w:val="00C62D3A"/>
    <w:rsid w:val="00C647CB"/>
    <w:rsid w:val="00C65823"/>
    <w:rsid w:val="00C7058C"/>
    <w:rsid w:val="00C71C99"/>
    <w:rsid w:val="00C71E2D"/>
    <w:rsid w:val="00C72348"/>
    <w:rsid w:val="00C73ACA"/>
    <w:rsid w:val="00C748AD"/>
    <w:rsid w:val="00C77309"/>
    <w:rsid w:val="00C80BFD"/>
    <w:rsid w:val="00C82459"/>
    <w:rsid w:val="00C838A0"/>
    <w:rsid w:val="00C84D8B"/>
    <w:rsid w:val="00C90AFB"/>
    <w:rsid w:val="00C91470"/>
    <w:rsid w:val="00C91C3C"/>
    <w:rsid w:val="00C9283A"/>
    <w:rsid w:val="00C950C4"/>
    <w:rsid w:val="00C952FE"/>
    <w:rsid w:val="00C955C6"/>
    <w:rsid w:val="00C9778B"/>
    <w:rsid w:val="00CA2D1D"/>
    <w:rsid w:val="00CA2F5A"/>
    <w:rsid w:val="00CA41BA"/>
    <w:rsid w:val="00CA6CCF"/>
    <w:rsid w:val="00CB3E89"/>
    <w:rsid w:val="00CB4F8B"/>
    <w:rsid w:val="00CB5595"/>
    <w:rsid w:val="00CB5929"/>
    <w:rsid w:val="00CB7F8E"/>
    <w:rsid w:val="00CC153D"/>
    <w:rsid w:val="00CC1A9F"/>
    <w:rsid w:val="00CC360F"/>
    <w:rsid w:val="00CC3701"/>
    <w:rsid w:val="00CC3F40"/>
    <w:rsid w:val="00CC4044"/>
    <w:rsid w:val="00CC41D9"/>
    <w:rsid w:val="00CC470C"/>
    <w:rsid w:val="00CC55B8"/>
    <w:rsid w:val="00CC5A34"/>
    <w:rsid w:val="00CC688A"/>
    <w:rsid w:val="00CC7A59"/>
    <w:rsid w:val="00CD0F4C"/>
    <w:rsid w:val="00CD2A7F"/>
    <w:rsid w:val="00CD2D65"/>
    <w:rsid w:val="00CD46D5"/>
    <w:rsid w:val="00CD605D"/>
    <w:rsid w:val="00CD6D66"/>
    <w:rsid w:val="00CD7BA3"/>
    <w:rsid w:val="00CE3BE2"/>
    <w:rsid w:val="00CE4CAE"/>
    <w:rsid w:val="00CE511A"/>
    <w:rsid w:val="00CE71AA"/>
    <w:rsid w:val="00CF3881"/>
    <w:rsid w:val="00CF3B37"/>
    <w:rsid w:val="00CF4414"/>
    <w:rsid w:val="00CF4A7F"/>
    <w:rsid w:val="00CF4BFA"/>
    <w:rsid w:val="00CF55FD"/>
    <w:rsid w:val="00CF7755"/>
    <w:rsid w:val="00D005A7"/>
    <w:rsid w:val="00D01A7C"/>
    <w:rsid w:val="00D03E3B"/>
    <w:rsid w:val="00D065A4"/>
    <w:rsid w:val="00D06BD0"/>
    <w:rsid w:val="00D136E5"/>
    <w:rsid w:val="00D14C60"/>
    <w:rsid w:val="00D16C5C"/>
    <w:rsid w:val="00D279C7"/>
    <w:rsid w:val="00D27CFF"/>
    <w:rsid w:val="00D27E81"/>
    <w:rsid w:val="00D30622"/>
    <w:rsid w:val="00D32915"/>
    <w:rsid w:val="00D33ACC"/>
    <w:rsid w:val="00D4130D"/>
    <w:rsid w:val="00D41664"/>
    <w:rsid w:val="00D41C05"/>
    <w:rsid w:val="00D41C91"/>
    <w:rsid w:val="00D436CE"/>
    <w:rsid w:val="00D443DC"/>
    <w:rsid w:val="00D44831"/>
    <w:rsid w:val="00D46288"/>
    <w:rsid w:val="00D46B07"/>
    <w:rsid w:val="00D46EC4"/>
    <w:rsid w:val="00D53119"/>
    <w:rsid w:val="00D5347A"/>
    <w:rsid w:val="00D53910"/>
    <w:rsid w:val="00D56416"/>
    <w:rsid w:val="00D56D82"/>
    <w:rsid w:val="00D60656"/>
    <w:rsid w:val="00D61797"/>
    <w:rsid w:val="00D61986"/>
    <w:rsid w:val="00D620D6"/>
    <w:rsid w:val="00D67FC0"/>
    <w:rsid w:val="00D722C6"/>
    <w:rsid w:val="00D76B65"/>
    <w:rsid w:val="00D77485"/>
    <w:rsid w:val="00D774A1"/>
    <w:rsid w:val="00D77AC5"/>
    <w:rsid w:val="00D8030E"/>
    <w:rsid w:val="00D80B26"/>
    <w:rsid w:val="00D8106A"/>
    <w:rsid w:val="00D81F3A"/>
    <w:rsid w:val="00D83AF7"/>
    <w:rsid w:val="00D84EFD"/>
    <w:rsid w:val="00D8564A"/>
    <w:rsid w:val="00D92602"/>
    <w:rsid w:val="00D92A4E"/>
    <w:rsid w:val="00D93CC2"/>
    <w:rsid w:val="00D93E78"/>
    <w:rsid w:val="00D951A1"/>
    <w:rsid w:val="00DA1FCC"/>
    <w:rsid w:val="00DA4C8A"/>
    <w:rsid w:val="00DA5D1C"/>
    <w:rsid w:val="00DA5D3B"/>
    <w:rsid w:val="00DA5DA4"/>
    <w:rsid w:val="00DA663A"/>
    <w:rsid w:val="00DB0A1A"/>
    <w:rsid w:val="00DB0E2F"/>
    <w:rsid w:val="00DB1A44"/>
    <w:rsid w:val="00DB1E8A"/>
    <w:rsid w:val="00DB57F9"/>
    <w:rsid w:val="00DC05E2"/>
    <w:rsid w:val="00DC06E4"/>
    <w:rsid w:val="00DC3241"/>
    <w:rsid w:val="00DC3A03"/>
    <w:rsid w:val="00DC567D"/>
    <w:rsid w:val="00DD0F90"/>
    <w:rsid w:val="00DD117E"/>
    <w:rsid w:val="00DD1375"/>
    <w:rsid w:val="00DD316B"/>
    <w:rsid w:val="00DD7650"/>
    <w:rsid w:val="00DE19F8"/>
    <w:rsid w:val="00DE51F8"/>
    <w:rsid w:val="00DE587B"/>
    <w:rsid w:val="00DE62B0"/>
    <w:rsid w:val="00DF034F"/>
    <w:rsid w:val="00DF47F3"/>
    <w:rsid w:val="00DF6FE7"/>
    <w:rsid w:val="00E00761"/>
    <w:rsid w:val="00E00AFA"/>
    <w:rsid w:val="00E00F71"/>
    <w:rsid w:val="00E01A17"/>
    <w:rsid w:val="00E0263E"/>
    <w:rsid w:val="00E02B26"/>
    <w:rsid w:val="00E037D9"/>
    <w:rsid w:val="00E05715"/>
    <w:rsid w:val="00E122EA"/>
    <w:rsid w:val="00E12850"/>
    <w:rsid w:val="00E163CD"/>
    <w:rsid w:val="00E203E1"/>
    <w:rsid w:val="00E20696"/>
    <w:rsid w:val="00E228A5"/>
    <w:rsid w:val="00E2352F"/>
    <w:rsid w:val="00E24F0C"/>
    <w:rsid w:val="00E25ED0"/>
    <w:rsid w:val="00E2708E"/>
    <w:rsid w:val="00E275E5"/>
    <w:rsid w:val="00E31FD9"/>
    <w:rsid w:val="00E33BB3"/>
    <w:rsid w:val="00E36492"/>
    <w:rsid w:val="00E376B1"/>
    <w:rsid w:val="00E378C2"/>
    <w:rsid w:val="00E4279A"/>
    <w:rsid w:val="00E42AF8"/>
    <w:rsid w:val="00E42B04"/>
    <w:rsid w:val="00E45D95"/>
    <w:rsid w:val="00E46BFC"/>
    <w:rsid w:val="00E47425"/>
    <w:rsid w:val="00E47F84"/>
    <w:rsid w:val="00E5033B"/>
    <w:rsid w:val="00E5063D"/>
    <w:rsid w:val="00E5122C"/>
    <w:rsid w:val="00E522A2"/>
    <w:rsid w:val="00E5347D"/>
    <w:rsid w:val="00E534A8"/>
    <w:rsid w:val="00E55E10"/>
    <w:rsid w:val="00E577BD"/>
    <w:rsid w:val="00E61227"/>
    <w:rsid w:val="00E61EB8"/>
    <w:rsid w:val="00E61F56"/>
    <w:rsid w:val="00E61F71"/>
    <w:rsid w:val="00E61FD4"/>
    <w:rsid w:val="00E62F21"/>
    <w:rsid w:val="00E638E3"/>
    <w:rsid w:val="00E657BB"/>
    <w:rsid w:val="00E6658D"/>
    <w:rsid w:val="00E674E9"/>
    <w:rsid w:val="00E67BB8"/>
    <w:rsid w:val="00E736BD"/>
    <w:rsid w:val="00E73D8E"/>
    <w:rsid w:val="00E7434B"/>
    <w:rsid w:val="00E7466F"/>
    <w:rsid w:val="00E74A56"/>
    <w:rsid w:val="00E75238"/>
    <w:rsid w:val="00E75260"/>
    <w:rsid w:val="00E769CF"/>
    <w:rsid w:val="00E76B7C"/>
    <w:rsid w:val="00E812FA"/>
    <w:rsid w:val="00E82B56"/>
    <w:rsid w:val="00E90CF2"/>
    <w:rsid w:val="00E935D8"/>
    <w:rsid w:val="00E94DE2"/>
    <w:rsid w:val="00E9697E"/>
    <w:rsid w:val="00EA02A0"/>
    <w:rsid w:val="00EA3C79"/>
    <w:rsid w:val="00EA48C0"/>
    <w:rsid w:val="00EA53CB"/>
    <w:rsid w:val="00EA54DC"/>
    <w:rsid w:val="00EA6FBE"/>
    <w:rsid w:val="00EA78D3"/>
    <w:rsid w:val="00EA7902"/>
    <w:rsid w:val="00EB17FD"/>
    <w:rsid w:val="00EB4A9B"/>
    <w:rsid w:val="00EB4D2B"/>
    <w:rsid w:val="00EB576A"/>
    <w:rsid w:val="00EB5A62"/>
    <w:rsid w:val="00EB69FF"/>
    <w:rsid w:val="00EB6C5C"/>
    <w:rsid w:val="00EB6EF9"/>
    <w:rsid w:val="00EB7822"/>
    <w:rsid w:val="00EC34E1"/>
    <w:rsid w:val="00EC583B"/>
    <w:rsid w:val="00EC6A2A"/>
    <w:rsid w:val="00EC7A78"/>
    <w:rsid w:val="00ED06BE"/>
    <w:rsid w:val="00ED2D70"/>
    <w:rsid w:val="00ED3952"/>
    <w:rsid w:val="00ED6AA0"/>
    <w:rsid w:val="00ED6EAB"/>
    <w:rsid w:val="00EE17A9"/>
    <w:rsid w:val="00EE3059"/>
    <w:rsid w:val="00EE4ED4"/>
    <w:rsid w:val="00EE5E6E"/>
    <w:rsid w:val="00EE77D0"/>
    <w:rsid w:val="00EF0290"/>
    <w:rsid w:val="00EF58DB"/>
    <w:rsid w:val="00EF662C"/>
    <w:rsid w:val="00EF738E"/>
    <w:rsid w:val="00EF7A1C"/>
    <w:rsid w:val="00F01F58"/>
    <w:rsid w:val="00F02075"/>
    <w:rsid w:val="00F036AF"/>
    <w:rsid w:val="00F04441"/>
    <w:rsid w:val="00F04E26"/>
    <w:rsid w:val="00F05658"/>
    <w:rsid w:val="00F06AB9"/>
    <w:rsid w:val="00F10616"/>
    <w:rsid w:val="00F10906"/>
    <w:rsid w:val="00F12BB3"/>
    <w:rsid w:val="00F13D05"/>
    <w:rsid w:val="00F14730"/>
    <w:rsid w:val="00F16602"/>
    <w:rsid w:val="00F16AE4"/>
    <w:rsid w:val="00F17711"/>
    <w:rsid w:val="00F200AE"/>
    <w:rsid w:val="00F21699"/>
    <w:rsid w:val="00F22192"/>
    <w:rsid w:val="00F256F5"/>
    <w:rsid w:val="00F270E2"/>
    <w:rsid w:val="00F30D07"/>
    <w:rsid w:val="00F3326C"/>
    <w:rsid w:val="00F33EF5"/>
    <w:rsid w:val="00F34B36"/>
    <w:rsid w:val="00F35E67"/>
    <w:rsid w:val="00F4042F"/>
    <w:rsid w:val="00F408C8"/>
    <w:rsid w:val="00F4136E"/>
    <w:rsid w:val="00F41E24"/>
    <w:rsid w:val="00F432A5"/>
    <w:rsid w:val="00F436B2"/>
    <w:rsid w:val="00F446D1"/>
    <w:rsid w:val="00F46DAB"/>
    <w:rsid w:val="00F4766E"/>
    <w:rsid w:val="00F50466"/>
    <w:rsid w:val="00F546C0"/>
    <w:rsid w:val="00F5492E"/>
    <w:rsid w:val="00F55950"/>
    <w:rsid w:val="00F570D9"/>
    <w:rsid w:val="00F6068E"/>
    <w:rsid w:val="00F61F88"/>
    <w:rsid w:val="00F64178"/>
    <w:rsid w:val="00F642DC"/>
    <w:rsid w:val="00F677B7"/>
    <w:rsid w:val="00F70879"/>
    <w:rsid w:val="00F71660"/>
    <w:rsid w:val="00F7273C"/>
    <w:rsid w:val="00F73510"/>
    <w:rsid w:val="00F744ED"/>
    <w:rsid w:val="00F74EBB"/>
    <w:rsid w:val="00F75FE5"/>
    <w:rsid w:val="00F76411"/>
    <w:rsid w:val="00F7661D"/>
    <w:rsid w:val="00F80D85"/>
    <w:rsid w:val="00F847FD"/>
    <w:rsid w:val="00F84A94"/>
    <w:rsid w:val="00F86C29"/>
    <w:rsid w:val="00F925B5"/>
    <w:rsid w:val="00F93994"/>
    <w:rsid w:val="00F94F3B"/>
    <w:rsid w:val="00F95400"/>
    <w:rsid w:val="00F96FC4"/>
    <w:rsid w:val="00F97C5F"/>
    <w:rsid w:val="00F97F04"/>
    <w:rsid w:val="00F97F3E"/>
    <w:rsid w:val="00FA7E07"/>
    <w:rsid w:val="00FB0890"/>
    <w:rsid w:val="00FB14B5"/>
    <w:rsid w:val="00FB14ED"/>
    <w:rsid w:val="00FB1998"/>
    <w:rsid w:val="00FB27DB"/>
    <w:rsid w:val="00FB4EB1"/>
    <w:rsid w:val="00FB6182"/>
    <w:rsid w:val="00FC5A81"/>
    <w:rsid w:val="00FC666A"/>
    <w:rsid w:val="00FC763F"/>
    <w:rsid w:val="00FC7EFE"/>
    <w:rsid w:val="00FD00BC"/>
    <w:rsid w:val="00FD0D1A"/>
    <w:rsid w:val="00FD1B7D"/>
    <w:rsid w:val="00FD1C50"/>
    <w:rsid w:val="00FD4406"/>
    <w:rsid w:val="00FE1400"/>
    <w:rsid w:val="00FE3548"/>
    <w:rsid w:val="00FE4AB8"/>
    <w:rsid w:val="00FE5830"/>
    <w:rsid w:val="00FE7383"/>
    <w:rsid w:val="00FE7648"/>
    <w:rsid w:val="00FE7AD0"/>
    <w:rsid w:val="00FF0BDA"/>
    <w:rsid w:val="00FF1C47"/>
    <w:rsid w:val="00FF21D9"/>
    <w:rsid w:val="00FF509A"/>
    <w:rsid w:val="00FF7EC4"/>
    <w:rsid w:val="011841C6"/>
    <w:rsid w:val="04539E7E"/>
    <w:rsid w:val="0931752C"/>
    <w:rsid w:val="0A0F7C23"/>
    <w:rsid w:val="0ADEE33C"/>
    <w:rsid w:val="0D046B90"/>
    <w:rsid w:val="0DCD38C0"/>
    <w:rsid w:val="1197A32D"/>
    <w:rsid w:val="171A122A"/>
    <w:rsid w:val="1A00DAD6"/>
    <w:rsid w:val="1D520BC1"/>
    <w:rsid w:val="2383F7E5"/>
    <w:rsid w:val="23F3FB3D"/>
    <w:rsid w:val="28001FCF"/>
    <w:rsid w:val="2D051F84"/>
    <w:rsid w:val="2D9926BD"/>
    <w:rsid w:val="36362775"/>
    <w:rsid w:val="40EE3F96"/>
    <w:rsid w:val="422EC95D"/>
    <w:rsid w:val="45705E12"/>
    <w:rsid w:val="467A4C80"/>
    <w:rsid w:val="49DFCBCA"/>
    <w:rsid w:val="4ACE3451"/>
    <w:rsid w:val="4B913878"/>
    <w:rsid w:val="4F9C75FE"/>
    <w:rsid w:val="51B6481B"/>
    <w:rsid w:val="5DF6D1B8"/>
    <w:rsid w:val="5E941371"/>
    <w:rsid w:val="61CDCE16"/>
    <w:rsid w:val="653A8BB6"/>
    <w:rsid w:val="689CBD7B"/>
    <w:rsid w:val="6D0F5327"/>
    <w:rsid w:val="725B5BC5"/>
    <w:rsid w:val="75746694"/>
    <w:rsid w:val="760AFD16"/>
    <w:rsid w:val="7C902085"/>
    <w:rsid w:val="7F92A4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B2CE35"/>
  <w15:docId w15:val="{838FF98F-882B-401C-B074-2AE92F07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0F"/>
    <w:pPr>
      <w:spacing w:line="240" w:lineRule="auto"/>
      <w:jc w:val="both"/>
    </w:pPr>
    <w:rPr>
      <w:rFonts w:ascii="Times New Roman" w:hAnsi="Times New Roman"/>
    </w:rPr>
  </w:style>
  <w:style w:type="paragraph" w:styleId="Heading1">
    <w:name w:val="heading 1"/>
    <w:basedOn w:val="Normal"/>
    <w:next w:val="Normal"/>
    <w:link w:val="Heading1Char"/>
    <w:autoRedefine/>
    <w:uiPriority w:val="9"/>
    <w:qFormat/>
    <w:rsid w:val="008E41AB"/>
    <w:pPr>
      <w:keepNext/>
      <w:keepLines/>
      <w:numPr>
        <w:numId w:val="1"/>
      </w:numPr>
      <w:spacing w:before="200" w:after="120"/>
      <w:outlineLvl w:val="0"/>
    </w:pPr>
    <w:rPr>
      <w:rFonts w:eastAsiaTheme="majorEastAsia" w:cs="Times New Roman"/>
      <w:b/>
      <w:bCs/>
      <w:caps/>
      <w:sz w:val="28"/>
      <w:szCs w:val="28"/>
      <w:lang w:val="en-US"/>
    </w:rPr>
  </w:style>
  <w:style w:type="paragraph" w:styleId="Heading2">
    <w:name w:val="heading 2"/>
    <w:basedOn w:val="Normal"/>
    <w:next w:val="Normal"/>
    <w:link w:val="Heading2Char"/>
    <w:autoRedefine/>
    <w:uiPriority w:val="9"/>
    <w:unhideWhenUsed/>
    <w:qFormat/>
    <w:rsid w:val="008E41AB"/>
    <w:pPr>
      <w:numPr>
        <w:ilvl w:val="1"/>
        <w:numId w:val="1"/>
      </w:numPr>
      <w:spacing w:before="120" w:after="120"/>
      <w:ind w:left="810" w:hanging="810"/>
      <w:jc w:val="left"/>
      <w:outlineLvl w:val="1"/>
    </w:pPr>
    <w:rPr>
      <w:rFonts w:ascii="Times New Roman Bold" w:hAnsi="Times New Roman Bold" w:cs="Times New Roman"/>
      <w:b/>
      <w:caps/>
      <w:sz w:val="26"/>
      <w:szCs w:val="26"/>
    </w:rPr>
  </w:style>
  <w:style w:type="paragraph" w:styleId="Heading3">
    <w:name w:val="heading 3"/>
    <w:basedOn w:val="Normal"/>
    <w:next w:val="Normal"/>
    <w:link w:val="Heading3Char"/>
    <w:autoRedefine/>
    <w:uiPriority w:val="9"/>
    <w:unhideWhenUsed/>
    <w:qFormat/>
    <w:rsid w:val="008E41AB"/>
    <w:pPr>
      <w:keepNext/>
      <w:keepLines/>
      <w:spacing w:before="120" w:after="120"/>
      <w:outlineLvl w:val="2"/>
    </w:pPr>
    <w:rPr>
      <w:rFonts w:ascii="Times New Roman Bold" w:eastAsiaTheme="majorEastAsia" w:hAnsi="Times New Roman Bold" w:cs="Times New Roman"/>
      <w:b/>
      <w:bCs/>
      <w:sz w:val="24"/>
      <w:szCs w:val="28"/>
      <w:u w:val="single"/>
    </w:rPr>
  </w:style>
  <w:style w:type="paragraph" w:styleId="Heading4">
    <w:name w:val="heading 4"/>
    <w:basedOn w:val="Normal"/>
    <w:next w:val="Normal"/>
    <w:link w:val="Heading4Char"/>
    <w:autoRedefine/>
    <w:uiPriority w:val="9"/>
    <w:unhideWhenUsed/>
    <w:qFormat/>
    <w:rsid w:val="000143BD"/>
    <w:pPr>
      <w:keepNext/>
      <w:keepLines/>
      <w:spacing w:before="120" w:after="120"/>
      <w:jc w:val="left"/>
      <w:outlineLvl w:val="3"/>
    </w:pPr>
    <w:rPr>
      <w:rFonts w:ascii="Times New Roman Bold" w:eastAsia="SimSun" w:hAnsi="Times New Roman Bold" w:cs="Times New Roman"/>
      <w:b/>
      <w:bC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1AB"/>
    <w:rPr>
      <w:rFonts w:ascii="Times New Roman" w:eastAsiaTheme="majorEastAsia" w:hAnsi="Times New Roman" w:cs="Times New Roman"/>
      <w:b/>
      <w:bCs/>
      <w:caps/>
      <w:sz w:val="28"/>
      <w:szCs w:val="28"/>
      <w:lang w:val="en-US"/>
    </w:rPr>
  </w:style>
  <w:style w:type="character" w:customStyle="1" w:styleId="Heading2Char">
    <w:name w:val="Heading 2 Char"/>
    <w:basedOn w:val="DefaultParagraphFont"/>
    <w:link w:val="Heading2"/>
    <w:uiPriority w:val="9"/>
    <w:rsid w:val="008E41AB"/>
    <w:rPr>
      <w:rFonts w:ascii="Times New Roman Bold" w:hAnsi="Times New Roman Bold" w:cs="Times New Roman"/>
      <w:b/>
      <w:caps/>
      <w:sz w:val="26"/>
      <w:szCs w:val="26"/>
    </w:rPr>
  </w:style>
  <w:style w:type="character" w:customStyle="1" w:styleId="Heading3Char">
    <w:name w:val="Heading 3 Char"/>
    <w:basedOn w:val="DefaultParagraphFont"/>
    <w:link w:val="Heading3"/>
    <w:uiPriority w:val="9"/>
    <w:rsid w:val="008E41AB"/>
    <w:rPr>
      <w:rFonts w:ascii="Times New Roman Bold" w:eastAsiaTheme="majorEastAsia" w:hAnsi="Times New Roman Bold" w:cs="Times New Roman"/>
      <w:b/>
      <w:bCs/>
      <w:sz w:val="24"/>
      <w:szCs w:val="28"/>
      <w:u w:val="single"/>
    </w:rPr>
  </w:style>
  <w:style w:type="character" w:customStyle="1" w:styleId="Heading4Char">
    <w:name w:val="Heading 4 Char"/>
    <w:basedOn w:val="DefaultParagraphFont"/>
    <w:link w:val="Heading4"/>
    <w:uiPriority w:val="9"/>
    <w:rsid w:val="000143BD"/>
    <w:rPr>
      <w:rFonts w:ascii="Times New Roman Bold" w:eastAsia="SimSun" w:hAnsi="Times New Roman Bold" w:cs="Times New Roman"/>
      <w:b/>
      <w:bC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aliases w:val="Comment Text Char Char Char,Comment Text Char1,Comment Text Char1 Char, Car17, Car17 Car, Char Char Char, Char Char1,Annotationtext,Car17,Car17 Car,Cha,Char,Char Char Char,Char Char1,Comment Text Char Char,Comment Text Char Char1 Char"/>
    <w:basedOn w:val="Normal"/>
    <w:link w:val="CommentTextChar"/>
    <w:unhideWhenUsed/>
    <w:qFormat/>
    <w:rsid w:val="001A3992"/>
    <w:rPr>
      <w:rFonts w:ascii="Cambria" w:hAnsi="Cambria"/>
      <w:sz w:val="20"/>
      <w:szCs w:val="20"/>
    </w:rPr>
  </w:style>
  <w:style w:type="character" w:customStyle="1" w:styleId="CommentTextChar">
    <w:name w:val="Comment Text Char"/>
    <w:aliases w:val="Comment Text Char Char Char Char,Comment Text Char1 Char1,Comment Text Char1 Char Char, Car17 Char, Car17 Car Char, Char Char Char Char, Char Char1 Char,Annotationtext Char,Car17 Char,Car17 Car Char,Cha Char,Char Char,Char Char1 Char"/>
    <w:basedOn w:val="DefaultParagraphFont"/>
    <w:link w:val="CommentText"/>
    <w:uiPriority w:val="99"/>
    <w:qForma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C046F7"/>
    <w:rPr>
      <w:rFonts w:asciiTheme="minorHAnsi" w:hAnsiTheme="minorHAnsi"/>
      <w:b/>
      <w:bCs/>
    </w:rPr>
  </w:style>
  <w:style w:type="character" w:customStyle="1" w:styleId="CommentSubjectChar">
    <w:name w:val="Comment Subject Char"/>
    <w:basedOn w:val="CommentTextChar"/>
    <w:link w:val="CommentSubject"/>
    <w:uiPriority w:val="99"/>
    <w:semiHidden/>
    <w:rsid w:val="00C046F7"/>
    <w:rPr>
      <w:rFonts w:ascii="Cambria" w:hAnsi="Cambria"/>
      <w:b/>
      <w:bCs/>
      <w:sz w:val="20"/>
      <w:szCs w:val="20"/>
    </w:rPr>
  </w:style>
  <w:style w:type="paragraph" w:customStyle="1" w:styleId="Default">
    <w:name w:val="Default"/>
    <w:rsid w:val="00C046F7"/>
    <w:pPr>
      <w:autoSpaceDE w:val="0"/>
      <w:autoSpaceDN w:val="0"/>
      <w:adjustRightInd w:val="0"/>
      <w:spacing w:after="0" w:line="240" w:lineRule="auto"/>
    </w:pPr>
    <w:rPr>
      <w:rFonts w:ascii="Cambria" w:hAnsi="Cambria" w:cs="Cambria"/>
      <w:color w:val="000000"/>
      <w:sz w:val="24"/>
      <w:szCs w:val="24"/>
      <w:lang w:val="en-US"/>
    </w:rPr>
  </w:style>
  <w:style w:type="paragraph" w:styleId="Title">
    <w:name w:val="Title"/>
    <w:basedOn w:val="Normal"/>
    <w:next w:val="Normal"/>
    <w:link w:val="TitleChar"/>
    <w:autoRedefine/>
    <w:uiPriority w:val="10"/>
    <w:qFormat/>
    <w:rsid w:val="001A2060"/>
    <w:pPr>
      <w:spacing w:before="240" w:after="240"/>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A2060"/>
    <w:rPr>
      <w:rFonts w:ascii="Times New Roman" w:eastAsiaTheme="majorEastAsia" w:hAnsi="Times New Roman" w:cstheme="majorBidi"/>
      <w:b/>
      <w:caps/>
      <w:spacing w:val="-10"/>
      <w:kern w:val="28"/>
      <w:sz w:val="32"/>
      <w:szCs w:val="56"/>
    </w:rPr>
  </w:style>
  <w:style w:type="paragraph" w:styleId="NoSpacing">
    <w:name w:val="No Spacing"/>
    <w:aliases w:val="Bullet"/>
    <w:autoRedefine/>
    <w:uiPriority w:val="1"/>
    <w:qFormat/>
    <w:rsid w:val="002C2EC2"/>
    <w:pPr>
      <w:spacing w:before="120" w:after="120" w:line="240" w:lineRule="auto"/>
    </w:pPr>
    <w:rPr>
      <w:rFonts w:ascii="Times New Roman" w:hAnsi="Times New Roman"/>
      <w:b/>
      <w:sz w:val="20"/>
    </w:rPr>
  </w:style>
  <w:style w:type="character" w:styleId="IntenseReference">
    <w:name w:val="Intense Reference"/>
    <w:basedOn w:val="DefaultParagraphFont"/>
    <w:uiPriority w:val="32"/>
    <w:rsid w:val="00570F78"/>
    <w:rPr>
      <w:b/>
      <w:bCs/>
      <w:smallCaps/>
      <w:color w:val="4F81BD" w:themeColor="accent1"/>
      <w:spacing w:val="5"/>
    </w:rPr>
  </w:style>
  <w:style w:type="character" w:styleId="Strong">
    <w:name w:val="Strong"/>
    <w:basedOn w:val="DefaultParagraphFont"/>
    <w:uiPriority w:val="22"/>
    <w:rsid w:val="007D33DA"/>
    <w:rPr>
      <w:b/>
      <w:bCs/>
    </w:rPr>
  </w:style>
  <w:style w:type="table" w:styleId="TableGrid">
    <w:name w:val="Table Grid"/>
    <w:basedOn w:val="TableNormal"/>
    <w:rsid w:val="007D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38E3"/>
    <w:pPr>
      <w:ind w:left="720" w:hanging="720"/>
    </w:pPr>
    <w:rPr>
      <w:b/>
      <w:iCs/>
      <w:szCs w:val="18"/>
    </w:rPr>
  </w:style>
  <w:style w:type="paragraph" w:styleId="TOC1">
    <w:name w:val="toc 1"/>
    <w:basedOn w:val="Normal"/>
    <w:next w:val="Normal"/>
    <w:autoRedefine/>
    <w:uiPriority w:val="39"/>
    <w:semiHidden/>
    <w:unhideWhenUsed/>
    <w:rsid w:val="00C23890"/>
    <w:pPr>
      <w:tabs>
        <w:tab w:val="right" w:leader="dot" w:pos="9360"/>
      </w:tabs>
      <w:spacing w:after="100"/>
    </w:pPr>
  </w:style>
  <w:style w:type="paragraph" w:styleId="TOC2">
    <w:name w:val="toc 2"/>
    <w:basedOn w:val="Normal"/>
    <w:next w:val="Normal"/>
    <w:autoRedefine/>
    <w:uiPriority w:val="39"/>
    <w:semiHidden/>
    <w:unhideWhenUsed/>
    <w:rsid w:val="00C23890"/>
    <w:pPr>
      <w:tabs>
        <w:tab w:val="right" w:leader="dot" w:pos="9360"/>
      </w:tabs>
      <w:spacing w:after="100"/>
      <w:ind w:left="220"/>
    </w:pPr>
  </w:style>
  <w:style w:type="paragraph" w:styleId="TOC3">
    <w:name w:val="toc 3"/>
    <w:basedOn w:val="Normal"/>
    <w:next w:val="Normal"/>
    <w:autoRedefine/>
    <w:uiPriority w:val="39"/>
    <w:semiHidden/>
    <w:unhideWhenUsed/>
    <w:rsid w:val="00C23890"/>
    <w:pPr>
      <w:tabs>
        <w:tab w:val="right" w:leader="dot" w:pos="9360"/>
      </w:tabs>
      <w:spacing w:after="100"/>
      <w:ind w:left="440"/>
    </w:pPr>
  </w:style>
  <w:style w:type="character" w:customStyle="1" w:styleId="BMSTableNote">
    <w:name w:val="BMS Table Note"/>
    <w:rsid w:val="000B3078"/>
    <w:rPr>
      <w:rFonts w:ascii="Times New Roman" w:hAnsi="Times New Roman"/>
      <w:dstrike w:val="0"/>
      <w:color w:val="auto"/>
      <w:sz w:val="28"/>
      <w:vertAlign w:val="superscript"/>
    </w:rPr>
  </w:style>
  <w:style w:type="paragraph" w:customStyle="1" w:styleId="EMEABodyText">
    <w:name w:val="EMEA Body Text"/>
    <w:basedOn w:val="Normal"/>
    <w:rsid w:val="00731313"/>
    <w:pPr>
      <w:spacing w:after="0"/>
      <w:jc w:val="left"/>
    </w:pPr>
    <w:rPr>
      <w:rFonts w:eastAsia="Times New Roman" w:cs="Times New Roman"/>
      <w:szCs w:val="20"/>
      <w:lang w:val="en-GB"/>
    </w:rPr>
  </w:style>
  <w:style w:type="paragraph" w:styleId="TOC4">
    <w:name w:val="toc 4"/>
    <w:basedOn w:val="Normal"/>
    <w:next w:val="Normal"/>
    <w:autoRedefine/>
    <w:uiPriority w:val="39"/>
    <w:semiHidden/>
    <w:unhideWhenUsed/>
    <w:rsid w:val="00E61F56"/>
    <w:pPr>
      <w:tabs>
        <w:tab w:val="right" w:leader="dot" w:pos="9360"/>
      </w:tabs>
      <w:spacing w:after="100"/>
      <w:ind w:left="660"/>
    </w:pPr>
  </w:style>
  <w:style w:type="paragraph" w:customStyle="1" w:styleId="EMEATableHeader">
    <w:name w:val="EMEA Table Header"/>
    <w:basedOn w:val="Normal"/>
    <w:rsid w:val="00B81199"/>
    <w:pPr>
      <w:keepNext/>
      <w:keepLines/>
      <w:spacing w:after="0"/>
      <w:jc w:val="center"/>
    </w:pPr>
    <w:rPr>
      <w:rFonts w:eastAsia="Times New Roman" w:cs="Times New Roman"/>
      <w:b/>
      <w:szCs w:val="20"/>
      <w:lang w:val="en-GB"/>
    </w:rPr>
  </w:style>
  <w:style w:type="paragraph" w:customStyle="1" w:styleId="C-BodyText">
    <w:name w:val="C-Body Text"/>
    <w:link w:val="C-BodyTextChar"/>
    <w:rsid w:val="00D53910"/>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sid w:val="00D53910"/>
    <w:rPr>
      <w:rFonts w:ascii="Times New Roman" w:eastAsia="Times New Roman" w:hAnsi="Times New Roman" w:cs="Times New Roman"/>
      <w:sz w:val="24"/>
      <w:szCs w:val="20"/>
      <w:lang w:val="en-US"/>
    </w:rPr>
  </w:style>
  <w:style w:type="character" w:customStyle="1" w:styleId="BMSSuperscript">
    <w:name w:val="BMS Superscript"/>
    <w:rsid w:val="00D53910"/>
    <w:rPr>
      <w:sz w:val="28"/>
      <w:vertAlign w:val="superscript"/>
    </w:rPr>
  </w:style>
  <w:style w:type="paragraph" w:customStyle="1" w:styleId="BMSBodyText">
    <w:name w:val="BMS Body Text"/>
    <w:link w:val="BMSBodyTextChar"/>
    <w:rsid w:val="0048592D"/>
    <w:pPr>
      <w:spacing w:after="120" w:line="264" w:lineRule="auto"/>
      <w:jc w:val="both"/>
    </w:pPr>
    <w:rPr>
      <w:rFonts w:ascii="Times New Roman" w:eastAsia="MS Mincho" w:hAnsi="Times New Roman" w:cs="Times New Roman"/>
      <w:color w:val="000000"/>
      <w:sz w:val="24"/>
      <w:szCs w:val="20"/>
      <w:lang w:val="en-US"/>
    </w:rPr>
  </w:style>
  <w:style w:type="character" w:customStyle="1" w:styleId="BMSBodyTextChar">
    <w:name w:val="BMS Body Text Char"/>
    <w:link w:val="BMSBodyText"/>
    <w:rsid w:val="0048592D"/>
    <w:rPr>
      <w:rFonts w:ascii="Times New Roman" w:eastAsia="MS Mincho" w:hAnsi="Times New Roman" w:cs="Times New Roman"/>
      <w:color w:val="000000"/>
      <w:sz w:val="24"/>
      <w:szCs w:val="20"/>
      <w:lang w:val="en-US"/>
    </w:rPr>
  </w:style>
  <w:style w:type="paragraph" w:styleId="EndnoteText">
    <w:name w:val="endnote text"/>
    <w:basedOn w:val="BMSBodyText"/>
    <w:link w:val="EndnoteTextChar"/>
    <w:rsid w:val="007C479F"/>
    <w:pPr>
      <w:tabs>
        <w:tab w:val="left" w:pos="360"/>
      </w:tabs>
      <w:spacing w:line="240" w:lineRule="auto"/>
      <w:ind w:left="360" w:hanging="360"/>
    </w:pPr>
    <w:rPr>
      <w:lang w:val="x-none" w:eastAsia="x-none"/>
    </w:rPr>
  </w:style>
  <w:style w:type="character" w:customStyle="1" w:styleId="EndnoteTextChar">
    <w:name w:val="Endnote Text Char"/>
    <w:basedOn w:val="DefaultParagraphFont"/>
    <w:link w:val="EndnoteText"/>
    <w:rsid w:val="007C479F"/>
    <w:rPr>
      <w:rFonts w:ascii="Times New Roman" w:eastAsia="MS Mincho" w:hAnsi="Times New Roman" w:cs="Times New Roman"/>
      <w:color w:val="000000"/>
      <w:sz w:val="24"/>
      <w:szCs w:val="20"/>
      <w:lang w:val="x-none" w:eastAsia="x-none"/>
    </w:rPr>
  </w:style>
  <w:style w:type="character" w:styleId="EndnoteReference">
    <w:name w:val="endnote reference"/>
    <w:semiHidden/>
    <w:qFormat/>
    <w:rsid w:val="007C479F"/>
    <w:rPr>
      <w:color w:val="0000FF"/>
      <w:sz w:val="28"/>
      <w:vertAlign w:val="superscript"/>
    </w:rPr>
  </w:style>
  <w:style w:type="character" w:customStyle="1" w:styleId="BMSSubscript">
    <w:name w:val="BMS Subscript"/>
    <w:rsid w:val="007C479F"/>
    <w:rPr>
      <w:sz w:val="28"/>
      <w:vertAlign w:val="subscript"/>
    </w:rPr>
  </w:style>
  <w:style w:type="paragraph" w:customStyle="1" w:styleId="C-TableHeader">
    <w:name w:val="C-Table Header"/>
    <w:next w:val="C-TableText"/>
    <w:rsid w:val="000F0FF8"/>
    <w:pPr>
      <w:keepNext/>
      <w:spacing w:before="60" w:after="60" w:line="240" w:lineRule="auto"/>
    </w:pPr>
    <w:rPr>
      <w:rFonts w:ascii="Times New Roman" w:eastAsia="Times New Roman" w:hAnsi="Times New Roman" w:cs="Times New Roman"/>
      <w:b/>
      <w:szCs w:val="20"/>
      <w:lang w:val="en-US"/>
    </w:rPr>
  </w:style>
  <w:style w:type="paragraph" w:customStyle="1" w:styleId="C-TableText">
    <w:name w:val="C-Table Text"/>
    <w:link w:val="C-TableTextChar"/>
    <w:rsid w:val="000F0FF8"/>
    <w:pPr>
      <w:spacing w:before="60" w:after="60" w:line="240" w:lineRule="auto"/>
    </w:pPr>
    <w:rPr>
      <w:rFonts w:ascii="Times New Roman" w:eastAsia="Times New Roman" w:hAnsi="Times New Roman" w:cs="Times New Roman"/>
      <w:szCs w:val="20"/>
      <w:lang w:val="en-US"/>
    </w:rPr>
  </w:style>
  <w:style w:type="character" w:customStyle="1" w:styleId="C-TableTextChar">
    <w:name w:val="C-Table Text Char"/>
    <w:link w:val="C-TableText"/>
    <w:rsid w:val="000F0FF8"/>
    <w:rPr>
      <w:rFonts w:ascii="Times New Roman" w:eastAsia="Times New Roman" w:hAnsi="Times New Roman" w:cs="Times New Roman"/>
      <w:szCs w:val="20"/>
      <w:lang w:val="en-US"/>
    </w:rPr>
  </w:style>
  <w:style w:type="paragraph" w:styleId="Revision">
    <w:name w:val="Revision"/>
    <w:hidden/>
    <w:uiPriority w:val="99"/>
    <w:semiHidden/>
    <w:rsid w:val="00AF460A"/>
    <w:pPr>
      <w:spacing w:after="0" w:line="240" w:lineRule="auto"/>
    </w:pPr>
    <w:rPr>
      <w:rFonts w:ascii="Times New Roman" w:hAnsi="Times New Roman"/>
    </w:rPr>
  </w:style>
  <w:style w:type="character" w:styleId="UnresolvedMention">
    <w:name w:val="Unresolved Mention"/>
    <w:basedOn w:val="DefaultParagraphFont"/>
    <w:uiPriority w:val="99"/>
    <w:unhideWhenUsed/>
    <w:rsid w:val="006E4605"/>
    <w:rPr>
      <w:color w:val="605E5C"/>
      <w:shd w:val="clear" w:color="auto" w:fill="E1DFDD"/>
    </w:rPr>
  </w:style>
  <w:style w:type="character" w:styleId="Mention">
    <w:name w:val="Mention"/>
    <w:basedOn w:val="DefaultParagraphFont"/>
    <w:uiPriority w:val="99"/>
    <w:unhideWhenUsed/>
    <w:rsid w:val="006E4605"/>
    <w:rPr>
      <w:color w:val="2B579A"/>
      <w:shd w:val="clear" w:color="auto" w:fill="E1DFDD"/>
    </w:rPr>
  </w:style>
  <w:style w:type="character" w:customStyle="1" w:styleId="normaltextrun">
    <w:name w:val="normaltextrun"/>
    <w:basedOn w:val="DefaultParagraphFont"/>
    <w:rsid w:val="00B7196A"/>
  </w:style>
  <w:style w:type="table" w:customStyle="1" w:styleId="TableGrid2">
    <w:name w:val="Table Grid2"/>
    <w:basedOn w:val="TableNormal"/>
    <w:uiPriority w:val="59"/>
    <w:rsid w:val="009315F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3583">
      <w:bodyDiv w:val="1"/>
      <w:marLeft w:val="0"/>
      <w:marRight w:val="0"/>
      <w:marTop w:val="0"/>
      <w:marBottom w:val="0"/>
      <w:divBdr>
        <w:top w:val="none" w:sz="0" w:space="0" w:color="auto"/>
        <w:left w:val="none" w:sz="0" w:space="0" w:color="auto"/>
        <w:bottom w:val="none" w:sz="0" w:space="0" w:color="auto"/>
        <w:right w:val="none" w:sz="0" w:space="0" w:color="auto"/>
      </w:divBdr>
    </w:div>
    <w:div w:id="1031803349">
      <w:bodyDiv w:val="1"/>
      <w:marLeft w:val="0"/>
      <w:marRight w:val="0"/>
      <w:marTop w:val="0"/>
      <w:marBottom w:val="0"/>
      <w:divBdr>
        <w:top w:val="none" w:sz="0" w:space="0" w:color="auto"/>
        <w:left w:val="none" w:sz="0" w:space="0" w:color="auto"/>
        <w:bottom w:val="none" w:sz="0" w:space="0" w:color="auto"/>
        <w:right w:val="none" w:sz="0" w:space="0" w:color="auto"/>
      </w:divBdr>
      <w:divsChild>
        <w:div w:id="936519981">
          <w:marLeft w:val="0"/>
          <w:marRight w:val="0"/>
          <w:marTop w:val="100"/>
          <w:marBottom w:val="100"/>
          <w:divBdr>
            <w:top w:val="none" w:sz="0" w:space="0" w:color="auto"/>
            <w:left w:val="none" w:sz="0" w:space="0" w:color="auto"/>
            <w:bottom w:val="none" w:sz="0" w:space="0" w:color="auto"/>
            <w:right w:val="none" w:sz="0" w:space="0" w:color="auto"/>
          </w:divBdr>
          <w:divsChild>
            <w:div w:id="6115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43">
      <w:bodyDiv w:val="1"/>
      <w:marLeft w:val="0"/>
      <w:marRight w:val="0"/>
      <w:marTop w:val="0"/>
      <w:marBottom w:val="0"/>
      <w:divBdr>
        <w:top w:val="none" w:sz="0" w:space="0" w:color="auto"/>
        <w:left w:val="none" w:sz="0" w:space="0" w:color="auto"/>
        <w:bottom w:val="none" w:sz="0" w:space="0" w:color="auto"/>
        <w:right w:val="none" w:sz="0" w:space="0" w:color="auto"/>
      </w:divBdr>
    </w:div>
    <w:div w:id="15242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MedInfo.Australia@bm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MS\Cor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8E1642ACF814DAE5C915C9F90BBB2" ma:contentTypeVersion="15" ma:contentTypeDescription="Create a new document." ma:contentTypeScope="" ma:versionID="9630060c3b5ad5c0e0e27f940bcc5cc3">
  <xsd:schema xmlns:xsd="http://www.w3.org/2001/XMLSchema" xmlns:xs="http://www.w3.org/2001/XMLSchema" xmlns:p="http://schemas.microsoft.com/office/2006/metadata/properties" xmlns:ns2="8a46b709-8ecf-42fd-81b0-d282e67de71a" xmlns:ns3="4212292e-fee3-4e58-b645-17c47387aa0e" targetNamespace="http://schemas.microsoft.com/office/2006/metadata/properties" ma:root="true" ma:fieldsID="cc872957e78b8c124de0fbf7af81752d" ns2:_="" ns3:_="">
    <xsd:import namespace="8a46b709-8ecf-42fd-81b0-d282e67de71a"/>
    <xsd:import namespace="4212292e-fee3-4e58-b645-17c47387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6b709-8ecf-42fd-81b0-d282e67de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2292e-fee3-4e58-b645-17c47387aa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3151a9-9420-42c1-97d3-0cfd098718a8}" ma:internalName="TaxCatchAll" ma:showField="CatchAllData" ma:web="4212292e-fee3-4e58-b645-17c47387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2292e-fee3-4e58-b645-17c47387aa0e" xsi:nil="true"/>
    <lcf76f155ced4ddcb4097134ff3c332f xmlns="8a46b709-8ecf-42fd-81b0-d282e67de7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8B654-0CC2-4B1D-8737-4736E2CF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6b709-8ecf-42fd-81b0-d282e67de71a"/>
    <ds:schemaRef ds:uri="4212292e-fee3-4e58-b645-17c47387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A0F35-5A72-472E-A82D-DAA19B3025E9}">
  <ds:schemaRefs>
    <ds:schemaRef ds:uri="http://schemas.microsoft.com/office/2006/metadata/properties"/>
    <ds:schemaRef ds:uri="http://schemas.microsoft.com/office/infopath/2007/PartnerControls"/>
    <ds:schemaRef ds:uri="8a46b709-8ecf-42fd-81b0-d282e67de71a"/>
    <ds:schemaRef ds:uri="4212292e-fee3-4e58-b645-17c47387aa0e"/>
  </ds:schemaRefs>
</ds:datastoreItem>
</file>

<file path=customXml/itemProps3.xml><?xml version="1.0" encoding="utf-8"?>
<ds:datastoreItem xmlns:ds="http://schemas.openxmlformats.org/officeDocument/2006/customXml" ds:itemID="{E450888C-5377-4602-882E-BFFCC21A9BA0}">
  <ds:schemaRefs>
    <ds:schemaRef ds:uri="http://schemas.openxmlformats.org/officeDocument/2006/bibliography"/>
  </ds:schemaRefs>
</ds:datastoreItem>
</file>

<file path=customXml/itemProps4.xml><?xml version="1.0" encoding="utf-8"?>
<ds:datastoreItem xmlns:ds="http://schemas.openxmlformats.org/officeDocument/2006/customXml" ds:itemID="{3AF670FF-C8D8-40DF-B8CA-5382F69E1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CoreTemplate.dotm</Template>
  <TotalTime>9</TotalTime>
  <Pages>23</Pages>
  <Words>7451</Words>
  <Characters>42179</Characters>
  <Application>Microsoft Office Word</Application>
  <DocSecurity>0</DocSecurity>
  <Lines>753</Lines>
  <Paragraphs>339</Paragraphs>
  <ScaleCrop>false</ScaleCrop>
  <HeadingPairs>
    <vt:vector size="2" baseType="variant">
      <vt:variant>
        <vt:lpstr>Title</vt:lpstr>
      </vt:variant>
      <vt:variant>
        <vt:i4>1</vt:i4>
      </vt:variant>
    </vt:vector>
  </HeadingPairs>
  <TitlesOfParts>
    <vt:vector size="1" baseType="lpstr">
      <vt:lpstr>AusPAR Attachment 1: Product Information for Camzyos</vt:lpstr>
    </vt:vector>
  </TitlesOfParts>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Camzyos</dc:title>
  <dc:subject/>
  <dc:creator>Bristol-Myers Squibb Australia Pty Ltd</dc:creator>
  <cp:keywords/>
  <dc:description/>
  <cp:lastModifiedBy>PITKIN, Brendan</cp:lastModifiedBy>
  <cp:revision>4</cp:revision>
  <cp:lastPrinted>2022-09-02T00:18:00Z</cp:lastPrinted>
  <dcterms:created xsi:type="dcterms:W3CDTF">2023-06-01T06:59:00Z</dcterms:created>
  <dcterms:modified xsi:type="dcterms:W3CDTF">2023-07-07T04:49:00Z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0x010100664DB5BE8078A2488E61C340A47D3B22</vt:lpwstr>
  </property>
  <property fmtid="{D5CDD505-2E9C-101B-9397-08002B2CF9AE}" pid="3" name="MediaServiceImageTags">
    <vt:lpwstr/>
  </property>
</Properties>
</file>