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865C47" w14:paraId="08AE1D54" w14:textId="77777777" w:rsidTr="00346EC2">
        <w:trPr>
          <w:trHeight w:val="1558"/>
        </w:trPr>
        <w:tc>
          <w:tcPr>
            <w:tcW w:w="8720" w:type="dxa"/>
          </w:tcPr>
          <w:p w14:paraId="2538A211" w14:textId="58C4A873" w:rsidR="00F02AEC" w:rsidRPr="00865C47" w:rsidRDefault="00346EC2" w:rsidP="007452E8">
            <w:pPr>
              <w:pStyle w:val="Title"/>
            </w:pPr>
            <w:r w:rsidRPr="00865C47">
              <w:t xml:space="preserve">Australian Public Assessment Report for </w:t>
            </w:r>
            <w:r w:rsidR="008A58D2" w:rsidRPr="00865C47">
              <w:t>Pemazyre</w:t>
            </w:r>
          </w:p>
        </w:tc>
      </w:tr>
      <w:tr w:rsidR="00F02AEC" w:rsidRPr="00865C47" w14:paraId="318A40A3" w14:textId="77777777" w:rsidTr="00346EC2">
        <w:trPr>
          <w:trHeight w:val="995"/>
        </w:trPr>
        <w:tc>
          <w:tcPr>
            <w:tcW w:w="8720" w:type="dxa"/>
          </w:tcPr>
          <w:p w14:paraId="1AA7C701" w14:textId="59F2C675" w:rsidR="00F02AEC" w:rsidRPr="00865C47" w:rsidRDefault="00346EC2" w:rsidP="007452E8">
            <w:pPr>
              <w:pStyle w:val="Subtitle"/>
              <w:ind w:left="0"/>
            </w:pPr>
            <w:r w:rsidRPr="00865C47">
              <w:t xml:space="preserve">Active ingredient: </w:t>
            </w:r>
            <w:r w:rsidR="008A58D2" w:rsidRPr="00865C47">
              <w:t>Pemigatinib</w:t>
            </w:r>
          </w:p>
        </w:tc>
      </w:tr>
      <w:tr w:rsidR="00346EC2" w:rsidRPr="00865C47" w14:paraId="362CCAE4" w14:textId="77777777" w:rsidTr="007452E8">
        <w:trPr>
          <w:trHeight w:val="1916"/>
        </w:trPr>
        <w:tc>
          <w:tcPr>
            <w:tcW w:w="8720" w:type="dxa"/>
          </w:tcPr>
          <w:p w14:paraId="709C45C0" w14:textId="2F8769BD" w:rsidR="00346EC2" w:rsidRPr="00865C47" w:rsidRDefault="00346EC2" w:rsidP="007452E8">
            <w:pPr>
              <w:pStyle w:val="Subtitle"/>
              <w:ind w:left="0"/>
            </w:pPr>
            <w:r w:rsidRPr="00865C47">
              <w:t xml:space="preserve">Sponsor: </w:t>
            </w:r>
            <w:r w:rsidR="008A58D2" w:rsidRPr="00865C47">
              <w:t>Specialised Therapeutics Alim Pty Ltd</w:t>
            </w:r>
          </w:p>
        </w:tc>
      </w:tr>
      <w:tr w:rsidR="00F02AEC" w:rsidRPr="00865C47" w14:paraId="37F2AA1F" w14:textId="77777777" w:rsidTr="007452E8">
        <w:tc>
          <w:tcPr>
            <w:tcW w:w="8720" w:type="dxa"/>
          </w:tcPr>
          <w:p w14:paraId="1FDE8DCD" w14:textId="0E5ACEC2" w:rsidR="00F02AEC" w:rsidRPr="00865C47" w:rsidRDefault="00747793" w:rsidP="007452E8">
            <w:pPr>
              <w:pStyle w:val="Date"/>
            </w:pPr>
            <w:r>
              <w:t>Ju</w:t>
            </w:r>
            <w:r w:rsidR="00190D13">
              <w:t>ly</w:t>
            </w:r>
            <w:r w:rsidR="008A58D2" w:rsidRPr="00865C47">
              <w:t xml:space="preserve"> 2023</w:t>
            </w:r>
          </w:p>
        </w:tc>
      </w:tr>
    </w:tbl>
    <w:p w14:paraId="73752706" w14:textId="77777777" w:rsidR="00F02AEC" w:rsidRPr="00865C47" w:rsidRDefault="00F02AEC" w:rsidP="007452E8">
      <w:pPr>
        <w:pStyle w:val="ListBullet"/>
        <w:numPr>
          <w:ilvl w:val="0"/>
          <w:numId w:val="0"/>
        </w:numPr>
        <w:sectPr w:rsidR="00F02AEC" w:rsidRPr="00865C47"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865C47" w:rsidRDefault="00346EC2" w:rsidP="00346EC2">
      <w:pPr>
        <w:pStyle w:val="NonTOCHeading20"/>
      </w:pPr>
      <w:r w:rsidRPr="00865C47">
        <w:lastRenderedPageBreak/>
        <w:t>About the Therapeutic Goods Administration (TGA)</w:t>
      </w:r>
    </w:p>
    <w:p w14:paraId="79558AE9" w14:textId="77777777" w:rsidR="00346EC2" w:rsidRPr="00865C47" w:rsidRDefault="00346EC2" w:rsidP="0056766D">
      <w:pPr>
        <w:pStyle w:val="ListBullet"/>
      </w:pPr>
      <w:r w:rsidRPr="00865C47">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865C47" w:rsidRDefault="00346EC2" w:rsidP="00346EC2">
      <w:pPr>
        <w:pStyle w:val="ListBullet"/>
      </w:pPr>
      <w:r w:rsidRPr="00865C47">
        <w:t xml:space="preserve">The TGA administers the </w:t>
      </w:r>
      <w:r w:rsidRPr="00865C47">
        <w:rPr>
          <w:i/>
          <w:iCs/>
        </w:rPr>
        <w:t>Therapeutic Goods Act 1989</w:t>
      </w:r>
      <w:r w:rsidRPr="00865C47">
        <w:t xml:space="preserve"> (the Act), applying a risk management approach designed to ensure therapeutic goods supplied in Australia meet acceptable standards of quality, safety, and efficacy.</w:t>
      </w:r>
    </w:p>
    <w:p w14:paraId="77180CB3" w14:textId="77777777" w:rsidR="00346EC2" w:rsidRPr="00865C47" w:rsidRDefault="00346EC2" w:rsidP="00346EC2">
      <w:pPr>
        <w:pStyle w:val="ListBullet"/>
      </w:pPr>
      <w:r w:rsidRPr="00865C47">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865C47" w:rsidRDefault="00346EC2" w:rsidP="00346EC2">
      <w:pPr>
        <w:pStyle w:val="ListBullet"/>
      </w:pPr>
      <w:r w:rsidRPr="00865C47">
        <w:t>The TGA relies on the public, healthcare professionals and industry to report problems with therapeutic goods. The TGA investigates reports received to determine any necessary regulatory action.</w:t>
      </w:r>
    </w:p>
    <w:p w14:paraId="17DC24C6" w14:textId="17739700" w:rsidR="00346EC2" w:rsidRPr="00865C47" w:rsidRDefault="00346EC2" w:rsidP="00346EC2">
      <w:pPr>
        <w:pStyle w:val="ListBullet"/>
      </w:pPr>
      <w:r w:rsidRPr="00865C47">
        <w:t xml:space="preserve">To report a problem with a therapeutic good, please see the information on the </w:t>
      </w:r>
      <w:hyperlink r:id="rId15" w:history="1">
        <w:r w:rsidRPr="00865C47">
          <w:rPr>
            <w:rStyle w:val="Hyperlink"/>
          </w:rPr>
          <w:t>TGA website</w:t>
        </w:r>
      </w:hyperlink>
      <w:r w:rsidRPr="00865C47">
        <w:t>.</w:t>
      </w:r>
    </w:p>
    <w:p w14:paraId="737B7A99" w14:textId="77777777" w:rsidR="00346EC2" w:rsidRPr="00865C47" w:rsidRDefault="00346EC2" w:rsidP="00346EC2">
      <w:pPr>
        <w:pStyle w:val="NonTOCHeading20"/>
      </w:pPr>
      <w:r w:rsidRPr="00865C47">
        <w:t>About AusPARs</w:t>
      </w:r>
    </w:p>
    <w:p w14:paraId="631B2209" w14:textId="4874A900" w:rsidR="00346EC2" w:rsidRPr="00865C47" w:rsidRDefault="00346EC2" w:rsidP="00346EC2">
      <w:pPr>
        <w:pStyle w:val="ListBullet"/>
      </w:pPr>
      <w:r w:rsidRPr="00865C47">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6" w:history="1">
        <w:r w:rsidRPr="00865C47">
          <w:rPr>
            <w:rStyle w:val="Hyperlink"/>
          </w:rPr>
          <w:t>Australian Public Assessment Report (AusPAR) guidance</w:t>
        </w:r>
      </w:hyperlink>
      <w:r w:rsidRPr="00865C47">
        <w:t>.</w:t>
      </w:r>
    </w:p>
    <w:p w14:paraId="22F5A730" w14:textId="77777777" w:rsidR="00346EC2" w:rsidRPr="00865C47" w:rsidRDefault="00346EC2" w:rsidP="00346EC2">
      <w:pPr>
        <w:pStyle w:val="ListBullet"/>
      </w:pPr>
      <w:r w:rsidRPr="00865C47">
        <w:t>AusPARs are prepared and published by the TGA.</w:t>
      </w:r>
    </w:p>
    <w:p w14:paraId="451B8FD7" w14:textId="77777777" w:rsidR="00346EC2" w:rsidRPr="00865C47" w:rsidRDefault="00346EC2" w:rsidP="00346EC2">
      <w:pPr>
        <w:pStyle w:val="ListBullet"/>
      </w:pPr>
      <w:r w:rsidRPr="00865C47">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865C47" w:rsidRDefault="00346EC2" w:rsidP="00346EC2">
      <w:pPr>
        <w:pStyle w:val="ListBullet"/>
      </w:pPr>
      <w:r w:rsidRPr="00865C47">
        <w:t>A new AusPAR may be provided to reflect changes to indications or major variations to a prescription medicine subject to evaluation by the TGA.</w:t>
      </w:r>
    </w:p>
    <w:p w14:paraId="7067011F" w14:textId="510D5C5C" w:rsidR="00F02AEC" w:rsidRPr="00865C47" w:rsidRDefault="00F02AEC" w:rsidP="00FE087C">
      <w:pPr>
        <w:pStyle w:val="LegalSubheading"/>
        <w:spacing w:before="3600"/>
      </w:pPr>
      <w:r w:rsidRPr="00865C47">
        <w:t>Copyright</w:t>
      </w:r>
    </w:p>
    <w:p w14:paraId="170A8A5D" w14:textId="3E844236" w:rsidR="00175CD8" w:rsidRPr="00865C47" w:rsidRDefault="00F02AEC" w:rsidP="00346EC2">
      <w:pPr>
        <w:pStyle w:val="LegalCopy"/>
        <w:rPr>
          <w:rFonts w:cs="Arial"/>
        </w:rPr>
      </w:pPr>
      <w:r w:rsidRPr="00865C47">
        <w:rPr>
          <w:rFonts w:cs="Arial"/>
        </w:rPr>
        <w:t>© Commonwealth of Australia 202</w:t>
      </w:r>
      <w:r w:rsidR="00E47E0C" w:rsidRPr="00865C47">
        <w:rPr>
          <w:rFonts w:cs="Arial"/>
        </w:rPr>
        <w:t>3</w:t>
      </w:r>
      <w:r w:rsidRPr="00865C47">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65C47">
        <w:rPr>
          <w:rFonts w:cs="Arial"/>
          <w:i/>
        </w:rPr>
        <w:t>Copyright Act 1968</w:t>
      </w:r>
      <w:r w:rsidRPr="00865C47">
        <w:rPr>
          <w:rFonts w:cs="Arial"/>
        </w:rPr>
        <w:t xml:space="preserve"> or allowed by this copyright notice, all other rights are </w:t>
      </w:r>
      <w:proofErr w:type="gramStart"/>
      <w:r w:rsidRPr="00865C47">
        <w:rPr>
          <w:rFonts w:cs="Arial"/>
        </w:rPr>
        <w:t>reserved</w:t>
      </w:r>
      <w:proofErr w:type="gramEnd"/>
      <w:r w:rsidRPr="00865C47">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865C47">
          <w:rPr>
            <w:rStyle w:val="Hyperlink"/>
            <w:rFonts w:cs="Arial"/>
          </w:rPr>
          <w:t>tga.copyright@tga.gov.au</w:t>
        </w:r>
      </w:hyperlink>
      <w:r w:rsidRPr="00865C47">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865C47" w:rsidRDefault="00F02AEC" w:rsidP="007452E8">
          <w:pPr>
            <w:pStyle w:val="NonTOCheading2"/>
          </w:pPr>
          <w:r w:rsidRPr="00865C47">
            <w:t>Contents</w:t>
          </w:r>
        </w:p>
        <w:p w14:paraId="175D0C20" w14:textId="11AEACC5" w:rsidR="005D22F2" w:rsidRDefault="00F02AEC">
          <w:pPr>
            <w:pStyle w:val="TOC1"/>
            <w:rPr>
              <w:rFonts w:asciiTheme="minorHAnsi" w:eastAsiaTheme="minorEastAsia" w:hAnsiTheme="minorHAnsi" w:cstheme="minorBidi"/>
              <w:b w:val="0"/>
              <w:noProof/>
              <w:color w:val="auto"/>
              <w:sz w:val="22"/>
              <w:szCs w:val="22"/>
              <w:lang w:eastAsia="en-AU"/>
            </w:rPr>
          </w:pPr>
          <w:r w:rsidRPr="00865C47">
            <w:fldChar w:fldCharType="begin"/>
          </w:r>
          <w:r w:rsidRPr="00865C47">
            <w:instrText xml:space="preserve"> TOC \h \z \u \t "Heading 2,1,Heading 3,2,Heading 4,3" </w:instrText>
          </w:r>
          <w:r w:rsidRPr="00865C47">
            <w:fldChar w:fldCharType="separate"/>
          </w:r>
          <w:hyperlink w:anchor="_Toc139284925" w:history="1">
            <w:r w:rsidR="005D22F2" w:rsidRPr="006F2F05">
              <w:rPr>
                <w:rStyle w:val="Hyperlink"/>
                <w:noProof/>
              </w:rPr>
              <w:t>List of abbreviations</w:t>
            </w:r>
            <w:r w:rsidR="005D22F2">
              <w:rPr>
                <w:noProof/>
                <w:webHidden/>
              </w:rPr>
              <w:tab/>
            </w:r>
            <w:r w:rsidR="005D22F2">
              <w:rPr>
                <w:noProof/>
                <w:webHidden/>
              </w:rPr>
              <w:fldChar w:fldCharType="begin"/>
            </w:r>
            <w:r w:rsidR="005D22F2">
              <w:rPr>
                <w:noProof/>
                <w:webHidden/>
              </w:rPr>
              <w:instrText xml:space="preserve"> PAGEREF _Toc139284925 \h </w:instrText>
            </w:r>
            <w:r w:rsidR="005D22F2">
              <w:rPr>
                <w:noProof/>
                <w:webHidden/>
              </w:rPr>
            </w:r>
            <w:r w:rsidR="005D22F2">
              <w:rPr>
                <w:noProof/>
                <w:webHidden/>
              </w:rPr>
              <w:fldChar w:fldCharType="separate"/>
            </w:r>
            <w:r w:rsidR="00A00DC3">
              <w:rPr>
                <w:noProof/>
                <w:webHidden/>
              </w:rPr>
              <w:t>4</w:t>
            </w:r>
            <w:r w:rsidR="005D22F2">
              <w:rPr>
                <w:noProof/>
                <w:webHidden/>
              </w:rPr>
              <w:fldChar w:fldCharType="end"/>
            </w:r>
          </w:hyperlink>
        </w:p>
        <w:p w14:paraId="67A6F2ED" w14:textId="1D5D3B7B" w:rsidR="005D22F2" w:rsidRDefault="00547529">
          <w:pPr>
            <w:pStyle w:val="TOC1"/>
            <w:rPr>
              <w:rFonts w:asciiTheme="minorHAnsi" w:eastAsiaTheme="minorEastAsia" w:hAnsiTheme="minorHAnsi" w:cstheme="minorBidi"/>
              <w:b w:val="0"/>
              <w:noProof/>
              <w:color w:val="auto"/>
              <w:sz w:val="22"/>
              <w:szCs w:val="22"/>
              <w:lang w:eastAsia="en-AU"/>
            </w:rPr>
          </w:pPr>
          <w:hyperlink w:anchor="_Toc139284926" w:history="1">
            <w:r w:rsidR="005D22F2" w:rsidRPr="006F2F05">
              <w:rPr>
                <w:rStyle w:val="Hyperlink"/>
                <w:noProof/>
              </w:rPr>
              <w:t>Product submission</w:t>
            </w:r>
            <w:r w:rsidR="005D22F2">
              <w:rPr>
                <w:noProof/>
                <w:webHidden/>
              </w:rPr>
              <w:tab/>
            </w:r>
            <w:r w:rsidR="005D22F2">
              <w:rPr>
                <w:noProof/>
                <w:webHidden/>
              </w:rPr>
              <w:fldChar w:fldCharType="begin"/>
            </w:r>
            <w:r w:rsidR="005D22F2">
              <w:rPr>
                <w:noProof/>
                <w:webHidden/>
              </w:rPr>
              <w:instrText xml:space="preserve"> PAGEREF _Toc139284926 \h </w:instrText>
            </w:r>
            <w:r w:rsidR="005D22F2">
              <w:rPr>
                <w:noProof/>
                <w:webHidden/>
              </w:rPr>
            </w:r>
            <w:r w:rsidR="005D22F2">
              <w:rPr>
                <w:noProof/>
                <w:webHidden/>
              </w:rPr>
              <w:fldChar w:fldCharType="separate"/>
            </w:r>
            <w:r w:rsidR="00A00DC3">
              <w:rPr>
                <w:noProof/>
                <w:webHidden/>
              </w:rPr>
              <w:t>6</w:t>
            </w:r>
            <w:r w:rsidR="005D22F2">
              <w:rPr>
                <w:noProof/>
                <w:webHidden/>
              </w:rPr>
              <w:fldChar w:fldCharType="end"/>
            </w:r>
          </w:hyperlink>
        </w:p>
        <w:p w14:paraId="0AC25CFF" w14:textId="6352374C"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27" w:history="1">
            <w:r w:rsidR="005D22F2" w:rsidRPr="006F2F05">
              <w:rPr>
                <w:rStyle w:val="Hyperlink"/>
                <w:noProof/>
                <w:lang w:eastAsia="en-AU"/>
              </w:rPr>
              <w:t>Submission details</w:t>
            </w:r>
            <w:r w:rsidR="005D22F2">
              <w:rPr>
                <w:noProof/>
                <w:webHidden/>
              </w:rPr>
              <w:tab/>
            </w:r>
            <w:r w:rsidR="005D22F2">
              <w:rPr>
                <w:noProof/>
                <w:webHidden/>
              </w:rPr>
              <w:fldChar w:fldCharType="begin"/>
            </w:r>
            <w:r w:rsidR="005D22F2">
              <w:rPr>
                <w:noProof/>
                <w:webHidden/>
              </w:rPr>
              <w:instrText xml:space="preserve"> PAGEREF _Toc139284927 \h </w:instrText>
            </w:r>
            <w:r w:rsidR="005D22F2">
              <w:rPr>
                <w:noProof/>
                <w:webHidden/>
              </w:rPr>
            </w:r>
            <w:r w:rsidR="005D22F2">
              <w:rPr>
                <w:noProof/>
                <w:webHidden/>
              </w:rPr>
              <w:fldChar w:fldCharType="separate"/>
            </w:r>
            <w:r w:rsidR="00A00DC3">
              <w:rPr>
                <w:noProof/>
                <w:webHidden/>
              </w:rPr>
              <w:t>6</w:t>
            </w:r>
            <w:r w:rsidR="005D22F2">
              <w:rPr>
                <w:noProof/>
                <w:webHidden/>
              </w:rPr>
              <w:fldChar w:fldCharType="end"/>
            </w:r>
          </w:hyperlink>
        </w:p>
        <w:p w14:paraId="5D764F84" w14:textId="1D688E4C"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28" w:history="1">
            <w:r w:rsidR="005D22F2" w:rsidRPr="006F2F05">
              <w:rPr>
                <w:rStyle w:val="Hyperlink"/>
                <w:noProof/>
              </w:rPr>
              <w:t>Product background</w:t>
            </w:r>
            <w:r w:rsidR="005D22F2">
              <w:rPr>
                <w:noProof/>
                <w:webHidden/>
              </w:rPr>
              <w:tab/>
            </w:r>
            <w:r w:rsidR="005D22F2">
              <w:rPr>
                <w:noProof/>
                <w:webHidden/>
              </w:rPr>
              <w:fldChar w:fldCharType="begin"/>
            </w:r>
            <w:r w:rsidR="005D22F2">
              <w:rPr>
                <w:noProof/>
                <w:webHidden/>
              </w:rPr>
              <w:instrText xml:space="preserve"> PAGEREF _Toc139284928 \h </w:instrText>
            </w:r>
            <w:r w:rsidR="005D22F2">
              <w:rPr>
                <w:noProof/>
                <w:webHidden/>
              </w:rPr>
            </w:r>
            <w:r w:rsidR="005D22F2">
              <w:rPr>
                <w:noProof/>
                <w:webHidden/>
              </w:rPr>
              <w:fldChar w:fldCharType="separate"/>
            </w:r>
            <w:r w:rsidR="00A00DC3">
              <w:rPr>
                <w:noProof/>
                <w:webHidden/>
              </w:rPr>
              <w:t>7</w:t>
            </w:r>
            <w:r w:rsidR="005D22F2">
              <w:rPr>
                <w:noProof/>
                <w:webHidden/>
              </w:rPr>
              <w:fldChar w:fldCharType="end"/>
            </w:r>
          </w:hyperlink>
        </w:p>
        <w:p w14:paraId="1ED57397" w14:textId="26917CBC"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29" w:history="1">
            <w:r w:rsidR="005D22F2" w:rsidRPr="006F2F05">
              <w:rPr>
                <w:rStyle w:val="Hyperlink"/>
                <w:noProof/>
              </w:rPr>
              <w:t>Regulatory status</w:t>
            </w:r>
            <w:r w:rsidR="005D22F2">
              <w:rPr>
                <w:noProof/>
                <w:webHidden/>
              </w:rPr>
              <w:tab/>
            </w:r>
            <w:r w:rsidR="005D22F2">
              <w:rPr>
                <w:noProof/>
                <w:webHidden/>
              </w:rPr>
              <w:fldChar w:fldCharType="begin"/>
            </w:r>
            <w:r w:rsidR="005D22F2">
              <w:rPr>
                <w:noProof/>
                <w:webHidden/>
              </w:rPr>
              <w:instrText xml:space="preserve"> PAGEREF _Toc139284929 \h </w:instrText>
            </w:r>
            <w:r w:rsidR="005D22F2">
              <w:rPr>
                <w:noProof/>
                <w:webHidden/>
              </w:rPr>
            </w:r>
            <w:r w:rsidR="005D22F2">
              <w:rPr>
                <w:noProof/>
                <w:webHidden/>
              </w:rPr>
              <w:fldChar w:fldCharType="separate"/>
            </w:r>
            <w:r w:rsidR="00A00DC3">
              <w:rPr>
                <w:noProof/>
                <w:webHidden/>
              </w:rPr>
              <w:t>8</w:t>
            </w:r>
            <w:r w:rsidR="005D22F2">
              <w:rPr>
                <w:noProof/>
                <w:webHidden/>
              </w:rPr>
              <w:fldChar w:fldCharType="end"/>
            </w:r>
          </w:hyperlink>
        </w:p>
        <w:p w14:paraId="7DC02C43" w14:textId="7D0AEE30"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30" w:history="1">
            <w:r w:rsidR="005D22F2" w:rsidRPr="006F2F05">
              <w:rPr>
                <w:rStyle w:val="Hyperlink"/>
                <w:noProof/>
              </w:rPr>
              <w:t>Product Information</w:t>
            </w:r>
            <w:r w:rsidR="005D22F2">
              <w:rPr>
                <w:noProof/>
                <w:webHidden/>
              </w:rPr>
              <w:tab/>
            </w:r>
            <w:r w:rsidR="005D22F2">
              <w:rPr>
                <w:noProof/>
                <w:webHidden/>
              </w:rPr>
              <w:fldChar w:fldCharType="begin"/>
            </w:r>
            <w:r w:rsidR="005D22F2">
              <w:rPr>
                <w:noProof/>
                <w:webHidden/>
              </w:rPr>
              <w:instrText xml:space="preserve"> PAGEREF _Toc139284930 \h </w:instrText>
            </w:r>
            <w:r w:rsidR="005D22F2">
              <w:rPr>
                <w:noProof/>
                <w:webHidden/>
              </w:rPr>
            </w:r>
            <w:r w:rsidR="005D22F2">
              <w:rPr>
                <w:noProof/>
                <w:webHidden/>
              </w:rPr>
              <w:fldChar w:fldCharType="separate"/>
            </w:r>
            <w:r w:rsidR="00A00DC3">
              <w:rPr>
                <w:noProof/>
                <w:webHidden/>
              </w:rPr>
              <w:t>10</w:t>
            </w:r>
            <w:r w:rsidR="005D22F2">
              <w:rPr>
                <w:noProof/>
                <w:webHidden/>
              </w:rPr>
              <w:fldChar w:fldCharType="end"/>
            </w:r>
          </w:hyperlink>
        </w:p>
        <w:p w14:paraId="506F0053" w14:textId="0918F38F" w:rsidR="005D22F2" w:rsidRDefault="00547529">
          <w:pPr>
            <w:pStyle w:val="TOC1"/>
            <w:rPr>
              <w:rFonts w:asciiTheme="minorHAnsi" w:eastAsiaTheme="minorEastAsia" w:hAnsiTheme="minorHAnsi" w:cstheme="minorBidi"/>
              <w:b w:val="0"/>
              <w:noProof/>
              <w:color w:val="auto"/>
              <w:sz w:val="22"/>
              <w:szCs w:val="22"/>
              <w:lang w:eastAsia="en-AU"/>
            </w:rPr>
          </w:pPr>
          <w:hyperlink w:anchor="_Toc139284931" w:history="1">
            <w:r w:rsidR="005D22F2" w:rsidRPr="006F2F05">
              <w:rPr>
                <w:rStyle w:val="Hyperlink"/>
                <w:noProof/>
              </w:rPr>
              <w:t>Registration timeline</w:t>
            </w:r>
            <w:r w:rsidR="005D22F2">
              <w:rPr>
                <w:noProof/>
                <w:webHidden/>
              </w:rPr>
              <w:tab/>
            </w:r>
            <w:r w:rsidR="005D22F2">
              <w:rPr>
                <w:noProof/>
                <w:webHidden/>
              </w:rPr>
              <w:fldChar w:fldCharType="begin"/>
            </w:r>
            <w:r w:rsidR="005D22F2">
              <w:rPr>
                <w:noProof/>
                <w:webHidden/>
              </w:rPr>
              <w:instrText xml:space="preserve"> PAGEREF _Toc139284931 \h </w:instrText>
            </w:r>
            <w:r w:rsidR="005D22F2">
              <w:rPr>
                <w:noProof/>
                <w:webHidden/>
              </w:rPr>
            </w:r>
            <w:r w:rsidR="005D22F2">
              <w:rPr>
                <w:noProof/>
                <w:webHidden/>
              </w:rPr>
              <w:fldChar w:fldCharType="separate"/>
            </w:r>
            <w:r w:rsidR="00A00DC3">
              <w:rPr>
                <w:noProof/>
                <w:webHidden/>
              </w:rPr>
              <w:t>11</w:t>
            </w:r>
            <w:r w:rsidR="005D22F2">
              <w:rPr>
                <w:noProof/>
                <w:webHidden/>
              </w:rPr>
              <w:fldChar w:fldCharType="end"/>
            </w:r>
          </w:hyperlink>
        </w:p>
        <w:p w14:paraId="4D6C3EE7" w14:textId="6F39264E" w:rsidR="005D22F2" w:rsidRDefault="00547529">
          <w:pPr>
            <w:pStyle w:val="TOC1"/>
            <w:rPr>
              <w:rFonts w:asciiTheme="minorHAnsi" w:eastAsiaTheme="minorEastAsia" w:hAnsiTheme="minorHAnsi" w:cstheme="minorBidi"/>
              <w:b w:val="0"/>
              <w:noProof/>
              <w:color w:val="auto"/>
              <w:sz w:val="22"/>
              <w:szCs w:val="22"/>
              <w:lang w:eastAsia="en-AU"/>
            </w:rPr>
          </w:pPr>
          <w:hyperlink w:anchor="_Toc139284932" w:history="1">
            <w:r w:rsidR="005D22F2" w:rsidRPr="006F2F05">
              <w:rPr>
                <w:rStyle w:val="Hyperlink"/>
                <w:noProof/>
              </w:rPr>
              <w:t>Submission overview and risk/benefit assessment</w:t>
            </w:r>
            <w:r w:rsidR="005D22F2">
              <w:rPr>
                <w:noProof/>
                <w:webHidden/>
              </w:rPr>
              <w:tab/>
            </w:r>
            <w:r w:rsidR="005D22F2">
              <w:rPr>
                <w:noProof/>
                <w:webHidden/>
              </w:rPr>
              <w:fldChar w:fldCharType="begin"/>
            </w:r>
            <w:r w:rsidR="005D22F2">
              <w:rPr>
                <w:noProof/>
                <w:webHidden/>
              </w:rPr>
              <w:instrText xml:space="preserve"> PAGEREF _Toc139284932 \h </w:instrText>
            </w:r>
            <w:r w:rsidR="005D22F2">
              <w:rPr>
                <w:noProof/>
                <w:webHidden/>
              </w:rPr>
            </w:r>
            <w:r w:rsidR="005D22F2">
              <w:rPr>
                <w:noProof/>
                <w:webHidden/>
              </w:rPr>
              <w:fldChar w:fldCharType="separate"/>
            </w:r>
            <w:r w:rsidR="00A00DC3">
              <w:rPr>
                <w:noProof/>
                <w:webHidden/>
              </w:rPr>
              <w:t>11</w:t>
            </w:r>
            <w:r w:rsidR="005D22F2">
              <w:rPr>
                <w:noProof/>
                <w:webHidden/>
              </w:rPr>
              <w:fldChar w:fldCharType="end"/>
            </w:r>
          </w:hyperlink>
        </w:p>
        <w:p w14:paraId="4CB5FA16" w14:textId="655C8A36"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33" w:history="1">
            <w:r w:rsidR="005D22F2" w:rsidRPr="006F2F05">
              <w:rPr>
                <w:rStyle w:val="Hyperlink"/>
                <w:noProof/>
              </w:rPr>
              <w:t>Quality</w:t>
            </w:r>
            <w:r w:rsidR="005D22F2">
              <w:rPr>
                <w:noProof/>
                <w:webHidden/>
              </w:rPr>
              <w:tab/>
            </w:r>
            <w:r w:rsidR="005D22F2">
              <w:rPr>
                <w:noProof/>
                <w:webHidden/>
              </w:rPr>
              <w:fldChar w:fldCharType="begin"/>
            </w:r>
            <w:r w:rsidR="005D22F2">
              <w:rPr>
                <w:noProof/>
                <w:webHidden/>
              </w:rPr>
              <w:instrText xml:space="preserve"> PAGEREF _Toc139284933 \h </w:instrText>
            </w:r>
            <w:r w:rsidR="005D22F2">
              <w:rPr>
                <w:noProof/>
                <w:webHidden/>
              </w:rPr>
            </w:r>
            <w:r w:rsidR="005D22F2">
              <w:rPr>
                <w:noProof/>
                <w:webHidden/>
              </w:rPr>
              <w:fldChar w:fldCharType="separate"/>
            </w:r>
            <w:r w:rsidR="00A00DC3">
              <w:rPr>
                <w:noProof/>
                <w:webHidden/>
              </w:rPr>
              <w:t>12</w:t>
            </w:r>
            <w:r w:rsidR="005D22F2">
              <w:rPr>
                <w:noProof/>
                <w:webHidden/>
              </w:rPr>
              <w:fldChar w:fldCharType="end"/>
            </w:r>
          </w:hyperlink>
        </w:p>
        <w:p w14:paraId="7C47F37B" w14:textId="715C474E"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34" w:history="1">
            <w:r w:rsidR="005D22F2" w:rsidRPr="006F2F05">
              <w:rPr>
                <w:rStyle w:val="Hyperlink"/>
                <w:noProof/>
              </w:rPr>
              <w:t>Nonclinical</w:t>
            </w:r>
            <w:r w:rsidR="005D22F2">
              <w:rPr>
                <w:noProof/>
                <w:webHidden/>
              </w:rPr>
              <w:tab/>
            </w:r>
            <w:r w:rsidR="005D22F2">
              <w:rPr>
                <w:noProof/>
                <w:webHidden/>
              </w:rPr>
              <w:fldChar w:fldCharType="begin"/>
            </w:r>
            <w:r w:rsidR="005D22F2">
              <w:rPr>
                <w:noProof/>
                <w:webHidden/>
              </w:rPr>
              <w:instrText xml:space="preserve"> PAGEREF _Toc139284934 \h </w:instrText>
            </w:r>
            <w:r w:rsidR="005D22F2">
              <w:rPr>
                <w:noProof/>
                <w:webHidden/>
              </w:rPr>
            </w:r>
            <w:r w:rsidR="005D22F2">
              <w:rPr>
                <w:noProof/>
                <w:webHidden/>
              </w:rPr>
              <w:fldChar w:fldCharType="separate"/>
            </w:r>
            <w:r w:rsidR="00A00DC3">
              <w:rPr>
                <w:noProof/>
                <w:webHidden/>
              </w:rPr>
              <w:t>12</w:t>
            </w:r>
            <w:r w:rsidR="005D22F2">
              <w:rPr>
                <w:noProof/>
                <w:webHidden/>
              </w:rPr>
              <w:fldChar w:fldCharType="end"/>
            </w:r>
          </w:hyperlink>
        </w:p>
        <w:p w14:paraId="6F54BF8D" w14:textId="485567D2"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35" w:history="1">
            <w:r w:rsidR="005D22F2" w:rsidRPr="006F2F05">
              <w:rPr>
                <w:rStyle w:val="Hyperlink"/>
                <w:noProof/>
              </w:rPr>
              <w:t>Clinical</w:t>
            </w:r>
            <w:r w:rsidR="005D22F2">
              <w:rPr>
                <w:noProof/>
                <w:webHidden/>
              </w:rPr>
              <w:tab/>
            </w:r>
            <w:r w:rsidR="005D22F2">
              <w:rPr>
                <w:noProof/>
                <w:webHidden/>
              </w:rPr>
              <w:fldChar w:fldCharType="begin"/>
            </w:r>
            <w:r w:rsidR="005D22F2">
              <w:rPr>
                <w:noProof/>
                <w:webHidden/>
              </w:rPr>
              <w:instrText xml:space="preserve"> PAGEREF _Toc139284935 \h </w:instrText>
            </w:r>
            <w:r w:rsidR="005D22F2">
              <w:rPr>
                <w:noProof/>
                <w:webHidden/>
              </w:rPr>
            </w:r>
            <w:r w:rsidR="005D22F2">
              <w:rPr>
                <w:noProof/>
                <w:webHidden/>
              </w:rPr>
              <w:fldChar w:fldCharType="separate"/>
            </w:r>
            <w:r w:rsidR="00A00DC3">
              <w:rPr>
                <w:noProof/>
                <w:webHidden/>
              </w:rPr>
              <w:t>13</w:t>
            </w:r>
            <w:r w:rsidR="005D22F2">
              <w:rPr>
                <w:noProof/>
                <w:webHidden/>
              </w:rPr>
              <w:fldChar w:fldCharType="end"/>
            </w:r>
          </w:hyperlink>
        </w:p>
        <w:p w14:paraId="21456675" w14:textId="163113DD" w:rsidR="005D22F2" w:rsidRDefault="00547529">
          <w:pPr>
            <w:pStyle w:val="TOC3"/>
            <w:rPr>
              <w:rFonts w:asciiTheme="minorHAnsi" w:eastAsiaTheme="minorEastAsia" w:hAnsiTheme="minorHAnsi" w:cstheme="minorBidi"/>
              <w:b w:val="0"/>
              <w:noProof/>
              <w:color w:val="auto"/>
              <w:szCs w:val="22"/>
              <w:lang w:eastAsia="en-AU"/>
            </w:rPr>
          </w:pPr>
          <w:hyperlink w:anchor="_Toc139284936" w:history="1">
            <w:r w:rsidR="005D22F2" w:rsidRPr="006F2F05">
              <w:rPr>
                <w:rStyle w:val="Hyperlink"/>
                <w:noProof/>
              </w:rPr>
              <w:t>Summary of clinical studies</w:t>
            </w:r>
            <w:r w:rsidR="005D22F2">
              <w:rPr>
                <w:noProof/>
                <w:webHidden/>
              </w:rPr>
              <w:tab/>
            </w:r>
            <w:r w:rsidR="005D22F2">
              <w:rPr>
                <w:noProof/>
                <w:webHidden/>
              </w:rPr>
              <w:fldChar w:fldCharType="begin"/>
            </w:r>
            <w:r w:rsidR="005D22F2">
              <w:rPr>
                <w:noProof/>
                <w:webHidden/>
              </w:rPr>
              <w:instrText xml:space="preserve"> PAGEREF _Toc139284936 \h </w:instrText>
            </w:r>
            <w:r w:rsidR="005D22F2">
              <w:rPr>
                <w:noProof/>
                <w:webHidden/>
              </w:rPr>
            </w:r>
            <w:r w:rsidR="005D22F2">
              <w:rPr>
                <w:noProof/>
                <w:webHidden/>
              </w:rPr>
              <w:fldChar w:fldCharType="separate"/>
            </w:r>
            <w:r w:rsidR="00A00DC3">
              <w:rPr>
                <w:noProof/>
                <w:webHidden/>
              </w:rPr>
              <w:t>13</w:t>
            </w:r>
            <w:r w:rsidR="005D22F2">
              <w:rPr>
                <w:noProof/>
                <w:webHidden/>
              </w:rPr>
              <w:fldChar w:fldCharType="end"/>
            </w:r>
          </w:hyperlink>
        </w:p>
        <w:p w14:paraId="7E784F12" w14:textId="43019752" w:rsidR="005D22F2" w:rsidRDefault="00547529">
          <w:pPr>
            <w:pStyle w:val="TOC3"/>
            <w:rPr>
              <w:rFonts w:asciiTheme="minorHAnsi" w:eastAsiaTheme="minorEastAsia" w:hAnsiTheme="minorHAnsi" w:cstheme="minorBidi"/>
              <w:b w:val="0"/>
              <w:noProof/>
              <w:color w:val="auto"/>
              <w:szCs w:val="22"/>
              <w:lang w:eastAsia="en-AU"/>
            </w:rPr>
          </w:pPr>
          <w:hyperlink w:anchor="_Toc139284937" w:history="1">
            <w:r w:rsidR="005D22F2" w:rsidRPr="006F2F05">
              <w:rPr>
                <w:rStyle w:val="Hyperlink"/>
                <w:noProof/>
              </w:rPr>
              <w:t>Pharmacology</w:t>
            </w:r>
            <w:r w:rsidR="005D22F2">
              <w:rPr>
                <w:noProof/>
                <w:webHidden/>
              </w:rPr>
              <w:tab/>
            </w:r>
            <w:r w:rsidR="005D22F2">
              <w:rPr>
                <w:noProof/>
                <w:webHidden/>
              </w:rPr>
              <w:fldChar w:fldCharType="begin"/>
            </w:r>
            <w:r w:rsidR="005D22F2">
              <w:rPr>
                <w:noProof/>
                <w:webHidden/>
              </w:rPr>
              <w:instrText xml:space="preserve"> PAGEREF _Toc139284937 \h </w:instrText>
            </w:r>
            <w:r w:rsidR="005D22F2">
              <w:rPr>
                <w:noProof/>
                <w:webHidden/>
              </w:rPr>
            </w:r>
            <w:r w:rsidR="005D22F2">
              <w:rPr>
                <w:noProof/>
                <w:webHidden/>
              </w:rPr>
              <w:fldChar w:fldCharType="separate"/>
            </w:r>
            <w:r w:rsidR="00A00DC3">
              <w:rPr>
                <w:noProof/>
                <w:webHidden/>
              </w:rPr>
              <w:t>13</w:t>
            </w:r>
            <w:r w:rsidR="005D22F2">
              <w:rPr>
                <w:noProof/>
                <w:webHidden/>
              </w:rPr>
              <w:fldChar w:fldCharType="end"/>
            </w:r>
          </w:hyperlink>
        </w:p>
        <w:p w14:paraId="687E6B0F" w14:textId="446C0CF5" w:rsidR="005D22F2" w:rsidRDefault="00547529">
          <w:pPr>
            <w:pStyle w:val="TOC3"/>
            <w:rPr>
              <w:rFonts w:asciiTheme="minorHAnsi" w:eastAsiaTheme="minorEastAsia" w:hAnsiTheme="minorHAnsi" w:cstheme="minorBidi"/>
              <w:b w:val="0"/>
              <w:noProof/>
              <w:color w:val="auto"/>
              <w:szCs w:val="22"/>
              <w:lang w:eastAsia="en-AU"/>
            </w:rPr>
          </w:pPr>
          <w:hyperlink w:anchor="_Toc139284938" w:history="1">
            <w:r w:rsidR="005D22F2" w:rsidRPr="006F2F05">
              <w:rPr>
                <w:rStyle w:val="Hyperlink"/>
                <w:noProof/>
              </w:rPr>
              <w:t>Efficacy</w:t>
            </w:r>
            <w:r w:rsidR="005D22F2">
              <w:rPr>
                <w:noProof/>
                <w:webHidden/>
              </w:rPr>
              <w:tab/>
            </w:r>
            <w:r w:rsidR="005D22F2">
              <w:rPr>
                <w:noProof/>
                <w:webHidden/>
              </w:rPr>
              <w:fldChar w:fldCharType="begin"/>
            </w:r>
            <w:r w:rsidR="005D22F2">
              <w:rPr>
                <w:noProof/>
                <w:webHidden/>
              </w:rPr>
              <w:instrText xml:space="preserve"> PAGEREF _Toc139284938 \h </w:instrText>
            </w:r>
            <w:r w:rsidR="005D22F2">
              <w:rPr>
                <w:noProof/>
                <w:webHidden/>
              </w:rPr>
            </w:r>
            <w:r w:rsidR="005D22F2">
              <w:rPr>
                <w:noProof/>
                <w:webHidden/>
              </w:rPr>
              <w:fldChar w:fldCharType="separate"/>
            </w:r>
            <w:r w:rsidR="00A00DC3">
              <w:rPr>
                <w:noProof/>
                <w:webHidden/>
              </w:rPr>
              <w:t>24</w:t>
            </w:r>
            <w:r w:rsidR="005D22F2">
              <w:rPr>
                <w:noProof/>
                <w:webHidden/>
              </w:rPr>
              <w:fldChar w:fldCharType="end"/>
            </w:r>
          </w:hyperlink>
        </w:p>
        <w:p w14:paraId="54DE12A9" w14:textId="3DD56ECA" w:rsidR="005D22F2" w:rsidRDefault="00547529">
          <w:pPr>
            <w:pStyle w:val="TOC3"/>
            <w:rPr>
              <w:rFonts w:asciiTheme="minorHAnsi" w:eastAsiaTheme="minorEastAsia" w:hAnsiTheme="minorHAnsi" w:cstheme="minorBidi"/>
              <w:b w:val="0"/>
              <w:noProof/>
              <w:color w:val="auto"/>
              <w:szCs w:val="22"/>
              <w:lang w:eastAsia="en-AU"/>
            </w:rPr>
          </w:pPr>
          <w:hyperlink w:anchor="_Toc139284939" w:history="1">
            <w:r w:rsidR="005D22F2" w:rsidRPr="006F2F05">
              <w:rPr>
                <w:rStyle w:val="Hyperlink"/>
                <w:noProof/>
              </w:rPr>
              <w:t>Safety</w:t>
            </w:r>
            <w:r w:rsidR="005D22F2">
              <w:rPr>
                <w:noProof/>
                <w:webHidden/>
              </w:rPr>
              <w:tab/>
            </w:r>
            <w:r w:rsidR="005D22F2">
              <w:rPr>
                <w:noProof/>
                <w:webHidden/>
              </w:rPr>
              <w:fldChar w:fldCharType="begin"/>
            </w:r>
            <w:r w:rsidR="005D22F2">
              <w:rPr>
                <w:noProof/>
                <w:webHidden/>
              </w:rPr>
              <w:instrText xml:space="preserve"> PAGEREF _Toc139284939 \h </w:instrText>
            </w:r>
            <w:r w:rsidR="005D22F2">
              <w:rPr>
                <w:noProof/>
                <w:webHidden/>
              </w:rPr>
            </w:r>
            <w:r w:rsidR="005D22F2">
              <w:rPr>
                <w:noProof/>
                <w:webHidden/>
              </w:rPr>
              <w:fldChar w:fldCharType="separate"/>
            </w:r>
            <w:r w:rsidR="00A00DC3">
              <w:rPr>
                <w:noProof/>
                <w:webHidden/>
              </w:rPr>
              <w:t>33</w:t>
            </w:r>
            <w:r w:rsidR="005D22F2">
              <w:rPr>
                <w:noProof/>
                <w:webHidden/>
              </w:rPr>
              <w:fldChar w:fldCharType="end"/>
            </w:r>
          </w:hyperlink>
        </w:p>
        <w:p w14:paraId="667ED308" w14:textId="0C714F25"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40" w:history="1">
            <w:r w:rsidR="005D22F2" w:rsidRPr="006F2F05">
              <w:rPr>
                <w:rStyle w:val="Hyperlink"/>
                <w:noProof/>
                <w:lang w:eastAsia="en-AU"/>
              </w:rPr>
              <w:t>Risk management plan</w:t>
            </w:r>
            <w:r w:rsidR="005D22F2">
              <w:rPr>
                <w:noProof/>
                <w:webHidden/>
              </w:rPr>
              <w:tab/>
            </w:r>
            <w:r w:rsidR="005D22F2">
              <w:rPr>
                <w:noProof/>
                <w:webHidden/>
              </w:rPr>
              <w:fldChar w:fldCharType="begin"/>
            </w:r>
            <w:r w:rsidR="005D22F2">
              <w:rPr>
                <w:noProof/>
                <w:webHidden/>
              </w:rPr>
              <w:instrText xml:space="preserve"> PAGEREF _Toc139284940 \h </w:instrText>
            </w:r>
            <w:r w:rsidR="005D22F2">
              <w:rPr>
                <w:noProof/>
                <w:webHidden/>
              </w:rPr>
            </w:r>
            <w:r w:rsidR="005D22F2">
              <w:rPr>
                <w:noProof/>
                <w:webHidden/>
              </w:rPr>
              <w:fldChar w:fldCharType="separate"/>
            </w:r>
            <w:r w:rsidR="00A00DC3">
              <w:rPr>
                <w:noProof/>
                <w:webHidden/>
              </w:rPr>
              <w:t>44</w:t>
            </w:r>
            <w:r w:rsidR="005D22F2">
              <w:rPr>
                <w:noProof/>
                <w:webHidden/>
              </w:rPr>
              <w:fldChar w:fldCharType="end"/>
            </w:r>
          </w:hyperlink>
        </w:p>
        <w:p w14:paraId="2A72BA7E" w14:textId="5F6AB9EA"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41" w:history="1">
            <w:r w:rsidR="005D22F2" w:rsidRPr="006F2F05">
              <w:rPr>
                <w:rStyle w:val="Hyperlink"/>
                <w:noProof/>
              </w:rPr>
              <w:t>Risk-benefit analysis</w:t>
            </w:r>
            <w:r w:rsidR="005D22F2">
              <w:rPr>
                <w:noProof/>
                <w:webHidden/>
              </w:rPr>
              <w:tab/>
            </w:r>
            <w:r w:rsidR="005D22F2">
              <w:rPr>
                <w:noProof/>
                <w:webHidden/>
              </w:rPr>
              <w:fldChar w:fldCharType="begin"/>
            </w:r>
            <w:r w:rsidR="005D22F2">
              <w:rPr>
                <w:noProof/>
                <w:webHidden/>
              </w:rPr>
              <w:instrText xml:space="preserve"> PAGEREF _Toc139284941 \h </w:instrText>
            </w:r>
            <w:r w:rsidR="005D22F2">
              <w:rPr>
                <w:noProof/>
                <w:webHidden/>
              </w:rPr>
            </w:r>
            <w:r w:rsidR="005D22F2">
              <w:rPr>
                <w:noProof/>
                <w:webHidden/>
              </w:rPr>
              <w:fldChar w:fldCharType="separate"/>
            </w:r>
            <w:r w:rsidR="00A00DC3">
              <w:rPr>
                <w:noProof/>
                <w:webHidden/>
              </w:rPr>
              <w:t>45</w:t>
            </w:r>
            <w:r w:rsidR="005D22F2">
              <w:rPr>
                <w:noProof/>
                <w:webHidden/>
              </w:rPr>
              <w:fldChar w:fldCharType="end"/>
            </w:r>
          </w:hyperlink>
        </w:p>
        <w:p w14:paraId="0E692C6C" w14:textId="08B99529" w:rsidR="005D22F2" w:rsidRDefault="00547529">
          <w:pPr>
            <w:pStyle w:val="TOC3"/>
            <w:rPr>
              <w:rFonts w:asciiTheme="minorHAnsi" w:eastAsiaTheme="minorEastAsia" w:hAnsiTheme="minorHAnsi" w:cstheme="minorBidi"/>
              <w:b w:val="0"/>
              <w:noProof/>
              <w:color w:val="auto"/>
              <w:szCs w:val="22"/>
              <w:lang w:eastAsia="en-AU"/>
            </w:rPr>
          </w:pPr>
          <w:hyperlink w:anchor="_Toc139284942" w:history="1">
            <w:r w:rsidR="005D22F2" w:rsidRPr="006F2F05">
              <w:rPr>
                <w:rStyle w:val="Hyperlink"/>
                <w:noProof/>
              </w:rPr>
              <w:t>Delegate’s considerations</w:t>
            </w:r>
            <w:r w:rsidR="005D22F2">
              <w:rPr>
                <w:noProof/>
                <w:webHidden/>
              </w:rPr>
              <w:tab/>
            </w:r>
            <w:r w:rsidR="005D22F2">
              <w:rPr>
                <w:noProof/>
                <w:webHidden/>
              </w:rPr>
              <w:fldChar w:fldCharType="begin"/>
            </w:r>
            <w:r w:rsidR="005D22F2">
              <w:rPr>
                <w:noProof/>
                <w:webHidden/>
              </w:rPr>
              <w:instrText xml:space="preserve"> PAGEREF _Toc139284942 \h </w:instrText>
            </w:r>
            <w:r w:rsidR="005D22F2">
              <w:rPr>
                <w:noProof/>
                <w:webHidden/>
              </w:rPr>
            </w:r>
            <w:r w:rsidR="005D22F2">
              <w:rPr>
                <w:noProof/>
                <w:webHidden/>
              </w:rPr>
              <w:fldChar w:fldCharType="separate"/>
            </w:r>
            <w:r w:rsidR="00A00DC3">
              <w:rPr>
                <w:noProof/>
                <w:webHidden/>
              </w:rPr>
              <w:t>45</w:t>
            </w:r>
            <w:r w:rsidR="005D22F2">
              <w:rPr>
                <w:noProof/>
                <w:webHidden/>
              </w:rPr>
              <w:fldChar w:fldCharType="end"/>
            </w:r>
          </w:hyperlink>
        </w:p>
        <w:p w14:paraId="73D9EAFF" w14:textId="341D7345" w:rsidR="005D22F2" w:rsidRDefault="00547529">
          <w:pPr>
            <w:pStyle w:val="TOC3"/>
            <w:rPr>
              <w:rFonts w:asciiTheme="minorHAnsi" w:eastAsiaTheme="minorEastAsia" w:hAnsiTheme="minorHAnsi" w:cstheme="minorBidi"/>
              <w:b w:val="0"/>
              <w:noProof/>
              <w:color w:val="auto"/>
              <w:szCs w:val="22"/>
              <w:lang w:eastAsia="en-AU"/>
            </w:rPr>
          </w:pPr>
          <w:hyperlink w:anchor="_Toc139284943" w:history="1">
            <w:r w:rsidR="005D22F2" w:rsidRPr="006F2F05">
              <w:rPr>
                <w:rStyle w:val="Hyperlink"/>
                <w:noProof/>
              </w:rPr>
              <w:t>Proposed action</w:t>
            </w:r>
            <w:r w:rsidR="005D22F2">
              <w:rPr>
                <w:noProof/>
                <w:webHidden/>
              </w:rPr>
              <w:tab/>
            </w:r>
            <w:r w:rsidR="005D22F2">
              <w:rPr>
                <w:noProof/>
                <w:webHidden/>
              </w:rPr>
              <w:fldChar w:fldCharType="begin"/>
            </w:r>
            <w:r w:rsidR="005D22F2">
              <w:rPr>
                <w:noProof/>
                <w:webHidden/>
              </w:rPr>
              <w:instrText xml:space="preserve"> PAGEREF _Toc139284943 \h </w:instrText>
            </w:r>
            <w:r w:rsidR="005D22F2">
              <w:rPr>
                <w:noProof/>
                <w:webHidden/>
              </w:rPr>
            </w:r>
            <w:r w:rsidR="005D22F2">
              <w:rPr>
                <w:noProof/>
                <w:webHidden/>
              </w:rPr>
              <w:fldChar w:fldCharType="separate"/>
            </w:r>
            <w:r w:rsidR="00A00DC3">
              <w:rPr>
                <w:noProof/>
                <w:webHidden/>
              </w:rPr>
              <w:t>48</w:t>
            </w:r>
            <w:r w:rsidR="005D22F2">
              <w:rPr>
                <w:noProof/>
                <w:webHidden/>
              </w:rPr>
              <w:fldChar w:fldCharType="end"/>
            </w:r>
          </w:hyperlink>
        </w:p>
        <w:p w14:paraId="0A192895" w14:textId="698CA3F6" w:rsidR="005D22F2" w:rsidRDefault="00547529">
          <w:pPr>
            <w:pStyle w:val="TOC3"/>
            <w:rPr>
              <w:rFonts w:asciiTheme="minorHAnsi" w:eastAsiaTheme="minorEastAsia" w:hAnsiTheme="minorHAnsi" w:cstheme="minorBidi"/>
              <w:b w:val="0"/>
              <w:noProof/>
              <w:color w:val="auto"/>
              <w:szCs w:val="22"/>
              <w:lang w:eastAsia="en-AU"/>
            </w:rPr>
          </w:pPr>
          <w:hyperlink w:anchor="_Toc139284944" w:history="1">
            <w:r w:rsidR="005D22F2" w:rsidRPr="006F2F05">
              <w:rPr>
                <w:rStyle w:val="Hyperlink"/>
                <w:noProof/>
              </w:rPr>
              <w:t>Advisory Committee considerations</w:t>
            </w:r>
            <w:r w:rsidR="005D22F2">
              <w:rPr>
                <w:noProof/>
                <w:webHidden/>
              </w:rPr>
              <w:tab/>
            </w:r>
            <w:r w:rsidR="005D22F2">
              <w:rPr>
                <w:noProof/>
                <w:webHidden/>
              </w:rPr>
              <w:fldChar w:fldCharType="begin"/>
            </w:r>
            <w:r w:rsidR="005D22F2">
              <w:rPr>
                <w:noProof/>
                <w:webHidden/>
              </w:rPr>
              <w:instrText xml:space="preserve"> PAGEREF _Toc139284944 \h </w:instrText>
            </w:r>
            <w:r w:rsidR="005D22F2">
              <w:rPr>
                <w:noProof/>
                <w:webHidden/>
              </w:rPr>
            </w:r>
            <w:r w:rsidR="005D22F2">
              <w:rPr>
                <w:noProof/>
                <w:webHidden/>
              </w:rPr>
              <w:fldChar w:fldCharType="separate"/>
            </w:r>
            <w:r w:rsidR="00A00DC3">
              <w:rPr>
                <w:noProof/>
                <w:webHidden/>
              </w:rPr>
              <w:t>48</w:t>
            </w:r>
            <w:r w:rsidR="005D22F2">
              <w:rPr>
                <w:noProof/>
                <w:webHidden/>
              </w:rPr>
              <w:fldChar w:fldCharType="end"/>
            </w:r>
          </w:hyperlink>
        </w:p>
        <w:p w14:paraId="02369DFF" w14:textId="013BFA22" w:rsidR="005D22F2" w:rsidRDefault="00547529">
          <w:pPr>
            <w:pStyle w:val="TOC1"/>
            <w:rPr>
              <w:rFonts w:asciiTheme="minorHAnsi" w:eastAsiaTheme="minorEastAsia" w:hAnsiTheme="minorHAnsi" w:cstheme="minorBidi"/>
              <w:b w:val="0"/>
              <w:noProof/>
              <w:color w:val="auto"/>
              <w:sz w:val="22"/>
              <w:szCs w:val="22"/>
              <w:lang w:eastAsia="en-AU"/>
            </w:rPr>
          </w:pPr>
          <w:hyperlink w:anchor="_Toc139284945" w:history="1">
            <w:r w:rsidR="005D22F2" w:rsidRPr="006F2F05">
              <w:rPr>
                <w:rStyle w:val="Hyperlink"/>
                <w:noProof/>
              </w:rPr>
              <w:t>Outcome</w:t>
            </w:r>
            <w:r w:rsidR="005D22F2">
              <w:rPr>
                <w:noProof/>
                <w:webHidden/>
              </w:rPr>
              <w:tab/>
            </w:r>
            <w:r w:rsidR="005D22F2">
              <w:rPr>
                <w:noProof/>
                <w:webHidden/>
              </w:rPr>
              <w:fldChar w:fldCharType="begin"/>
            </w:r>
            <w:r w:rsidR="005D22F2">
              <w:rPr>
                <w:noProof/>
                <w:webHidden/>
              </w:rPr>
              <w:instrText xml:space="preserve"> PAGEREF _Toc139284945 \h </w:instrText>
            </w:r>
            <w:r w:rsidR="005D22F2">
              <w:rPr>
                <w:noProof/>
                <w:webHidden/>
              </w:rPr>
            </w:r>
            <w:r w:rsidR="005D22F2">
              <w:rPr>
                <w:noProof/>
                <w:webHidden/>
              </w:rPr>
              <w:fldChar w:fldCharType="separate"/>
            </w:r>
            <w:r w:rsidR="00A00DC3">
              <w:rPr>
                <w:noProof/>
                <w:webHidden/>
              </w:rPr>
              <w:t>49</w:t>
            </w:r>
            <w:r w:rsidR="005D22F2">
              <w:rPr>
                <w:noProof/>
                <w:webHidden/>
              </w:rPr>
              <w:fldChar w:fldCharType="end"/>
            </w:r>
          </w:hyperlink>
        </w:p>
        <w:p w14:paraId="0457E627" w14:textId="25B24207" w:rsidR="005D22F2" w:rsidRDefault="00547529">
          <w:pPr>
            <w:pStyle w:val="TOC2"/>
            <w:rPr>
              <w:rFonts w:asciiTheme="minorHAnsi" w:eastAsiaTheme="minorEastAsia" w:hAnsiTheme="minorHAnsi" w:cstheme="minorBidi"/>
              <w:b w:val="0"/>
              <w:noProof/>
              <w:color w:val="auto"/>
              <w:sz w:val="22"/>
              <w:szCs w:val="22"/>
              <w:lang w:eastAsia="en-AU"/>
            </w:rPr>
          </w:pPr>
          <w:hyperlink w:anchor="_Toc139284946" w:history="1">
            <w:r w:rsidR="005D22F2" w:rsidRPr="006F2F05">
              <w:rPr>
                <w:rStyle w:val="Hyperlink"/>
                <w:noProof/>
              </w:rPr>
              <w:t>Specific conditions of registration applying to these goods</w:t>
            </w:r>
            <w:r w:rsidR="005D22F2">
              <w:rPr>
                <w:noProof/>
                <w:webHidden/>
              </w:rPr>
              <w:tab/>
            </w:r>
            <w:r w:rsidR="005D22F2">
              <w:rPr>
                <w:noProof/>
                <w:webHidden/>
              </w:rPr>
              <w:fldChar w:fldCharType="begin"/>
            </w:r>
            <w:r w:rsidR="005D22F2">
              <w:rPr>
                <w:noProof/>
                <w:webHidden/>
              </w:rPr>
              <w:instrText xml:space="preserve"> PAGEREF _Toc139284946 \h </w:instrText>
            </w:r>
            <w:r w:rsidR="005D22F2">
              <w:rPr>
                <w:noProof/>
                <w:webHidden/>
              </w:rPr>
            </w:r>
            <w:r w:rsidR="005D22F2">
              <w:rPr>
                <w:noProof/>
                <w:webHidden/>
              </w:rPr>
              <w:fldChar w:fldCharType="separate"/>
            </w:r>
            <w:r w:rsidR="00A00DC3">
              <w:rPr>
                <w:noProof/>
                <w:webHidden/>
              </w:rPr>
              <w:t>49</w:t>
            </w:r>
            <w:r w:rsidR="005D22F2">
              <w:rPr>
                <w:noProof/>
                <w:webHidden/>
              </w:rPr>
              <w:fldChar w:fldCharType="end"/>
            </w:r>
          </w:hyperlink>
        </w:p>
        <w:p w14:paraId="3B252795" w14:textId="08748714" w:rsidR="005D22F2" w:rsidRDefault="00547529">
          <w:pPr>
            <w:pStyle w:val="TOC1"/>
            <w:rPr>
              <w:rFonts w:asciiTheme="minorHAnsi" w:eastAsiaTheme="minorEastAsia" w:hAnsiTheme="minorHAnsi" w:cstheme="minorBidi"/>
              <w:b w:val="0"/>
              <w:noProof/>
              <w:color w:val="auto"/>
              <w:sz w:val="22"/>
              <w:szCs w:val="22"/>
              <w:lang w:eastAsia="en-AU"/>
            </w:rPr>
          </w:pPr>
          <w:hyperlink w:anchor="_Toc139284947" w:history="1">
            <w:r w:rsidR="005D22F2" w:rsidRPr="006F2F05">
              <w:rPr>
                <w:rStyle w:val="Hyperlink"/>
                <w:noProof/>
              </w:rPr>
              <w:t>Attachment 1. Product Information</w:t>
            </w:r>
            <w:r w:rsidR="005D22F2">
              <w:rPr>
                <w:noProof/>
                <w:webHidden/>
              </w:rPr>
              <w:tab/>
            </w:r>
            <w:r w:rsidR="005D22F2">
              <w:rPr>
                <w:noProof/>
                <w:webHidden/>
              </w:rPr>
              <w:fldChar w:fldCharType="begin"/>
            </w:r>
            <w:r w:rsidR="005D22F2">
              <w:rPr>
                <w:noProof/>
                <w:webHidden/>
              </w:rPr>
              <w:instrText xml:space="preserve"> PAGEREF _Toc139284947 \h </w:instrText>
            </w:r>
            <w:r w:rsidR="005D22F2">
              <w:rPr>
                <w:noProof/>
                <w:webHidden/>
              </w:rPr>
            </w:r>
            <w:r w:rsidR="005D22F2">
              <w:rPr>
                <w:noProof/>
                <w:webHidden/>
              </w:rPr>
              <w:fldChar w:fldCharType="separate"/>
            </w:r>
            <w:r w:rsidR="00A00DC3">
              <w:rPr>
                <w:noProof/>
                <w:webHidden/>
              </w:rPr>
              <w:t>50</w:t>
            </w:r>
            <w:r w:rsidR="005D22F2">
              <w:rPr>
                <w:noProof/>
                <w:webHidden/>
              </w:rPr>
              <w:fldChar w:fldCharType="end"/>
            </w:r>
          </w:hyperlink>
        </w:p>
        <w:p w14:paraId="77659F2D" w14:textId="1B6C5F8E" w:rsidR="00F02AEC" w:rsidRPr="00865C47" w:rsidRDefault="00F02AEC" w:rsidP="007452E8">
          <w:r w:rsidRPr="00865C47">
            <w:fldChar w:fldCharType="end"/>
          </w:r>
        </w:p>
      </w:sdtContent>
    </w:sdt>
    <w:p w14:paraId="10987AE2" w14:textId="77777777" w:rsidR="00F02AEC" w:rsidRPr="00865C47" w:rsidRDefault="00F02AEC" w:rsidP="007452E8">
      <w:r w:rsidRPr="00865C47">
        <w:br w:type="page"/>
      </w:r>
    </w:p>
    <w:p w14:paraId="1E73AB93" w14:textId="77777777" w:rsidR="00324B33" w:rsidRPr="00865C47" w:rsidRDefault="00324B33" w:rsidP="00324B33">
      <w:pPr>
        <w:pStyle w:val="Heading2"/>
      </w:pPr>
      <w:bookmarkStart w:id="0" w:name="_Toc98931917"/>
      <w:bookmarkStart w:id="1" w:name="_Toc103679287"/>
      <w:bookmarkStart w:id="2" w:name="_Toc139284925"/>
      <w:bookmarkStart w:id="3" w:name="_Toc323739589"/>
      <w:bookmarkStart w:id="4" w:name="_Toc356305216"/>
      <w:r w:rsidRPr="00865C47">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63"/>
        <w:gridCol w:w="15"/>
        <w:gridCol w:w="6839"/>
        <w:gridCol w:w="43"/>
      </w:tblGrid>
      <w:tr w:rsidR="00946A46" w:rsidRPr="00865C47" w14:paraId="02F6D052" w14:textId="77777777" w:rsidTr="002435C6">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1" w:type="pct"/>
            <w:gridSpan w:val="2"/>
          </w:tcPr>
          <w:p w14:paraId="7149C8DF" w14:textId="77777777" w:rsidR="00946A46" w:rsidRPr="00865C47" w:rsidRDefault="00946A46" w:rsidP="00324B33">
            <w:pPr>
              <w:rPr>
                <w:szCs w:val="22"/>
              </w:rPr>
            </w:pPr>
            <w:r w:rsidRPr="00865C47">
              <w:rPr>
                <w:szCs w:val="22"/>
              </w:rPr>
              <w:t>Abbreviation</w:t>
            </w:r>
          </w:p>
        </w:tc>
        <w:tc>
          <w:tcPr>
            <w:tcW w:w="3799" w:type="pct"/>
            <w:gridSpan w:val="2"/>
          </w:tcPr>
          <w:p w14:paraId="36AC16E3" w14:textId="77777777" w:rsidR="00946A46" w:rsidRPr="00865C47" w:rsidRDefault="00946A46" w:rsidP="00324B33">
            <w:pPr>
              <w:cnfStyle w:val="100000000000" w:firstRow="1" w:lastRow="0" w:firstColumn="0" w:lastColumn="0" w:oddVBand="0" w:evenVBand="0" w:oddHBand="0" w:evenHBand="0" w:firstRowFirstColumn="0" w:firstRowLastColumn="0" w:lastRowFirstColumn="0" w:lastRowLastColumn="0"/>
              <w:rPr>
                <w:szCs w:val="22"/>
              </w:rPr>
            </w:pPr>
            <w:r w:rsidRPr="00865C47">
              <w:rPr>
                <w:szCs w:val="22"/>
              </w:rPr>
              <w:t>Meaning</w:t>
            </w:r>
          </w:p>
        </w:tc>
      </w:tr>
      <w:tr w:rsidR="00946A46" w:rsidRPr="00865C47" w14:paraId="6DB46FAE"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51A282B3" w14:textId="77777777" w:rsidR="00946A46" w:rsidRPr="00865C47" w:rsidRDefault="00946A46" w:rsidP="00946A46">
            <w:pPr>
              <w:rPr>
                <w:szCs w:val="22"/>
              </w:rPr>
            </w:pPr>
            <w:r w:rsidRPr="00865C47">
              <w:rPr>
                <w:vertAlign w:val="superscript"/>
              </w:rPr>
              <w:t>14</w:t>
            </w:r>
            <w:r w:rsidRPr="00865C47">
              <w:t>C</w:t>
            </w:r>
          </w:p>
        </w:tc>
        <w:tc>
          <w:tcPr>
            <w:tcW w:w="3782" w:type="pct"/>
            <w:gridSpan w:val="2"/>
          </w:tcPr>
          <w:p w14:paraId="627CED9C"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Carbon 14</w:t>
            </w:r>
          </w:p>
        </w:tc>
      </w:tr>
      <w:tr w:rsidR="00946A46" w:rsidRPr="00865C47" w14:paraId="2D05C124"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3E2D69A3" w14:textId="77777777" w:rsidR="00946A46" w:rsidRPr="00865C47" w:rsidRDefault="00946A46" w:rsidP="00946A46">
            <w:pPr>
              <w:rPr>
                <w:szCs w:val="22"/>
              </w:rPr>
            </w:pPr>
            <w:r w:rsidRPr="00865C47">
              <w:rPr>
                <w:szCs w:val="22"/>
              </w:rPr>
              <w:t>ACM</w:t>
            </w:r>
          </w:p>
        </w:tc>
        <w:tc>
          <w:tcPr>
            <w:tcW w:w="3782" w:type="pct"/>
            <w:gridSpan w:val="2"/>
          </w:tcPr>
          <w:p w14:paraId="6F3A5CC4"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Advisory Committee on Medicines</w:t>
            </w:r>
          </w:p>
        </w:tc>
      </w:tr>
      <w:tr w:rsidR="00946A46" w:rsidRPr="00865C47" w14:paraId="5DA15CA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50CF5852" w14:textId="77777777" w:rsidR="00946A46" w:rsidRPr="00865C47" w:rsidRDefault="00946A46" w:rsidP="00946A46">
            <w:pPr>
              <w:rPr>
                <w:szCs w:val="22"/>
              </w:rPr>
            </w:pPr>
            <w:r w:rsidRPr="00865C47">
              <w:rPr>
                <w:szCs w:val="22"/>
              </w:rPr>
              <w:t>AE</w:t>
            </w:r>
          </w:p>
        </w:tc>
        <w:tc>
          <w:tcPr>
            <w:tcW w:w="3782" w:type="pct"/>
            <w:gridSpan w:val="2"/>
          </w:tcPr>
          <w:p w14:paraId="3D7C1E40"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Adverse event</w:t>
            </w:r>
          </w:p>
        </w:tc>
      </w:tr>
      <w:tr w:rsidR="00946A46" w:rsidRPr="00865C47" w14:paraId="0662160F"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126B9576" w14:textId="77777777" w:rsidR="00946A46" w:rsidRPr="00865C47" w:rsidRDefault="00946A46" w:rsidP="00946A46">
            <w:pPr>
              <w:rPr>
                <w:szCs w:val="22"/>
              </w:rPr>
            </w:pPr>
            <w:r w:rsidRPr="00865C47">
              <w:rPr>
                <w:szCs w:val="22"/>
              </w:rPr>
              <w:t>ARTG</w:t>
            </w:r>
          </w:p>
        </w:tc>
        <w:tc>
          <w:tcPr>
            <w:tcW w:w="3782" w:type="pct"/>
            <w:gridSpan w:val="2"/>
          </w:tcPr>
          <w:p w14:paraId="445184D7"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Australian Register of Therapeutic Goods</w:t>
            </w:r>
          </w:p>
        </w:tc>
      </w:tr>
      <w:tr w:rsidR="00946A46" w:rsidRPr="00865C47" w14:paraId="0E49C4ED"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BF4EAC7" w14:textId="77777777" w:rsidR="00946A46" w:rsidRPr="00865C47" w:rsidRDefault="00946A46" w:rsidP="00946A46">
            <w:pPr>
              <w:rPr>
                <w:szCs w:val="22"/>
              </w:rPr>
            </w:pPr>
            <w:r w:rsidRPr="00865C47">
              <w:rPr>
                <w:szCs w:val="22"/>
              </w:rPr>
              <w:t>ASA</w:t>
            </w:r>
          </w:p>
        </w:tc>
        <w:tc>
          <w:tcPr>
            <w:tcW w:w="3782" w:type="pct"/>
            <w:gridSpan w:val="2"/>
          </w:tcPr>
          <w:p w14:paraId="7DDFD05F"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Australia specific annex</w:t>
            </w:r>
          </w:p>
        </w:tc>
      </w:tr>
      <w:tr w:rsidR="00946A46" w:rsidRPr="00865C47" w14:paraId="2BA807FB"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3F1467AD" w14:textId="77777777" w:rsidR="00946A46" w:rsidRPr="00865C47" w:rsidRDefault="00946A46" w:rsidP="00946A46">
            <w:pPr>
              <w:rPr>
                <w:szCs w:val="22"/>
              </w:rPr>
            </w:pPr>
            <w:r w:rsidRPr="00865C47">
              <w:rPr>
                <w:szCs w:val="22"/>
              </w:rPr>
              <w:t>AUC</w:t>
            </w:r>
          </w:p>
        </w:tc>
        <w:tc>
          <w:tcPr>
            <w:tcW w:w="3782" w:type="pct"/>
            <w:gridSpan w:val="2"/>
          </w:tcPr>
          <w:p w14:paraId="0CDA3ECD"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Area under the plasma concentration-time curve</w:t>
            </w:r>
          </w:p>
        </w:tc>
      </w:tr>
      <w:tr w:rsidR="00946A46" w:rsidRPr="00865C47" w14:paraId="7E67E8F5"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6846E2ED" w14:textId="77777777" w:rsidR="00946A46" w:rsidRPr="00865C47" w:rsidRDefault="00946A46" w:rsidP="00946A46">
            <w:pPr>
              <w:rPr>
                <w:szCs w:val="22"/>
              </w:rPr>
            </w:pPr>
            <w:r w:rsidRPr="00865C47">
              <w:t>AUC</w:t>
            </w:r>
            <w:r w:rsidRPr="00865C47">
              <w:rPr>
                <w:vertAlign w:val="subscript"/>
              </w:rPr>
              <w:t>0-24</w:t>
            </w:r>
            <w:r>
              <w:rPr>
                <w:vertAlign w:val="subscript"/>
              </w:rPr>
              <w:t>h</w:t>
            </w:r>
          </w:p>
        </w:tc>
        <w:tc>
          <w:tcPr>
            <w:tcW w:w="3782" w:type="pct"/>
            <w:gridSpan w:val="2"/>
          </w:tcPr>
          <w:p w14:paraId="027C8787"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Area under the plasma concentration-time curve from time zero to 24 hours</w:t>
            </w:r>
          </w:p>
        </w:tc>
      </w:tr>
      <w:tr w:rsidR="00946A46" w:rsidRPr="00865C47" w14:paraId="18553EC3"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360F192" w14:textId="77777777" w:rsidR="00946A46" w:rsidRPr="00865C47" w:rsidRDefault="00946A46" w:rsidP="00946A46">
            <w:pPr>
              <w:rPr>
                <w:szCs w:val="22"/>
              </w:rPr>
            </w:pPr>
            <w:r w:rsidRPr="00865C47">
              <w:t>AUC</w:t>
            </w:r>
            <w:r w:rsidRPr="00865C47">
              <w:rPr>
                <w:vertAlign w:val="subscript"/>
              </w:rPr>
              <w:t>0-inf</w:t>
            </w:r>
          </w:p>
        </w:tc>
        <w:tc>
          <w:tcPr>
            <w:tcW w:w="3782" w:type="pct"/>
            <w:gridSpan w:val="2"/>
          </w:tcPr>
          <w:p w14:paraId="69205477"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Area under the plasma concentration-time curve from time zero to infinity</w:t>
            </w:r>
          </w:p>
        </w:tc>
      </w:tr>
      <w:tr w:rsidR="00946A46" w:rsidRPr="00865C47" w14:paraId="52142A95"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1955770A" w14:textId="77777777" w:rsidR="00946A46" w:rsidRPr="00865C47" w:rsidRDefault="00946A46" w:rsidP="00946A46">
            <w:pPr>
              <w:rPr>
                <w:szCs w:val="22"/>
              </w:rPr>
            </w:pPr>
            <w:r w:rsidRPr="00865C47">
              <w:t>CI</w:t>
            </w:r>
          </w:p>
        </w:tc>
        <w:tc>
          <w:tcPr>
            <w:tcW w:w="3782" w:type="pct"/>
            <w:gridSpan w:val="2"/>
          </w:tcPr>
          <w:p w14:paraId="7EC476F2"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Confidence interval</w:t>
            </w:r>
          </w:p>
        </w:tc>
      </w:tr>
      <w:tr w:rsidR="00946A46" w:rsidRPr="00865C47" w14:paraId="26A2BD1A"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6AB27BF4" w14:textId="77777777" w:rsidR="00946A46" w:rsidRPr="00865C47" w:rsidRDefault="00946A46" w:rsidP="00946A46">
            <w:r w:rsidRPr="00865C47">
              <w:t>C</w:t>
            </w:r>
            <w:r w:rsidRPr="00865C47">
              <w:rPr>
                <w:vertAlign w:val="subscript"/>
              </w:rPr>
              <w:t>max</w:t>
            </w:r>
          </w:p>
        </w:tc>
        <w:tc>
          <w:tcPr>
            <w:tcW w:w="3782" w:type="pct"/>
            <w:gridSpan w:val="2"/>
          </w:tcPr>
          <w:p w14:paraId="5C4A3A12"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Maximum observed plasma concentration</w:t>
            </w:r>
          </w:p>
        </w:tc>
      </w:tr>
      <w:tr w:rsidR="00946A46" w:rsidRPr="00865C47" w14:paraId="01418EA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4C3D4BE3" w14:textId="77777777" w:rsidR="00946A46" w:rsidRPr="00865C47" w:rsidRDefault="00946A46" w:rsidP="00946A46">
            <w:pPr>
              <w:rPr>
                <w:szCs w:val="22"/>
              </w:rPr>
            </w:pPr>
            <w:r w:rsidRPr="00865C47">
              <w:rPr>
                <w:szCs w:val="22"/>
              </w:rPr>
              <w:t>CMI</w:t>
            </w:r>
          </w:p>
        </w:tc>
        <w:tc>
          <w:tcPr>
            <w:tcW w:w="3782" w:type="pct"/>
            <w:gridSpan w:val="2"/>
          </w:tcPr>
          <w:p w14:paraId="66951B34"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Consumer Medicines Information</w:t>
            </w:r>
          </w:p>
        </w:tc>
      </w:tr>
      <w:tr w:rsidR="00946A46" w:rsidRPr="00865C47" w14:paraId="46041A8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4B09902D" w14:textId="77777777" w:rsidR="00946A46" w:rsidRPr="00865C47" w:rsidRDefault="00946A46" w:rsidP="00946A46">
            <w:pPr>
              <w:rPr>
                <w:szCs w:val="22"/>
              </w:rPr>
            </w:pPr>
            <w:r w:rsidRPr="00865C47">
              <w:t>CV</w:t>
            </w:r>
          </w:p>
        </w:tc>
        <w:tc>
          <w:tcPr>
            <w:tcW w:w="3782" w:type="pct"/>
            <w:gridSpan w:val="2"/>
          </w:tcPr>
          <w:p w14:paraId="48ECF872"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Coefficient of variation</w:t>
            </w:r>
          </w:p>
        </w:tc>
      </w:tr>
      <w:tr w:rsidR="00946A46" w:rsidRPr="00865C47" w14:paraId="301BABFB"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679D90D" w14:textId="77777777" w:rsidR="00946A46" w:rsidRPr="00865C47" w:rsidRDefault="00946A46" w:rsidP="00946A46">
            <w:pPr>
              <w:rPr>
                <w:szCs w:val="22"/>
              </w:rPr>
            </w:pPr>
            <w:r w:rsidRPr="00865C47">
              <w:t>CYP3A4</w:t>
            </w:r>
          </w:p>
        </w:tc>
        <w:tc>
          <w:tcPr>
            <w:tcW w:w="3782" w:type="pct"/>
            <w:gridSpan w:val="2"/>
          </w:tcPr>
          <w:p w14:paraId="2B8889D0"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Cytochrome P450 3A4</w:t>
            </w:r>
          </w:p>
        </w:tc>
      </w:tr>
      <w:tr w:rsidR="00946A46" w:rsidRPr="00865C47" w14:paraId="68B67549"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30A19799" w14:textId="77777777" w:rsidR="00946A46" w:rsidRPr="00865C47" w:rsidRDefault="00946A46" w:rsidP="00946A46">
            <w:r w:rsidRPr="00865C47">
              <w:t>DOR</w:t>
            </w:r>
          </w:p>
        </w:tc>
        <w:tc>
          <w:tcPr>
            <w:tcW w:w="3782" w:type="pct"/>
            <w:gridSpan w:val="2"/>
          </w:tcPr>
          <w:p w14:paraId="42419323"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Duration of response</w:t>
            </w:r>
          </w:p>
        </w:tc>
      </w:tr>
      <w:tr w:rsidR="00946A46" w:rsidRPr="00865C47" w14:paraId="7B97BD97"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3ABE6DFA" w14:textId="77777777" w:rsidR="00946A46" w:rsidRPr="00865C47" w:rsidRDefault="00946A46" w:rsidP="00946A46">
            <w:pPr>
              <w:rPr>
                <w:szCs w:val="22"/>
              </w:rPr>
            </w:pPr>
            <w:r w:rsidRPr="00865C47">
              <w:t>ECOG-PS</w:t>
            </w:r>
          </w:p>
        </w:tc>
        <w:tc>
          <w:tcPr>
            <w:tcW w:w="3782" w:type="pct"/>
            <w:gridSpan w:val="2"/>
          </w:tcPr>
          <w:p w14:paraId="368DDE59"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Eastern Cooperative Oncology Group-Performance Status</w:t>
            </w:r>
          </w:p>
        </w:tc>
      </w:tr>
      <w:tr w:rsidR="00946A46" w:rsidRPr="00865C47" w14:paraId="3BF9C7B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07515214" w14:textId="77777777" w:rsidR="00946A46" w:rsidRPr="00865C47" w:rsidRDefault="00946A46" w:rsidP="00946A46">
            <w:r w:rsidRPr="00865C47">
              <w:t>EU</w:t>
            </w:r>
          </w:p>
        </w:tc>
        <w:tc>
          <w:tcPr>
            <w:tcW w:w="3782" w:type="pct"/>
            <w:gridSpan w:val="2"/>
          </w:tcPr>
          <w:p w14:paraId="55C6856F"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European Union</w:t>
            </w:r>
          </w:p>
        </w:tc>
      </w:tr>
      <w:tr w:rsidR="00946A46" w:rsidRPr="00865C47" w14:paraId="4B322E9E"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86EBF5E" w14:textId="77777777" w:rsidR="00946A46" w:rsidRPr="00865C47" w:rsidRDefault="00946A46" w:rsidP="00946A46">
            <w:r w:rsidRPr="00865C47">
              <w:t>FDA</w:t>
            </w:r>
          </w:p>
        </w:tc>
        <w:tc>
          <w:tcPr>
            <w:tcW w:w="3782" w:type="pct"/>
            <w:gridSpan w:val="2"/>
          </w:tcPr>
          <w:p w14:paraId="4BB072D5"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rsidDel="00946A46">
              <w:t xml:space="preserve">United States </w:t>
            </w:r>
            <w:r w:rsidRPr="00865C47">
              <w:t>Food and Drug Administration</w:t>
            </w:r>
            <w:r>
              <w:t xml:space="preserve"> (United States of America)</w:t>
            </w:r>
          </w:p>
        </w:tc>
      </w:tr>
      <w:tr w:rsidR="00946A46" w:rsidRPr="00865C47" w14:paraId="73D1661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5F334A0C" w14:textId="77777777" w:rsidR="00946A46" w:rsidRPr="00865C47" w:rsidRDefault="00946A46" w:rsidP="00946A46">
            <w:pPr>
              <w:rPr>
                <w:szCs w:val="22"/>
              </w:rPr>
            </w:pPr>
            <w:r w:rsidRPr="00865C47">
              <w:rPr>
                <w:szCs w:val="22"/>
              </w:rPr>
              <w:t>FGF</w:t>
            </w:r>
          </w:p>
        </w:tc>
        <w:tc>
          <w:tcPr>
            <w:tcW w:w="3782" w:type="pct"/>
            <w:gridSpan w:val="2"/>
          </w:tcPr>
          <w:p w14:paraId="4DACA8B7" w14:textId="2AF4AC51" w:rsidR="00946A46" w:rsidRPr="00865C47" w:rsidRDefault="004C535F">
            <w:pPr>
              <w:cnfStyle w:val="000000000000" w:firstRow="0" w:lastRow="0" w:firstColumn="0" w:lastColumn="0" w:oddVBand="0" w:evenVBand="0" w:oddHBand="0" w:evenHBand="0" w:firstRowFirstColumn="0" w:firstRowLastColumn="0" w:lastRowFirstColumn="0" w:lastRowLastColumn="0"/>
              <w:rPr>
                <w:szCs w:val="22"/>
              </w:rPr>
            </w:pPr>
            <w:r>
              <w:rPr>
                <w:szCs w:val="22"/>
              </w:rPr>
              <w:t>F</w:t>
            </w:r>
            <w:r w:rsidR="00946A46" w:rsidRPr="00865C47">
              <w:rPr>
                <w:szCs w:val="22"/>
              </w:rPr>
              <w:t>ibroblast growth factor</w:t>
            </w:r>
          </w:p>
        </w:tc>
      </w:tr>
      <w:tr w:rsidR="00946A46" w:rsidRPr="00865C47" w14:paraId="198C035A"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4345A877" w14:textId="77777777" w:rsidR="00946A46" w:rsidRPr="00865C47" w:rsidRDefault="00946A46" w:rsidP="00946A46">
            <w:pPr>
              <w:rPr>
                <w:szCs w:val="22"/>
              </w:rPr>
            </w:pPr>
            <w:r w:rsidRPr="00865C47">
              <w:t>FGFR</w:t>
            </w:r>
          </w:p>
        </w:tc>
        <w:tc>
          <w:tcPr>
            <w:tcW w:w="3782" w:type="pct"/>
            <w:gridSpan w:val="2"/>
          </w:tcPr>
          <w:p w14:paraId="625CB4AC"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Fibroblast growth factor receptor</w:t>
            </w:r>
          </w:p>
        </w:tc>
      </w:tr>
      <w:tr w:rsidR="00946A46" w:rsidRPr="00865C47" w14:paraId="02D31697"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B695782" w14:textId="77777777" w:rsidR="00946A46" w:rsidRPr="00865C47" w:rsidRDefault="00946A46" w:rsidP="00946A46">
            <w:r w:rsidRPr="00865C47">
              <w:t>GVP</w:t>
            </w:r>
          </w:p>
        </w:tc>
        <w:tc>
          <w:tcPr>
            <w:tcW w:w="3782" w:type="pct"/>
            <w:gridSpan w:val="2"/>
          </w:tcPr>
          <w:p w14:paraId="034ED878"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Good Pharmacovigilance Practices</w:t>
            </w:r>
          </w:p>
        </w:tc>
      </w:tr>
      <w:tr w:rsidR="00946A46" w:rsidRPr="00865C47" w14:paraId="14866CC9"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7164BA9" w14:textId="77777777" w:rsidR="00946A46" w:rsidRPr="00865C47" w:rsidRDefault="00946A46" w:rsidP="00946A46">
            <w:r w:rsidRPr="00865C47">
              <w:t>IRC</w:t>
            </w:r>
          </w:p>
        </w:tc>
        <w:tc>
          <w:tcPr>
            <w:tcW w:w="3782" w:type="pct"/>
            <w:gridSpan w:val="2"/>
          </w:tcPr>
          <w:p w14:paraId="2D619B0F"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Independent Review Committee</w:t>
            </w:r>
          </w:p>
        </w:tc>
      </w:tr>
      <w:tr w:rsidR="00946A46" w:rsidRPr="00865C47" w14:paraId="7127E135"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040828CD" w14:textId="77777777" w:rsidR="00946A46" w:rsidRPr="00865C47" w:rsidRDefault="00946A46" w:rsidP="00946A46">
            <w:r w:rsidRPr="00865C47">
              <w:t>ORR</w:t>
            </w:r>
          </w:p>
        </w:tc>
        <w:tc>
          <w:tcPr>
            <w:tcW w:w="3782" w:type="pct"/>
            <w:gridSpan w:val="2"/>
          </w:tcPr>
          <w:p w14:paraId="4811E26A"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Overall response rate</w:t>
            </w:r>
          </w:p>
        </w:tc>
      </w:tr>
      <w:tr w:rsidR="00946A46" w:rsidRPr="00865C47" w14:paraId="6101409C"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1F7B341" w14:textId="77777777" w:rsidR="00946A46" w:rsidRPr="00865C47" w:rsidRDefault="00946A46" w:rsidP="00946A46">
            <w:pPr>
              <w:rPr>
                <w:b/>
                <w:bCs/>
              </w:rPr>
            </w:pPr>
            <w:r w:rsidRPr="00865C47">
              <w:t>PD</w:t>
            </w:r>
          </w:p>
        </w:tc>
        <w:tc>
          <w:tcPr>
            <w:tcW w:w="3782" w:type="pct"/>
            <w:gridSpan w:val="2"/>
          </w:tcPr>
          <w:p w14:paraId="36A487FA"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Pharmacodynamic(s)</w:t>
            </w:r>
          </w:p>
        </w:tc>
      </w:tr>
      <w:tr w:rsidR="00946A46" w:rsidRPr="00865C47" w14:paraId="1C7DF4B4"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081882C2" w14:textId="77777777" w:rsidR="00946A46" w:rsidRPr="00865C47" w:rsidRDefault="00946A46" w:rsidP="00946A46">
            <w:pPr>
              <w:rPr>
                <w:szCs w:val="22"/>
              </w:rPr>
            </w:pPr>
            <w:r w:rsidRPr="00865C47">
              <w:rPr>
                <w:szCs w:val="22"/>
              </w:rPr>
              <w:t>PI</w:t>
            </w:r>
          </w:p>
        </w:tc>
        <w:tc>
          <w:tcPr>
            <w:tcW w:w="3782" w:type="pct"/>
            <w:gridSpan w:val="2"/>
          </w:tcPr>
          <w:p w14:paraId="2F5CF70A"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Product Information</w:t>
            </w:r>
          </w:p>
        </w:tc>
      </w:tr>
      <w:tr w:rsidR="00946A46" w:rsidRPr="00865C47" w14:paraId="79F853FD"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7216E77" w14:textId="77777777" w:rsidR="00946A46" w:rsidRPr="00865C47" w:rsidRDefault="00946A46" w:rsidP="00946A46">
            <w:pPr>
              <w:rPr>
                <w:szCs w:val="22"/>
              </w:rPr>
            </w:pPr>
            <w:r w:rsidRPr="00865C47">
              <w:t>PK</w:t>
            </w:r>
          </w:p>
        </w:tc>
        <w:tc>
          <w:tcPr>
            <w:tcW w:w="3782" w:type="pct"/>
            <w:gridSpan w:val="2"/>
          </w:tcPr>
          <w:p w14:paraId="4897933D"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Pharmacokinetic(s)</w:t>
            </w:r>
          </w:p>
        </w:tc>
      </w:tr>
      <w:tr w:rsidR="00946A46" w:rsidRPr="00865C47" w14:paraId="1946F672"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46BB0007" w14:textId="77777777" w:rsidR="00946A46" w:rsidRPr="00865C47" w:rsidRDefault="00946A46" w:rsidP="00946A46">
            <w:r w:rsidRPr="00865C47">
              <w:rPr>
                <w:szCs w:val="22"/>
              </w:rPr>
              <w:t>PopPK</w:t>
            </w:r>
          </w:p>
        </w:tc>
        <w:tc>
          <w:tcPr>
            <w:tcW w:w="3782" w:type="pct"/>
            <w:gridSpan w:val="2"/>
          </w:tcPr>
          <w:p w14:paraId="0EFCF4C6"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Population pharmacokinetic(s)</w:t>
            </w:r>
          </w:p>
        </w:tc>
      </w:tr>
      <w:tr w:rsidR="00946A46" w:rsidRPr="00865C47" w14:paraId="435F598E"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526934D3" w14:textId="77777777" w:rsidR="00946A46" w:rsidRPr="00865C47" w:rsidRDefault="00946A46" w:rsidP="00946A46">
            <w:pPr>
              <w:rPr>
                <w:szCs w:val="22"/>
              </w:rPr>
            </w:pPr>
            <w:r w:rsidRPr="00865C47">
              <w:rPr>
                <w:szCs w:val="22"/>
              </w:rPr>
              <w:t>PSUR</w:t>
            </w:r>
          </w:p>
        </w:tc>
        <w:tc>
          <w:tcPr>
            <w:tcW w:w="3782" w:type="pct"/>
            <w:gridSpan w:val="2"/>
          </w:tcPr>
          <w:p w14:paraId="291C7272"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Periodic safety update report</w:t>
            </w:r>
          </w:p>
        </w:tc>
      </w:tr>
      <w:tr w:rsidR="00946A46" w:rsidRPr="00865C47" w14:paraId="4E8902AE"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3BFB63C5" w14:textId="77777777" w:rsidR="00946A46" w:rsidRPr="00865C47" w:rsidRDefault="00946A46" w:rsidP="00946A46">
            <w:pPr>
              <w:rPr>
                <w:szCs w:val="22"/>
              </w:rPr>
            </w:pPr>
            <w:r w:rsidRPr="00865C47">
              <w:t>RECIST</w:t>
            </w:r>
          </w:p>
        </w:tc>
        <w:tc>
          <w:tcPr>
            <w:tcW w:w="3782" w:type="pct"/>
            <w:gridSpan w:val="2"/>
          </w:tcPr>
          <w:p w14:paraId="362F4579"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Response Evaluation Criteria in Solid Tumo</w:t>
            </w:r>
            <w:r>
              <w:t>u</w:t>
            </w:r>
            <w:r w:rsidRPr="00865C47">
              <w:t>rs</w:t>
            </w:r>
          </w:p>
        </w:tc>
      </w:tr>
      <w:tr w:rsidR="00946A46" w:rsidRPr="00865C47" w14:paraId="4FBF905C"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938B13D" w14:textId="77777777" w:rsidR="00946A46" w:rsidRPr="00865C47" w:rsidRDefault="00946A46" w:rsidP="00946A46">
            <w:pPr>
              <w:rPr>
                <w:szCs w:val="22"/>
              </w:rPr>
            </w:pPr>
            <w:r w:rsidRPr="00865C47">
              <w:rPr>
                <w:szCs w:val="22"/>
              </w:rPr>
              <w:t>RMP</w:t>
            </w:r>
          </w:p>
        </w:tc>
        <w:tc>
          <w:tcPr>
            <w:tcW w:w="3782" w:type="pct"/>
            <w:gridSpan w:val="2"/>
          </w:tcPr>
          <w:p w14:paraId="0EF45DCF"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Risk management plan</w:t>
            </w:r>
          </w:p>
        </w:tc>
      </w:tr>
      <w:tr w:rsidR="00946A46" w:rsidRPr="00865C47" w14:paraId="063E53BA"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0312022D" w14:textId="77777777" w:rsidR="00946A46" w:rsidRPr="00865C47" w:rsidRDefault="00946A46" w:rsidP="00946A46">
            <w:pPr>
              <w:rPr>
                <w:szCs w:val="22"/>
              </w:rPr>
            </w:pPr>
            <w:r w:rsidRPr="00865C47">
              <w:rPr>
                <w:szCs w:val="22"/>
              </w:rPr>
              <w:t>TEAE</w:t>
            </w:r>
          </w:p>
        </w:tc>
        <w:tc>
          <w:tcPr>
            <w:tcW w:w="3782" w:type="pct"/>
            <w:gridSpan w:val="2"/>
          </w:tcPr>
          <w:p w14:paraId="64EA2946"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Treatment-emergent adverse event</w:t>
            </w:r>
          </w:p>
        </w:tc>
      </w:tr>
      <w:tr w:rsidR="00946A46" w:rsidRPr="00865C47" w14:paraId="44185CD9"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01EC344" w14:textId="77777777" w:rsidR="00946A46" w:rsidRPr="00865C47" w:rsidRDefault="00946A46" w:rsidP="00946A46">
            <w:pPr>
              <w:rPr>
                <w:szCs w:val="22"/>
              </w:rPr>
            </w:pPr>
            <w:r w:rsidRPr="00865C47">
              <w:rPr>
                <w:szCs w:val="22"/>
              </w:rPr>
              <w:lastRenderedPageBreak/>
              <w:t>TGA</w:t>
            </w:r>
          </w:p>
        </w:tc>
        <w:tc>
          <w:tcPr>
            <w:tcW w:w="3782" w:type="pct"/>
            <w:gridSpan w:val="2"/>
          </w:tcPr>
          <w:p w14:paraId="5735C01F"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rPr>
                <w:szCs w:val="22"/>
              </w:rPr>
              <w:t>Therapeutic Goods Administration</w:t>
            </w:r>
          </w:p>
        </w:tc>
      </w:tr>
      <w:tr w:rsidR="00946A46" w:rsidRPr="00865C47" w14:paraId="73B927C1"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75AEC6C6" w14:textId="77777777" w:rsidR="00946A46" w:rsidRPr="00865C47" w:rsidRDefault="00946A46" w:rsidP="00946A46">
            <w:pPr>
              <w:rPr>
                <w:szCs w:val="22"/>
              </w:rPr>
            </w:pPr>
            <w:r w:rsidRPr="00865C47">
              <w:t>T</w:t>
            </w:r>
            <w:r w:rsidRPr="00865C47">
              <w:rPr>
                <w:vertAlign w:val="subscript"/>
              </w:rPr>
              <w:t>max</w:t>
            </w:r>
          </w:p>
        </w:tc>
        <w:tc>
          <w:tcPr>
            <w:tcW w:w="3782" w:type="pct"/>
            <w:gridSpan w:val="2"/>
          </w:tcPr>
          <w:p w14:paraId="4D0C80E1"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rPr>
                <w:szCs w:val="22"/>
              </w:rPr>
            </w:pPr>
            <w:r w:rsidRPr="00865C47">
              <w:t>Time of the maximum observed plasma concentration</w:t>
            </w:r>
          </w:p>
        </w:tc>
      </w:tr>
      <w:tr w:rsidR="00946A46" w:rsidRPr="00865C47" w14:paraId="6BC4AF40" w14:textId="77777777" w:rsidTr="002435C6">
        <w:trPr>
          <w:gridAfter w:val="1"/>
          <w:wAfter w:w="24" w:type="pct"/>
          <w:trHeight w:val="386"/>
        </w:trPr>
        <w:tc>
          <w:tcPr>
            <w:cnfStyle w:val="001000000000" w:firstRow="0" w:lastRow="0" w:firstColumn="1" w:lastColumn="0" w:oddVBand="0" w:evenVBand="0" w:oddHBand="0" w:evenHBand="0" w:firstRowFirstColumn="0" w:firstRowLastColumn="0" w:lastRowFirstColumn="0" w:lastRowLastColumn="0"/>
            <w:tcW w:w="1194" w:type="pct"/>
          </w:tcPr>
          <w:p w14:paraId="21370629" w14:textId="77777777" w:rsidR="00946A46" w:rsidRPr="00865C47" w:rsidRDefault="00946A46" w:rsidP="00946A46">
            <w:proofErr w:type="spellStart"/>
            <w:r w:rsidRPr="00865C47">
              <w:t>μCi</w:t>
            </w:r>
            <w:proofErr w:type="spellEnd"/>
          </w:p>
        </w:tc>
        <w:tc>
          <w:tcPr>
            <w:tcW w:w="3782" w:type="pct"/>
            <w:gridSpan w:val="2"/>
          </w:tcPr>
          <w:p w14:paraId="56F40DDD" w14:textId="77777777" w:rsidR="00946A46" w:rsidRPr="00865C47" w:rsidRDefault="00946A46" w:rsidP="00946A46">
            <w:pPr>
              <w:cnfStyle w:val="000000000000" w:firstRow="0" w:lastRow="0" w:firstColumn="0" w:lastColumn="0" w:oddVBand="0" w:evenVBand="0" w:oddHBand="0" w:evenHBand="0" w:firstRowFirstColumn="0" w:firstRowLastColumn="0" w:lastRowFirstColumn="0" w:lastRowLastColumn="0"/>
            </w:pPr>
            <w:r w:rsidRPr="00865C47">
              <w:t>Microcurie</w:t>
            </w:r>
            <w:r>
              <w:t xml:space="preserve"> (units)</w:t>
            </w:r>
          </w:p>
        </w:tc>
      </w:tr>
    </w:tbl>
    <w:p w14:paraId="7378F926" w14:textId="77777777" w:rsidR="00324B33" w:rsidRPr="00865C47" w:rsidRDefault="00324B33" w:rsidP="00324B33"/>
    <w:p w14:paraId="02FB1F38" w14:textId="77777777" w:rsidR="00324B33" w:rsidRPr="00865C47" w:rsidRDefault="00324B33" w:rsidP="00324B33">
      <w:pPr>
        <w:spacing w:after="200" w:line="0" w:lineRule="auto"/>
        <w:rPr>
          <w:b/>
          <w:i/>
          <w:sz w:val="24"/>
          <w:szCs w:val="24"/>
        </w:rPr>
      </w:pPr>
      <w:r w:rsidRPr="00865C47">
        <w:rPr>
          <w:b/>
          <w:i/>
          <w:sz w:val="24"/>
          <w:szCs w:val="24"/>
        </w:rPr>
        <w:br w:type="page"/>
      </w:r>
    </w:p>
    <w:p w14:paraId="44C2A39C" w14:textId="77777777" w:rsidR="00324B33" w:rsidRPr="00865C47" w:rsidRDefault="00324B33" w:rsidP="00324B33">
      <w:pPr>
        <w:pStyle w:val="Heading2"/>
      </w:pPr>
      <w:bookmarkStart w:id="5" w:name="_Toc103679288"/>
      <w:bookmarkStart w:id="6" w:name="_Toc139284926"/>
      <w:r w:rsidRPr="00865C47">
        <w:lastRenderedPageBreak/>
        <w:t>Product submission</w:t>
      </w:r>
      <w:bookmarkEnd w:id="5"/>
      <w:bookmarkEnd w:id="6"/>
    </w:p>
    <w:p w14:paraId="21D559DF" w14:textId="77777777" w:rsidR="00324B33" w:rsidRPr="00865C47" w:rsidRDefault="00324B33" w:rsidP="00324B33">
      <w:pPr>
        <w:pStyle w:val="Heading3"/>
        <w:rPr>
          <w:lang w:eastAsia="en-AU"/>
        </w:rPr>
      </w:pPr>
      <w:bookmarkStart w:id="7" w:name="_Toc247691502"/>
      <w:bookmarkStart w:id="8" w:name="_Toc314842483"/>
      <w:bookmarkStart w:id="9" w:name="_Toc103679289"/>
      <w:bookmarkStart w:id="10" w:name="_Toc139284927"/>
      <w:r w:rsidRPr="00865C47">
        <w:rPr>
          <w:lang w:eastAsia="en-AU"/>
        </w:rPr>
        <w:t>Submission details</w:t>
      </w:r>
      <w:bookmarkEnd w:id="7"/>
      <w:bookmarkEnd w:id="8"/>
      <w:bookmarkEnd w:id="9"/>
      <w:bookmarkEnd w:id="10"/>
    </w:p>
    <w:tbl>
      <w:tblPr>
        <w:tblW w:w="5000" w:type="pct"/>
        <w:tblLook w:val="01E0" w:firstRow="1" w:lastRow="1" w:firstColumn="1" w:lastColumn="1" w:noHBand="0" w:noVBand="0"/>
      </w:tblPr>
      <w:tblGrid>
        <w:gridCol w:w="2861"/>
        <w:gridCol w:w="6209"/>
      </w:tblGrid>
      <w:tr w:rsidR="00324B33" w:rsidRPr="00865C47" w14:paraId="77D11C95" w14:textId="77777777" w:rsidTr="00F865A7">
        <w:tc>
          <w:tcPr>
            <w:tcW w:w="1577" w:type="pct"/>
          </w:tcPr>
          <w:p w14:paraId="10E57D62" w14:textId="77777777" w:rsidR="00324B33" w:rsidRPr="00865C47" w:rsidRDefault="00324B33" w:rsidP="007452E8">
            <w:pPr>
              <w:rPr>
                <w:i/>
                <w:szCs w:val="22"/>
              </w:rPr>
            </w:pPr>
            <w:r w:rsidRPr="00865C47">
              <w:rPr>
                <w:i/>
                <w:szCs w:val="22"/>
              </w:rPr>
              <w:t>Type of submission:</w:t>
            </w:r>
          </w:p>
        </w:tc>
        <w:tc>
          <w:tcPr>
            <w:tcW w:w="3423" w:type="pct"/>
          </w:tcPr>
          <w:p w14:paraId="4F07C303" w14:textId="458B6119" w:rsidR="00324B33" w:rsidRPr="00865C47" w:rsidRDefault="008A58D2" w:rsidP="007452E8">
            <w:pPr>
              <w:rPr>
                <w:szCs w:val="22"/>
              </w:rPr>
            </w:pPr>
            <w:r w:rsidRPr="00865C47">
              <w:rPr>
                <w:szCs w:val="22"/>
              </w:rPr>
              <w:t>New chemical entity</w:t>
            </w:r>
          </w:p>
        </w:tc>
      </w:tr>
      <w:tr w:rsidR="00324B33" w:rsidRPr="00865C47" w14:paraId="13482B61" w14:textId="77777777" w:rsidTr="00F865A7">
        <w:tc>
          <w:tcPr>
            <w:tcW w:w="1577" w:type="pct"/>
          </w:tcPr>
          <w:p w14:paraId="2C427FCF" w14:textId="114D874C" w:rsidR="00324B33" w:rsidRPr="00865C47" w:rsidRDefault="00324B33" w:rsidP="007452E8">
            <w:pPr>
              <w:rPr>
                <w:i/>
                <w:szCs w:val="22"/>
              </w:rPr>
            </w:pPr>
            <w:r w:rsidRPr="00865C47">
              <w:rPr>
                <w:i/>
                <w:szCs w:val="22"/>
              </w:rPr>
              <w:t>Product name:</w:t>
            </w:r>
          </w:p>
        </w:tc>
        <w:tc>
          <w:tcPr>
            <w:tcW w:w="3423" w:type="pct"/>
          </w:tcPr>
          <w:p w14:paraId="0E2DEF76" w14:textId="6A0A0BAE" w:rsidR="00324B33" w:rsidRPr="00865C47" w:rsidRDefault="008A58D2" w:rsidP="007452E8">
            <w:pPr>
              <w:rPr>
                <w:szCs w:val="22"/>
              </w:rPr>
            </w:pPr>
            <w:r w:rsidRPr="00865C47">
              <w:rPr>
                <w:szCs w:val="22"/>
              </w:rPr>
              <w:t>Pemazyre</w:t>
            </w:r>
          </w:p>
        </w:tc>
      </w:tr>
      <w:tr w:rsidR="00324B33" w:rsidRPr="00865C47" w14:paraId="01255B5B" w14:textId="77777777" w:rsidTr="00F865A7">
        <w:tc>
          <w:tcPr>
            <w:tcW w:w="1577" w:type="pct"/>
          </w:tcPr>
          <w:p w14:paraId="52B4F3D7" w14:textId="3B54AC6D" w:rsidR="00324B33" w:rsidRPr="00865C47" w:rsidRDefault="00324B33" w:rsidP="007452E8">
            <w:pPr>
              <w:rPr>
                <w:i/>
                <w:szCs w:val="22"/>
              </w:rPr>
            </w:pPr>
            <w:r w:rsidRPr="00865C47">
              <w:rPr>
                <w:i/>
                <w:szCs w:val="22"/>
              </w:rPr>
              <w:t>Active ingredient:</w:t>
            </w:r>
          </w:p>
        </w:tc>
        <w:tc>
          <w:tcPr>
            <w:tcW w:w="3423" w:type="pct"/>
          </w:tcPr>
          <w:p w14:paraId="02FB6383" w14:textId="6911FC70" w:rsidR="00324B33" w:rsidRPr="00865C47" w:rsidRDefault="008A58D2" w:rsidP="007452E8">
            <w:pPr>
              <w:rPr>
                <w:szCs w:val="22"/>
              </w:rPr>
            </w:pPr>
            <w:r w:rsidRPr="00865C47">
              <w:rPr>
                <w:szCs w:val="22"/>
              </w:rPr>
              <w:t>Pemigatinib</w:t>
            </w:r>
          </w:p>
        </w:tc>
      </w:tr>
      <w:tr w:rsidR="00324B33" w:rsidRPr="00865C47" w14:paraId="219A281B" w14:textId="77777777" w:rsidTr="00F865A7">
        <w:tc>
          <w:tcPr>
            <w:tcW w:w="1577" w:type="pct"/>
          </w:tcPr>
          <w:p w14:paraId="112E5F78" w14:textId="77777777" w:rsidR="00324B33" w:rsidRPr="00865C47" w:rsidRDefault="00324B33" w:rsidP="007452E8">
            <w:pPr>
              <w:rPr>
                <w:i/>
                <w:szCs w:val="22"/>
              </w:rPr>
            </w:pPr>
            <w:r w:rsidRPr="00865C47">
              <w:rPr>
                <w:i/>
                <w:szCs w:val="22"/>
              </w:rPr>
              <w:t>Decision:</w:t>
            </w:r>
          </w:p>
        </w:tc>
        <w:tc>
          <w:tcPr>
            <w:tcW w:w="3423" w:type="pct"/>
          </w:tcPr>
          <w:p w14:paraId="3B114BEA" w14:textId="1D42ED76" w:rsidR="00324B33" w:rsidRPr="00865C47" w:rsidRDefault="008A58D2" w:rsidP="007452E8">
            <w:pPr>
              <w:rPr>
                <w:szCs w:val="22"/>
              </w:rPr>
            </w:pPr>
            <w:r w:rsidRPr="00865C47">
              <w:rPr>
                <w:szCs w:val="22"/>
              </w:rPr>
              <w:t>Approved for provisional registration</w:t>
            </w:r>
          </w:p>
        </w:tc>
      </w:tr>
      <w:tr w:rsidR="00AE1947" w:rsidRPr="00865C47" w14:paraId="32B72632" w14:textId="77777777" w:rsidTr="00F865A7">
        <w:tc>
          <w:tcPr>
            <w:tcW w:w="1577" w:type="pct"/>
          </w:tcPr>
          <w:p w14:paraId="332A5CD5" w14:textId="2E7C61E6" w:rsidR="00AE1947" w:rsidRPr="00865C47" w:rsidRDefault="00AE1947" w:rsidP="008A58D2">
            <w:pPr>
              <w:rPr>
                <w:i/>
                <w:szCs w:val="22"/>
              </w:rPr>
            </w:pPr>
            <w:r w:rsidRPr="00865C47">
              <w:rPr>
                <w:i/>
                <w:szCs w:val="22"/>
              </w:rPr>
              <w:t>Date of decision:</w:t>
            </w:r>
          </w:p>
        </w:tc>
        <w:tc>
          <w:tcPr>
            <w:tcW w:w="3423" w:type="pct"/>
          </w:tcPr>
          <w:p w14:paraId="7B381CD6" w14:textId="4ED5F449" w:rsidR="00AE1947" w:rsidRPr="00865C47" w:rsidRDefault="008A58D2" w:rsidP="00946A46">
            <w:pPr>
              <w:rPr>
                <w:szCs w:val="22"/>
              </w:rPr>
            </w:pPr>
            <w:r w:rsidRPr="00865C47">
              <w:rPr>
                <w:szCs w:val="22"/>
              </w:rPr>
              <w:t>12 September 2022</w:t>
            </w:r>
          </w:p>
        </w:tc>
      </w:tr>
      <w:tr w:rsidR="00324B33" w:rsidRPr="00865C47" w14:paraId="60A25F5A" w14:textId="77777777" w:rsidTr="00F865A7">
        <w:tc>
          <w:tcPr>
            <w:tcW w:w="1577" w:type="pct"/>
          </w:tcPr>
          <w:p w14:paraId="5C5E4CBA" w14:textId="77777777" w:rsidR="00324B33" w:rsidRPr="00865C47" w:rsidRDefault="00324B33" w:rsidP="007452E8">
            <w:pPr>
              <w:rPr>
                <w:i/>
                <w:szCs w:val="22"/>
              </w:rPr>
            </w:pPr>
            <w:r w:rsidRPr="00865C47">
              <w:rPr>
                <w:i/>
                <w:szCs w:val="22"/>
              </w:rPr>
              <w:t>Date of entry onto ARTG:</w:t>
            </w:r>
          </w:p>
        </w:tc>
        <w:tc>
          <w:tcPr>
            <w:tcW w:w="3423" w:type="pct"/>
          </w:tcPr>
          <w:p w14:paraId="28B270E9" w14:textId="306F783A" w:rsidR="00324B33" w:rsidRPr="00865C47" w:rsidRDefault="008A58D2" w:rsidP="007452E8">
            <w:pPr>
              <w:rPr>
                <w:szCs w:val="22"/>
              </w:rPr>
            </w:pPr>
            <w:r w:rsidRPr="00865C47">
              <w:rPr>
                <w:szCs w:val="22"/>
              </w:rPr>
              <w:t>14 September 2022</w:t>
            </w:r>
          </w:p>
        </w:tc>
      </w:tr>
      <w:tr w:rsidR="00324B33" w:rsidRPr="00865C47" w14:paraId="547E08D7" w14:textId="77777777" w:rsidTr="00F865A7">
        <w:tc>
          <w:tcPr>
            <w:tcW w:w="1577" w:type="pct"/>
          </w:tcPr>
          <w:p w14:paraId="5030EF30" w14:textId="34E3E7F9" w:rsidR="00324B33" w:rsidRPr="00865C47" w:rsidRDefault="00324B33" w:rsidP="007452E8">
            <w:pPr>
              <w:rPr>
                <w:i/>
                <w:szCs w:val="22"/>
              </w:rPr>
            </w:pPr>
            <w:r w:rsidRPr="00865C47">
              <w:rPr>
                <w:i/>
                <w:szCs w:val="22"/>
              </w:rPr>
              <w:t>ARTG numbers:</w:t>
            </w:r>
          </w:p>
        </w:tc>
        <w:tc>
          <w:tcPr>
            <w:tcW w:w="3423" w:type="pct"/>
          </w:tcPr>
          <w:p w14:paraId="0054E912" w14:textId="5609D00D" w:rsidR="00324B33" w:rsidRPr="00865C47" w:rsidRDefault="008A58D2" w:rsidP="007452E8">
            <w:pPr>
              <w:rPr>
                <w:szCs w:val="22"/>
              </w:rPr>
            </w:pPr>
            <w:r w:rsidRPr="00865C47">
              <w:rPr>
                <w:szCs w:val="22"/>
              </w:rPr>
              <w:t>373031, 375309 and 375314</w:t>
            </w:r>
          </w:p>
        </w:tc>
      </w:tr>
      <w:tr w:rsidR="00324B33" w:rsidRPr="00865C47" w14:paraId="7618393F" w14:textId="77777777" w:rsidTr="00F865A7">
        <w:tc>
          <w:tcPr>
            <w:tcW w:w="1577" w:type="pct"/>
          </w:tcPr>
          <w:p w14:paraId="6C24CEB6" w14:textId="439CDF5C" w:rsidR="00E47E0C" w:rsidRPr="00865C47" w:rsidRDefault="00324B33" w:rsidP="007452E8">
            <w:pPr>
              <w:rPr>
                <w:rStyle w:val="Hyperlink"/>
                <w:i/>
                <w:szCs w:val="22"/>
              </w:rPr>
            </w:pPr>
            <w:r w:rsidRPr="00865C47">
              <w:rPr>
                <w:rFonts w:ascii="Wingdings 3" w:hAnsi="Wingdings 3"/>
                <w:szCs w:val="22"/>
                <w:lang w:eastAsia="en-AU"/>
              </w:rPr>
              <w:t></w:t>
            </w:r>
            <w:hyperlink r:id="rId18" w:history="1">
              <w:r w:rsidRPr="00865C47">
                <w:rPr>
                  <w:rStyle w:val="Hyperlink"/>
                  <w:i/>
                  <w:szCs w:val="22"/>
                </w:rPr>
                <w:t>Black Triangle Scheme</w:t>
              </w:r>
            </w:hyperlink>
          </w:p>
          <w:p w14:paraId="02260DE2" w14:textId="1FC334AE" w:rsidR="00324B33" w:rsidRPr="00865C47" w:rsidRDefault="00E47E0C" w:rsidP="007452E8">
            <w:pPr>
              <w:rPr>
                <w:i/>
                <w:szCs w:val="22"/>
              </w:rPr>
            </w:pPr>
            <w:r w:rsidRPr="00865C47">
              <w:rPr>
                <w:i/>
                <w:szCs w:val="22"/>
              </w:rPr>
              <w:t xml:space="preserve">for </w:t>
            </w:r>
            <w:r w:rsidR="007B04DE" w:rsidRPr="00865C47">
              <w:rPr>
                <w:i/>
                <w:szCs w:val="22"/>
              </w:rPr>
              <w:t>the current</w:t>
            </w:r>
            <w:r w:rsidRPr="00865C47">
              <w:rPr>
                <w:i/>
                <w:szCs w:val="22"/>
              </w:rPr>
              <w:t xml:space="preserve"> submission</w:t>
            </w:r>
            <w:r w:rsidR="00324B33" w:rsidRPr="00865C47">
              <w:rPr>
                <w:i/>
                <w:szCs w:val="22"/>
              </w:rPr>
              <w:t>:</w:t>
            </w:r>
          </w:p>
        </w:tc>
        <w:tc>
          <w:tcPr>
            <w:tcW w:w="3423" w:type="pct"/>
          </w:tcPr>
          <w:p w14:paraId="1BDB4375" w14:textId="77777777" w:rsidR="008A58D2" w:rsidRPr="00865C47" w:rsidRDefault="00324B33" w:rsidP="007452E8">
            <w:pPr>
              <w:rPr>
                <w:szCs w:val="22"/>
              </w:rPr>
            </w:pPr>
            <w:r w:rsidRPr="00865C47">
              <w:rPr>
                <w:szCs w:val="22"/>
              </w:rPr>
              <w:t>Yes</w:t>
            </w:r>
            <w:r w:rsidR="008A58D2" w:rsidRPr="00865C47">
              <w:rPr>
                <w:szCs w:val="22"/>
              </w:rPr>
              <w:t>.</w:t>
            </w:r>
          </w:p>
          <w:p w14:paraId="6FF3C6A2" w14:textId="5F84A7FA" w:rsidR="00324B33" w:rsidRPr="00865C47" w:rsidRDefault="00324B33" w:rsidP="007452E8">
            <w:pPr>
              <w:rPr>
                <w:szCs w:val="22"/>
              </w:rPr>
            </w:pPr>
            <w:r w:rsidRPr="00865C47">
              <w:rPr>
                <w:szCs w:val="22"/>
              </w:rPr>
              <w:t>As a provisionally registered product, this medicine will remain in the Black Triangle Scheme for the duration of its provisional registration</w:t>
            </w:r>
          </w:p>
        </w:tc>
      </w:tr>
      <w:tr w:rsidR="00324B33" w:rsidRPr="00865C47" w14:paraId="179E09FE" w14:textId="77777777" w:rsidTr="00F865A7">
        <w:tc>
          <w:tcPr>
            <w:tcW w:w="1577" w:type="pct"/>
          </w:tcPr>
          <w:p w14:paraId="1A592498" w14:textId="77777777" w:rsidR="00324B33" w:rsidRPr="00865C47" w:rsidRDefault="00324B33" w:rsidP="007452E8">
            <w:pPr>
              <w:rPr>
                <w:i/>
                <w:szCs w:val="22"/>
              </w:rPr>
            </w:pPr>
            <w:r w:rsidRPr="00865C47">
              <w:rPr>
                <w:i/>
                <w:szCs w:val="22"/>
              </w:rPr>
              <w:t>Sponsor’s name and address:</w:t>
            </w:r>
          </w:p>
        </w:tc>
        <w:tc>
          <w:tcPr>
            <w:tcW w:w="3423" w:type="pct"/>
          </w:tcPr>
          <w:p w14:paraId="1CC9881B" w14:textId="77777777" w:rsidR="00324B33" w:rsidRPr="00865C47" w:rsidRDefault="008A58D2" w:rsidP="007452E8">
            <w:pPr>
              <w:rPr>
                <w:szCs w:val="22"/>
              </w:rPr>
            </w:pPr>
            <w:r w:rsidRPr="00865C47">
              <w:rPr>
                <w:szCs w:val="22"/>
              </w:rPr>
              <w:t>Specialised Therapeutics Alim Pty Ltd</w:t>
            </w:r>
          </w:p>
          <w:p w14:paraId="214CB650" w14:textId="77777777" w:rsidR="008A58D2" w:rsidRPr="00865C47" w:rsidRDefault="008A58D2" w:rsidP="008A58D2">
            <w:pPr>
              <w:rPr>
                <w:szCs w:val="22"/>
              </w:rPr>
            </w:pPr>
            <w:r w:rsidRPr="00865C47">
              <w:rPr>
                <w:szCs w:val="22"/>
              </w:rPr>
              <w:t>Level 2, 17 Cotham Road,</w:t>
            </w:r>
          </w:p>
          <w:p w14:paraId="68DD94B0" w14:textId="07BA47BD" w:rsidR="008A58D2" w:rsidRPr="00865C47" w:rsidRDefault="008A58D2" w:rsidP="008A58D2">
            <w:pPr>
              <w:rPr>
                <w:szCs w:val="22"/>
              </w:rPr>
            </w:pPr>
            <w:r w:rsidRPr="00865C47">
              <w:rPr>
                <w:szCs w:val="22"/>
              </w:rPr>
              <w:t>Kew VIC 3101</w:t>
            </w:r>
          </w:p>
        </w:tc>
      </w:tr>
      <w:tr w:rsidR="00324B33" w:rsidRPr="00865C47" w14:paraId="5322B989" w14:textId="77777777" w:rsidTr="00F865A7">
        <w:tc>
          <w:tcPr>
            <w:tcW w:w="1577" w:type="pct"/>
          </w:tcPr>
          <w:p w14:paraId="24F217E3" w14:textId="3DF24470" w:rsidR="00324B33" w:rsidRPr="00865C47" w:rsidRDefault="00324B33" w:rsidP="007452E8">
            <w:pPr>
              <w:rPr>
                <w:i/>
                <w:szCs w:val="22"/>
              </w:rPr>
            </w:pPr>
            <w:r w:rsidRPr="00865C47">
              <w:rPr>
                <w:i/>
                <w:szCs w:val="22"/>
              </w:rPr>
              <w:t>Dose form:</w:t>
            </w:r>
          </w:p>
        </w:tc>
        <w:tc>
          <w:tcPr>
            <w:tcW w:w="3423" w:type="pct"/>
          </w:tcPr>
          <w:p w14:paraId="768B254C" w14:textId="31D60F12" w:rsidR="00324B33" w:rsidRPr="00865C47" w:rsidRDefault="008A58D2" w:rsidP="007452E8">
            <w:pPr>
              <w:rPr>
                <w:szCs w:val="22"/>
              </w:rPr>
            </w:pPr>
            <w:r w:rsidRPr="00865C47">
              <w:t>Tablet</w:t>
            </w:r>
          </w:p>
        </w:tc>
      </w:tr>
      <w:tr w:rsidR="00324B33" w:rsidRPr="00865C47" w14:paraId="115243E6" w14:textId="77777777" w:rsidTr="00F865A7">
        <w:tc>
          <w:tcPr>
            <w:tcW w:w="1577" w:type="pct"/>
          </w:tcPr>
          <w:p w14:paraId="7634B062" w14:textId="1844F4BB" w:rsidR="00324B33" w:rsidRPr="00865C47" w:rsidRDefault="00324B33" w:rsidP="007452E8">
            <w:pPr>
              <w:rPr>
                <w:i/>
                <w:szCs w:val="22"/>
              </w:rPr>
            </w:pPr>
            <w:r w:rsidRPr="00865C47">
              <w:rPr>
                <w:i/>
                <w:szCs w:val="22"/>
              </w:rPr>
              <w:t>Strengths:</w:t>
            </w:r>
          </w:p>
        </w:tc>
        <w:tc>
          <w:tcPr>
            <w:tcW w:w="3423" w:type="pct"/>
          </w:tcPr>
          <w:p w14:paraId="5E5F83DB" w14:textId="00484CEC" w:rsidR="00324B33" w:rsidRPr="00865C47" w:rsidRDefault="008A58D2" w:rsidP="007452E8">
            <w:pPr>
              <w:rPr>
                <w:szCs w:val="22"/>
              </w:rPr>
            </w:pPr>
            <w:r w:rsidRPr="00865C47">
              <w:t xml:space="preserve">4.5 mg, 9 </w:t>
            </w:r>
            <w:proofErr w:type="gramStart"/>
            <w:r w:rsidRPr="00865C47">
              <w:t>mg</w:t>
            </w:r>
            <w:proofErr w:type="gramEnd"/>
            <w:r w:rsidRPr="00865C47">
              <w:t xml:space="preserve"> and 13.5 mg</w:t>
            </w:r>
          </w:p>
        </w:tc>
      </w:tr>
      <w:tr w:rsidR="00324B33" w:rsidRPr="00865C47" w14:paraId="34B07BA6" w14:textId="77777777" w:rsidTr="00F865A7">
        <w:tc>
          <w:tcPr>
            <w:tcW w:w="1577" w:type="pct"/>
          </w:tcPr>
          <w:p w14:paraId="1C039224" w14:textId="4E5248A4" w:rsidR="00324B33" w:rsidRPr="00865C47" w:rsidRDefault="00324B33" w:rsidP="007452E8">
            <w:pPr>
              <w:rPr>
                <w:i/>
                <w:szCs w:val="22"/>
              </w:rPr>
            </w:pPr>
            <w:r w:rsidRPr="00865C47">
              <w:rPr>
                <w:i/>
                <w:szCs w:val="22"/>
              </w:rPr>
              <w:t>Container:</w:t>
            </w:r>
          </w:p>
        </w:tc>
        <w:tc>
          <w:tcPr>
            <w:tcW w:w="3423" w:type="pct"/>
          </w:tcPr>
          <w:p w14:paraId="500A42C6" w14:textId="308B2CA6" w:rsidR="00324B33" w:rsidRPr="00865C47" w:rsidRDefault="008A58D2" w:rsidP="007452E8">
            <w:pPr>
              <w:rPr>
                <w:szCs w:val="22"/>
              </w:rPr>
            </w:pPr>
            <w:r w:rsidRPr="00865C47">
              <w:t>Blister pack</w:t>
            </w:r>
          </w:p>
        </w:tc>
      </w:tr>
      <w:tr w:rsidR="00324B33" w:rsidRPr="00865C47" w14:paraId="176B6773" w14:textId="77777777" w:rsidTr="00F865A7">
        <w:tc>
          <w:tcPr>
            <w:tcW w:w="1577" w:type="pct"/>
          </w:tcPr>
          <w:p w14:paraId="71846159" w14:textId="7D8BC5AF" w:rsidR="00324B33" w:rsidRPr="00865C47" w:rsidRDefault="00324B33" w:rsidP="007452E8">
            <w:pPr>
              <w:rPr>
                <w:i/>
                <w:szCs w:val="22"/>
              </w:rPr>
            </w:pPr>
            <w:r w:rsidRPr="00865C47">
              <w:rPr>
                <w:i/>
                <w:szCs w:val="22"/>
              </w:rPr>
              <w:t>Pack sizes:</w:t>
            </w:r>
          </w:p>
        </w:tc>
        <w:tc>
          <w:tcPr>
            <w:tcW w:w="3423" w:type="pct"/>
          </w:tcPr>
          <w:p w14:paraId="7E978F8F" w14:textId="650A7B58" w:rsidR="00324B33" w:rsidRPr="00865C47" w:rsidRDefault="008A58D2" w:rsidP="007452E8">
            <w:pPr>
              <w:rPr>
                <w:szCs w:val="22"/>
              </w:rPr>
            </w:pPr>
            <w:r w:rsidRPr="00865C47">
              <w:t>14 and 28</w:t>
            </w:r>
          </w:p>
        </w:tc>
      </w:tr>
      <w:tr w:rsidR="00324B33" w:rsidRPr="00865C47" w14:paraId="19A2544A" w14:textId="77777777" w:rsidTr="00F865A7">
        <w:tc>
          <w:tcPr>
            <w:tcW w:w="1577" w:type="pct"/>
          </w:tcPr>
          <w:p w14:paraId="0E6C5C0E" w14:textId="7DB3FC66" w:rsidR="00324B33" w:rsidRPr="00865C47" w:rsidRDefault="00324B33" w:rsidP="007452E8">
            <w:pPr>
              <w:rPr>
                <w:i/>
                <w:szCs w:val="22"/>
              </w:rPr>
            </w:pPr>
            <w:r w:rsidRPr="00865C47">
              <w:rPr>
                <w:i/>
                <w:szCs w:val="22"/>
              </w:rPr>
              <w:t>Approved therapeutic use</w:t>
            </w:r>
            <w:r w:rsidR="00E47E0C" w:rsidRPr="00865C47">
              <w:rPr>
                <w:i/>
                <w:szCs w:val="22"/>
              </w:rPr>
              <w:t xml:space="preserve"> </w:t>
            </w:r>
            <w:r w:rsidR="007B04DE" w:rsidRPr="00865C47">
              <w:rPr>
                <w:i/>
                <w:szCs w:val="22"/>
              </w:rPr>
              <w:t>for the current</w:t>
            </w:r>
            <w:r w:rsidR="00E47E0C" w:rsidRPr="00865C47">
              <w:rPr>
                <w:i/>
                <w:szCs w:val="22"/>
              </w:rPr>
              <w:t xml:space="preserve"> submission</w:t>
            </w:r>
            <w:r w:rsidRPr="00865C47">
              <w:rPr>
                <w:i/>
                <w:szCs w:val="22"/>
              </w:rPr>
              <w:t>:</w:t>
            </w:r>
          </w:p>
        </w:tc>
        <w:tc>
          <w:tcPr>
            <w:tcW w:w="3423" w:type="pct"/>
          </w:tcPr>
          <w:p w14:paraId="6E143E2E" w14:textId="7CB664D5" w:rsidR="00324B33" w:rsidRPr="00865C47" w:rsidRDefault="008A58D2" w:rsidP="008A58D2">
            <w:pPr>
              <w:rPr>
                <w:i/>
                <w:iCs/>
              </w:rPr>
            </w:pPr>
            <w:r w:rsidRPr="00865C47">
              <w:rPr>
                <w:i/>
                <w:iCs/>
              </w:rPr>
              <w:t>Pemigatinib has provisional approval in Australia for the treatment of adult patients with locally advanced or metastatic cholangiocarcinoma with a fibroblast growth factor receptor 2 (FGFR2) fusion or rearrangement that has progressed after at least one prior line of systemic therapy. The decision to approve this indication has been made on the basis of overall response rate (ORR) and duration of response (DOR). Continued approval of this indication depends on verification and description of benefit in confirmatory trial(s).</w:t>
            </w:r>
          </w:p>
        </w:tc>
      </w:tr>
      <w:tr w:rsidR="00324B33" w:rsidRPr="00865C47" w14:paraId="5AFDEED3" w14:textId="77777777" w:rsidTr="00F865A7">
        <w:tc>
          <w:tcPr>
            <w:tcW w:w="1577" w:type="pct"/>
          </w:tcPr>
          <w:p w14:paraId="03884BD1" w14:textId="0309453C" w:rsidR="00324B33" w:rsidRPr="00865C47" w:rsidRDefault="00324B33" w:rsidP="007452E8">
            <w:pPr>
              <w:rPr>
                <w:i/>
                <w:szCs w:val="22"/>
              </w:rPr>
            </w:pPr>
            <w:r w:rsidRPr="00865C47">
              <w:rPr>
                <w:i/>
                <w:szCs w:val="22"/>
              </w:rPr>
              <w:t>Route of administration:</w:t>
            </w:r>
          </w:p>
        </w:tc>
        <w:tc>
          <w:tcPr>
            <w:tcW w:w="3423" w:type="pct"/>
          </w:tcPr>
          <w:p w14:paraId="1ED1357E" w14:textId="5AFCED10" w:rsidR="00324B33" w:rsidRPr="00865C47" w:rsidRDefault="008A58D2" w:rsidP="007452E8">
            <w:pPr>
              <w:rPr>
                <w:szCs w:val="22"/>
              </w:rPr>
            </w:pPr>
            <w:r w:rsidRPr="00865C47">
              <w:t>Oral</w:t>
            </w:r>
          </w:p>
        </w:tc>
      </w:tr>
      <w:tr w:rsidR="008A58D2" w:rsidRPr="00865C47" w14:paraId="70D7E9FA" w14:textId="77777777" w:rsidTr="00F865A7">
        <w:tc>
          <w:tcPr>
            <w:tcW w:w="1577" w:type="pct"/>
          </w:tcPr>
          <w:p w14:paraId="5ABFFC80" w14:textId="77777777" w:rsidR="008A58D2" w:rsidRPr="00865C47" w:rsidRDefault="008A58D2" w:rsidP="008A58D2">
            <w:pPr>
              <w:rPr>
                <w:i/>
                <w:szCs w:val="22"/>
              </w:rPr>
            </w:pPr>
            <w:r w:rsidRPr="00865C47">
              <w:rPr>
                <w:i/>
                <w:szCs w:val="22"/>
              </w:rPr>
              <w:t>Dosage:</w:t>
            </w:r>
          </w:p>
        </w:tc>
        <w:tc>
          <w:tcPr>
            <w:tcW w:w="3423" w:type="pct"/>
          </w:tcPr>
          <w:p w14:paraId="6AC118AC" w14:textId="77777777" w:rsidR="008A58D2" w:rsidRPr="00865C47" w:rsidRDefault="008A58D2" w:rsidP="008A58D2">
            <w:r w:rsidRPr="00865C47">
              <w:t>Therapy should be initiated by a physician experienced in the diagnosis and treatment of patients with biliary tract cancer.</w:t>
            </w:r>
          </w:p>
          <w:p w14:paraId="0CDC7CAB" w14:textId="77777777" w:rsidR="008A58D2" w:rsidRPr="00865C47" w:rsidRDefault="008A58D2" w:rsidP="008A58D2">
            <w:bookmarkStart w:id="11" w:name="_Hlk114500481"/>
            <w:r w:rsidRPr="00865C47">
              <w:t xml:space="preserve">Fibroblast growth factor receptor 2 </w:t>
            </w:r>
            <w:bookmarkEnd w:id="11"/>
            <w:r w:rsidRPr="00865C47">
              <w:t>(FGFR2) fusion positivity status must be known prior to initiation of Pemazyre therapy.</w:t>
            </w:r>
          </w:p>
          <w:p w14:paraId="01A75B1B" w14:textId="77777777" w:rsidR="008A58D2" w:rsidRPr="00865C47" w:rsidRDefault="008A58D2" w:rsidP="008A58D2">
            <w:r w:rsidRPr="00865C47">
              <w:t>The recommended dose is 13.5 mg Pemazyre taken once daily for 14 days followed by 7 days off-therapy.</w:t>
            </w:r>
          </w:p>
          <w:p w14:paraId="0C5ECA04" w14:textId="77777777" w:rsidR="008A58D2" w:rsidRPr="00865C47" w:rsidRDefault="008A58D2" w:rsidP="008A58D2">
            <w:r w:rsidRPr="00865C47">
              <w:t>Treatment should be continued as long as the patient does not show evidence of disease progression or unacceptable toxicity.</w:t>
            </w:r>
          </w:p>
          <w:p w14:paraId="2B78BF91" w14:textId="77777777" w:rsidR="008A58D2" w:rsidRPr="00865C47" w:rsidRDefault="008A58D2" w:rsidP="008A58D2">
            <w:r w:rsidRPr="00865C47">
              <w:lastRenderedPageBreak/>
              <w:t>Dose modifications or interruption of dosing should be considered when Pemazyre is co-administered with strong or moderate cytochrome P450 3A4 (CYP3A4) inhibitors and for the management of toxicities. Treatment should be permanently discontinued if patient is unable to tolerate 4.5 mg Pemazyre once daily (see Sections 4.2 Dose and method of administration, Section 4.4 Special warnings and precautions for use and Section 4.5 Interactions with other medicines and other forms of interactions of the Product information).</w:t>
            </w:r>
          </w:p>
          <w:p w14:paraId="3D0B2D5C" w14:textId="5259E0EC" w:rsidR="008A58D2" w:rsidRPr="00865C47" w:rsidRDefault="008A58D2" w:rsidP="008A58D2">
            <w:pPr>
              <w:rPr>
                <w:szCs w:val="22"/>
              </w:rPr>
            </w:pPr>
            <w:r w:rsidRPr="00865C47">
              <w:t>For further information refer to the Product Information.</w:t>
            </w:r>
          </w:p>
        </w:tc>
      </w:tr>
      <w:tr w:rsidR="00324B33" w:rsidRPr="00865C47" w14:paraId="24DC408E" w14:textId="77777777" w:rsidTr="00F865A7">
        <w:tc>
          <w:tcPr>
            <w:tcW w:w="1577" w:type="pct"/>
          </w:tcPr>
          <w:p w14:paraId="26380792" w14:textId="77777777" w:rsidR="00324B33" w:rsidRPr="00865C47" w:rsidRDefault="00324B33" w:rsidP="007452E8">
            <w:pPr>
              <w:rPr>
                <w:i/>
                <w:szCs w:val="22"/>
              </w:rPr>
            </w:pPr>
            <w:r w:rsidRPr="00865C47">
              <w:rPr>
                <w:i/>
                <w:szCs w:val="22"/>
              </w:rPr>
              <w:lastRenderedPageBreak/>
              <w:t>Pregnancy category:</w:t>
            </w:r>
          </w:p>
        </w:tc>
        <w:tc>
          <w:tcPr>
            <w:tcW w:w="3423" w:type="pct"/>
          </w:tcPr>
          <w:p w14:paraId="3424FE32" w14:textId="77777777" w:rsidR="008A58D2" w:rsidRPr="00865C47" w:rsidRDefault="008A58D2" w:rsidP="008A58D2">
            <w:r w:rsidRPr="00865C47">
              <w:t>D</w:t>
            </w:r>
          </w:p>
          <w:p w14:paraId="0A388BF3" w14:textId="77777777" w:rsidR="008A58D2" w:rsidRPr="00865C47" w:rsidRDefault="008A58D2" w:rsidP="008A58D2">
            <w:r w:rsidRPr="00865C47">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5B54F496" w:rsidR="00324B33" w:rsidRPr="00865C47" w:rsidRDefault="00324B33" w:rsidP="007452E8">
            <w:pPr>
              <w:rPr>
                <w:szCs w:val="22"/>
              </w:rPr>
            </w:pPr>
            <w:r w:rsidRPr="00865C47">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Pr="00865C47" w:rsidRDefault="00324B33" w:rsidP="00324B33">
      <w:pPr>
        <w:pStyle w:val="Heading3"/>
      </w:pPr>
      <w:bookmarkStart w:id="12" w:name="_Toc247691503"/>
      <w:bookmarkStart w:id="13" w:name="_Toc314842484"/>
      <w:bookmarkStart w:id="14" w:name="_Toc103679290"/>
      <w:bookmarkStart w:id="15" w:name="_Toc139284928"/>
      <w:r w:rsidRPr="00865C47">
        <w:t>Product background</w:t>
      </w:r>
      <w:bookmarkEnd w:id="12"/>
      <w:bookmarkEnd w:id="13"/>
      <w:bookmarkEnd w:id="14"/>
      <w:bookmarkEnd w:id="15"/>
    </w:p>
    <w:p w14:paraId="56B27CF2" w14:textId="57B18D02" w:rsidR="00324B33" w:rsidRPr="00865C47" w:rsidRDefault="00324B33" w:rsidP="00324B33">
      <w:pPr>
        <w:rPr>
          <w:szCs w:val="22"/>
        </w:rPr>
      </w:pPr>
      <w:r w:rsidRPr="00865C47">
        <w:rPr>
          <w:szCs w:val="22"/>
        </w:rPr>
        <w:t xml:space="preserve">This </w:t>
      </w:r>
      <w:proofErr w:type="spellStart"/>
      <w:r w:rsidRPr="00865C47">
        <w:rPr>
          <w:szCs w:val="22"/>
        </w:rPr>
        <w:t>AusPAR</w:t>
      </w:r>
      <w:proofErr w:type="spellEnd"/>
      <w:r w:rsidRPr="00865C47">
        <w:rPr>
          <w:szCs w:val="22"/>
        </w:rPr>
        <w:t xml:space="preserve"> describes the submission by </w:t>
      </w:r>
      <w:proofErr w:type="spellStart"/>
      <w:r w:rsidR="008A58D2" w:rsidRPr="00865C47">
        <w:rPr>
          <w:lang w:val="es-ES"/>
        </w:rPr>
        <w:t>Specialised</w:t>
      </w:r>
      <w:proofErr w:type="spellEnd"/>
      <w:r w:rsidR="008A58D2" w:rsidRPr="00865C47">
        <w:rPr>
          <w:lang w:val="es-ES"/>
        </w:rPr>
        <w:t xml:space="preserve"> </w:t>
      </w:r>
      <w:proofErr w:type="spellStart"/>
      <w:r w:rsidR="008A58D2" w:rsidRPr="00865C47">
        <w:rPr>
          <w:lang w:val="es-ES"/>
        </w:rPr>
        <w:t>Therapeutics</w:t>
      </w:r>
      <w:proofErr w:type="spellEnd"/>
      <w:r w:rsidR="008A58D2" w:rsidRPr="00865C47">
        <w:rPr>
          <w:lang w:val="es-ES"/>
        </w:rPr>
        <w:t xml:space="preserve"> Alim </w:t>
      </w:r>
      <w:proofErr w:type="spellStart"/>
      <w:r w:rsidR="008A58D2" w:rsidRPr="00865C47">
        <w:rPr>
          <w:lang w:val="es-ES"/>
        </w:rPr>
        <w:t>Pty</w:t>
      </w:r>
      <w:proofErr w:type="spellEnd"/>
      <w:r w:rsidR="008A58D2" w:rsidRPr="00865C47">
        <w:rPr>
          <w:lang w:val="es-ES"/>
        </w:rPr>
        <w:t xml:space="preserve"> </w:t>
      </w:r>
      <w:proofErr w:type="spellStart"/>
      <w:r w:rsidR="008A58D2" w:rsidRPr="00865C47">
        <w:rPr>
          <w:lang w:val="es-ES"/>
        </w:rPr>
        <w:t>Ltd</w:t>
      </w:r>
      <w:proofErr w:type="spellEnd"/>
      <w:r w:rsidRPr="00865C47">
        <w:rPr>
          <w:szCs w:val="22"/>
        </w:rPr>
        <w:t xml:space="preserve"> (the sponsor) to register </w:t>
      </w:r>
      <w:proofErr w:type="spellStart"/>
      <w:r w:rsidR="008A58D2" w:rsidRPr="00865C47">
        <w:rPr>
          <w:szCs w:val="22"/>
        </w:rPr>
        <w:t>Pemazyre</w:t>
      </w:r>
      <w:proofErr w:type="spellEnd"/>
      <w:r w:rsidR="008A58D2" w:rsidRPr="00865C47">
        <w:rPr>
          <w:szCs w:val="22"/>
        </w:rPr>
        <w:t xml:space="preserve"> </w:t>
      </w:r>
      <w:r w:rsidRPr="00865C47">
        <w:rPr>
          <w:szCs w:val="22"/>
        </w:rPr>
        <w:t>(</w:t>
      </w:r>
      <w:proofErr w:type="spellStart"/>
      <w:r w:rsidR="008A58D2" w:rsidRPr="00865C47">
        <w:rPr>
          <w:szCs w:val="22"/>
        </w:rPr>
        <w:t>pemigatinib</w:t>
      </w:r>
      <w:proofErr w:type="spellEnd"/>
      <w:r w:rsidRPr="00865C47">
        <w:rPr>
          <w:szCs w:val="22"/>
        </w:rPr>
        <w:t xml:space="preserve">) </w:t>
      </w:r>
      <w:r w:rsidR="008A58D2" w:rsidRPr="00865C47">
        <w:t>4.5 mg, 9 mg and 13.5 mg</w:t>
      </w:r>
      <w:r w:rsidRPr="00865C47">
        <w:rPr>
          <w:szCs w:val="22"/>
        </w:rPr>
        <w:t xml:space="preserve">, </w:t>
      </w:r>
      <w:r w:rsidR="008A58D2" w:rsidRPr="00865C47">
        <w:t>tablet</w:t>
      </w:r>
      <w:r w:rsidR="008A58D2" w:rsidRPr="00865C47">
        <w:rPr>
          <w:szCs w:val="22"/>
        </w:rPr>
        <w:t xml:space="preserve">, </w:t>
      </w:r>
      <w:r w:rsidR="008A58D2" w:rsidRPr="00865C47">
        <w:t>blister pack</w:t>
      </w:r>
      <w:r w:rsidR="008A58D2" w:rsidRPr="00865C47">
        <w:rPr>
          <w:szCs w:val="22"/>
        </w:rPr>
        <w:t xml:space="preserve"> </w:t>
      </w:r>
      <w:r w:rsidRPr="00865C47">
        <w:rPr>
          <w:szCs w:val="22"/>
        </w:rPr>
        <w:t>for the following proposed indication:</w:t>
      </w:r>
      <w:r w:rsidR="00D63760" w:rsidRPr="00865C47">
        <w:rPr>
          <w:rStyle w:val="FootnoteReference"/>
          <w:szCs w:val="22"/>
        </w:rPr>
        <w:footnoteReference w:id="1"/>
      </w:r>
    </w:p>
    <w:p w14:paraId="517B5992" w14:textId="08B64C84" w:rsidR="007F555D" w:rsidRPr="00865C47" w:rsidRDefault="007F555D" w:rsidP="007F555D">
      <w:pPr>
        <w:ind w:left="720"/>
        <w:rPr>
          <w:i/>
          <w:iCs/>
        </w:rPr>
      </w:pPr>
      <w:r w:rsidRPr="00865C47">
        <w:rPr>
          <w:i/>
          <w:iCs/>
        </w:rPr>
        <w:t>Pemazyre is indicated for the treatment of adults with locally advanced or metastatic cholangiocarcinoma with a fibroblast growth factor receptor 2 (FGFR2) fusion or rearrangement that is relapsed or refractory after at least one line of systemic therapy.</w:t>
      </w:r>
    </w:p>
    <w:p w14:paraId="025C4B4A" w14:textId="0BD969FD" w:rsidR="007F555D" w:rsidRPr="00865C47" w:rsidRDefault="007F555D" w:rsidP="007F555D">
      <w:bookmarkStart w:id="16" w:name="_Hlk135930205"/>
      <w:bookmarkStart w:id="17" w:name="_Toc314842485"/>
      <w:bookmarkStart w:id="18" w:name="_Toc247691504"/>
      <w:r w:rsidRPr="00865C47">
        <w:t>Cholangiocarcinoma</w:t>
      </w:r>
      <w:bookmarkEnd w:id="16"/>
      <w:r w:rsidRPr="00865C47">
        <w:t xml:space="preserve">s are tumours originating in </w:t>
      </w:r>
      <w:proofErr w:type="spellStart"/>
      <w:r w:rsidR="00946A46" w:rsidRPr="00946A46">
        <w:t>cholangiocytes</w:t>
      </w:r>
      <w:proofErr w:type="spellEnd"/>
      <w:r w:rsidR="00946A46">
        <w:t xml:space="preserve"> (cells forming </w:t>
      </w:r>
      <w:r w:rsidRPr="00865C47">
        <w:t>the epithelial lining of the biliary tree</w:t>
      </w:r>
      <w:r w:rsidR="00946A46">
        <w:t>)</w:t>
      </w:r>
      <w:r w:rsidRPr="00865C47">
        <w:t xml:space="preserve"> that account for approximately 10% to 15% of all primary liver cancers</w:t>
      </w:r>
      <w:r w:rsidR="00946A46">
        <w:t>.</w:t>
      </w:r>
      <w:r w:rsidRPr="00865C47">
        <w:t xml:space="preserve"> </w:t>
      </w:r>
      <w:r w:rsidR="00946A46">
        <w:t>T</w:t>
      </w:r>
      <w:r w:rsidRPr="00865C47">
        <w:t xml:space="preserve">hey are subclassified as intrahepatic </w:t>
      </w:r>
      <w:r w:rsidR="008A51BB" w:rsidRPr="00865C47">
        <w:t>cholangiocarcinoma</w:t>
      </w:r>
      <w:r w:rsidRPr="00865C47">
        <w:t xml:space="preserve">, originating from the biliary </w:t>
      </w:r>
      <w:r w:rsidR="00946A46">
        <w:t xml:space="preserve">ducts </w:t>
      </w:r>
      <w:r w:rsidR="003C484E">
        <w:t>contained</w:t>
      </w:r>
      <w:r w:rsidRPr="00865C47">
        <w:t xml:space="preserve"> within the liver</w:t>
      </w:r>
      <w:r w:rsidR="00946A46">
        <w:t>,</w:t>
      </w:r>
      <w:r w:rsidRPr="00865C47">
        <w:t xml:space="preserve"> or extrahepatic </w:t>
      </w:r>
      <w:r w:rsidR="008A51BB" w:rsidRPr="00865C47">
        <w:t>cholangiocarcinoma</w:t>
      </w:r>
      <w:r w:rsidRPr="00865C47">
        <w:t xml:space="preserve">, </w:t>
      </w:r>
      <w:r w:rsidR="003C484E">
        <w:t xml:space="preserve">originating in the parts of the bile ducts </w:t>
      </w:r>
      <w:r w:rsidRPr="00865C47">
        <w:t>outside the liver (including perihilar and distal tumours).</w:t>
      </w:r>
      <w:r w:rsidR="003C484E">
        <w:rPr>
          <w:rStyle w:val="FootnoteReference"/>
        </w:rPr>
        <w:footnoteReference w:id="2"/>
      </w:r>
      <w:r w:rsidR="00892AE8" w:rsidRPr="00865C47">
        <w:t xml:space="preserve"> </w:t>
      </w:r>
      <w:r w:rsidRPr="00865C47">
        <w:t xml:space="preserve">The incidence of cholangiocarcinoma in Australia is low (0.3 to 3.5 </w:t>
      </w:r>
      <w:r w:rsidR="003C484E">
        <w:t xml:space="preserve">cases </w:t>
      </w:r>
      <w:r w:rsidRPr="00865C47">
        <w:t>per 100,000</w:t>
      </w:r>
      <w:r w:rsidR="003C484E">
        <w:t xml:space="preserve"> population</w:t>
      </w:r>
      <w:r w:rsidRPr="00865C47">
        <w:t>).</w:t>
      </w:r>
      <w:r w:rsidR="003C484E">
        <w:rPr>
          <w:rStyle w:val="FootnoteReference"/>
        </w:rPr>
        <w:footnoteReference w:id="3"/>
      </w:r>
      <w:r w:rsidR="003C484E">
        <w:rPr>
          <w:vertAlign w:val="superscript"/>
        </w:rPr>
        <w:t>,</w:t>
      </w:r>
      <w:r w:rsidR="003C484E">
        <w:rPr>
          <w:rStyle w:val="FootnoteReference"/>
        </w:rPr>
        <w:footnoteReference w:id="4"/>
      </w:r>
      <w:r w:rsidR="00892AE8" w:rsidRPr="00865C47">
        <w:t xml:space="preserve"> </w:t>
      </w:r>
      <w:r w:rsidRPr="00865C47">
        <w:t>The 5-year survival rate as reported by American Joint Committee on Cancer stage is 50% for Stage I, 30% for Stage II, 10% for Stage III, and 0% for Stage IV.</w:t>
      </w:r>
      <w:r w:rsidR="00892AE8" w:rsidRPr="00865C47">
        <w:t xml:space="preserve"> </w:t>
      </w:r>
      <w:r w:rsidRPr="00865C47">
        <w:t>The majority of patients with cholangiocarcinoma have nonresectable disease at diagnosis (</w:t>
      </w:r>
      <w:r w:rsidR="00892AE8" w:rsidRPr="00865C47">
        <w:t xml:space="preserve">approximately </w:t>
      </w:r>
      <w:r w:rsidRPr="00865C47">
        <w:t xml:space="preserve">70%), and the rate </w:t>
      </w:r>
      <w:r w:rsidRPr="00865C47">
        <w:lastRenderedPageBreak/>
        <w:t>of recurrence is high in those in the minority who are able to undergo potentially curative surgery.</w:t>
      </w:r>
      <w:r w:rsidR="00892AE8" w:rsidRPr="00865C47">
        <w:t xml:space="preserve"> </w:t>
      </w:r>
      <w:r w:rsidRPr="00865C47">
        <w:t>The prognosis of patients with advanced cholangiocarcinoma is poor, and the median survival for those undergoing supportive care alone is short.</w:t>
      </w:r>
    </w:p>
    <w:p w14:paraId="6E8814F9" w14:textId="7E495A93" w:rsidR="007F555D" w:rsidRPr="00865C47" w:rsidRDefault="007F555D" w:rsidP="007F555D">
      <w:r w:rsidRPr="00865C47">
        <w:t>For patients with advanced biliary tract cancers, there are limited treatment options in the second</w:t>
      </w:r>
      <w:r w:rsidR="0048244F" w:rsidRPr="00865C47">
        <w:t>-</w:t>
      </w:r>
      <w:r w:rsidRPr="00865C47">
        <w:t>line setting following progression on gemcitabine and cisplatin systemic therapy; the preferred chemotherapy regimen as per NCCN guidelines</w:t>
      </w:r>
      <w:r w:rsidR="00783DA9" w:rsidRPr="00865C47">
        <w:t>;</w:t>
      </w:r>
      <w:r w:rsidR="00783DA9" w:rsidRPr="00865C47">
        <w:rPr>
          <w:rStyle w:val="FootnoteReference"/>
        </w:rPr>
        <w:footnoteReference w:id="5"/>
      </w:r>
      <w:r w:rsidRPr="00865C47">
        <w:t xml:space="preserve"> is </w:t>
      </w:r>
      <w:proofErr w:type="spellStart"/>
      <w:r w:rsidR="00783DA9" w:rsidRPr="00865C47">
        <w:t>Folfox</w:t>
      </w:r>
      <w:proofErr w:type="spellEnd"/>
      <w:r w:rsidR="00783DA9" w:rsidRPr="00865C47">
        <w:t xml:space="preserve"> </w:t>
      </w:r>
      <w:r w:rsidRPr="00865C47">
        <w:t>(</w:t>
      </w:r>
      <w:proofErr w:type="spellStart"/>
      <w:r w:rsidRPr="00865C47">
        <w:t>folinic</w:t>
      </w:r>
      <w:proofErr w:type="spellEnd"/>
      <w:r w:rsidRPr="00865C47">
        <w:t xml:space="preserve"> acid, </w:t>
      </w:r>
      <w:r w:rsidR="007F4E96">
        <w:t>f</w:t>
      </w:r>
      <w:r w:rsidR="007F4E96" w:rsidRPr="007F4E96">
        <w:t>luorouracil</w:t>
      </w:r>
      <w:r w:rsidR="007F4E96">
        <w:t xml:space="preserve"> (</w:t>
      </w:r>
      <w:r w:rsidRPr="00865C47">
        <w:t>5</w:t>
      </w:r>
      <w:r w:rsidR="007F4E96">
        <w:noBreakHyphen/>
      </w:r>
      <w:r w:rsidRPr="00865C47">
        <w:t>FU and oxaliplatin).</w:t>
      </w:r>
      <w:r w:rsidR="00892AE8" w:rsidRPr="00865C47">
        <w:t xml:space="preserve"> </w:t>
      </w:r>
      <w:proofErr w:type="spellStart"/>
      <w:r w:rsidRPr="00865C47">
        <w:t>Lamarca</w:t>
      </w:r>
      <w:proofErr w:type="spellEnd"/>
      <w:r w:rsidRPr="00865C47">
        <w:t xml:space="preserve"> et al </w:t>
      </w:r>
      <w:r w:rsidR="00783DA9" w:rsidRPr="00865C47">
        <w:t>(</w:t>
      </w:r>
      <w:r w:rsidRPr="00865C47">
        <w:t>2014</w:t>
      </w:r>
      <w:r w:rsidR="00783DA9" w:rsidRPr="00865C47">
        <w:t>)</w:t>
      </w:r>
      <w:bookmarkStart w:id="19" w:name="_Ref136342684"/>
      <w:r w:rsidR="00783DA9" w:rsidRPr="00865C47">
        <w:rPr>
          <w:rStyle w:val="FootnoteReference"/>
        </w:rPr>
        <w:footnoteReference w:id="6"/>
      </w:r>
      <w:bookmarkEnd w:id="19"/>
      <w:r w:rsidRPr="00865C47">
        <w:t xml:space="preserve"> evaluated the evidence for use of second-line chemotherapy in a molecularly unselected population of 761 patients with advanced biliary tract cancers. The results of their systematic review showed median </w:t>
      </w:r>
      <w:r w:rsidR="00A93FFB" w:rsidRPr="00865C47">
        <w:t>progression-free survival</w:t>
      </w:r>
      <w:r w:rsidRPr="00865C47">
        <w:t xml:space="preserve"> and </w:t>
      </w:r>
      <w:r w:rsidR="00A93FFB" w:rsidRPr="00865C47">
        <w:t>overall survival</w:t>
      </w:r>
      <w:r w:rsidRPr="00865C47">
        <w:t xml:space="preserve"> durations of 3.2 (95% </w:t>
      </w:r>
      <w:r w:rsidR="000C4DEF" w:rsidRPr="00865C47">
        <w:t>confidence interval (</w:t>
      </w:r>
      <w:r w:rsidRPr="00865C47">
        <w:t>CI</w:t>
      </w:r>
      <w:r w:rsidR="000C4DEF" w:rsidRPr="00865C47">
        <w:t>)</w:t>
      </w:r>
      <w:r w:rsidRPr="00865C47">
        <w:t>: 2.7, 3.7) and 7.2 months (95% CI: 6.2, 8.2), respectively.</w:t>
      </w:r>
    </w:p>
    <w:p w14:paraId="682432C2" w14:textId="3CD8F9ED" w:rsidR="00892AE8" w:rsidRPr="00865C47" w:rsidRDefault="007F555D" w:rsidP="007F555D">
      <w:r w:rsidRPr="00865C47">
        <w:t xml:space="preserve">Currently, there are no approved therapies for the proposed population (those with advanced cholangiocarcinoma with </w:t>
      </w:r>
      <w:r w:rsidR="000C4DEF" w:rsidRPr="00865C47">
        <w:t>fibroblast growth factor receptor (</w:t>
      </w:r>
      <w:r w:rsidRPr="00865C47">
        <w:t>FGFR</w:t>
      </w:r>
      <w:r w:rsidR="000C4DEF" w:rsidRPr="00865C47">
        <w:t xml:space="preserve">) </w:t>
      </w:r>
      <w:r w:rsidRPr="00865C47">
        <w:t>2 fusion or rearrangement) whose disease has progressed following platinum-based chemotherapy, and response rates to second-line chemotherapy are low as documented above.</w:t>
      </w:r>
      <w:r w:rsidR="00892AE8" w:rsidRPr="00865C47">
        <w:t xml:space="preserve"> </w:t>
      </w:r>
      <w:r w:rsidRPr="00865C47">
        <w:t>Mutations in FGFR2 fusions have been found in approximately 13% of intrahepatic cholangiocarcinomas and may be associated with a more favourable prognosis.</w:t>
      </w:r>
      <w:r w:rsidR="00892AE8" w:rsidRPr="00865C47">
        <w:t xml:space="preserve"> </w:t>
      </w:r>
      <w:r w:rsidRPr="00865C47">
        <w:t xml:space="preserve">Results from </w:t>
      </w:r>
      <w:r w:rsidR="0048244F" w:rsidRPr="00865C47">
        <w:t>Phase II</w:t>
      </w:r>
      <w:r w:rsidRPr="00865C47">
        <w:t xml:space="preserve"> studies of at least four different FGFR inhibitors in the second line</w:t>
      </w:r>
      <w:r w:rsidR="0048244F" w:rsidRPr="00865C47">
        <w:t xml:space="preserve"> or </w:t>
      </w:r>
      <w:r w:rsidRPr="00865C47">
        <w:t xml:space="preserve">beyond setting have been promising; an </w:t>
      </w:r>
      <w:r w:rsidR="00A93FFB" w:rsidRPr="00865C47">
        <w:t>overall response rate</w:t>
      </w:r>
      <w:r w:rsidRPr="00865C47">
        <w:t xml:space="preserve"> of 37.0% for pemigatinib and 26.9% for infigratinib have been reported; the </w:t>
      </w:r>
      <w:r w:rsidR="002435C6" w:rsidRPr="00865C47">
        <w:t>United States Food and Drug Administration (</w:t>
      </w:r>
      <w:r w:rsidRPr="00865C47">
        <w:t>FDA</w:t>
      </w:r>
      <w:r w:rsidR="002435C6" w:rsidRPr="00865C47">
        <w:t>)</w:t>
      </w:r>
      <w:r w:rsidRPr="00865C47">
        <w:t xml:space="preserve"> granted accelerated approval of both agents (in 2020 and 2021 respectively), for the treatment of </w:t>
      </w:r>
      <w:r w:rsidR="00085B3F" w:rsidRPr="00865C47">
        <w:t>‘</w:t>
      </w:r>
      <w:r w:rsidRPr="00865C47">
        <w:rPr>
          <w:i/>
          <w:iCs/>
        </w:rPr>
        <w:t>adults with previously treated, unresectable locally advanced or metastatic cholangiocarcinoma with a FGFR2 fusion or other rearrangement as detected by an FDA-approved test</w:t>
      </w:r>
      <w:r w:rsidR="00085B3F" w:rsidRPr="00865C47">
        <w:t>’</w:t>
      </w:r>
      <w:r w:rsidRPr="00865C47">
        <w:t>.</w:t>
      </w:r>
      <w:r w:rsidR="00892AE8" w:rsidRPr="00865C47">
        <w:t xml:space="preserve"> </w:t>
      </w:r>
      <w:bookmarkStart w:id="20" w:name="_Hlk136336436"/>
      <w:r w:rsidRPr="00865C47">
        <w:t>Infigratinib</w:t>
      </w:r>
      <w:bookmarkEnd w:id="20"/>
      <w:r w:rsidR="00783DA9" w:rsidRPr="00865C47">
        <w:t>;</w:t>
      </w:r>
      <w:r w:rsidR="00783DA9" w:rsidRPr="00865C47">
        <w:rPr>
          <w:rStyle w:val="FootnoteReference"/>
        </w:rPr>
        <w:footnoteReference w:id="7"/>
      </w:r>
      <w:r w:rsidRPr="00865C47">
        <w:t xml:space="preserve"> has provisional approval in Australia for the treatment of adults with previously treated, unresectable locally advanced or metastatic cholangiocarcinoma with a FGFR2 fusion or other rearrangement.</w:t>
      </w:r>
    </w:p>
    <w:p w14:paraId="2EB59314" w14:textId="592E5BF4" w:rsidR="00892AE8" w:rsidRPr="00865C47" w:rsidRDefault="0048244F" w:rsidP="007F555D">
      <w:r w:rsidRPr="00865C47">
        <w:t>Pemazyre (p</w:t>
      </w:r>
      <w:r w:rsidR="007F555D" w:rsidRPr="00865C47">
        <w:t>emigatinib</w:t>
      </w:r>
      <w:r w:rsidRPr="00865C47">
        <w:t>)</w:t>
      </w:r>
      <w:r w:rsidR="007F555D" w:rsidRPr="00865C47">
        <w:t xml:space="preserve"> is a small molecule kinase inhibitor of </w:t>
      </w:r>
      <w:r w:rsidR="007F4E96" w:rsidRPr="00865C47">
        <w:t>fibroblast growth factor receptor</w:t>
      </w:r>
      <w:r w:rsidR="007F4E96">
        <w:t>s 1 to 4 (</w:t>
      </w:r>
      <w:r w:rsidR="007F555D" w:rsidRPr="00865C47">
        <w:t>FGFR1</w:t>
      </w:r>
      <w:r w:rsidR="009420E3" w:rsidRPr="00865C47">
        <w:t xml:space="preserve"> to </w:t>
      </w:r>
      <w:r w:rsidR="007F555D" w:rsidRPr="00865C47">
        <w:t>4</w:t>
      </w:r>
      <w:r w:rsidR="007F4E96">
        <w:t>)</w:t>
      </w:r>
      <w:r w:rsidR="007F555D" w:rsidRPr="00865C47">
        <w:t xml:space="preserve">. </w:t>
      </w:r>
      <w:r w:rsidRPr="00865C47">
        <w:t>P</w:t>
      </w:r>
      <w:r w:rsidR="007F555D" w:rsidRPr="00865C47">
        <w:t>emigatinib inhibits FGFR phosphorylation and signalling in cancer cell lines with constitutive activation of FGFR signalling due to activating FGFR amplifications and fusions.</w:t>
      </w:r>
      <w:r w:rsidRPr="00865C47">
        <w:t xml:space="preserve"> It </w:t>
      </w:r>
      <w:r w:rsidR="007F555D" w:rsidRPr="00865C47">
        <w:t xml:space="preserve">is proposed as a targeted therapy for the treatment of </w:t>
      </w:r>
      <w:r w:rsidRPr="00865C47">
        <w:t xml:space="preserve">the target </w:t>
      </w:r>
      <w:r w:rsidR="007F555D" w:rsidRPr="00865C47">
        <w:t xml:space="preserve">population based on early clinical data from a Phase II single arm studies that indicates an improved response rate that compares favourably with response rates reported in historical studies of unselected </w:t>
      </w:r>
      <w:r w:rsidR="008A51BB" w:rsidRPr="00865C47">
        <w:t>cholangiocarcinoma</w:t>
      </w:r>
      <w:r w:rsidR="007F555D" w:rsidRPr="00865C47">
        <w:t xml:space="preserve"> patients treated with limited treatment options currently available in Australia.</w:t>
      </w:r>
    </w:p>
    <w:p w14:paraId="0D615854" w14:textId="18206B00" w:rsidR="00324B33" w:rsidRPr="00865C47" w:rsidRDefault="00324B33" w:rsidP="00324B33">
      <w:pPr>
        <w:pStyle w:val="Heading3"/>
      </w:pPr>
      <w:bookmarkStart w:id="21" w:name="_Toc103679291"/>
      <w:bookmarkStart w:id="22" w:name="_Toc139284929"/>
      <w:r w:rsidRPr="00865C47">
        <w:t>Regulatory status</w:t>
      </w:r>
      <w:bookmarkEnd w:id="17"/>
      <w:bookmarkEnd w:id="18"/>
      <w:bookmarkEnd w:id="21"/>
      <w:bookmarkEnd w:id="22"/>
    </w:p>
    <w:p w14:paraId="6A8633FA" w14:textId="4DACB222" w:rsidR="00324B33" w:rsidRPr="00865C47" w:rsidRDefault="00324B33" w:rsidP="00324B33">
      <w:pPr>
        <w:rPr>
          <w:szCs w:val="22"/>
        </w:rPr>
      </w:pPr>
      <w:r w:rsidRPr="00865C47">
        <w:rPr>
          <w:szCs w:val="22"/>
        </w:rPr>
        <w:t>This product is considered a new chemical</w:t>
      </w:r>
      <w:r w:rsidR="008C754C" w:rsidRPr="00865C47">
        <w:rPr>
          <w:szCs w:val="22"/>
        </w:rPr>
        <w:t xml:space="preserve"> entity</w:t>
      </w:r>
      <w:r w:rsidRPr="00865C47">
        <w:rPr>
          <w:szCs w:val="22"/>
        </w:rPr>
        <w:t xml:space="preserve"> for Australian regulatory purposes.</w:t>
      </w:r>
    </w:p>
    <w:p w14:paraId="3D0989C0" w14:textId="7431B744" w:rsidR="00324B33" w:rsidRPr="00865C47" w:rsidRDefault="00324B33" w:rsidP="00324B33">
      <w:pPr>
        <w:rPr>
          <w:szCs w:val="22"/>
        </w:rPr>
      </w:pPr>
      <w:r w:rsidRPr="00865C47">
        <w:rPr>
          <w:szCs w:val="22"/>
        </w:rPr>
        <w:t xml:space="preserve">This product received </w:t>
      </w:r>
      <w:hyperlink r:id="rId19" w:history="1">
        <w:r w:rsidRPr="00865C47">
          <w:rPr>
            <w:rStyle w:val="Hyperlink"/>
            <w:szCs w:val="22"/>
          </w:rPr>
          <w:t>orphan drug designation</w:t>
        </w:r>
      </w:hyperlink>
      <w:r w:rsidRPr="00865C47">
        <w:rPr>
          <w:szCs w:val="22"/>
        </w:rPr>
        <w:t xml:space="preserve"> on </w:t>
      </w:r>
      <w:r w:rsidR="007F555D" w:rsidRPr="00865C47">
        <w:rPr>
          <w:szCs w:val="22"/>
        </w:rPr>
        <w:t>21 April 2021</w:t>
      </w:r>
      <w:r w:rsidRPr="00865C47">
        <w:rPr>
          <w:szCs w:val="22"/>
        </w:rPr>
        <w:t xml:space="preserve"> for the following indication:</w:t>
      </w:r>
    </w:p>
    <w:p w14:paraId="3B5A8B04" w14:textId="301BC863" w:rsidR="007F555D" w:rsidRPr="00865C47" w:rsidRDefault="007F555D" w:rsidP="007F555D">
      <w:pPr>
        <w:ind w:left="720"/>
        <w:rPr>
          <w:i/>
          <w:iCs/>
        </w:rPr>
      </w:pPr>
      <w:r w:rsidRPr="00865C47">
        <w:rPr>
          <w:i/>
          <w:iCs/>
        </w:rPr>
        <w:t>for the treatment of cholangiocarcinoma</w:t>
      </w:r>
      <w:r w:rsidR="009420E3" w:rsidRPr="00865C47">
        <w:rPr>
          <w:i/>
          <w:iCs/>
        </w:rPr>
        <w:t>.</w:t>
      </w:r>
    </w:p>
    <w:p w14:paraId="0B84E69D" w14:textId="5F24B735" w:rsidR="007F555D" w:rsidRPr="00865C47" w:rsidRDefault="00324B33" w:rsidP="00324B33">
      <w:pPr>
        <w:rPr>
          <w:szCs w:val="22"/>
        </w:rPr>
      </w:pPr>
      <w:r w:rsidRPr="00865C47">
        <w:rPr>
          <w:szCs w:val="22"/>
        </w:rPr>
        <w:t>At the time the TGA considered this submission, similar submission</w:t>
      </w:r>
      <w:r w:rsidR="007F555D" w:rsidRPr="00865C47">
        <w:rPr>
          <w:szCs w:val="22"/>
        </w:rPr>
        <w:t>s</w:t>
      </w:r>
      <w:r w:rsidRPr="00865C47">
        <w:rPr>
          <w:szCs w:val="22"/>
        </w:rPr>
        <w:t xml:space="preserve"> had been approved in </w:t>
      </w:r>
      <w:r w:rsidR="007F555D" w:rsidRPr="00865C47">
        <w:t>Canada</w:t>
      </w:r>
      <w:r w:rsidR="007F555D" w:rsidRPr="00865C47">
        <w:rPr>
          <w:szCs w:val="22"/>
        </w:rPr>
        <w:t xml:space="preserve"> on 1</w:t>
      </w:r>
      <w:r w:rsidR="007F555D" w:rsidRPr="00865C47">
        <w:t xml:space="preserve">7 September 2021, the European Union on 26 March 2021, Great Britain on </w:t>
      </w:r>
      <w:r w:rsidR="007F555D" w:rsidRPr="00865C47">
        <w:lastRenderedPageBreak/>
        <w:t>7 April 2021, Israel on 31 May 2022, Japan on 23 March 2021, Switzerland on 13 July 2021, the United States of America on 17 April 2020.</w:t>
      </w:r>
    </w:p>
    <w:p w14:paraId="1B9AB90D" w14:textId="273085AC" w:rsidR="00324B33" w:rsidRPr="00865C47" w:rsidRDefault="00324B33" w:rsidP="00324B33">
      <w:pPr>
        <w:rPr>
          <w:szCs w:val="22"/>
        </w:rPr>
      </w:pPr>
      <w:r w:rsidRPr="00865C47">
        <w:rPr>
          <w:szCs w:val="22"/>
        </w:rPr>
        <w:t>The following table summarises these submissions and provides the indications where approved.</w:t>
      </w:r>
    </w:p>
    <w:p w14:paraId="19B9E0AC" w14:textId="23655CC8" w:rsidR="00324B33" w:rsidRPr="00865C47" w:rsidRDefault="00324B33" w:rsidP="008A51BB">
      <w:pPr>
        <w:pStyle w:val="TableTitle"/>
      </w:pPr>
      <w:bookmarkStart w:id="23" w:name="_Ref99705479"/>
      <w:r w:rsidRPr="00865C47">
        <w:t xml:space="preserve">Table </w:t>
      </w:r>
      <w:r w:rsidR="00547529">
        <w:fldChar w:fldCharType="begin"/>
      </w:r>
      <w:r w:rsidR="00547529">
        <w:instrText xml:space="preserve"> SEQ Table \* ARABIC </w:instrText>
      </w:r>
      <w:r w:rsidR="00547529">
        <w:fldChar w:fldCharType="separate"/>
      </w:r>
      <w:r w:rsidR="005D22F2">
        <w:rPr>
          <w:noProof/>
        </w:rPr>
        <w:t>1</w:t>
      </w:r>
      <w:r w:rsidR="00547529">
        <w:rPr>
          <w:noProof/>
        </w:rPr>
        <w:fldChar w:fldCharType="end"/>
      </w:r>
      <w:bookmarkEnd w:id="23"/>
      <w:r w:rsidRPr="00865C47">
        <w:t>: International regulatory status</w:t>
      </w:r>
    </w:p>
    <w:tbl>
      <w:tblPr>
        <w:tblStyle w:val="TableTGAblue2023"/>
        <w:tblW w:w="5000" w:type="pct"/>
        <w:tblLook w:val="04A0" w:firstRow="1" w:lastRow="0" w:firstColumn="1" w:lastColumn="0" w:noHBand="0" w:noVBand="1"/>
      </w:tblPr>
      <w:tblGrid>
        <w:gridCol w:w="1763"/>
        <w:gridCol w:w="2067"/>
        <w:gridCol w:w="2067"/>
        <w:gridCol w:w="3163"/>
      </w:tblGrid>
      <w:tr w:rsidR="00324B33" w:rsidRPr="00865C47"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865C47" w:rsidRDefault="00324B33" w:rsidP="007F555D">
            <w:pPr>
              <w:ind w:left="0"/>
              <w:rPr>
                <w:szCs w:val="22"/>
              </w:rPr>
            </w:pPr>
            <w:r w:rsidRPr="00865C47">
              <w:rPr>
                <w:szCs w:val="22"/>
              </w:rPr>
              <w:t>Region</w:t>
            </w:r>
          </w:p>
        </w:tc>
        <w:tc>
          <w:tcPr>
            <w:tcW w:w="1018" w:type="pct"/>
          </w:tcPr>
          <w:p w14:paraId="778C35C7" w14:textId="52D23C85" w:rsidR="00324B33" w:rsidRPr="00865C47" w:rsidRDefault="00324B33" w:rsidP="007F555D">
            <w:pPr>
              <w:ind w:left="0"/>
              <w:cnfStyle w:val="100000000000" w:firstRow="1" w:lastRow="0" w:firstColumn="0" w:lastColumn="0" w:oddVBand="0" w:evenVBand="0" w:oddHBand="0" w:evenHBand="0" w:firstRowFirstColumn="0" w:firstRowLastColumn="0" w:lastRowFirstColumn="0" w:lastRowLastColumn="0"/>
              <w:rPr>
                <w:szCs w:val="22"/>
              </w:rPr>
            </w:pPr>
            <w:r w:rsidRPr="00865C47">
              <w:rPr>
                <w:szCs w:val="22"/>
              </w:rPr>
              <w:t>Submission date</w:t>
            </w:r>
          </w:p>
        </w:tc>
        <w:tc>
          <w:tcPr>
            <w:tcW w:w="1173" w:type="pct"/>
          </w:tcPr>
          <w:p w14:paraId="58F81584" w14:textId="66689ABF" w:rsidR="00324B33" w:rsidRPr="00865C47" w:rsidRDefault="00324B33" w:rsidP="007F555D">
            <w:pPr>
              <w:ind w:left="0"/>
              <w:cnfStyle w:val="100000000000" w:firstRow="1" w:lastRow="0" w:firstColumn="0" w:lastColumn="0" w:oddVBand="0" w:evenVBand="0" w:oddHBand="0" w:evenHBand="0" w:firstRowFirstColumn="0" w:firstRowLastColumn="0" w:lastRowFirstColumn="0" w:lastRowLastColumn="0"/>
              <w:rPr>
                <w:szCs w:val="22"/>
              </w:rPr>
            </w:pPr>
            <w:r w:rsidRPr="00865C47">
              <w:rPr>
                <w:szCs w:val="22"/>
              </w:rPr>
              <w:t>Status</w:t>
            </w:r>
          </w:p>
        </w:tc>
        <w:tc>
          <w:tcPr>
            <w:tcW w:w="1795" w:type="pct"/>
          </w:tcPr>
          <w:p w14:paraId="50B2D435" w14:textId="560588D2" w:rsidR="00324B33" w:rsidRPr="00865C47" w:rsidRDefault="00324B33" w:rsidP="007F555D">
            <w:pPr>
              <w:ind w:left="0"/>
              <w:cnfStyle w:val="100000000000" w:firstRow="1" w:lastRow="0" w:firstColumn="0" w:lastColumn="0" w:oddVBand="0" w:evenVBand="0" w:oddHBand="0" w:evenHBand="0" w:firstRowFirstColumn="0" w:firstRowLastColumn="0" w:lastRowFirstColumn="0" w:lastRowLastColumn="0"/>
              <w:rPr>
                <w:szCs w:val="22"/>
              </w:rPr>
            </w:pPr>
            <w:r w:rsidRPr="00865C47">
              <w:rPr>
                <w:szCs w:val="22"/>
              </w:rPr>
              <w:t>Approved indications</w:t>
            </w:r>
          </w:p>
        </w:tc>
      </w:tr>
      <w:tr w:rsidR="00324B33" w:rsidRPr="00865C47"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403D8C2C" w:rsidR="00324B33" w:rsidRPr="00865C47" w:rsidRDefault="007F555D" w:rsidP="007F555D">
            <w:pPr>
              <w:ind w:left="0"/>
            </w:pPr>
            <w:r w:rsidRPr="00865C47">
              <w:t>Canada</w:t>
            </w:r>
          </w:p>
        </w:tc>
        <w:tc>
          <w:tcPr>
            <w:tcW w:w="1018" w:type="pct"/>
          </w:tcPr>
          <w:p w14:paraId="4FA5DDA9" w14:textId="7E9F40C1" w:rsidR="00324B33"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10 September 2020</w:t>
            </w:r>
          </w:p>
        </w:tc>
        <w:tc>
          <w:tcPr>
            <w:tcW w:w="1173" w:type="pct"/>
          </w:tcPr>
          <w:p w14:paraId="29358393" w14:textId="741BC17D" w:rsidR="00324B33" w:rsidRPr="00865C47" w:rsidRDefault="00324B33" w:rsidP="007F555D">
            <w:pPr>
              <w:ind w:left="0"/>
              <w:cnfStyle w:val="000000000000" w:firstRow="0" w:lastRow="0" w:firstColumn="0" w:lastColumn="0" w:oddVBand="0" w:evenVBand="0" w:oddHBand="0" w:evenHBand="0" w:firstRowFirstColumn="0" w:firstRowLastColumn="0" w:lastRowFirstColumn="0" w:lastRowLastColumn="0"/>
            </w:pPr>
            <w:r w:rsidRPr="00865C47">
              <w:t xml:space="preserve">Approved on </w:t>
            </w:r>
            <w:r w:rsidR="007F555D" w:rsidRPr="00865C47">
              <w:t>17 September 2021</w:t>
            </w:r>
          </w:p>
        </w:tc>
        <w:tc>
          <w:tcPr>
            <w:tcW w:w="1795" w:type="pct"/>
          </w:tcPr>
          <w:p w14:paraId="05055674" w14:textId="51D7D425" w:rsidR="00324B33"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Pemazyre (pemigatinib) is indicated for the treatment of adults with previously treated, unresectable locally advanced or metastatic cholangiocarcinoma with a fibroblast growth factor receptor 2 (FGFR2) fusion or other rearrangement.</w:t>
            </w:r>
          </w:p>
        </w:tc>
      </w:tr>
      <w:tr w:rsidR="007F555D" w:rsidRPr="00865C47" w14:paraId="6F6F0041"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28CACD0A" w14:textId="09F8F5E5" w:rsidR="007F555D" w:rsidRPr="00865C47" w:rsidRDefault="007F555D" w:rsidP="007F555D">
            <w:pPr>
              <w:ind w:left="0"/>
            </w:pPr>
            <w:r w:rsidRPr="00865C47">
              <w:t>European Union</w:t>
            </w:r>
          </w:p>
        </w:tc>
        <w:tc>
          <w:tcPr>
            <w:tcW w:w="1018" w:type="pct"/>
          </w:tcPr>
          <w:p w14:paraId="0728AF1C" w14:textId="7D385944"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21 November 2019</w:t>
            </w:r>
          </w:p>
        </w:tc>
        <w:tc>
          <w:tcPr>
            <w:tcW w:w="1173" w:type="pct"/>
          </w:tcPr>
          <w:p w14:paraId="3ED27AAC" w14:textId="4B2B2F3B"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26 March 2021</w:t>
            </w:r>
          </w:p>
        </w:tc>
        <w:tc>
          <w:tcPr>
            <w:tcW w:w="1795" w:type="pct"/>
          </w:tcPr>
          <w:p w14:paraId="2BB8E67C" w14:textId="3E51B547"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Pemazyre monotherapy is indicated for the treatment of adults with locally advanced or metastatic cholangiocarcinoma with a fibroblast growth factor receptor 2 (FGFR2) fusion or rearrangement that have progressed after at least one prior line of systemic therapy.</w:t>
            </w:r>
          </w:p>
        </w:tc>
      </w:tr>
      <w:tr w:rsidR="00324B33" w:rsidRPr="00865C47"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56751CED" w:rsidR="00324B33" w:rsidRPr="00865C47" w:rsidRDefault="007F555D" w:rsidP="007F555D">
            <w:pPr>
              <w:ind w:left="0"/>
            </w:pPr>
            <w:r w:rsidRPr="00865C47">
              <w:t>Great Britain</w:t>
            </w:r>
          </w:p>
        </w:tc>
        <w:tc>
          <w:tcPr>
            <w:tcW w:w="1018" w:type="pct"/>
          </w:tcPr>
          <w:p w14:paraId="1D871E57" w14:textId="1C7C5001" w:rsidR="00324B33"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5 February 2021</w:t>
            </w:r>
          </w:p>
        </w:tc>
        <w:tc>
          <w:tcPr>
            <w:tcW w:w="1173" w:type="pct"/>
          </w:tcPr>
          <w:p w14:paraId="63A3A9D3" w14:textId="6009C743" w:rsidR="00324B33"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7 April 2021</w:t>
            </w:r>
          </w:p>
        </w:tc>
        <w:tc>
          <w:tcPr>
            <w:tcW w:w="1795" w:type="pct"/>
          </w:tcPr>
          <w:p w14:paraId="17C650B8" w14:textId="6F5BBD18" w:rsidR="00324B33"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Pemazyre monotherapy is indicated for the treatment of adults with locally advanced or metastatic cholangiocarcinoma with a fibroblast growth factor receptor 2 (FGFR2) fusion or rearrangement that have progressed after at least one prior line of systemic therapy.</w:t>
            </w:r>
          </w:p>
        </w:tc>
      </w:tr>
      <w:tr w:rsidR="007F555D" w:rsidRPr="00865C47" w14:paraId="7840A0E2"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3A48A20" w14:textId="1AA4766D" w:rsidR="007F555D" w:rsidRPr="00865C47" w:rsidRDefault="007F555D" w:rsidP="007F555D">
            <w:pPr>
              <w:ind w:left="0"/>
            </w:pPr>
            <w:r w:rsidRPr="00865C47">
              <w:t>Israel</w:t>
            </w:r>
          </w:p>
        </w:tc>
        <w:tc>
          <w:tcPr>
            <w:tcW w:w="1018" w:type="pct"/>
          </w:tcPr>
          <w:p w14:paraId="2A539B1C" w14:textId="6955C647"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7 June 2021</w:t>
            </w:r>
          </w:p>
        </w:tc>
        <w:tc>
          <w:tcPr>
            <w:tcW w:w="1173" w:type="pct"/>
          </w:tcPr>
          <w:p w14:paraId="64723E76" w14:textId="1CE502F2"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31 May 2022</w:t>
            </w:r>
          </w:p>
        </w:tc>
        <w:tc>
          <w:tcPr>
            <w:tcW w:w="1795" w:type="pct"/>
          </w:tcPr>
          <w:p w14:paraId="0DD3250A" w14:textId="7EFF13ED"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Pemazyre is a kinase inhibitor indicated for the treatment of adults with previously treated, unresectable locally advanced or metastatic cholangiocarcinoma with a fibroblast growth factor receptor 2 (FGFR2) fusion or other rearrangement as determined by a validated test.</w:t>
            </w:r>
          </w:p>
        </w:tc>
      </w:tr>
      <w:tr w:rsidR="007F555D" w:rsidRPr="00865C47" w14:paraId="31BFD53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DD90AD8" w14:textId="325FE4E7" w:rsidR="007F555D" w:rsidRPr="00865C47" w:rsidRDefault="007F555D" w:rsidP="007F555D">
            <w:pPr>
              <w:ind w:left="0"/>
            </w:pPr>
            <w:r w:rsidRPr="00865C47">
              <w:lastRenderedPageBreak/>
              <w:t>Japan</w:t>
            </w:r>
          </w:p>
        </w:tc>
        <w:tc>
          <w:tcPr>
            <w:tcW w:w="1018" w:type="pct"/>
          </w:tcPr>
          <w:p w14:paraId="4A81C7CD" w14:textId="67B68A12"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14 September 2020</w:t>
            </w:r>
          </w:p>
        </w:tc>
        <w:tc>
          <w:tcPr>
            <w:tcW w:w="1173" w:type="pct"/>
          </w:tcPr>
          <w:p w14:paraId="6FDADA50" w14:textId="77C5FF33"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23 March 2021</w:t>
            </w:r>
          </w:p>
        </w:tc>
        <w:tc>
          <w:tcPr>
            <w:tcW w:w="1795" w:type="pct"/>
          </w:tcPr>
          <w:p w14:paraId="39F61CE8" w14:textId="0F21DEEC"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Unresectable Biliary Tract Cancer with FGFR2 Fusion Gene Positive, Worsening After Cancer Chemotherapy</w:t>
            </w:r>
          </w:p>
        </w:tc>
      </w:tr>
      <w:tr w:rsidR="007F555D" w:rsidRPr="00865C47" w14:paraId="516DC96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0C7CC155" w14:textId="51859C64" w:rsidR="007F555D" w:rsidRPr="00865C47" w:rsidRDefault="007F555D" w:rsidP="007F555D">
            <w:pPr>
              <w:ind w:left="0"/>
            </w:pPr>
            <w:r w:rsidRPr="00865C47">
              <w:t>Switzerland</w:t>
            </w:r>
          </w:p>
        </w:tc>
        <w:tc>
          <w:tcPr>
            <w:tcW w:w="1018" w:type="pct"/>
          </w:tcPr>
          <w:p w14:paraId="29118E7B" w14:textId="7CB8465D"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22 January 2021</w:t>
            </w:r>
          </w:p>
        </w:tc>
        <w:tc>
          <w:tcPr>
            <w:tcW w:w="1173" w:type="pct"/>
          </w:tcPr>
          <w:p w14:paraId="2193CBCB" w14:textId="59557CD7"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13 July 2021</w:t>
            </w:r>
          </w:p>
        </w:tc>
        <w:tc>
          <w:tcPr>
            <w:tcW w:w="1795" w:type="pct"/>
          </w:tcPr>
          <w:p w14:paraId="3DFDECAF" w14:textId="11402886"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 xml:space="preserve">Pemazyre is indicated as monotherapy for the treatment of adults with locally advanced, </w:t>
            </w:r>
            <w:proofErr w:type="gramStart"/>
            <w:r w:rsidRPr="00865C47">
              <w:rPr>
                <w:i/>
                <w:iCs/>
              </w:rPr>
              <w:t>unresectable</w:t>
            </w:r>
            <w:proofErr w:type="gramEnd"/>
            <w:r w:rsidRPr="00865C47">
              <w:rPr>
                <w:i/>
                <w:iCs/>
              </w:rPr>
              <w:t xml:space="preserve"> or metastatic cholangiocarcinoma with a fibroblast growth factor receptor 2 (FGFR2) fusion or rearrangement that have progressed after at least one line of systemic therapy</w:t>
            </w:r>
          </w:p>
        </w:tc>
      </w:tr>
      <w:tr w:rsidR="007F555D" w:rsidRPr="00865C47" w14:paraId="20DB07FD"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0535742E" w14:textId="1C92BD75" w:rsidR="007F555D" w:rsidRPr="00865C47" w:rsidRDefault="007F555D" w:rsidP="007F555D">
            <w:pPr>
              <w:ind w:left="0"/>
            </w:pPr>
            <w:r w:rsidRPr="00865C47">
              <w:t>United States of America</w:t>
            </w:r>
          </w:p>
        </w:tc>
        <w:tc>
          <w:tcPr>
            <w:tcW w:w="1018" w:type="pct"/>
          </w:tcPr>
          <w:p w14:paraId="6EB6C7DF" w14:textId="1ED0A536"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30 September 2019</w:t>
            </w:r>
          </w:p>
        </w:tc>
        <w:tc>
          <w:tcPr>
            <w:tcW w:w="1173" w:type="pct"/>
          </w:tcPr>
          <w:p w14:paraId="751EBAEE" w14:textId="3FA317CD"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pPr>
            <w:r w:rsidRPr="00865C47">
              <w:t>Approved on 17 April 2020</w:t>
            </w:r>
          </w:p>
        </w:tc>
        <w:tc>
          <w:tcPr>
            <w:tcW w:w="1795" w:type="pct"/>
          </w:tcPr>
          <w:p w14:paraId="36F645A8" w14:textId="56554FF1" w:rsidR="007F555D" w:rsidRPr="00865C47" w:rsidRDefault="007F555D" w:rsidP="007F555D">
            <w:pPr>
              <w:ind w:left="0"/>
              <w:cnfStyle w:val="000000000000" w:firstRow="0" w:lastRow="0" w:firstColumn="0" w:lastColumn="0" w:oddVBand="0" w:evenVBand="0" w:oddHBand="0" w:evenHBand="0" w:firstRowFirstColumn="0" w:firstRowLastColumn="0" w:lastRowFirstColumn="0" w:lastRowLastColumn="0"/>
              <w:rPr>
                <w:i/>
                <w:iCs/>
              </w:rPr>
            </w:pPr>
            <w:r w:rsidRPr="00865C47">
              <w:rPr>
                <w:i/>
                <w:iCs/>
              </w:rPr>
              <w:t>Pemazyre is a kinase inhibitor indicated for the treatment of adults with previously treated, unresectable locally advanced or metastatic cholangiocarcinoma with a fibroblast growth factor receptor 2 (FGFR2) fusion or other rearrangement as detected by an FDA-approved test.</w:t>
            </w:r>
          </w:p>
        </w:tc>
      </w:tr>
    </w:tbl>
    <w:p w14:paraId="064CCADF" w14:textId="77777777" w:rsidR="00324B33" w:rsidRPr="00865C47" w:rsidRDefault="00324B33" w:rsidP="00324B33">
      <w:pPr>
        <w:pStyle w:val="Heading3"/>
      </w:pPr>
      <w:bookmarkStart w:id="24" w:name="_Toc103679292"/>
      <w:bookmarkStart w:id="25" w:name="_Toc139284930"/>
      <w:r w:rsidRPr="00865C47">
        <w:t>Product Information</w:t>
      </w:r>
      <w:bookmarkEnd w:id="24"/>
      <w:bookmarkEnd w:id="25"/>
    </w:p>
    <w:p w14:paraId="4B0F7D57" w14:textId="56DF1AEA" w:rsidR="00324B33" w:rsidRDefault="00324B33" w:rsidP="00324B33">
      <w:pPr>
        <w:rPr>
          <w:rStyle w:val="Hyperlink"/>
          <w:szCs w:val="22"/>
        </w:rPr>
      </w:pPr>
      <w:bookmarkStart w:id="26" w:name="_Toc504480011"/>
      <w:r w:rsidRPr="00865C47">
        <w:rPr>
          <w:szCs w:val="22"/>
        </w:rPr>
        <w:t xml:space="preserve">The </w:t>
      </w:r>
      <w:hyperlink r:id="rId20" w:history="1">
        <w:r w:rsidRPr="00865C47">
          <w:rPr>
            <w:rStyle w:val="Hyperlink"/>
            <w:szCs w:val="22"/>
          </w:rPr>
          <w:t>Product Information</w:t>
        </w:r>
      </w:hyperlink>
      <w:r w:rsidRPr="00865C47">
        <w:rPr>
          <w:szCs w:val="22"/>
        </w:rPr>
        <w:t xml:space="preserve"> (</w:t>
      </w:r>
      <w:hyperlink r:id="rId21" w:history="1">
        <w:r w:rsidRPr="00865C47">
          <w:rPr>
            <w:rStyle w:val="Hyperlink"/>
            <w:szCs w:val="22"/>
          </w:rPr>
          <w:t>PI</w:t>
        </w:r>
      </w:hyperlink>
      <w:r w:rsidRPr="00865C47">
        <w:rPr>
          <w:szCs w:val="22"/>
        </w:rPr>
        <w:t>) approved with the submission which is described in this AusPAR can be found as Attachment 1. For the most recent PI</w:t>
      </w:r>
      <w:r w:rsidR="00A93DC6" w:rsidRPr="00865C47">
        <w:rPr>
          <w:szCs w:val="22"/>
        </w:rPr>
        <w:t xml:space="preserve"> and </w:t>
      </w:r>
      <w:hyperlink r:id="rId22" w:history="1">
        <w:r w:rsidR="00A93DC6" w:rsidRPr="00865C47">
          <w:rPr>
            <w:rStyle w:val="Hyperlink"/>
            <w:szCs w:val="22"/>
          </w:rPr>
          <w:t>Consumer Medicines Information</w:t>
        </w:r>
      </w:hyperlink>
      <w:r w:rsidR="00A93DC6" w:rsidRPr="00865C47">
        <w:rPr>
          <w:szCs w:val="22"/>
        </w:rPr>
        <w:t xml:space="preserve"> (CMI)</w:t>
      </w:r>
      <w:r w:rsidRPr="00865C47">
        <w:rPr>
          <w:szCs w:val="22"/>
        </w:rPr>
        <w:t xml:space="preserve">, please refer to the TGA </w:t>
      </w:r>
      <w:hyperlink r:id="rId23" w:history="1">
        <w:r w:rsidRPr="00865C47">
          <w:rPr>
            <w:rStyle w:val="Hyperlink"/>
            <w:szCs w:val="22"/>
          </w:rPr>
          <w:t>PI/CMI search facility.</w:t>
        </w:r>
      </w:hyperlink>
    </w:p>
    <w:p w14:paraId="450725E4" w14:textId="2166D6CA" w:rsidR="007F4E96" w:rsidRPr="004C535F" w:rsidRDefault="007F4E96" w:rsidP="00324B33">
      <w:pPr>
        <w:rPr>
          <w:color w:val="0000FF"/>
          <w:szCs w:val="22"/>
          <w:u w:val="single"/>
        </w:rPr>
      </w:pPr>
      <w:r>
        <w:rPr>
          <w:rStyle w:val="Hyperlink"/>
          <w:szCs w:val="22"/>
        </w:rPr>
        <w:br w:type="page"/>
      </w:r>
    </w:p>
    <w:p w14:paraId="6D92589C" w14:textId="77777777" w:rsidR="00324B33" w:rsidRPr="00865C47" w:rsidRDefault="00324B33" w:rsidP="00324B33">
      <w:pPr>
        <w:pStyle w:val="Heading2"/>
      </w:pPr>
      <w:bookmarkStart w:id="27" w:name="_Toc103679293"/>
      <w:bookmarkStart w:id="28" w:name="_Toc139284931"/>
      <w:r w:rsidRPr="00865C47">
        <w:lastRenderedPageBreak/>
        <w:t>Registration timeline</w:t>
      </w:r>
      <w:bookmarkEnd w:id="26"/>
      <w:bookmarkEnd w:id="27"/>
      <w:bookmarkEnd w:id="28"/>
    </w:p>
    <w:p w14:paraId="225E3D87" w14:textId="1F3070CE" w:rsidR="00324B33" w:rsidRPr="00865C47" w:rsidRDefault="00324B33" w:rsidP="00324B33">
      <w:pPr>
        <w:rPr>
          <w:szCs w:val="22"/>
        </w:rPr>
      </w:pPr>
      <w:r w:rsidRPr="00865C47">
        <w:rPr>
          <w:szCs w:val="22"/>
        </w:rPr>
        <w:t>The following table captures the key steps and dates for this submission.</w:t>
      </w:r>
    </w:p>
    <w:p w14:paraId="1B885475" w14:textId="48186FCE" w:rsidR="00535DFE" w:rsidRPr="00865C47" w:rsidRDefault="00535DFE" w:rsidP="00324B33">
      <w:pPr>
        <w:rPr>
          <w:szCs w:val="22"/>
        </w:rPr>
      </w:pPr>
      <w:r w:rsidRPr="00865C47">
        <w:rPr>
          <w:szCs w:val="22"/>
        </w:rPr>
        <w:t xml:space="preserve">This submission was evaluated under the </w:t>
      </w:r>
      <w:hyperlink r:id="rId24" w:history="1">
        <w:r w:rsidRPr="00865C47">
          <w:rPr>
            <w:rStyle w:val="Hyperlink"/>
            <w:szCs w:val="22"/>
          </w:rPr>
          <w:t>provisional registration process</w:t>
        </w:r>
      </w:hyperlink>
      <w:r w:rsidRPr="00865C47">
        <w:rPr>
          <w:szCs w:val="22"/>
        </w:rPr>
        <w:t>.</w:t>
      </w:r>
    </w:p>
    <w:p w14:paraId="44628C5F" w14:textId="7CF7EC5A" w:rsidR="00324B33" w:rsidRPr="00865C47" w:rsidRDefault="00324B33" w:rsidP="008A51BB">
      <w:pPr>
        <w:pStyle w:val="TableTitle"/>
      </w:pPr>
      <w:r w:rsidRPr="00865C47">
        <w:t xml:space="preserve">Table </w:t>
      </w:r>
      <w:r w:rsidR="00547529">
        <w:fldChar w:fldCharType="begin"/>
      </w:r>
      <w:r w:rsidR="00547529">
        <w:instrText xml:space="preserve"> SEQ Table \* ARABIC </w:instrText>
      </w:r>
      <w:r w:rsidR="00547529">
        <w:fldChar w:fldCharType="separate"/>
      </w:r>
      <w:r w:rsidR="005D22F2">
        <w:rPr>
          <w:noProof/>
        </w:rPr>
        <w:t>2</w:t>
      </w:r>
      <w:r w:rsidR="00547529">
        <w:rPr>
          <w:noProof/>
        </w:rPr>
        <w:fldChar w:fldCharType="end"/>
      </w:r>
      <w:r w:rsidRPr="00865C47">
        <w:t xml:space="preserve">: Timeline for Submission </w:t>
      </w:r>
      <w:r w:rsidR="008A58D2" w:rsidRPr="00865C47">
        <w:t>PM-2021-03777-1-4</w:t>
      </w:r>
    </w:p>
    <w:tbl>
      <w:tblPr>
        <w:tblStyle w:val="TableTGAblue2023"/>
        <w:tblW w:w="8642" w:type="dxa"/>
        <w:tblLook w:val="04A0" w:firstRow="1" w:lastRow="0" w:firstColumn="1" w:lastColumn="0" w:noHBand="0" w:noVBand="1"/>
      </w:tblPr>
      <w:tblGrid>
        <w:gridCol w:w="4390"/>
        <w:gridCol w:w="4252"/>
      </w:tblGrid>
      <w:tr w:rsidR="00324B33" w:rsidRPr="00865C47" w14:paraId="6C59BE9C" w14:textId="77777777" w:rsidTr="00324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6D80E78" w14:textId="3EC0CCAF" w:rsidR="00324B33" w:rsidRPr="00865C47" w:rsidRDefault="00324B33" w:rsidP="00324B33">
            <w:pPr>
              <w:rPr>
                <w:szCs w:val="22"/>
              </w:rPr>
            </w:pPr>
            <w:r w:rsidRPr="00865C47">
              <w:rPr>
                <w:szCs w:val="22"/>
              </w:rPr>
              <w:t>Description</w:t>
            </w:r>
          </w:p>
        </w:tc>
        <w:tc>
          <w:tcPr>
            <w:tcW w:w="4252" w:type="dxa"/>
          </w:tcPr>
          <w:p w14:paraId="79AFDC4B" w14:textId="05792035" w:rsidR="00324B33" w:rsidRPr="00865C47"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865C47">
              <w:rPr>
                <w:szCs w:val="22"/>
              </w:rPr>
              <w:t>Date</w:t>
            </w:r>
          </w:p>
        </w:tc>
      </w:tr>
      <w:tr w:rsidR="00324B33" w:rsidRPr="00865C47" w14:paraId="1398460B"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106CC1E" w14:textId="439E4E7F" w:rsidR="00324B33" w:rsidRPr="00865C47" w:rsidRDefault="00324B33" w:rsidP="00854D98">
            <w:pPr>
              <w:pStyle w:val="Instructions"/>
              <w:rPr>
                <w:i w:val="0"/>
                <w:iCs/>
                <w:color w:val="000000" w:themeColor="text1"/>
              </w:rPr>
            </w:pPr>
            <w:r w:rsidRPr="00865C47">
              <w:rPr>
                <w:i w:val="0"/>
                <w:iCs/>
                <w:color w:val="000000" w:themeColor="text1"/>
              </w:rPr>
              <w:t>Designation (Orphan)</w:t>
            </w:r>
          </w:p>
        </w:tc>
        <w:tc>
          <w:tcPr>
            <w:tcW w:w="4252" w:type="dxa"/>
          </w:tcPr>
          <w:p w14:paraId="4CD143CF" w14:textId="576174E2" w:rsidR="00324B33" w:rsidRPr="00865C47" w:rsidRDefault="008A58D2" w:rsidP="00324B33">
            <w:pPr>
              <w:cnfStyle w:val="000000000000" w:firstRow="0" w:lastRow="0" w:firstColumn="0" w:lastColumn="0" w:oddVBand="0" w:evenVBand="0" w:oddHBand="0" w:evenHBand="0" w:firstRowFirstColumn="0" w:firstRowLastColumn="0" w:lastRowFirstColumn="0" w:lastRowLastColumn="0"/>
              <w:rPr>
                <w:szCs w:val="22"/>
              </w:rPr>
            </w:pPr>
            <w:r w:rsidRPr="00865C47">
              <w:t>21 April 2021</w:t>
            </w:r>
          </w:p>
        </w:tc>
      </w:tr>
      <w:tr w:rsidR="00324B33" w:rsidRPr="00865C47" w14:paraId="0556FE3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9DFA3AA" w14:textId="62678DEA" w:rsidR="00324B33" w:rsidRPr="00865C47" w:rsidRDefault="00324B33" w:rsidP="00854D98">
            <w:pPr>
              <w:pStyle w:val="Instructions"/>
              <w:rPr>
                <w:i w:val="0"/>
                <w:iCs/>
                <w:color w:val="000000" w:themeColor="text1"/>
              </w:rPr>
            </w:pPr>
            <w:r w:rsidRPr="00865C47">
              <w:rPr>
                <w:i w:val="0"/>
                <w:iCs/>
                <w:color w:val="000000" w:themeColor="text1"/>
              </w:rPr>
              <w:t>Determination (Provisional)</w:t>
            </w:r>
          </w:p>
        </w:tc>
        <w:tc>
          <w:tcPr>
            <w:tcW w:w="4252" w:type="dxa"/>
          </w:tcPr>
          <w:p w14:paraId="239696E3" w14:textId="6CE2CD59" w:rsidR="00324B33" w:rsidRPr="00865C47" w:rsidRDefault="008A58D2" w:rsidP="00324B33">
            <w:pPr>
              <w:cnfStyle w:val="000000000000" w:firstRow="0" w:lastRow="0" w:firstColumn="0" w:lastColumn="0" w:oddVBand="0" w:evenVBand="0" w:oddHBand="0" w:evenHBand="0" w:firstRowFirstColumn="0" w:firstRowLastColumn="0" w:lastRowFirstColumn="0" w:lastRowLastColumn="0"/>
              <w:rPr>
                <w:szCs w:val="22"/>
              </w:rPr>
            </w:pPr>
            <w:r w:rsidRPr="00865C47">
              <w:t>21 April 2021</w:t>
            </w:r>
          </w:p>
        </w:tc>
      </w:tr>
      <w:tr w:rsidR="008A58D2" w:rsidRPr="00865C47" w14:paraId="23610C53"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59D2A12" w14:textId="0D705F83" w:rsidR="008A58D2" w:rsidRPr="00865C47" w:rsidRDefault="008A58D2" w:rsidP="008A58D2">
            <w:pPr>
              <w:rPr>
                <w:color w:val="000000" w:themeColor="text1"/>
                <w:szCs w:val="22"/>
              </w:rPr>
            </w:pPr>
            <w:r w:rsidRPr="00865C47">
              <w:rPr>
                <w:color w:val="000000" w:themeColor="text1"/>
                <w:szCs w:val="22"/>
              </w:rPr>
              <w:t>Submission dossier accepted and first round evaluation commenced</w:t>
            </w:r>
          </w:p>
        </w:tc>
        <w:tc>
          <w:tcPr>
            <w:tcW w:w="4252" w:type="dxa"/>
          </w:tcPr>
          <w:p w14:paraId="2963D9D8" w14:textId="6A8468C9"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30 September 2021</w:t>
            </w:r>
          </w:p>
        </w:tc>
      </w:tr>
      <w:tr w:rsidR="008A58D2" w:rsidRPr="00865C47" w14:paraId="5343781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C037D4E" w14:textId="2B0CE255" w:rsidR="008A58D2" w:rsidRPr="00865C47" w:rsidRDefault="008A58D2" w:rsidP="008A58D2">
            <w:pPr>
              <w:rPr>
                <w:color w:val="000000" w:themeColor="text1"/>
                <w:szCs w:val="22"/>
              </w:rPr>
            </w:pPr>
            <w:r w:rsidRPr="00865C47">
              <w:rPr>
                <w:color w:val="000000" w:themeColor="text1"/>
                <w:szCs w:val="22"/>
              </w:rPr>
              <w:t>First round evaluation completed</w:t>
            </w:r>
          </w:p>
        </w:tc>
        <w:tc>
          <w:tcPr>
            <w:tcW w:w="4252" w:type="dxa"/>
          </w:tcPr>
          <w:p w14:paraId="3CEAFAAB" w14:textId="32148327" w:rsidR="008A58D2" w:rsidRPr="00865C47" w:rsidRDefault="0083096F" w:rsidP="008A58D2">
            <w:pPr>
              <w:cnfStyle w:val="000000000000" w:firstRow="0" w:lastRow="0" w:firstColumn="0" w:lastColumn="0" w:oddVBand="0" w:evenVBand="0" w:oddHBand="0" w:evenHBand="0" w:firstRowFirstColumn="0" w:firstRowLastColumn="0" w:lastRowFirstColumn="0" w:lastRowLastColumn="0"/>
              <w:rPr>
                <w:szCs w:val="22"/>
              </w:rPr>
            </w:pPr>
            <w:r w:rsidRPr="0083096F">
              <w:t>4 March 2022</w:t>
            </w:r>
          </w:p>
        </w:tc>
      </w:tr>
      <w:tr w:rsidR="008A58D2" w:rsidRPr="00865C47" w14:paraId="60DA57C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02EA1147" w14:textId="2853A422" w:rsidR="008A58D2" w:rsidRPr="00865C47" w:rsidRDefault="008A58D2" w:rsidP="008A58D2">
            <w:pPr>
              <w:rPr>
                <w:color w:val="000000" w:themeColor="text1"/>
                <w:szCs w:val="22"/>
              </w:rPr>
            </w:pPr>
            <w:r w:rsidRPr="00865C47">
              <w:rPr>
                <w:color w:val="000000" w:themeColor="text1"/>
                <w:szCs w:val="22"/>
              </w:rPr>
              <w:t>Sponsor provides responses on questions raised in first round evaluation</w:t>
            </w:r>
          </w:p>
        </w:tc>
        <w:tc>
          <w:tcPr>
            <w:tcW w:w="4252" w:type="dxa"/>
          </w:tcPr>
          <w:p w14:paraId="68A577C1" w14:textId="57F837EC" w:rsidR="008A58D2" w:rsidRPr="00865C47" w:rsidRDefault="0083096F" w:rsidP="008A58D2">
            <w:pPr>
              <w:cnfStyle w:val="000000000000" w:firstRow="0" w:lastRow="0" w:firstColumn="0" w:lastColumn="0" w:oddVBand="0" w:evenVBand="0" w:oddHBand="0" w:evenHBand="0" w:firstRowFirstColumn="0" w:firstRowLastColumn="0" w:lastRowFirstColumn="0" w:lastRowLastColumn="0"/>
              <w:rPr>
                <w:szCs w:val="22"/>
              </w:rPr>
            </w:pPr>
            <w:r w:rsidRPr="0083096F">
              <w:t>4 May 2022</w:t>
            </w:r>
          </w:p>
        </w:tc>
      </w:tr>
      <w:tr w:rsidR="008A58D2" w:rsidRPr="00865C47" w14:paraId="767E33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AFC5B50" w14:textId="2BCC6A3E" w:rsidR="008A58D2" w:rsidRPr="00865C47" w:rsidRDefault="008A58D2" w:rsidP="008A58D2">
            <w:pPr>
              <w:rPr>
                <w:color w:val="000000" w:themeColor="text1"/>
                <w:szCs w:val="22"/>
              </w:rPr>
            </w:pPr>
            <w:r w:rsidRPr="00865C47">
              <w:rPr>
                <w:color w:val="000000" w:themeColor="text1"/>
                <w:szCs w:val="22"/>
              </w:rPr>
              <w:t>Second round evaluation completed</w:t>
            </w:r>
          </w:p>
        </w:tc>
        <w:tc>
          <w:tcPr>
            <w:tcW w:w="4252" w:type="dxa"/>
          </w:tcPr>
          <w:p w14:paraId="4E47DF62" w14:textId="688640E2" w:rsidR="008A58D2" w:rsidRPr="00865C47" w:rsidRDefault="0083096F" w:rsidP="008A58D2">
            <w:pPr>
              <w:cnfStyle w:val="000000000000" w:firstRow="0" w:lastRow="0" w:firstColumn="0" w:lastColumn="0" w:oddVBand="0" w:evenVBand="0" w:oddHBand="0" w:evenHBand="0" w:firstRowFirstColumn="0" w:firstRowLastColumn="0" w:lastRowFirstColumn="0" w:lastRowLastColumn="0"/>
              <w:rPr>
                <w:szCs w:val="22"/>
              </w:rPr>
            </w:pPr>
            <w:r w:rsidRPr="0083096F">
              <w:t>2 June 2022.</w:t>
            </w:r>
          </w:p>
        </w:tc>
      </w:tr>
      <w:tr w:rsidR="008A58D2" w:rsidRPr="00865C47" w14:paraId="302FCB45"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16E9DC1" w14:textId="5A629681" w:rsidR="008A58D2" w:rsidRPr="00865C47" w:rsidRDefault="008A58D2" w:rsidP="008A58D2">
            <w:pPr>
              <w:rPr>
                <w:color w:val="000000" w:themeColor="text1"/>
                <w:szCs w:val="22"/>
              </w:rPr>
            </w:pPr>
            <w:r w:rsidRPr="00865C47">
              <w:rPr>
                <w:color w:val="000000" w:themeColor="text1"/>
                <w:szCs w:val="22"/>
              </w:rPr>
              <w:t>Delegate’s Overall benefit-risk assessment and request for Advisory Committee advice</w:t>
            </w:r>
          </w:p>
        </w:tc>
        <w:tc>
          <w:tcPr>
            <w:tcW w:w="4252" w:type="dxa"/>
          </w:tcPr>
          <w:p w14:paraId="3BA6EF79" w14:textId="10003DB1"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30 June 2022</w:t>
            </w:r>
          </w:p>
        </w:tc>
      </w:tr>
      <w:tr w:rsidR="008A58D2" w:rsidRPr="00865C47" w14:paraId="5832EBC8"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20592DE" w14:textId="1F72CD22" w:rsidR="008A58D2" w:rsidRPr="00865C47" w:rsidRDefault="008A58D2" w:rsidP="008A58D2">
            <w:pPr>
              <w:rPr>
                <w:szCs w:val="22"/>
              </w:rPr>
            </w:pPr>
            <w:r w:rsidRPr="00865C47">
              <w:rPr>
                <w:szCs w:val="22"/>
              </w:rPr>
              <w:t>Sponsor’s pre-Advisory Committee response</w:t>
            </w:r>
          </w:p>
        </w:tc>
        <w:tc>
          <w:tcPr>
            <w:tcW w:w="4252" w:type="dxa"/>
          </w:tcPr>
          <w:p w14:paraId="5AE04841" w14:textId="01740A61"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1</w:t>
            </w:r>
            <w:r w:rsidR="0083096F">
              <w:t>8</w:t>
            </w:r>
            <w:r w:rsidRPr="00865C47">
              <w:t xml:space="preserve"> July 2022</w:t>
            </w:r>
          </w:p>
        </w:tc>
      </w:tr>
      <w:tr w:rsidR="008A58D2" w:rsidRPr="00865C47" w14:paraId="5754F7AC"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9DE187" w14:textId="123446EE" w:rsidR="008A58D2" w:rsidRPr="00865C47" w:rsidRDefault="008A58D2" w:rsidP="008A58D2">
            <w:pPr>
              <w:rPr>
                <w:szCs w:val="22"/>
              </w:rPr>
            </w:pPr>
            <w:r w:rsidRPr="00865C47">
              <w:rPr>
                <w:szCs w:val="22"/>
              </w:rPr>
              <w:t>Advisory Committee meeting</w:t>
            </w:r>
          </w:p>
        </w:tc>
        <w:tc>
          <w:tcPr>
            <w:tcW w:w="4252" w:type="dxa"/>
          </w:tcPr>
          <w:p w14:paraId="5BE1EDE7" w14:textId="0C892D6A"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4 and 5 August 2022</w:t>
            </w:r>
          </w:p>
        </w:tc>
      </w:tr>
      <w:tr w:rsidR="008A58D2" w:rsidRPr="00865C47" w14:paraId="6E5D32FE"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4E95C44C" w14:textId="7A91C710" w:rsidR="008A58D2" w:rsidRPr="00865C47" w:rsidRDefault="008A58D2" w:rsidP="008A58D2">
            <w:pPr>
              <w:rPr>
                <w:szCs w:val="22"/>
              </w:rPr>
            </w:pPr>
            <w:r w:rsidRPr="00865C47">
              <w:rPr>
                <w:szCs w:val="22"/>
              </w:rPr>
              <w:t>Registration decision (Outcome)</w:t>
            </w:r>
          </w:p>
        </w:tc>
        <w:tc>
          <w:tcPr>
            <w:tcW w:w="4252" w:type="dxa"/>
          </w:tcPr>
          <w:p w14:paraId="62987ABD" w14:textId="059FF847"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12 September 2022</w:t>
            </w:r>
          </w:p>
        </w:tc>
      </w:tr>
      <w:tr w:rsidR="008A58D2" w:rsidRPr="00865C47" w14:paraId="6DDCDDA4"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192FD19D" w14:textId="7D5F96C5" w:rsidR="008A58D2" w:rsidRPr="00865C47" w:rsidRDefault="008A58D2" w:rsidP="008A58D2">
            <w:pPr>
              <w:rPr>
                <w:szCs w:val="22"/>
              </w:rPr>
            </w:pPr>
            <w:r w:rsidRPr="00865C47">
              <w:t>Administrative activities and registration on the ARTG completed</w:t>
            </w:r>
          </w:p>
        </w:tc>
        <w:tc>
          <w:tcPr>
            <w:tcW w:w="4252" w:type="dxa"/>
          </w:tcPr>
          <w:p w14:paraId="5A8923FD" w14:textId="65047B2E"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14 September 2022</w:t>
            </w:r>
          </w:p>
        </w:tc>
      </w:tr>
      <w:tr w:rsidR="008A58D2" w:rsidRPr="00865C47" w14:paraId="56D922E2" w14:textId="77777777" w:rsidTr="00324B33">
        <w:tc>
          <w:tcPr>
            <w:cnfStyle w:val="001000000000" w:firstRow="0" w:lastRow="0" w:firstColumn="1" w:lastColumn="0" w:oddVBand="0" w:evenVBand="0" w:oddHBand="0" w:evenHBand="0" w:firstRowFirstColumn="0" w:firstRowLastColumn="0" w:lastRowFirstColumn="0" w:lastRowLastColumn="0"/>
            <w:tcW w:w="4390" w:type="dxa"/>
          </w:tcPr>
          <w:p w14:paraId="787FD8DD" w14:textId="0E0CF97F" w:rsidR="008A58D2" w:rsidRPr="00865C47" w:rsidRDefault="008A58D2" w:rsidP="008A58D2">
            <w:pPr>
              <w:rPr>
                <w:szCs w:val="22"/>
              </w:rPr>
            </w:pPr>
            <w:r w:rsidRPr="00865C47">
              <w:rPr>
                <w:szCs w:val="22"/>
              </w:rPr>
              <w:t>Number of working days from submission dossier acceptance to registration decision*</w:t>
            </w:r>
          </w:p>
        </w:tc>
        <w:tc>
          <w:tcPr>
            <w:tcW w:w="4252" w:type="dxa"/>
          </w:tcPr>
          <w:p w14:paraId="5BAF9FA1" w14:textId="77F6872C" w:rsidR="008A58D2" w:rsidRPr="00865C47" w:rsidRDefault="008A58D2" w:rsidP="008A58D2">
            <w:pPr>
              <w:cnfStyle w:val="000000000000" w:firstRow="0" w:lastRow="0" w:firstColumn="0" w:lastColumn="0" w:oddVBand="0" w:evenVBand="0" w:oddHBand="0" w:evenHBand="0" w:firstRowFirstColumn="0" w:firstRowLastColumn="0" w:lastRowFirstColumn="0" w:lastRowLastColumn="0"/>
              <w:rPr>
                <w:szCs w:val="22"/>
              </w:rPr>
            </w:pPr>
            <w:r w:rsidRPr="00865C47">
              <w:t>194</w:t>
            </w:r>
          </w:p>
        </w:tc>
      </w:tr>
    </w:tbl>
    <w:p w14:paraId="7B02554C" w14:textId="77777777" w:rsidR="00433318" w:rsidRPr="00865C47" w:rsidRDefault="00433318" w:rsidP="00433318">
      <w:pPr>
        <w:pStyle w:val="TableDescription"/>
      </w:pPr>
      <w:r w:rsidRPr="00865C47">
        <w:t>*Statutory timeframe for standard submissions is 255 working days</w:t>
      </w:r>
    </w:p>
    <w:p w14:paraId="220925F1" w14:textId="77777777" w:rsidR="00C22214" w:rsidRPr="00865C47" w:rsidRDefault="00C22214" w:rsidP="00C22214">
      <w:pPr>
        <w:pStyle w:val="Heading2"/>
      </w:pPr>
      <w:bookmarkStart w:id="29" w:name="_Toc196046504"/>
      <w:bookmarkStart w:id="30" w:name="_Toc247691527"/>
      <w:bookmarkStart w:id="31" w:name="_Toc314842510"/>
      <w:bookmarkStart w:id="32" w:name="_Toc103679294"/>
      <w:bookmarkStart w:id="33" w:name="_Toc139284932"/>
      <w:r w:rsidRPr="00865C47">
        <w:t>Submission overview and risk/benefit assessment</w:t>
      </w:r>
      <w:bookmarkEnd w:id="29"/>
      <w:bookmarkEnd w:id="30"/>
      <w:bookmarkEnd w:id="31"/>
      <w:bookmarkEnd w:id="32"/>
      <w:bookmarkEnd w:id="33"/>
    </w:p>
    <w:p w14:paraId="540151FC" w14:textId="77777777" w:rsidR="00C22214" w:rsidRPr="00865C47" w:rsidRDefault="00C22214" w:rsidP="00BD5DBD">
      <w:pPr>
        <w:rPr>
          <w:szCs w:val="22"/>
        </w:rPr>
      </w:pPr>
      <w:bookmarkStart w:id="34" w:name="_Toc247691528"/>
      <w:bookmarkStart w:id="35" w:name="_Toc314842511"/>
      <w:r w:rsidRPr="00865C47">
        <w:rPr>
          <w:szCs w:val="22"/>
        </w:rPr>
        <w:t>A summary of the TGA’s assessment for this submission is provided below.</w:t>
      </w:r>
    </w:p>
    <w:p w14:paraId="668E3E84" w14:textId="29480458" w:rsidR="007072A1" w:rsidRPr="00865C47" w:rsidRDefault="007072A1" w:rsidP="00966EF1">
      <w:pPr>
        <w:rPr>
          <w:szCs w:val="22"/>
        </w:rPr>
      </w:pPr>
      <w:r w:rsidRPr="00865C47">
        <w:rPr>
          <w:szCs w:val="22"/>
        </w:rPr>
        <w:t>Relevant guidelines or guidance documents referred to by the Delegate are listed below:</w:t>
      </w:r>
    </w:p>
    <w:p w14:paraId="58B95B74" w14:textId="77777777" w:rsidR="00865C47" w:rsidRPr="00865C47" w:rsidRDefault="00865C47" w:rsidP="007F555D">
      <w:pPr>
        <w:pStyle w:val="ListBullet"/>
      </w:pPr>
      <w:r w:rsidRPr="00865C47">
        <w:t>National Comprehensive Cancer Network (NCCN) NCCN Clinical Practice Guidelines in Oncology - Hepatobiliary Cancers, Version 5.2021; 2021.</w:t>
      </w:r>
    </w:p>
    <w:p w14:paraId="1769205D" w14:textId="63A3797B" w:rsidR="007F555D" w:rsidRPr="00865C47" w:rsidRDefault="00865C47" w:rsidP="00946A46">
      <w:pPr>
        <w:pStyle w:val="ListBullet"/>
      </w:pPr>
      <w:r w:rsidRPr="00865C47">
        <w:t xml:space="preserve">Valle, J.W. et al. </w:t>
      </w:r>
      <w:r w:rsidR="007F555D" w:rsidRPr="00865C47">
        <w:t xml:space="preserve">Biliary </w:t>
      </w:r>
      <w:r w:rsidRPr="00865C47">
        <w:t>Cancer</w:t>
      </w:r>
      <w:r w:rsidR="007F555D" w:rsidRPr="00865C47">
        <w:t xml:space="preserve">: ESMO Clinical Practice Guidelines for </w:t>
      </w:r>
      <w:r w:rsidRPr="00865C47">
        <w:t xml:space="preserve">Diagnosis, Treatment </w:t>
      </w:r>
      <w:r w:rsidR="007F555D" w:rsidRPr="00865C47">
        <w:t xml:space="preserve">and </w:t>
      </w:r>
      <w:r w:rsidRPr="00865C47">
        <w:t>Follow</w:t>
      </w:r>
      <w:r w:rsidR="008A51BB" w:rsidRPr="00865C47">
        <w:t>-</w:t>
      </w:r>
      <w:r w:rsidR="007F555D" w:rsidRPr="00865C47">
        <w:t>up</w:t>
      </w:r>
      <w:r w:rsidRPr="00865C47">
        <w:t xml:space="preserve">, </w:t>
      </w:r>
      <w:r w:rsidRPr="00865C47">
        <w:rPr>
          <w:i/>
          <w:iCs/>
        </w:rPr>
        <w:t>Ann Oncol</w:t>
      </w:r>
      <w:r w:rsidRPr="00865C47">
        <w:t>, 2016; 27(suppl 5): v28-v37</w:t>
      </w:r>
      <w:r w:rsidR="007F555D" w:rsidRPr="00865C47">
        <w:t>.</w:t>
      </w:r>
    </w:p>
    <w:p w14:paraId="37F5A1C0" w14:textId="77777777" w:rsidR="00C22214" w:rsidRPr="00865C47" w:rsidRDefault="00C22214" w:rsidP="00C22214">
      <w:pPr>
        <w:pStyle w:val="Heading3"/>
      </w:pPr>
      <w:bookmarkStart w:id="36" w:name="_Toc103679295"/>
      <w:bookmarkStart w:id="37" w:name="_Toc139284933"/>
      <w:r w:rsidRPr="00865C47">
        <w:lastRenderedPageBreak/>
        <w:t>Quality</w:t>
      </w:r>
      <w:bookmarkEnd w:id="34"/>
      <w:bookmarkEnd w:id="35"/>
      <w:bookmarkEnd w:id="36"/>
      <w:bookmarkEnd w:id="37"/>
    </w:p>
    <w:p w14:paraId="5A34208F" w14:textId="5AD9D0A4" w:rsidR="009420E3" w:rsidRPr="00865C47" w:rsidRDefault="007F555D" w:rsidP="007F555D">
      <w:r w:rsidRPr="00865C47">
        <w:t>Pemigatinib is a kinase inhibitor of FGFR1, 2 and 3 which inhibits FGFR phosphorylation and signalling and decreases cell viability in cells expressing FGFR genetic alterations, including point mutations, amplifications, and fusions or rearrangements.</w:t>
      </w:r>
      <w:r w:rsidR="009420E3" w:rsidRPr="00865C47">
        <w:t xml:space="preserve"> The chemical structure of pemigatinib is shown in </w:t>
      </w:r>
      <w:r w:rsidR="009420E3" w:rsidRPr="00865C47">
        <w:fldChar w:fldCharType="begin"/>
      </w:r>
      <w:r w:rsidR="009420E3" w:rsidRPr="00865C47">
        <w:instrText xml:space="preserve"> REF _Ref135920092 \h </w:instrText>
      </w:r>
      <w:r w:rsidR="000C4DEF" w:rsidRPr="00865C47">
        <w:instrText xml:space="preserve"> \* MERGEFORMAT </w:instrText>
      </w:r>
      <w:r w:rsidR="009420E3" w:rsidRPr="00865C47">
        <w:fldChar w:fldCharType="separate"/>
      </w:r>
      <w:r w:rsidR="005D22F2" w:rsidRPr="00865C47">
        <w:t xml:space="preserve">Figure </w:t>
      </w:r>
      <w:r w:rsidR="005D22F2">
        <w:rPr>
          <w:noProof/>
        </w:rPr>
        <w:t>1</w:t>
      </w:r>
      <w:r w:rsidR="009420E3" w:rsidRPr="00865C47">
        <w:fldChar w:fldCharType="end"/>
      </w:r>
      <w:r w:rsidR="009420E3" w:rsidRPr="00865C47">
        <w:t xml:space="preserve"> below.</w:t>
      </w:r>
    </w:p>
    <w:p w14:paraId="59B8E8AA" w14:textId="06BE2AB0" w:rsidR="009420E3" w:rsidRPr="00865C47" w:rsidRDefault="009420E3" w:rsidP="008A51BB">
      <w:pPr>
        <w:pStyle w:val="FigureTitle"/>
      </w:pPr>
      <w:bookmarkStart w:id="38" w:name="_Ref135920092"/>
      <w:r w:rsidRPr="00865C47">
        <w:t xml:space="preserve">Figure </w:t>
      </w:r>
      <w:r w:rsidR="00547529">
        <w:fldChar w:fldCharType="begin"/>
      </w:r>
      <w:r w:rsidR="00547529">
        <w:instrText xml:space="preserve"> SEQ Figure \* ARABIC </w:instrText>
      </w:r>
      <w:r w:rsidR="00547529">
        <w:fldChar w:fldCharType="separate"/>
      </w:r>
      <w:r w:rsidR="005D22F2">
        <w:rPr>
          <w:noProof/>
        </w:rPr>
        <w:t>1</w:t>
      </w:r>
      <w:r w:rsidR="00547529">
        <w:rPr>
          <w:noProof/>
        </w:rPr>
        <w:fldChar w:fldCharType="end"/>
      </w:r>
      <w:bookmarkEnd w:id="38"/>
      <w:r w:rsidRPr="00865C47">
        <w:t>: Chemical structure of pemigatinib</w:t>
      </w:r>
    </w:p>
    <w:p w14:paraId="133CE9F8" w14:textId="2BEB02E6" w:rsidR="007F555D" w:rsidRPr="00865C47" w:rsidRDefault="007F555D" w:rsidP="009420E3">
      <w:r w:rsidRPr="00865C47">
        <w:rPr>
          <w:noProof/>
          <w:lang w:val="en-GB" w:eastAsia="en-GB"/>
        </w:rPr>
        <w:drawing>
          <wp:inline distT="0" distB="0" distL="0" distR="0" wp14:anchorId="5010883E" wp14:editId="7D71F9E3">
            <wp:extent cx="1782032" cy="1127760"/>
            <wp:effectExtent l="0" t="0" r="8890" b="0"/>
            <wp:docPr id="36" name="Picture 36" descr="Figure 1: Chemical structure of pemiga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 Chemical structure of pemigatinib"/>
                    <pic:cNvPicPr/>
                  </pic:nvPicPr>
                  <pic:blipFill>
                    <a:blip r:embed="rId25"/>
                    <a:stretch>
                      <a:fillRect/>
                    </a:stretch>
                  </pic:blipFill>
                  <pic:spPr>
                    <a:xfrm>
                      <a:off x="0" y="0"/>
                      <a:ext cx="1802475" cy="1140697"/>
                    </a:xfrm>
                    <a:prstGeom prst="rect">
                      <a:avLst/>
                    </a:prstGeom>
                  </pic:spPr>
                </pic:pic>
              </a:graphicData>
            </a:graphic>
          </wp:inline>
        </w:drawing>
      </w:r>
    </w:p>
    <w:p w14:paraId="71DAEC72" w14:textId="3A7255D7" w:rsidR="007F555D" w:rsidRPr="00865C47" w:rsidRDefault="009420E3" w:rsidP="007F555D">
      <w:r w:rsidRPr="00865C47">
        <w:t xml:space="preserve">The drug product is available in 3 different strengths: 4.5 mg, 9 </w:t>
      </w:r>
      <w:proofErr w:type="gramStart"/>
      <w:r w:rsidRPr="00865C47">
        <w:t>mg</w:t>
      </w:r>
      <w:proofErr w:type="gramEnd"/>
      <w:r w:rsidRPr="00865C47">
        <w:t xml:space="preserve"> and 13.5 mg. </w:t>
      </w:r>
      <w:r w:rsidR="007F555D" w:rsidRPr="00865C47">
        <w:t>The 4.5 mg tablets are round (5.8 mm), white to off</w:t>
      </w:r>
      <w:r w:rsidR="008A51BB" w:rsidRPr="00865C47">
        <w:t>-</w:t>
      </w:r>
      <w:r w:rsidR="007F555D" w:rsidRPr="00865C47">
        <w:t xml:space="preserve">white tablet debossed on one side with </w:t>
      </w:r>
      <w:r w:rsidR="00085B3F" w:rsidRPr="00865C47">
        <w:t>‘</w:t>
      </w:r>
      <w:r w:rsidR="007F555D" w:rsidRPr="00865C47">
        <w:t>I</w:t>
      </w:r>
      <w:r w:rsidR="00085B3F" w:rsidRPr="00865C47">
        <w:t>’</w:t>
      </w:r>
      <w:r w:rsidR="007F555D" w:rsidRPr="00865C47">
        <w:t xml:space="preserve"> and </w:t>
      </w:r>
      <w:r w:rsidR="00085B3F" w:rsidRPr="00865C47">
        <w:t>‘</w:t>
      </w:r>
      <w:r w:rsidR="007F555D" w:rsidRPr="00865C47">
        <w:t>4.5</w:t>
      </w:r>
      <w:r w:rsidR="00085B3F" w:rsidRPr="00865C47">
        <w:t>’</w:t>
      </w:r>
      <w:r w:rsidR="007F555D" w:rsidRPr="00865C47">
        <w:t xml:space="preserve"> on the reverse. The 9 mg tablets </w:t>
      </w:r>
      <w:r w:rsidRPr="00865C47">
        <w:t>are o</w:t>
      </w:r>
      <w:r w:rsidR="007F555D" w:rsidRPr="00865C47">
        <w:t>val (10 × 5 mm), white to off</w:t>
      </w:r>
      <w:r w:rsidR="008A51BB" w:rsidRPr="00865C47">
        <w:t>-</w:t>
      </w:r>
      <w:r w:rsidR="007F555D" w:rsidRPr="00865C47">
        <w:t xml:space="preserve">white tablet debossed on one side with </w:t>
      </w:r>
      <w:r w:rsidR="00085B3F" w:rsidRPr="00865C47">
        <w:t>‘</w:t>
      </w:r>
      <w:r w:rsidR="007F555D" w:rsidRPr="00865C47">
        <w:t>I</w:t>
      </w:r>
      <w:r w:rsidR="00085B3F" w:rsidRPr="00865C47">
        <w:t>’</w:t>
      </w:r>
      <w:r w:rsidR="007F555D" w:rsidRPr="00865C47">
        <w:t xml:space="preserve"> and </w:t>
      </w:r>
      <w:r w:rsidR="00085B3F" w:rsidRPr="00865C47">
        <w:t>‘</w:t>
      </w:r>
      <w:r w:rsidR="007F555D" w:rsidRPr="00865C47">
        <w:t>9</w:t>
      </w:r>
      <w:r w:rsidR="00085B3F" w:rsidRPr="00865C47">
        <w:t>’</w:t>
      </w:r>
      <w:r w:rsidR="007F555D" w:rsidRPr="00865C47">
        <w:t xml:space="preserve"> on the reverse. The 13.5 mg tablets </w:t>
      </w:r>
      <w:r w:rsidRPr="00865C47">
        <w:t>are r</w:t>
      </w:r>
      <w:r w:rsidR="007F555D" w:rsidRPr="00865C47">
        <w:t xml:space="preserve">ound (8.5 mm), white to off-white tablet debossed on one side with </w:t>
      </w:r>
      <w:r w:rsidR="00085B3F" w:rsidRPr="00865C47">
        <w:t>‘</w:t>
      </w:r>
      <w:r w:rsidR="007F555D" w:rsidRPr="00865C47">
        <w:t>I</w:t>
      </w:r>
      <w:r w:rsidR="00085B3F" w:rsidRPr="00865C47">
        <w:t>’</w:t>
      </w:r>
      <w:r w:rsidR="007F555D" w:rsidRPr="00865C47">
        <w:t xml:space="preserve"> and </w:t>
      </w:r>
      <w:r w:rsidR="00085B3F" w:rsidRPr="00865C47">
        <w:t>‘</w:t>
      </w:r>
      <w:r w:rsidR="007F555D" w:rsidRPr="00865C47">
        <w:t>13.5</w:t>
      </w:r>
      <w:r w:rsidR="00085B3F" w:rsidRPr="00865C47">
        <w:t>’</w:t>
      </w:r>
      <w:r w:rsidR="007F555D" w:rsidRPr="00865C47">
        <w:t xml:space="preserve"> on the reverse.</w:t>
      </w:r>
    </w:p>
    <w:p w14:paraId="3661578E" w14:textId="77777777" w:rsidR="009420E3" w:rsidRPr="00865C47" w:rsidRDefault="009420E3" w:rsidP="009420E3">
      <w:r w:rsidRPr="00865C47">
        <w:t xml:space="preserve">The proposed container was </w:t>
      </w:r>
      <w:proofErr w:type="spellStart"/>
      <w:r w:rsidRPr="00865C47">
        <w:t>Alcar</w:t>
      </w:r>
      <w:proofErr w:type="spellEnd"/>
      <w:r w:rsidRPr="00865C47">
        <w:t>/polyvinyl chloride/aluminium blister, containing 14 tablets. Pack size of 14 or 28 tablets were proposed in a carton box.</w:t>
      </w:r>
    </w:p>
    <w:p w14:paraId="0D81E9B6" w14:textId="79B04E47" w:rsidR="007F555D" w:rsidRPr="00865C47" w:rsidRDefault="007F555D" w:rsidP="007F555D">
      <w:r w:rsidRPr="00865C47">
        <w:t>Based on the long</w:t>
      </w:r>
      <w:r w:rsidR="009420E3" w:rsidRPr="00865C47">
        <w:t>-</w:t>
      </w:r>
      <w:r w:rsidRPr="00865C47">
        <w:t>term stability data, the requested shelf life of 36 months when stored below 25</w:t>
      </w:r>
      <w:r w:rsidRPr="00865C47">
        <w:rPr>
          <w:rFonts w:ascii="Symbol" w:eastAsia="Symbol" w:hAnsi="Symbol" w:cs="Symbol"/>
        </w:rPr>
        <w:t></w:t>
      </w:r>
      <w:r w:rsidRPr="00865C47">
        <w:t xml:space="preserve">C in blister </w:t>
      </w:r>
      <w:r w:rsidR="009420E3" w:rsidRPr="00865C47">
        <w:t>is considered</w:t>
      </w:r>
      <w:r w:rsidRPr="00865C47">
        <w:t xml:space="preserve"> acceptable for the product.</w:t>
      </w:r>
    </w:p>
    <w:p w14:paraId="45299F4F" w14:textId="5BDCE99E" w:rsidR="007F555D" w:rsidRPr="00865C47" w:rsidRDefault="007F555D" w:rsidP="007F555D">
      <w:r w:rsidRPr="00865C47">
        <w:t>Approval for registration of the proposed product is recommended as all outstanding quality issues</w:t>
      </w:r>
      <w:r w:rsidR="009420E3" w:rsidRPr="00865C47">
        <w:t xml:space="preserve"> </w:t>
      </w:r>
      <w:r w:rsidRPr="00865C47">
        <w:t xml:space="preserve">have been satisfactorily resolved </w:t>
      </w:r>
      <w:r w:rsidR="009420E3" w:rsidRPr="00865C47">
        <w:t>prior to approval</w:t>
      </w:r>
      <w:r w:rsidRPr="00865C47">
        <w:t>.</w:t>
      </w:r>
    </w:p>
    <w:p w14:paraId="2BE90AAE" w14:textId="77777777" w:rsidR="00C22214" w:rsidRPr="00865C47" w:rsidRDefault="00C22214" w:rsidP="00C22214">
      <w:pPr>
        <w:pStyle w:val="Heading3"/>
      </w:pPr>
      <w:bookmarkStart w:id="39" w:name="_Toc314842512"/>
      <w:bookmarkStart w:id="40" w:name="_Toc103679296"/>
      <w:bookmarkStart w:id="41" w:name="_Toc139284934"/>
      <w:r w:rsidRPr="00865C47">
        <w:t>Nonclinical</w:t>
      </w:r>
      <w:bookmarkEnd w:id="39"/>
      <w:bookmarkEnd w:id="40"/>
      <w:bookmarkEnd w:id="41"/>
    </w:p>
    <w:p w14:paraId="6F511E0E" w14:textId="354A9C2D" w:rsidR="008A58D2" w:rsidRPr="00865C47" w:rsidRDefault="008A58D2" w:rsidP="008A58D2">
      <w:bookmarkStart w:id="42" w:name="_Toc247691530"/>
      <w:bookmarkStart w:id="43" w:name="_Toc314842513"/>
      <w:bookmarkStart w:id="44" w:name="_Toc103679297"/>
      <w:r w:rsidRPr="00865C47">
        <w:t>Provided the adverse effects are adequately monitored or managed during clinical use, there are no objections on nonclinical grounds to the proposed registration of pemigatinib for the proposed indications</w:t>
      </w:r>
      <w:r w:rsidR="007F555D" w:rsidRPr="00865C47">
        <w:t>.</w:t>
      </w:r>
    </w:p>
    <w:p w14:paraId="15FB01C4" w14:textId="44224749" w:rsidR="008A58D2" w:rsidRPr="00865C47" w:rsidRDefault="008A58D2" w:rsidP="008A58D2">
      <w:r w:rsidRPr="00865C47">
        <w:t xml:space="preserve">Conclusions from the </w:t>
      </w:r>
      <w:r w:rsidR="007F555D" w:rsidRPr="00865C47">
        <w:t>nonclinical</w:t>
      </w:r>
      <w:r w:rsidRPr="00865C47">
        <w:t xml:space="preserve"> evaluation include:</w:t>
      </w:r>
    </w:p>
    <w:p w14:paraId="597F6749" w14:textId="77777777" w:rsidR="008A58D2" w:rsidRPr="00865C47" w:rsidRDefault="008A58D2" w:rsidP="008A58D2">
      <w:pPr>
        <w:pStyle w:val="ListBullet"/>
      </w:pPr>
      <w:r w:rsidRPr="00865C47">
        <w:t>The primary pharmacology studies support the proposed clinical indication</w:t>
      </w:r>
    </w:p>
    <w:p w14:paraId="07AA465F" w14:textId="77777777" w:rsidR="008A58D2" w:rsidRPr="00865C47" w:rsidRDefault="008A58D2" w:rsidP="008A58D2">
      <w:pPr>
        <w:pStyle w:val="ListBullet"/>
      </w:pPr>
      <w:r w:rsidRPr="00865C47">
        <w:t>The following toxic effects observed in nonclinical studies are expected in patients:</w:t>
      </w:r>
    </w:p>
    <w:p w14:paraId="2A5A5EBD" w14:textId="1F3B04D4" w:rsidR="008A58D2" w:rsidRPr="00865C47" w:rsidRDefault="009420E3" w:rsidP="008A58D2">
      <w:pPr>
        <w:pStyle w:val="ListBullet2"/>
      </w:pPr>
      <w:r w:rsidRPr="00865C47">
        <w:t>p</w:t>
      </w:r>
      <w:r w:rsidR="008A58D2" w:rsidRPr="00865C47">
        <w:t>erturbation to calcium</w:t>
      </w:r>
      <w:r w:rsidRPr="00865C47">
        <w:t xml:space="preserve"> or </w:t>
      </w:r>
      <w:r w:rsidR="008A58D2" w:rsidRPr="00865C47">
        <w:t>phosphorus homeostasis and tissue mineralisation</w:t>
      </w:r>
      <w:r w:rsidRPr="00865C47">
        <w:t>,</w:t>
      </w:r>
    </w:p>
    <w:p w14:paraId="67F14349" w14:textId="3634EF1D" w:rsidR="008A58D2" w:rsidRPr="00865C47" w:rsidRDefault="009420E3" w:rsidP="008A58D2">
      <w:pPr>
        <w:pStyle w:val="ListBullet2"/>
      </w:pPr>
      <w:r w:rsidRPr="00865C47">
        <w:t>b</w:t>
      </w:r>
      <w:r w:rsidR="008A58D2" w:rsidRPr="00865C47">
        <w:t>one and/or teeth toxicity</w:t>
      </w:r>
      <w:r w:rsidRPr="00865C47">
        <w:t>,</w:t>
      </w:r>
    </w:p>
    <w:p w14:paraId="2DAF446D" w14:textId="0BA97341" w:rsidR="008A58D2" w:rsidRPr="00865C47" w:rsidRDefault="009420E3" w:rsidP="008A58D2">
      <w:pPr>
        <w:pStyle w:val="ListBullet2"/>
      </w:pPr>
      <w:r w:rsidRPr="00865C47">
        <w:t>o</w:t>
      </w:r>
      <w:r w:rsidR="008A58D2" w:rsidRPr="00865C47">
        <w:t>cular toxicity</w:t>
      </w:r>
      <w:r w:rsidRPr="00865C47">
        <w:t>, and</w:t>
      </w:r>
    </w:p>
    <w:p w14:paraId="37E0DB92" w14:textId="7EB72FD8" w:rsidR="008A58D2" w:rsidRPr="00865C47" w:rsidRDefault="009420E3" w:rsidP="008A58D2">
      <w:pPr>
        <w:pStyle w:val="ListBullet2"/>
      </w:pPr>
      <w:r w:rsidRPr="00865C47">
        <w:t>r</w:t>
      </w:r>
      <w:r w:rsidR="008A58D2" w:rsidRPr="00865C47">
        <w:t>eproductive toxicity</w:t>
      </w:r>
      <w:r w:rsidRPr="00865C47">
        <w:t>.</w:t>
      </w:r>
    </w:p>
    <w:p w14:paraId="48543EF0" w14:textId="48C095FE" w:rsidR="008A58D2" w:rsidRPr="00865C47" w:rsidRDefault="008A58D2" w:rsidP="008A58D2">
      <w:pPr>
        <w:pStyle w:val="ListBullet"/>
      </w:pPr>
      <w:r w:rsidRPr="00865C47">
        <w:t>Pregnancy category D</w:t>
      </w:r>
      <w:r w:rsidR="000C4DEF" w:rsidRPr="00865C47">
        <w:t>;</w:t>
      </w:r>
      <w:r w:rsidR="000C4DEF" w:rsidRPr="00865C47">
        <w:rPr>
          <w:rStyle w:val="FootnoteReference"/>
        </w:rPr>
        <w:footnoteReference w:id="8"/>
      </w:r>
      <w:r w:rsidRPr="00865C47">
        <w:t xml:space="preserve"> is recommended.</w:t>
      </w:r>
      <w:r w:rsidR="00892AE8" w:rsidRPr="00865C47">
        <w:t xml:space="preserve"> </w:t>
      </w:r>
      <w:r w:rsidRPr="00865C47">
        <w:t>Pemigatinib should not be used in pregnancy</w:t>
      </w:r>
    </w:p>
    <w:p w14:paraId="62FF614A" w14:textId="77777777" w:rsidR="008A58D2" w:rsidRPr="00865C47" w:rsidRDefault="008A58D2" w:rsidP="008A58D2">
      <w:pPr>
        <w:pStyle w:val="ListBullet"/>
      </w:pPr>
      <w:r w:rsidRPr="00865C47">
        <w:lastRenderedPageBreak/>
        <w:t>Provided the adverse effects are adequately monitored or managed during clinical use, there are no objections on nonclinical grounds to the proposed registration of pemigatinib for the proposed indications</w:t>
      </w:r>
    </w:p>
    <w:p w14:paraId="7A44477E" w14:textId="0A362737" w:rsidR="008A58D2" w:rsidRPr="00865C47" w:rsidRDefault="008A58D2" w:rsidP="008A58D2">
      <w:pPr>
        <w:pStyle w:val="ListBullet"/>
      </w:pPr>
      <w:r w:rsidRPr="00865C47">
        <w:t xml:space="preserve">The impurity </w:t>
      </w:r>
      <w:r w:rsidR="00BD14DC" w:rsidRPr="00865C47">
        <w:t>[information redacted]</w:t>
      </w:r>
      <w:r w:rsidRPr="00865C47">
        <w:t xml:space="preserve"> may require toxicological qualification and an appropriate mutagenicity study with </w:t>
      </w:r>
      <w:r w:rsidR="00BD14DC" w:rsidRPr="00865C47">
        <w:t xml:space="preserve">the impurity </w:t>
      </w:r>
      <w:r w:rsidRPr="00865C47">
        <w:t>should be conducted as a post-marketing commitment.</w:t>
      </w:r>
      <w:r w:rsidR="00A449D2">
        <w:rPr>
          <w:rStyle w:val="FootnoteReference"/>
        </w:rPr>
        <w:footnoteReference w:id="9"/>
      </w:r>
    </w:p>
    <w:p w14:paraId="35B580A5" w14:textId="69B9BE44" w:rsidR="00C22214" w:rsidRPr="00865C47" w:rsidRDefault="00C22214" w:rsidP="008804CF">
      <w:pPr>
        <w:pStyle w:val="Heading3"/>
      </w:pPr>
      <w:bookmarkStart w:id="45" w:name="_Toc139284935"/>
      <w:r w:rsidRPr="00865C47">
        <w:t>Clinical</w:t>
      </w:r>
      <w:bookmarkEnd w:id="42"/>
      <w:bookmarkEnd w:id="43"/>
      <w:bookmarkEnd w:id="44"/>
      <w:bookmarkEnd w:id="45"/>
    </w:p>
    <w:p w14:paraId="32B0DEDA" w14:textId="77777777" w:rsidR="00C22214" w:rsidRPr="00865C47" w:rsidRDefault="00C22214" w:rsidP="00433318">
      <w:pPr>
        <w:pStyle w:val="Heading4"/>
      </w:pPr>
      <w:bookmarkStart w:id="46" w:name="_Toc98931928"/>
      <w:bookmarkStart w:id="47" w:name="_Toc139284936"/>
      <w:r w:rsidRPr="00865C47">
        <w:t>Summary of clinical studies</w:t>
      </w:r>
      <w:bookmarkEnd w:id="46"/>
      <w:bookmarkEnd w:id="47"/>
    </w:p>
    <w:p w14:paraId="2CC1EFCA" w14:textId="77777777" w:rsidR="00892AE8" w:rsidRPr="00865C47" w:rsidRDefault="00C22214" w:rsidP="00C22214">
      <w:pPr>
        <w:rPr>
          <w:szCs w:val="22"/>
        </w:rPr>
      </w:pPr>
      <w:r w:rsidRPr="00865C47">
        <w:rPr>
          <w:szCs w:val="22"/>
        </w:rPr>
        <w:t>The clinical dossier consisted of</w:t>
      </w:r>
      <w:r w:rsidR="007357B9" w:rsidRPr="00865C47">
        <w:rPr>
          <w:szCs w:val="22"/>
        </w:rPr>
        <w:t>:</w:t>
      </w:r>
    </w:p>
    <w:p w14:paraId="01C6B541" w14:textId="4E146906" w:rsidR="00892AE8" w:rsidRPr="00865C47" w:rsidRDefault="008A58D2" w:rsidP="007F555D">
      <w:pPr>
        <w:pStyle w:val="ListBullet"/>
      </w:pPr>
      <w:r w:rsidRPr="00865C47">
        <w:t>The pivotal study is Study INCB 54828-202 (</w:t>
      </w:r>
      <w:r w:rsidR="008E72D2" w:rsidRPr="00865C47">
        <w:t xml:space="preserve">also known as the </w:t>
      </w:r>
      <w:r w:rsidRPr="00865C47">
        <w:t>FIGHT-202</w:t>
      </w:r>
      <w:r w:rsidR="008E72D2" w:rsidRPr="00865C47">
        <w:t xml:space="preserve"> trial</w:t>
      </w:r>
      <w:r w:rsidRPr="00865C47">
        <w:t xml:space="preserve">), a </w:t>
      </w:r>
      <w:r w:rsidR="0048244F" w:rsidRPr="00865C47">
        <w:t>Phase II</w:t>
      </w:r>
      <w:r w:rsidRPr="00865C47">
        <w:t xml:space="preserve"> open</w:t>
      </w:r>
      <w:r w:rsidR="008E72D2" w:rsidRPr="00865C47">
        <w:t xml:space="preserve"> </w:t>
      </w:r>
      <w:r w:rsidRPr="00865C47">
        <w:t>label uncontrolled study in adult participants with advanced</w:t>
      </w:r>
      <w:r w:rsidR="008E72D2" w:rsidRPr="00865C47">
        <w:t xml:space="preserve"> or </w:t>
      </w:r>
      <w:r w:rsidRPr="00865C47">
        <w:t>metastatic</w:t>
      </w:r>
      <w:r w:rsidR="00825311" w:rsidRPr="00865C47">
        <w:t>,</w:t>
      </w:r>
      <w:r w:rsidRPr="00865C47">
        <w:t xml:space="preserve"> or surgically unresectable cholangiocarcinoma who have disease progression after at least </w:t>
      </w:r>
      <w:r w:rsidR="008E72D2" w:rsidRPr="00865C47">
        <w:t>one</w:t>
      </w:r>
      <w:r w:rsidRPr="00865C47">
        <w:t xml:space="preserve"> previous systemic treatment (data cut-off date of 22 March 2019</w:t>
      </w:r>
      <w:r w:rsidR="00732D26">
        <w:t xml:space="preserve"> in the interim clinical study report</w:t>
      </w:r>
      <w:r w:rsidRPr="00865C47">
        <w:t>).</w:t>
      </w:r>
      <w:r w:rsidR="00892AE8" w:rsidRPr="00865C47">
        <w:t xml:space="preserve"> </w:t>
      </w:r>
      <w:r w:rsidRPr="00865C47">
        <w:t xml:space="preserve">Additional efficacy data from participants with FGFR2 rearranged cholangiocarcinoma is provided from </w:t>
      </w:r>
      <w:r w:rsidR="008E72D2" w:rsidRPr="00865C47">
        <w:t>S</w:t>
      </w:r>
      <w:r w:rsidRPr="00865C47">
        <w:t>tudies</w:t>
      </w:r>
      <w:r w:rsidR="008E72D2" w:rsidRPr="00865C47">
        <w:t> </w:t>
      </w:r>
      <w:r w:rsidRPr="00865C47">
        <w:t>INCB</w:t>
      </w:r>
      <w:r w:rsidR="008E72D2" w:rsidRPr="00865C47">
        <w:t> </w:t>
      </w:r>
      <w:r w:rsidRPr="00865C47">
        <w:t>54828-101 and INCB 54828-102.</w:t>
      </w:r>
    </w:p>
    <w:p w14:paraId="3566147F" w14:textId="117851AE" w:rsidR="008A58D2" w:rsidRPr="00865C47" w:rsidRDefault="008A58D2" w:rsidP="007F555D">
      <w:pPr>
        <w:pStyle w:val="ListBullet"/>
      </w:pPr>
      <w:r w:rsidRPr="00865C47">
        <w:t>Stud</w:t>
      </w:r>
      <w:r w:rsidR="008E72D2" w:rsidRPr="00865C47">
        <w:t>y</w:t>
      </w:r>
      <w:r w:rsidRPr="00865C47">
        <w:t xml:space="preserve"> INCB 54828-104 (open label, fixed sequence </w:t>
      </w:r>
      <w:r w:rsidR="000C4DEF" w:rsidRPr="00865C47">
        <w:t>cytochrome P450 3A4 (</w:t>
      </w:r>
      <w:r w:rsidRPr="00865C47">
        <w:t>CYP3A4</w:t>
      </w:r>
      <w:r w:rsidR="000C4DEF" w:rsidRPr="00865C47">
        <w:t>)</w:t>
      </w:r>
      <w:bookmarkStart w:id="48" w:name="_Ref139017303"/>
      <w:r w:rsidR="00865C47" w:rsidRPr="00865C47">
        <w:rPr>
          <w:rStyle w:val="FootnoteReference"/>
        </w:rPr>
        <w:footnoteReference w:id="10"/>
      </w:r>
      <w:bookmarkEnd w:id="48"/>
      <w:r w:rsidRPr="00865C47">
        <w:t xml:space="preserve"> mediated </w:t>
      </w:r>
      <w:r w:rsidR="008A51BB" w:rsidRPr="00865C47">
        <w:t>drug-drug interaction</w:t>
      </w:r>
      <w:r w:rsidRPr="00865C47">
        <w:t xml:space="preserve"> study), </w:t>
      </w:r>
      <w:r w:rsidR="008E72D2" w:rsidRPr="00865C47">
        <w:t>Study </w:t>
      </w:r>
      <w:r w:rsidRPr="00865C47">
        <w:t>INCB</w:t>
      </w:r>
      <w:r w:rsidR="008E72D2" w:rsidRPr="00865C47">
        <w:t> </w:t>
      </w:r>
      <w:r w:rsidRPr="00865C47">
        <w:t xml:space="preserve">54828-105 (open label, absorption, metabolism and excretion study), </w:t>
      </w:r>
      <w:r w:rsidR="008E72D2" w:rsidRPr="00865C47">
        <w:t>Study </w:t>
      </w:r>
      <w:r w:rsidRPr="00865C47">
        <w:t xml:space="preserve">INCB 54828-106 (open label, fixed sequence, gastric pH modifying agents </w:t>
      </w:r>
      <w:r w:rsidR="008A51BB" w:rsidRPr="00865C47">
        <w:t>drug-drug interaction</w:t>
      </w:r>
      <w:r w:rsidRPr="00865C47">
        <w:t xml:space="preserve"> study), </w:t>
      </w:r>
      <w:r w:rsidR="008E72D2" w:rsidRPr="00865C47">
        <w:t>Study </w:t>
      </w:r>
      <w:r w:rsidRPr="00865C47">
        <w:t xml:space="preserve">INCB 54828-107 (open label hepatic impairment study) and </w:t>
      </w:r>
      <w:r w:rsidR="008E72D2" w:rsidRPr="00865C47">
        <w:t>Study </w:t>
      </w:r>
      <w:r w:rsidRPr="00865C47">
        <w:t>INCB 54828-108 (open label renal impairment study) are clinical pharmacology studies in healthy participants evaluated in this submission.</w:t>
      </w:r>
    </w:p>
    <w:p w14:paraId="282D0DDA" w14:textId="5A57B170" w:rsidR="008A58D2" w:rsidRPr="00865C47" w:rsidRDefault="008A58D2" w:rsidP="007F555D">
      <w:pPr>
        <w:pStyle w:val="ListBullet"/>
      </w:pPr>
      <w:r w:rsidRPr="00865C47">
        <w:t>Studies INCB 54828-102</w:t>
      </w:r>
      <w:r w:rsidR="007F555D" w:rsidRPr="00865C47">
        <w:t xml:space="preserve"> (Phase </w:t>
      </w:r>
      <w:r w:rsidR="008E72D2" w:rsidRPr="00865C47">
        <w:t>I</w:t>
      </w:r>
      <w:r w:rsidR="007F555D" w:rsidRPr="00865C47">
        <w:t>)</w:t>
      </w:r>
      <w:r w:rsidRPr="00865C47">
        <w:t>, INCB 54828-101</w:t>
      </w:r>
      <w:r w:rsidR="007F555D" w:rsidRPr="00865C47">
        <w:t xml:space="preserve"> (Phase </w:t>
      </w:r>
      <w:r w:rsidR="008E72D2" w:rsidRPr="00865C47">
        <w:t>I/II)</w:t>
      </w:r>
      <w:r w:rsidRPr="00865C47">
        <w:t>, INCB 54828-201</w:t>
      </w:r>
      <w:r w:rsidR="007F555D" w:rsidRPr="00865C47">
        <w:t xml:space="preserve"> (Phase </w:t>
      </w:r>
      <w:r w:rsidR="008E72D2" w:rsidRPr="00865C47">
        <w:t>II</w:t>
      </w:r>
      <w:r w:rsidR="007F555D" w:rsidRPr="00865C47">
        <w:t>)</w:t>
      </w:r>
      <w:r w:rsidRPr="00865C47">
        <w:t xml:space="preserve"> and INCB 54828-203 </w:t>
      </w:r>
      <w:r w:rsidR="007F555D" w:rsidRPr="00865C47">
        <w:t xml:space="preserve">(Phase </w:t>
      </w:r>
      <w:r w:rsidR="008E72D2" w:rsidRPr="00865C47">
        <w:t>II</w:t>
      </w:r>
      <w:r w:rsidR="007F555D" w:rsidRPr="00865C47">
        <w:t xml:space="preserve">) </w:t>
      </w:r>
      <w:r w:rsidRPr="00865C47">
        <w:t xml:space="preserve">providing data in participants with other malignancies or as part of different regimen has been considered primarily for </w:t>
      </w:r>
      <w:r w:rsidR="000C4DEF" w:rsidRPr="00865C47">
        <w:t>pharmacokinetics (</w:t>
      </w:r>
      <w:r w:rsidRPr="00865C47">
        <w:t>PK</w:t>
      </w:r>
      <w:r w:rsidR="000C4DEF" w:rsidRPr="00865C47">
        <w:t>)</w:t>
      </w:r>
      <w:r w:rsidRPr="00865C47">
        <w:t xml:space="preserve">, </w:t>
      </w:r>
      <w:r w:rsidR="000C4DEF" w:rsidRPr="00865C47">
        <w:t>pharmacodynamics (</w:t>
      </w:r>
      <w:r w:rsidRPr="00865C47">
        <w:t>PD</w:t>
      </w:r>
      <w:r w:rsidR="000C4DEF" w:rsidRPr="00865C47">
        <w:t>)</w:t>
      </w:r>
      <w:r w:rsidRPr="00865C47">
        <w:t xml:space="preserve"> and safety signals, and for efficacy data in patients with cholangiocarcinoma.</w:t>
      </w:r>
    </w:p>
    <w:p w14:paraId="3CB837AB" w14:textId="03F4E521" w:rsidR="008A58D2" w:rsidRPr="00865C47" w:rsidRDefault="008A58D2" w:rsidP="008E72D2">
      <w:pPr>
        <w:pStyle w:val="Heading4"/>
      </w:pPr>
      <w:bookmarkStart w:id="49" w:name="_Toc139284937"/>
      <w:r w:rsidRPr="00865C47">
        <w:t>Pharmacology</w:t>
      </w:r>
      <w:bookmarkEnd w:id="49"/>
    </w:p>
    <w:p w14:paraId="023C64A1" w14:textId="67259B8F" w:rsidR="008A58D2" w:rsidRPr="00865C47" w:rsidRDefault="008A58D2" w:rsidP="008A58D2">
      <w:r w:rsidRPr="00865C47">
        <w:t>The proposed dose of pemigatinib is 13.5</w:t>
      </w:r>
      <w:r w:rsidR="00377777" w:rsidRPr="00865C47">
        <w:t xml:space="preserve"> </w:t>
      </w:r>
      <w:r w:rsidRPr="00865C47">
        <w:t>mg once daily orally (two weeks on</w:t>
      </w:r>
      <w:r w:rsidR="005B5AC9" w:rsidRPr="00865C47">
        <w:t xml:space="preserve"> and</w:t>
      </w:r>
      <w:r w:rsidRPr="00865C47">
        <w:t xml:space="preserve"> </w:t>
      </w:r>
      <w:r w:rsidR="005B5AC9" w:rsidRPr="00865C47">
        <w:t>one</w:t>
      </w:r>
      <w:r w:rsidRPr="00865C47">
        <w:t xml:space="preserve"> week of</w:t>
      </w:r>
      <w:r w:rsidR="005B5AC9" w:rsidRPr="00865C47">
        <w:t>f</w:t>
      </w:r>
      <w:r w:rsidRPr="00865C47">
        <w:t xml:space="preserve">) which was determined to be the </w:t>
      </w:r>
      <w:r w:rsidR="006F5AFB">
        <w:t>recommended Phase II dose</w:t>
      </w:r>
      <w:r w:rsidRPr="00865C47">
        <w:t xml:space="preserve"> in the dose</w:t>
      </w:r>
      <w:r w:rsidR="006F5AFB">
        <w:t>-</w:t>
      </w:r>
      <w:r w:rsidRPr="00865C47">
        <w:t xml:space="preserve">finding </w:t>
      </w:r>
      <w:r w:rsidR="006F5AFB">
        <w:t xml:space="preserve">study, </w:t>
      </w:r>
      <w:r w:rsidRPr="00865C47">
        <w:t>Study</w:t>
      </w:r>
      <w:r w:rsidR="006F5AFB">
        <w:t> </w:t>
      </w:r>
      <w:r w:rsidR="005B5AC9" w:rsidRPr="00865C47">
        <w:t>INCB</w:t>
      </w:r>
      <w:r w:rsidR="006F5AFB">
        <w:t> </w:t>
      </w:r>
      <w:r w:rsidR="005B5AC9" w:rsidRPr="00865C47">
        <w:t>54828-101</w:t>
      </w:r>
      <w:r w:rsidRPr="00865C47">
        <w:t>; this was based on linear PK across the dose range 1</w:t>
      </w:r>
      <w:r w:rsidR="00377777" w:rsidRPr="00865C47">
        <w:t xml:space="preserve"> to </w:t>
      </w:r>
      <w:r w:rsidRPr="00865C47">
        <w:t>20</w:t>
      </w:r>
      <w:r w:rsidR="00377777" w:rsidRPr="00865C47">
        <w:t xml:space="preserve"> </w:t>
      </w:r>
      <w:r w:rsidRPr="00865C47">
        <w:t>mg once daily and PD data confirming likely receptor saturation together with the anticipated on-target effect of elevated serum phosphate levels.</w:t>
      </w:r>
      <w:r w:rsidR="00892AE8" w:rsidRPr="00865C47">
        <w:t xml:space="preserve"> </w:t>
      </w:r>
      <w:r w:rsidRPr="00865C47">
        <w:t xml:space="preserve">No </w:t>
      </w:r>
      <w:r w:rsidR="00B80561" w:rsidRPr="00865C47">
        <w:t>maximum tolerated dose</w:t>
      </w:r>
      <w:r w:rsidRPr="00865C47">
        <w:t xml:space="preserve"> was reached in this study.</w:t>
      </w:r>
      <w:r w:rsidR="00892AE8" w:rsidRPr="00865C47">
        <w:t xml:space="preserve"> </w:t>
      </w:r>
      <w:r w:rsidRPr="00865C47">
        <w:t>In Study INCB 54828-105</w:t>
      </w:r>
      <w:r w:rsidR="00732D26">
        <w:t xml:space="preserve"> ID</w:t>
      </w:r>
      <w:r w:rsidR="00C70544">
        <w:rPr>
          <w:rStyle w:val="CommentReference"/>
        </w:rPr>
        <w:t>,</w:t>
      </w:r>
      <w:r w:rsidRPr="00865C47">
        <w:t xml:space="preserve"> 7 healthy male participants each received single dose of two 4.5 mg tablets and one 2 mg tablet of pemigatinib followed 10</w:t>
      </w:r>
      <w:r w:rsidR="005B5AC9" w:rsidRPr="00865C47">
        <w:t> </w:t>
      </w:r>
      <w:r w:rsidRPr="00865C47">
        <w:t xml:space="preserve">minutes later by an oral dose solution of </w:t>
      </w:r>
      <w:r w:rsidRPr="00865C47">
        <w:lastRenderedPageBreak/>
        <w:t xml:space="preserve">approximately 250 </w:t>
      </w:r>
      <w:r w:rsidR="000C4DEF" w:rsidRPr="00865C47">
        <w:t>microcurie (</w:t>
      </w:r>
      <w:proofErr w:type="spellStart"/>
      <w:r w:rsidRPr="00865C47">
        <w:t>μCi</w:t>
      </w:r>
      <w:proofErr w:type="spellEnd"/>
      <w:r w:rsidR="000C4DEF" w:rsidRPr="00865C47">
        <w:t>)</w:t>
      </w:r>
      <w:r w:rsidRPr="00865C47">
        <w:t xml:space="preserve">, or about 2 mg of </w:t>
      </w:r>
      <w:r w:rsidR="000C4DEF" w:rsidRPr="00865C47">
        <w:t xml:space="preserve">carbon 14 </w:t>
      </w:r>
      <w:r w:rsidRPr="00865C47">
        <w:t>[</w:t>
      </w:r>
      <w:r w:rsidRPr="00865C47">
        <w:rPr>
          <w:vertAlign w:val="superscript"/>
        </w:rPr>
        <w:t>14</w:t>
      </w:r>
      <w:r w:rsidRPr="00865C47">
        <w:t xml:space="preserve">C] pemigatinib. The concentrations of radioactivity in blood, plasma, urine, and faeces, and the percent of radioactive dose in urine and faeces were determined (see </w:t>
      </w:r>
      <w:r w:rsidR="007F555D" w:rsidRPr="00865C47">
        <w:fldChar w:fldCharType="begin"/>
      </w:r>
      <w:r w:rsidR="007F555D" w:rsidRPr="00865C47">
        <w:instrText xml:space="preserve"> REF _Ref135733868 \h </w:instrText>
      </w:r>
      <w:r w:rsidR="000C4DEF" w:rsidRPr="00865C47">
        <w:instrText xml:space="preserve"> \* MERGEFORMAT </w:instrText>
      </w:r>
      <w:r w:rsidR="007F555D" w:rsidRPr="00865C47">
        <w:fldChar w:fldCharType="separate"/>
      </w:r>
      <w:r w:rsidR="005D22F2" w:rsidRPr="00865C47">
        <w:t xml:space="preserve">Table </w:t>
      </w:r>
      <w:r w:rsidR="005D22F2">
        <w:rPr>
          <w:noProof/>
        </w:rPr>
        <w:t>3</w:t>
      </w:r>
      <w:r w:rsidR="007F555D" w:rsidRPr="00865C47">
        <w:fldChar w:fldCharType="end"/>
      </w:r>
      <w:r w:rsidR="007F555D" w:rsidRPr="00865C47">
        <w:t xml:space="preserve"> below</w:t>
      </w:r>
      <w:r w:rsidRPr="00865C47">
        <w:t>).</w:t>
      </w:r>
    </w:p>
    <w:p w14:paraId="407E19D4" w14:textId="18377538" w:rsidR="007F555D" w:rsidRPr="00865C47" w:rsidRDefault="007F555D" w:rsidP="008A51BB">
      <w:pPr>
        <w:pStyle w:val="TableTitle"/>
      </w:pPr>
      <w:bookmarkStart w:id="50" w:name="_Ref135733868"/>
      <w:bookmarkStart w:id="51" w:name="_Toc87017835"/>
      <w:bookmarkStart w:id="52" w:name="_Toc87201979"/>
      <w:r w:rsidRPr="00865C47">
        <w:t xml:space="preserve">Table </w:t>
      </w:r>
      <w:r w:rsidR="00547529">
        <w:fldChar w:fldCharType="begin"/>
      </w:r>
      <w:r w:rsidR="00547529">
        <w:instrText xml:space="preserve"> SEQ Table \* ARABIC </w:instrText>
      </w:r>
      <w:r w:rsidR="00547529">
        <w:fldChar w:fldCharType="separate"/>
      </w:r>
      <w:r w:rsidR="005D22F2">
        <w:rPr>
          <w:noProof/>
        </w:rPr>
        <w:t>3</w:t>
      </w:r>
      <w:r w:rsidR="00547529">
        <w:rPr>
          <w:noProof/>
        </w:rPr>
        <w:fldChar w:fldCharType="end"/>
      </w:r>
      <w:bookmarkEnd w:id="50"/>
      <w:r w:rsidR="005B5AC9" w:rsidRPr="00865C47">
        <w:t>:</w:t>
      </w:r>
      <w:r w:rsidRPr="00865C47">
        <w:t xml:space="preserve"> </w:t>
      </w:r>
      <w:r w:rsidR="00E60C44" w:rsidRPr="00865C47">
        <w:t xml:space="preserve">Study </w:t>
      </w:r>
      <w:r w:rsidR="00D839EA" w:rsidRPr="00865C47">
        <w:t xml:space="preserve">INCB 54828-105 </w:t>
      </w:r>
      <w:r w:rsidRPr="00865C47">
        <w:t xml:space="preserve">Mean </w:t>
      </w:r>
      <w:r w:rsidR="008A51BB" w:rsidRPr="00865C47">
        <w:t>pharmacokinetic</w:t>
      </w:r>
      <w:r w:rsidRPr="00865C47">
        <w:t xml:space="preserve"> parameters of radioactivity in blood or plasma and pemigatinib in plasma after a single oral dose of approximately 13</w:t>
      </w:r>
      <w:r w:rsidR="008A51BB" w:rsidRPr="00865C47">
        <w:t> </w:t>
      </w:r>
      <w:r w:rsidRPr="00865C47">
        <w:t>mg [</w:t>
      </w:r>
      <w:r w:rsidRPr="00865C47">
        <w:rPr>
          <w:vertAlign w:val="superscript"/>
        </w:rPr>
        <w:t>14</w:t>
      </w:r>
      <w:r w:rsidRPr="00865C47">
        <w:t xml:space="preserve">C] </w:t>
      </w:r>
      <w:r w:rsidR="004E7B48" w:rsidRPr="00865C47">
        <w:t>pemigatinib</w:t>
      </w:r>
      <w:r w:rsidRPr="00865C47">
        <w:t xml:space="preserve"> </w:t>
      </w:r>
      <w:r w:rsidR="008A51BB" w:rsidRPr="00865C47">
        <w:t xml:space="preserve">in </w:t>
      </w:r>
      <w:r w:rsidR="005B5AC9" w:rsidRPr="00865C47">
        <w:t>healthy male volunteers in the fasted state</w:t>
      </w:r>
      <w:bookmarkEnd w:id="51"/>
      <w:bookmarkEnd w:id="52"/>
    </w:p>
    <w:p w14:paraId="0C1F18B7" w14:textId="11B035B2" w:rsidR="00D839EA" w:rsidRPr="00865C47" w:rsidRDefault="00D839EA" w:rsidP="005B5AC9">
      <w:r w:rsidRPr="00865C47">
        <w:rPr>
          <w:noProof/>
          <w:lang w:val="en-GB" w:eastAsia="en-GB"/>
        </w:rPr>
        <w:drawing>
          <wp:inline distT="0" distB="0" distL="0" distR="0" wp14:anchorId="0412AF86" wp14:editId="02182937">
            <wp:extent cx="5759450" cy="1584325"/>
            <wp:effectExtent l="0" t="0" r="0" b="0"/>
            <wp:docPr id="7" name="Picture 7" descr="Table 3: Study INCB 54828-105 Mean pharmacokinetic parameters of radioactivity in blood or plasma and pemigatinib in plasma after a single oral dose of approximately 13 mg [14C] pemigatinib in healthy male volunteers in the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3: Study INCB 54828-105 Mean pharmacokinetic parameters of radioactivity in blood or plasma and pemigatinib in plasma after a single oral dose of approximately 13 mg [14C] pemigatinib in healthy male volunteers in the fasted state"/>
                    <pic:cNvPicPr/>
                  </pic:nvPicPr>
                  <pic:blipFill>
                    <a:blip r:embed="rId26"/>
                    <a:stretch>
                      <a:fillRect/>
                    </a:stretch>
                  </pic:blipFill>
                  <pic:spPr>
                    <a:xfrm>
                      <a:off x="0" y="0"/>
                      <a:ext cx="5759450" cy="1584325"/>
                    </a:xfrm>
                    <a:prstGeom prst="rect">
                      <a:avLst/>
                    </a:prstGeom>
                  </pic:spPr>
                </pic:pic>
              </a:graphicData>
            </a:graphic>
          </wp:inline>
        </w:drawing>
      </w:r>
    </w:p>
    <w:p w14:paraId="17CA6ED4" w14:textId="1044E7B3" w:rsidR="005B5AC9" w:rsidRPr="00865C47" w:rsidRDefault="005B5AC9" w:rsidP="004B01EA">
      <w:pPr>
        <w:pStyle w:val="TableDescription"/>
      </w:pPr>
      <w:r w:rsidRPr="00865C47">
        <w:t>Abbreviations: AUC</w:t>
      </w:r>
      <w:r w:rsidRPr="00865C47">
        <w:rPr>
          <w:vertAlign w:val="subscript"/>
        </w:rPr>
        <w:t>0-∞</w:t>
      </w:r>
      <w:r w:rsidRPr="00865C47">
        <w:t xml:space="preserve"> = </w:t>
      </w:r>
      <w:r w:rsidR="00A93FFB" w:rsidRPr="00865C47">
        <w:t xml:space="preserve">area under the plasma concentration-time curve from time zero to infinity; </w:t>
      </w:r>
      <w:r w:rsidRPr="00865C47">
        <w:t>AUC</w:t>
      </w:r>
      <w:r w:rsidRPr="00865C47">
        <w:rPr>
          <w:vertAlign w:val="subscript"/>
        </w:rPr>
        <w:t>0-t</w:t>
      </w:r>
      <w:r w:rsidRPr="00865C47">
        <w:t xml:space="preserve"> = </w:t>
      </w:r>
      <w:r w:rsidR="00FC6D80" w:rsidRPr="00865C47">
        <w:t xml:space="preserve">area under concentration time curve from time zero to last quantifiable concentration; </w:t>
      </w:r>
      <w:r w:rsidRPr="00865C47">
        <w:t>C</w:t>
      </w:r>
      <w:r w:rsidRPr="00865C47">
        <w:rPr>
          <w:vertAlign w:val="subscript"/>
        </w:rPr>
        <w:t>max</w:t>
      </w:r>
      <w:r w:rsidRPr="00865C47">
        <w:t xml:space="preserve"> = </w:t>
      </w:r>
      <w:r w:rsidR="00FC6D80" w:rsidRPr="00865C47">
        <w:t xml:space="preserve">maximum observed plasma concentration; </w:t>
      </w:r>
      <w:r w:rsidRPr="00865C47">
        <w:t xml:space="preserve">n = </w:t>
      </w:r>
      <w:r w:rsidR="00A93FFB" w:rsidRPr="00865C47">
        <w:t>number of subjects</w:t>
      </w:r>
      <w:r w:rsidR="00FC6D80" w:rsidRPr="00865C47">
        <w:t xml:space="preserve">; </w:t>
      </w:r>
      <w:r w:rsidRPr="00865C47">
        <w:t>T</w:t>
      </w:r>
      <w:r w:rsidRPr="00865C47">
        <w:rPr>
          <w:vertAlign w:val="subscript"/>
        </w:rPr>
        <w:t>max</w:t>
      </w:r>
      <w:r w:rsidRPr="00865C47">
        <w:t xml:space="preserve"> =</w:t>
      </w:r>
      <w:r w:rsidR="00FC6D80" w:rsidRPr="00865C47">
        <w:t xml:space="preserve"> time of the maximum observed plasma concentration,</w:t>
      </w:r>
    </w:p>
    <w:p w14:paraId="5DFCA621" w14:textId="38EF65FE" w:rsidR="007F555D" w:rsidRPr="00865C47" w:rsidRDefault="00D839EA" w:rsidP="004B01EA">
      <w:pPr>
        <w:pStyle w:val="TableDescription"/>
      </w:pPr>
      <w:r w:rsidRPr="00865C47">
        <w:t xml:space="preserve">Values are presented in the format of mean </w:t>
      </w:r>
      <w:r w:rsidR="005B5AC9" w:rsidRPr="00865C47">
        <w:t>±</w:t>
      </w:r>
      <w:r w:rsidRPr="00865C47">
        <w:t xml:space="preserve"> </w:t>
      </w:r>
      <w:r w:rsidR="005B5AC9" w:rsidRPr="00865C47">
        <w:t>standard deviation</w:t>
      </w:r>
      <w:r w:rsidRPr="00865C47">
        <w:t xml:space="preserve"> and geometric mean except for T</w:t>
      </w:r>
      <w:r w:rsidRPr="00865C47">
        <w:rPr>
          <w:vertAlign w:val="subscript"/>
        </w:rPr>
        <w:t>max</w:t>
      </w:r>
      <w:r w:rsidRPr="00865C47">
        <w:t>, which is reported as median (range).</w:t>
      </w:r>
    </w:p>
    <w:p w14:paraId="6C997765" w14:textId="60AA1168" w:rsidR="00892AE8" w:rsidRPr="00865C47" w:rsidRDefault="008A58D2" w:rsidP="008A58D2">
      <w:r w:rsidRPr="00865C47">
        <w:t xml:space="preserve">Key </w:t>
      </w:r>
      <w:r w:rsidR="000C4DEF" w:rsidRPr="00865C47">
        <w:t>PK</w:t>
      </w:r>
      <w:r w:rsidRPr="00865C47">
        <w:t xml:space="preserve"> parameters for the 13.5</w:t>
      </w:r>
      <w:r w:rsidR="00377777" w:rsidRPr="00865C47">
        <w:t xml:space="preserve"> </w:t>
      </w:r>
      <w:r w:rsidRPr="00865C47">
        <w:t>mg once daily dose are as follows, noting a high inter-individual variation across all parameters:</w:t>
      </w:r>
    </w:p>
    <w:p w14:paraId="6339D3DC" w14:textId="107114F4" w:rsidR="008A58D2" w:rsidRPr="00865C47" w:rsidRDefault="000C4DEF" w:rsidP="008A58D2">
      <w:pPr>
        <w:pStyle w:val="ListBullet"/>
      </w:pPr>
      <w:r w:rsidRPr="00865C47">
        <w:t>Time of the maximum observed plasma concentration (</w:t>
      </w:r>
      <w:r w:rsidR="008A58D2" w:rsidRPr="00865C47">
        <w:t>T</w:t>
      </w:r>
      <w:r w:rsidR="008A58D2" w:rsidRPr="00865C47">
        <w:rPr>
          <w:vertAlign w:val="subscript"/>
        </w:rPr>
        <w:t>max</w:t>
      </w:r>
      <w:r w:rsidRPr="00865C47">
        <w:t>)</w:t>
      </w:r>
      <w:r w:rsidR="008A58D2" w:rsidRPr="00865C47">
        <w:t xml:space="preserve"> :1</w:t>
      </w:r>
      <w:r w:rsidR="005B5AC9" w:rsidRPr="00865C47">
        <w:t xml:space="preserve"> to </w:t>
      </w:r>
      <w:r w:rsidR="008A58D2" w:rsidRPr="00865C47">
        <w:t>2</w:t>
      </w:r>
      <w:r w:rsidR="005B5AC9" w:rsidRPr="00865C47">
        <w:t xml:space="preserve"> hours</w:t>
      </w:r>
    </w:p>
    <w:p w14:paraId="3C817F35" w14:textId="01355E90" w:rsidR="008A58D2" w:rsidRPr="00865C47" w:rsidRDefault="008A58D2" w:rsidP="008A58D2">
      <w:pPr>
        <w:pStyle w:val="ListBullet"/>
      </w:pPr>
      <w:r w:rsidRPr="00865C47">
        <w:t xml:space="preserve">Geometric mean </w:t>
      </w:r>
      <w:r w:rsidR="000C4DEF" w:rsidRPr="00865C47">
        <w:t>maximum observed plasma concentration (C</w:t>
      </w:r>
      <w:r w:rsidR="000C4DEF" w:rsidRPr="00865C47">
        <w:rPr>
          <w:vertAlign w:val="subscript"/>
        </w:rPr>
        <w:t>max</w:t>
      </w:r>
      <w:r w:rsidR="000C4DEF" w:rsidRPr="00865C47">
        <w:t>) at steady state</w:t>
      </w:r>
      <w:r w:rsidRPr="00865C47">
        <w:t xml:space="preserve">: 236 </w:t>
      </w:r>
      <w:proofErr w:type="spellStart"/>
      <w:r w:rsidRPr="00865C47">
        <w:t>nM</w:t>
      </w:r>
      <w:proofErr w:type="spellEnd"/>
      <w:r w:rsidRPr="00865C47">
        <w:t xml:space="preserve"> (</w:t>
      </w:r>
      <w:r w:rsidR="00FC6D80" w:rsidRPr="00865C47">
        <w:t>coefficient of variation (</w:t>
      </w:r>
      <w:r w:rsidRPr="00865C47">
        <w:t>CV</w:t>
      </w:r>
      <w:r w:rsidR="00FC6D80" w:rsidRPr="00865C47">
        <w:t>)</w:t>
      </w:r>
      <w:r w:rsidRPr="00865C47">
        <w:t>% =</w:t>
      </w:r>
      <w:r w:rsidR="00A93FFB" w:rsidRPr="00865C47">
        <w:t xml:space="preserve"> </w:t>
      </w:r>
      <w:r w:rsidRPr="00865C47">
        <w:t xml:space="preserve">56.4%) for 13.5 mg </w:t>
      </w:r>
      <w:r w:rsidR="00A93FFB" w:rsidRPr="00865C47">
        <w:t>once daily</w:t>
      </w:r>
    </w:p>
    <w:p w14:paraId="7A9679E7" w14:textId="2B011EF9" w:rsidR="00892AE8" w:rsidRPr="00865C47" w:rsidRDefault="008A58D2" w:rsidP="008A58D2">
      <w:pPr>
        <w:pStyle w:val="ListBullet"/>
      </w:pPr>
      <w:r w:rsidRPr="00865C47">
        <w:t xml:space="preserve">Geometric </w:t>
      </w:r>
      <w:r w:rsidR="005B5AC9" w:rsidRPr="00865C47">
        <w:t xml:space="preserve">mean </w:t>
      </w:r>
      <w:r w:rsidR="000C4DEF" w:rsidRPr="00865C47">
        <w:t>area under the plasma concentration-time curve from time zero to 24 hours (AUC</w:t>
      </w:r>
      <w:r w:rsidR="000C4DEF" w:rsidRPr="00865C47">
        <w:rPr>
          <w:vertAlign w:val="subscript"/>
        </w:rPr>
        <w:t>0-24</w:t>
      </w:r>
      <w:r w:rsidR="006F5AFB">
        <w:rPr>
          <w:vertAlign w:val="subscript"/>
        </w:rPr>
        <w:t>h</w:t>
      </w:r>
      <w:r w:rsidR="000C4DEF" w:rsidRPr="00865C47">
        <w:t xml:space="preserve">) at steady state </w:t>
      </w:r>
      <w:r w:rsidRPr="00865C47">
        <w:t>AUC</w:t>
      </w:r>
      <w:r w:rsidRPr="00865C47">
        <w:rPr>
          <w:vertAlign w:val="subscript"/>
        </w:rPr>
        <w:t>0-24</w:t>
      </w:r>
      <w:r w:rsidR="005B5AC9" w:rsidRPr="00865C47">
        <w:t>:</w:t>
      </w:r>
      <w:r w:rsidR="00892AE8" w:rsidRPr="00865C47">
        <w:t xml:space="preserve"> </w:t>
      </w:r>
      <w:r w:rsidRPr="00865C47">
        <w:t xml:space="preserve">2620 </w:t>
      </w:r>
      <w:proofErr w:type="spellStart"/>
      <w:r w:rsidRPr="00865C47">
        <w:t>nM</w:t>
      </w:r>
      <w:proofErr w:type="spellEnd"/>
      <w:r w:rsidRPr="00865C47">
        <w:t xml:space="preserve">*h (CV% = 54.1%) for 13.5 mg </w:t>
      </w:r>
      <w:r w:rsidR="00A93FFB" w:rsidRPr="00865C47">
        <w:t>once daily</w:t>
      </w:r>
    </w:p>
    <w:p w14:paraId="29FB8D37" w14:textId="4BED952B" w:rsidR="00892AE8" w:rsidRPr="00865C47" w:rsidRDefault="008A58D2" w:rsidP="008A58D2">
      <w:pPr>
        <w:pStyle w:val="ListBullet"/>
      </w:pPr>
      <w:r w:rsidRPr="00865C47">
        <w:t>Geometric mean accumulation ratio for AUC</w:t>
      </w:r>
      <w:r w:rsidRPr="00865C47">
        <w:rPr>
          <w:vertAlign w:val="subscript"/>
        </w:rPr>
        <w:t>0-24</w:t>
      </w:r>
      <w:r w:rsidR="005B5AC9" w:rsidRPr="00865C47">
        <w:t>:</w:t>
      </w:r>
      <w:r w:rsidRPr="00865C47">
        <w:t xml:space="preserve"> 1.61</w:t>
      </w:r>
    </w:p>
    <w:p w14:paraId="7368E0D8" w14:textId="2B3F0902" w:rsidR="008A58D2" w:rsidRPr="00865C47" w:rsidRDefault="008A51BB" w:rsidP="008A58D2">
      <w:pPr>
        <w:pStyle w:val="ListBullet"/>
      </w:pPr>
      <w:r w:rsidRPr="00865C47">
        <w:t>Apparent oral dose volume of distribution</w:t>
      </w:r>
      <w:r w:rsidR="008A58D2" w:rsidRPr="00865C47">
        <w:t xml:space="preserve">: </w:t>
      </w:r>
      <w:r w:rsidR="005B5AC9" w:rsidRPr="00865C47">
        <w:t>g</w:t>
      </w:r>
      <w:r w:rsidR="008A58D2" w:rsidRPr="00865C47">
        <w:t>eometric mean of apparent oral dose volume of distribution in terminal elimination phase is 235 L (CV% = 60.8%)</w:t>
      </w:r>
    </w:p>
    <w:p w14:paraId="73675F22" w14:textId="521BE0F5" w:rsidR="00892AE8" w:rsidRPr="00865C47" w:rsidRDefault="005B5AC9" w:rsidP="008A58D2">
      <w:pPr>
        <w:pStyle w:val="ListBullet"/>
      </w:pPr>
      <w:r w:rsidRPr="00865C47">
        <w:t>Percentage</w:t>
      </w:r>
      <w:r w:rsidR="008A58D2" w:rsidRPr="00865C47">
        <w:t xml:space="preserve"> bound in plasma: mean </w:t>
      </w:r>
      <w:r w:rsidRPr="00865C47">
        <w:t>percentage</w:t>
      </w:r>
      <w:r w:rsidR="008A58D2" w:rsidRPr="00865C47">
        <w:t xml:space="preserve"> bound </w:t>
      </w:r>
      <w:r w:rsidR="004E7B48" w:rsidRPr="00865C47">
        <w:t>pemigatinib</w:t>
      </w:r>
      <w:r w:rsidR="008A58D2" w:rsidRPr="00865C47">
        <w:t xml:space="preserve"> in plasma and serum in humans (</w:t>
      </w:r>
      <w:r w:rsidR="008A58D2" w:rsidRPr="00865C47">
        <w:rPr>
          <w:i/>
          <w:iCs/>
        </w:rPr>
        <w:t>ex vivo</w:t>
      </w:r>
      <w:r w:rsidR="008A58D2" w:rsidRPr="00865C47">
        <w:t>) is 90.6%</w:t>
      </w:r>
    </w:p>
    <w:p w14:paraId="5FCC6F8F" w14:textId="3B5F99A7" w:rsidR="008A58D2" w:rsidRPr="00865C47" w:rsidRDefault="008A58D2" w:rsidP="008A58D2">
      <w:pPr>
        <w:pStyle w:val="ListBullet"/>
      </w:pPr>
      <w:r w:rsidRPr="00865C47">
        <w:t xml:space="preserve">Terminal </w:t>
      </w:r>
      <w:r w:rsidR="008A51BB" w:rsidRPr="00865C47">
        <w:t>half-life</w:t>
      </w:r>
      <w:r w:rsidRPr="00865C47">
        <w:t>:</w:t>
      </w:r>
      <w:r w:rsidR="005B5AC9" w:rsidRPr="00865C47">
        <w:t xml:space="preserve"> t</w:t>
      </w:r>
      <w:r w:rsidRPr="00865C47">
        <w:t xml:space="preserve">he geometric mean </w:t>
      </w:r>
      <w:r w:rsidR="008A51BB" w:rsidRPr="00865C47">
        <w:t xml:space="preserve">half-life </w:t>
      </w:r>
      <w:r w:rsidRPr="00865C47">
        <w:t>is 15.4 hours (CV% = 51.6%)</w:t>
      </w:r>
    </w:p>
    <w:p w14:paraId="6A7557AA" w14:textId="46A7DEE9" w:rsidR="00892AE8" w:rsidRPr="00865C47" w:rsidRDefault="008A51BB" w:rsidP="008A58D2">
      <w:pPr>
        <w:pStyle w:val="ListBullet"/>
      </w:pPr>
      <w:r w:rsidRPr="00865C47">
        <w:t>Apparent total body clearance</w:t>
      </w:r>
      <w:r w:rsidR="008A58D2" w:rsidRPr="00865C47">
        <w:t xml:space="preserve">: </w:t>
      </w:r>
      <w:r w:rsidR="005B5AC9" w:rsidRPr="00865C47">
        <w:t>t</w:t>
      </w:r>
      <w:r w:rsidR="008A58D2" w:rsidRPr="00865C47">
        <w:t>he geometric mean apparent oral clearance is 10.6 L/h (CV% = 54.1%)</w:t>
      </w:r>
    </w:p>
    <w:p w14:paraId="06DDC3AF" w14:textId="73C2422C" w:rsidR="008A58D2" w:rsidRPr="00865C47" w:rsidRDefault="008A58D2" w:rsidP="008A58D2">
      <w:r w:rsidRPr="00865C47">
        <w:t xml:space="preserve">Pemigatinib is predominantly metabolised by CYP3A4 </w:t>
      </w:r>
      <w:r w:rsidRPr="00865C47">
        <w:rPr>
          <w:i/>
          <w:iCs/>
        </w:rPr>
        <w:t>in vitro</w:t>
      </w:r>
      <w:r w:rsidRPr="00865C47">
        <w:t>.</w:t>
      </w:r>
      <w:r w:rsidR="006F5AFB" w:rsidRPr="004C535F">
        <w:rPr>
          <w:vertAlign w:val="superscript"/>
        </w:rPr>
        <w:fldChar w:fldCharType="begin"/>
      </w:r>
      <w:r w:rsidR="006F5AFB" w:rsidRPr="004C535F">
        <w:rPr>
          <w:vertAlign w:val="superscript"/>
        </w:rPr>
        <w:instrText xml:space="preserve"> NOTEREF _Ref139017303 \h </w:instrText>
      </w:r>
      <w:r w:rsidR="006F5AFB">
        <w:rPr>
          <w:vertAlign w:val="superscript"/>
        </w:rPr>
        <w:instrText xml:space="preserve"> \* MERGEFORMAT </w:instrText>
      </w:r>
      <w:r w:rsidR="006F5AFB" w:rsidRPr="004C535F">
        <w:rPr>
          <w:vertAlign w:val="superscript"/>
        </w:rPr>
      </w:r>
      <w:r w:rsidR="006F5AFB" w:rsidRPr="004C535F">
        <w:rPr>
          <w:vertAlign w:val="superscript"/>
        </w:rPr>
        <w:fldChar w:fldCharType="separate"/>
      </w:r>
      <w:r w:rsidR="005D22F2">
        <w:rPr>
          <w:vertAlign w:val="superscript"/>
        </w:rPr>
        <w:t>10</w:t>
      </w:r>
      <w:r w:rsidR="006F5AFB" w:rsidRPr="004C535F">
        <w:rPr>
          <w:vertAlign w:val="superscript"/>
        </w:rPr>
        <w:fldChar w:fldCharType="end"/>
      </w:r>
      <w:r w:rsidRPr="00865C47">
        <w:t xml:space="preserve"> The major drug</w:t>
      </w:r>
      <w:r w:rsidR="005B5AC9" w:rsidRPr="00865C47">
        <w:t xml:space="preserve"> </w:t>
      </w:r>
      <w:r w:rsidRPr="00865C47">
        <w:t>related moiety in plasma was unchanged pemigatinib in a human [</w:t>
      </w:r>
      <w:r w:rsidRPr="00865C47">
        <w:rPr>
          <w:vertAlign w:val="superscript"/>
        </w:rPr>
        <w:t>14</w:t>
      </w:r>
      <w:r w:rsidRPr="00865C47">
        <w:t>C] mass balance study. There was low renal clearance and pemigatinib is almost exclusively eliminated by hepatic metabolic pathways.</w:t>
      </w:r>
    </w:p>
    <w:p w14:paraId="4B89F50D" w14:textId="64C0AA52" w:rsidR="00892AE8" w:rsidRPr="00865C47" w:rsidRDefault="008A58D2" w:rsidP="008A58D2">
      <w:r w:rsidRPr="00865C47">
        <w:t xml:space="preserve">Human </w:t>
      </w:r>
      <w:r w:rsidR="000C4DEF" w:rsidRPr="00865C47">
        <w:t xml:space="preserve">absorption, distribution, metabolism, and excretion </w:t>
      </w:r>
      <w:r w:rsidRPr="00865C47">
        <w:t xml:space="preserve">study (Study </w:t>
      </w:r>
      <w:r w:rsidR="005B5AC9" w:rsidRPr="00865C47">
        <w:t>INCB 54828-105</w:t>
      </w:r>
      <w:r w:rsidRPr="00865C47">
        <w:t>) showed that no major metabolites (≥ 10% of total compound</w:t>
      </w:r>
      <w:r w:rsidR="005B5AC9" w:rsidRPr="00865C47">
        <w:t xml:space="preserve"> </w:t>
      </w:r>
      <w:r w:rsidRPr="00865C47">
        <w:t>related material) were detected in plasma.</w:t>
      </w:r>
    </w:p>
    <w:p w14:paraId="175E6F14" w14:textId="1CB11842" w:rsidR="00892AE8" w:rsidRPr="00865C47" w:rsidRDefault="008A58D2" w:rsidP="008A58D2">
      <w:pPr>
        <w:pStyle w:val="ListBullet"/>
      </w:pPr>
      <w:r w:rsidRPr="00865C47">
        <w:t>In urine, Phase II metabolites, M7 and M9 were the only metabolites detected at levels ≥</w:t>
      </w:r>
      <w:r w:rsidR="005B5AC9" w:rsidRPr="00865C47">
        <w:t> </w:t>
      </w:r>
      <w:r w:rsidRPr="00865C47">
        <w:t>1% of the administered dose (4.4% and 2.1%, respectively).</w:t>
      </w:r>
    </w:p>
    <w:p w14:paraId="2AD6485B" w14:textId="46DC07D7" w:rsidR="00892AE8" w:rsidRPr="00865C47" w:rsidRDefault="008A58D2" w:rsidP="008A58D2">
      <w:pPr>
        <w:pStyle w:val="ListBullet"/>
      </w:pPr>
      <w:r w:rsidRPr="00865C47">
        <w:lastRenderedPageBreak/>
        <w:t xml:space="preserve">In faeces, 44.4% of the dose was recovered as </w:t>
      </w:r>
      <w:r w:rsidR="006F5AFB">
        <w:t xml:space="preserve">metabolite </w:t>
      </w:r>
      <w:r w:rsidRPr="00865C47">
        <w:t>M2 (INCB056632, O-</w:t>
      </w:r>
      <w:proofErr w:type="spellStart"/>
      <w:r w:rsidRPr="00865C47">
        <w:t>desmethyl</w:t>
      </w:r>
      <w:proofErr w:type="spellEnd"/>
      <w:r w:rsidRPr="00865C47">
        <w:t>-</w:t>
      </w:r>
      <w:proofErr w:type="spellStart"/>
      <w:r w:rsidR="00865C47" w:rsidRPr="00865C47">
        <w:t>pemigatinib</w:t>
      </w:r>
      <w:proofErr w:type="spellEnd"/>
      <w:r w:rsidRPr="00865C47">
        <w:t>), while the intact parent pemigatinib accounted for 1.4% of the administered dose.</w:t>
      </w:r>
    </w:p>
    <w:p w14:paraId="19B521FA" w14:textId="3D5FE896" w:rsidR="008A58D2" w:rsidRPr="00865C47" w:rsidRDefault="008A58D2" w:rsidP="008A58D2">
      <w:r w:rsidRPr="00865C47">
        <w:t>In Study INCB 54828-101, the food effect on pemigatinib PK was evaluated in 12 patients with advanced malignancies.</w:t>
      </w:r>
      <w:r w:rsidR="00892AE8" w:rsidRPr="00865C47">
        <w:t xml:space="preserve"> </w:t>
      </w:r>
      <w:r w:rsidRPr="00865C47">
        <w:t xml:space="preserve">although this was a small study, these PK data indicate that the PK of pemigatinib tablets are not significantly altered by administration with or without food, supporting the proposed dosing in </w:t>
      </w:r>
      <w:r w:rsidR="005B5AC9" w:rsidRPr="00865C47">
        <w:t>the P</w:t>
      </w:r>
      <w:r w:rsidR="000C4DEF" w:rsidRPr="00865C47">
        <w:t>I</w:t>
      </w:r>
      <w:r w:rsidRPr="00865C47">
        <w:t xml:space="preserve"> without regard to food.</w:t>
      </w:r>
    </w:p>
    <w:p w14:paraId="77D36CC0" w14:textId="5AAAFAF3" w:rsidR="008A58D2" w:rsidRDefault="008A58D2" w:rsidP="008E72D2">
      <w:pPr>
        <w:pStyle w:val="Heading5"/>
      </w:pPr>
      <w:r w:rsidRPr="00865C47">
        <w:t>Pharmacokinetics</w:t>
      </w:r>
    </w:p>
    <w:p w14:paraId="4ECB0062" w14:textId="77777777" w:rsidR="00C70544" w:rsidRPr="00865C47" w:rsidRDefault="00C70544" w:rsidP="00C70544">
      <w:pPr>
        <w:pStyle w:val="Heading6"/>
      </w:pPr>
      <w:r w:rsidRPr="00865C47">
        <w:t>Pharmacokinetics in special populations</w:t>
      </w:r>
    </w:p>
    <w:p w14:paraId="6B01AEB3" w14:textId="66EC941F" w:rsidR="008A58D2" w:rsidRPr="00865C47" w:rsidRDefault="005B5AC9" w:rsidP="00E60C44">
      <w:r w:rsidRPr="00865C47">
        <w:rPr>
          <w:i/>
          <w:iCs/>
        </w:rPr>
        <w:t xml:space="preserve">Pharmacokinetics </w:t>
      </w:r>
      <w:r w:rsidR="008A58D2" w:rsidRPr="00865C47">
        <w:rPr>
          <w:i/>
          <w:iCs/>
        </w:rPr>
        <w:t>in participants with impaired hepatic function</w:t>
      </w:r>
      <w:r w:rsidR="00E60C44" w:rsidRPr="00865C47">
        <w:rPr>
          <w:i/>
          <w:iCs/>
        </w:rPr>
        <w:t xml:space="preserve"> (</w:t>
      </w:r>
      <w:r w:rsidR="008A58D2" w:rsidRPr="00865C47">
        <w:rPr>
          <w:i/>
          <w:iCs/>
        </w:rPr>
        <w:t>Study INCB54828-107</w:t>
      </w:r>
      <w:r w:rsidR="00E60C44" w:rsidRPr="00865C47">
        <w:rPr>
          <w:i/>
          <w:iCs/>
        </w:rPr>
        <w:t>)</w:t>
      </w:r>
      <w:r w:rsidR="008A58D2" w:rsidRPr="00865C47">
        <w:t>:</w:t>
      </w:r>
      <w:r w:rsidR="00892AE8" w:rsidRPr="00865C47">
        <w:t xml:space="preserve"> </w:t>
      </w:r>
      <w:r w:rsidR="008A58D2" w:rsidRPr="00865C47">
        <w:t>Due to the small sample size in each group of the study, and inter</w:t>
      </w:r>
      <w:r w:rsidR="00E60C44" w:rsidRPr="00865C47">
        <w:noBreakHyphen/>
      </w:r>
      <w:r w:rsidR="008A58D2" w:rsidRPr="00865C47">
        <w:t>patient variability, the reliability in predicting exposure in an individual patient setting is limited and the effect of hepatic impairment on C</w:t>
      </w:r>
      <w:r w:rsidR="008A58D2" w:rsidRPr="00865C47">
        <w:rPr>
          <w:vertAlign w:val="subscript"/>
        </w:rPr>
        <w:t>max</w:t>
      </w:r>
      <w:r w:rsidR="008A58D2" w:rsidRPr="00865C47">
        <w:t xml:space="preserve">, </w:t>
      </w:r>
      <w:r w:rsidR="000C4DEF" w:rsidRPr="00865C47">
        <w:t>area under the plasma concentration-time curve from time zero to infinity (</w:t>
      </w:r>
      <w:r w:rsidR="008A58D2" w:rsidRPr="00865C47">
        <w:t>AUC</w:t>
      </w:r>
      <w:r w:rsidR="008A58D2" w:rsidRPr="00865C47">
        <w:rPr>
          <w:vertAlign w:val="subscript"/>
        </w:rPr>
        <w:t>0-inf</w:t>
      </w:r>
      <w:r w:rsidR="000C4DEF" w:rsidRPr="00865C47">
        <w:t>)</w:t>
      </w:r>
      <w:r w:rsidR="008A58D2" w:rsidRPr="00865C47">
        <w:t xml:space="preserve"> and </w:t>
      </w:r>
      <w:r w:rsidR="00A93FFB" w:rsidRPr="00865C47">
        <w:t>T</w:t>
      </w:r>
      <w:r w:rsidR="00A93FFB" w:rsidRPr="00865C47">
        <w:rPr>
          <w:vertAlign w:val="subscript"/>
        </w:rPr>
        <w:t>max</w:t>
      </w:r>
      <w:r w:rsidR="008A58D2" w:rsidRPr="00865C47">
        <w:t xml:space="preserve"> remains uncertain.</w:t>
      </w:r>
      <w:r w:rsidR="00892AE8" w:rsidRPr="00865C47">
        <w:t xml:space="preserve"> </w:t>
      </w:r>
      <w:r w:rsidR="008A58D2" w:rsidRPr="00865C47">
        <w:t xml:space="preserve">The clinical </w:t>
      </w:r>
      <w:r w:rsidR="00E60C44" w:rsidRPr="00865C47">
        <w:t>evaluation</w:t>
      </w:r>
      <w:r w:rsidR="008A58D2" w:rsidRPr="00865C47">
        <w:t xml:space="preserve"> stated that the proposed starting dose reduction in patients with severe hepatic impairment is supported, but close monitoring would be required.</w:t>
      </w:r>
    </w:p>
    <w:p w14:paraId="74569D62" w14:textId="242D8D6C" w:rsidR="008A58D2" w:rsidRPr="00865C47" w:rsidRDefault="00E60C44" w:rsidP="00E60C44">
      <w:r w:rsidRPr="00865C47">
        <w:rPr>
          <w:i/>
          <w:iCs/>
        </w:rPr>
        <w:t xml:space="preserve">Pharmacokinetics </w:t>
      </w:r>
      <w:r w:rsidR="008A58D2" w:rsidRPr="00865C47">
        <w:rPr>
          <w:i/>
          <w:iCs/>
        </w:rPr>
        <w:t>in participants with impaired renal function</w:t>
      </w:r>
      <w:r w:rsidRPr="00865C47">
        <w:rPr>
          <w:i/>
          <w:iCs/>
        </w:rPr>
        <w:t xml:space="preserve"> (</w:t>
      </w:r>
      <w:r w:rsidR="008A58D2" w:rsidRPr="00865C47">
        <w:rPr>
          <w:i/>
          <w:iCs/>
        </w:rPr>
        <w:t>Study INCB54828-108</w:t>
      </w:r>
      <w:r w:rsidRPr="00865C47">
        <w:rPr>
          <w:i/>
          <w:iCs/>
        </w:rPr>
        <w:t>)</w:t>
      </w:r>
      <w:r w:rsidR="008A58D2" w:rsidRPr="00865C47">
        <w:t xml:space="preserve">: In patients with severe renal impairment, the longer </w:t>
      </w:r>
      <w:r w:rsidR="008A51BB" w:rsidRPr="00865C47">
        <w:t>half-life</w:t>
      </w:r>
      <w:r w:rsidR="008A58D2" w:rsidRPr="00865C47">
        <w:t xml:space="preserve"> and higher exposure indicates that a starting dose reduction is required (see </w:t>
      </w:r>
      <w:r w:rsidR="007F555D" w:rsidRPr="00865C47">
        <w:fldChar w:fldCharType="begin"/>
      </w:r>
      <w:r w:rsidR="007F555D" w:rsidRPr="00865C47">
        <w:instrText xml:space="preserve"> REF _Ref135734836 \h </w:instrText>
      </w:r>
      <w:r w:rsidR="00865C47">
        <w:instrText xml:space="preserve"> \* MERGEFORMAT </w:instrText>
      </w:r>
      <w:r w:rsidR="007F555D" w:rsidRPr="00865C47">
        <w:fldChar w:fldCharType="separate"/>
      </w:r>
      <w:r w:rsidR="005D22F2" w:rsidRPr="00865C47">
        <w:t xml:space="preserve">Table </w:t>
      </w:r>
      <w:r w:rsidR="005D22F2">
        <w:rPr>
          <w:noProof/>
        </w:rPr>
        <w:t>4</w:t>
      </w:r>
      <w:r w:rsidR="007F555D" w:rsidRPr="00865C47">
        <w:fldChar w:fldCharType="end"/>
      </w:r>
      <w:r w:rsidR="007F555D" w:rsidRPr="00865C47">
        <w:t xml:space="preserve">, </w:t>
      </w:r>
      <w:r w:rsidR="007F555D" w:rsidRPr="00865C47">
        <w:fldChar w:fldCharType="begin"/>
      </w:r>
      <w:r w:rsidR="007F555D" w:rsidRPr="00865C47">
        <w:instrText xml:space="preserve"> REF _Ref135734849 \h </w:instrText>
      </w:r>
      <w:r w:rsidR="00865C47">
        <w:instrText xml:space="preserve"> \* MERGEFORMAT </w:instrText>
      </w:r>
      <w:r w:rsidR="007F555D" w:rsidRPr="00865C47">
        <w:fldChar w:fldCharType="separate"/>
      </w:r>
      <w:r w:rsidR="005D22F2" w:rsidRPr="00865C47">
        <w:t xml:space="preserve">Figure </w:t>
      </w:r>
      <w:r w:rsidR="005D22F2">
        <w:rPr>
          <w:noProof/>
        </w:rPr>
        <w:t>2</w:t>
      </w:r>
      <w:r w:rsidR="007F555D" w:rsidRPr="00865C47">
        <w:fldChar w:fldCharType="end"/>
      </w:r>
      <w:r w:rsidR="004B01EA" w:rsidRPr="00865C47">
        <w:t xml:space="preserve"> </w:t>
      </w:r>
      <w:r w:rsidR="007F555D" w:rsidRPr="00865C47">
        <w:t>and</w:t>
      </w:r>
      <w:r w:rsidR="00170035">
        <w:t xml:space="preserve"> </w:t>
      </w:r>
      <w:r w:rsidR="00170035">
        <w:fldChar w:fldCharType="begin"/>
      </w:r>
      <w:r w:rsidR="00170035">
        <w:instrText xml:space="preserve"> REF _Ref139283793 \h </w:instrText>
      </w:r>
      <w:r w:rsidR="00170035">
        <w:fldChar w:fldCharType="separate"/>
      </w:r>
      <w:r w:rsidR="005D22F2" w:rsidRPr="00170035">
        <w:t xml:space="preserve">Figure </w:t>
      </w:r>
      <w:r w:rsidR="005D22F2">
        <w:rPr>
          <w:noProof/>
        </w:rPr>
        <w:t>3</w:t>
      </w:r>
      <w:r w:rsidR="00170035">
        <w:fldChar w:fldCharType="end"/>
      </w:r>
      <w:r w:rsidRPr="00865C47">
        <w:t xml:space="preserve"> below</w:t>
      </w:r>
      <w:r w:rsidR="008A58D2" w:rsidRPr="00865C47">
        <w:t>).</w:t>
      </w:r>
      <w:r w:rsidR="00892AE8" w:rsidRPr="00865C47">
        <w:t xml:space="preserve"> </w:t>
      </w:r>
      <w:r w:rsidR="008A58D2" w:rsidRPr="00865C47">
        <w:t xml:space="preserve">The clinical </w:t>
      </w:r>
      <w:r w:rsidRPr="00865C47">
        <w:t>evaluation</w:t>
      </w:r>
      <w:r w:rsidR="008A58D2" w:rsidRPr="00865C47">
        <w:t xml:space="preserve"> recommended that the starting dose in this population should be stated as 9</w:t>
      </w:r>
      <w:r w:rsidRPr="00865C47">
        <w:t> </w:t>
      </w:r>
      <w:r w:rsidR="008A58D2" w:rsidRPr="00865C47">
        <w:t>mg as supported by data.</w:t>
      </w:r>
      <w:r w:rsidR="00892AE8" w:rsidRPr="00865C47">
        <w:t xml:space="preserve"> </w:t>
      </w:r>
      <w:r w:rsidR="008A58D2" w:rsidRPr="00865C47">
        <w:t xml:space="preserve">Those with mild, moderate renal impairment or </w:t>
      </w:r>
      <w:r w:rsidR="008A51BB" w:rsidRPr="00865C47">
        <w:t>end stage renal disease</w:t>
      </w:r>
      <w:r w:rsidR="008A58D2" w:rsidRPr="00865C47">
        <w:t xml:space="preserve"> on dialysis (</w:t>
      </w:r>
      <w:r w:rsidRPr="00865C47">
        <w:t xml:space="preserve">see </w:t>
      </w:r>
      <w:r w:rsidR="007F555D" w:rsidRPr="00865C47">
        <w:fldChar w:fldCharType="begin"/>
      </w:r>
      <w:r w:rsidR="007F555D" w:rsidRPr="00865C47">
        <w:instrText xml:space="preserve"> REF _Ref85554672 \h </w:instrText>
      </w:r>
      <w:r w:rsidR="00865C47">
        <w:instrText xml:space="preserve"> \* MERGEFORMAT </w:instrText>
      </w:r>
      <w:r w:rsidR="007F555D" w:rsidRPr="00865C47">
        <w:fldChar w:fldCharType="separate"/>
      </w:r>
      <w:r w:rsidR="005D22F2" w:rsidRPr="00170035">
        <w:t xml:space="preserve">Table </w:t>
      </w:r>
      <w:r w:rsidR="005D22F2">
        <w:rPr>
          <w:noProof/>
        </w:rPr>
        <w:t>5</w:t>
      </w:r>
      <w:r w:rsidR="007F555D" w:rsidRPr="00865C47">
        <w:fldChar w:fldCharType="end"/>
      </w:r>
      <w:r w:rsidR="007F555D" w:rsidRPr="00865C47">
        <w:t xml:space="preserve">, </w:t>
      </w:r>
      <w:r w:rsidR="007F555D" w:rsidRPr="00865C47">
        <w:fldChar w:fldCharType="begin"/>
      </w:r>
      <w:r w:rsidR="007F555D" w:rsidRPr="00865C47">
        <w:instrText xml:space="preserve"> REF _Ref85624518 \h </w:instrText>
      </w:r>
      <w:r w:rsidR="00865C47">
        <w:instrText xml:space="preserve"> \* MERGEFORMAT </w:instrText>
      </w:r>
      <w:r w:rsidR="007F555D" w:rsidRPr="00865C47">
        <w:fldChar w:fldCharType="separate"/>
      </w:r>
      <w:r w:rsidR="005D22F2" w:rsidRPr="00CF662C">
        <w:t xml:space="preserve">Figure </w:t>
      </w:r>
      <w:r w:rsidR="005D22F2">
        <w:rPr>
          <w:noProof/>
        </w:rPr>
        <w:t>4</w:t>
      </w:r>
      <w:r w:rsidR="007F555D" w:rsidRPr="00865C47">
        <w:fldChar w:fldCharType="end"/>
      </w:r>
      <w:r w:rsidR="007F555D" w:rsidRPr="00865C47">
        <w:t xml:space="preserve"> and </w:t>
      </w:r>
      <w:r w:rsidR="007F555D" w:rsidRPr="00865C47">
        <w:fldChar w:fldCharType="begin"/>
      </w:r>
      <w:r w:rsidR="007F555D" w:rsidRPr="00865C47">
        <w:instrText xml:space="preserve"> REF _Ref135735005 \h </w:instrText>
      </w:r>
      <w:r w:rsidR="00865C47">
        <w:instrText xml:space="preserve"> \* MERGEFORMAT </w:instrText>
      </w:r>
      <w:r w:rsidR="007F555D" w:rsidRPr="00865C47">
        <w:fldChar w:fldCharType="separate"/>
      </w:r>
      <w:r w:rsidR="005D22F2" w:rsidRPr="00CF662C">
        <w:t xml:space="preserve">Figure </w:t>
      </w:r>
      <w:r w:rsidR="005D22F2">
        <w:rPr>
          <w:noProof/>
        </w:rPr>
        <w:t>5</w:t>
      </w:r>
      <w:r w:rsidR="007F555D" w:rsidRPr="00865C47">
        <w:fldChar w:fldCharType="end"/>
      </w:r>
      <w:r w:rsidRPr="00865C47">
        <w:t xml:space="preserve"> below</w:t>
      </w:r>
      <w:r w:rsidR="008A58D2" w:rsidRPr="00865C47">
        <w:t>) do not need a dose reduction.</w:t>
      </w:r>
    </w:p>
    <w:p w14:paraId="0D03C173" w14:textId="1E54581E" w:rsidR="007F555D" w:rsidRPr="00865C47" w:rsidRDefault="007F555D" w:rsidP="008A51BB">
      <w:pPr>
        <w:pStyle w:val="TableTitle"/>
      </w:pPr>
      <w:bookmarkStart w:id="53" w:name="_Ref135734836"/>
      <w:bookmarkStart w:id="54" w:name="_Toc87017841"/>
      <w:bookmarkStart w:id="55" w:name="_Toc87201985"/>
      <w:r w:rsidRPr="00865C47">
        <w:t xml:space="preserve">Table </w:t>
      </w:r>
      <w:r w:rsidR="00547529">
        <w:fldChar w:fldCharType="begin"/>
      </w:r>
      <w:r w:rsidR="00547529">
        <w:instrText xml:space="preserve"> SEQ Table \* ARABIC </w:instrText>
      </w:r>
      <w:r w:rsidR="00547529">
        <w:fldChar w:fldCharType="separate"/>
      </w:r>
      <w:r w:rsidR="005D22F2">
        <w:rPr>
          <w:noProof/>
        </w:rPr>
        <w:t>4</w:t>
      </w:r>
      <w:r w:rsidR="00547529">
        <w:rPr>
          <w:noProof/>
        </w:rPr>
        <w:fldChar w:fldCharType="end"/>
      </w:r>
      <w:bookmarkEnd w:id="53"/>
      <w:r w:rsidR="00E60C44" w:rsidRPr="00865C47">
        <w:t>:</w:t>
      </w:r>
      <w:r w:rsidRPr="00865C47">
        <w:t xml:space="preserve"> </w:t>
      </w:r>
      <w:r w:rsidR="00E60C44" w:rsidRPr="00865C47">
        <w:t xml:space="preserve">Study </w:t>
      </w:r>
      <w:r w:rsidR="00D839EA" w:rsidRPr="00865C47">
        <w:t xml:space="preserve">INCB52848-108 </w:t>
      </w:r>
      <w:r w:rsidRPr="00865C47">
        <w:t xml:space="preserve">Comparison of </w:t>
      </w:r>
      <w:r w:rsidR="004E7B48" w:rsidRPr="00865C47">
        <w:t>pemigatinib</w:t>
      </w:r>
      <w:r w:rsidRPr="00865C47">
        <w:t xml:space="preserve"> </w:t>
      </w:r>
      <w:r w:rsidR="00E60C44" w:rsidRPr="00865C47">
        <w:t xml:space="preserve">pharmacokinetic parameters following administration of 9 mg pemigatinib tablets </w:t>
      </w:r>
      <w:r w:rsidR="008A51BB" w:rsidRPr="00865C47">
        <w:t xml:space="preserve">in </w:t>
      </w:r>
      <w:r w:rsidR="00E60C44" w:rsidRPr="00865C47">
        <w:t>severe renal impairment and healthy matched participants</w:t>
      </w:r>
      <w:bookmarkEnd w:id="54"/>
      <w:bookmarkEnd w:id="55"/>
    </w:p>
    <w:p w14:paraId="04F7C86D" w14:textId="54F6232D" w:rsidR="00D839EA" w:rsidRPr="00865C47" w:rsidRDefault="00D839EA" w:rsidP="00E60C44">
      <w:r w:rsidRPr="00865C47">
        <w:rPr>
          <w:noProof/>
          <w:lang w:val="en-GB" w:eastAsia="en-GB"/>
        </w:rPr>
        <w:drawing>
          <wp:inline distT="0" distB="0" distL="0" distR="0" wp14:anchorId="01B05F86" wp14:editId="7FD94664">
            <wp:extent cx="5759450" cy="1261110"/>
            <wp:effectExtent l="0" t="0" r="0" b="0"/>
            <wp:docPr id="9" name="Picture 9" descr="Table 4: Study INCB52848-108 Comparison of pemigatinib pharmacokinetic parameters following administration of 9 mg pemigatinib tablets in severe renal impairment and healthy match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4: Study INCB52848-108 Comparison of pemigatinib pharmacokinetic parameters following administration of 9 mg pemigatinib tablets in severe renal impairment and healthy matched participants"/>
                    <pic:cNvPicPr/>
                  </pic:nvPicPr>
                  <pic:blipFill>
                    <a:blip r:embed="rId27"/>
                    <a:stretch>
                      <a:fillRect/>
                    </a:stretch>
                  </pic:blipFill>
                  <pic:spPr>
                    <a:xfrm>
                      <a:off x="0" y="0"/>
                      <a:ext cx="5759450" cy="1261110"/>
                    </a:xfrm>
                    <a:prstGeom prst="rect">
                      <a:avLst/>
                    </a:prstGeom>
                  </pic:spPr>
                </pic:pic>
              </a:graphicData>
            </a:graphic>
          </wp:inline>
        </w:drawing>
      </w:r>
    </w:p>
    <w:p w14:paraId="4B099F09" w14:textId="45432812" w:rsidR="00FC6D80" w:rsidRPr="00865C47" w:rsidRDefault="00E60C44" w:rsidP="00FC6D80">
      <w:pPr>
        <w:pStyle w:val="TableDescription"/>
      </w:pPr>
      <w:bookmarkStart w:id="56" w:name="_Hlk136008175"/>
      <w:r w:rsidRPr="00865C47">
        <w:t xml:space="preserve">Abbreviations: </w:t>
      </w:r>
      <w:r w:rsidR="00D839EA" w:rsidRPr="00865C47">
        <w:t>AUC</w:t>
      </w:r>
      <w:r w:rsidR="00D839EA" w:rsidRPr="00865C47">
        <w:rPr>
          <w:vertAlign w:val="subscript"/>
        </w:rPr>
        <w:t>0</w:t>
      </w:r>
      <w:r w:rsidR="00FC6D80" w:rsidRPr="00865C47">
        <w:rPr>
          <w:vertAlign w:val="subscript"/>
        </w:rPr>
        <w:t>-∞</w:t>
      </w:r>
      <w:r w:rsidR="00A93FFB" w:rsidRPr="00865C47">
        <w:rPr>
          <w:rFonts w:hint="eastAsia"/>
        </w:rPr>
        <w:t xml:space="preserve"> </w:t>
      </w:r>
      <w:r w:rsidR="00D839EA" w:rsidRPr="00865C47">
        <w:t>= area under the plasma concentration-time curve from time zero to infinity; AUC</w:t>
      </w:r>
      <w:r w:rsidR="00D839EA" w:rsidRPr="00865C47">
        <w:rPr>
          <w:vertAlign w:val="subscript"/>
        </w:rPr>
        <w:t>0-t</w:t>
      </w:r>
      <w:r w:rsidR="00D839EA" w:rsidRPr="00865C47">
        <w:t xml:space="preserve"> = area under the plasma concentration-time curve from time zero to time of last quantifiable concentration; CL/F = apparent total body clearance; C</w:t>
      </w:r>
      <w:r w:rsidR="00D839EA" w:rsidRPr="00865C47">
        <w:rPr>
          <w:vertAlign w:val="subscript"/>
        </w:rPr>
        <w:t>max</w:t>
      </w:r>
      <w:r w:rsidR="00D839EA" w:rsidRPr="00865C47">
        <w:t xml:space="preserve"> = maximum observed plasma concentration; </w:t>
      </w:r>
      <w:r w:rsidR="00565921" w:rsidRPr="00865C47">
        <w:t xml:space="preserve">n = number of subjects; </w:t>
      </w:r>
      <w:r w:rsidR="00D839EA" w:rsidRPr="00865C47">
        <w:t>t</w:t>
      </w:r>
      <w:r w:rsidR="00D839EA" w:rsidRPr="00865C47">
        <w:rPr>
          <w:vertAlign w:val="subscript"/>
        </w:rPr>
        <w:t>½</w:t>
      </w:r>
      <w:r w:rsidR="00D839EA" w:rsidRPr="00865C47">
        <w:t xml:space="preserve"> = apparent plasma terminal elimination half-life; </w:t>
      </w:r>
      <w:proofErr w:type="spellStart"/>
      <w:r w:rsidR="00D839EA" w:rsidRPr="00865C47">
        <w:t>t</w:t>
      </w:r>
      <w:r w:rsidR="00D839EA" w:rsidRPr="00865C47">
        <w:rPr>
          <w:vertAlign w:val="subscript"/>
        </w:rPr>
        <w:t>max</w:t>
      </w:r>
      <w:proofErr w:type="spellEnd"/>
      <w:r w:rsidR="00D839EA" w:rsidRPr="00865C47">
        <w:t xml:space="preserve"> = time of the maximum observed plasma concentration; </w:t>
      </w:r>
      <w:proofErr w:type="spellStart"/>
      <w:r w:rsidR="00D839EA" w:rsidRPr="00865C47">
        <w:t>V</w:t>
      </w:r>
      <w:r w:rsidR="00D839EA" w:rsidRPr="00865C47">
        <w:rPr>
          <w:vertAlign w:val="subscript"/>
        </w:rPr>
        <w:t>z</w:t>
      </w:r>
      <w:proofErr w:type="spellEnd"/>
      <w:r w:rsidR="00D839EA" w:rsidRPr="00865C47">
        <w:t>/F = apparent oral dose volume of distribution.</w:t>
      </w:r>
    </w:p>
    <w:bookmarkEnd w:id="56"/>
    <w:p w14:paraId="27E214CB" w14:textId="76F78B7E" w:rsidR="007F555D" w:rsidRPr="00865C47" w:rsidRDefault="00D839EA" w:rsidP="004B01EA">
      <w:pPr>
        <w:pStyle w:val="TableDescription"/>
      </w:pPr>
      <w:r w:rsidRPr="00865C47">
        <w:t xml:space="preserve">Values are presented in the format of </w:t>
      </w:r>
      <w:r w:rsidR="00FC6D80" w:rsidRPr="00865C47">
        <w:t>m</w:t>
      </w:r>
      <w:r w:rsidRPr="00865C47">
        <w:t xml:space="preserve">ean ± </w:t>
      </w:r>
      <w:r w:rsidR="00FC6D80" w:rsidRPr="00865C47">
        <w:t>standard deviation</w:t>
      </w:r>
      <w:r w:rsidRPr="00865C47">
        <w:t xml:space="preserve"> and </w:t>
      </w:r>
      <w:r w:rsidR="00FC6D80" w:rsidRPr="00865C47">
        <w:t xml:space="preserve">geometric mean except </w:t>
      </w:r>
      <w:r w:rsidRPr="00865C47">
        <w:t xml:space="preserve">that </w:t>
      </w:r>
      <w:proofErr w:type="spellStart"/>
      <w:r w:rsidRPr="00865C47">
        <w:t>t</w:t>
      </w:r>
      <w:r w:rsidRPr="00865C47">
        <w:rPr>
          <w:vertAlign w:val="subscript"/>
        </w:rPr>
        <w:t>max</w:t>
      </w:r>
      <w:proofErr w:type="spellEnd"/>
      <w:r w:rsidRPr="00865C47">
        <w:t xml:space="preserve"> is reported as median (range)</w:t>
      </w:r>
    </w:p>
    <w:p w14:paraId="29BF7E8A" w14:textId="1CBFB95E" w:rsidR="007F555D" w:rsidRPr="00865C47" w:rsidRDefault="007F555D" w:rsidP="008A51BB">
      <w:pPr>
        <w:pStyle w:val="FigureTitle"/>
      </w:pPr>
      <w:bookmarkStart w:id="57" w:name="_Ref135734849"/>
      <w:bookmarkStart w:id="58" w:name="_Toc87017922"/>
      <w:bookmarkStart w:id="59" w:name="_Toc87018156"/>
      <w:bookmarkStart w:id="60" w:name="_Toc87018360"/>
      <w:r w:rsidRPr="00865C47">
        <w:lastRenderedPageBreak/>
        <w:t xml:space="preserve">Figure </w:t>
      </w:r>
      <w:r w:rsidR="00547529">
        <w:fldChar w:fldCharType="begin"/>
      </w:r>
      <w:r w:rsidR="00547529">
        <w:instrText xml:space="preserve"> SEQ</w:instrText>
      </w:r>
      <w:r w:rsidR="00547529">
        <w:instrText xml:space="preserve"> Figure \* ARABIC </w:instrText>
      </w:r>
      <w:r w:rsidR="00547529">
        <w:fldChar w:fldCharType="separate"/>
      </w:r>
      <w:r w:rsidR="005D22F2">
        <w:rPr>
          <w:noProof/>
        </w:rPr>
        <w:t>2</w:t>
      </w:r>
      <w:r w:rsidR="00547529">
        <w:rPr>
          <w:noProof/>
        </w:rPr>
        <w:fldChar w:fldCharType="end"/>
      </w:r>
      <w:bookmarkEnd w:id="57"/>
      <w:r w:rsidR="00E60C44" w:rsidRPr="00865C47">
        <w:t>:</w:t>
      </w:r>
      <w:r w:rsidRPr="00865C47">
        <w:t xml:space="preserve"> </w:t>
      </w:r>
      <w:r w:rsidR="00E60C44" w:rsidRPr="00865C47">
        <w:t xml:space="preserve">Study </w:t>
      </w:r>
      <w:r w:rsidR="00D839EA" w:rsidRPr="00865C47">
        <w:t xml:space="preserve">INCB52848-108 </w:t>
      </w:r>
      <w:r w:rsidRPr="00865C47">
        <w:t>Plasma concentrations of pemigatinib (</w:t>
      </w:r>
      <w:r w:rsidR="008A51BB" w:rsidRPr="00865C47">
        <w:t>m</w:t>
      </w:r>
      <w:r w:rsidRPr="00865C47">
        <w:t xml:space="preserve">ean ± </w:t>
      </w:r>
      <w:r w:rsidR="00E60C44" w:rsidRPr="00865C47">
        <w:t>standard error</w:t>
      </w:r>
      <w:r w:rsidRPr="00865C47">
        <w:t>) in severe renal impairment and healthy</w:t>
      </w:r>
      <w:r w:rsidR="00E60C44" w:rsidRPr="00865C47">
        <w:t xml:space="preserve"> </w:t>
      </w:r>
      <w:r w:rsidRPr="00865C47">
        <w:t>matched participants following administration of 9</w:t>
      </w:r>
      <w:r w:rsidR="00E60C44" w:rsidRPr="00865C47">
        <w:t> </w:t>
      </w:r>
      <w:r w:rsidRPr="00865C47">
        <w:t>mg of pemigatinib tablets</w:t>
      </w:r>
      <w:bookmarkEnd w:id="58"/>
      <w:bookmarkEnd w:id="59"/>
      <w:bookmarkEnd w:id="60"/>
    </w:p>
    <w:p w14:paraId="7223A125" w14:textId="3D39CD4F" w:rsidR="00783DA9" w:rsidRPr="00865C47" w:rsidRDefault="00D839EA" w:rsidP="00170035">
      <w:r w:rsidRPr="00865C47">
        <w:rPr>
          <w:noProof/>
          <w:lang w:val="en-GB" w:eastAsia="en-GB"/>
        </w:rPr>
        <w:drawing>
          <wp:inline distT="0" distB="0" distL="0" distR="0" wp14:anchorId="7C6144AA" wp14:editId="6B25A1A0">
            <wp:extent cx="3536950" cy="2463388"/>
            <wp:effectExtent l="0" t="0" r="6350" b="0"/>
            <wp:docPr id="10" name="Picture 10" descr="Figure 2: Study INCB52848-108 Plasma concentrations of pemigatinib (mean ± standard error) in severe renal impairment and healthy matched participants following administration of 9 mg of pemigatinib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 Study INCB52848-108 Plasma concentrations of pemigatinib (mean ± standard error) in severe renal impairment and healthy matched participants following administration of 9 mg of pemigatinib tablets"/>
                    <pic:cNvPicPr/>
                  </pic:nvPicPr>
                  <pic:blipFill>
                    <a:blip r:embed="rId28"/>
                    <a:stretch>
                      <a:fillRect/>
                    </a:stretch>
                  </pic:blipFill>
                  <pic:spPr>
                    <a:xfrm>
                      <a:off x="0" y="0"/>
                      <a:ext cx="3578028" cy="2491998"/>
                    </a:xfrm>
                    <a:prstGeom prst="rect">
                      <a:avLst/>
                    </a:prstGeom>
                  </pic:spPr>
                </pic:pic>
              </a:graphicData>
            </a:graphic>
          </wp:inline>
        </w:drawing>
      </w:r>
      <w:bookmarkStart w:id="61" w:name="_Ref135734851"/>
      <w:bookmarkStart w:id="62" w:name="_Toc87017923"/>
      <w:bookmarkStart w:id="63" w:name="_Toc87018157"/>
      <w:bookmarkStart w:id="64" w:name="_Toc87018361"/>
    </w:p>
    <w:p w14:paraId="19F09A0A" w14:textId="7D9290A3" w:rsidR="007F555D" w:rsidRPr="00170035" w:rsidRDefault="007F555D" w:rsidP="00170035">
      <w:pPr>
        <w:pStyle w:val="FigureTitle"/>
      </w:pPr>
      <w:bookmarkStart w:id="65" w:name="_Ref139283793"/>
      <w:r w:rsidRPr="00170035">
        <w:t xml:space="preserve">Figure </w:t>
      </w:r>
      <w:r w:rsidR="00547529">
        <w:fldChar w:fldCharType="begin"/>
      </w:r>
      <w:r w:rsidR="00547529">
        <w:instrText xml:space="preserve"> SEQ Figure \* ARABIC </w:instrText>
      </w:r>
      <w:r w:rsidR="00547529">
        <w:fldChar w:fldCharType="separate"/>
      </w:r>
      <w:r w:rsidR="005D22F2">
        <w:rPr>
          <w:noProof/>
        </w:rPr>
        <w:t>3</w:t>
      </w:r>
      <w:r w:rsidR="00547529">
        <w:rPr>
          <w:noProof/>
        </w:rPr>
        <w:fldChar w:fldCharType="end"/>
      </w:r>
      <w:bookmarkEnd w:id="61"/>
      <w:bookmarkEnd w:id="65"/>
      <w:r w:rsidR="00E60C44" w:rsidRPr="00170035">
        <w:t>:</w:t>
      </w:r>
      <w:r w:rsidR="008A51BB" w:rsidRPr="00170035">
        <w:t xml:space="preserve"> Study </w:t>
      </w:r>
      <w:r w:rsidR="00D839EA" w:rsidRPr="00170035">
        <w:t xml:space="preserve">INCB52848-108 </w:t>
      </w:r>
      <w:r w:rsidRPr="00170035">
        <w:t xml:space="preserve">Pemigatinib </w:t>
      </w:r>
      <w:r w:rsidR="008A51BB" w:rsidRPr="00170035">
        <w:t xml:space="preserve">maximum observed plasma or serum concentration </w:t>
      </w:r>
      <w:r w:rsidRPr="00170035">
        <w:t xml:space="preserve">and </w:t>
      </w:r>
      <w:r w:rsidR="008A51BB" w:rsidRPr="00170035">
        <w:t xml:space="preserve">area under the plasma concentration-time curve </w:t>
      </w:r>
      <w:r w:rsidRPr="00170035">
        <w:t xml:space="preserve">values for individual participants following administration of 9 mg of pemigatinib tablets </w:t>
      </w:r>
      <w:r w:rsidR="008A51BB" w:rsidRPr="00170035">
        <w:t>(</w:t>
      </w:r>
      <w:r w:rsidRPr="00170035">
        <w:t>severe renal impairment and healthy</w:t>
      </w:r>
      <w:r w:rsidR="008A51BB" w:rsidRPr="00170035">
        <w:t xml:space="preserve"> </w:t>
      </w:r>
      <w:r w:rsidRPr="00170035">
        <w:t>matched participants</w:t>
      </w:r>
      <w:bookmarkEnd w:id="62"/>
      <w:bookmarkEnd w:id="63"/>
      <w:bookmarkEnd w:id="64"/>
      <w:r w:rsidR="008A51BB" w:rsidRPr="00170035">
        <w:t>)</w:t>
      </w:r>
    </w:p>
    <w:p w14:paraId="0AE61088" w14:textId="77777777" w:rsidR="00170035" w:rsidRDefault="00D839EA" w:rsidP="00170035">
      <w:r w:rsidRPr="00865C47">
        <w:rPr>
          <w:noProof/>
          <w:lang w:val="en-GB" w:eastAsia="en-GB"/>
        </w:rPr>
        <w:drawing>
          <wp:inline distT="0" distB="0" distL="0" distR="0" wp14:anchorId="669F1CA7" wp14:editId="4EDC3681">
            <wp:extent cx="5454650" cy="3596940"/>
            <wp:effectExtent l="0" t="0" r="0" b="3810"/>
            <wp:docPr id="14" name="Picture 14" descr="Figure 3: Study INCB52848-108 Pemigatinib maximum observed plasma or serum concentration and area under the plasma concentration-time curve values for individual participants following administration of 9 mg of pemigatinib tablets (severe renal impairment and healthy match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Study INCB52848-108 Pemigatinib maximum observed plasma or serum concentration and area under the plasma concentration-time curve values for individual participants following administration of 9 mg of pemigatinib tablets (severe renal impairment and healthy matched participants)"/>
                    <pic:cNvPicPr/>
                  </pic:nvPicPr>
                  <pic:blipFill>
                    <a:blip r:embed="rId29"/>
                    <a:stretch>
                      <a:fillRect/>
                    </a:stretch>
                  </pic:blipFill>
                  <pic:spPr>
                    <a:xfrm>
                      <a:off x="0" y="0"/>
                      <a:ext cx="5510763" cy="3633942"/>
                    </a:xfrm>
                    <a:prstGeom prst="rect">
                      <a:avLst/>
                    </a:prstGeom>
                  </pic:spPr>
                </pic:pic>
              </a:graphicData>
            </a:graphic>
          </wp:inline>
        </w:drawing>
      </w:r>
    </w:p>
    <w:p w14:paraId="7987D67A" w14:textId="544C36FB" w:rsidR="007F555D" w:rsidRPr="00865C47" w:rsidRDefault="00FC6D80" w:rsidP="00170035">
      <w:pPr>
        <w:pStyle w:val="FigureDescription"/>
      </w:pPr>
      <w:r w:rsidRPr="00865C47">
        <w:lastRenderedPageBreak/>
        <w:t>Abbreviations: AUC</w:t>
      </w:r>
      <w:r w:rsidRPr="00865C47">
        <w:rPr>
          <w:vertAlign w:val="subscript"/>
        </w:rPr>
        <w:t>0-∞</w:t>
      </w:r>
      <w:r w:rsidRPr="00865C47">
        <w:rPr>
          <w:rFonts w:hint="eastAsia"/>
        </w:rPr>
        <w:t xml:space="preserve"> </w:t>
      </w:r>
      <w:r w:rsidR="00D839EA" w:rsidRPr="00865C47">
        <w:t xml:space="preserve">= area under the plasma concentration-time curve from time zero to infinity; </w:t>
      </w:r>
      <w:r w:rsidRPr="00865C47">
        <w:t>AUC</w:t>
      </w:r>
      <w:r w:rsidRPr="00865C47">
        <w:rPr>
          <w:vertAlign w:val="subscript"/>
        </w:rPr>
        <w:t>0</w:t>
      </w:r>
      <w:r w:rsidR="006F5AFB">
        <w:rPr>
          <w:vertAlign w:val="subscript"/>
        </w:rPr>
        <w:noBreakHyphen/>
      </w:r>
      <w:r w:rsidRPr="00865C47">
        <w:rPr>
          <w:vertAlign w:val="subscript"/>
        </w:rPr>
        <w:t>t</w:t>
      </w:r>
      <w:r w:rsidR="006F5AFB">
        <w:t> </w:t>
      </w:r>
      <w:r w:rsidR="00D839EA" w:rsidRPr="00865C47">
        <w:t>=</w:t>
      </w:r>
      <w:r w:rsidR="006F5AFB">
        <w:t> </w:t>
      </w:r>
      <w:r w:rsidR="00D839EA" w:rsidRPr="00865C47">
        <w:t>area under the plasma concentration-time curve from time zero to time of last quantifiable concentration; C</w:t>
      </w:r>
      <w:r w:rsidR="00D839EA" w:rsidRPr="00865C47">
        <w:rPr>
          <w:vertAlign w:val="subscript"/>
        </w:rPr>
        <w:t>max</w:t>
      </w:r>
      <w:r w:rsidR="00D839EA" w:rsidRPr="00865C47">
        <w:t xml:space="preserve"> = maximum observed plasma concentration.</w:t>
      </w:r>
    </w:p>
    <w:p w14:paraId="4094BCAF" w14:textId="6E45364D" w:rsidR="007F555D" w:rsidRPr="00170035" w:rsidRDefault="007F555D" w:rsidP="00170035">
      <w:pPr>
        <w:pStyle w:val="TableTitle"/>
      </w:pPr>
      <w:bookmarkStart w:id="66" w:name="_Ref85554672"/>
      <w:bookmarkStart w:id="67" w:name="_Toc87017842"/>
      <w:bookmarkStart w:id="68" w:name="_Toc87201986"/>
      <w:r w:rsidRPr="00170035">
        <w:t xml:space="preserve">Table </w:t>
      </w:r>
      <w:r w:rsidR="00547529">
        <w:fldChar w:fldCharType="begin"/>
      </w:r>
      <w:r w:rsidR="00547529">
        <w:instrText xml:space="preserve"> SEQ Table \* ARABIC </w:instrText>
      </w:r>
      <w:r w:rsidR="00547529">
        <w:fldChar w:fldCharType="separate"/>
      </w:r>
      <w:r w:rsidR="005D22F2">
        <w:rPr>
          <w:noProof/>
        </w:rPr>
        <w:t>5</w:t>
      </w:r>
      <w:r w:rsidR="00547529">
        <w:rPr>
          <w:noProof/>
        </w:rPr>
        <w:fldChar w:fldCharType="end"/>
      </w:r>
      <w:bookmarkEnd w:id="66"/>
      <w:r w:rsidR="00E60C44" w:rsidRPr="00170035">
        <w:t>: Study</w:t>
      </w:r>
      <w:r w:rsidRPr="00170035">
        <w:t xml:space="preserve"> </w:t>
      </w:r>
      <w:r w:rsidR="00D839EA" w:rsidRPr="00170035">
        <w:t xml:space="preserve">INCB52848-108 </w:t>
      </w:r>
      <w:r w:rsidRPr="00170035">
        <w:t xml:space="preserve">Comparison of pemigatinib pharmacokinetic parameters following administration of 9 mg pemigatinib tablets </w:t>
      </w:r>
      <w:r w:rsidR="008A51BB" w:rsidRPr="00170035">
        <w:t>in end stage renal disease</w:t>
      </w:r>
      <w:r w:rsidRPr="00170035">
        <w:t xml:space="preserve"> and healthy</w:t>
      </w:r>
      <w:r w:rsidR="00E60C44" w:rsidRPr="00170035">
        <w:t xml:space="preserve"> </w:t>
      </w:r>
      <w:r w:rsidRPr="00170035">
        <w:t>matched participants</w:t>
      </w:r>
      <w:bookmarkEnd w:id="67"/>
      <w:bookmarkEnd w:id="68"/>
    </w:p>
    <w:p w14:paraId="58371097" w14:textId="1D19CCA7" w:rsidR="00D839EA" w:rsidRPr="00865C47" w:rsidRDefault="00D839EA" w:rsidP="00170035">
      <w:r w:rsidRPr="00865C47">
        <w:rPr>
          <w:noProof/>
          <w:lang w:val="en-GB" w:eastAsia="en-GB"/>
        </w:rPr>
        <w:drawing>
          <wp:inline distT="0" distB="0" distL="0" distR="0" wp14:anchorId="6B6D5B83" wp14:editId="6AC1D5D0">
            <wp:extent cx="5759450" cy="1660525"/>
            <wp:effectExtent l="0" t="0" r="0" b="0"/>
            <wp:docPr id="15" name="Picture 15" descr="Table 5: Study INCB52848-108 Comparison of pemigatinib pharmacokinetic parameters following administration of 9 mg pemigatinib tablets in end stage renal disease and healthy match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5: Study INCB52848-108 Comparison of pemigatinib pharmacokinetic parameters following administration of 9 mg pemigatinib tablets in end stage renal disease and healthy matched participants"/>
                    <pic:cNvPicPr/>
                  </pic:nvPicPr>
                  <pic:blipFill>
                    <a:blip r:embed="rId30"/>
                    <a:stretch>
                      <a:fillRect/>
                    </a:stretch>
                  </pic:blipFill>
                  <pic:spPr>
                    <a:xfrm>
                      <a:off x="0" y="0"/>
                      <a:ext cx="5759450" cy="1660525"/>
                    </a:xfrm>
                    <a:prstGeom prst="rect">
                      <a:avLst/>
                    </a:prstGeom>
                  </pic:spPr>
                </pic:pic>
              </a:graphicData>
            </a:graphic>
          </wp:inline>
        </w:drawing>
      </w:r>
    </w:p>
    <w:p w14:paraId="61DCEAEA" w14:textId="40FF1317" w:rsidR="00D839EA" w:rsidRPr="00865C47" w:rsidRDefault="00FC6D80" w:rsidP="004B01EA">
      <w:pPr>
        <w:pStyle w:val="TableDescription"/>
      </w:pPr>
      <w:r w:rsidRPr="00865C47">
        <w:t>Abbreviations: AUC</w:t>
      </w:r>
      <w:r w:rsidRPr="00865C47">
        <w:rPr>
          <w:vertAlign w:val="subscript"/>
        </w:rPr>
        <w:t>0-∞</w:t>
      </w:r>
      <w:r w:rsidRPr="00865C47">
        <w:t xml:space="preserve"> </w:t>
      </w:r>
      <w:r w:rsidR="00D839EA" w:rsidRPr="00865C47">
        <w:t xml:space="preserve">= area under the plasma concentration-time curve from time zero to infinity; </w:t>
      </w:r>
      <w:r w:rsidRPr="00865C47">
        <w:t>AUC</w:t>
      </w:r>
      <w:r w:rsidRPr="00865C47">
        <w:rPr>
          <w:vertAlign w:val="subscript"/>
        </w:rPr>
        <w:t>0-t</w:t>
      </w:r>
      <w:r w:rsidR="00D839EA" w:rsidRPr="00865C47">
        <w:t xml:space="preserve"> = area under the plasma concentration-time curve from time zero to time of last quantifiable concentration; CL/F = apparent total body clearance; C</w:t>
      </w:r>
      <w:r w:rsidR="00D839EA" w:rsidRPr="00865C47">
        <w:rPr>
          <w:vertAlign w:val="subscript"/>
        </w:rPr>
        <w:t>max</w:t>
      </w:r>
      <w:r w:rsidR="00D839EA" w:rsidRPr="00865C47">
        <w:t xml:space="preserve"> = maximum observed plasma concentration; ESRD = end stage renal disease;</w:t>
      </w:r>
      <w:r w:rsidRPr="00865C47">
        <w:t xml:space="preserve"> </w:t>
      </w:r>
      <w:r w:rsidR="00D839EA" w:rsidRPr="00865C47">
        <w:t xml:space="preserve">HD = </w:t>
      </w:r>
      <w:r w:rsidRPr="00865C47">
        <w:t>haemodialysis</w:t>
      </w:r>
      <w:r w:rsidR="00D839EA" w:rsidRPr="00865C47">
        <w:t xml:space="preserve">; </w:t>
      </w:r>
      <w:r w:rsidR="00565921" w:rsidRPr="00865C47">
        <w:t xml:space="preserve">n = number of subjects; </w:t>
      </w:r>
      <w:r w:rsidR="00D839EA" w:rsidRPr="00865C47">
        <w:t>t</w:t>
      </w:r>
      <w:r w:rsidR="00D839EA" w:rsidRPr="00865C47">
        <w:rPr>
          <w:vertAlign w:val="subscript"/>
        </w:rPr>
        <w:t>½</w:t>
      </w:r>
      <w:r w:rsidR="00D839EA" w:rsidRPr="00865C47">
        <w:t xml:space="preserve"> = apparent plasma terminal elimination half-life; </w:t>
      </w:r>
      <w:proofErr w:type="spellStart"/>
      <w:r w:rsidR="00D839EA" w:rsidRPr="00865C47">
        <w:t>t</w:t>
      </w:r>
      <w:r w:rsidR="00D839EA" w:rsidRPr="00865C47">
        <w:rPr>
          <w:vertAlign w:val="subscript"/>
        </w:rPr>
        <w:t>max</w:t>
      </w:r>
      <w:proofErr w:type="spellEnd"/>
      <w:r w:rsidR="00D839EA" w:rsidRPr="00865C47">
        <w:t xml:space="preserve"> = time of the maximum observed plasma concentration; </w:t>
      </w:r>
      <w:proofErr w:type="spellStart"/>
      <w:r w:rsidR="00D839EA" w:rsidRPr="00865C47">
        <w:t>V</w:t>
      </w:r>
      <w:r w:rsidR="00D839EA" w:rsidRPr="00865C47">
        <w:rPr>
          <w:vertAlign w:val="subscript"/>
        </w:rPr>
        <w:t>z</w:t>
      </w:r>
      <w:proofErr w:type="spellEnd"/>
      <w:r w:rsidR="00D839EA" w:rsidRPr="00865C47">
        <w:t>/F = apparent oral dose volume of distribution.</w:t>
      </w:r>
    </w:p>
    <w:p w14:paraId="01CCF3AB" w14:textId="6BB06207" w:rsidR="00D839EA" w:rsidRPr="00865C47" w:rsidRDefault="00D839EA" w:rsidP="004B01EA">
      <w:pPr>
        <w:pStyle w:val="TableDescription"/>
      </w:pPr>
      <w:r w:rsidRPr="00865C47">
        <w:t xml:space="preserve">Values are presented in the format of </w:t>
      </w:r>
      <w:r w:rsidR="00FC6D80" w:rsidRPr="00865C47">
        <w:t xml:space="preserve">mean ± standard deviation and geometric mean except </w:t>
      </w:r>
      <w:r w:rsidRPr="00865C47">
        <w:t xml:space="preserve">that </w:t>
      </w:r>
      <w:proofErr w:type="spellStart"/>
      <w:r w:rsidRPr="00865C47">
        <w:t>t</w:t>
      </w:r>
      <w:r w:rsidRPr="00865C47">
        <w:rPr>
          <w:vertAlign w:val="subscript"/>
        </w:rPr>
        <w:t>max</w:t>
      </w:r>
      <w:proofErr w:type="spellEnd"/>
      <w:r w:rsidRPr="00865C47">
        <w:t xml:space="preserve"> is reported as median (range)</w:t>
      </w:r>
    </w:p>
    <w:p w14:paraId="3B4BF526" w14:textId="7A03005E" w:rsidR="00CF662C" w:rsidRPr="00CF662C" w:rsidRDefault="007F555D" w:rsidP="00CF662C">
      <w:pPr>
        <w:pStyle w:val="FigureTitle"/>
      </w:pPr>
      <w:bookmarkStart w:id="69" w:name="_Ref85624518"/>
      <w:bookmarkStart w:id="70" w:name="_Toc87017918"/>
      <w:bookmarkStart w:id="71" w:name="_Toc87018152"/>
      <w:bookmarkStart w:id="72" w:name="_Toc87018356"/>
      <w:r w:rsidRPr="00CF662C">
        <w:t xml:space="preserve">Figure </w:t>
      </w:r>
      <w:r w:rsidR="00547529">
        <w:fldChar w:fldCharType="begin"/>
      </w:r>
      <w:r w:rsidR="00547529">
        <w:instrText xml:space="preserve"> SEQ Figure \* ARABIC </w:instrText>
      </w:r>
      <w:r w:rsidR="00547529">
        <w:fldChar w:fldCharType="separate"/>
      </w:r>
      <w:r w:rsidR="005D22F2">
        <w:rPr>
          <w:noProof/>
        </w:rPr>
        <w:t>4</w:t>
      </w:r>
      <w:r w:rsidR="00547529">
        <w:rPr>
          <w:noProof/>
        </w:rPr>
        <w:fldChar w:fldCharType="end"/>
      </w:r>
      <w:bookmarkEnd w:id="69"/>
      <w:r w:rsidR="008A51BB" w:rsidRPr="00CF662C">
        <w:t>: Study</w:t>
      </w:r>
      <w:r w:rsidR="00D839EA" w:rsidRPr="00CF662C">
        <w:t xml:space="preserve"> INCB54828-10</w:t>
      </w:r>
      <w:r w:rsidR="00CF662C" w:rsidRPr="00CF662C">
        <w:t>8</w:t>
      </w:r>
      <w:r w:rsidR="00D839EA" w:rsidRPr="00CF662C">
        <w:t xml:space="preserve"> </w:t>
      </w:r>
      <w:bookmarkEnd w:id="70"/>
      <w:bookmarkEnd w:id="71"/>
      <w:bookmarkEnd w:id="72"/>
      <w:r w:rsidR="00CF662C" w:rsidRPr="00CF662C">
        <w:t>Plasma concentrations of pemigatinib (mean ± standard error) in end stage renal disease and healthy matched participants following administration of 9 mg of pemigatinib tablets</w:t>
      </w:r>
    </w:p>
    <w:p w14:paraId="63376963" w14:textId="5FD2EA62" w:rsidR="00CF662C" w:rsidRPr="00CF662C" w:rsidRDefault="00CF662C" w:rsidP="004C535F">
      <w:r>
        <w:rPr>
          <w:noProof/>
          <w:lang w:val="en-GB" w:eastAsia="en-GB"/>
        </w:rPr>
        <w:drawing>
          <wp:inline distT="0" distB="0" distL="0" distR="0" wp14:anchorId="39768F43" wp14:editId="340C63FD">
            <wp:extent cx="4451350" cy="2594566"/>
            <wp:effectExtent l="0" t="0" r="6350" b="0"/>
            <wp:docPr id="64" name="Picture 64" descr="Figure 4: Study INCB54828-108 Plasma concentrations of pemigatinib (mean ± standard error) in end stage renal disease and healthy matched participants following administration of 9 mg of pemigatinib tab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4: Study INCB54828-108 Plasma concentrations of pemigatinib (mean ± standard error) in end stage renal disease and healthy matched participants following administration of 9 mg of pemigatinib tablets"/>
                    <pic:cNvPicPr/>
                  </pic:nvPicPr>
                  <pic:blipFill>
                    <a:blip r:embed="rId31">
                      <a:extLst>
                        <a:ext uri="{28A0092B-C50C-407E-A947-70E740481C1C}">
                          <a14:useLocalDpi xmlns:a14="http://schemas.microsoft.com/office/drawing/2010/main" val="0"/>
                        </a:ext>
                      </a:extLst>
                    </a:blip>
                    <a:stretch>
                      <a:fillRect/>
                    </a:stretch>
                  </pic:blipFill>
                  <pic:spPr>
                    <a:xfrm>
                      <a:off x="0" y="0"/>
                      <a:ext cx="4477089" cy="2609568"/>
                    </a:xfrm>
                    <a:prstGeom prst="rect">
                      <a:avLst/>
                    </a:prstGeom>
                  </pic:spPr>
                </pic:pic>
              </a:graphicData>
            </a:graphic>
          </wp:inline>
        </w:drawing>
      </w:r>
    </w:p>
    <w:p w14:paraId="12F71CC4" w14:textId="6288CA03" w:rsidR="005D22F2" w:rsidRDefault="00CF662C" w:rsidP="004C535F">
      <w:pPr>
        <w:pStyle w:val="FigureDescription"/>
      </w:pPr>
      <w:r w:rsidRPr="00865C47">
        <w:t>Abbreviations: ESRD = end stage renal disease; HD = haemodialysis</w:t>
      </w:r>
      <w:r>
        <w:t>.</w:t>
      </w:r>
      <w:r w:rsidR="005D22F2">
        <w:br w:type="page"/>
      </w:r>
    </w:p>
    <w:p w14:paraId="6F79AE5C" w14:textId="1ACEFC27" w:rsidR="00CF662C" w:rsidRPr="00CF662C" w:rsidRDefault="007F555D">
      <w:pPr>
        <w:pStyle w:val="FigureTitle"/>
      </w:pPr>
      <w:bookmarkStart w:id="73" w:name="_Ref135735005"/>
      <w:bookmarkStart w:id="74" w:name="_Toc87017919"/>
      <w:bookmarkStart w:id="75" w:name="_Toc87018153"/>
      <w:bookmarkStart w:id="76" w:name="_Toc87018357"/>
      <w:r w:rsidRPr="00CF662C">
        <w:lastRenderedPageBreak/>
        <w:t xml:space="preserve">Figure </w:t>
      </w:r>
      <w:r w:rsidR="00547529">
        <w:fldChar w:fldCharType="begin"/>
      </w:r>
      <w:r w:rsidR="00547529">
        <w:instrText xml:space="preserve"> SEQ Figure \* ARABIC </w:instrText>
      </w:r>
      <w:r w:rsidR="00547529">
        <w:fldChar w:fldCharType="separate"/>
      </w:r>
      <w:r w:rsidR="005D22F2">
        <w:rPr>
          <w:noProof/>
        </w:rPr>
        <w:t>5</w:t>
      </w:r>
      <w:r w:rsidR="00547529">
        <w:rPr>
          <w:noProof/>
        </w:rPr>
        <w:fldChar w:fldCharType="end"/>
      </w:r>
      <w:bookmarkEnd w:id="73"/>
      <w:r w:rsidR="008A51BB" w:rsidRPr="00CF662C">
        <w:t xml:space="preserve">: Study </w:t>
      </w:r>
      <w:r w:rsidR="00D839EA" w:rsidRPr="00CF662C">
        <w:t>INCB54828-10</w:t>
      </w:r>
      <w:r w:rsidR="00CF662C" w:rsidRPr="00CF662C">
        <w:t xml:space="preserve">8 </w:t>
      </w:r>
      <w:bookmarkEnd w:id="74"/>
      <w:bookmarkEnd w:id="75"/>
      <w:bookmarkEnd w:id="76"/>
      <w:r w:rsidR="00CF662C" w:rsidRPr="00CF662C">
        <w:t>Pemigatinib maximum observed plasma concentration and area under the plasma concentration-time curve values for individual participants following administration of 9 mg of pemigatinib tablets in end stage renal disease and healthy-matched participants</w:t>
      </w:r>
    </w:p>
    <w:p w14:paraId="2181E3FC" w14:textId="3B46B21E" w:rsidR="00CF662C" w:rsidRDefault="00CF662C" w:rsidP="004C535F">
      <w:r w:rsidRPr="00C46FD6">
        <w:rPr>
          <w:noProof/>
          <w:lang w:val="en-GB" w:eastAsia="en-GB"/>
        </w:rPr>
        <w:drawing>
          <wp:inline distT="0" distB="0" distL="0" distR="0" wp14:anchorId="5F2908B5" wp14:editId="7005C000">
            <wp:extent cx="5518150" cy="3484283"/>
            <wp:effectExtent l="0" t="0" r="6350" b="1905"/>
            <wp:docPr id="6" name="Picture 6" descr="Figure 5: Study INCB54828-108 Pemigatinib maximum observed plasma concentration and area under the plasma concentration-time curve values for individual participants following administration of 9 mg of pemigatinib tablets in end stage renal disease and healthy-matched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5: Study INCB54828-108 Pemigatinib maximum observed plasma concentration and area under the plasma concentration-time curve values for individual participants following administration of 9 mg of pemigatinib tablets in end stage renal disease and healthy-matched participants"/>
                    <pic:cNvPicPr/>
                  </pic:nvPicPr>
                  <pic:blipFill>
                    <a:blip r:embed="rId32"/>
                    <a:stretch>
                      <a:fillRect/>
                    </a:stretch>
                  </pic:blipFill>
                  <pic:spPr>
                    <a:xfrm>
                      <a:off x="0" y="0"/>
                      <a:ext cx="5523901" cy="3487914"/>
                    </a:xfrm>
                    <a:prstGeom prst="rect">
                      <a:avLst/>
                    </a:prstGeom>
                  </pic:spPr>
                </pic:pic>
              </a:graphicData>
            </a:graphic>
          </wp:inline>
        </w:drawing>
      </w:r>
    </w:p>
    <w:p w14:paraId="0FEBF0D0" w14:textId="698219FA" w:rsidR="00CF662C" w:rsidRPr="00865C47" w:rsidRDefault="00CF662C" w:rsidP="004B01EA">
      <w:pPr>
        <w:pStyle w:val="FigureDescription"/>
      </w:pPr>
      <w:r w:rsidRPr="00865C47">
        <w:t>Abbreviations: AUC</w:t>
      </w:r>
      <w:r w:rsidRPr="00865C47">
        <w:rPr>
          <w:vertAlign w:val="subscript"/>
        </w:rPr>
        <w:t>0-∞</w:t>
      </w:r>
      <w:r w:rsidRPr="00865C47">
        <w:t xml:space="preserve"> =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w:t>
      </w:r>
      <w:r>
        <w:t xml:space="preserve">; </w:t>
      </w:r>
      <w:r w:rsidRPr="00865C47">
        <w:t>C</w:t>
      </w:r>
      <w:r w:rsidRPr="00865C47">
        <w:rPr>
          <w:vertAlign w:val="subscript"/>
        </w:rPr>
        <w:t>max</w:t>
      </w:r>
      <w:r w:rsidRPr="00865C47">
        <w:t xml:space="preserve"> = maximum observed plasma concentration; ESRD = end stage renal disease; HD = haemodialysis</w:t>
      </w:r>
      <w:r>
        <w:t>.</w:t>
      </w:r>
    </w:p>
    <w:p w14:paraId="39E0B5BC" w14:textId="4614153C" w:rsidR="008A58D2" w:rsidRPr="00865C47" w:rsidRDefault="00865C47" w:rsidP="008E72D2">
      <w:pPr>
        <w:pStyle w:val="Heading6"/>
      </w:pPr>
      <w:r w:rsidRPr="00865C47">
        <w:t>Ef</w:t>
      </w:r>
      <w:r w:rsidR="008A58D2" w:rsidRPr="00865C47">
        <w:t>fect of food</w:t>
      </w:r>
      <w:r w:rsidRPr="00865C47">
        <w:t xml:space="preserve"> on pharmacokinetics</w:t>
      </w:r>
    </w:p>
    <w:p w14:paraId="7CA8ADF5" w14:textId="5A9E32DB" w:rsidR="008A58D2" w:rsidRPr="00865C47" w:rsidRDefault="008A58D2" w:rsidP="00946A46">
      <w:pPr>
        <w:pStyle w:val="ListBullet"/>
      </w:pPr>
      <w:r w:rsidRPr="00865C47">
        <w:t xml:space="preserve">Study INCB 54828-101 </w:t>
      </w:r>
      <w:r w:rsidR="004B01EA" w:rsidRPr="00865C47">
        <w:t xml:space="preserve">(also known as the FIGHT-101 trial) </w:t>
      </w:r>
      <w:r w:rsidRPr="00865C47">
        <w:t xml:space="preserve">is an ongoing Phase </w:t>
      </w:r>
      <w:r w:rsidR="004B01EA" w:rsidRPr="00865C47">
        <w:t>I</w:t>
      </w:r>
      <w:r w:rsidRPr="00865C47">
        <w:t>/</w:t>
      </w:r>
      <w:r w:rsidR="004B01EA" w:rsidRPr="00865C47">
        <w:t>II</w:t>
      </w:r>
      <w:r w:rsidRPr="00865C47">
        <w:t>, open</w:t>
      </w:r>
      <w:r w:rsidR="004B01EA" w:rsidRPr="00865C47">
        <w:t xml:space="preserve"> </w:t>
      </w:r>
      <w:r w:rsidRPr="00865C47">
        <w:t>label, dose</w:t>
      </w:r>
      <w:r w:rsidR="004B01EA" w:rsidRPr="00865C47">
        <w:t xml:space="preserve"> </w:t>
      </w:r>
      <w:r w:rsidRPr="00865C47">
        <w:t xml:space="preserve">escalation, </w:t>
      </w:r>
      <w:proofErr w:type="gramStart"/>
      <w:r w:rsidRPr="00865C47">
        <w:t>safety</w:t>
      </w:r>
      <w:proofErr w:type="gramEnd"/>
      <w:r w:rsidRPr="00865C47">
        <w:t xml:space="preserve"> and tolerability study of </w:t>
      </w:r>
      <w:r w:rsidR="00865C47" w:rsidRPr="00865C47">
        <w:t xml:space="preserve">pemigatinib </w:t>
      </w:r>
      <w:r w:rsidRPr="00865C47">
        <w:t>in participants with advanced malignancies; this study incorporated multiple objects</w:t>
      </w:r>
      <w:r w:rsidR="004B01EA" w:rsidRPr="00865C47">
        <w:t xml:space="preserve">, including </w:t>
      </w:r>
      <w:r w:rsidRPr="00865C47">
        <w:t>dose finding (</w:t>
      </w:r>
      <w:r w:rsidR="00C70544" w:rsidRPr="00C70544">
        <w:t>pharmacologically active dose</w:t>
      </w:r>
      <w:r w:rsidRPr="00865C47">
        <w:t xml:space="preserve"> and </w:t>
      </w:r>
      <w:r w:rsidR="000C4DEF" w:rsidRPr="00865C47">
        <w:t>recommended phase II dose</w:t>
      </w:r>
      <w:r w:rsidRPr="00865C47">
        <w:t>), efficacy, and safety in multiple tumour types, as well as investigating the effect of food and other drugs on pemigatinib PK.</w:t>
      </w:r>
    </w:p>
    <w:p w14:paraId="6BD428CF" w14:textId="272CF50C" w:rsidR="00892AE8" w:rsidRPr="00865C47" w:rsidRDefault="008A58D2" w:rsidP="008A58D2">
      <w:pPr>
        <w:pStyle w:val="ListBullet"/>
      </w:pPr>
      <w:r w:rsidRPr="00865C47">
        <w:t xml:space="preserve">The </w:t>
      </w:r>
      <w:r w:rsidR="00A93FFB" w:rsidRPr="00865C47">
        <w:t>T</w:t>
      </w:r>
      <w:r w:rsidR="00A93FFB" w:rsidRPr="00865C47">
        <w:rPr>
          <w:vertAlign w:val="subscript"/>
        </w:rPr>
        <w:t>max</w:t>
      </w:r>
      <w:r w:rsidRPr="00865C47">
        <w:t xml:space="preserve"> is delayed and C</w:t>
      </w:r>
      <w:r w:rsidRPr="00865C47">
        <w:rPr>
          <w:vertAlign w:val="subscript"/>
        </w:rPr>
        <w:t>max</w:t>
      </w:r>
      <w:r w:rsidRPr="00865C47">
        <w:t xml:space="preserve"> is slightly lowered in patients in the fed state, as would be expected, but is not of clinical importance</w:t>
      </w:r>
      <w:r w:rsidR="00892AE8" w:rsidRPr="00865C47">
        <w:t xml:space="preserve"> </w:t>
      </w:r>
      <w:r w:rsidRPr="00865C47">
        <w:t xml:space="preserve">(see </w:t>
      </w:r>
      <w:r w:rsidR="0002197C" w:rsidRPr="00865C47">
        <w:fldChar w:fldCharType="begin"/>
      </w:r>
      <w:r w:rsidR="0002197C" w:rsidRPr="00865C47">
        <w:instrText xml:space="preserve"> REF _Ref135741008 \h </w:instrText>
      </w:r>
      <w:r w:rsidR="00865C47">
        <w:instrText xml:space="preserve"> \* MERGEFORMAT </w:instrText>
      </w:r>
      <w:r w:rsidR="0002197C" w:rsidRPr="00865C47">
        <w:fldChar w:fldCharType="separate"/>
      </w:r>
      <w:r w:rsidR="005D22F2" w:rsidRPr="00865C47">
        <w:t xml:space="preserve">Table </w:t>
      </w:r>
      <w:r w:rsidR="005D22F2">
        <w:rPr>
          <w:noProof/>
        </w:rPr>
        <w:t>6</w:t>
      </w:r>
      <w:r w:rsidR="0002197C" w:rsidRPr="00865C47">
        <w:fldChar w:fldCharType="end"/>
      </w:r>
      <w:r w:rsidR="004B01EA" w:rsidRPr="00865C47">
        <w:t xml:space="preserve"> below</w:t>
      </w:r>
      <w:r w:rsidRPr="00865C47">
        <w:t>).</w:t>
      </w:r>
      <w:r w:rsidR="00892AE8" w:rsidRPr="00865C47">
        <w:t xml:space="preserve"> </w:t>
      </w:r>
      <w:r w:rsidRPr="00865C47">
        <w:t xml:space="preserve">The substantial interindividual variability in PK parameters is once again notable, and some patients experienced a much higher exposure (+31%) based on the 90% </w:t>
      </w:r>
      <w:r w:rsidR="00825311" w:rsidRPr="00865C47">
        <w:t>CI</w:t>
      </w:r>
      <w:r w:rsidRPr="00865C47">
        <w:t xml:space="preserve"> reporting. Whether this represents an effect of food on the already established wide inter- or intra</w:t>
      </w:r>
      <w:r w:rsidR="004B01EA" w:rsidRPr="00865C47">
        <w:noBreakHyphen/>
      </w:r>
      <w:r w:rsidRPr="00865C47">
        <w:t>individual variability is not clear.</w:t>
      </w:r>
    </w:p>
    <w:p w14:paraId="570FC33E" w14:textId="7B3D3C66" w:rsidR="008A58D2" w:rsidRPr="00865C47" w:rsidRDefault="008A58D2" w:rsidP="008A58D2">
      <w:pPr>
        <w:pStyle w:val="ListBullet"/>
      </w:pPr>
      <w:r w:rsidRPr="00865C47">
        <w:t xml:space="preserve">As noted above, in Study INCB 54828-101, the food effect on pemigatinib PK was evaluated in 12 patients with advanced malignancies, with PK data indicating that the PK of pemigatinib tablets </w:t>
      </w:r>
      <w:r w:rsidR="004B01EA" w:rsidRPr="00865C47">
        <w:t>is</w:t>
      </w:r>
      <w:r w:rsidRPr="00865C47">
        <w:t xml:space="preserve"> not significantly altered by administration with or without food.</w:t>
      </w:r>
    </w:p>
    <w:p w14:paraId="6B44D2C7" w14:textId="7A7DE734" w:rsidR="0002197C" w:rsidRPr="00865C47" w:rsidRDefault="0002197C" w:rsidP="008A51BB">
      <w:pPr>
        <w:pStyle w:val="TableTitle"/>
      </w:pPr>
      <w:bookmarkStart w:id="77" w:name="_Ref135741008"/>
      <w:bookmarkStart w:id="78" w:name="_Toc87017844"/>
      <w:bookmarkStart w:id="79" w:name="_Toc87201988"/>
      <w:r w:rsidRPr="00865C47">
        <w:lastRenderedPageBreak/>
        <w:t xml:space="preserve">Table </w:t>
      </w:r>
      <w:r w:rsidR="00547529">
        <w:fldChar w:fldCharType="begin"/>
      </w:r>
      <w:r w:rsidR="00547529">
        <w:instrText xml:space="preserve"> SEQ Table \* ARABIC </w:instrText>
      </w:r>
      <w:r w:rsidR="00547529">
        <w:fldChar w:fldCharType="separate"/>
      </w:r>
      <w:r w:rsidR="005D22F2">
        <w:rPr>
          <w:noProof/>
        </w:rPr>
        <w:t>6</w:t>
      </w:r>
      <w:r w:rsidR="00547529">
        <w:rPr>
          <w:noProof/>
        </w:rPr>
        <w:fldChar w:fldCharType="end"/>
      </w:r>
      <w:bookmarkEnd w:id="77"/>
      <w:r w:rsidR="00E60C44" w:rsidRPr="00865C47">
        <w:t>:</w:t>
      </w:r>
      <w:r w:rsidRPr="00865C47">
        <w:t xml:space="preserve"> Study </w:t>
      </w:r>
      <w:r w:rsidR="005B5AC9" w:rsidRPr="00865C47">
        <w:t>INCB 54828-101</w:t>
      </w:r>
      <w:r w:rsidRPr="00865C47">
        <w:t xml:space="preserve"> Comparison of pemigatinib </w:t>
      </w:r>
      <w:r w:rsidR="008A51BB" w:rsidRPr="00865C47">
        <w:t>pharmacokinetic</w:t>
      </w:r>
      <w:r w:rsidRPr="00865C47">
        <w:t xml:space="preserve"> parameters following administration of 13.5</w:t>
      </w:r>
      <w:r w:rsidR="00377777" w:rsidRPr="00865C47">
        <w:t> </w:t>
      </w:r>
      <w:r w:rsidRPr="00865C47">
        <w:t>mg pemigatinib tablets in the fed and fasted state</w:t>
      </w:r>
      <w:bookmarkEnd w:id="78"/>
      <w:bookmarkEnd w:id="79"/>
    </w:p>
    <w:p w14:paraId="3B8450BD" w14:textId="49037164" w:rsidR="00DB37E9" w:rsidRPr="00865C47" w:rsidRDefault="00DB37E9" w:rsidP="00170035">
      <w:r w:rsidRPr="00865C47">
        <w:rPr>
          <w:noProof/>
          <w:lang w:val="en-GB" w:eastAsia="en-GB"/>
        </w:rPr>
        <w:drawing>
          <wp:inline distT="0" distB="0" distL="0" distR="0" wp14:anchorId="2421DE4D" wp14:editId="0659AE31">
            <wp:extent cx="5759450" cy="1643380"/>
            <wp:effectExtent l="0" t="0" r="0" b="0"/>
            <wp:docPr id="20" name="Picture 20" descr="Table 6: Study INCB 54828-101 Comparison of pemigatinib pharmacokinetic parameters following administration of 13.5 mg pemigatinib tablets in the fed and fasted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6: Study INCB 54828-101 Comparison of pemigatinib pharmacokinetic parameters following administration of 13.5 mg pemigatinib tablets in the fed and fasted state"/>
                    <pic:cNvPicPr/>
                  </pic:nvPicPr>
                  <pic:blipFill>
                    <a:blip r:embed="rId33"/>
                    <a:stretch>
                      <a:fillRect/>
                    </a:stretch>
                  </pic:blipFill>
                  <pic:spPr>
                    <a:xfrm>
                      <a:off x="0" y="0"/>
                      <a:ext cx="5759450" cy="1643380"/>
                    </a:xfrm>
                    <a:prstGeom prst="rect">
                      <a:avLst/>
                    </a:prstGeom>
                  </pic:spPr>
                </pic:pic>
              </a:graphicData>
            </a:graphic>
          </wp:inline>
        </w:drawing>
      </w:r>
    </w:p>
    <w:p w14:paraId="705138A5" w14:textId="222BE9F0" w:rsidR="00FC6D80" w:rsidRPr="00865C47" w:rsidRDefault="00FC6D80" w:rsidP="00FC6D80">
      <w:pPr>
        <w:pStyle w:val="TableDescription"/>
      </w:pPr>
      <w:bookmarkStart w:id="80" w:name="_Hlk136008633"/>
      <w:r w:rsidRPr="00865C47">
        <w:t xml:space="preserve">Abbreviations: </w:t>
      </w:r>
      <w:proofErr w:type="spellStart"/>
      <w:r w:rsidRPr="00865C47">
        <w:t>AUC</w:t>
      </w:r>
      <w:r w:rsidRPr="00865C47">
        <w:rPr>
          <w:vertAlign w:val="subscript"/>
        </w:rPr>
        <w:t>ss</w:t>
      </w:r>
      <w:proofErr w:type="spellEnd"/>
      <w:r w:rsidRPr="00865C47">
        <w:rPr>
          <w:vertAlign w:val="subscript"/>
        </w:rPr>
        <w:t>, 0-24h</w:t>
      </w:r>
      <w:r w:rsidRPr="00865C47">
        <w:t xml:space="preserve"> = area under the plasma concentration-time curve from time zero to 24 hours at steady state; </w:t>
      </w:r>
      <w:proofErr w:type="spellStart"/>
      <w:r w:rsidRPr="00865C47">
        <w:t>CL</w:t>
      </w:r>
      <w:r w:rsidRPr="00865C47">
        <w:rPr>
          <w:vertAlign w:val="subscript"/>
        </w:rPr>
        <w:t>ss</w:t>
      </w:r>
      <w:proofErr w:type="spellEnd"/>
      <w:r w:rsidRPr="00865C47">
        <w:t xml:space="preserve">/F = apparent total body clearance at steady state; </w:t>
      </w:r>
      <w:proofErr w:type="spellStart"/>
      <w:proofErr w:type="gramStart"/>
      <w:r w:rsidRPr="00865C47">
        <w:t>C</w:t>
      </w:r>
      <w:r w:rsidRPr="00865C47">
        <w:rPr>
          <w:vertAlign w:val="subscript"/>
        </w:rPr>
        <w:t>max,ss</w:t>
      </w:r>
      <w:proofErr w:type="spellEnd"/>
      <w:proofErr w:type="gramEnd"/>
      <w:r w:rsidRPr="00865C47">
        <w:t xml:space="preserve"> = maximum observed plasma concentration at steady state; ; </w:t>
      </w:r>
      <w:proofErr w:type="spellStart"/>
      <w:r w:rsidRPr="00865C47">
        <w:t>C</w:t>
      </w:r>
      <w:r w:rsidRPr="00865C47">
        <w:rPr>
          <w:vertAlign w:val="subscript"/>
        </w:rPr>
        <w:t>min,ss</w:t>
      </w:r>
      <w:proofErr w:type="spellEnd"/>
      <w:r w:rsidRPr="00865C47">
        <w:t xml:space="preserve"> = minimum observed plasma concentration at steady state; N = number of </w:t>
      </w:r>
      <w:r w:rsidR="0083096F">
        <w:t>sub</w:t>
      </w:r>
      <w:r w:rsidRPr="00865C47">
        <w:t>jects; t</w:t>
      </w:r>
      <w:r w:rsidRPr="00865C47">
        <w:rPr>
          <w:vertAlign w:val="subscript"/>
        </w:rPr>
        <w:t>½</w:t>
      </w:r>
      <w:r w:rsidRPr="00865C47">
        <w:t xml:space="preserve"> = apparent plasma terminal elimination half-life; T</w:t>
      </w:r>
      <w:r w:rsidRPr="00865C47">
        <w:rPr>
          <w:vertAlign w:val="subscript"/>
        </w:rPr>
        <w:t>max</w:t>
      </w:r>
      <w:r w:rsidRPr="00865C47">
        <w:t xml:space="preserve"> = time of the maximum observed plasma concentration; </w:t>
      </w:r>
      <w:proofErr w:type="spellStart"/>
      <w:r w:rsidRPr="00865C47">
        <w:t>V</w:t>
      </w:r>
      <w:r w:rsidRPr="00865C47">
        <w:rPr>
          <w:vertAlign w:val="subscript"/>
        </w:rPr>
        <w:t>z</w:t>
      </w:r>
      <w:proofErr w:type="spellEnd"/>
      <w:r w:rsidRPr="00865C47">
        <w:t>/F = apparent oral dose volume of distribution.</w:t>
      </w:r>
    </w:p>
    <w:bookmarkEnd w:id="80"/>
    <w:p w14:paraId="5D9D0139" w14:textId="058B499C" w:rsidR="0002197C" w:rsidRPr="00865C47" w:rsidRDefault="00DB37E9" w:rsidP="004B01EA">
      <w:pPr>
        <w:pStyle w:val="TableDescription"/>
      </w:pPr>
      <w:r w:rsidRPr="00865C47">
        <w:t xml:space="preserve">Values are presented in the format of mean </w:t>
      </w:r>
      <w:r w:rsidR="00FC6D80" w:rsidRPr="00865C47">
        <w:t>±</w:t>
      </w:r>
      <w:r w:rsidRPr="00865C47">
        <w:t xml:space="preserve"> </w:t>
      </w:r>
      <w:r w:rsidR="00FC6D80" w:rsidRPr="00865C47">
        <w:t>standard deviation</w:t>
      </w:r>
      <w:r w:rsidRPr="00865C47">
        <w:t xml:space="preserve"> and geometric mean (</w:t>
      </w:r>
      <w:r w:rsidR="00FC6D80" w:rsidRPr="00865C47">
        <w:t xml:space="preserve">coefficient of variation </w:t>
      </w:r>
      <w:r w:rsidRPr="00865C47">
        <w:t>%) except that T</w:t>
      </w:r>
      <w:r w:rsidRPr="00865C47">
        <w:rPr>
          <w:vertAlign w:val="subscript"/>
        </w:rPr>
        <w:t>max</w:t>
      </w:r>
      <w:r w:rsidRPr="00865C47">
        <w:t xml:space="preserve"> is reported as median (range).</w:t>
      </w:r>
    </w:p>
    <w:p w14:paraId="12C1F2F9" w14:textId="12E5BE4E" w:rsidR="008A58D2" w:rsidRDefault="00865C47" w:rsidP="008E72D2">
      <w:pPr>
        <w:pStyle w:val="Heading6"/>
      </w:pPr>
      <w:r w:rsidRPr="00865C47">
        <w:t>Ef</w:t>
      </w:r>
      <w:r w:rsidR="008A58D2" w:rsidRPr="00865C47">
        <w:t>fect of CYP3A4 inhibition or induction</w:t>
      </w:r>
      <w:r w:rsidRPr="00865C47">
        <w:t xml:space="preserve"> on pharmacokinetics</w:t>
      </w:r>
    </w:p>
    <w:p w14:paraId="12C27EA5" w14:textId="5789201B" w:rsidR="006F5AFB" w:rsidRPr="004C535F" w:rsidRDefault="006F5AFB" w:rsidP="004C535F">
      <w:r>
        <w:t>The following studies provided information on cytochrome P450 (CYP)-mediated interactions:</w:t>
      </w:r>
      <w:r w:rsidRPr="004C535F">
        <w:rPr>
          <w:vertAlign w:val="superscript"/>
        </w:rPr>
        <w:fldChar w:fldCharType="begin"/>
      </w:r>
      <w:r w:rsidRPr="004C535F">
        <w:rPr>
          <w:vertAlign w:val="superscript"/>
        </w:rPr>
        <w:instrText xml:space="preserve"> NOTEREF _Ref139017303 \h </w:instrText>
      </w:r>
      <w:r>
        <w:rPr>
          <w:vertAlign w:val="superscript"/>
        </w:rPr>
        <w:instrText xml:space="preserve"> \* MERGEFORMAT </w:instrText>
      </w:r>
      <w:r w:rsidRPr="004C535F">
        <w:rPr>
          <w:vertAlign w:val="superscript"/>
        </w:rPr>
      </w:r>
      <w:r w:rsidRPr="004C535F">
        <w:rPr>
          <w:vertAlign w:val="superscript"/>
        </w:rPr>
        <w:fldChar w:fldCharType="separate"/>
      </w:r>
      <w:r w:rsidR="005D22F2">
        <w:rPr>
          <w:vertAlign w:val="superscript"/>
        </w:rPr>
        <w:t>10</w:t>
      </w:r>
      <w:r w:rsidRPr="004C535F">
        <w:rPr>
          <w:vertAlign w:val="superscript"/>
        </w:rPr>
        <w:fldChar w:fldCharType="end"/>
      </w:r>
    </w:p>
    <w:p w14:paraId="3592FEF1" w14:textId="561E6A17" w:rsidR="008A58D2" w:rsidRPr="00865C47" w:rsidRDefault="008A58D2" w:rsidP="008A58D2">
      <w:pPr>
        <w:pStyle w:val="ListBullet"/>
      </w:pPr>
      <w:r w:rsidRPr="00865C47">
        <w:t xml:space="preserve">Study INCB 54828-104 was an open-label study to assess the effect of itraconazole (potent inhibitor of CYP3A4) and rifampin (potent inducer of CYP3A4) on </w:t>
      </w:r>
      <w:r w:rsidR="00865C47" w:rsidRPr="00865C47">
        <w:t>pemigatinib</w:t>
      </w:r>
      <w:r w:rsidRPr="00865C47">
        <w:t xml:space="preserve"> </w:t>
      </w:r>
      <w:r w:rsidR="000C4DEF" w:rsidRPr="00865C47">
        <w:t>PK</w:t>
      </w:r>
      <w:r w:rsidRPr="00865C47">
        <w:t xml:space="preserve"> when administered orally in 36 healthy participants.</w:t>
      </w:r>
      <w:r w:rsidR="00892AE8" w:rsidRPr="00865C47">
        <w:t xml:space="preserve"> </w:t>
      </w:r>
      <w:r w:rsidRPr="00865C47">
        <w:t>There is evidence of a clinically significant effect on pemigatinib exposure when a strong CYP3A4 inhibitor or a strong CYP3A4 inducer is co-administered.</w:t>
      </w:r>
    </w:p>
    <w:p w14:paraId="214D6FB5" w14:textId="47C6CCA8" w:rsidR="00892AE8" w:rsidRPr="00865C47" w:rsidRDefault="008A58D2" w:rsidP="008A58D2">
      <w:pPr>
        <w:pStyle w:val="ListBullet"/>
      </w:pPr>
      <w:r w:rsidRPr="00865C47">
        <w:t xml:space="preserve">No studies were conducted in patients with moderate or weak inhibitors or inducers of CYP3A4. Instead, </w:t>
      </w:r>
      <w:r w:rsidR="004B01EA" w:rsidRPr="00865C47">
        <w:t>P</w:t>
      </w:r>
      <w:r w:rsidRPr="00865C47">
        <w:t>opPK modelling was developed to predict the impact of moderate and weak inducers of CYP3A4. However, the model performed poorly in predicting the impact of rifampin, undermining confidence in its ability to predict accurately whether weak inducers of CYP3A4 are likely to have any meaningful effect on pemigatinib exposure.</w:t>
      </w:r>
    </w:p>
    <w:p w14:paraId="308358E8" w14:textId="77777777" w:rsidR="00036B87" w:rsidRDefault="008A58D2" w:rsidP="00036B87">
      <w:pPr>
        <w:pStyle w:val="ListBullet"/>
      </w:pPr>
      <w:r w:rsidRPr="00865C47">
        <w:t>There is a clinically significant increase in exposure noted with concomitant itraconazole (see</w:t>
      </w:r>
      <w:r w:rsidR="0002197C" w:rsidRPr="00865C47">
        <w:t xml:space="preserve"> </w:t>
      </w:r>
      <w:r w:rsidR="0002197C" w:rsidRPr="00865C47">
        <w:fldChar w:fldCharType="begin"/>
      </w:r>
      <w:r w:rsidR="0002197C" w:rsidRPr="00865C47">
        <w:instrText xml:space="preserve"> REF _Ref85465525 \h </w:instrText>
      </w:r>
      <w:r w:rsidR="000C4DEF" w:rsidRPr="00865C47">
        <w:instrText xml:space="preserve"> \* MERGEFORMAT </w:instrText>
      </w:r>
      <w:r w:rsidR="0002197C" w:rsidRPr="00865C47">
        <w:fldChar w:fldCharType="separate"/>
      </w:r>
      <w:r w:rsidR="005D22F2" w:rsidRPr="00865C47">
        <w:t xml:space="preserve">Table </w:t>
      </w:r>
      <w:r w:rsidR="005D22F2">
        <w:rPr>
          <w:noProof/>
        </w:rPr>
        <w:t>7</w:t>
      </w:r>
      <w:r w:rsidR="0002197C" w:rsidRPr="00865C47">
        <w:fldChar w:fldCharType="end"/>
      </w:r>
      <w:r w:rsidR="0002197C" w:rsidRPr="00865C47">
        <w:t xml:space="preserve"> and</w:t>
      </w:r>
      <w:r w:rsidR="00036B87">
        <w:t xml:space="preserve"> </w:t>
      </w:r>
      <w:r w:rsidR="0002197C" w:rsidRPr="00865C47">
        <w:fldChar w:fldCharType="begin"/>
      </w:r>
      <w:r w:rsidR="0002197C" w:rsidRPr="00865C47">
        <w:instrText xml:space="preserve"> REF _Ref85465733 \h </w:instrText>
      </w:r>
      <w:r w:rsidR="000C4DEF" w:rsidRPr="00865C47">
        <w:instrText xml:space="preserve"> \* MERGEFORMAT </w:instrText>
      </w:r>
      <w:r w:rsidR="0002197C" w:rsidRPr="00865C47">
        <w:fldChar w:fldCharType="separate"/>
      </w:r>
      <w:r w:rsidR="005D22F2" w:rsidRPr="00865C47">
        <w:rPr>
          <w:noProof/>
        </w:rPr>
        <w:t xml:space="preserve">Figure </w:t>
      </w:r>
      <w:r w:rsidR="005D22F2">
        <w:rPr>
          <w:noProof/>
        </w:rPr>
        <w:t>6</w:t>
      </w:r>
      <w:r w:rsidR="0002197C" w:rsidRPr="00865C47">
        <w:fldChar w:fldCharType="end"/>
      </w:r>
      <w:r w:rsidR="00825311" w:rsidRPr="00865C47">
        <w:t xml:space="preserve"> below</w:t>
      </w:r>
      <w:r w:rsidRPr="00865C47">
        <w:t xml:space="preserve">). </w:t>
      </w:r>
    </w:p>
    <w:p w14:paraId="589BB5B5" w14:textId="4AA82AEB" w:rsidR="008A58D2" w:rsidRPr="00865C47" w:rsidRDefault="008A58D2" w:rsidP="00036B87">
      <w:pPr>
        <w:pStyle w:val="ListBullet"/>
      </w:pPr>
      <w:r w:rsidRPr="00865C47">
        <w:t>No information has been provided regarding the impact of moderate CYP3A4 inhibitors</w:t>
      </w:r>
      <w:r w:rsidR="000C4DEF" w:rsidRPr="00865C47">
        <w:t>,</w:t>
      </w:r>
      <w:r w:rsidRPr="00865C47">
        <w:t xml:space="preserve"> with the magnitude of change in exposure, a clinically relevant increase in exposure would be anticipated.</w:t>
      </w:r>
      <w:r w:rsidR="00892AE8" w:rsidRPr="00865C47">
        <w:t xml:space="preserve"> </w:t>
      </w:r>
      <w:r w:rsidRPr="00865C47">
        <w:t>There is substantial inter-individual variability in exposure noted.</w:t>
      </w:r>
      <w:r w:rsidR="00892AE8" w:rsidRPr="00865C47">
        <w:t xml:space="preserve"> </w:t>
      </w:r>
      <w:r w:rsidRPr="00865C47">
        <w:t xml:space="preserve">The clinical </w:t>
      </w:r>
      <w:r w:rsidR="00E60C44" w:rsidRPr="00865C47">
        <w:t>evaluation</w:t>
      </w:r>
      <w:r w:rsidRPr="00865C47">
        <w:t xml:space="preserve"> recommends that the use of strong and moderate CYP3A4 inhibitors should be avoided, or if used, then dose reduced (from 13.5</w:t>
      </w:r>
      <w:r w:rsidR="00825311" w:rsidRPr="00865C47">
        <w:t xml:space="preserve"> </w:t>
      </w:r>
      <w:r w:rsidRPr="00865C47">
        <w:t>mg to 9</w:t>
      </w:r>
      <w:r w:rsidR="00825311" w:rsidRPr="00865C47">
        <w:t> </w:t>
      </w:r>
      <w:r w:rsidRPr="00865C47">
        <w:t>mg daily, or from 9</w:t>
      </w:r>
      <w:r w:rsidR="00825311" w:rsidRPr="00865C47">
        <w:t> </w:t>
      </w:r>
      <w:r w:rsidRPr="00865C47">
        <w:t>mg to 4.5</w:t>
      </w:r>
      <w:r w:rsidR="00825311" w:rsidRPr="00865C47">
        <w:t> </w:t>
      </w:r>
      <w:r w:rsidRPr="00865C47">
        <w:t>mg daily).</w:t>
      </w:r>
      <w:r w:rsidR="00892AE8" w:rsidRPr="00865C47">
        <w:t xml:space="preserve"> </w:t>
      </w:r>
      <w:r w:rsidRPr="00865C47">
        <w:t>The P</w:t>
      </w:r>
      <w:r w:rsidR="000C4DEF" w:rsidRPr="00865C47">
        <w:t>I</w:t>
      </w:r>
      <w:r w:rsidRPr="00865C47">
        <w:t xml:space="preserve"> should also state the need to closely monitor for toxicity and consider further dose reduction if required, given the interindividual variability.</w:t>
      </w:r>
    </w:p>
    <w:p w14:paraId="6896B74B" w14:textId="5C6A5068" w:rsidR="008A58D2" w:rsidRPr="00865C47" w:rsidRDefault="008A58D2" w:rsidP="008A58D2">
      <w:pPr>
        <w:pStyle w:val="ListBullet"/>
      </w:pPr>
      <w:r w:rsidRPr="00865C47">
        <w:t>There is a profound decrease in AUC noted with concomitant rifampicin (see</w:t>
      </w:r>
      <w:r w:rsidR="0002197C" w:rsidRPr="00865C47">
        <w:t xml:space="preserve"> </w:t>
      </w:r>
      <w:r w:rsidR="0002197C" w:rsidRPr="00865C47">
        <w:fldChar w:fldCharType="begin"/>
      </w:r>
      <w:r w:rsidR="0002197C" w:rsidRPr="00865C47">
        <w:instrText xml:space="preserve"> REF _Ref135741206 \h </w:instrText>
      </w:r>
      <w:r w:rsidR="00865C47">
        <w:instrText xml:space="preserve"> \* MERGEFORMAT </w:instrText>
      </w:r>
      <w:r w:rsidR="0002197C" w:rsidRPr="00865C47">
        <w:fldChar w:fldCharType="separate"/>
      </w:r>
      <w:r w:rsidR="005D22F2" w:rsidRPr="00865C47">
        <w:t xml:space="preserve">Table </w:t>
      </w:r>
      <w:r w:rsidR="005D22F2">
        <w:rPr>
          <w:noProof/>
        </w:rPr>
        <w:t>8</w:t>
      </w:r>
      <w:r w:rsidR="0002197C" w:rsidRPr="00865C47">
        <w:fldChar w:fldCharType="end"/>
      </w:r>
      <w:r w:rsidR="0002197C" w:rsidRPr="00865C47">
        <w:t xml:space="preserve"> and </w:t>
      </w:r>
      <w:r w:rsidR="0002197C" w:rsidRPr="00865C47">
        <w:fldChar w:fldCharType="begin"/>
      </w:r>
      <w:r w:rsidR="0002197C" w:rsidRPr="00865C47">
        <w:instrText xml:space="preserve"> REF _Ref135741211 \h </w:instrText>
      </w:r>
      <w:r w:rsidR="00865C47">
        <w:instrText xml:space="preserve"> \* MERGEFORMAT </w:instrText>
      </w:r>
      <w:r w:rsidR="0002197C" w:rsidRPr="00865C47">
        <w:fldChar w:fldCharType="separate"/>
      </w:r>
      <w:r w:rsidR="005D22F2" w:rsidRPr="00865C47">
        <w:t xml:space="preserve">Figure </w:t>
      </w:r>
      <w:r w:rsidR="005D22F2">
        <w:rPr>
          <w:noProof/>
        </w:rPr>
        <w:t>7</w:t>
      </w:r>
      <w:r w:rsidR="0002197C" w:rsidRPr="00865C47">
        <w:fldChar w:fldCharType="end"/>
      </w:r>
      <w:r w:rsidR="00825311" w:rsidRPr="00865C47">
        <w:t xml:space="preserve"> below</w:t>
      </w:r>
      <w:r w:rsidRPr="00865C47">
        <w:t>).</w:t>
      </w:r>
      <w:r w:rsidR="00892AE8" w:rsidRPr="00865C47">
        <w:t xml:space="preserve"> </w:t>
      </w:r>
      <w:r w:rsidRPr="00865C47">
        <w:t>No data are presented for moderate inducers of CYP3A4, but it is anticipated that there will be a clinically relevant reduction in exposure which may compromise efficacy.</w:t>
      </w:r>
      <w:r w:rsidR="00892AE8" w:rsidRPr="00865C47">
        <w:t xml:space="preserve"> </w:t>
      </w:r>
      <w:r w:rsidRPr="00865C47">
        <w:t xml:space="preserve">The clinical </w:t>
      </w:r>
      <w:r w:rsidR="00E60C44" w:rsidRPr="00865C47">
        <w:t>evaluation</w:t>
      </w:r>
      <w:r w:rsidRPr="00865C47">
        <w:t xml:space="preserve"> recommends that the use of moderate CYP3A4 inducers should be avoided and communicated in both the Special Warnings and Precautions section and Section 4.5 of the PI.</w:t>
      </w:r>
    </w:p>
    <w:p w14:paraId="62E22980" w14:textId="600FB903" w:rsidR="0002197C" w:rsidRPr="00865C47" w:rsidRDefault="0002197C" w:rsidP="008A51BB">
      <w:pPr>
        <w:pStyle w:val="TableTitle"/>
      </w:pPr>
      <w:bookmarkStart w:id="81" w:name="_Ref85465525"/>
      <w:bookmarkStart w:id="82" w:name="_Toc87017845"/>
      <w:bookmarkStart w:id="83" w:name="_Toc87201989"/>
      <w:r w:rsidRPr="00865C47">
        <w:lastRenderedPageBreak/>
        <w:t xml:space="preserve">Table </w:t>
      </w:r>
      <w:r w:rsidR="00547529">
        <w:fldChar w:fldCharType="begin"/>
      </w:r>
      <w:r w:rsidR="00547529">
        <w:instrText xml:space="preserve"> SEQ Table \* ARABIC </w:instrText>
      </w:r>
      <w:r w:rsidR="00547529">
        <w:fldChar w:fldCharType="separate"/>
      </w:r>
      <w:r w:rsidR="005D22F2">
        <w:rPr>
          <w:noProof/>
        </w:rPr>
        <w:t>7</w:t>
      </w:r>
      <w:r w:rsidR="00547529">
        <w:rPr>
          <w:noProof/>
        </w:rPr>
        <w:fldChar w:fldCharType="end"/>
      </w:r>
      <w:bookmarkEnd w:id="81"/>
      <w:r w:rsidR="00E60C44" w:rsidRPr="00865C47">
        <w:t>: Study</w:t>
      </w:r>
      <w:r w:rsidRPr="00865C47">
        <w:t xml:space="preserve"> </w:t>
      </w:r>
      <w:r w:rsidR="00DB37E9" w:rsidRPr="00865C47">
        <w:t xml:space="preserve">INCB 54828-104 </w:t>
      </w:r>
      <w:r w:rsidRPr="00865C47">
        <w:t xml:space="preserve">Comparison of pemigatinib </w:t>
      </w:r>
      <w:r w:rsidR="008A51BB" w:rsidRPr="00865C47">
        <w:t>pharmacokinetic</w:t>
      </w:r>
      <w:r w:rsidRPr="00865C47">
        <w:t xml:space="preserve"> parameters following 4.5</w:t>
      </w:r>
      <w:r w:rsidR="00E60C44" w:rsidRPr="00865C47">
        <w:t> </w:t>
      </w:r>
      <w:r w:rsidRPr="00865C47">
        <w:t>mg of pemigatinib tablets administration with and without concomitant itraconazole</w:t>
      </w:r>
      <w:bookmarkEnd w:id="82"/>
      <w:bookmarkEnd w:id="83"/>
    </w:p>
    <w:p w14:paraId="39A9E19B" w14:textId="3EFFE10B" w:rsidR="00DB37E9" w:rsidRPr="00865C47" w:rsidRDefault="00DB37E9" w:rsidP="00170035">
      <w:r w:rsidRPr="00865C47">
        <w:rPr>
          <w:noProof/>
          <w:lang w:val="en-GB" w:eastAsia="en-GB"/>
        </w:rPr>
        <w:drawing>
          <wp:inline distT="0" distB="0" distL="0" distR="0" wp14:anchorId="24FA9947" wp14:editId="62C8A527">
            <wp:extent cx="5759450" cy="1411605"/>
            <wp:effectExtent l="0" t="0" r="0" b="0"/>
            <wp:docPr id="21" name="Picture 21" descr="Table 7: Study INCB 54828-104 Comparison of pemigatinib pharmacokinetic parameters following 4.5 mg of pemigatinib tablets administration with and without concomitant itra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 7: Study INCB 54828-104 Comparison of pemigatinib pharmacokinetic parameters following 4.5 mg of pemigatinib tablets administration with and without concomitant itraconazole"/>
                    <pic:cNvPicPr/>
                  </pic:nvPicPr>
                  <pic:blipFill>
                    <a:blip r:embed="rId34"/>
                    <a:stretch>
                      <a:fillRect/>
                    </a:stretch>
                  </pic:blipFill>
                  <pic:spPr>
                    <a:xfrm>
                      <a:off x="0" y="0"/>
                      <a:ext cx="5759450" cy="1411605"/>
                    </a:xfrm>
                    <a:prstGeom prst="rect">
                      <a:avLst/>
                    </a:prstGeom>
                  </pic:spPr>
                </pic:pic>
              </a:graphicData>
            </a:graphic>
          </wp:inline>
        </w:drawing>
      </w:r>
    </w:p>
    <w:p w14:paraId="1300B547" w14:textId="057EB0C6" w:rsidR="00FC6D80" w:rsidRPr="00865C47" w:rsidRDefault="00FC6D80" w:rsidP="00FC6D80">
      <w:pPr>
        <w:pStyle w:val="Tabl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 CL/F = apparent total body clearance; C</w:t>
      </w:r>
      <w:r w:rsidRPr="00865C47">
        <w:rPr>
          <w:vertAlign w:val="subscript"/>
        </w:rPr>
        <w:t>max</w:t>
      </w:r>
      <w:r w:rsidRPr="00865C47">
        <w:t xml:space="preserve"> = maximum observed plasma concentration; </w:t>
      </w:r>
      <w:bookmarkStart w:id="84" w:name="_Hlk136008893"/>
      <w:r w:rsidRPr="00865C47">
        <w:t>n = number of subjects</w:t>
      </w:r>
      <w:bookmarkEnd w:id="84"/>
      <w:r w:rsidRPr="00865C47">
        <w:t>; t</w:t>
      </w:r>
      <w:r w:rsidRPr="00865C47">
        <w:rPr>
          <w:vertAlign w:val="subscript"/>
        </w:rPr>
        <w:t>½</w:t>
      </w:r>
      <w:r w:rsidRPr="00865C47">
        <w:t xml:space="preserve"> = apparent plasma terminal elimination half-life; </w:t>
      </w:r>
      <w:proofErr w:type="spellStart"/>
      <w:r w:rsidRPr="00865C47">
        <w:t>t</w:t>
      </w:r>
      <w:r w:rsidRPr="00865C47">
        <w:rPr>
          <w:vertAlign w:val="subscript"/>
        </w:rPr>
        <w:t>max</w:t>
      </w:r>
      <w:proofErr w:type="spellEnd"/>
      <w:r w:rsidRPr="00865C47">
        <w:t xml:space="preserve"> = time of the maximum observed plasma concentration; </w:t>
      </w:r>
      <w:proofErr w:type="spellStart"/>
      <w:r w:rsidRPr="00865C47">
        <w:t>Vz</w:t>
      </w:r>
      <w:proofErr w:type="spellEnd"/>
      <w:r w:rsidRPr="00865C47">
        <w:t>/F = apparent oral dose volume of distribution.</w:t>
      </w:r>
    </w:p>
    <w:p w14:paraId="1C692C05" w14:textId="77777777" w:rsidR="00783DA9" w:rsidRPr="00865C47" w:rsidRDefault="00DB37E9" w:rsidP="00783DA9">
      <w:pPr>
        <w:pStyle w:val="TableDescription"/>
      </w:pPr>
      <w:r w:rsidRPr="00865C47">
        <w:t xml:space="preserve">Values are presented in the format of mean ± </w:t>
      </w:r>
      <w:r w:rsidR="00FC6D80" w:rsidRPr="00865C47">
        <w:t>standard deviation</w:t>
      </w:r>
      <w:r w:rsidRPr="00865C47">
        <w:t xml:space="preserve"> and geometric mean except that </w:t>
      </w:r>
      <w:proofErr w:type="spellStart"/>
      <w:r w:rsidRPr="00865C47">
        <w:t>t</w:t>
      </w:r>
      <w:r w:rsidRPr="00865C47">
        <w:rPr>
          <w:vertAlign w:val="subscript"/>
        </w:rPr>
        <w:t>max</w:t>
      </w:r>
      <w:proofErr w:type="spellEnd"/>
      <w:r w:rsidRPr="00865C47">
        <w:t xml:space="preserve"> is reported as median (range).</w:t>
      </w:r>
      <w:bookmarkStart w:id="85" w:name="_Ref85465733"/>
      <w:bookmarkStart w:id="86" w:name="_Toc87017927"/>
      <w:bookmarkStart w:id="87" w:name="_Toc87018161"/>
      <w:bookmarkStart w:id="88" w:name="_Toc87018365"/>
    </w:p>
    <w:p w14:paraId="3438C58D" w14:textId="7018FDE8" w:rsidR="0002197C" w:rsidRPr="00865C47" w:rsidRDefault="0002197C" w:rsidP="00783DA9">
      <w:pPr>
        <w:pStyle w:val="FigureTitle"/>
      </w:pPr>
      <w:r w:rsidRPr="00865C47">
        <w:t xml:space="preserve">Figure </w:t>
      </w:r>
      <w:r w:rsidR="00547529">
        <w:fldChar w:fldCharType="begin"/>
      </w:r>
      <w:r w:rsidR="00547529">
        <w:instrText xml:space="preserve"> SEQ Figure </w:instrText>
      </w:r>
      <w:r w:rsidR="00547529">
        <w:instrText xml:space="preserve">\* ARABIC </w:instrText>
      </w:r>
      <w:r w:rsidR="00547529">
        <w:fldChar w:fldCharType="separate"/>
      </w:r>
      <w:r w:rsidR="005D22F2">
        <w:rPr>
          <w:noProof/>
        </w:rPr>
        <w:t>6</w:t>
      </w:r>
      <w:r w:rsidR="00547529">
        <w:rPr>
          <w:noProof/>
        </w:rPr>
        <w:fldChar w:fldCharType="end"/>
      </w:r>
      <w:bookmarkEnd w:id="85"/>
      <w:r w:rsidR="008A51BB" w:rsidRPr="00865C47">
        <w:t xml:space="preserve">: Study </w:t>
      </w:r>
      <w:r w:rsidR="00DB37E9" w:rsidRPr="00865C47">
        <w:t>INCB</w:t>
      </w:r>
      <w:r w:rsidR="006F5AFB">
        <w:t xml:space="preserve"> </w:t>
      </w:r>
      <w:r w:rsidR="006F5AFB" w:rsidRPr="00865C47">
        <w:t>54828</w:t>
      </w:r>
      <w:r w:rsidR="00DB37E9" w:rsidRPr="00865C47">
        <w:t>-104</w:t>
      </w:r>
      <w:r w:rsidR="008A51BB" w:rsidRPr="00865C47">
        <w:t xml:space="preserve"> </w:t>
      </w:r>
      <w:r w:rsidRPr="00865C47">
        <w:t xml:space="preserve">Pemigatinib </w:t>
      </w:r>
      <w:r w:rsidR="008A51BB" w:rsidRPr="00865C47">
        <w:t xml:space="preserve">area under the plasma concentration-time curve </w:t>
      </w:r>
      <w:r w:rsidRPr="00865C47">
        <w:t>values for individual participants following administration of 4.5</w:t>
      </w:r>
      <w:r w:rsidR="008A51BB" w:rsidRPr="00865C47">
        <w:t> </w:t>
      </w:r>
      <w:r w:rsidRPr="00865C47">
        <w:t>mg pemigatinib tablets with or without concomitant itraconazole</w:t>
      </w:r>
      <w:bookmarkEnd w:id="86"/>
      <w:bookmarkEnd w:id="87"/>
      <w:bookmarkEnd w:id="88"/>
    </w:p>
    <w:p w14:paraId="6D11EAEF" w14:textId="4B3B91BF" w:rsidR="00DB37E9" w:rsidRPr="00865C47" w:rsidRDefault="00DB37E9" w:rsidP="00170035">
      <w:r w:rsidRPr="00865C47">
        <w:rPr>
          <w:noProof/>
          <w:lang w:val="en-GB" w:eastAsia="en-GB"/>
        </w:rPr>
        <w:drawing>
          <wp:inline distT="0" distB="0" distL="0" distR="0" wp14:anchorId="2EFF2D0F" wp14:editId="1F8587A5">
            <wp:extent cx="5759450" cy="2234565"/>
            <wp:effectExtent l="0" t="0" r="0" b="0"/>
            <wp:docPr id="22" name="Picture 22" descr="Figure 6: Study INCB 54828-104 Pemigatinib area under the plasma concentration-time curve values for individual participants following administration of 4.5 mg pemigatinib tablets with or without concomitant itracon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6: Study INCB 54828-104 Pemigatinib area under the plasma concentration-time curve values for individual participants following administration of 4.5 mg pemigatinib tablets with or without concomitant itraconazole"/>
                    <pic:cNvPicPr/>
                  </pic:nvPicPr>
                  <pic:blipFill>
                    <a:blip r:embed="rId35"/>
                    <a:stretch>
                      <a:fillRect/>
                    </a:stretch>
                  </pic:blipFill>
                  <pic:spPr>
                    <a:xfrm>
                      <a:off x="0" y="0"/>
                      <a:ext cx="5759450" cy="2234565"/>
                    </a:xfrm>
                    <a:prstGeom prst="rect">
                      <a:avLst/>
                    </a:prstGeom>
                  </pic:spPr>
                </pic:pic>
              </a:graphicData>
            </a:graphic>
          </wp:inline>
        </w:drawing>
      </w:r>
    </w:p>
    <w:p w14:paraId="5B012543" w14:textId="1A1F1EAE" w:rsidR="00565921" w:rsidRPr="00865C47" w:rsidRDefault="00565921" w:rsidP="004B01EA">
      <w:pPr>
        <w:pStyle w:val="Figur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w:t>
      </w:r>
    </w:p>
    <w:p w14:paraId="5A3F5AF0" w14:textId="75F3D507" w:rsidR="0002197C" w:rsidRPr="00865C47" w:rsidRDefault="0002197C" w:rsidP="008A51BB">
      <w:pPr>
        <w:pStyle w:val="TableTitle"/>
      </w:pPr>
      <w:bookmarkStart w:id="89" w:name="_Ref135741206"/>
      <w:bookmarkStart w:id="90" w:name="_Toc87017846"/>
      <w:bookmarkStart w:id="91" w:name="_Toc87201990"/>
      <w:r w:rsidRPr="00865C47">
        <w:t xml:space="preserve">Table </w:t>
      </w:r>
      <w:r w:rsidR="00547529">
        <w:fldChar w:fldCharType="begin"/>
      </w:r>
      <w:r w:rsidR="00547529">
        <w:instrText xml:space="preserve"> SEQ Table \* ARABIC </w:instrText>
      </w:r>
      <w:r w:rsidR="00547529">
        <w:fldChar w:fldCharType="separate"/>
      </w:r>
      <w:r w:rsidR="005D22F2">
        <w:rPr>
          <w:noProof/>
        </w:rPr>
        <w:t>8</w:t>
      </w:r>
      <w:r w:rsidR="00547529">
        <w:rPr>
          <w:noProof/>
        </w:rPr>
        <w:fldChar w:fldCharType="end"/>
      </w:r>
      <w:bookmarkEnd w:id="89"/>
      <w:r w:rsidR="00E60C44" w:rsidRPr="00865C47">
        <w:t>: Study</w:t>
      </w:r>
      <w:r w:rsidR="00DB37E9" w:rsidRPr="00865C47">
        <w:t xml:space="preserve"> INCB 54828-104</w:t>
      </w:r>
      <w:r w:rsidR="00892AE8" w:rsidRPr="00865C47">
        <w:t xml:space="preserve"> </w:t>
      </w:r>
      <w:r w:rsidRPr="00865C47">
        <w:t xml:space="preserve">Comparison of </w:t>
      </w:r>
      <w:r w:rsidR="004E7B48" w:rsidRPr="00865C47">
        <w:t>pemigatinib</w:t>
      </w:r>
      <w:r w:rsidRPr="00865C47">
        <w:t xml:space="preserve"> </w:t>
      </w:r>
      <w:r w:rsidR="00E60C44" w:rsidRPr="00865C47">
        <w:t>pharmacokinetic parameters following 13.5 mg of pemigatinib tablets administration with and without concomitant rifampin</w:t>
      </w:r>
      <w:bookmarkEnd w:id="90"/>
      <w:bookmarkEnd w:id="91"/>
    </w:p>
    <w:p w14:paraId="68520AFD" w14:textId="11FCE56C" w:rsidR="00DB37E9" w:rsidRPr="00865C47" w:rsidRDefault="00DB37E9" w:rsidP="00170035">
      <w:r w:rsidRPr="00865C47">
        <w:rPr>
          <w:noProof/>
          <w:lang w:val="en-GB" w:eastAsia="en-GB"/>
        </w:rPr>
        <w:drawing>
          <wp:inline distT="0" distB="0" distL="0" distR="0" wp14:anchorId="348333D8" wp14:editId="2E2CE161">
            <wp:extent cx="5759450" cy="1405255"/>
            <wp:effectExtent l="0" t="0" r="0" b="4445"/>
            <wp:docPr id="23" name="Picture 23" descr="Table 8: Study INCB 54828-104 Comparison of pemigatinib pharmacokinetic parameters following 13.5 mg of pemigatinib tablets administration with and without concomitant rifa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8: Study INCB 54828-104 Comparison of pemigatinib pharmacokinetic parameters following 13.5 mg of pemigatinib tablets administration with and without concomitant rifampin"/>
                    <pic:cNvPicPr/>
                  </pic:nvPicPr>
                  <pic:blipFill>
                    <a:blip r:embed="rId36"/>
                    <a:stretch>
                      <a:fillRect/>
                    </a:stretch>
                  </pic:blipFill>
                  <pic:spPr>
                    <a:xfrm>
                      <a:off x="0" y="0"/>
                      <a:ext cx="5759450" cy="1405255"/>
                    </a:xfrm>
                    <a:prstGeom prst="rect">
                      <a:avLst/>
                    </a:prstGeom>
                  </pic:spPr>
                </pic:pic>
              </a:graphicData>
            </a:graphic>
          </wp:inline>
        </w:drawing>
      </w:r>
    </w:p>
    <w:p w14:paraId="7526DA03" w14:textId="77777777" w:rsidR="00565921" w:rsidRPr="00865C47" w:rsidRDefault="00565921" w:rsidP="00565921">
      <w:pPr>
        <w:pStyle w:val="Tabl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 CL/F = apparent total body clearance; C</w:t>
      </w:r>
      <w:r w:rsidRPr="00865C47">
        <w:rPr>
          <w:vertAlign w:val="subscript"/>
        </w:rPr>
        <w:t>max</w:t>
      </w:r>
      <w:r w:rsidRPr="00865C47">
        <w:t xml:space="preserve"> = maximum observed plasma concentration; n = number of subjects; t</w:t>
      </w:r>
      <w:r w:rsidRPr="00865C47">
        <w:rPr>
          <w:vertAlign w:val="subscript"/>
        </w:rPr>
        <w:t>½</w:t>
      </w:r>
      <w:r w:rsidRPr="00865C47">
        <w:t xml:space="preserve"> = apparent plasma </w:t>
      </w:r>
      <w:r w:rsidRPr="00865C47">
        <w:lastRenderedPageBreak/>
        <w:t xml:space="preserve">terminal elimination half-life; </w:t>
      </w:r>
      <w:proofErr w:type="spellStart"/>
      <w:r w:rsidRPr="00865C47">
        <w:t>t</w:t>
      </w:r>
      <w:r w:rsidRPr="00865C47">
        <w:rPr>
          <w:vertAlign w:val="subscript"/>
        </w:rPr>
        <w:t>max</w:t>
      </w:r>
      <w:proofErr w:type="spellEnd"/>
      <w:r w:rsidRPr="00865C47">
        <w:t xml:space="preserve"> = time of the maximum observed plasma concentration; </w:t>
      </w:r>
      <w:proofErr w:type="spellStart"/>
      <w:r w:rsidRPr="00865C47">
        <w:t>V</w:t>
      </w:r>
      <w:r w:rsidRPr="00865C47">
        <w:rPr>
          <w:vertAlign w:val="subscript"/>
        </w:rPr>
        <w:t>z</w:t>
      </w:r>
      <w:proofErr w:type="spellEnd"/>
      <w:r w:rsidRPr="00865C47">
        <w:t>/F = apparent oral dose volume of distribution.</w:t>
      </w:r>
    </w:p>
    <w:p w14:paraId="402BD19E" w14:textId="7654A341" w:rsidR="0002197C" w:rsidRPr="00865C47" w:rsidRDefault="00DB37E9" w:rsidP="004B01EA">
      <w:pPr>
        <w:pStyle w:val="TableDescription"/>
      </w:pPr>
      <w:r w:rsidRPr="00865C47">
        <w:t xml:space="preserve">Values are presented in the format of mean ± </w:t>
      </w:r>
      <w:r w:rsidR="00FC6D80" w:rsidRPr="00865C47">
        <w:t>standard deviation</w:t>
      </w:r>
      <w:r w:rsidRPr="00865C47">
        <w:t xml:space="preserve"> and geometric mean except that </w:t>
      </w:r>
      <w:proofErr w:type="spellStart"/>
      <w:r w:rsidRPr="00865C47">
        <w:t>t</w:t>
      </w:r>
      <w:r w:rsidRPr="00865C47">
        <w:rPr>
          <w:vertAlign w:val="subscript"/>
        </w:rPr>
        <w:t>max</w:t>
      </w:r>
      <w:proofErr w:type="spellEnd"/>
      <w:r w:rsidRPr="00865C47">
        <w:t xml:space="preserve"> is reported as median (range).</w:t>
      </w:r>
    </w:p>
    <w:p w14:paraId="7C44B279" w14:textId="7E50E2BC" w:rsidR="0002197C" w:rsidRPr="00865C47" w:rsidRDefault="0002197C" w:rsidP="00170035">
      <w:pPr>
        <w:pStyle w:val="FigureTitle"/>
      </w:pPr>
      <w:bookmarkStart w:id="92" w:name="_Ref135741211"/>
      <w:bookmarkStart w:id="93" w:name="_Toc87017928"/>
      <w:bookmarkStart w:id="94" w:name="_Toc87018162"/>
      <w:bookmarkStart w:id="95" w:name="_Toc87018366"/>
      <w:r w:rsidRPr="00865C47">
        <w:t xml:space="preserve">Figure </w:t>
      </w:r>
      <w:r w:rsidR="00547529">
        <w:fldChar w:fldCharType="begin"/>
      </w:r>
      <w:r w:rsidR="00547529">
        <w:instrText xml:space="preserve"> SEQ Figure \* ARABIC </w:instrText>
      </w:r>
      <w:r w:rsidR="00547529">
        <w:fldChar w:fldCharType="separate"/>
      </w:r>
      <w:r w:rsidR="005D22F2">
        <w:rPr>
          <w:noProof/>
        </w:rPr>
        <w:t>7</w:t>
      </w:r>
      <w:r w:rsidR="00547529">
        <w:rPr>
          <w:noProof/>
        </w:rPr>
        <w:fldChar w:fldCharType="end"/>
      </w:r>
      <w:bookmarkEnd w:id="92"/>
      <w:r w:rsidR="008A51BB" w:rsidRPr="00865C47">
        <w:t>: Study</w:t>
      </w:r>
      <w:r w:rsidRPr="00865C47">
        <w:t xml:space="preserve"> </w:t>
      </w:r>
      <w:r w:rsidR="00DB37E9" w:rsidRPr="00865C47">
        <w:t xml:space="preserve">INCB 54828-104 </w:t>
      </w:r>
      <w:r w:rsidRPr="00865C47">
        <w:t xml:space="preserve">Pemigatinib </w:t>
      </w:r>
      <w:r w:rsidR="008A51BB" w:rsidRPr="00865C47">
        <w:t xml:space="preserve">area under the plasma concentration-time curve </w:t>
      </w:r>
      <w:r w:rsidRPr="00865C47">
        <w:t>values for individual participants following administration of 13.5</w:t>
      </w:r>
      <w:r w:rsidR="00825311" w:rsidRPr="00865C47">
        <w:t> </w:t>
      </w:r>
      <w:r w:rsidRPr="00865C47">
        <w:t>mg pemigatinib tablets with or without concomitant rifampin</w:t>
      </w:r>
      <w:bookmarkEnd w:id="93"/>
      <w:bookmarkEnd w:id="94"/>
      <w:bookmarkEnd w:id="95"/>
    </w:p>
    <w:p w14:paraId="2D70C4EC" w14:textId="49273197" w:rsidR="0002197C" w:rsidRPr="00865C47" w:rsidRDefault="00DB37E9" w:rsidP="00170035">
      <w:r w:rsidRPr="00865C47">
        <w:rPr>
          <w:noProof/>
          <w:lang w:val="en-GB" w:eastAsia="en-GB"/>
        </w:rPr>
        <w:drawing>
          <wp:inline distT="0" distB="0" distL="0" distR="0" wp14:anchorId="7533EA14" wp14:editId="39F59301">
            <wp:extent cx="5759450" cy="2158365"/>
            <wp:effectExtent l="0" t="0" r="0" b="0"/>
            <wp:docPr id="24" name="Picture 24" descr="Figure 7: Study INCB 54828-104 Pemigatinib area under the plasma concentration-time curve values for individual participants following administration of 13.5 mg pemigatinib tablets with or without concomitant rifam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7: Study INCB 54828-104 Pemigatinib area under the plasma concentration-time curve values for individual participants following administration of 13.5 mg pemigatinib tablets with or without concomitant rifampin"/>
                    <pic:cNvPicPr/>
                  </pic:nvPicPr>
                  <pic:blipFill>
                    <a:blip r:embed="rId37"/>
                    <a:stretch>
                      <a:fillRect/>
                    </a:stretch>
                  </pic:blipFill>
                  <pic:spPr>
                    <a:xfrm>
                      <a:off x="0" y="0"/>
                      <a:ext cx="5759450" cy="2158365"/>
                    </a:xfrm>
                    <a:prstGeom prst="rect">
                      <a:avLst/>
                    </a:prstGeom>
                  </pic:spPr>
                </pic:pic>
              </a:graphicData>
            </a:graphic>
          </wp:inline>
        </w:drawing>
      </w:r>
    </w:p>
    <w:p w14:paraId="2F845CAB" w14:textId="77777777" w:rsidR="00565921" w:rsidRPr="00865C47" w:rsidRDefault="00565921" w:rsidP="00565921">
      <w:pPr>
        <w:pStyle w:val="Figur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w:t>
      </w:r>
    </w:p>
    <w:p w14:paraId="7902B094" w14:textId="1AC74156" w:rsidR="008A58D2" w:rsidRDefault="00865C47" w:rsidP="008E72D2">
      <w:pPr>
        <w:pStyle w:val="Heading6"/>
      </w:pPr>
      <w:r w:rsidRPr="00865C47">
        <w:t>Ef</w:t>
      </w:r>
      <w:r w:rsidR="008A58D2" w:rsidRPr="00865C47">
        <w:t>fect of gastric pH</w:t>
      </w:r>
      <w:r w:rsidRPr="00865C47">
        <w:t xml:space="preserve"> on pharmacokinetics</w:t>
      </w:r>
    </w:p>
    <w:p w14:paraId="69222E2C" w14:textId="3CFCF898" w:rsidR="006F5AFB" w:rsidRPr="004C535F" w:rsidRDefault="006F5AFB" w:rsidP="004C535F">
      <w:r>
        <w:t>Effect of gastric pH was summarised through the following:</w:t>
      </w:r>
    </w:p>
    <w:p w14:paraId="07502C90" w14:textId="2854E613" w:rsidR="00892AE8" w:rsidRPr="00865C47" w:rsidRDefault="008A58D2" w:rsidP="00805DE0">
      <w:pPr>
        <w:pStyle w:val="ListBullet"/>
      </w:pPr>
      <w:r w:rsidRPr="00865C47">
        <w:t xml:space="preserve">Study INCB54828-106: The decrease in </w:t>
      </w:r>
      <w:r w:rsidR="00A93FFB" w:rsidRPr="00865C47">
        <w:t>T</w:t>
      </w:r>
      <w:r w:rsidR="00A93FFB" w:rsidRPr="00865C47">
        <w:rPr>
          <w:vertAlign w:val="subscript"/>
        </w:rPr>
        <w:t>max</w:t>
      </w:r>
      <w:r w:rsidRPr="00865C47">
        <w:t xml:space="preserve"> and </w:t>
      </w:r>
      <w:r w:rsidR="004B01EA" w:rsidRPr="00865C47">
        <w:t>C</w:t>
      </w:r>
      <w:r w:rsidR="004B01EA" w:rsidRPr="00865C47">
        <w:rPr>
          <w:vertAlign w:val="subscript"/>
        </w:rPr>
        <w:t>max</w:t>
      </w:r>
      <w:r w:rsidRPr="00865C47">
        <w:t xml:space="preserve"> when pemigatinib is taken with esomeprazole compared with pemigatinib alone would be consistent with the dissolution of the tablets being affected by gastric </w:t>
      </w:r>
      <w:proofErr w:type="spellStart"/>
      <w:r w:rsidRPr="00865C47">
        <w:t>pH.</w:t>
      </w:r>
      <w:proofErr w:type="spellEnd"/>
      <w:r w:rsidRPr="00865C47">
        <w:t xml:space="preserve"> The absence of a statistically significant decrease in AUC indicates there is no meaningful decrease in exposure, overall (see</w:t>
      </w:r>
      <w:r w:rsidR="0002197C" w:rsidRPr="00865C47">
        <w:t xml:space="preserve"> </w:t>
      </w:r>
      <w:r w:rsidR="0002197C" w:rsidRPr="00865C47">
        <w:fldChar w:fldCharType="begin"/>
      </w:r>
      <w:r w:rsidR="0002197C" w:rsidRPr="00865C47">
        <w:instrText xml:space="preserve"> REF _Ref135741314 \h </w:instrText>
      </w:r>
      <w:r w:rsidR="000C4DEF" w:rsidRPr="00865C47">
        <w:instrText xml:space="preserve"> \* MERGEFORMAT </w:instrText>
      </w:r>
      <w:r w:rsidR="0002197C" w:rsidRPr="00865C47">
        <w:fldChar w:fldCharType="separate"/>
      </w:r>
      <w:r w:rsidR="005D22F2" w:rsidRPr="00865C47">
        <w:t xml:space="preserve">Table </w:t>
      </w:r>
      <w:r w:rsidR="005D22F2">
        <w:rPr>
          <w:noProof/>
        </w:rPr>
        <w:t>9</w:t>
      </w:r>
      <w:r w:rsidR="0002197C" w:rsidRPr="00865C47">
        <w:fldChar w:fldCharType="end"/>
      </w:r>
      <w:r w:rsidR="0002197C" w:rsidRPr="00865C47">
        <w:t xml:space="preserve"> and </w:t>
      </w:r>
      <w:r w:rsidR="0002197C" w:rsidRPr="00865C47">
        <w:fldChar w:fldCharType="begin"/>
      </w:r>
      <w:r w:rsidR="0002197C" w:rsidRPr="00865C47">
        <w:instrText xml:space="preserve"> REF _Ref135741315 \h </w:instrText>
      </w:r>
      <w:r w:rsidR="000C4DEF" w:rsidRPr="00865C47">
        <w:instrText xml:space="preserve"> \* MERGEFORMAT </w:instrText>
      </w:r>
      <w:r w:rsidR="0002197C" w:rsidRPr="00865C47">
        <w:fldChar w:fldCharType="separate"/>
      </w:r>
      <w:r w:rsidR="005D22F2" w:rsidRPr="00865C47">
        <w:t xml:space="preserve">Figure </w:t>
      </w:r>
      <w:r w:rsidR="005D22F2">
        <w:rPr>
          <w:noProof/>
        </w:rPr>
        <w:t>8</w:t>
      </w:r>
      <w:r w:rsidR="0002197C" w:rsidRPr="00865C47">
        <w:fldChar w:fldCharType="end"/>
      </w:r>
      <w:r w:rsidR="004B01EA" w:rsidRPr="00865C47">
        <w:t xml:space="preserve"> below</w:t>
      </w:r>
      <w:r w:rsidRPr="00865C47">
        <w:t>).</w:t>
      </w:r>
    </w:p>
    <w:p w14:paraId="7D0FD7B8" w14:textId="4C562F52" w:rsidR="008A58D2" w:rsidRPr="00865C47" w:rsidRDefault="008A58D2" w:rsidP="00805DE0">
      <w:pPr>
        <w:pStyle w:val="ListBullet"/>
      </w:pPr>
      <w:r w:rsidRPr="00865C47">
        <w:t xml:space="preserve">No clinically significant alteration in </w:t>
      </w:r>
      <w:r w:rsidR="00A93FFB" w:rsidRPr="00865C47">
        <w:t>T</w:t>
      </w:r>
      <w:r w:rsidR="00A93FFB" w:rsidRPr="00865C47">
        <w:rPr>
          <w:vertAlign w:val="subscript"/>
        </w:rPr>
        <w:t>max</w:t>
      </w:r>
      <w:r w:rsidRPr="00865C47">
        <w:t xml:space="preserve">, </w:t>
      </w:r>
      <w:r w:rsidR="004B01EA" w:rsidRPr="00865C47">
        <w:t>C</w:t>
      </w:r>
      <w:r w:rsidR="004B01EA" w:rsidRPr="00865C47">
        <w:rPr>
          <w:vertAlign w:val="subscript"/>
        </w:rPr>
        <w:t>max</w:t>
      </w:r>
      <w:r w:rsidRPr="00865C47">
        <w:t xml:space="preserve"> or </w:t>
      </w:r>
      <w:r w:rsidR="000C4DEF" w:rsidRPr="00865C47">
        <w:t>area under the plasma concentration-time curve (</w:t>
      </w:r>
      <w:r w:rsidRPr="00865C47">
        <w:t>AUC</w:t>
      </w:r>
      <w:r w:rsidR="000C4DEF" w:rsidRPr="00865C47">
        <w:t>)</w:t>
      </w:r>
      <w:r w:rsidRPr="00865C47">
        <w:t xml:space="preserve"> were evident with coadministration of ranitidine with pemigatinib.</w:t>
      </w:r>
    </w:p>
    <w:p w14:paraId="140F5BEA" w14:textId="09BE458B" w:rsidR="0002197C" w:rsidRPr="00865C47" w:rsidRDefault="0002197C" w:rsidP="008A51BB">
      <w:pPr>
        <w:pStyle w:val="TableTitle"/>
      </w:pPr>
      <w:bookmarkStart w:id="96" w:name="_Ref135741314"/>
      <w:bookmarkStart w:id="97" w:name="_Toc87017847"/>
      <w:bookmarkStart w:id="98" w:name="_Toc87201991"/>
      <w:r w:rsidRPr="00865C47">
        <w:t xml:space="preserve">Table </w:t>
      </w:r>
      <w:r w:rsidR="00547529">
        <w:fldChar w:fldCharType="begin"/>
      </w:r>
      <w:r w:rsidR="00547529">
        <w:instrText xml:space="preserve"> SEQ Table \* ARABIC </w:instrText>
      </w:r>
      <w:r w:rsidR="00547529">
        <w:fldChar w:fldCharType="separate"/>
      </w:r>
      <w:r w:rsidR="005D22F2">
        <w:rPr>
          <w:noProof/>
        </w:rPr>
        <w:t>9</w:t>
      </w:r>
      <w:r w:rsidR="00547529">
        <w:rPr>
          <w:noProof/>
        </w:rPr>
        <w:fldChar w:fldCharType="end"/>
      </w:r>
      <w:bookmarkEnd w:id="96"/>
      <w:r w:rsidR="00E60C44" w:rsidRPr="00865C47">
        <w:t>: Study</w:t>
      </w:r>
      <w:r w:rsidRPr="00865C47">
        <w:t xml:space="preserve"> </w:t>
      </w:r>
      <w:r w:rsidR="00E02528" w:rsidRPr="00865C47">
        <w:t>INCB</w:t>
      </w:r>
      <w:r w:rsidR="00E735FB">
        <w:t xml:space="preserve"> </w:t>
      </w:r>
      <w:r w:rsidR="00E02528" w:rsidRPr="00865C47">
        <w:t xml:space="preserve">54828-106 </w:t>
      </w:r>
      <w:r w:rsidRPr="00865C47">
        <w:t xml:space="preserve">Comparison of pemigatinib </w:t>
      </w:r>
      <w:r w:rsidR="008A51BB" w:rsidRPr="00865C47">
        <w:t>pharmacokinetic</w:t>
      </w:r>
      <w:r w:rsidRPr="00865C47">
        <w:t xml:space="preserve"> parameters following 13.5</w:t>
      </w:r>
      <w:r w:rsidR="00E60C44" w:rsidRPr="00865C47">
        <w:t> </w:t>
      </w:r>
      <w:r w:rsidRPr="00865C47">
        <w:t>mg of pemigatinib tablets administration with and without concomitant esomeprazole</w:t>
      </w:r>
      <w:bookmarkEnd w:id="97"/>
      <w:bookmarkEnd w:id="98"/>
    </w:p>
    <w:p w14:paraId="7BCCD397" w14:textId="02CAE731" w:rsidR="00E02528" w:rsidRPr="00865C47" w:rsidRDefault="00E02528" w:rsidP="00E02528">
      <w:r w:rsidRPr="00865C47">
        <w:rPr>
          <w:noProof/>
          <w:lang w:val="en-GB" w:eastAsia="en-GB"/>
        </w:rPr>
        <w:drawing>
          <wp:inline distT="0" distB="0" distL="0" distR="0" wp14:anchorId="2B012768" wp14:editId="01888461">
            <wp:extent cx="5759450" cy="1734185"/>
            <wp:effectExtent l="0" t="0" r="0" b="0"/>
            <wp:docPr id="25" name="Picture 25" descr="Table 9: Study INCB 54828-106 Comparison of pemigatinib pharmacokinetic parameters following 13.5 mg of pemigatinib tablets administration with and without concomitant esomepr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 9: Study INCB 54828-106 Comparison of pemigatinib pharmacokinetic parameters following 13.5 mg of pemigatinib tablets administration with and without concomitant esomeprazole"/>
                    <pic:cNvPicPr/>
                  </pic:nvPicPr>
                  <pic:blipFill>
                    <a:blip r:embed="rId38"/>
                    <a:stretch>
                      <a:fillRect/>
                    </a:stretch>
                  </pic:blipFill>
                  <pic:spPr>
                    <a:xfrm>
                      <a:off x="0" y="0"/>
                      <a:ext cx="5759450" cy="1734185"/>
                    </a:xfrm>
                    <a:prstGeom prst="rect">
                      <a:avLst/>
                    </a:prstGeom>
                  </pic:spPr>
                </pic:pic>
              </a:graphicData>
            </a:graphic>
          </wp:inline>
        </w:drawing>
      </w:r>
    </w:p>
    <w:p w14:paraId="1C1882E3" w14:textId="2B0C426E" w:rsidR="00565921" w:rsidRPr="00865C47" w:rsidRDefault="00565921" w:rsidP="00565921">
      <w:pPr>
        <w:pStyle w:val="Tabl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 CL/F = apparent total body clearance; C</w:t>
      </w:r>
      <w:r w:rsidRPr="00865C47">
        <w:rPr>
          <w:vertAlign w:val="subscript"/>
        </w:rPr>
        <w:t>max</w:t>
      </w:r>
      <w:r w:rsidRPr="00865C47">
        <w:t xml:space="preserve"> = maximum observed plasma concentration; n = number of subjects; t</w:t>
      </w:r>
      <w:r w:rsidRPr="00865C47">
        <w:rPr>
          <w:vertAlign w:val="subscript"/>
        </w:rPr>
        <w:t>½</w:t>
      </w:r>
      <w:r w:rsidRPr="00865C47">
        <w:t xml:space="preserve"> = apparent plasma terminal elimination half-life; T</w:t>
      </w:r>
      <w:r w:rsidRPr="00865C47">
        <w:rPr>
          <w:vertAlign w:val="subscript"/>
        </w:rPr>
        <w:t>max</w:t>
      </w:r>
      <w:r w:rsidRPr="00865C47">
        <w:t xml:space="preserve"> = time of the maximum observed plasma concentration; </w:t>
      </w:r>
      <w:proofErr w:type="spellStart"/>
      <w:r w:rsidRPr="00865C47">
        <w:t>V</w:t>
      </w:r>
      <w:r w:rsidRPr="00865C47">
        <w:rPr>
          <w:vertAlign w:val="subscript"/>
        </w:rPr>
        <w:t>z</w:t>
      </w:r>
      <w:proofErr w:type="spellEnd"/>
      <w:r w:rsidRPr="00865C47">
        <w:t>/F = apparent oral dose volume of distribution.</w:t>
      </w:r>
    </w:p>
    <w:p w14:paraId="1F37C2E6" w14:textId="661BE508" w:rsidR="0002197C" w:rsidRPr="00865C47" w:rsidRDefault="00E02528" w:rsidP="004B01EA">
      <w:pPr>
        <w:pStyle w:val="TableDescription"/>
      </w:pPr>
      <w:r w:rsidRPr="00865C47">
        <w:lastRenderedPageBreak/>
        <w:t xml:space="preserve">Values are presented in the format of </w:t>
      </w:r>
      <w:r w:rsidR="00FC6D80" w:rsidRPr="00865C47">
        <w:t>mean</w:t>
      </w:r>
      <w:r w:rsidRPr="00865C47">
        <w:t xml:space="preserve"> ± </w:t>
      </w:r>
      <w:r w:rsidR="00FC6D80" w:rsidRPr="00865C47">
        <w:t>standard deviation</w:t>
      </w:r>
      <w:r w:rsidRPr="00865C47">
        <w:t xml:space="preserve"> and </w:t>
      </w:r>
      <w:r w:rsidR="00FC6D80" w:rsidRPr="00865C47">
        <w:t>geometric mean</w:t>
      </w:r>
      <w:r w:rsidRPr="00865C47">
        <w:t xml:space="preserve"> except that T</w:t>
      </w:r>
      <w:r w:rsidRPr="00865C47">
        <w:rPr>
          <w:vertAlign w:val="subscript"/>
        </w:rPr>
        <w:t>max</w:t>
      </w:r>
      <w:r w:rsidRPr="00865C47">
        <w:t xml:space="preserve"> is reported as median (range).</w:t>
      </w:r>
    </w:p>
    <w:p w14:paraId="4EAE052C" w14:textId="243C40B8" w:rsidR="0002197C" w:rsidRPr="00865C47" w:rsidRDefault="0002197C" w:rsidP="008A51BB">
      <w:pPr>
        <w:pStyle w:val="FigureTitle"/>
      </w:pPr>
      <w:bookmarkStart w:id="99" w:name="_Ref135741315"/>
      <w:bookmarkStart w:id="100" w:name="_Toc87017929"/>
      <w:bookmarkStart w:id="101" w:name="_Toc87018163"/>
      <w:bookmarkStart w:id="102" w:name="_Toc87018367"/>
      <w:r w:rsidRPr="00865C47">
        <w:t xml:space="preserve">Figure </w:t>
      </w:r>
      <w:r w:rsidR="00547529">
        <w:fldChar w:fldCharType="begin"/>
      </w:r>
      <w:r w:rsidR="00547529">
        <w:instrText xml:space="preserve"> SEQ Figure \* ARABIC </w:instrText>
      </w:r>
      <w:r w:rsidR="00547529">
        <w:fldChar w:fldCharType="separate"/>
      </w:r>
      <w:r w:rsidR="005D22F2">
        <w:rPr>
          <w:noProof/>
        </w:rPr>
        <w:t>8</w:t>
      </w:r>
      <w:r w:rsidR="00547529">
        <w:rPr>
          <w:noProof/>
        </w:rPr>
        <w:fldChar w:fldCharType="end"/>
      </w:r>
      <w:bookmarkEnd w:id="99"/>
      <w:r w:rsidR="008A51BB" w:rsidRPr="00865C47">
        <w:t>:</w:t>
      </w:r>
      <w:r w:rsidRPr="00865C47">
        <w:t xml:space="preserve"> </w:t>
      </w:r>
      <w:r w:rsidR="00E02528" w:rsidRPr="00865C47">
        <w:t xml:space="preserve">Study IMCB 54828-106 </w:t>
      </w:r>
      <w:r w:rsidRPr="00865C47">
        <w:t xml:space="preserve">Pemigatinib </w:t>
      </w:r>
      <w:r w:rsidR="008A51BB" w:rsidRPr="00865C47">
        <w:t xml:space="preserve">area under the plasma concentration-time curve </w:t>
      </w:r>
      <w:r w:rsidRPr="00865C47">
        <w:t>values for individual participants following administration of 13.5</w:t>
      </w:r>
      <w:r w:rsidR="00825311" w:rsidRPr="00865C47">
        <w:t> </w:t>
      </w:r>
      <w:r w:rsidRPr="00865C47">
        <w:t>mg pemigatinib tablets with or without concomitant esomeprazole</w:t>
      </w:r>
      <w:bookmarkEnd w:id="100"/>
      <w:bookmarkEnd w:id="101"/>
      <w:bookmarkEnd w:id="102"/>
    </w:p>
    <w:p w14:paraId="67D5E717" w14:textId="7F7DF833" w:rsidR="0002197C" w:rsidRPr="00865C47" w:rsidRDefault="00E02528" w:rsidP="00E02528">
      <w:r w:rsidRPr="00865C47">
        <w:rPr>
          <w:noProof/>
          <w:lang w:val="en-GB" w:eastAsia="en-GB"/>
        </w:rPr>
        <w:drawing>
          <wp:inline distT="0" distB="0" distL="0" distR="0" wp14:anchorId="0ECE2151" wp14:editId="57EA23FC">
            <wp:extent cx="5759450" cy="2216785"/>
            <wp:effectExtent l="0" t="0" r="0" b="0"/>
            <wp:docPr id="26" name="Picture 26" descr="Figure 8: Study IMCB 54828-106 Pemigatinib area under the plasma concentration-time curve values for individual participants following administration of 13.5 mg pemigatinib tablets with or without concomitant esomepraz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8: Study IMCB 54828-106 Pemigatinib area under the plasma concentration-time curve values for individual participants following administration of 13.5 mg pemigatinib tablets with or without concomitant esomeprazole"/>
                    <pic:cNvPicPr/>
                  </pic:nvPicPr>
                  <pic:blipFill>
                    <a:blip r:embed="rId39"/>
                    <a:stretch>
                      <a:fillRect/>
                    </a:stretch>
                  </pic:blipFill>
                  <pic:spPr>
                    <a:xfrm>
                      <a:off x="0" y="0"/>
                      <a:ext cx="5759450" cy="2216785"/>
                    </a:xfrm>
                    <a:prstGeom prst="rect">
                      <a:avLst/>
                    </a:prstGeom>
                  </pic:spPr>
                </pic:pic>
              </a:graphicData>
            </a:graphic>
          </wp:inline>
        </w:drawing>
      </w:r>
    </w:p>
    <w:p w14:paraId="14517080" w14:textId="77777777" w:rsidR="00565921" w:rsidRPr="00865C47" w:rsidRDefault="00565921" w:rsidP="00565921">
      <w:pPr>
        <w:pStyle w:val="FigureDescription"/>
      </w:pPr>
      <w:r w:rsidRPr="00865C47">
        <w:t>Abbreviations: AUC</w:t>
      </w:r>
      <w:r w:rsidRPr="00865C47">
        <w:rPr>
          <w:vertAlign w:val="subscript"/>
        </w:rPr>
        <w:t>0-∞</w:t>
      </w:r>
      <w:r w:rsidRPr="00865C47">
        <w:rPr>
          <w:rFonts w:hint="eastAsia"/>
        </w:rPr>
        <w:t xml:space="preserve"> </w:t>
      </w:r>
      <w:r w:rsidRPr="00865C47">
        <w:t>= area under the plasma concentration-time curve from time zero to infinity; AUC</w:t>
      </w:r>
      <w:r w:rsidRPr="00865C47">
        <w:rPr>
          <w:vertAlign w:val="subscript"/>
        </w:rPr>
        <w:t>0-t</w:t>
      </w:r>
      <w:r w:rsidRPr="00865C47">
        <w:t xml:space="preserve"> = area under the plasma concentration-time curve from time zero to time of last quantifiable concentration.</w:t>
      </w:r>
    </w:p>
    <w:p w14:paraId="63D3A880" w14:textId="0C899678" w:rsidR="008A58D2" w:rsidRPr="00865C47" w:rsidRDefault="00C70544" w:rsidP="00C70544">
      <w:pPr>
        <w:pStyle w:val="Heading6"/>
      </w:pPr>
      <w:r>
        <w:t>P</w:t>
      </w:r>
      <w:r w:rsidR="00A93FFB" w:rsidRPr="00865C47">
        <w:t>opulation pharmacokinetics</w:t>
      </w:r>
    </w:p>
    <w:p w14:paraId="49F41DAD" w14:textId="1AC592C8" w:rsidR="008A58D2" w:rsidRPr="00865C47" w:rsidRDefault="008A58D2" w:rsidP="008A58D2">
      <w:r w:rsidRPr="00865C47">
        <w:t xml:space="preserve">Two </w:t>
      </w:r>
      <w:r w:rsidR="000C4DEF" w:rsidRPr="00865C47">
        <w:t>population pharmacokinetics (</w:t>
      </w:r>
      <w:r w:rsidR="004B01EA" w:rsidRPr="00865C47">
        <w:t>P</w:t>
      </w:r>
      <w:r w:rsidRPr="00865C47">
        <w:t>opPK</w:t>
      </w:r>
      <w:r w:rsidR="000C4DEF" w:rsidRPr="00865C47">
        <w:t>)</w:t>
      </w:r>
      <w:r w:rsidRPr="00865C47">
        <w:t xml:space="preserve"> reports were provided by the sponsor: </w:t>
      </w:r>
      <w:r w:rsidR="004B01EA" w:rsidRPr="00865C47">
        <w:t xml:space="preserve">Analysis </w:t>
      </w:r>
      <w:r w:rsidRPr="00865C47">
        <w:t xml:space="preserve">DMB-19.120.1 (exposure response analyses) and </w:t>
      </w:r>
      <w:r w:rsidR="004B01EA" w:rsidRPr="00865C47">
        <w:t xml:space="preserve">Analysis </w:t>
      </w:r>
      <w:r w:rsidRPr="00865C47">
        <w:t>DMB-19.25.1 (</w:t>
      </w:r>
      <w:r w:rsidR="000C4DEF" w:rsidRPr="00865C47">
        <w:t>physiological based PK modelling and simulation</w:t>
      </w:r>
      <w:r w:rsidRPr="00865C47">
        <w:t xml:space="preserve"> development for evaluation of drug-drug interactions).</w:t>
      </w:r>
    </w:p>
    <w:p w14:paraId="4D8F2576" w14:textId="4DB2FE46" w:rsidR="00892AE8" w:rsidRPr="00865C47" w:rsidRDefault="008A58D2" w:rsidP="008A58D2">
      <w:r w:rsidRPr="00865C47">
        <w:t xml:space="preserve">Following review of the two relevant </w:t>
      </w:r>
      <w:r w:rsidR="004B01EA" w:rsidRPr="00865C47">
        <w:t>PopPK</w:t>
      </w:r>
      <w:r w:rsidRPr="00865C47">
        <w:t xml:space="preserve"> reports, the clinical </w:t>
      </w:r>
      <w:r w:rsidR="00E60C44" w:rsidRPr="00865C47">
        <w:t>evaluation</w:t>
      </w:r>
      <w:r w:rsidRPr="00865C47">
        <w:t xml:space="preserve"> concluded that the actual simulations and data used to generate the reports cannot be adequately evaluated without some testing of the modelling with simulations and re-runs.</w:t>
      </w:r>
      <w:r w:rsidR="00892AE8" w:rsidRPr="00865C47">
        <w:t xml:space="preserve"> </w:t>
      </w:r>
      <w:r w:rsidRPr="00865C47">
        <w:t xml:space="preserve">The assumptions in these </w:t>
      </w:r>
      <w:r w:rsidR="004B01EA" w:rsidRPr="00865C47">
        <w:t>P</w:t>
      </w:r>
      <w:r w:rsidRPr="00865C47">
        <w:t>opPK reports appear to lack clinical validity</w:t>
      </w:r>
      <w:r w:rsidR="004B01EA" w:rsidRPr="00865C47">
        <w:t>. C</w:t>
      </w:r>
      <w:r w:rsidRPr="00865C47">
        <w:t xml:space="preserve">onsequently, the reliability or validity of the </w:t>
      </w:r>
      <w:r w:rsidR="00E60C44" w:rsidRPr="00865C47">
        <w:t>evaluation</w:t>
      </w:r>
      <w:r w:rsidRPr="00865C47">
        <w:t>’s comments</w:t>
      </w:r>
      <w:r w:rsidR="004B01EA" w:rsidRPr="00865C47">
        <w:t xml:space="preserve"> or </w:t>
      </w:r>
      <w:r w:rsidRPr="00865C47">
        <w:t>conclusions may be affected.</w:t>
      </w:r>
      <w:r w:rsidR="00892AE8" w:rsidRPr="00865C47">
        <w:t xml:space="preserve"> </w:t>
      </w:r>
      <w:r w:rsidRPr="00865C47">
        <w:t xml:space="preserve">The clinical </w:t>
      </w:r>
      <w:r w:rsidR="00E60C44" w:rsidRPr="00865C47">
        <w:t>evaluation</w:t>
      </w:r>
      <w:r w:rsidRPr="00865C47">
        <w:t xml:space="preserve"> also highlights that the </w:t>
      </w:r>
      <w:r w:rsidR="004B01EA" w:rsidRPr="00865C47">
        <w:t>sponsor</w:t>
      </w:r>
      <w:r w:rsidRPr="00865C47">
        <w:t xml:space="preserve"> has been asked by the </w:t>
      </w:r>
      <w:r w:rsidR="00B961FA" w:rsidRPr="00865C47">
        <w:t xml:space="preserve">European Medicines Agency </w:t>
      </w:r>
      <w:r w:rsidRPr="00865C47">
        <w:t xml:space="preserve">to provide an updated version of the </w:t>
      </w:r>
      <w:r w:rsidR="004B01EA" w:rsidRPr="00865C47">
        <w:t>P</w:t>
      </w:r>
      <w:r w:rsidRPr="00865C47">
        <w:t xml:space="preserve">opPK model and analysis in the </w:t>
      </w:r>
      <w:r w:rsidR="00B961FA" w:rsidRPr="00865C47">
        <w:t>European Union (</w:t>
      </w:r>
      <w:r w:rsidRPr="00865C47">
        <w:t>EU</w:t>
      </w:r>
      <w:r w:rsidR="00B961FA" w:rsidRPr="00865C47">
        <w:t>)</w:t>
      </w:r>
      <w:r w:rsidRPr="00865C47">
        <w:t xml:space="preserve"> post-market authorisation setting, as the PopPK model was determined to be inadequate.</w:t>
      </w:r>
      <w:r w:rsidR="00892AE8" w:rsidRPr="00865C47">
        <w:t xml:space="preserve"> </w:t>
      </w:r>
      <w:r w:rsidRPr="00865C47">
        <w:t>Further pharmacometrics advice has been sought within TGA</w:t>
      </w:r>
      <w:r w:rsidR="004B01EA" w:rsidRPr="00865C47">
        <w:t>. I</w:t>
      </w:r>
      <w:r w:rsidRPr="00865C47">
        <w:t xml:space="preserve">t was noted that some anomalies in the reporting of PK findings of the submitted </w:t>
      </w:r>
      <w:r w:rsidR="004B01EA" w:rsidRPr="00865C47">
        <w:t>P</w:t>
      </w:r>
      <w:r w:rsidRPr="00865C47">
        <w:t>opPK analysis reduces confidence in their validity.</w:t>
      </w:r>
    </w:p>
    <w:p w14:paraId="27643CB9" w14:textId="4C645834" w:rsidR="008A58D2" w:rsidRPr="00865C47" w:rsidRDefault="008A58D2" w:rsidP="008A58D2">
      <w:r w:rsidRPr="00865C47">
        <w:t xml:space="preserve">The </w:t>
      </w:r>
      <w:r w:rsidR="004B01EA" w:rsidRPr="00865C47">
        <w:t>Delegate</w:t>
      </w:r>
      <w:r w:rsidRPr="00865C47">
        <w:t xml:space="preserve"> therefore notes that interpretation of the findings of the </w:t>
      </w:r>
      <w:r w:rsidR="004B01EA" w:rsidRPr="00865C47">
        <w:t>PopPK</w:t>
      </w:r>
      <w:r w:rsidRPr="00865C47">
        <w:t xml:space="preserve"> reports provided by the sponsor is limited due to the inadequate </w:t>
      </w:r>
      <w:r w:rsidR="004B01EA" w:rsidRPr="00865C47">
        <w:t>P</w:t>
      </w:r>
      <w:r w:rsidRPr="00865C47">
        <w:t>opPK model; issues such as whether dosing adjustment may be needed in certain populations remain unresolved (</w:t>
      </w:r>
      <w:r w:rsidR="00B80561" w:rsidRPr="00865C47">
        <w:t>for example,</w:t>
      </w:r>
      <w:r w:rsidRPr="00865C47">
        <w:t xml:space="preserve"> the apparent clearance in females is of uncertain validity and cannot be used to determine whether females require a lower starting dose adjustment; whether moderate CYP3A4 inhibitors may have clinical impact on pemigatinib exposure remains unclear).</w:t>
      </w:r>
    </w:p>
    <w:p w14:paraId="4B7A4964" w14:textId="77777777" w:rsidR="008A58D2" w:rsidRPr="00865C47" w:rsidRDefault="008A58D2" w:rsidP="008E72D2">
      <w:pPr>
        <w:pStyle w:val="Heading5"/>
      </w:pPr>
      <w:r w:rsidRPr="00865C47">
        <w:t>Pharmacodynamics</w:t>
      </w:r>
    </w:p>
    <w:p w14:paraId="2D5E6668" w14:textId="46CC6081" w:rsidR="008A58D2" w:rsidRPr="00865C47" w:rsidRDefault="008A58D2" w:rsidP="008A58D2">
      <w:r w:rsidRPr="00865C47">
        <w:t>Pharmacodynamic and PK/PD studies were not conducted in healthy participants; this is considered acceptable. Study INCB 54828-101 was conducted in participants with cancer, and p</w:t>
      </w:r>
      <w:r w:rsidR="00865C47" w:rsidRPr="00865C47">
        <w:t>hospho-</w:t>
      </w:r>
      <w:r w:rsidRPr="00865C47">
        <w:t>FGFR2 inhibition and exposure-response relationship were evaluated in that study. The results were consistent with preclinical data generated using spiked blood samples from healthy participants. No disconnect was seen between the PK and PD for pemigatinib, indicating that there are no active drug metabolites affecting PD activity.</w:t>
      </w:r>
    </w:p>
    <w:p w14:paraId="178FEC3D" w14:textId="2FD5C75B" w:rsidR="008A58D2" w:rsidRPr="00865C47" w:rsidRDefault="008A58D2" w:rsidP="008E72D2">
      <w:pPr>
        <w:pStyle w:val="Heading5"/>
      </w:pPr>
      <w:r w:rsidRPr="00865C47">
        <w:lastRenderedPageBreak/>
        <w:t xml:space="preserve">Conclusions on </w:t>
      </w:r>
      <w:r w:rsidR="00B80561" w:rsidRPr="00865C47">
        <w:t>clinical pharmacology</w:t>
      </w:r>
    </w:p>
    <w:p w14:paraId="2E9FA9D9" w14:textId="77777777" w:rsidR="00892AE8" w:rsidRPr="00865C47" w:rsidRDefault="008A58D2" w:rsidP="008A58D2">
      <w:pPr>
        <w:pStyle w:val="ListBullet"/>
      </w:pPr>
      <w:r w:rsidRPr="00865C47">
        <w:t>Overall, the PK and PD of pemigatinib has been adequately investigated and sufficiently characterised to support the proposed usage, given the substantial unmet need.</w:t>
      </w:r>
    </w:p>
    <w:p w14:paraId="06293B28" w14:textId="4F605275" w:rsidR="008A58D2" w:rsidRPr="00865C47" w:rsidRDefault="008A58D2" w:rsidP="008A58D2">
      <w:pPr>
        <w:pStyle w:val="ListBullet"/>
      </w:pPr>
      <w:r w:rsidRPr="00865C47">
        <w:t xml:space="preserve">No </w:t>
      </w:r>
      <w:r w:rsidR="00B80561" w:rsidRPr="00865C47">
        <w:t>maximum tolerated dose</w:t>
      </w:r>
      <w:r w:rsidRPr="00865C47">
        <w:t xml:space="preserve"> was reached in the dose-finding Study </w:t>
      </w:r>
      <w:r w:rsidR="005B5AC9" w:rsidRPr="00865C47">
        <w:t>INCB 54828-101</w:t>
      </w:r>
      <w:r w:rsidRPr="00865C47">
        <w:t>, which identified pemigatinib administered orally at 13.5</w:t>
      </w:r>
      <w:r w:rsidR="00B80561" w:rsidRPr="00865C47">
        <w:t> </w:t>
      </w:r>
      <w:r w:rsidRPr="00865C47">
        <w:t xml:space="preserve">mg </w:t>
      </w:r>
      <w:r w:rsidR="00A93FFB" w:rsidRPr="00865C47">
        <w:t>once daily</w:t>
      </w:r>
      <w:r w:rsidRPr="00865C47">
        <w:t xml:space="preserve"> two weeks on, </w:t>
      </w:r>
      <w:r w:rsidR="008A51BB" w:rsidRPr="00865C47">
        <w:t>one</w:t>
      </w:r>
      <w:r w:rsidRPr="00865C47">
        <w:t xml:space="preserve"> week off as the </w:t>
      </w:r>
      <w:r w:rsidR="00E735FB">
        <w:t>recommended dose for Phase II studies</w:t>
      </w:r>
      <w:r w:rsidRPr="00865C47">
        <w:t>.</w:t>
      </w:r>
    </w:p>
    <w:p w14:paraId="76CF23C7" w14:textId="1349A35A" w:rsidR="008A58D2" w:rsidRPr="00865C47" w:rsidRDefault="008A58D2" w:rsidP="008A58D2">
      <w:pPr>
        <w:pStyle w:val="ListBullet"/>
      </w:pPr>
      <w:r w:rsidRPr="00865C47">
        <w:t xml:space="preserve">No clinical pharmacology studies were undertaken specifically to address differences in exposure to pemigatinib based on body weight, age, or gender. </w:t>
      </w:r>
      <w:r w:rsidR="004B01EA" w:rsidRPr="00865C47">
        <w:t>PopPK</w:t>
      </w:r>
      <w:r w:rsidRPr="00865C47">
        <w:t xml:space="preserve"> modelling identified a 19% lower clearance and typical </w:t>
      </w:r>
      <w:r w:rsidR="00B80561" w:rsidRPr="00865C47">
        <w:t xml:space="preserve">acid dissociation constant </w:t>
      </w:r>
      <w:r w:rsidRPr="00865C47">
        <w:t>value in females raises potential uncertainty about the need for different starting dose in females.</w:t>
      </w:r>
    </w:p>
    <w:p w14:paraId="039C769E" w14:textId="769B30AF" w:rsidR="008A58D2" w:rsidRPr="00865C47" w:rsidRDefault="008A58D2" w:rsidP="008A58D2">
      <w:pPr>
        <w:pStyle w:val="ListBullet"/>
      </w:pPr>
      <w:r w:rsidRPr="00865C47">
        <w:t xml:space="preserve">The </w:t>
      </w:r>
      <w:r w:rsidR="004B01EA" w:rsidRPr="00865C47">
        <w:t>P</w:t>
      </w:r>
      <w:r w:rsidRPr="00865C47">
        <w:t xml:space="preserve">opPK report and analysis is considered to be inadequate; interpretation of findings is therefore limited; this issue should be addressed in the post authorisation setting, with submission of an updated PK/PD modelling analysis by the </w:t>
      </w:r>
      <w:r w:rsidR="00B80561" w:rsidRPr="00865C47">
        <w:t>sponsor</w:t>
      </w:r>
      <w:r w:rsidRPr="00865C47">
        <w:t xml:space="preserve"> for evaluation.</w:t>
      </w:r>
    </w:p>
    <w:p w14:paraId="40B2E803" w14:textId="77777777" w:rsidR="008A58D2" w:rsidRPr="00C70544" w:rsidRDefault="008A58D2" w:rsidP="00C70544">
      <w:pPr>
        <w:pStyle w:val="Heading5"/>
      </w:pPr>
      <w:r w:rsidRPr="00C70544">
        <w:t>Dosage selection for pivotal study</w:t>
      </w:r>
    </w:p>
    <w:p w14:paraId="2A7B99E0" w14:textId="217F656B" w:rsidR="008A58D2" w:rsidRPr="00865C47" w:rsidRDefault="008A58D2" w:rsidP="008A58D2">
      <w:r w:rsidRPr="00865C47">
        <w:t>Two studies were included in the dossier which aimed to identify the recommended Phase</w:t>
      </w:r>
      <w:r w:rsidR="00B80561" w:rsidRPr="00865C47">
        <w:t> II</w:t>
      </w:r>
      <w:r w:rsidRPr="00865C47">
        <w:t xml:space="preserve"> dose level:</w:t>
      </w:r>
    </w:p>
    <w:p w14:paraId="4463C0F2" w14:textId="78A71F2E" w:rsidR="00892AE8" w:rsidRPr="00865C47" w:rsidRDefault="008A58D2" w:rsidP="008A58D2">
      <w:pPr>
        <w:pStyle w:val="ListBullet"/>
      </w:pPr>
      <w:r w:rsidRPr="00865C47">
        <w:t>Study INCB 54828-101</w:t>
      </w:r>
      <w:r w:rsidR="00B80561" w:rsidRPr="00865C47">
        <w:t xml:space="preserve"> (the FIGHT-101 trial)</w:t>
      </w:r>
      <w:r w:rsidRPr="00865C47">
        <w:t xml:space="preserve"> </w:t>
      </w:r>
      <w:r w:rsidR="00B80561" w:rsidRPr="00865C47">
        <w:t>a</w:t>
      </w:r>
      <w:r w:rsidRPr="00865C47">
        <w:t xml:space="preserve"> Phase </w:t>
      </w:r>
      <w:r w:rsidR="00B80561" w:rsidRPr="00865C47">
        <w:t>I</w:t>
      </w:r>
      <w:r w:rsidRPr="00865C47">
        <w:t>/</w:t>
      </w:r>
      <w:r w:rsidR="00B80561" w:rsidRPr="00865C47">
        <w:t>II</w:t>
      </w:r>
      <w:r w:rsidRPr="00865C47">
        <w:t xml:space="preserve">, </w:t>
      </w:r>
      <w:r w:rsidR="00B80561" w:rsidRPr="00865C47">
        <w:t xml:space="preserve">open label, dose escalation, </w:t>
      </w:r>
      <w:proofErr w:type="gramStart"/>
      <w:r w:rsidR="00B80561" w:rsidRPr="00865C47">
        <w:t>safety</w:t>
      </w:r>
      <w:proofErr w:type="gramEnd"/>
      <w:r w:rsidR="00B80561" w:rsidRPr="00865C47">
        <w:t xml:space="preserve"> and tolerability s</w:t>
      </w:r>
      <w:r w:rsidRPr="00865C47">
        <w:t>tudy</w:t>
      </w:r>
      <w:r w:rsidR="00B80561" w:rsidRPr="00865C47">
        <w:t> </w:t>
      </w:r>
      <w:r w:rsidRPr="00865C47">
        <w:t xml:space="preserve">of </w:t>
      </w:r>
      <w:r w:rsidR="00865C47" w:rsidRPr="00865C47">
        <w:t xml:space="preserve">pemigatinib </w:t>
      </w:r>
      <w:r w:rsidRPr="00865C47">
        <w:t xml:space="preserve">in </w:t>
      </w:r>
      <w:r w:rsidR="00B80561" w:rsidRPr="00865C47">
        <w:t>s</w:t>
      </w:r>
      <w:r w:rsidRPr="00865C47">
        <w:t xml:space="preserve">ubjects with </w:t>
      </w:r>
      <w:r w:rsidR="00B80561" w:rsidRPr="00865C47">
        <w:t>advanced malignancies</w:t>
      </w:r>
    </w:p>
    <w:p w14:paraId="5F5DCFE5" w14:textId="43C9F2E3" w:rsidR="00892AE8" w:rsidRPr="00865C47" w:rsidRDefault="008A58D2" w:rsidP="008A58D2">
      <w:pPr>
        <w:pStyle w:val="ListBullet"/>
      </w:pPr>
      <w:r w:rsidRPr="00865C47">
        <w:t xml:space="preserve">Study INCB 54828-102 </w:t>
      </w:r>
      <w:r w:rsidR="00825311" w:rsidRPr="00865C47">
        <w:t xml:space="preserve">(the FIGHT-102 trial) </w:t>
      </w:r>
      <w:r w:rsidR="00B80561" w:rsidRPr="00865C47">
        <w:t>a</w:t>
      </w:r>
      <w:r w:rsidRPr="00865C47">
        <w:t xml:space="preserve"> Phase </w:t>
      </w:r>
      <w:r w:rsidR="00B80561" w:rsidRPr="00865C47">
        <w:t>I</w:t>
      </w:r>
      <w:r w:rsidRPr="00865C47">
        <w:t xml:space="preserve">, </w:t>
      </w:r>
      <w:r w:rsidR="00B80561" w:rsidRPr="00865C47">
        <w:t xml:space="preserve">open label, dose escalation, dose expansion, </w:t>
      </w:r>
      <w:proofErr w:type="gramStart"/>
      <w:r w:rsidR="00B80561" w:rsidRPr="00865C47">
        <w:t>safety</w:t>
      </w:r>
      <w:proofErr w:type="gramEnd"/>
      <w:r w:rsidR="00B80561" w:rsidRPr="00865C47">
        <w:t xml:space="preserve"> and tolerability</w:t>
      </w:r>
      <w:r w:rsidRPr="00865C47">
        <w:t xml:space="preserve"> </w:t>
      </w:r>
      <w:r w:rsidR="00B80561" w:rsidRPr="00865C47">
        <w:t xml:space="preserve">study </w:t>
      </w:r>
      <w:r w:rsidRPr="00865C47">
        <w:t xml:space="preserve">of </w:t>
      </w:r>
      <w:r w:rsidR="00865C47" w:rsidRPr="00865C47">
        <w:t xml:space="preserve">pemigatinib </w:t>
      </w:r>
      <w:r w:rsidRPr="00865C47">
        <w:t xml:space="preserve">in </w:t>
      </w:r>
      <w:r w:rsidR="00825311" w:rsidRPr="00865C47">
        <w:t>Japanese</w:t>
      </w:r>
      <w:r w:rsidR="00B80561" w:rsidRPr="00865C47">
        <w:t xml:space="preserve"> subjects with advanced malignancies</w:t>
      </w:r>
    </w:p>
    <w:p w14:paraId="78C7C1A1" w14:textId="17861EDD" w:rsidR="008A58D2" w:rsidRPr="00865C47" w:rsidRDefault="008A58D2" w:rsidP="008A58D2">
      <w:r w:rsidRPr="00865C47">
        <w:t>The safety profile of pemigatinib at doses of 1 to 20</w:t>
      </w:r>
      <w:r w:rsidR="00825311" w:rsidRPr="00865C47">
        <w:t xml:space="preserve"> </w:t>
      </w:r>
      <w:r w:rsidRPr="00865C47">
        <w:t xml:space="preserve">mg once daily on an intermittent or continuous schedule was acceptable, and </w:t>
      </w:r>
      <w:r w:rsidR="00825311" w:rsidRPr="00865C47">
        <w:t>a</w:t>
      </w:r>
      <w:r w:rsidRPr="00865C47">
        <w:t xml:space="preserve"> </w:t>
      </w:r>
      <w:r w:rsidR="00B80561" w:rsidRPr="00865C47">
        <w:t>maximum tolerated dose</w:t>
      </w:r>
      <w:r w:rsidRPr="00865C47">
        <w:t xml:space="preserve"> was not reached in either of the above studies.</w:t>
      </w:r>
      <w:r w:rsidR="00892AE8" w:rsidRPr="00865C47">
        <w:t xml:space="preserve"> </w:t>
      </w:r>
      <w:r w:rsidRPr="00865C47">
        <w:t>Pemigatinib 13.5</w:t>
      </w:r>
      <w:r w:rsidR="00825311" w:rsidRPr="00865C47">
        <w:t xml:space="preserve"> </w:t>
      </w:r>
      <w:r w:rsidRPr="00865C47">
        <w:t xml:space="preserve">mg was selected as the </w:t>
      </w:r>
      <w:r w:rsidR="00E735FB">
        <w:t>recommended dose for Phase II studies</w:t>
      </w:r>
      <w:r w:rsidRPr="00865C47">
        <w:t xml:space="preserve"> for monotherapy based on safety, tolerability, PK and PD data.</w:t>
      </w:r>
    </w:p>
    <w:p w14:paraId="7AA4D7E0" w14:textId="77777777" w:rsidR="00825311" w:rsidRPr="00865C47" w:rsidRDefault="008A58D2" w:rsidP="008A58D2">
      <w:r w:rsidRPr="00865C47">
        <w:t xml:space="preserve">The </w:t>
      </w:r>
      <w:r w:rsidR="004B01EA" w:rsidRPr="00865C47">
        <w:t>Delegate</w:t>
      </w:r>
      <w:r w:rsidRPr="00865C47">
        <w:t xml:space="preserve"> notes the following in relation to Study INCB 54828-102:</w:t>
      </w:r>
    </w:p>
    <w:p w14:paraId="3D9F3BAB" w14:textId="7A237B0E" w:rsidR="00825311" w:rsidRPr="00865C47" w:rsidRDefault="008A58D2" w:rsidP="00825311">
      <w:pPr>
        <w:pStyle w:val="ListBullet"/>
      </w:pPr>
      <w:r w:rsidRPr="00865C47">
        <w:t xml:space="preserve">Despite the small number of participants (25 in total, exclusively Asian-Japanese patients), the clinical </w:t>
      </w:r>
      <w:r w:rsidR="00E60C44" w:rsidRPr="00865C47">
        <w:t>evaluation</w:t>
      </w:r>
      <w:r w:rsidRPr="00865C47">
        <w:t xml:space="preserve"> highlighted that the </w:t>
      </w:r>
      <w:r w:rsidR="00B961FA" w:rsidRPr="00865C47">
        <w:t>adverse event (</w:t>
      </w:r>
      <w:r w:rsidRPr="00865C47">
        <w:t>AE</w:t>
      </w:r>
      <w:r w:rsidR="00B961FA" w:rsidRPr="00865C47">
        <w:t>)</w:t>
      </w:r>
      <w:r w:rsidRPr="00865C47">
        <w:t xml:space="preserve"> findings suggested a higher risk of serous retinal detachment (16%) than for other populations, and that the potential for Asian patients to be at an increased risk of ocular toxicities cannot be overlooked</w:t>
      </w:r>
      <w:r w:rsidR="00825311" w:rsidRPr="00865C47">
        <w:t>.</w:t>
      </w:r>
    </w:p>
    <w:p w14:paraId="0977B9DB" w14:textId="5121C379" w:rsidR="00825311" w:rsidRPr="00865C47" w:rsidRDefault="00825311" w:rsidP="00825311">
      <w:pPr>
        <w:pStyle w:val="ListBullet"/>
      </w:pPr>
      <w:r w:rsidRPr="00865C47">
        <w:t>B</w:t>
      </w:r>
      <w:r w:rsidR="008A58D2" w:rsidRPr="00865C47">
        <w:t>ased on the interim analyses, the PK profile of pemigatinib in Japanese participants (secondary objective of study) is similar to the profile in western populations and does not explain the potential increased risk of ocular disorders.</w:t>
      </w:r>
    </w:p>
    <w:p w14:paraId="225C2D5C" w14:textId="2E0AAE6C" w:rsidR="008A58D2" w:rsidRPr="00865C47" w:rsidRDefault="008A58D2" w:rsidP="008A58D2">
      <w:r w:rsidRPr="00865C47">
        <w:t xml:space="preserve">At </w:t>
      </w:r>
      <w:r w:rsidR="00825311" w:rsidRPr="00865C47">
        <w:t xml:space="preserve">the first round of evaluation, </w:t>
      </w:r>
      <w:r w:rsidRPr="00865C47">
        <w:t xml:space="preserve">the clinical </w:t>
      </w:r>
      <w:r w:rsidR="00E60C44" w:rsidRPr="00865C47">
        <w:t>evaluation</w:t>
      </w:r>
      <w:r w:rsidRPr="00865C47">
        <w:t xml:space="preserve"> recommended inclusion of the potential risk of ocular </w:t>
      </w:r>
      <w:r w:rsidR="00B961FA" w:rsidRPr="00865C47">
        <w:t>AE</w:t>
      </w:r>
      <w:r w:rsidRPr="00865C47">
        <w:t xml:space="preserve">s in Asian patients in the </w:t>
      </w:r>
      <w:r w:rsidR="00B961FA" w:rsidRPr="00865C47">
        <w:t>risk management plan (</w:t>
      </w:r>
      <w:r w:rsidRPr="00865C47">
        <w:t>RMP</w:t>
      </w:r>
      <w:r w:rsidR="00B961FA" w:rsidRPr="00865C47">
        <w:t xml:space="preserve">; </w:t>
      </w:r>
      <w:r w:rsidRPr="00865C47">
        <w:t xml:space="preserve">specific pharmacovigilance activity). As requested, the </w:t>
      </w:r>
      <w:r w:rsidR="00B80561" w:rsidRPr="00865C47">
        <w:t>sponsor</w:t>
      </w:r>
      <w:r w:rsidRPr="00865C47">
        <w:t xml:space="preserve"> provided a breakdown of all of the events of ocular toxicity for Asian patients, and a comparison of the incidence of eye disorders between the Asian population and the full population.</w:t>
      </w:r>
      <w:r w:rsidR="00892AE8" w:rsidRPr="00865C47">
        <w:t xml:space="preserve"> </w:t>
      </w:r>
      <w:r w:rsidRPr="00865C47">
        <w:t>In Study INCB 54828-202, 39% of Asian participants reported an ocular AE, while in the full population, 53.7% reported an ocular AE.</w:t>
      </w:r>
      <w:r w:rsidR="00892AE8" w:rsidRPr="00865C47">
        <w:t xml:space="preserve"> </w:t>
      </w:r>
      <w:r w:rsidRPr="00865C47">
        <w:t>In Study INCB 54828-102, 44% of Asian participants reported an ocular AE.</w:t>
      </w:r>
      <w:r w:rsidR="00825311" w:rsidRPr="00865C47">
        <w:t xml:space="preserve"> </w:t>
      </w:r>
      <w:r w:rsidRPr="00865C47">
        <w:t xml:space="preserve">Following review of this data, the clinical </w:t>
      </w:r>
      <w:r w:rsidR="00E60C44" w:rsidRPr="00865C47">
        <w:t>evaluation</w:t>
      </w:r>
      <w:r w:rsidRPr="00865C47">
        <w:t xml:space="preserve"> concluded that:</w:t>
      </w:r>
    </w:p>
    <w:p w14:paraId="0EE7CC43" w14:textId="1CDDE38A" w:rsidR="00892AE8" w:rsidRPr="00865C47" w:rsidRDefault="008A58D2" w:rsidP="008A58D2">
      <w:pPr>
        <w:pStyle w:val="ListBullet"/>
      </w:pPr>
      <w:r w:rsidRPr="00865C47">
        <w:t xml:space="preserve">Overall, the rates of AEs, including serous retinal detachment, in the Asian population were not higher than the </w:t>
      </w:r>
      <w:proofErr w:type="spellStart"/>
      <w:r w:rsidRPr="00865C47">
        <w:t>non-Asian</w:t>
      </w:r>
      <w:proofErr w:type="spellEnd"/>
      <w:r w:rsidRPr="00865C47">
        <w:t xml:space="preserve"> population but there is no information about the duration of exposure to determine it this plays a part in the </w:t>
      </w:r>
      <w:bookmarkStart w:id="103" w:name="_Hlk136014669"/>
      <w:r w:rsidR="00B961FA" w:rsidRPr="00865C47">
        <w:t>AE</w:t>
      </w:r>
      <w:bookmarkEnd w:id="103"/>
      <w:r w:rsidR="00B961FA" w:rsidRPr="00865C47">
        <w:t xml:space="preserve"> </w:t>
      </w:r>
      <w:r w:rsidRPr="00865C47">
        <w:t>rates.</w:t>
      </w:r>
    </w:p>
    <w:p w14:paraId="7DE85D8D" w14:textId="2CFD5D0F" w:rsidR="008A58D2" w:rsidRPr="00865C47" w:rsidRDefault="008A58D2" w:rsidP="008A58D2">
      <w:pPr>
        <w:pStyle w:val="ListBullet"/>
      </w:pPr>
      <w:r w:rsidRPr="00865C47">
        <w:lastRenderedPageBreak/>
        <w:t>Data from the larger, randomised controlled trial may be informative</w:t>
      </w:r>
    </w:p>
    <w:p w14:paraId="5659D5BE" w14:textId="50478AEF" w:rsidR="008A58D2" w:rsidRPr="00865C47" w:rsidRDefault="008A58D2" w:rsidP="008A58D2">
      <w:pPr>
        <w:pStyle w:val="ListBullet"/>
      </w:pPr>
      <w:r w:rsidRPr="00865C47">
        <w:t xml:space="preserve">The issue regarding Asian patients and risk has largely been resolved in </w:t>
      </w:r>
      <w:r w:rsidR="00825311" w:rsidRPr="00865C47">
        <w:t>the</w:t>
      </w:r>
      <w:r w:rsidRPr="00865C47">
        <w:t xml:space="preserve"> response</w:t>
      </w:r>
      <w:r w:rsidR="00825311" w:rsidRPr="00865C47">
        <w:t xml:space="preserve"> to a TGA request for information</w:t>
      </w:r>
      <w:r w:rsidRPr="00865C47">
        <w:t>.</w:t>
      </w:r>
    </w:p>
    <w:p w14:paraId="28EBCB81" w14:textId="77777777" w:rsidR="008A58D2" w:rsidRPr="00865C47" w:rsidRDefault="008A58D2" w:rsidP="008E72D2">
      <w:pPr>
        <w:pStyle w:val="Heading4"/>
      </w:pPr>
      <w:bookmarkStart w:id="104" w:name="_Toc139284938"/>
      <w:r w:rsidRPr="00865C47">
        <w:t>Efficacy</w:t>
      </w:r>
      <w:bookmarkEnd w:id="104"/>
    </w:p>
    <w:p w14:paraId="78EAE9A7" w14:textId="42DEB715" w:rsidR="008A58D2" w:rsidRPr="00865C47" w:rsidRDefault="008A58D2" w:rsidP="008E72D2">
      <w:pPr>
        <w:pStyle w:val="Heading5"/>
      </w:pPr>
      <w:r w:rsidRPr="00865C47">
        <w:t>Study INCB 54828-202</w:t>
      </w:r>
    </w:p>
    <w:p w14:paraId="6712AB0B" w14:textId="29A0FC68" w:rsidR="008A58D2" w:rsidRPr="00865C47" w:rsidRDefault="008A58D2" w:rsidP="008A58D2">
      <w:r w:rsidRPr="00865C47">
        <w:t>The primary efficacy data considered in this submission are based on the results from the adult participants with advanced</w:t>
      </w:r>
      <w:r w:rsidR="00825311" w:rsidRPr="00865C47">
        <w:t xml:space="preserve"> or </w:t>
      </w:r>
      <w:r w:rsidRPr="00865C47">
        <w:t>metastatic</w:t>
      </w:r>
      <w:r w:rsidR="00825311" w:rsidRPr="00865C47">
        <w:t>,</w:t>
      </w:r>
      <w:r w:rsidRPr="00865C47">
        <w:t xml:space="preserve"> or surgically unresectable cholangiocarcinoma who have disease progression after at least </w:t>
      </w:r>
      <w:r w:rsidR="008A51BB" w:rsidRPr="00865C47">
        <w:t>one</w:t>
      </w:r>
      <w:r w:rsidRPr="00865C47">
        <w:t xml:space="preserve"> previous systemic treatment, in the pivotal Study</w:t>
      </w:r>
      <w:r w:rsidR="00825311" w:rsidRPr="00865C47">
        <w:t> </w:t>
      </w:r>
      <w:r w:rsidRPr="00865C47">
        <w:t>INCB 54828-202</w:t>
      </w:r>
      <w:r w:rsidR="00825311" w:rsidRPr="00865C47">
        <w:t xml:space="preserve"> (also known as the FIGHT-202 trial)</w:t>
      </w:r>
      <w:r w:rsidRPr="00865C47">
        <w:t xml:space="preserve">, a </w:t>
      </w:r>
      <w:r w:rsidR="0048244F" w:rsidRPr="00865C47">
        <w:t>Phase II</w:t>
      </w:r>
      <w:r w:rsidRPr="00865C47">
        <w:t>, open</w:t>
      </w:r>
      <w:r w:rsidR="00825311" w:rsidRPr="00865C47">
        <w:t xml:space="preserve"> </w:t>
      </w:r>
      <w:r w:rsidRPr="00865C47">
        <w:t>label, uncontrolled study.</w:t>
      </w:r>
      <w:r w:rsidR="00892AE8" w:rsidRPr="00865C47">
        <w:t xml:space="preserve"> </w:t>
      </w:r>
      <w:r w:rsidRPr="00865C47">
        <w:t xml:space="preserve">Additional efficacy data from participants with </w:t>
      </w:r>
      <w:r w:rsidRPr="004C535F">
        <w:rPr>
          <w:i/>
        </w:rPr>
        <w:t>FGFR2</w:t>
      </w:r>
      <w:r w:rsidRPr="00865C47">
        <w:t>-rearranged cholangiocarcinoma in Studies</w:t>
      </w:r>
      <w:r w:rsidR="00825311" w:rsidRPr="00865C47">
        <w:t> </w:t>
      </w:r>
      <w:r w:rsidRPr="00865C47">
        <w:t>INCB 54828-101 and INCB 54828-102 have also been considered.</w:t>
      </w:r>
    </w:p>
    <w:p w14:paraId="5238BD1B" w14:textId="77777777" w:rsidR="008A58D2" w:rsidRPr="00865C47" w:rsidRDefault="008A58D2" w:rsidP="008E72D2">
      <w:pPr>
        <w:pStyle w:val="Heading6"/>
      </w:pPr>
      <w:r w:rsidRPr="00865C47">
        <w:t>Study design</w:t>
      </w:r>
    </w:p>
    <w:p w14:paraId="5E4E3F1E" w14:textId="5BFEB73A" w:rsidR="00892AE8" w:rsidRPr="00865C47" w:rsidRDefault="008A58D2" w:rsidP="008A58D2">
      <w:r w:rsidRPr="00865C47">
        <w:t xml:space="preserve">Participants are assigned to one of the following cohorts based on tumour </w:t>
      </w:r>
      <w:r w:rsidR="00B961FA" w:rsidRPr="00865C47">
        <w:t>fibroblast growth factor (</w:t>
      </w:r>
      <w:r w:rsidRPr="004C535F">
        <w:rPr>
          <w:i/>
        </w:rPr>
        <w:t>FGF</w:t>
      </w:r>
      <w:r w:rsidR="00B961FA" w:rsidRPr="00865C47">
        <w:t>)</w:t>
      </w:r>
      <w:r w:rsidRPr="00865C47">
        <w:t>/</w:t>
      </w:r>
      <w:r w:rsidR="00B961FA" w:rsidRPr="00865C47">
        <w:t>fibroblast growth factor receptor (</w:t>
      </w:r>
      <w:r w:rsidRPr="004C535F">
        <w:rPr>
          <w:i/>
        </w:rPr>
        <w:t>FGFR</w:t>
      </w:r>
      <w:r w:rsidR="00B961FA" w:rsidRPr="00865C47">
        <w:t>)</w:t>
      </w:r>
      <w:r w:rsidRPr="00865C47">
        <w:t xml:space="preserve"> </w:t>
      </w:r>
      <w:r w:rsidR="00E735FB">
        <w:t xml:space="preserve">gene </w:t>
      </w:r>
      <w:r w:rsidRPr="00865C47">
        <w:t>status:</w:t>
      </w:r>
    </w:p>
    <w:p w14:paraId="593B5C7F" w14:textId="77777777" w:rsidR="00892AE8" w:rsidRPr="00865C47" w:rsidRDefault="008A58D2" w:rsidP="008A58D2">
      <w:pPr>
        <w:pStyle w:val="ListBullet"/>
      </w:pPr>
      <w:r w:rsidRPr="00865C47">
        <w:t xml:space="preserve">Cohort A: </w:t>
      </w:r>
      <w:r w:rsidRPr="004C535F">
        <w:rPr>
          <w:i/>
        </w:rPr>
        <w:t>FGFR2</w:t>
      </w:r>
      <w:r w:rsidRPr="00865C47">
        <w:t xml:space="preserve"> rearrangements or fusions</w:t>
      </w:r>
    </w:p>
    <w:p w14:paraId="3A43A402" w14:textId="77777777" w:rsidR="00892AE8" w:rsidRPr="00865C47" w:rsidRDefault="008A58D2" w:rsidP="008A58D2">
      <w:pPr>
        <w:pStyle w:val="ListBullet"/>
      </w:pPr>
      <w:r w:rsidRPr="00865C47">
        <w:t xml:space="preserve">Cohort B: FGF/FGFR alterations other than </w:t>
      </w:r>
      <w:r w:rsidRPr="004C535F">
        <w:rPr>
          <w:i/>
        </w:rPr>
        <w:t>FGFR2</w:t>
      </w:r>
      <w:r w:rsidRPr="00865C47">
        <w:t xml:space="preserve"> rearrangements or fusions</w:t>
      </w:r>
    </w:p>
    <w:p w14:paraId="5409F67B" w14:textId="55585F0F" w:rsidR="008A58D2" w:rsidRPr="00865C47" w:rsidRDefault="008A58D2" w:rsidP="008A58D2">
      <w:pPr>
        <w:pStyle w:val="ListBullet"/>
      </w:pPr>
      <w:r w:rsidRPr="00865C47">
        <w:t>Cohort C (United States only): negative for FGF/FGFR alterations</w:t>
      </w:r>
    </w:p>
    <w:p w14:paraId="1D41BF54" w14:textId="77777777" w:rsidR="008A58D2" w:rsidRPr="00865C47" w:rsidRDefault="008A58D2" w:rsidP="008A58D2">
      <w:r w:rsidRPr="00865C47">
        <w:t>Enrolment and initial cohort assignment were permitted based on genomic testing results from a local laboratory. Final cohort assignment for statistical analyses was based on next generation sequencing results from the central genomics laboratory.</w:t>
      </w:r>
    </w:p>
    <w:p w14:paraId="7E55A98B" w14:textId="0082C5E2" w:rsidR="008A58D2" w:rsidRPr="00865C47" w:rsidRDefault="008A58D2" w:rsidP="008A58D2">
      <w:r w:rsidRPr="00865C47">
        <w:t>The study consisted of a screening period lasting up to 28 days, a treatment period, and a 30</w:t>
      </w:r>
      <w:r w:rsidR="00825311" w:rsidRPr="00865C47">
        <w:noBreakHyphen/>
      </w:r>
      <w:r w:rsidRPr="00865C47">
        <w:t xml:space="preserve">day safety follow-up period, after which participants were followed for disease status and </w:t>
      </w:r>
      <w:r w:rsidR="00A93FFB" w:rsidRPr="00865C47">
        <w:t>overall survival</w:t>
      </w:r>
      <w:r w:rsidRPr="00865C47">
        <w:t xml:space="preserve"> (See </w:t>
      </w:r>
      <w:r w:rsidR="007F555D" w:rsidRPr="00865C47">
        <w:fldChar w:fldCharType="begin"/>
      </w:r>
      <w:r w:rsidR="007F555D" w:rsidRPr="00865C47">
        <w:instrText xml:space="preserve"> REF _Ref135735256 \h </w:instrText>
      </w:r>
      <w:r w:rsidR="00825311" w:rsidRPr="00865C47">
        <w:instrText xml:space="preserve"> \* MERGEFORMAT </w:instrText>
      </w:r>
      <w:r w:rsidR="007F555D" w:rsidRPr="00865C47">
        <w:fldChar w:fldCharType="separate"/>
      </w:r>
      <w:r w:rsidR="005D22F2" w:rsidRPr="00865C47">
        <w:t xml:space="preserve">Figure </w:t>
      </w:r>
      <w:r w:rsidR="005D22F2">
        <w:rPr>
          <w:noProof/>
        </w:rPr>
        <w:t>9</w:t>
      </w:r>
      <w:r w:rsidR="007F555D" w:rsidRPr="00865C47">
        <w:fldChar w:fldCharType="end"/>
      </w:r>
      <w:r w:rsidR="00825311" w:rsidRPr="00865C47">
        <w:t xml:space="preserve"> below</w:t>
      </w:r>
      <w:r w:rsidRPr="00865C47">
        <w:t>).</w:t>
      </w:r>
      <w:r w:rsidR="00892AE8" w:rsidRPr="00865C47">
        <w:t xml:space="preserve"> </w:t>
      </w:r>
      <w:r w:rsidRPr="00865C47">
        <w:t xml:space="preserve">During the treatment period, participants self-administered </w:t>
      </w:r>
      <w:r w:rsidR="00A93FFB" w:rsidRPr="00865C47">
        <w:t>once daily</w:t>
      </w:r>
      <w:r w:rsidRPr="00865C47">
        <w:t xml:space="preserve"> </w:t>
      </w:r>
      <w:r w:rsidR="00A93FFB" w:rsidRPr="00865C47">
        <w:t>oral</w:t>
      </w:r>
      <w:r w:rsidRPr="00865C47">
        <w:t xml:space="preserve"> doses of pemigatinib on </w:t>
      </w:r>
      <w:r w:rsidR="00825311" w:rsidRPr="00865C47">
        <w:t>two</w:t>
      </w:r>
      <w:r w:rsidR="00B961FA" w:rsidRPr="00865C47">
        <w:t xml:space="preserve"> </w:t>
      </w:r>
      <w:r w:rsidRPr="00865C47">
        <w:t>weeks</w:t>
      </w:r>
      <w:r w:rsidR="00B961FA" w:rsidRPr="00865C47">
        <w:t xml:space="preserve"> </w:t>
      </w:r>
      <w:r w:rsidRPr="00865C47">
        <w:t>on therapy</w:t>
      </w:r>
      <w:r w:rsidR="00825311" w:rsidRPr="00865C47">
        <w:t>, one</w:t>
      </w:r>
      <w:r w:rsidR="00B961FA" w:rsidRPr="00865C47">
        <w:t xml:space="preserve"> </w:t>
      </w:r>
      <w:r w:rsidRPr="00865C47">
        <w:t>week</w:t>
      </w:r>
      <w:r w:rsidR="00B961FA" w:rsidRPr="00865C47">
        <w:t xml:space="preserve"> </w:t>
      </w:r>
      <w:r w:rsidRPr="00865C47">
        <w:t>off schedule, with a starting dose of 13.5</w:t>
      </w:r>
      <w:r w:rsidR="00825311" w:rsidRPr="00865C47">
        <w:t> </w:t>
      </w:r>
      <w:r w:rsidRPr="00865C47">
        <w:t>mg.</w:t>
      </w:r>
    </w:p>
    <w:p w14:paraId="08C9ED78" w14:textId="1BE96660" w:rsidR="007F555D" w:rsidRDefault="007F555D" w:rsidP="00825311">
      <w:pPr>
        <w:pStyle w:val="FigureTitle"/>
      </w:pPr>
      <w:bookmarkStart w:id="105" w:name="_Ref135735256"/>
      <w:bookmarkStart w:id="106" w:name="_Toc87017936"/>
      <w:bookmarkStart w:id="107" w:name="_Toc87018170"/>
      <w:bookmarkStart w:id="108" w:name="_Toc87018374"/>
      <w:r w:rsidRPr="00865C47">
        <w:lastRenderedPageBreak/>
        <w:t xml:space="preserve">Figure </w:t>
      </w:r>
      <w:r w:rsidR="00547529">
        <w:fldChar w:fldCharType="begin"/>
      </w:r>
      <w:r w:rsidR="00547529">
        <w:instrText xml:space="preserve"> SEQ Figure \* ARABIC </w:instrText>
      </w:r>
      <w:r w:rsidR="00547529">
        <w:fldChar w:fldCharType="separate"/>
      </w:r>
      <w:r w:rsidR="005D22F2">
        <w:rPr>
          <w:noProof/>
        </w:rPr>
        <w:t>9</w:t>
      </w:r>
      <w:r w:rsidR="00547529">
        <w:rPr>
          <w:noProof/>
        </w:rPr>
        <w:fldChar w:fldCharType="end"/>
      </w:r>
      <w:bookmarkEnd w:id="105"/>
      <w:r w:rsidR="008A51BB" w:rsidRPr="00865C47">
        <w:t>:</w:t>
      </w:r>
      <w:r w:rsidRPr="00865C47">
        <w:t xml:space="preserve"> </w:t>
      </w:r>
      <w:bookmarkStart w:id="109" w:name="_Hlk136346505"/>
      <w:r w:rsidRPr="00865C47">
        <w:t xml:space="preserve">Study </w:t>
      </w:r>
      <w:r w:rsidR="008A51BB" w:rsidRPr="00865C47">
        <w:t>INCB 54828-</w:t>
      </w:r>
      <w:r w:rsidRPr="00865C47">
        <w:t xml:space="preserve">202 </w:t>
      </w:r>
      <w:bookmarkEnd w:id="109"/>
      <w:r w:rsidR="008A51BB" w:rsidRPr="00865C47">
        <w:t>S</w:t>
      </w:r>
      <w:r w:rsidRPr="00865C47">
        <w:t>tudy design</w:t>
      </w:r>
      <w:bookmarkEnd w:id="106"/>
      <w:bookmarkEnd w:id="107"/>
      <w:bookmarkEnd w:id="108"/>
    </w:p>
    <w:p w14:paraId="474A4F1D" w14:textId="2CD705B0" w:rsidR="007F555D" w:rsidRDefault="00C70544" w:rsidP="00170035">
      <w:r>
        <w:rPr>
          <w:noProof/>
          <w:lang w:val="en-GB" w:eastAsia="en-GB"/>
        </w:rPr>
        <w:drawing>
          <wp:inline distT="0" distB="0" distL="0" distR="0" wp14:anchorId="27EBE637" wp14:editId="6E65B012">
            <wp:extent cx="3749040" cy="4313669"/>
            <wp:effectExtent l="0" t="0" r="3810" b="0"/>
            <wp:docPr id="4" name="Picture 4" descr="Figure 9: Study INCB 54828-202 Study design&#10;&#10;Study INCB 54828-202 is a prospective, open label, multinational study of pemigatinib in participants with advanced/metastatic or surgically unresectable cholangiocarcinoma who have progressed on at least one line of prior systemic therapy.&#10;Participants are assigned to one of the following cohorts based on tumour FGF/FGFR status &#10;• Cohort A: FGFR2 rearrangements or fusions&#10;• Cohort B: FGF/FGFR alterations other than FGFR2 rearrangements or fusions&#10;• Cohort C (United States only): negative for FGF/FGFR alterations&#10;The study consists of a screening period lasting up to 28 days, a treatment period, and a 30 day safety follow up period, after which participants are followed for disease status and overall survival. During the treatment period, participants self-administer once daily oral doses of pemigatinib on 2 weeks on therapy and one week off schedule and undergo regular efficacy and safety assessments. Pemigatinib is administered until documented disease progression or unacceptable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9: Study INCB 54828-202 Study design&#10;&#10;Study INCB 54828-202 is a prospective, open label, multinational study of pemigatinib in participants with advanced/metastatic or surgically unresectable cholangiocarcinoma who have progressed on at least one line of prior systemic therapy.&#10;Participants are assigned to one of the following cohorts based on tumour FGF/FGFR status &#10;• Cohort A: FGFR2 rearrangements or fusions&#10;• Cohort B: FGF/FGFR alterations other than FGFR2 rearrangements or fusions&#10;• Cohort C (United States only): negative for FGF/FGFR alterations&#10;The study consists of a screening period lasting up to 28 days, a treatment period, and a 30 day safety follow up period, after which participants are followed for disease status and overall survival. During the treatment period, participants self-administer once daily oral doses of pemigatinib on 2 weeks on therapy and one week off schedule and undergo regular efficacy and safety assessments. Pemigatinib is administered until documented disease progression or unacceptable toxicity."/>
                    <pic:cNvPicPr/>
                  </pic:nvPicPr>
                  <pic:blipFill>
                    <a:blip r:embed="rId40"/>
                    <a:stretch>
                      <a:fillRect/>
                    </a:stretch>
                  </pic:blipFill>
                  <pic:spPr>
                    <a:xfrm>
                      <a:off x="0" y="0"/>
                      <a:ext cx="3753058" cy="4318292"/>
                    </a:xfrm>
                    <a:prstGeom prst="rect">
                      <a:avLst/>
                    </a:prstGeom>
                  </pic:spPr>
                </pic:pic>
              </a:graphicData>
            </a:graphic>
          </wp:inline>
        </w:drawing>
      </w:r>
    </w:p>
    <w:p w14:paraId="03EF22B5" w14:textId="0F5AC7F3" w:rsidR="00C70544" w:rsidRPr="00C70544" w:rsidRDefault="00C70544" w:rsidP="00C70544">
      <w:pPr>
        <w:pStyle w:val="FigureDescription"/>
      </w:pPr>
      <w:r w:rsidRPr="00C70544">
        <w:t xml:space="preserve">Abbreviations: CR = complete response; D/C = discontinue; FGF = fibroblast growth factor; FGFR = fibroblast growth factor receptor; PD = progressive disease; PR = partial response; SD = stable disease; SF = screen fail; </w:t>
      </w:r>
      <w:proofErr w:type="spellStart"/>
      <w:r w:rsidRPr="00C70544">
        <w:t>tx</w:t>
      </w:r>
      <w:proofErr w:type="spellEnd"/>
      <w:r w:rsidR="00E735FB">
        <w:t> </w:t>
      </w:r>
      <w:r w:rsidRPr="00C70544">
        <w:t xml:space="preserve">= therapy; US = United States; </w:t>
      </w:r>
      <w:proofErr w:type="spellStart"/>
      <w:r w:rsidRPr="00C70544">
        <w:t>wk</w:t>
      </w:r>
      <w:proofErr w:type="spellEnd"/>
      <w:r w:rsidRPr="00C70544">
        <w:t xml:space="preserve"> = week(s).</w:t>
      </w:r>
    </w:p>
    <w:p w14:paraId="6AD77FB6" w14:textId="38FAF7AE" w:rsidR="00892AE8" w:rsidRPr="00865C47" w:rsidRDefault="008A58D2" w:rsidP="008A58D2">
      <w:r w:rsidRPr="00865C47">
        <w:t>The study was conducted at 67 study centres in United States, South Korea, United Kingdom, France, Italy, Thailand, Germany, Belgium, Israel, Spain, Japan, and Taiwan.</w:t>
      </w:r>
    </w:p>
    <w:p w14:paraId="48C0995C" w14:textId="28B56994" w:rsidR="00732D26" w:rsidRDefault="008A58D2" w:rsidP="00825311">
      <w:r w:rsidRPr="00865C47">
        <w:t xml:space="preserve">The data cut-off date for the interim </w:t>
      </w:r>
      <w:r w:rsidR="00825311" w:rsidRPr="00865C47">
        <w:t>clinical study report</w:t>
      </w:r>
      <w:r w:rsidRPr="00865C47">
        <w:t xml:space="preserve"> was 22 March 2019 (first patient dosed 17 January 2017, last patient completed 22 March 2019).</w:t>
      </w:r>
      <w:r w:rsidR="00892AE8" w:rsidRPr="00865C47">
        <w:t xml:space="preserve"> </w:t>
      </w:r>
      <w:r w:rsidRPr="00865C47">
        <w:t xml:space="preserve">A few protocol amendments were made; the clinical </w:t>
      </w:r>
      <w:r w:rsidR="00E60C44" w:rsidRPr="00865C47">
        <w:t>evaluation</w:t>
      </w:r>
      <w:r w:rsidRPr="00865C47">
        <w:t xml:space="preserve"> considered these to have potentially affected the conduct or results of the study; other amendments were made to reflect the emerging knowledge of the safety profile and PK of pemigatinib.</w:t>
      </w:r>
    </w:p>
    <w:p w14:paraId="6C208E59" w14:textId="56A666BF" w:rsidR="008A58D2" w:rsidRPr="00865C47" w:rsidRDefault="008A58D2" w:rsidP="004C535F">
      <w:pPr>
        <w:pStyle w:val="Heading7"/>
      </w:pPr>
      <w:r w:rsidRPr="00865C47">
        <w:t>Statistical analysis plan</w:t>
      </w:r>
    </w:p>
    <w:p w14:paraId="3801D0D0" w14:textId="77777777" w:rsidR="008A58D2" w:rsidRPr="00865C47" w:rsidRDefault="008A58D2" w:rsidP="008A58D2">
      <w:r w:rsidRPr="00865C47">
        <w:t>No formal statistical hypotheses were tested. The data were analysed in a descriptive manner.</w:t>
      </w:r>
    </w:p>
    <w:p w14:paraId="38B4855E" w14:textId="35D255EB" w:rsidR="008A58D2" w:rsidRPr="00865C47" w:rsidRDefault="008A58D2" w:rsidP="008A58D2">
      <w:r w:rsidRPr="00865C47">
        <w:t xml:space="preserve">The primary endpoint of the study is </w:t>
      </w:r>
      <w:r w:rsidR="00A93FFB" w:rsidRPr="00865C47">
        <w:t>overall response rate</w:t>
      </w:r>
      <w:r w:rsidRPr="00865C47">
        <w:t xml:space="preserve"> in participants with tumour </w:t>
      </w:r>
      <w:r w:rsidRPr="004C535F">
        <w:rPr>
          <w:i/>
        </w:rPr>
        <w:t>FGFR2</w:t>
      </w:r>
      <w:r w:rsidRPr="00865C47">
        <w:t xml:space="preserve"> rearrangements or fusions (Cohort A).</w:t>
      </w:r>
      <w:r w:rsidR="00892AE8" w:rsidRPr="00865C47">
        <w:t xml:space="preserve"> </w:t>
      </w:r>
      <w:r w:rsidRPr="00865C47">
        <w:t xml:space="preserve">Secondary analyses of </w:t>
      </w:r>
      <w:r w:rsidR="00A93FFB" w:rsidRPr="00865C47">
        <w:t>overall response rate</w:t>
      </w:r>
      <w:r w:rsidRPr="00865C47">
        <w:t xml:space="preserve"> in Cohorts</w:t>
      </w:r>
      <w:r w:rsidR="00825311" w:rsidRPr="00865C47">
        <w:t> </w:t>
      </w:r>
      <w:r w:rsidRPr="00865C47">
        <w:t>A and B combined, Cohort B and Cohort C were performed, in addition to other secondary efficacy endpoints (</w:t>
      </w:r>
      <w:r w:rsidR="00A93FFB" w:rsidRPr="00865C47">
        <w:t>duration of response</w:t>
      </w:r>
      <w:r w:rsidRPr="00865C47">
        <w:t xml:space="preserve">, </w:t>
      </w:r>
      <w:r w:rsidR="00A93FFB" w:rsidRPr="00865C47">
        <w:t>progression-free survival</w:t>
      </w:r>
      <w:r w:rsidRPr="00865C47">
        <w:t xml:space="preserve">, </w:t>
      </w:r>
      <w:r w:rsidR="00A93FFB" w:rsidRPr="00865C47">
        <w:t>disease control rate</w:t>
      </w:r>
      <w:r w:rsidRPr="00865C47">
        <w:t xml:space="preserve"> and </w:t>
      </w:r>
      <w:r w:rsidR="00A93FFB" w:rsidRPr="00865C47">
        <w:t>overall survival</w:t>
      </w:r>
      <w:r w:rsidRPr="00865C47">
        <w:t>).</w:t>
      </w:r>
    </w:p>
    <w:p w14:paraId="006D3DC5" w14:textId="14418FEE" w:rsidR="008A58D2" w:rsidRPr="00865C47" w:rsidRDefault="008A58D2" w:rsidP="008A58D2">
      <w:r w:rsidRPr="00865C47">
        <w:t xml:space="preserve">Approximately 100 participants with tumours with </w:t>
      </w:r>
      <w:r w:rsidRPr="004C535F">
        <w:rPr>
          <w:i/>
        </w:rPr>
        <w:t>FGFR2</w:t>
      </w:r>
      <w:r w:rsidRPr="00865C47">
        <w:t xml:space="preserve"> rearrangements or fusions were planned for analysis of the primary endpoint.</w:t>
      </w:r>
      <w:r w:rsidR="00892AE8" w:rsidRPr="00865C47">
        <w:t xml:space="preserve"> </w:t>
      </w:r>
      <w:r w:rsidRPr="00865C47">
        <w:t>With the assumed rate of 33% for the intervention, a sample size of approximately 100 participants provides &gt;</w:t>
      </w:r>
      <w:r w:rsidR="00825311" w:rsidRPr="00865C47">
        <w:t> </w:t>
      </w:r>
      <w:r w:rsidRPr="00865C47">
        <w:t>95% probability of having a 95% CI with lower limit &gt;</w:t>
      </w:r>
      <w:r w:rsidR="00825311" w:rsidRPr="00865C47">
        <w:t xml:space="preserve"> </w:t>
      </w:r>
      <w:r w:rsidRPr="00865C47">
        <w:t>15%, assuming 10% of participants are lost to follow up.</w:t>
      </w:r>
      <w:r w:rsidR="00892AE8" w:rsidRPr="00865C47">
        <w:t xml:space="preserve"> </w:t>
      </w:r>
      <w:r w:rsidRPr="00865C47">
        <w:t xml:space="preserve">It was predetermined that the study would be considered positive if the lower limit of the 95% CI for </w:t>
      </w:r>
      <w:r w:rsidR="00A93FFB" w:rsidRPr="00865C47">
        <w:t>overall response rate</w:t>
      </w:r>
      <w:r w:rsidRPr="00865C47">
        <w:t xml:space="preserve"> exceeded 15%.</w:t>
      </w:r>
    </w:p>
    <w:p w14:paraId="2E5F5432" w14:textId="7F034702" w:rsidR="00892AE8" w:rsidRPr="00865C47" w:rsidRDefault="008A58D2" w:rsidP="00825311">
      <w:pPr>
        <w:pStyle w:val="Heading7"/>
      </w:pPr>
      <w:r w:rsidRPr="00865C47">
        <w:lastRenderedPageBreak/>
        <w:t xml:space="preserve">Key </w:t>
      </w:r>
      <w:r w:rsidR="00825311" w:rsidRPr="00865C47">
        <w:t xml:space="preserve">inclusion and exclusion </w:t>
      </w:r>
      <w:r w:rsidRPr="00865C47">
        <w:t>criteria</w:t>
      </w:r>
    </w:p>
    <w:p w14:paraId="5B4EB857" w14:textId="77777777" w:rsidR="00825311" w:rsidRPr="00865C47" w:rsidRDefault="00825311" w:rsidP="00825311">
      <w:pPr>
        <w:pStyle w:val="Heading8"/>
        <w:rPr>
          <w:rFonts w:eastAsiaTheme="minorHAnsi" w:cstheme="minorBidi"/>
          <w:szCs w:val="20"/>
        </w:rPr>
      </w:pPr>
      <w:r w:rsidRPr="00865C47">
        <w:t>Patients</w:t>
      </w:r>
    </w:p>
    <w:p w14:paraId="5E2844DC" w14:textId="35203FDD" w:rsidR="00825311" w:rsidRPr="00865C47" w:rsidRDefault="00825311" w:rsidP="00825311">
      <w:r w:rsidRPr="00865C47">
        <w:t>Cohort A (proposed target population in this submission) are participants with tumours with FGFR rearrangements or fusions based on central genomics laboratory results (n = 107).</w:t>
      </w:r>
    </w:p>
    <w:p w14:paraId="49E69CB0" w14:textId="07E2A164" w:rsidR="00825311" w:rsidRPr="00865C47" w:rsidRDefault="00825311" w:rsidP="00825311">
      <w:r w:rsidRPr="00865C47">
        <w:t>Key inclusion criteria:</w:t>
      </w:r>
    </w:p>
    <w:p w14:paraId="2F15F3F0" w14:textId="05160E86" w:rsidR="00825311" w:rsidRPr="00865C47" w:rsidRDefault="00825311" w:rsidP="00825311">
      <w:pPr>
        <w:pStyle w:val="ListBullet"/>
      </w:pPr>
      <w:r w:rsidRPr="00865C47">
        <w:t>18 years of age and older</w:t>
      </w:r>
    </w:p>
    <w:p w14:paraId="783C1C85" w14:textId="5DBD688F" w:rsidR="00825311" w:rsidRPr="00865C47" w:rsidRDefault="00865C47" w:rsidP="00825311">
      <w:pPr>
        <w:pStyle w:val="ListBullet"/>
      </w:pPr>
      <w:r>
        <w:t>H</w:t>
      </w:r>
      <w:r w:rsidR="00825311" w:rsidRPr="00865C47">
        <w:t>istologically or cytologically confirmed advanced or metastatic, or surgically unresectable cholangiocarcinoma</w:t>
      </w:r>
    </w:p>
    <w:p w14:paraId="351F0E75" w14:textId="1875FE37" w:rsidR="00825311" w:rsidRPr="00865C47" w:rsidRDefault="00865C47" w:rsidP="00825311">
      <w:pPr>
        <w:pStyle w:val="ListBullet"/>
      </w:pPr>
      <w:r>
        <w:t>D</w:t>
      </w:r>
      <w:r w:rsidR="00825311" w:rsidRPr="00865C47">
        <w:t xml:space="preserve">ocumentation of </w:t>
      </w:r>
      <w:r w:rsidR="00825311" w:rsidRPr="004C535F">
        <w:rPr>
          <w:i/>
        </w:rPr>
        <w:t>FGF/FGFR</w:t>
      </w:r>
      <w:r w:rsidR="00825311" w:rsidRPr="00865C47">
        <w:t xml:space="preserve"> gene alteration status</w:t>
      </w:r>
    </w:p>
    <w:p w14:paraId="037A66F7" w14:textId="63F48F48" w:rsidR="00825311" w:rsidRPr="00865C47" w:rsidRDefault="00865C47" w:rsidP="00825311">
      <w:pPr>
        <w:pStyle w:val="ListBullet"/>
      </w:pPr>
      <w:r>
        <w:t>D</w:t>
      </w:r>
      <w:r w:rsidR="00825311" w:rsidRPr="00865C47">
        <w:t>ocumented disease progression after at least one line of prior systemic therapy</w:t>
      </w:r>
    </w:p>
    <w:p w14:paraId="09CCB7A6" w14:textId="6EC6BD4B" w:rsidR="00825311" w:rsidRPr="00865C47" w:rsidRDefault="00B961FA" w:rsidP="00825311">
      <w:pPr>
        <w:pStyle w:val="ListBullet"/>
      </w:pPr>
      <w:r w:rsidRPr="00865C47">
        <w:t xml:space="preserve">Eastern Cooperative Oncology Group-Performance Status (ECOG-PS) </w:t>
      </w:r>
      <w:r w:rsidR="00825311" w:rsidRPr="00865C47">
        <w:t>0</w:t>
      </w:r>
      <w:r w:rsidRPr="00865C47">
        <w:t xml:space="preserve"> to </w:t>
      </w:r>
      <w:r w:rsidR="00825311" w:rsidRPr="00865C47">
        <w:t>2</w:t>
      </w:r>
    </w:p>
    <w:p w14:paraId="0DAE0B56" w14:textId="7AD1A96F" w:rsidR="00825311" w:rsidRPr="00865C47" w:rsidRDefault="00825311" w:rsidP="00825311">
      <w:r w:rsidRPr="00865C47">
        <w:t>Key exclusion criteria:</w:t>
      </w:r>
    </w:p>
    <w:p w14:paraId="68F5A646" w14:textId="31868FC3" w:rsidR="00825311" w:rsidRPr="00865C47" w:rsidRDefault="00865C47" w:rsidP="00825311">
      <w:pPr>
        <w:pStyle w:val="ListBullet"/>
      </w:pPr>
      <w:r>
        <w:t>P</w:t>
      </w:r>
      <w:r w:rsidR="00825311" w:rsidRPr="00865C47">
        <w:t>rior receipt of selective FGFR inhibitor</w:t>
      </w:r>
    </w:p>
    <w:p w14:paraId="32F8C8F0" w14:textId="209D152F" w:rsidR="00825311" w:rsidRPr="00865C47" w:rsidRDefault="00865C47" w:rsidP="00825311">
      <w:pPr>
        <w:pStyle w:val="ListBullet"/>
      </w:pPr>
      <w:r>
        <w:t>U</w:t>
      </w:r>
      <w:r w:rsidR="00825311" w:rsidRPr="00865C47">
        <w:t>ntreated brain or central nervous system metastases, or brain or central nervous system metastases that have progressed.</w:t>
      </w:r>
    </w:p>
    <w:p w14:paraId="192B4894" w14:textId="1271A356" w:rsidR="00825311" w:rsidRPr="00865C47" w:rsidRDefault="00825311" w:rsidP="00865C47">
      <w:pPr>
        <w:pStyle w:val="ListBullet"/>
      </w:pPr>
      <w:r w:rsidRPr="00865C47">
        <w:t>Current evidence of clinically significant corneal or retinal disorder.</w:t>
      </w:r>
    </w:p>
    <w:p w14:paraId="0C3DE69C" w14:textId="6E06885F" w:rsidR="00825311" w:rsidRPr="00865C47" w:rsidRDefault="00825311" w:rsidP="00825311">
      <w:pPr>
        <w:pStyle w:val="Heading7"/>
      </w:pPr>
      <w:r w:rsidRPr="00865C47">
        <w:t>Intervention</w:t>
      </w:r>
    </w:p>
    <w:p w14:paraId="0BAAA28B" w14:textId="1B226850" w:rsidR="00825311" w:rsidRPr="00865C47" w:rsidRDefault="00825311" w:rsidP="00825311">
      <w:r w:rsidRPr="00865C47">
        <w:t>Pemigatinib daily orally starting dose of 13.5 mg on 21-day cycle (two weeks on, one week off).</w:t>
      </w:r>
    </w:p>
    <w:p w14:paraId="59C11CFB" w14:textId="77777777" w:rsidR="00825311" w:rsidRPr="00865C47" w:rsidRDefault="00825311" w:rsidP="00825311">
      <w:pPr>
        <w:pStyle w:val="Heading7"/>
      </w:pPr>
      <w:r w:rsidRPr="00865C47">
        <w:t>Comparator</w:t>
      </w:r>
    </w:p>
    <w:p w14:paraId="2807AF3B" w14:textId="1778660A" w:rsidR="00825311" w:rsidRPr="00865C47" w:rsidRDefault="00825311" w:rsidP="00825311">
      <w:r w:rsidRPr="00865C47">
        <w:t>No comparator as it is a single arm study.</w:t>
      </w:r>
    </w:p>
    <w:p w14:paraId="304BCA08" w14:textId="4CAE94C0" w:rsidR="00825311" w:rsidRPr="00865C47" w:rsidRDefault="00825311" w:rsidP="00825311">
      <w:pPr>
        <w:pStyle w:val="Heading7"/>
      </w:pPr>
      <w:r w:rsidRPr="00865C47">
        <w:t>Endpoints</w:t>
      </w:r>
    </w:p>
    <w:p w14:paraId="29F07803" w14:textId="22562A0A" w:rsidR="00825311" w:rsidRPr="00865C47" w:rsidRDefault="00825311" w:rsidP="00825311">
      <w:r w:rsidRPr="00865C47">
        <w:t>Primary endpoint:</w:t>
      </w:r>
    </w:p>
    <w:p w14:paraId="0938E5AF" w14:textId="79AFC952" w:rsidR="00825311" w:rsidRPr="00865C47" w:rsidRDefault="00865C47" w:rsidP="00825311">
      <w:pPr>
        <w:pStyle w:val="ListBullet"/>
        <w:rPr>
          <w:lang w:eastAsia="en-AU"/>
        </w:rPr>
      </w:pPr>
      <w:r w:rsidRPr="00865C47">
        <w:t>Overall</w:t>
      </w:r>
      <w:r w:rsidR="00825311" w:rsidRPr="00865C47">
        <w:t xml:space="preserve"> response rate</w:t>
      </w:r>
      <w:r w:rsidR="00825311" w:rsidRPr="00865C47">
        <w:rPr>
          <w:lang w:eastAsia="en-AU"/>
        </w:rPr>
        <w:t xml:space="preserve"> in Cohort A, per </w:t>
      </w:r>
      <w:r w:rsidR="00B961FA" w:rsidRPr="00865C47">
        <w:rPr>
          <w:lang w:eastAsia="en-AU"/>
        </w:rPr>
        <w:t>Response Evaluation Criteria in Solid Tumo</w:t>
      </w:r>
      <w:r w:rsidR="00F54019">
        <w:rPr>
          <w:lang w:eastAsia="en-AU"/>
        </w:rPr>
        <w:t>u</w:t>
      </w:r>
      <w:r w:rsidR="00B961FA" w:rsidRPr="00865C47">
        <w:rPr>
          <w:lang w:eastAsia="en-AU"/>
        </w:rPr>
        <w:t>rs (</w:t>
      </w:r>
      <w:r w:rsidR="00825311" w:rsidRPr="00865C47">
        <w:rPr>
          <w:lang w:eastAsia="en-AU"/>
        </w:rPr>
        <w:t>RECIST</w:t>
      </w:r>
      <w:r w:rsidR="00B961FA" w:rsidRPr="00865C47">
        <w:rPr>
          <w:lang w:eastAsia="en-AU"/>
        </w:rPr>
        <w:t>)</w:t>
      </w:r>
      <w:r w:rsidR="00825311" w:rsidRPr="00865C47">
        <w:rPr>
          <w:lang w:eastAsia="en-AU"/>
        </w:rPr>
        <w:t xml:space="preserve"> v</w:t>
      </w:r>
      <w:r w:rsidR="00B961FA" w:rsidRPr="00865C47">
        <w:rPr>
          <w:lang w:eastAsia="en-AU"/>
        </w:rPr>
        <w:t xml:space="preserve">ersion </w:t>
      </w:r>
      <w:r w:rsidR="00825311" w:rsidRPr="00865C47">
        <w:rPr>
          <w:lang w:eastAsia="en-AU"/>
        </w:rPr>
        <w:t>1.1, independently assessed</w:t>
      </w:r>
    </w:p>
    <w:p w14:paraId="66D00ED6" w14:textId="194CE84A" w:rsidR="00825311" w:rsidRPr="00865C47" w:rsidRDefault="00825311" w:rsidP="00825311">
      <w:r w:rsidRPr="00865C47">
        <w:t>Secondary endpoints:</w:t>
      </w:r>
    </w:p>
    <w:p w14:paraId="56D624A6" w14:textId="7C105B5A" w:rsidR="00825311" w:rsidRPr="00865C47" w:rsidRDefault="00865C47" w:rsidP="00825311">
      <w:pPr>
        <w:pStyle w:val="ListBullet"/>
      </w:pPr>
      <w:r>
        <w:t>D</w:t>
      </w:r>
      <w:r w:rsidR="00825311" w:rsidRPr="00865C47">
        <w:t>uration of response</w:t>
      </w:r>
    </w:p>
    <w:p w14:paraId="7048C646" w14:textId="2F5D7D7B" w:rsidR="00825311" w:rsidRPr="00865C47" w:rsidRDefault="00865C47" w:rsidP="00825311">
      <w:pPr>
        <w:pStyle w:val="ListBullet"/>
      </w:pPr>
      <w:r>
        <w:t>P</w:t>
      </w:r>
      <w:r w:rsidR="00825311" w:rsidRPr="00865C47">
        <w:t>rogression-free survival</w:t>
      </w:r>
    </w:p>
    <w:p w14:paraId="32EB60B2" w14:textId="12A1D612" w:rsidR="00825311" w:rsidRPr="00865C47" w:rsidRDefault="00865C47" w:rsidP="00825311">
      <w:pPr>
        <w:pStyle w:val="ListBullet"/>
      </w:pPr>
      <w:r>
        <w:t>O</w:t>
      </w:r>
      <w:r w:rsidR="00825311" w:rsidRPr="00865C47">
        <w:t>verall response rate in Cohort B; overall response rate in Cohorts A and B; overall response rate in Cohort C</w:t>
      </w:r>
    </w:p>
    <w:p w14:paraId="0AE94A7C" w14:textId="003FCEF7" w:rsidR="00825311" w:rsidRPr="00865C47" w:rsidRDefault="00865C47" w:rsidP="00825311">
      <w:pPr>
        <w:pStyle w:val="ListBullet"/>
      </w:pPr>
      <w:r>
        <w:t>D</w:t>
      </w:r>
      <w:r w:rsidR="00825311" w:rsidRPr="00865C47">
        <w:t>isease control rate</w:t>
      </w:r>
    </w:p>
    <w:p w14:paraId="32DB24E7" w14:textId="6E04CF2E" w:rsidR="00825311" w:rsidRPr="00865C47" w:rsidRDefault="00865C47" w:rsidP="00825311">
      <w:pPr>
        <w:pStyle w:val="ListBullet"/>
      </w:pPr>
      <w:r>
        <w:t>O</w:t>
      </w:r>
      <w:r w:rsidR="00825311" w:rsidRPr="00865C47">
        <w:t>verall survival</w:t>
      </w:r>
    </w:p>
    <w:p w14:paraId="016C0EDF" w14:textId="77777777" w:rsidR="00825311" w:rsidRPr="00865C47" w:rsidRDefault="00825311" w:rsidP="00825311">
      <w:r w:rsidRPr="00865C47">
        <w:t>Additional efficacy endpoints:</w:t>
      </w:r>
    </w:p>
    <w:p w14:paraId="14F6D657" w14:textId="42E9F434" w:rsidR="00825311" w:rsidRPr="00865C47" w:rsidRDefault="00865C47" w:rsidP="00825311">
      <w:pPr>
        <w:pStyle w:val="ListBullet"/>
      </w:pPr>
      <w:r>
        <w:t>L</w:t>
      </w:r>
      <w:r w:rsidR="00825311" w:rsidRPr="00865C47">
        <w:t>argest % reduction in sum of diameters of target lesions</w:t>
      </w:r>
    </w:p>
    <w:p w14:paraId="43FF1F49" w14:textId="507623DF" w:rsidR="00825311" w:rsidRPr="00865C47" w:rsidRDefault="00865C47" w:rsidP="00825311">
      <w:pPr>
        <w:pStyle w:val="ListBullet"/>
      </w:pPr>
      <w:r>
        <w:t>T</w:t>
      </w:r>
      <w:r w:rsidR="00825311" w:rsidRPr="00865C47">
        <w:t>ime to response</w:t>
      </w:r>
    </w:p>
    <w:p w14:paraId="4C820A1F" w14:textId="1A073020" w:rsidR="00825311" w:rsidRPr="00865C47" w:rsidRDefault="00B961FA" w:rsidP="00825311">
      <w:pPr>
        <w:pStyle w:val="ListBullet"/>
      </w:pPr>
      <w:r w:rsidRPr="00865C47">
        <w:t>Eastern Cooperative Oncology Group-Performance Status</w:t>
      </w:r>
    </w:p>
    <w:p w14:paraId="608D5B32" w14:textId="49B8ADAE" w:rsidR="00825311" w:rsidRPr="00865C47" w:rsidRDefault="00B961FA" w:rsidP="00825311">
      <w:pPr>
        <w:pStyle w:val="ListBullet"/>
      </w:pPr>
      <w:r w:rsidRPr="00865C47">
        <w:t>Quality of life</w:t>
      </w:r>
    </w:p>
    <w:p w14:paraId="11CABB5D" w14:textId="77777777" w:rsidR="008A58D2" w:rsidRPr="00865C47" w:rsidRDefault="008A58D2" w:rsidP="008E72D2">
      <w:pPr>
        <w:pStyle w:val="Heading6"/>
      </w:pPr>
      <w:r w:rsidRPr="00865C47">
        <w:lastRenderedPageBreak/>
        <w:t>Study treatment</w:t>
      </w:r>
    </w:p>
    <w:p w14:paraId="2982A778" w14:textId="6B803E30" w:rsidR="008A58D2" w:rsidRPr="00865C47" w:rsidRDefault="008A58D2" w:rsidP="008A58D2">
      <w:r w:rsidRPr="00865C47">
        <w:t>Participants self-administered pemigatinib (once daily, orally) on a 21-day cycle (</w:t>
      </w:r>
      <w:r w:rsidR="00825311" w:rsidRPr="00865C47">
        <w:t xml:space="preserve">two </w:t>
      </w:r>
      <w:r w:rsidRPr="00865C47">
        <w:t>weeks</w:t>
      </w:r>
      <w:r w:rsidR="00825311" w:rsidRPr="00865C47">
        <w:t> </w:t>
      </w:r>
      <w:r w:rsidRPr="00865C47">
        <w:t>on therapy</w:t>
      </w:r>
      <w:r w:rsidR="00825311" w:rsidRPr="00865C47">
        <w:t>, one week off</w:t>
      </w:r>
      <w:r w:rsidRPr="00865C47">
        <w:t xml:space="preserve"> schedule) with a starting dose of 13.5</w:t>
      </w:r>
      <w:r w:rsidR="00825311" w:rsidRPr="00865C47">
        <w:t> </w:t>
      </w:r>
      <w:r w:rsidRPr="00865C47">
        <w:t>mg.</w:t>
      </w:r>
      <w:r w:rsidR="00892AE8" w:rsidRPr="00865C47">
        <w:t xml:space="preserve"> </w:t>
      </w:r>
      <w:r w:rsidRPr="00865C47">
        <w:t>Pemigatinib was taken after a 2</w:t>
      </w:r>
      <w:r w:rsidR="00865C47">
        <w:noBreakHyphen/>
      </w:r>
      <w:r w:rsidRPr="00865C47">
        <w:t>hour fast</w:t>
      </w:r>
      <w:r w:rsidR="00825311" w:rsidRPr="00865C47">
        <w:t>ing</w:t>
      </w:r>
      <w:r w:rsidRPr="00865C47">
        <w:t>, and participants fasted for an additional hour after taking the study drug.</w:t>
      </w:r>
    </w:p>
    <w:p w14:paraId="145F616A" w14:textId="77777777" w:rsidR="008A58D2" w:rsidRPr="00865C47" w:rsidRDefault="008A58D2" w:rsidP="008E72D2">
      <w:pPr>
        <w:pStyle w:val="Heading6"/>
      </w:pPr>
      <w:r w:rsidRPr="00865C47">
        <w:t>Efficacy outcomes</w:t>
      </w:r>
    </w:p>
    <w:p w14:paraId="2A28E98A" w14:textId="1244EB5B" w:rsidR="008A58D2" w:rsidRPr="00865C47" w:rsidRDefault="008A58D2" w:rsidP="008A58D2">
      <w:r w:rsidRPr="00865C47">
        <w:t xml:space="preserve">The primary endpoint was the </w:t>
      </w:r>
      <w:r w:rsidR="00A93FFB" w:rsidRPr="00865C47">
        <w:t>overall response rate</w:t>
      </w:r>
      <w:r w:rsidRPr="00865C47">
        <w:t xml:space="preserve"> in participants with tumour </w:t>
      </w:r>
      <w:r w:rsidRPr="004C535F">
        <w:rPr>
          <w:i/>
        </w:rPr>
        <w:t>FGFR2</w:t>
      </w:r>
      <w:r w:rsidRPr="00865C47">
        <w:t xml:space="preserve"> rearrangements or fusions (Cohort A), as independently assessed.</w:t>
      </w:r>
    </w:p>
    <w:p w14:paraId="7E94184A" w14:textId="34372431" w:rsidR="008A58D2" w:rsidRPr="00865C47" w:rsidRDefault="008A58D2" w:rsidP="008A58D2">
      <w:r w:rsidRPr="00865C47">
        <w:t xml:space="preserve">The key secondary endpoint was </w:t>
      </w:r>
      <w:r w:rsidR="00A93FFB" w:rsidRPr="00865C47">
        <w:t>duration of response</w:t>
      </w:r>
      <w:r w:rsidRPr="00865C47">
        <w:t xml:space="preserve"> (time from first overall response contributing to objective tumour response to the earlier of </w:t>
      </w:r>
      <w:r w:rsidR="00865C47" w:rsidRPr="00865C47">
        <w:t>progressive disease</w:t>
      </w:r>
      <w:r w:rsidRPr="00865C47">
        <w:t xml:space="preserve"> or death).</w:t>
      </w:r>
    </w:p>
    <w:p w14:paraId="1274C1D3" w14:textId="77777777" w:rsidR="008A58D2" w:rsidRPr="00865C47" w:rsidRDefault="008A58D2" w:rsidP="008E72D2">
      <w:pPr>
        <w:pStyle w:val="Heading6"/>
      </w:pPr>
      <w:r w:rsidRPr="00865C47">
        <w:t>Participant flow</w:t>
      </w:r>
    </w:p>
    <w:p w14:paraId="243C87B5" w14:textId="6E6F0DDB" w:rsidR="008A58D2" w:rsidRPr="00865C47" w:rsidRDefault="008A58D2" w:rsidP="008A58D2">
      <w:r w:rsidRPr="00865C47">
        <w:t xml:space="preserve">At data-cut off for initial </w:t>
      </w:r>
      <w:r w:rsidR="00825311" w:rsidRPr="00865C47">
        <w:t>clinical study report</w:t>
      </w:r>
      <w:r w:rsidRPr="00865C47">
        <w:t xml:space="preserve">, 107 patients were reported to be enrolled in cohort A (108 patients reported for cut-off date for Addendum 2, however, no summary baseline data was provided for evaluation by the clinical </w:t>
      </w:r>
      <w:r w:rsidR="00E60C44" w:rsidRPr="00865C47">
        <w:t>evaluation</w:t>
      </w:r>
      <w:r w:rsidRPr="00865C47">
        <w:t xml:space="preserve"> for this additional patient):</w:t>
      </w:r>
    </w:p>
    <w:p w14:paraId="412EEC3E" w14:textId="60607EB9" w:rsidR="008A58D2" w:rsidRPr="00865C47" w:rsidRDefault="00B961FA" w:rsidP="008A58D2">
      <w:pPr>
        <w:pStyle w:val="ListBullet"/>
      </w:pPr>
      <w:r w:rsidRPr="00865C47">
        <w:t xml:space="preserve">There were </w:t>
      </w:r>
      <w:r w:rsidR="008A58D2" w:rsidRPr="00865C47">
        <w:t>35 participants in Cohort A remained in study (32.4% of 108 patients)</w:t>
      </w:r>
      <w:r w:rsidR="00865C47">
        <w:t>.</w:t>
      </w:r>
    </w:p>
    <w:p w14:paraId="4029D6EC" w14:textId="70EA66E8" w:rsidR="008A58D2" w:rsidRPr="00865C47" w:rsidRDefault="00B961FA" w:rsidP="008A58D2">
      <w:pPr>
        <w:pStyle w:val="ListBullet"/>
      </w:pPr>
      <w:r w:rsidRPr="00865C47">
        <w:t xml:space="preserve">There were </w:t>
      </w:r>
      <w:r w:rsidR="008A58D2" w:rsidRPr="00865C47">
        <w:t>10 participants continued to receive pemigatinib 13.5</w:t>
      </w:r>
      <w:r w:rsidR="00825311" w:rsidRPr="00865C47">
        <w:t> </w:t>
      </w:r>
      <w:r w:rsidR="008A58D2" w:rsidRPr="00865C47">
        <w:t>mg daily (9.3% of patients)</w:t>
      </w:r>
      <w:r w:rsidR="00865C47">
        <w:t>.</w:t>
      </w:r>
    </w:p>
    <w:p w14:paraId="2026F1C1" w14:textId="6B7ABB1B" w:rsidR="008A58D2" w:rsidRPr="00865C47" w:rsidRDefault="008A58D2" w:rsidP="008A58D2">
      <w:pPr>
        <w:pStyle w:val="ListBullet"/>
      </w:pPr>
      <w:r w:rsidRPr="00865C47">
        <w:t xml:space="preserve">Most common reason for discontinuation of pemigatinib was </w:t>
      </w:r>
      <w:r w:rsidR="00865C47" w:rsidRPr="00865C47">
        <w:t>progressive disease</w:t>
      </w:r>
      <w:r w:rsidRPr="00865C47">
        <w:t xml:space="preserve"> (67.6% of 108 patients)</w:t>
      </w:r>
      <w:r w:rsidR="00865C47">
        <w:t>.</w:t>
      </w:r>
    </w:p>
    <w:p w14:paraId="111540AC" w14:textId="5E68D924" w:rsidR="008A58D2" w:rsidRPr="00865C47" w:rsidRDefault="008A58D2" w:rsidP="008A58D2">
      <w:pPr>
        <w:pStyle w:val="ListBullet"/>
      </w:pPr>
      <w:r w:rsidRPr="00865C47">
        <w:t>Most common reason for study withdrawal was death (55.6% of 108 patients)</w:t>
      </w:r>
      <w:r w:rsidR="00865C47">
        <w:t>.</w:t>
      </w:r>
    </w:p>
    <w:p w14:paraId="775ECBDD" w14:textId="5B270584" w:rsidR="008A58D2" w:rsidRPr="00865C47" w:rsidRDefault="00865C47" w:rsidP="008A58D2">
      <w:pPr>
        <w:pStyle w:val="ListBullet"/>
      </w:pPr>
      <w:r>
        <w:t xml:space="preserve">A total of </w:t>
      </w:r>
      <w:r w:rsidR="008A58D2" w:rsidRPr="00865C47">
        <w:t>18% of 108 patients discontinued treatment due to AEs, patient withdrawal or physician decision</w:t>
      </w:r>
      <w:r>
        <w:t>.</w:t>
      </w:r>
    </w:p>
    <w:p w14:paraId="0ABFE522" w14:textId="77777777" w:rsidR="008A58D2" w:rsidRPr="00865C47" w:rsidRDefault="008A58D2" w:rsidP="008E72D2">
      <w:pPr>
        <w:pStyle w:val="Heading6"/>
      </w:pPr>
      <w:r w:rsidRPr="00865C47">
        <w:t>Baseline characteristics</w:t>
      </w:r>
    </w:p>
    <w:p w14:paraId="697B2545" w14:textId="77777777" w:rsidR="00892AE8" w:rsidRPr="00865C47" w:rsidRDefault="008A58D2" w:rsidP="008A58D2">
      <w:r w:rsidRPr="00865C47">
        <w:t>Cohort A:</w:t>
      </w:r>
    </w:p>
    <w:p w14:paraId="0E52CDBD" w14:textId="1A2DC8C0" w:rsidR="008A58D2" w:rsidRPr="00865C47" w:rsidRDefault="008A58D2" w:rsidP="008A58D2">
      <w:pPr>
        <w:pStyle w:val="ListBullet"/>
      </w:pPr>
      <w:r w:rsidRPr="00865C47">
        <w:t>Male = 39.3%</w:t>
      </w:r>
    </w:p>
    <w:p w14:paraId="19AB959E" w14:textId="77777777" w:rsidR="008A58D2" w:rsidRPr="00865C47" w:rsidRDefault="008A58D2" w:rsidP="008A58D2">
      <w:pPr>
        <w:pStyle w:val="ListBullet"/>
      </w:pPr>
      <w:r w:rsidRPr="00865C47">
        <w:t>Median age = 56.0 years</w:t>
      </w:r>
    </w:p>
    <w:p w14:paraId="66978C96" w14:textId="7F169B25" w:rsidR="008A58D2" w:rsidRPr="00865C47" w:rsidRDefault="008A58D2" w:rsidP="008A58D2">
      <w:pPr>
        <w:pStyle w:val="ListBullet"/>
      </w:pPr>
      <w:r w:rsidRPr="00865C47">
        <w:t xml:space="preserve">Race: </w:t>
      </w:r>
      <w:r w:rsidR="00B961FA" w:rsidRPr="00865C47">
        <w:t xml:space="preserve">White </w:t>
      </w:r>
      <w:r w:rsidRPr="00865C47">
        <w:t>= 73.8%; Asian = 10.3%</w:t>
      </w:r>
    </w:p>
    <w:p w14:paraId="5EF94D8D" w14:textId="1A122B91" w:rsidR="008A58D2" w:rsidRPr="00865C47" w:rsidRDefault="008A58D2" w:rsidP="008A58D2">
      <w:pPr>
        <w:pStyle w:val="ListBullet"/>
      </w:pPr>
      <w:r w:rsidRPr="00865C47">
        <w:t xml:space="preserve">Baseline </w:t>
      </w:r>
      <w:r w:rsidR="00B961FA" w:rsidRPr="00865C47">
        <w:t>ECOG-PS</w:t>
      </w:r>
      <w:r w:rsidRPr="00865C47">
        <w:t xml:space="preserve"> 0 = 42.1%, </w:t>
      </w:r>
      <w:r w:rsidR="00B961FA" w:rsidRPr="00865C47">
        <w:t>ECOG-PS</w:t>
      </w:r>
      <w:r w:rsidRPr="00865C47">
        <w:t xml:space="preserve"> 1 = 53.5%, </w:t>
      </w:r>
      <w:r w:rsidR="00B961FA" w:rsidRPr="00865C47">
        <w:t>ECOG-PS</w:t>
      </w:r>
      <w:r w:rsidRPr="00865C47">
        <w:t xml:space="preserve"> 2 = 4.7%</w:t>
      </w:r>
    </w:p>
    <w:p w14:paraId="1D210C1E" w14:textId="77777777" w:rsidR="008A58D2" w:rsidRPr="00865C47" w:rsidRDefault="008A58D2" w:rsidP="008A58D2">
      <w:pPr>
        <w:pStyle w:val="ListBullet"/>
      </w:pPr>
      <w:r w:rsidRPr="00865C47">
        <w:t>Normal baseline renal function = 39.3%</w:t>
      </w:r>
    </w:p>
    <w:p w14:paraId="17DA91F9" w14:textId="77777777" w:rsidR="008A58D2" w:rsidRPr="00865C47" w:rsidRDefault="008A58D2" w:rsidP="008A58D2">
      <w:pPr>
        <w:pStyle w:val="ListBullet"/>
      </w:pPr>
      <w:r w:rsidRPr="00865C47">
        <w:t>Normal baseline hepatic function = 44.9%</w:t>
      </w:r>
    </w:p>
    <w:p w14:paraId="371EC457" w14:textId="372D69B6" w:rsidR="008A58D2" w:rsidRPr="00865C47" w:rsidRDefault="00825311" w:rsidP="008A58D2">
      <w:pPr>
        <w:pStyle w:val="ListBullet"/>
      </w:pPr>
      <w:r w:rsidRPr="00865C47">
        <w:t xml:space="preserve">Intrahepatic </w:t>
      </w:r>
      <w:r w:rsidR="008A51BB" w:rsidRPr="00865C47">
        <w:t>cholangiocarcinoma</w:t>
      </w:r>
      <w:r w:rsidR="008A58D2" w:rsidRPr="00865C47">
        <w:t xml:space="preserve"> = 98.1%, </w:t>
      </w:r>
      <w:r w:rsidR="008A51BB" w:rsidRPr="00865C47">
        <w:t>extrahepatic cholangiocarcinoma</w:t>
      </w:r>
      <w:r w:rsidR="008A58D2" w:rsidRPr="00865C47">
        <w:t xml:space="preserve"> = 0.9%</w:t>
      </w:r>
    </w:p>
    <w:p w14:paraId="325F1100" w14:textId="338002B1" w:rsidR="008A58D2" w:rsidRPr="00865C47" w:rsidRDefault="00865C47" w:rsidP="008A58D2">
      <w:pPr>
        <w:pStyle w:val="ListBullet"/>
      </w:pPr>
      <w:r>
        <w:t>P</w:t>
      </w:r>
      <w:r w:rsidR="008A58D2" w:rsidRPr="00865C47">
        <w:t>rior therapies for advanced disease: 60.7%</w:t>
      </w:r>
      <w:r>
        <w:t xml:space="preserve"> had one p</w:t>
      </w:r>
      <w:r w:rsidRPr="00865C47">
        <w:t>rior therap</w:t>
      </w:r>
      <w:r>
        <w:t xml:space="preserve">y, </w:t>
      </w:r>
      <w:r w:rsidR="008A58D2" w:rsidRPr="00865C47">
        <w:t>27.1%</w:t>
      </w:r>
      <w:r>
        <w:t xml:space="preserve"> had 2 p</w:t>
      </w:r>
      <w:r w:rsidRPr="00865C47">
        <w:t>rior therapies</w:t>
      </w:r>
      <w:r w:rsidR="008A58D2" w:rsidRPr="00865C47">
        <w:t>, 12.1%</w:t>
      </w:r>
      <w:r>
        <w:t xml:space="preserve"> had 3 or more p</w:t>
      </w:r>
      <w:r w:rsidRPr="00865C47">
        <w:t>rior therapies</w:t>
      </w:r>
      <w:r>
        <w:t>.</w:t>
      </w:r>
    </w:p>
    <w:p w14:paraId="041C0D36" w14:textId="1FA87CE7" w:rsidR="008A58D2" w:rsidRPr="00865C47" w:rsidRDefault="008A58D2" w:rsidP="008A58D2">
      <w:r w:rsidRPr="00865C47">
        <w:t>All cohorts</w:t>
      </w:r>
      <w:r w:rsidR="00825311" w:rsidRPr="00865C47">
        <w:t xml:space="preserve"> (</w:t>
      </w:r>
      <w:r w:rsidRPr="00865C47">
        <w:t>n</w:t>
      </w:r>
      <w:r w:rsidR="00A93FFB" w:rsidRPr="00865C47">
        <w:t xml:space="preserve"> </w:t>
      </w:r>
      <w:r w:rsidRPr="00865C47">
        <w:t>=</w:t>
      </w:r>
      <w:r w:rsidR="00A93FFB" w:rsidRPr="00865C47">
        <w:t xml:space="preserve"> </w:t>
      </w:r>
      <w:r w:rsidRPr="00865C47">
        <w:t>146</w:t>
      </w:r>
      <w:r w:rsidR="00825311" w:rsidRPr="00865C47">
        <w:t>)</w:t>
      </w:r>
      <w:r w:rsidRPr="00865C47">
        <w:t>:</w:t>
      </w:r>
    </w:p>
    <w:p w14:paraId="43338CC9" w14:textId="77777777" w:rsidR="008A58D2" w:rsidRPr="00865C47" w:rsidRDefault="008A58D2" w:rsidP="008A58D2">
      <w:pPr>
        <w:pStyle w:val="ListBullet"/>
      </w:pPr>
      <w:r w:rsidRPr="00865C47">
        <w:t>Male = 42.5%</w:t>
      </w:r>
    </w:p>
    <w:p w14:paraId="2BACCF64" w14:textId="77777777" w:rsidR="008A58D2" w:rsidRPr="00865C47" w:rsidRDefault="008A58D2" w:rsidP="008A58D2">
      <w:pPr>
        <w:pStyle w:val="ListBullet"/>
      </w:pPr>
      <w:r w:rsidRPr="00865C47">
        <w:t>Median age = 59.0 years</w:t>
      </w:r>
    </w:p>
    <w:p w14:paraId="1F9CF709" w14:textId="09D2BDAB" w:rsidR="008A58D2" w:rsidRPr="00865C47" w:rsidRDefault="008A58D2" w:rsidP="008A58D2">
      <w:pPr>
        <w:pStyle w:val="ListBullet"/>
      </w:pPr>
      <w:r w:rsidRPr="00865C47">
        <w:t xml:space="preserve">Race: </w:t>
      </w:r>
      <w:r w:rsidR="00B961FA" w:rsidRPr="00865C47">
        <w:t xml:space="preserve">White </w:t>
      </w:r>
      <w:r w:rsidRPr="00865C47">
        <w:t>= 71.2%; Asian = 15.1%</w:t>
      </w:r>
    </w:p>
    <w:p w14:paraId="63BDE797" w14:textId="196FD445" w:rsidR="008A58D2" w:rsidRPr="00865C47" w:rsidRDefault="008A58D2" w:rsidP="008A58D2">
      <w:pPr>
        <w:pStyle w:val="ListBullet"/>
      </w:pPr>
      <w:r w:rsidRPr="00865C47">
        <w:t xml:space="preserve">Baseline </w:t>
      </w:r>
      <w:r w:rsidR="00B961FA" w:rsidRPr="00865C47">
        <w:t>ECOG-PS</w:t>
      </w:r>
      <w:r w:rsidRPr="00865C47">
        <w:t xml:space="preserve"> 0 = 40.4%, </w:t>
      </w:r>
      <w:r w:rsidR="00B961FA" w:rsidRPr="00865C47">
        <w:t>ECOG-PS</w:t>
      </w:r>
      <w:r w:rsidRPr="00865C47">
        <w:t xml:space="preserve"> 1 = 52.1%, </w:t>
      </w:r>
      <w:r w:rsidR="00B961FA" w:rsidRPr="00865C47">
        <w:t>ECOG-PS</w:t>
      </w:r>
      <w:r w:rsidRPr="00865C47">
        <w:t xml:space="preserve"> 2 = 7.5%</w:t>
      </w:r>
    </w:p>
    <w:p w14:paraId="076A6519" w14:textId="77777777" w:rsidR="008A58D2" w:rsidRPr="00865C47" w:rsidRDefault="008A58D2" w:rsidP="008A58D2">
      <w:pPr>
        <w:pStyle w:val="ListBullet"/>
      </w:pPr>
      <w:r w:rsidRPr="00865C47">
        <w:lastRenderedPageBreak/>
        <w:t>Normal baseline renal function = 37.7%</w:t>
      </w:r>
    </w:p>
    <w:p w14:paraId="17B53060" w14:textId="77777777" w:rsidR="008A58D2" w:rsidRPr="00865C47" w:rsidRDefault="008A58D2" w:rsidP="008A58D2">
      <w:pPr>
        <w:pStyle w:val="ListBullet"/>
      </w:pPr>
      <w:r w:rsidRPr="00865C47">
        <w:t>Normal baseline hepatic function = 51.4%</w:t>
      </w:r>
    </w:p>
    <w:p w14:paraId="1D0D8082" w14:textId="26B1B78B" w:rsidR="008A58D2" w:rsidRPr="00865C47" w:rsidRDefault="008A51BB" w:rsidP="008A58D2">
      <w:pPr>
        <w:pStyle w:val="ListBullet"/>
      </w:pPr>
      <w:r w:rsidRPr="00865C47">
        <w:t>intrahepatic cholangiocarcinoma</w:t>
      </w:r>
      <w:r w:rsidR="008A58D2" w:rsidRPr="00865C47">
        <w:t xml:space="preserve"> = 89.0%, </w:t>
      </w:r>
      <w:r w:rsidRPr="00865C47">
        <w:t>extrahepatic cholangiocarcinoma</w:t>
      </w:r>
      <w:r w:rsidR="008A58D2" w:rsidRPr="00865C47">
        <w:t xml:space="preserve"> = 8.2%</w:t>
      </w:r>
    </w:p>
    <w:p w14:paraId="2A07C675" w14:textId="42C48EFB" w:rsidR="008A58D2" w:rsidRPr="00865C47" w:rsidRDefault="008A58D2" w:rsidP="008A58D2">
      <w:pPr>
        <w:pStyle w:val="ListBullet"/>
      </w:pPr>
      <w:r w:rsidRPr="00865C47">
        <w:t>Prior therapies for advanced disease: 61.0%</w:t>
      </w:r>
      <w:r w:rsidR="00865C47">
        <w:t xml:space="preserve"> had one p</w:t>
      </w:r>
      <w:r w:rsidR="00865C47" w:rsidRPr="00865C47">
        <w:t>rior therap</w:t>
      </w:r>
      <w:r w:rsidR="00865C47">
        <w:t>y</w:t>
      </w:r>
      <w:r w:rsidRPr="00865C47">
        <w:t>,</w:t>
      </w:r>
      <w:r w:rsidR="00865C47">
        <w:t xml:space="preserve"> </w:t>
      </w:r>
      <w:r w:rsidRPr="00865C47">
        <w:t>26.0%</w:t>
      </w:r>
      <w:r w:rsidR="00865C47">
        <w:t xml:space="preserve"> had 2 p</w:t>
      </w:r>
      <w:r w:rsidR="00865C47" w:rsidRPr="00865C47">
        <w:t>rior therapies</w:t>
      </w:r>
      <w:r w:rsidRPr="00865C47">
        <w:t>, 13.0%</w:t>
      </w:r>
      <w:r w:rsidR="00865C47">
        <w:t xml:space="preserve"> had 3 or more p</w:t>
      </w:r>
      <w:r w:rsidR="00865C47" w:rsidRPr="00865C47">
        <w:t>rior therapies</w:t>
      </w:r>
      <w:r w:rsidR="00865C47">
        <w:t>.</w:t>
      </w:r>
    </w:p>
    <w:p w14:paraId="07553812" w14:textId="07CB1EAC" w:rsidR="008A58D2" w:rsidRPr="00865C47" w:rsidRDefault="008A58D2" w:rsidP="008E72D2">
      <w:pPr>
        <w:pStyle w:val="Heading6"/>
      </w:pPr>
      <w:r w:rsidRPr="00865C47">
        <w:t>Results</w:t>
      </w:r>
    </w:p>
    <w:p w14:paraId="6B54BB8A" w14:textId="6406DBF5" w:rsidR="008A58D2" w:rsidRPr="00865C47" w:rsidRDefault="008A58D2" w:rsidP="008A58D2">
      <w:r w:rsidRPr="00865C47">
        <w:t xml:space="preserve">As of 7 April 2020, the </w:t>
      </w:r>
      <w:r w:rsidR="00A93FFB" w:rsidRPr="00865C47">
        <w:t>overall response rate</w:t>
      </w:r>
      <w:r w:rsidRPr="00865C47">
        <w:t xml:space="preserve"> for Cohort A was 37% (95% CI: 27.94, 46.86) based on </w:t>
      </w:r>
      <w:r w:rsidR="00B961FA" w:rsidRPr="00865C47">
        <w:t>Independent Review Committee (</w:t>
      </w:r>
      <w:r w:rsidRPr="00865C47">
        <w:t>IRC</w:t>
      </w:r>
      <w:r w:rsidR="00B961FA" w:rsidRPr="00865C47">
        <w:t>)</w:t>
      </w:r>
      <w:r w:rsidRPr="00865C47">
        <w:t xml:space="preserve"> assessment.</w:t>
      </w:r>
      <w:r w:rsidR="00892AE8" w:rsidRPr="00865C47">
        <w:t xml:space="preserve"> </w:t>
      </w:r>
      <w:r w:rsidRPr="00865C47">
        <w:t xml:space="preserve">Four participants (3.7%) had </w:t>
      </w:r>
      <w:r w:rsidR="00825311" w:rsidRPr="00865C47">
        <w:t xml:space="preserve">complete response </w:t>
      </w:r>
      <w:r w:rsidRPr="00865C47">
        <w:t>and 36 (33.3%) had partial response.</w:t>
      </w:r>
      <w:r w:rsidR="00892AE8" w:rsidRPr="00865C47">
        <w:t xml:space="preserve"> </w:t>
      </w:r>
      <w:r w:rsidRPr="00865C47">
        <w:t>There were no IRC assessed confirmed tumour responses in Cohort B or C.</w:t>
      </w:r>
    </w:p>
    <w:p w14:paraId="6A45ECE7" w14:textId="00A166BF" w:rsidR="007F555D" w:rsidRPr="00865C47" w:rsidRDefault="007F555D" w:rsidP="008A51BB">
      <w:pPr>
        <w:pStyle w:val="TableTitle"/>
      </w:pPr>
      <w:r w:rsidRPr="00865C47">
        <w:t xml:space="preserve">Table </w:t>
      </w:r>
      <w:r w:rsidR="00547529">
        <w:fldChar w:fldCharType="begin"/>
      </w:r>
      <w:r w:rsidR="00547529">
        <w:instrText xml:space="preserve"> SEQ Table \* ARABIC </w:instrText>
      </w:r>
      <w:r w:rsidR="00547529">
        <w:fldChar w:fldCharType="separate"/>
      </w:r>
      <w:r w:rsidR="005D22F2">
        <w:rPr>
          <w:noProof/>
        </w:rPr>
        <w:t>10</w:t>
      </w:r>
      <w:r w:rsidR="00547529">
        <w:rPr>
          <w:noProof/>
        </w:rPr>
        <w:fldChar w:fldCharType="end"/>
      </w:r>
      <w:r w:rsidRPr="00865C47">
        <w:t xml:space="preserve">: </w:t>
      </w:r>
      <w:r w:rsidR="0002197C" w:rsidRPr="00865C47">
        <w:t xml:space="preserve">Study INCB 54828-202 Summary of best overall response and objective response rate </w:t>
      </w:r>
      <w:r w:rsidR="008A51BB" w:rsidRPr="00865C47">
        <w:t xml:space="preserve">in </w:t>
      </w:r>
      <w:r w:rsidR="0002197C" w:rsidRPr="00865C47">
        <w:t xml:space="preserve">participants with </w:t>
      </w:r>
      <w:r w:rsidR="008A51BB" w:rsidRPr="00865C47">
        <w:t xml:space="preserve">fibroblast growth factor receptor </w:t>
      </w:r>
      <w:r w:rsidR="0002197C" w:rsidRPr="00865C47">
        <w:t>2</w:t>
      </w:r>
      <w:r w:rsidR="00E60C44" w:rsidRPr="00865C47">
        <w:t xml:space="preserve"> rearranged </w:t>
      </w:r>
      <w:r w:rsidR="0002197C" w:rsidRPr="00865C47">
        <w:t>cholangiocarcinoma</w:t>
      </w:r>
    </w:p>
    <w:p w14:paraId="584845A4" w14:textId="4B343076" w:rsidR="00E02528" w:rsidRPr="00865C47" w:rsidRDefault="00E02528" w:rsidP="00170035">
      <w:r w:rsidRPr="00865C47">
        <w:rPr>
          <w:noProof/>
          <w:lang w:val="en-GB" w:eastAsia="en-GB"/>
        </w:rPr>
        <w:drawing>
          <wp:inline distT="0" distB="0" distL="0" distR="0" wp14:anchorId="2C340179" wp14:editId="67B94305">
            <wp:extent cx="5759450" cy="2215515"/>
            <wp:effectExtent l="0" t="0" r="0" b="0"/>
            <wp:docPr id="28" name="Picture 28" descr="Table 10: Study INCB 54828-202 Summary of best overall response and objective response rate in participants with fibroblast growth factor receptor 2 rearranged cholangio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0: Study INCB 54828-202 Summary of best overall response and objective response rate in participants with fibroblast growth factor receptor 2 rearranged cholangiocarcinoma"/>
                    <pic:cNvPicPr/>
                  </pic:nvPicPr>
                  <pic:blipFill>
                    <a:blip r:embed="rId41"/>
                    <a:stretch>
                      <a:fillRect/>
                    </a:stretch>
                  </pic:blipFill>
                  <pic:spPr>
                    <a:xfrm>
                      <a:off x="0" y="0"/>
                      <a:ext cx="5759450" cy="2215515"/>
                    </a:xfrm>
                    <a:prstGeom prst="rect">
                      <a:avLst/>
                    </a:prstGeom>
                  </pic:spPr>
                </pic:pic>
              </a:graphicData>
            </a:graphic>
          </wp:inline>
        </w:drawing>
      </w:r>
    </w:p>
    <w:p w14:paraId="75D411E0" w14:textId="5A1FFF68" w:rsidR="00565921" w:rsidRPr="00865C47" w:rsidRDefault="00565921" w:rsidP="00565921">
      <w:pPr>
        <w:pStyle w:val="TableDescription"/>
      </w:pPr>
      <w:bookmarkStart w:id="110" w:name="_Hlk136009609"/>
      <w:r w:rsidRPr="00865C47">
        <w:t>Abbreviations: APR = April; CI = confidence interval; MAR = March; N = total number of subjects; n = number of subjects in subcategory; QD = once daily.</w:t>
      </w:r>
    </w:p>
    <w:bookmarkEnd w:id="110"/>
    <w:p w14:paraId="44725CCF" w14:textId="5032B483" w:rsidR="00E02528" w:rsidRPr="00865C47" w:rsidRDefault="00E02528" w:rsidP="00565921">
      <w:pPr>
        <w:pStyle w:val="TableDescription"/>
      </w:pPr>
      <w:r w:rsidRPr="00865C47">
        <w:t>Cohort assignment is based on tumo</w:t>
      </w:r>
      <w:r w:rsidR="00565921" w:rsidRPr="00865C47">
        <w:t>u</w:t>
      </w:r>
      <w:r w:rsidRPr="00865C47">
        <w:t xml:space="preserve">r </w:t>
      </w:r>
      <w:r w:rsidR="00565921" w:rsidRPr="00865C47">
        <w:t>fibroblast growth factor</w:t>
      </w:r>
      <w:r w:rsidRPr="00865C47">
        <w:t>/</w:t>
      </w:r>
      <w:r w:rsidR="00565921" w:rsidRPr="00865C47">
        <w:t>fibroblast growth factor receptor</w:t>
      </w:r>
      <w:r w:rsidRPr="00865C47">
        <w:t>s</w:t>
      </w:r>
      <w:r w:rsidR="00565921" w:rsidRPr="00865C47">
        <w:t xml:space="preserve"> </w:t>
      </w:r>
      <w:r w:rsidR="00732D26">
        <w:t>s</w:t>
      </w:r>
      <w:r w:rsidRPr="00865C47">
        <w:t xml:space="preserve">tatus from the central genomics laboratory. Data are from </w:t>
      </w:r>
      <w:r w:rsidR="00565921" w:rsidRPr="00865C47">
        <w:t xml:space="preserve">Independent Review Committee </w:t>
      </w:r>
      <w:r w:rsidRPr="00865C47">
        <w:t xml:space="preserve">per </w:t>
      </w:r>
      <w:r w:rsidR="00565921" w:rsidRPr="00865C47">
        <w:t>Response Evaluation Criteria in Solid Tumo</w:t>
      </w:r>
      <w:r w:rsidR="00F05332">
        <w:t>u</w:t>
      </w:r>
      <w:r w:rsidR="00565921" w:rsidRPr="00865C47">
        <w:t>rs (</w:t>
      </w:r>
      <w:r w:rsidRPr="00865C47">
        <w:t>RECIST</w:t>
      </w:r>
      <w:r w:rsidR="00565921" w:rsidRPr="00865C47">
        <w:t>)</w:t>
      </w:r>
      <w:r w:rsidRPr="00865C47">
        <w:t xml:space="preserve"> v</w:t>
      </w:r>
      <w:r w:rsidR="00565921" w:rsidRPr="00865C47">
        <w:t xml:space="preserve">ersion </w:t>
      </w:r>
      <w:r w:rsidRPr="00865C47">
        <w:t>1.1.</w:t>
      </w:r>
    </w:p>
    <w:p w14:paraId="7E7C5AD4" w14:textId="22F4ED07" w:rsidR="00E02528" w:rsidRPr="00865C47" w:rsidRDefault="00E02528" w:rsidP="00565921">
      <w:pPr>
        <w:pStyle w:val="TableDescription"/>
      </w:pPr>
      <w:r w:rsidRPr="00865C47">
        <w:t>a Participants who have best overall response of complete response or partial response according to RECIST v</w:t>
      </w:r>
      <w:r w:rsidR="00565921" w:rsidRPr="00865C47">
        <w:t>ersion </w:t>
      </w:r>
      <w:r w:rsidRPr="00865C47">
        <w:t>1.1.</w:t>
      </w:r>
    </w:p>
    <w:p w14:paraId="03B578DF" w14:textId="77777777" w:rsidR="00E02528" w:rsidRPr="00865C47" w:rsidRDefault="00E02528" w:rsidP="00565921">
      <w:pPr>
        <w:pStyle w:val="TableDescription"/>
      </w:pPr>
      <w:r w:rsidRPr="00865C47">
        <w:t>b The CI was calculated based on the exact method for binomial distribution.</w:t>
      </w:r>
    </w:p>
    <w:p w14:paraId="1A832284" w14:textId="7E952EEA" w:rsidR="00E02528" w:rsidRPr="00865C47" w:rsidRDefault="00E02528" w:rsidP="00565921">
      <w:pPr>
        <w:pStyle w:val="TableDescription"/>
      </w:pPr>
      <w:r w:rsidRPr="00865C47">
        <w:t xml:space="preserve">c </w:t>
      </w:r>
      <w:proofErr w:type="gramStart"/>
      <w:r w:rsidRPr="00865C47">
        <w:t>Post-baseline</w:t>
      </w:r>
      <w:proofErr w:type="gramEnd"/>
      <w:r w:rsidRPr="00865C47">
        <w:t xml:space="preserve"> tumo</w:t>
      </w:r>
      <w:r w:rsidR="00565921" w:rsidRPr="00865C47">
        <w:t>u</w:t>
      </w:r>
      <w:r w:rsidRPr="00865C47">
        <w:t>r assessment was not performed due to study discontinuation (2 participants) or was performed prior to the minimum interval of 39 days for an assessment of stable disease (</w:t>
      </w:r>
      <w:r w:rsidR="008A51BB" w:rsidRPr="00865C47">
        <w:t>one</w:t>
      </w:r>
      <w:r w:rsidRPr="00865C47">
        <w:t xml:space="preserve"> participant).</w:t>
      </w:r>
    </w:p>
    <w:p w14:paraId="4D8AD8D9" w14:textId="47C780AA" w:rsidR="007F555D" w:rsidRPr="00865C47" w:rsidRDefault="007F555D" w:rsidP="008A51BB">
      <w:pPr>
        <w:pStyle w:val="FigureTitle"/>
      </w:pPr>
      <w:r w:rsidRPr="00865C47">
        <w:lastRenderedPageBreak/>
        <w:t xml:space="preserve">Figure </w:t>
      </w:r>
      <w:r w:rsidR="00547529">
        <w:fldChar w:fldCharType="begin"/>
      </w:r>
      <w:r w:rsidR="00547529">
        <w:instrText xml:space="preserve"> SEQ Figure \* ARABIC </w:instrText>
      </w:r>
      <w:r w:rsidR="00547529">
        <w:fldChar w:fldCharType="separate"/>
      </w:r>
      <w:r w:rsidR="005D22F2">
        <w:rPr>
          <w:noProof/>
        </w:rPr>
        <w:t>10</w:t>
      </w:r>
      <w:r w:rsidR="00547529">
        <w:rPr>
          <w:noProof/>
        </w:rPr>
        <w:fldChar w:fldCharType="end"/>
      </w:r>
      <w:r w:rsidRPr="00865C47">
        <w:t xml:space="preserve">: Study INCB 54828-202 Best percent change in sum of target lesion diameters from baseline in participants with </w:t>
      </w:r>
      <w:r w:rsidR="008A51BB" w:rsidRPr="00865C47">
        <w:t>fibroblast growth factor receptor </w:t>
      </w:r>
      <w:r w:rsidRPr="00865C47">
        <w:t>2</w:t>
      </w:r>
      <w:r w:rsidR="008A51BB" w:rsidRPr="00865C47">
        <w:t xml:space="preserve"> rearranged</w:t>
      </w:r>
      <w:r w:rsidRPr="00865C47">
        <w:t xml:space="preserve"> cholangiocarcinoma</w:t>
      </w:r>
    </w:p>
    <w:p w14:paraId="68C92CFB" w14:textId="4386186F" w:rsidR="007F555D" w:rsidRPr="00865C47" w:rsidRDefault="007F555D" w:rsidP="007F555D">
      <w:r w:rsidRPr="00865C47">
        <w:rPr>
          <w:noProof/>
          <w:lang w:val="en-GB" w:eastAsia="en-GB"/>
        </w:rPr>
        <w:drawing>
          <wp:inline distT="0" distB="0" distL="0" distR="0" wp14:anchorId="3DAF182E" wp14:editId="63966950">
            <wp:extent cx="5759450" cy="3030855"/>
            <wp:effectExtent l="0" t="0" r="0" b="0"/>
            <wp:docPr id="3" name="Picture 3" descr="Figure 10: Study INCB 54828-202 Best percent change in sum of target lesion diameters from baseline in participants with fibroblast growth factor receptor 2 rearranged cholangiocarci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0: Study INCB 54828-202 Best percent change in sum of target lesion diameters from baseline in participants with fibroblast growth factor receptor 2 rearranged cholangiocarcinoma"/>
                    <pic:cNvPicPr/>
                  </pic:nvPicPr>
                  <pic:blipFill>
                    <a:blip r:embed="rId42"/>
                    <a:stretch>
                      <a:fillRect/>
                    </a:stretch>
                  </pic:blipFill>
                  <pic:spPr>
                    <a:xfrm>
                      <a:off x="0" y="0"/>
                      <a:ext cx="5759450" cy="3030855"/>
                    </a:xfrm>
                    <a:prstGeom prst="rect">
                      <a:avLst/>
                    </a:prstGeom>
                  </pic:spPr>
                </pic:pic>
              </a:graphicData>
            </a:graphic>
          </wp:inline>
        </w:drawing>
      </w:r>
    </w:p>
    <w:p w14:paraId="0A6442B4" w14:textId="32D58E3A" w:rsidR="00565921" w:rsidRPr="00865C47" w:rsidRDefault="00565921" w:rsidP="00565921">
      <w:pPr>
        <w:pStyle w:val="FigureDescription"/>
      </w:pPr>
      <w:r w:rsidRPr="00865C47">
        <w:t>Abbreviation: FGFR = fibroblast growth factor receptor.</w:t>
      </w:r>
    </w:p>
    <w:p w14:paraId="0FE7F82E" w14:textId="77777777" w:rsidR="008A58D2" w:rsidRPr="00865C47" w:rsidRDefault="008A58D2" w:rsidP="008E72D2">
      <w:pPr>
        <w:pStyle w:val="Heading7"/>
      </w:pPr>
      <w:r w:rsidRPr="00865C47">
        <w:t>Secondary efficacy outcomes:</w:t>
      </w:r>
    </w:p>
    <w:p w14:paraId="5128C5C4" w14:textId="3561CEE0" w:rsidR="008A58D2" w:rsidRPr="00865C47" w:rsidRDefault="008A58D2" w:rsidP="008A58D2">
      <w:r w:rsidRPr="00865C47">
        <w:t xml:space="preserve">As of 7 April 2020, the median </w:t>
      </w:r>
      <w:r w:rsidR="00A93FFB" w:rsidRPr="00865C47">
        <w:t>duration of response</w:t>
      </w:r>
      <w:r w:rsidRPr="00865C47">
        <w:t xml:space="preserve"> was 8.08 months (95% CI: 5.65, 13.14) in the 40 participants with FGFR2 rearranged cholangiocarcinoma who had a confirmed tumour response.</w:t>
      </w:r>
      <w:r w:rsidR="00892AE8" w:rsidRPr="00865C47">
        <w:t xml:space="preserve"> </w:t>
      </w:r>
      <w:r w:rsidRPr="00865C47">
        <w:t xml:space="preserve">Observed </w:t>
      </w:r>
      <w:r w:rsidR="00A93FFB" w:rsidRPr="00865C47">
        <w:t>duration of response</w:t>
      </w:r>
      <w:r w:rsidRPr="00865C47">
        <w:t xml:space="preserve"> was at least 6 months in 23 responders (57.7%), at least 9 months in 15 responders (37.5%) and at least 12 months in 10 responders (25.0%).</w:t>
      </w:r>
    </w:p>
    <w:p w14:paraId="2437CDDE" w14:textId="4F137144" w:rsidR="008A58D2" w:rsidRPr="00865C47" w:rsidRDefault="008A58D2" w:rsidP="008A58D2">
      <w:r w:rsidRPr="00865C47">
        <w:t xml:space="preserve">In Cohort A, the median </w:t>
      </w:r>
      <w:r w:rsidR="00A93FFB" w:rsidRPr="00865C47">
        <w:t>progression-free survival</w:t>
      </w:r>
      <w:r w:rsidRPr="00865C47">
        <w:t xml:space="preserve"> based on IRC assessment was 7 months (95%</w:t>
      </w:r>
      <w:r w:rsidR="00825311" w:rsidRPr="00865C47">
        <w:t> </w:t>
      </w:r>
      <w:proofErr w:type="gramStart"/>
      <w:r w:rsidRPr="00865C47">
        <w:t>CI;</w:t>
      </w:r>
      <w:proofErr w:type="gramEnd"/>
      <w:r w:rsidRPr="00865C47">
        <w:t xml:space="preserve"> 6, 10.5). </w:t>
      </w:r>
      <w:r w:rsidR="00825311" w:rsidRPr="00865C47">
        <w:t>Kaplan-Meier</w:t>
      </w:r>
      <w:r w:rsidRPr="00865C47">
        <w:t xml:space="preserve"> estimates are shown in</w:t>
      </w:r>
      <w:r w:rsidR="0002197C" w:rsidRPr="00865C47">
        <w:t xml:space="preserve"> </w:t>
      </w:r>
      <w:r w:rsidR="0002197C" w:rsidRPr="00865C47">
        <w:fldChar w:fldCharType="begin"/>
      </w:r>
      <w:r w:rsidR="0002197C" w:rsidRPr="00865C47">
        <w:instrText xml:space="preserve"> REF _Ref135741870 \h </w:instrText>
      </w:r>
      <w:r w:rsidR="00865C47">
        <w:instrText xml:space="preserve"> \* MERGEFORMAT </w:instrText>
      </w:r>
      <w:r w:rsidR="0002197C" w:rsidRPr="00865C47">
        <w:fldChar w:fldCharType="separate"/>
      </w:r>
      <w:r w:rsidR="005D22F2" w:rsidRPr="00865C47">
        <w:t xml:space="preserve">Table </w:t>
      </w:r>
      <w:r w:rsidR="005D22F2">
        <w:rPr>
          <w:noProof/>
        </w:rPr>
        <w:t>11</w:t>
      </w:r>
      <w:r w:rsidR="0002197C" w:rsidRPr="00865C47">
        <w:fldChar w:fldCharType="end"/>
      </w:r>
      <w:r w:rsidR="0002197C" w:rsidRPr="00865C47">
        <w:t xml:space="preserve"> and </w:t>
      </w:r>
      <w:r w:rsidR="0002197C" w:rsidRPr="00865C47">
        <w:fldChar w:fldCharType="begin"/>
      </w:r>
      <w:r w:rsidR="0002197C" w:rsidRPr="00865C47">
        <w:instrText xml:space="preserve"> REF _Ref135741881 \h </w:instrText>
      </w:r>
      <w:r w:rsidR="00865C47">
        <w:instrText xml:space="preserve"> \* MERGEFORMAT </w:instrText>
      </w:r>
      <w:r w:rsidR="0002197C" w:rsidRPr="00865C47">
        <w:fldChar w:fldCharType="separate"/>
      </w:r>
      <w:r w:rsidR="005D22F2" w:rsidRPr="00865C47">
        <w:t xml:space="preserve">Figure </w:t>
      </w:r>
      <w:r w:rsidR="005D22F2">
        <w:rPr>
          <w:noProof/>
        </w:rPr>
        <w:t>11</w:t>
      </w:r>
      <w:r w:rsidR="0002197C" w:rsidRPr="00865C47">
        <w:fldChar w:fldCharType="end"/>
      </w:r>
      <w:r w:rsidR="00825311" w:rsidRPr="00865C47">
        <w:t xml:space="preserve"> below</w:t>
      </w:r>
      <w:r w:rsidRPr="00865C47">
        <w:t>.</w:t>
      </w:r>
      <w:r w:rsidR="00892AE8" w:rsidRPr="00865C47">
        <w:t xml:space="preserve"> </w:t>
      </w:r>
      <w:r w:rsidRPr="00865C47">
        <w:t xml:space="preserve">In the absence of the comparator arm, interpretation of time dependent analyses such as </w:t>
      </w:r>
      <w:r w:rsidR="00A93FFB" w:rsidRPr="00865C47">
        <w:t>progression-free survival</w:t>
      </w:r>
      <w:r w:rsidRPr="00865C47">
        <w:t xml:space="preserve"> is limited.</w:t>
      </w:r>
    </w:p>
    <w:p w14:paraId="33A0BA97" w14:textId="5134769A" w:rsidR="00E02528" w:rsidRPr="00865C47" w:rsidRDefault="0002197C" w:rsidP="008A51BB">
      <w:pPr>
        <w:pStyle w:val="TableTitle"/>
      </w:pPr>
      <w:bookmarkStart w:id="111" w:name="_Ref135741870"/>
      <w:bookmarkStart w:id="112" w:name="_Toc87017866"/>
      <w:bookmarkStart w:id="113" w:name="_Toc87202010"/>
      <w:r w:rsidRPr="00865C47">
        <w:t xml:space="preserve">Table </w:t>
      </w:r>
      <w:r w:rsidR="00547529">
        <w:fldChar w:fldCharType="begin"/>
      </w:r>
      <w:r w:rsidR="00547529">
        <w:instrText xml:space="preserve"> SEQ Table \* ARABIC </w:instrText>
      </w:r>
      <w:r w:rsidR="00547529">
        <w:fldChar w:fldCharType="separate"/>
      </w:r>
      <w:r w:rsidR="005D22F2">
        <w:rPr>
          <w:noProof/>
        </w:rPr>
        <w:t>11</w:t>
      </w:r>
      <w:r w:rsidR="00547529">
        <w:rPr>
          <w:noProof/>
        </w:rPr>
        <w:fldChar w:fldCharType="end"/>
      </w:r>
      <w:bookmarkEnd w:id="111"/>
      <w:r w:rsidR="00E60C44" w:rsidRPr="00865C47">
        <w:t>:</w:t>
      </w:r>
      <w:r w:rsidRPr="00865C47">
        <w:t xml:space="preserve"> Study </w:t>
      </w:r>
      <w:r w:rsidR="00E60C44" w:rsidRPr="00865C47">
        <w:t>INCB 54828-</w:t>
      </w:r>
      <w:r w:rsidRPr="00865C47">
        <w:t xml:space="preserve">202 </w:t>
      </w:r>
      <w:bookmarkEnd w:id="112"/>
      <w:bookmarkEnd w:id="113"/>
      <w:r w:rsidR="00E02528" w:rsidRPr="00865C47">
        <w:t xml:space="preserve">Summary of </w:t>
      </w:r>
      <w:r w:rsidR="00E60C44" w:rsidRPr="00865C47">
        <w:t>progression</w:t>
      </w:r>
      <w:r w:rsidR="00A93FFB" w:rsidRPr="00865C47">
        <w:t>-</w:t>
      </w:r>
      <w:r w:rsidR="00E60C44" w:rsidRPr="00865C47">
        <w:t>free survival based</w:t>
      </w:r>
      <w:r w:rsidR="00E02528" w:rsidRPr="00865C47">
        <w:t xml:space="preserve"> on </w:t>
      </w:r>
      <w:r w:rsidR="008A51BB" w:rsidRPr="00865C47">
        <w:t xml:space="preserve">Independent Review Committee </w:t>
      </w:r>
      <w:r w:rsidR="00E60C44" w:rsidRPr="00865C47">
        <w:t xml:space="preserve">assessment according to </w:t>
      </w:r>
      <w:r w:rsidR="008A51BB" w:rsidRPr="00865C47">
        <w:t>Response Evaluation Criteria in Solid Tumo</w:t>
      </w:r>
      <w:r w:rsidR="00F05332">
        <w:t>u</w:t>
      </w:r>
      <w:r w:rsidR="008A51BB" w:rsidRPr="00865C47">
        <w:t xml:space="preserve">rs version </w:t>
      </w:r>
      <w:r w:rsidR="00E02528" w:rsidRPr="00865C47">
        <w:t xml:space="preserve">1.1 </w:t>
      </w:r>
      <w:r w:rsidR="00E60C44" w:rsidRPr="00865C47">
        <w:t>(</w:t>
      </w:r>
      <w:r w:rsidR="008A51BB" w:rsidRPr="00865C47">
        <w:t xml:space="preserve">Cohort A, </w:t>
      </w:r>
      <w:r w:rsidR="00E60C44" w:rsidRPr="00865C47">
        <w:t>efficacy evaluable population)</w:t>
      </w:r>
    </w:p>
    <w:p w14:paraId="4EA477EB" w14:textId="45BE2555" w:rsidR="00E02528" w:rsidRPr="00865C47" w:rsidRDefault="00E02528" w:rsidP="00E02528">
      <w:r w:rsidRPr="00865C47">
        <w:rPr>
          <w:noProof/>
          <w:lang w:val="en-GB" w:eastAsia="en-GB"/>
        </w:rPr>
        <w:drawing>
          <wp:inline distT="0" distB="0" distL="0" distR="0" wp14:anchorId="3FF80849" wp14:editId="0B57FFB8">
            <wp:extent cx="5759450" cy="2306955"/>
            <wp:effectExtent l="0" t="0" r="0" b="0"/>
            <wp:docPr id="1" name="Picture 1" descr="Table 11: Study INCB 54828-202 Summary of progression-free survival based on Independent Review Committee assessment according to Response Evaluation Criteria in Solid Tumours version 1.1 (Cohort A,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1: Study INCB 54828-202 Summary of progression-free survival based on Independent Review Committee assessment according to Response Evaluation Criteria in Solid Tumours version 1.1 (Cohort A, efficacy evaluable population)"/>
                    <pic:cNvPicPr/>
                  </pic:nvPicPr>
                  <pic:blipFill>
                    <a:blip r:embed="rId43"/>
                    <a:stretch>
                      <a:fillRect/>
                    </a:stretch>
                  </pic:blipFill>
                  <pic:spPr>
                    <a:xfrm>
                      <a:off x="0" y="0"/>
                      <a:ext cx="5759450" cy="2306955"/>
                    </a:xfrm>
                    <a:prstGeom prst="rect">
                      <a:avLst/>
                    </a:prstGeom>
                  </pic:spPr>
                </pic:pic>
              </a:graphicData>
            </a:graphic>
          </wp:inline>
        </w:drawing>
      </w:r>
    </w:p>
    <w:p w14:paraId="2AAAF4B0" w14:textId="69205A73" w:rsidR="00565921" w:rsidRPr="00865C47" w:rsidRDefault="00565921" w:rsidP="00565921">
      <w:pPr>
        <w:pStyle w:val="TableDescription"/>
      </w:pPr>
      <w:r w:rsidRPr="00865C47">
        <w:t>Abbreviations: CI = confidence interval; FGFR = fibroblast growth factor receptor; N = total number of subjects.</w:t>
      </w:r>
    </w:p>
    <w:p w14:paraId="4DA356A4" w14:textId="44EEF27E" w:rsidR="0002197C" w:rsidRPr="00865C47" w:rsidRDefault="00E02528" w:rsidP="00565921">
      <w:pPr>
        <w:pStyle w:val="TableDescription"/>
      </w:pPr>
      <w:proofErr w:type="spellStart"/>
      <w:r w:rsidRPr="00865C47">
        <w:lastRenderedPageBreak/>
        <w:t>a</w:t>
      </w:r>
      <w:proofErr w:type="spellEnd"/>
      <w:r w:rsidRPr="00865C47">
        <w:t xml:space="preserve"> </w:t>
      </w:r>
      <w:proofErr w:type="gramStart"/>
      <w:r w:rsidRPr="00865C47">
        <w:t>The</w:t>
      </w:r>
      <w:proofErr w:type="gramEnd"/>
      <w:r w:rsidRPr="00865C47">
        <w:t xml:space="preserve"> 95% CI was calculated using the Brookmeyer and Crowley's method (1982).</w:t>
      </w:r>
      <w:bookmarkStart w:id="114" w:name="_Ref136010483"/>
      <w:r w:rsidR="00565921" w:rsidRPr="00865C47">
        <w:rPr>
          <w:rStyle w:val="FootnoteReference"/>
        </w:rPr>
        <w:footnoteReference w:id="11"/>
      </w:r>
      <w:bookmarkEnd w:id="114"/>
    </w:p>
    <w:p w14:paraId="1DDDA003" w14:textId="352C4422" w:rsidR="0002197C" w:rsidRPr="00865C47" w:rsidRDefault="0002197C" w:rsidP="008A51BB">
      <w:pPr>
        <w:pStyle w:val="FigureTitle"/>
      </w:pPr>
      <w:bookmarkStart w:id="115" w:name="_Ref135741881"/>
      <w:bookmarkStart w:id="116" w:name="_Toc87017939"/>
      <w:bookmarkStart w:id="117" w:name="_Toc87018173"/>
      <w:bookmarkStart w:id="118" w:name="_Toc87018377"/>
      <w:r w:rsidRPr="00865C47">
        <w:t xml:space="preserve">Figure </w:t>
      </w:r>
      <w:r w:rsidR="00547529">
        <w:fldChar w:fldCharType="begin"/>
      </w:r>
      <w:r w:rsidR="00547529">
        <w:instrText xml:space="preserve"> SEQ Figure \* ARABIC </w:instrText>
      </w:r>
      <w:r w:rsidR="00547529">
        <w:fldChar w:fldCharType="separate"/>
      </w:r>
      <w:r w:rsidR="005D22F2">
        <w:rPr>
          <w:noProof/>
        </w:rPr>
        <w:t>11</w:t>
      </w:r>
      <w:r w:rsidR="00547529">
        <w:rPr>
          <w:noProof/>
        </w:rPr>
        <w:fldChar w:fldCharType="end"/>
      </w:r>
      <w:bookmarkEnd w:id="115"/>
      <w:r w:rsidR="00825311" w:rsidRPr="00865C47">
        <w:rPr>
          <w:noProof/>
        </w:rPr>
        <w:t>:</w:t>
      </w:r>
      <w:r w:rsidRPr="00865C47">
        <w:t xml:space="preserve"> Study </w:t>
      </w:r>
      <w:r w:rsidR="00825311" w:rsidRPr="00865C47">
        <w:t xml:space="preserve">INCB 54828-202 </w:t>
      </w:r>
      <w:r w:rsidRPr="00865C47">
        <w:t xml:space="preserve">Kaplan-Meier </w:t>
      </w:r>
      <w:r w:rsidR="008A51BB" w:rsidRPr="00865C47">
        <w:t xml:space="preserve">estimates of progression-free survival </w:t>
      </w:r>
      <w:r w:rsidRPr="00865C47">
        <w:t>as of 7</w:t>
      </w:r>
      <w:r w:rsidR="008A51BB" w:rsidRPr="00865C47">
        <w:t> </w:t>
      </w:r>
      <w:r w:rsidRPr="00865C47">
        <w:t>April</w:t>
      </w:r>
      <w:r w:rsidR="008A51BB" w:rsidRPr="00865C47">
        <w:t> </w:t>
      </w:r>
      <w:r w:rsidRPr="00865C47">
        <w:t xml:space="preserve">2020 by </w:t>
      </w:r>
      <w:r w:rsidR="008A51BB" w:rsidRPr="00865C47">
        <w:t>Independent Review Committee assessment p</w:t>
      </w:r>
      <w:r w:rsidRPr="00865C47">
        <w:t xml:space="preserve">er </w:t>
      </w:r>
      <w:r w:rsidR="008A51BB" w:rsidRPr="00865C47">
        <w:t>Response Evaluation Criteria in Solid Tumo</w:t>
      </w:r>
      <w:r w:rsidR="004C535F">
        <w:t>u</w:t>
      </w:r>
      <w:r w:rsidR="008A51BB" w:rsidRPr="00865C47">
        <w:t xml:space="preserve">rs version </w:t>
      </w:r>
      <w:r w:rsidRPr="00865C47">
        <w:t xml:space="preserve">1.1 </w:t>
      </w:r>
      <w:r w:rsidR="008A51BB" w:rsidRPr="00865C47">
        <w:t>(Cohort A, efficacy evaluable population</w:t>
      </w:r>
      <w:bookmarkEnd w:id="116"/>
      <w:bookmarkEnd w:id="117"/>
      <w:bookmarkEnd w:id="118"/>
      <w:r w:rsidR="008A51BB" w:rsidRPr="00865C47">
        <w:t>)</w:t>
      </w:r>
    </w:p>
    <w:p w14:paraId="79FADACF" w14:textId="507D9C82" w:rsidR="0002197C" w:rsidRPr="00865C47" w:rsidRDefault="00E02528" w:rsidP="008A58D2">
      <w:r w:rsidRPr="00865C47">
        <w:rPr>
          <w:noProof/>
          <w:lang w:val="en-GB" w:eastAsia="en-GB"/>
        </w:rPr>
        <w:drawing>
          <wp:inline distT="0" distB="0" distL="0" distR="0" wp14:anchorId="19E27EB8" wp14:editId="15D6B7E2">
            <wp:extent cx="5759450" cy="2911475"/>
            <wp:effectExtent l="0" t="0" r="0" b="3175"/>
            <wp:docPr id="29" name="Picture 29" descr="Figure 11: Study INCB 54828-202 Kaplan-Meier estimates of progression-free survival as of 7 April 2020 by Independent Review Committee assessment per Response Evaluation Criteria in Solid Tumours version 1.1 (Cohort A,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1: Study INCB 54828-202 Kaplan-Meier estimates of progression-free survival as of 7 April 2020 by Independent Review Committee assessment per Response Evaluation Criteria in Solid Tumours version 1.1 (Cohort A, efficacy evaluable population)"/>
                    <pic:cNvPicPr/>
                  </pic:nvPicPr>
                  <pic:blipFill>
                    <a:blip r:embed="rId44"/>
                    <a:stretch>
                      <a:fillRect/>
                    </a:stretch>
                  </pic:blipFill>
                  <pic:spPr>
                    <a:xfrm>
                      <a:off x="0" y="0"/>
                      <a:ext cx="5759450" cy="2911475"/>
                    </a:xfrm>
                    <a:prstGeom prst="rect">
                      <a:avLst/>
                    </a:prstGeom>
                  </pic:spPr>
                </pic:pic>
              </a:graphicData>
            </a:graphic>
          </wp:inline>
        </w:drawing>
      </w:r>
    </w:p>
    <w:p w14:paraId="7DEA1598" w14:textId="3DCB3154" w:rsidR="00565921" w:rsidRPr="00865C47" w:rsidRDefault="00565921" w:rsidP="00565921">
      <w:pPr>
        <w:pStyle w:val="FigureDescription"/>
      </w:pPr>
      <w:r w:rsidRPr="00865C47">
        <w:t>Abbreviation: CI = confidence interval.</w:t>
      </w:r>
    </w:p>
    <w:p w14:paraId="0BE17313" w14:textId="215CEDE1" w:rsidR="008A58D2" w:rsidRPr="00865C47" w:rsidRDefault="008A58D2" w:rsidP="008A58D2">
      <w:r w:rsidRPr="00865C47">
        <w:t xml:space="preserve">In Cohort A, the median </w:t>
      </w:r>
      <w:r w:rsidR="00A93FFB" w:rsidRPr="00865C47">
        <w:t>overall survival</w:t>
      </w:r>
      <w:r w:rsidRPr="00865C47">
        <w:t xml:space="preserve"> was 17.5 months (95% CI</w:t>
      </w:r>
      <w:r w:rsidR="00B961FA" w:rsidRPr="00865C47">
        <w:t>:</w:t>
      </w:r>
      <w:r w:rsidRPr="00865C47">
        <w:t xml:space="preserve"> 14.4, 23). </w:t>
      </w:r>
      <w:r w:rsidR="00825311" w:rsidRPr="00865C47">
        <w:t>Kaplan-Meier</w:t>
      </w:r>
      <w:r w:rsidRPr="00865C47">
        <w:t xml:space="preserve"> estimates are shown in </w:t>
      </w:r>
      <w:r w:rsidR="00B961FA" w:rsidRPr="00865C47">
        <w:fldChar w:fldCharType="begin"/>
      </w:r>
      <w:r w:rsidR="00B961FA" w:rsidRPr="00865C47">
        <w:instrText xml:space="preserve"> REF _Ref136015389 \h </w:instrText>
      </w:r>
      <w:r w:rsidR="00865C47">
        <w:instrText xml:space="preserve"> \* MERGEFORMAT </w:instrText>
      </w:r>
      <w:r w:rsidR="00B961FA" w:rsidRPr="00865C47">
        <w:fldChar w:fldCharType="separate"/>
      </w:r>
      <w:r w:rsidR="005D22F2" w:rsidRPr="00865C47">
        <w:t xml:space="preserve">Figure </w:t>
      </w:r>
      <w:r w:rsidR="005D22F2">
        <w:rPr>
          <w:noProof/>
        </w:rPr>
        <w:t>12</w:t>
      </w:r>
      <w:r w:rsidR="00B961FA" w:rsidRPr="00865C47">
        <w:fldChar w:fldCharType="end"/>
      </w:r>
      <w:r w:rsidRPr="00865C47">
        <w:t xml:space="preserve"> </w:t>
      </w:r>
      <w:r w:rsidR="00B961FA" w:rsidRPr="00865C47">
        <w:t>below</w:t>
      </w:r>
      <w:r w:rsidRPr="00865C47">
        <w:t>.</w:t>
      </w:r>
      <w:r w:rsidR="00892AE8" w:rsidRPr="00865C47">
        <w:t xml:space="preserve"> </w:t>
      </w:r>
      <w:r w:rsidRPr="00865C47">
        <w:t xml:space="preserve">In the absence of the comparator arm, interpretation of time dependent analyses such as </w:t>
      </w:r>
      <w:r w:rsidR="00A93FFB" w:rsidRPr="00865C47">
        <w:t>overall survival</w:t>
      </w:r>
      <w:r w:rsidRPr="00865C47">
        <w:t xml:space="preserve"> is limited.</w:t>
      </w:r>
      <w:r w:rsidR="00892AE8" w:rsidRPr="00865C47">
        <w:t xml:space="preserve"> </w:t>
      </w:r>
      <w:r w:rsidRPr="00865C47">
        <w:t xml:space="preserve">It is notable however, that the longer </w:t>
      </w:r>
      <w:r w:rsidR="00A93FFB" w:rsidRPr="00865C47">
        <w:t>overall survival</w:t>
      </w:r>
      <w:r w:rsidRPr="00865C47">
        <w:t xml:space="preserve"> in Cohort A compared to those in Cohort B/C are compelling and likely to be mostly due to the treatment effect of pemigatinib.</w:t>
      </w:r>
      <w:r w:rsidR="00892AE8" w:rsidRPr="00865C47">
        <w:t xml:space="preserve"> </w:t>
      </w:r>
      <w:r w:rsidRPr="00865C47">
        <w:t xml:space="preserve">A randomised Phase III study of pemigatinib versus the standard of care chemotherapy in patients with </w:t>
      </w:r>
      <w:r w:rsidR="008A51BB" w:rsidRPr="00865C47">
        <w:t>cholangiocarcinoma</w:t>
      </w:r>
      <w:r w:rsidRPr="00865C47">
        <w:t xml:space="preserve"> not previously treated in the metastatic setting is underway and will inform whether there is a </w:t>
      </w:r>
      <w:r w:rsidR="00A93FFB" w:rsidRPr="00865C47">
        <w:t>progression-free survival</w:t>
      </w:r>
      <w:r w:rsidRPr="00865C47">
        <w:t xml:space="preserve"> or </w:t>
      </w:r>
      <w:r w:rsidR="00A93FFB" w:rsidRPr="00865C47">
        <w:t>overall survival</w:t>
      </w:r>
      <w:r w:rsidRPr="00865C47">
        <w:t xml:space="preserve"> benefit in this population.</w:t>
      </w:r>
    </w:p>
    <w:p w14:paraId="630866EF" w14:textId="4DBFCAB0" w:rsidR="008A58D2" w:rsidRPr="00865C47" w:rsidRDefault="008A58D2" w:rsidP="008A58D2">
      <w:r w:rsidRPr="00865C47">
        <w:t xml:space="preserve">Cohort B: No participants achieved </w:t>
      </w:r>
      <w:r w:rsidR="00825311" w:rsidRPr="00865C47">
        <w:t>partial response or complete response</w:t>
      </w:r>
      <w:r w:rsidRPr="00865C47">
        <w:t>.</w:t>
      </w:r>
    </w:p>
    <w:p w14:paraId="5461C028" w14:textId="7A957ADF" w:rsidR="008A58D2" w:rsidRPr="00865C47" w:rsidRDefault="008A58D2" w:rsidP="008A58D2">
      <w:r w:rsidRPr="00865C47">
        <w:t xml:space="preserve">Cohort C: No participants achieved </w:t>
      </w:r>
      <w:r w:rsidR="00825311" w:rsidRPr="00865C47">
        <w:t>partial response or complete response</w:t>
      </w:r>
      <w:r w:rsidRPr="00865C47">
        <w:t>.</w:t>
      </w:r>
    </w:p>
    <w:p w14:paraId="7DDB68F7" w14:textId="7FFA6818" w:rsidR="00825311" w:rsidRPr="00865C47" w:rsidRDefault="00825311" w:rsidP="00825311">
      <w:pPr>
        <w:pStyle w:val="FigureTitle"/>
      </w:pPr>
      <w:bookmarkStart w:id="119" w:name="_Ref136015389"/>
      <w:bookmarkStart w:id="120" w:name="_Toc87017941"/>
      <w:bookmarkStart w:id="121" w:name="_Toc87018175"/>
      <w:bookmarkStart w:id="122" w:name="_Toc87018379"/>
      <w:r w:rsidRPr="00865C47">
        <w:lastRenderedPageBreak/>
        <w:t xml:space="preserve">Figure </w:t>
      </w:r>
      <w:r w:rsidR="00547529">
        <w:fldChar w:fldCharType="begin"/>
      </w:r>
      <w:r w:rsidR="00547529">
        <w:instrText xml:space="preserve"> SEQ Figure \* ARABI</w:instrText>
      </w:r>
      <w:r w:rsidR="00547529">
        <w:instrText xml:space="preserve">C </w:instrText>
      </w:r>
      <w:r w:rsidR="00547529">
        <w:fldChar w:fldCharType="separate"/>
      </w:r>
      <w:r w:rsidR="005D22F2">
        <w:rPr>
          <w:noProof/>
        </w:rPr>
        <w:t>12</w:t>
      </w:r>
      <w:r w:rsidR="00547529">
        <w:rPr>
          <w:noProof/>
        </w:rPr>
        <w:fldChar w:fldCharType="end"/>
      </w:r>
      <w:bookmarkEnd w:id="119"/>
      <w:r w:rsidRPr="00865C47">
        <w:t>: Study INCB 54828-202 Kaplan-Meier estimates of overall survival as of 7 April 2020 by Independent Review Committee assessment per Response Evaluation Criteria in Solid Tumo</w:t>
      </w:r>
      <w:r w:rsidR="00F05332">
        <w:t>u</w:t>
      </w:r>
      <w:r w:rsidRPr="00865C47">
        <w:t>rs version 1.1 (Cohorts A, B and C, efficacy evaluable population)</w:t>
      </w:r>
      <w:bookmarkEnd w:id="120"/>
      <w:bookmarkEnd w:id="121"/>
      <w:bookmarkEnd w:id="122"/>
    </w:p>
    <w:p w14:paraId="5397B3D9" w14:textId="6DBCE123" w:rsidR="00825311" w:rsidRPr="00865C47" w:rsidRDefault="00825311" w:rsidP="00825311">
      <w:r w:rsidRPr="00865C47">
        <w:rPr>
          <w:noProof/>
          <w:lang w:val="en-GB" w:eastAsia="en-GB"/>
        </w:rPr>
        <w:drawing>
          <wp:inline distT="0" distB="0" distL="0" distR="0" wp14:anchorId="09B623D7" wp14:editId="0512D2C0">
            <wp:extent cx="5731510" cy="2601595"/>
            <wp:effectExtent l="0" t="0" r="0" b="0"/>
            <wp:docPr id="77" name="Picture 77" descr="Figure 12: Study INCB 54828-202 Kaplan-Meier estimates of overall survival as of 7 April 2020 by Independent Review Committee assessment per Response Evaluation Criteria in Solid Tumours version 1.1 (Cohorts A, B and C,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2: Study INCB 54828-202 Kaplan-Meier estimates of overall survival as of 7 April 2020 by Independent Review Committee assessment per Response Evaluation Criteria in Solid Tumours version 1.1 (Cohorts A, B and C, efficacy evaluable populati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2601595"/>
                    </a:xfrm>
                    <a:prstGeom prst="rect">
                      <a:avLst/>
                    </a:prstGeom>
                  </pic:spPr>
                </pic:pic>
              </a:graphicData>
            </a:graphic>
          </wp:inline>
        </w:drawing>
      </w:r>
    </w:p>
    <w:p w14:paraId="0215EC30" w14:textId="37303C15" w:rsidR="00565921" w:rsidRPr="00865C47" w:rsidRDefault="00565921" w:rsidP="00565921">
      <w:pPr>
        <w:pStyle w:val="FigureDescription"/>
      </w:pPr>
      <w:r w:rsidRPr="00865C47">
        <w:t>Abbreviation: CI = confidence interval.</w:t>
      </w:r>
    </w:p>
    <w:p w14:paraId="683B696A" w14:textId="77777777" w:rsidR="008A58D2" w:rsidRPr="00865C47" w:rsidRDefault="008A58D2" w:rsidP="008E72D2">
      <w:pPr>
        <w:pStyle w:val="Heading7"/>
      </w:pPr>
      <w:r w:rsidRPr="00865C47">
        <w:t>Subgroup analyses:</w:t>
      </w:r>
    </w:p>
    <w:p w14:paraId="4A47FB32" w14:textId="1C121D84" w:rsidR="008A58D2" w:rsidRPr="00865C47" w:rsidRDefault="008A58D2" w:rsidP="008A58D2">
      <w:r w:rsidRPr="00865C47">
        <w:t xml:space="preserve">Multiple exploratory subgroup analyses were performed for </w:t>
      </w:r>
      <w:r w:rsidR="00A93FFB" w:rsidRPr="00865C47">
        <w:t>overall response rate</w:t>
      </w:r>
      <w:r w:rsidRPr="00865C47">
        <w:t xml:space="preserve">, and while the 95% </w:t>
      </w:r>
      <w:r w:rsidR="00825311" w:rsidRPr="00865C47">
        <w:t>CI</w:t>
      </w:r>
      <w:r w:rsidRPr="00865C47">
        <w:t xml:space="preserve"> overlapped across all the subgroups, there was a tendency for lower response rates to be reported with worsening baseline renal or hepatic function, poorer </w:t>
      </w:r>
      <w:r w:rsidR="00B961FA" w:rsidRPr="00865C47">
        <w:t>ECOG-PS</w:t>
      </w:r>
      <w:r w:rsidRPr="00865C47">
        <w:t>, increasing number of prior lines of therapy, as well as region of the world</w:t>
      </w:r>
      <w:r w:rsidR="00825311" w:rsidRPr="00865C47">
        <w:t xml:space="preserve">, that is North America, Western Europe versus rest of the world </w:t>
      </w:r>
      <w:r w:rsidRPr="00865C47">
        <w:t xml:space="preserve">(See </w:t>
      </w:r>
      <w:r w:rsidR="007F555D" w:rsidRPr="00865C47">
        <w:fldChar w:fldCharType="begin"/>
      </w:r>
      <w:r w:rsidR="007F555D" w:rsidRPr="00865C47">
        <w:instrText xml:space="preserve"> REF _Ref85888262 \h </w:instrText>
      </w:r>
      <w:r w:rsidR="00825311" w:rsidRPr="00865C47">
        <w:instrText xml:space="preserve"> \* MERGEFORMAT </w:instrText>
      </w:r>
      <w:r w:rsidR="007F555D" w:rsidRPr="00865C47">
        <w:fldChar w:fldCharType="separate"/>
      </w:r>
      <w:r w:rsidR="005D22F2" w:rsidRPr="00865C47">
        <w:t xml:space="preserve">Figure </w:t>
      </w:r>
      <w:r w:rsidR="005D22F2">
        <w:rPr>
          <w:noProof/>
        </w:rPr>
        <w:t>13</w:t>
      </w:r>
      <w:r w:rsidR="007F555D" w:rsidRPr="00865C47">
        <w:fldChar w:fldCharType="end"/>
      </w:r>
      <w:r w:rsidR="00825311" w:rsidRPr="00865C47">
        <w:t xml:space="preserve"> below</w:t>
      </w:r>
      <w:r w:rsidRPr="00865C47">
        <w:t>).</w:t>
      </w:r>
    </w:p>
    <w:p w14:paraId="37DA8D1D" w14:textId="085F5B5A" w:rsidR="00E02528" w:rsidRPr="00865C47" w:rsidRDefault="007F555D" w:rsidP="008A51BB">
      <w:pPr>
        <w:pStyle w:val="FigureTitle"/>
      </w:pPr>
      <w:bookmarkStart w:id="123" w:name="_Ref85888262"/>
      <w:bookmarkStart w:id="124" w:name="_Toc87017942"/>
      <w:bookmarkStart w:id="125" w:name="_Toc87018176"/>
      <w:bookmarkStart w:id="126" w:name="_Toc87018380"/>
      <w:r w:rsidRPr="00865C47">
        <w:t xml:space="preserve">Figure </w:t>
      </w:r>
      <w:r w:rsidR="00547529">
        <w:fldChar w:fldCharType="begin"/>
      </w:r>
      <w:r w:rsidR="00547529">
        <w:instrText xml:space="preserve"> SEQ Figure \* ARABIC </w:instrText>
      </w:r>
      <w:r w:rsidR="00547529">
        <w:fldChar w:fldCharType="separate"/>
      </w:r>
      <w:r w:rsidR="005D22F2">
        <w:rPr>
          <w:noProof/>
        </w:rPr>
        <w:t>13</w:t>
      </w:r>
      <w:r w:rsidR="00547529">
        <w:rPr>
          <w:noProof/>
        </w:rPr>
        <w:fldChar w:fldCharType="end"/>
      </w:r>
      <w:bookmarkEnd w:id="123"/>
      <w:r w:rsidR="008A51BB" w:rsidRPr="00865C47">
        <w:t>:</w:t>
      </w:r>
      <w:r w:rsidRPr="00865C47">
        <w:t xml:space="preserve"> Study </w:t>
      </w:r>
      <w:r w:rsidR="00E02528" w:rsidRPr="00865C47">
        <w:t xml:space="preserve">INCB 54828-202 Objective </w:t>
      </w:r>
      <w:r w:rsidR="008A51BB" w:rsidRPr="00865C47">
        <w:t xml:space="preserve">response rates based on Independent Review Committee </w:t>
      </w:r>
      <w:r w:rsidR="00E02528" w:rsidRPr="00865C47">
        <w:t xml:space="preserve">Assessment </w:t>
      </w:r>
      <w:r w:rsidR="008A51BB" w:rsidRPr="00865C47">
        <w:t>according to Response Evaluation Criteria in Solid Tumo</w:t>
      </w:r>
      <w:r w:rsidR="00F05332">
        <w:t>u</w:t>
      </w:r>
      <w:r w:rsidR="008A51BB" w:rsidRPr="00865C47">
        <w:t>rs version 1</w:t>
      </w:r>
      <w:r w:rsidR="00E02528" w:rsidRPr="00865C47">
        <w:t xml:space="preserve">.1 by </w:t>
      </w:r>
      <w:r w:rsidR="008A51BB" w:rsidRPr="00865C47">
        <w:t xml:space="preserve">subgroup </w:t>
      </w:r>
      <w:r w:rsidR="00E02528" w:rsidRPr="00865C47">
        <w:t xml:space="preserve">(Cohort A, </w:t>
      </w:r>
      <w:r w:rsidR="008A51BB" w:rsidRPr="00865C47">
        <w:t>efficacy evaluable population</w:t>
      </w:r>
      <w:r w:rsidR="00E02528" w:rsidRPr="00865C47">
        <w:t>)</w:t>
      </w:r>
    </w:p>
    <w:p w14:paraId="2C4DA287" w14:textId="6DC87580" w:rsidR="00E02528" w:rsidRPr="00865C47" w:rsidRDefault="00E02528" w:rsidP="00170035">
      <w:r w:rsidRPr="00865C47">
        <w:rPr>
          <w:noProof/>
          <w:lang w:val="en-GB" w:eastAsia="en-GB"/>
        </w:rPr>
        <w:drawing>
          <wp:inline distT="0" distB="0" distL="0" distR="0" wp14:anchorId="4F9B789B" wp14:editId="300368C3">
            <wp:extent cx="5759450" cy="3012440"/>
            <wp:effectExtent l="0" t="0" r="0" b="0"/>
            <wp:docPr id="30" name="Picture 30" descr="Figure 13: Study INCB 54828-202 Objective response rates based on Independent Review Committee Assessment according to Response Evaluation Criteria in Solid Tumours version 1.1 by subgroup (Cohort A,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3: Study INCB 54828-202 Objective response rates based on Independent Review Committee Assessment according to Response Evaluation Criteria in Solid Tumours version 1.1 by subgroup (Cohort A, efficacy evaluable population)"/>
                    <pic:cNvPicPr/>
                  </pic:nvPicPr>
                  <pic:blipFill>
                    <a:blip r:embed="rId46"/>
                    <a:stretch>
                      <a:fillRect/>
                    </a:stretch>
                  </pic:blipFill>
                  <pic:spPr>
                    <a:xfrm>
                      <a:off x="0" y="0"/>
                      <a:ext cx="5759450" cy="3012440"/>
                    </a:xfrm>
                    <a:prstGeom prst="rect">
                      <a:avLst/>
                    </a:prstGeom>
                  </pic:spPr>
                </pic:pic>
              </a:graphicData>
            </a:graphic>
          </wp:inline>
        </w:drawing>
      </w:r>
    </w:p>
    <w:p w14:paraId="369FB317" w14:textId="7736360F" w:rsidR="00565921" w:rsidRPr="00865C47" w:rsidRDefault="00565921" w:rsidP="00565921">
      <w:pPr>
        <w:pStyle w:val="FigureDescription"/>
      </w:pPr>
      <w:r w:rsidRPr="00865C47">
        <w:lastRenderedPageBreak/>
        <w:t>Abbreviation: CI = confidence interval.</w:t>
      </w:r>
    </w:p>
    <w:p w14:paraId="3C22DC99" w14:textId="0F1790AC" w:rsidR="00E02528" w:rsidRPr="00865C47" w:rsidRDefault="00E02528" w:rsidP="00565921">
      <w:pPr>
        <w:pStyle w:val="FigureDescription"/>
      </w:pPr>
      <w:r w:rsidRPr="00865C47">
        <w:t>Cohort assignment is based on tumo</w:t>
      </w:r>
      <w:r w:rsidR="00565921" w:rsidRPr="00865C47">
        <w:t>u</w:t>
      </w:r>
      <w:r w:rsidRPr="00865C47">
        <w:t xml:space="preserve">r </w:t>
      </w:r>
      <w:r w:rsidR="00565921" w:rsidRPr="00865C47">
        <w:t>fibroblast growth factor</w:t>
      </w:r>
      <w:r w:rsidRPr="00865C47">
        <w:t>/</w:t>
      </w:r>
      <w:r w:rsidR="00565921" w:rsidRPr="00865C47">
        <w:t xml:space="preserve">fibroblast growth factor receptor </w:t>
      </w:r>
      <w:r w:rsidRPr="00865C47">
        <w:t xml:space="preserve">status from the central genomics laboratory: Cohort A = </w:t>
      </w:r>
      <w:r w:rsidR="00565921" w:rsidRPr="00865C47">
        <w:t xml:space="preserve">fibroblast growth factor receptor </w:t>
      </w:r>
      <w:r w:rsidRPr="00865C47">
        <w:t>2 rearrangements or fusions.</w:t>
      </w:r>
    </w:p>
    <w:p w14:paraId="3CB0E85E" w14:textId="06D8C8E7" w:rsidR="00E02528" w:rsidRPr="00865C47" w:rsidRDefault="00E02528" w:rsidP="00565921">
      <w:pPr>
        <w:pStyle w:val="FigureDescription"/>
      </w:pPr>
      <w:r w:rsidRPr="00865C47">
        <w:t>Other races include Black or African American, Hispanic, Latino, or Spanish, not reported, or missing. Rest of World includes Israel, Japan, South Korea, Taiwan, and Thailand.</w:t>
      </w:r>
    </w:p>
    <w:bookmarkEnd w:id="124"/>
    <w:bookmarkEnd w:id="125"/>
    <w:bookmarkEnd w:id="126"/>
    <w:p w14:paraId="467C9863" w14:textId="2722E6BC" w:rsidR="008A58D2" w:rsidRPr="00865C47" w:rsidRDefault="008A58D2" w:rsidP="008A58D2">
      <w:r w:rsidRPr="00865C47">
        <w:t xml:space="preserve">In the </w:t>
      </w:r>
      <w:r w:rsidR="00A93FFB" w:rsidRPr="00865C47">
        <w:t>duration of response</w:t>
      </w:r>
      <w:r w:rsidRPr="00865C47">
        <w:t xml:space="preserve"> subgroup analysis of responders with hepatic or renal impairment, many had a durable confirmed response</w:t>
      </w:r>
      <w:r w:rsidR="00892AE8" w:rsidRPr="00865C47">
        <w:t xml:space="preserve"> </w:t>
      </w:r>
      <w:r w:rsidRPr="00865C47">
        <w:t xml:space="preserve">(See </w:t>
      </w:r>
      <w:r w:rsidR="007F555D" w:rsidRPr="00865C47">
        <w:fldChar w:fldCharType="begin"/>
      </w:r>
      <w:r w:rsidR="007F555D" w:rsidRPr="00865C47">
        <w:instrText xml:space="preserve"> REF _Ref85888332 \h </w:instrText>
      </w:r>
      <w:r w:rsidR="00825311" w:rsidRPr="00865C47">
        <w:instrText xml:space="preserve"> \* MERGEFORMAT </w:instrText>
      </w:r>
      <w:r w:rsidR="007F555D" w:rsidRPr="00865C47">
        <w:fldChar w:fldCharType="separate"/>
      </w:r>
      <w:r w:rsidR="005D22F2" w:rsidRPr="00865C47">
        <w:t xml:space="preserve">Figure </w:t>
      </w:r>
      <w:r w:rsidR="005D22F2">
        <w:rPr>
          <w:noProof/>
        </w:rPr>
        <w:t>14</w:t>
      </w:r>
      <w:r w:rsidR="007F555D" w:rsidRPr="00865C47">
        <w:fldChar w:fldCharType="end"/>
      </w:r>
      <w:r w:rsidR="00825311" w:rsidRPr="00865C47">
        <w:t xml:space="preserve"> below</w:t>
      </w:r>
      <w:r w:rsidRPr="00865C47">
        <w:t>).</w:t>
      </w:r>
    </w:p>
    <w:p w14:paraId="157224DC" w14:textId="3EEB2636" w:rsidR="007F555D" w:rsidRPr="00865C47" w:rsidRDefault="007F555D" w:rsidP="008A51BB">
      <w:pPr>
        <w:pStyle w:val="FigureTitle"/>
      </w:pPr>
      <w:bookmarkStart w:id="127" w:name="_Ref85888332"/>
      <w:bookmarkStart w:id="128" w:name="_Toc87017943"/>
      <w:bookmarkStart w:id="129" w:name="_Toc87018177"/>
      <w:bookmarkStart w:id="130" w:name="_Toc87018381"/>
      <w:r w:rsidRPr="00865C47">
        <w:t xml:space="preserve">Figure </w:t>
      </w:r>
      <w:r w:rsidR="00547529">
        <w:fldChar w:fldCharType="begin"/>
      </w:r>
      <w:r w:rsidR="00547529">
        <w:instrText xml:space="preserve"> SEQ Figure \* ARABIC </w:instrText>
      </w:r>
      <w:r w:rsidR="00547529">
        <w:fldChar w:fldCharType="separate"/>
      </w:r>
      <w:r w:rsidR="005D22F2">
        <w:rPr>
          <w:noProof/>
        </w:rPr>
        <w:t>14</w:t>
      </w:r>
      <w:r w:rsidR="00547529">
        <w:rPr>
          <w:noProof/>
        </w:rPr>
        <w:fldChar w:fldCharType="end"/>
      </w:r>
      <w:bookmarkEnd w:id="127"/>
      <w:r w:rsidR="008A51BB" w:rsidRPr="00865C47">
        <w:t>:</w:t>
      </w:r>
      <w:r w:rsidRPr="00865C47">
        <w:t xml:space="preserve"> </w:t>
      </w:r>
      <w:r w:rsidR="00825311" w:rsidRPr="00865C47">
        <w:t>Study INCB 54828-202</w:t>
      </w:r>
      <w:r w:rsidRPr="00865C47">
        <w:t xml:space="preserve"> Forest plot of </w:t>
      </w:r>
      <w:r w:rsidR="008A51BB" w:rsidRPr="00865C47">
        <w:t xml:space="preserve">duration of response </w:t>
      </w:r>
      <w:r w:rsidRPr="00865C47">
        <w:t xml:space="preserve">by subgroups of renal and hepatic impairment grade on 22 March 2019 per </w:t>
      </w:r>
      <w:r w:rsidR="008A51BB" w:rsidRPr="00865C47">
        <w:t>Independent Review Committee (Cohort A, efficacy evaluable population</w:t>
      </w:r>
      <w:bookmarkEnd w:id="128"/>
      <w:bookmarkEnd w:id="129"/>
      <w:bookmarkEnd w:id="130"/>
      <w:r w:rsidR="008A51BB" w:rsidRPr="00865C47">
        <w:t>)</w:t>
      </w:r>
    </w:p>
    <w:p w14:paraId="0561B65E" w14:textId="5F029C3E" w:rsidR="00E02528" w:rsidRPr="00865C47" w:rsidRDefault="00E02528" w:rsidP="00E02528">
      <w:r w:rsidRPr="00865C47">
        <w:rPr>
          <w:noProof/>
          <w:lang w:val="en-GB" w:eastAsia="en-GB"/>
        </w:rPr>
        <w:drawing>
          <wp:inline distT="0" distB="0" distL="0" distR="0" wp14:anchorId="51E563A7" wp14:editId="7E3C462E">
            <wp:extent cx="5759450" cy="2951480"/>
            <wp:effectExtent l="0" t="0" r="0" b="1270"/>
            <wp:docPr id="38" name="Picture 38" descr="Figure 14: Study INCB 54828-202 Forest plot of duration of response by subgroups of renal and hepatic impairment grade on 22 March 2019 per Independent Review Committee (Cohort A,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4: Study INCB 54828-202 Forest plot of duration of response by subgroups of renal and hepatic impairment grade on 22 March 2019 per Independent Review Committee (Cohort A, efficacy evaluable population)"/>
                    <pic:cNvPicPr/>
                  </pic:nvPicPr>
                  <pic:blipFill>
                    <a:blip r:embed="rId47"/>
                    <a:stretch>
                      <a:fillRect/>
                    </a:stretch>
                  </pic:blipFill>
                  <pic:spPr>
                    <a:xfrm>
                      <a:off x="0" y="0"/>
                      <a:ext cx="5759450" cy="2951480"/>
                    </a:xfrm>
                    <a:prstGeom prst="rect">
                      <a:avLst/>
                    </a:prstGeom>
                  </pic:spPr>
                </pic:pic>
              </a:graphicData>
            </a:graphic>
          </wp:inline>
        </w:drawing>
      </w:r>
    </w:p>
    <w:p w14:paraId="148CC38A" w14:textId="482948B6" w:rsidR="00565921" w:rsidRPr="00865C47" w:rsidRDefault="00565921" w:rsidP="00565921">
      <w:pPr>
        <w:pStyle w:val="FigureDescription"/>
      </w:pPr>
      <w:r w:rsidRPr="00865C47">
        <w:t>Abbreviations: CI = confidence interval; DOR = duration of response.</w:t>
      </w:r>
    </w:p>
    <w:p w14:paraId="75A3DCE8" w14:textId="16CE8BA7" w:rsidR="00E02528" w:rsidRPr="00865C47" w:rsidRDefault="00565921" w:rsidP="00565921">
      <w:pPr>
        <w:pStyle w:val="FigureDescription"/>
      </w:pPr>
      <w:r w:rsidRPr="00865C47">
        <w:t>D</w:t>
      </w:r>
      <w:r w:rsidR="00E02528" w:rsidRPr="00865C47">
        <w:t xml:space="preserve">ata are from independent centralised radiological review committee per </w:t>
      </w:r>
      <w:r w:rsidRPr="00865C47">
        <w:t xml:space="preserve">Response Evaluation Criteria in Solid </w:t>
      </w:r>
      <w:r w:rsidR="00F05332" w:rsidRPr="00865C47">
        <w:t>Tumours</w:t>
      </w:r>
      <w:r w:rsidRPr="00865C47">
        <w:t xml:space="preserve"> (</w:t>
      </w:r>
      <w:r w:rsidR="00E02528" w:rsidRPr="00865C47">
        <w:t>RECIST</w:t>
      </w:r>
      <w:r w:rsidRPr="00865C47">
        <w:t>)</w:t>
      </w:r>
      <w:r w:rsidR="00E02528" w:rsidRPr="00865C47">
        <w:t xml:space="preserve"> v</w:t>
      </w:r>
      <w:r w:rsidRPr="00865C47">
        <w:t xml:space="preserve">ersion </w:t>
      </w:r>
      <w:r w:rsidR="00E02528" w:rsidRPr="00865C47">
        <w:t>1.1</w:t>
      </w:r>
    </w:p>
    <w:p w14:paraId="3E29CB82" w14:textId="5F0F0459" w:rsidR="00892AE8" w:rsidRPr="00865C47" w:rsidRDefault="00E02528" w:rsidP="00565921">
      <w:pPr>
        <w:pStyle w:val="FigureDescription"/>
      </w:pPr>
      <w:r w:rsidRPr="00865C47">
        <w:t>Cohort determination is based</w:t>
      </w:r>
      <w:r w:rsidR="00565921" w:rsidRPr="00865C47">
        <w:t xml:space="preserve"> </w:t>
      </w:r>
      <w:r w:rsidRPr="00865C47">
        <w:t xml:space="preserve">on </w:t>
      </w:r>
      <w:r w:rsidR="00565921" w:rsidRPr="00865C47">
        <w:t xml:space="preserve">fibroblast growth factor/fibroblast growth factor receptor </w:t>
      </w:r>
      <w:r w:rsidRPr="00865C47">
        <w:t xml:space="preserve">status from central genomic laboratory. Cohort A = </w:t>
      </w:r>
      <w:r w:rsidR="00565921" w:rsidRPr="00865C47">
        <w:t xml:space="preserve">fibroblast growth factor receptor </w:t>
      </w:r>
      <w:r w:rsidRPr="00865C47">
        <w:t>2 translocation.</w:t>
      </w:r>
    </w:p>
    <w:p w14:paraId="27B13C2C" w14:textId="26E401F8" w:rsidR="00E02528" w:rsidRPr="00865C47" w:rsidRDefault="00E02528" w:rsidP="00565921">
      <w:pPr>
        <w:pStyle w:val="FigureDescription"/>
      </w:pPr>
      <w:r w:rsidRPr="00865C47">
        <w:t>The 95% confidence interval is calculated u</w:t>
      </w:r>
      <w:r w:rsidR="00BB0B32">
        <w:t>s</w:t>
      </w:r>
      <w:r w:rsidRPr="00865C47">
        <w:t>ing the Brookmeyer and Crowley’s method (1982)</w:t>
      </w:r>
      <w:r w:rsidR="00565921" w:rsidRPr="00865C47">
        <w:t>.</w:t>
      </w:r>
      <w:r w:rsidR="00565921" w:rsidRPr="00865C47">
        <w:rPr>
          <w:vertAlign w:val="superscript"/>
        </w:rPr>
        <w:fldChar w:fldCharType="begin"/>
      </w:r>
      <w:r w:rsidR="00565921" w:rsidRPr="00865C47">
        <w:rPr>
          <w:vertAlign w:val="superscript"/>
        </w:rPr>
        <w:instrText xml:space="preserve"> NOTEREF _Ref136010483 \h  \* MERGEFORMAT </w:instrText>
      </w:r>
      <w:r w:rsidR="00565921" w:rsidRPr="00865C47">
        <w:rPr>
          <w:vertAlign w:val="superscript"/>
        </w:rPr>
      </w:r>
      <w:r w:rsidR="00565921" w:rsidRPr="00865C47">
        <w:rPr>
          <w:vertAlign w:val="superscript"/>
        </w:rPr>
        <w:fldChar w:fldCharType="separate"/>
      </w:r>
      <w:r w:rsidR="005D22F2">
        <w:rPr>
          <w:vertAlign w:val="superscript"/>
        </w:rPr>
        <w:t>11</w:t>
      </w:r>
      <w:r w:rsidR="00565921" w:rsidRPr="00865C47">
        <w:rPr>
          <w:vertAlign w:val="superscript"/>
        </w:rPr>
        <w:fldChar w:fldCharType="end"/>
      </w:r>
    </w:p>
    <w:p w14:paraId="626632F9" w14:textId="77777777" w:rsidR="00892AE8" w:rsidRPr="00865C47" w:rsidRDefault="008A58D2" w:rsidP="008E72D2">
      <w:pPr>
        <w:pStyle w:val="Heading7"/>
      </w:pPr>
      <w:r w:rsidRPr="00865C47">
        <w:t>Exploratory endpoints:</w:t>
      </w:r>
    </w:p>
    <w:p w14:paraId="4F1055A9" w14:textId="1E4DC94D" w:rsidR="008A58D2" w:rsidRPr="00865C47" w:rsidRDefault="00825311" w:rsidP="008A58D2">
      <w:r w:rsidRPr="00865C47">
        <w:t>Eastern Cooperative Oncology Group Performance Status</w:t>
      </w:r>
      <w:r w:rsidR="008A58D2" w:rsidRPr="00865C47">
        <w:t>: Interpretation is limited</w:t>
      </w:r>
      <w:r w:rsidRPr="00865C47">
        <w:t>. I</w:t>
      </w:r>
      <w:r w:rsidR="008A58D2" w:rsidRPr="00865C47">
        <w:t xml:space="preserve">t is not possible to determine whether any changes in </w:t>
      </w:r>
      <w:r w:rsidR="00B961FA" w:rsidRPr="00865C47">
        <w:t>ECOG-PS</w:t>
      </w:r>
      <w:r w:rsidRPr="00865C47">
        <w:t xml:space="preserve"> </w:t>
      </w:r>
      <w:r w:rsidR="008A58D2" w:rsidRPr="00865C47">
        <w:t>for the study population are due to some patients improving on treatment, and others deteriorating due to AEs</w:t>
      </w:r>
      <w:r w:rsidRPr="00865C47">
        <w:t xml:space="preserve">, </w:t>
      </w:r>
      <w:proofErr w:type="gramStart"/>
      <w:r w:rsidR="008A58D2" w:rsidRPr="00865C47">
        <w:t>toxicity</w:t>
      </w:r>
      <w:proofErr w:type="gramEnd"/>
      <w:r w:rsidRPr="00865C47">
        <w:t xml:space="preserve"> or </w:t>
      </w:r>
      <w:r w:rsidR="00865C47" w:rsidRPr="00865C47">
        <w:t>progressive disease</w:t>
      </w:r>
      <w:r w:rsidR="008A58D2" w:rsidRPr="00865C47">
        <w:t>.</w:t>
      </w:r>
    </w:p>
    <w:p w14:paraId="755AEF3F" w14:textId="1D31A126" w:rsidR="00892AE8" w:rsidRPr="00865C47" w:rsidRDefault="00B961FA" w:rsidP="008A58D2">
      <w:r w:rsidRPr="00865C47">
        <w:t>Quality of life</w:t>
      </w:r>
      <w:r w:rsidR="008A58D2" w:rsidRPr="00865C47">
        <w:t>: Interpretation is limited</w:t>
      </w:r>
      <w:r w:rsidR="00825311" w:rsidRPr="00865C47">
        <w:t>. I</w:t>
      </w:r>
      <w:r w:rsidR="008A58D2" w:rsidRPr="00865C47">
        <w:t xml:space="preserve">n the absence of a comparator, it is not possible to determine whether this treatment has a greater negative impact on </w:t>
      </w:r>
      <w:r w:rsidRPr="00865C47">
        <w:t>quality of life</w:t>
      </w:r>
      <w:r w:rsidR="008A58D2" w:rsidRPr="00865C47">
        <w:t xml:space="preserve"> compared to other options.</w:t>
      </w:r>
    </w:p>
    <w:p w14:paraId="32244F3A" w14:textId="16646163" w:rsidR="008A58D2" w:rsidRPr="004C535F" w:rsidRDefault="008A58D2" w:rsidP="004C535F">
      <w:pPr>
        <w:pStyle w:val="Heading5"/>
      </w:pPr>
      <w:r w:rsidRPr="004C535F">
        <w:t>Other efficacy studies</w:t>
      </w:r>
    </w:p>
    <w:p w14:paraId="36002B2E" w14:textId="3F69C891" w:rsidR="008A58D2" w:rsidRPr="00865C47" w:rsidRDefault="008A58D2" w:rsidP="008A58D2">
      <w:r w:rsidRPr="00865C47">
        <w:t xml:space="preserve">The findings of </w:t>
      </w:r>
      <w:r w:rsidR="00825311" w:rsidRPr="00865C47">
        <w:t xml:space="preserve">Studies </w:t>
      </w:r>
      <w:r w:rsidRPr="00865C47">
        <w:t>INCB 54828-101 and INCB 54828-102 are supportive of a varying degree of anti-tumour activity in the proposed population.</w:t>
      </w:r>
    </w:p>
    <w:p w14:paraId="3F8545A6" w14:textId="2E4DBF1B" w:rsidR="008A58D2" w:rsidRPr="004C535F" w:rsidRDefault="008A58D2" w:rsidP="004C535F">
      <w:pPr>
        <w:pStyle w:val="Heading4"/>
      </w:pPr>
      <w:bookmarkStart w:id="131" w:name="_Toc139284939"/>
      <w:r w:rsidRPr="004C535F">
        <w:lastRenderedPageBreak/>
        <w:t>Safety</w:t>
      </w:r>
      <w:bookmarkEnd w:id="131"/>
    </w:p>
    <w:p w14:paraId="77A9280D" w14:textId="2A9F9F13" w:rsidR="00F05332" w:rsidRPr="004C535F" w:rsidRDefault="00F05332" w:rsidP="004C535F">
      <w:pPr>
        <w:pStyle w:val="Heading5"/>
      </w:pPr>
      <w:r w:rsidRPr="004C535F">
        <w:t>Exposure</w:t>
      </w:r>
    </w:p>
    <w:p w14:paraId="76CDC525" w14:textId="2E0E9886" w:rsidR="008A58D2" w:rsidRPr="00865C47" w:rsidRDefault="008A58D2" w:rsidP="008A58D2">
      <w:r w:rsidRPr="00865C47">
        <w:t xml:space="preserve">The database for the pooled safety analyses includes data from participants in </w:t>
      </w:r>
      <w:r w:rsidR="00825311" w:rsidRPr="00865C47">
        <w:t>Studies </w:t>
      </w:r>
      <w:r w:rsidRPr="00865C47">
        <w:t>INCB</w:t>
      </w:r>
      <w:r w:rsidR="00825311" w:rsidRPr="00865C47">
        <w:t> </w:t>
      </w:r>
      <w:r w:rsidRPr="00865C47">
        <w:t xml:space="preserve">54828-101, </w:t>
      </w:r>
      <w:r w:rsidR="00825311" w:rsidRPr="00865C47">
        <w:t>INCB 54828</w:t>
      </w:r>
      <w:r w:rsidRPr="00865C47">
        <w:t xml:space="preserve">-102, </w:t>
      </w:r>
      <w:r w:rsidR="00825311" w:rsidRPr="00865C47">
        <w:t>INCB 54828</w:t>
      </w:r>
      <w:r w:rsidRPr="00865C47">
        <w:t xml:space="preserve">-201, </w:t>
      </w:r>
      <w:r w:rsidR="00825311" w:rsidRPr="00865C47">
        <w:t>INCB 54828</w:t>
      </w:r>
      <w:r w:rsidRPr="00865C47">
        <w:t xml:space="preserve">-202, and </w:t>
      </w:r>
      <w:r w:rsidR="00825311" w:rsidRPr="00865C47">
        <w:t>INCB 54828</w:t>
      </w:r>
      <w:r w:rsidR="00825311" w:rsidRPr="00865C47">
        <w:noBreakHyphen/>
      </w:r>
      <w:r w:rsidRPr="00865C47">
        <w:t xml:space="preserve">203 who received pemigatinib as monotherapy and are included in the modified safety population. The modified safety population is composed of those who completed at least one cycle of treatment, unless the participant experienced a toxicity considered at least possibly related to pemigatinib prior to the completion of </w:t>
      </w:r>
      <w:r w:rsidR="00C70544">
        <w:t xml:space="preserve">Cycle </w:t>
      </w:r>
      <w:r w:rsidRPr="00865C47">
        <w:t>1.</w:t>
      </w:r>
    </w:p>
    <w:p w14:paraId="4F112675" w14:textId="24F8A432" w:rsidR="008A58D2" w:rsidRPr="00865C47" w:rsidRDefault="008A58D2" w:rsidP="008A58D2">
      <w:r w:rsidRPr="00865C47">
        <w:t xml:space="preserve">The </w:t>
      </w:r>
      <w:r w:rsidR="00825311" w:rsidRPr="00865C47">
        <w:t>two</w:t>
      </w:r>
      <w:r w:rsidRPr="00865C47">
        <w:t xml:space="preserve"> pooled populations described in the </w:t>
      </w:r>
      <w:r w:rsidR="00865C47">
        <w:t>dossier</w:t>
      </w:r>
      <w:r w:rsidRPr="00865C47">
        <w:t xml:space="preserve"> include the cholangiocarcinoma population (n</w:t>
      </w:r>
      <w:r w:rsidR="00825311" w:rsidRPr="00865C47">
        <w:t xml:space="preserve"> </w:t>
      </w:r>
      <w:r w:rsidRPr="00865C47">
        <w:t>=</w:t>
      </w:r>
      <w:r w:rsidR="00825311" w:rsidRPr="00865C47">
        <w:t xml:space="preserve"> </w:t>
      </w:r>
      <w:r w:rsidRPr="00865C47">
        <w:t>161; participants in the modified safety population with cholangiocarcinoma regardless of FGF/FGFR status, who were treated with pemigatinib monotherapy) and all cancer population (n</w:t>
      </w:r>
      <w:r w:rsidR="00825311" w:rsidRPr="00865C47">
        <w:t xml:space="preserve"> </w:t>
      </w:r>
      <w:r w:rsidRPr="00865C47">
        <w:t>=</w:t>
      </w:r>
      <w:r w:rsidR="00825311" w:rsidRPr="00865C47">
        <w:t xml:space="preserve"> </w:t>
      </w:r>
      <w:r w:rsidRPr="00865C47">
        <w:t>466; participants in the modified safety population with advanced malignancies who were treated with pemigatinib monotherapy)</w:t>
      </w:r>
      <w:r w:rsidR="00825311" w:rsidRPr="00865C47">
        <w:t>. S</w:t>
      </w:r>
      <w:r w:rsidR="0002197C" w:rsidRPr="00865C47">
        <w:t xml:space="preserve">ee </w:t>
      </w:r>
      <w:r w:rsidR="0002197C" w:rsidRPr="00865C47">
        <w:fldChar w:fldCharType="begin"/>
      </w:r>
      <w:r w:rsidR="0002197C" w:rsidRPr="00865C47">
        <w:instrText xml:space="preserve"> REF _Ref135741503 \h </w:instrText>
      </w:r>
      <w:r w:rsidR="00865C47">
        <w:instrText xml:space="preserve"> \* MERGEFORMAT </w:instrText>
      </w:r>
      <w:r w:rsidR="0002197C" w:rsidRPr="00865C47">
        <w:fldChar w:fldCharType="separate"/>
      </w:r>
      <w:r w:rsidR="005D22F2" w:rsidRPr="00865C47">
        <w:t xml:space="preserve">Table </w:t>
      </w:r>
      <w:r w:rsidR="005D22F2">
        <w:rPr>
          <w:noProof/>
        </w:rPr>
        <w:t>12</w:t>
      </w:r>
      <w:r w:rsidR="0002197C" w:rsidRPr="00865C47">
        <w:fldChar w:fldCharType="end"/>
      </w:r>
      <w:r w:rsidR="00825311" w:rsidRPr="00865C47">
        <w:t xml:space="preserve"> </w:t>
      </w:r>
      <w:r w:rsidR="0002197C" w:rsidRPr="00865C47">
        <w:t xml:space="preserve">and </w:t>
      </w:r>
      <w:r w:rsidR="0002197C" w:rsidRPr="00865C47">
        <w:fldChar w:fldCharType="begin"/>
      </w:r>
      <w:r w:rsidR="0002197C" w:rsidRPr="00865C47">
        <w:instrText xml:space="preserve"> REF _Ref135741513 \h </w:instrText>
      </w:r>
      <w:r w:rsidR="00865C47">
        <w:instrText xml:space="preserve"> \* MERGEFORMAT </w:instrText>
      </w:r>
      <w:r w:rsidR="0002197C" w:rsidRPr="00865C47">
        <w:fldChar w:fldCharType="separate"/>
      </w:r>
      <w:r w:rsidR="005D22F2" w:rsidRPr="00865C47">
        <w:t xml:space="preserve">Table </w:t>
      </w:r>
      <w:r w:rsidR="005D22F2">
        <w:rPr>
          <w:noProof/>
        </w:rPr>
        <w:t>13</w:t>
      </w:r>
      <w:r w:rsidR="0002197C" w:rsidRPr="00865C47">
        <w:fldChar w:fldCharType="end"/>
      </w:r>
      <w:r w:rsidR="0002197C" w:rsidRPr="00865C47">
        <w:t xml:space="preserve"> below</w:t>
      </w:r>
      <w:r w:rsidR="00825311" w:rsidRPr="00865C47">
        <w:t xml:space="preserve"> for further details</w:t>
      </w:r>
      <w:r w:rsidRPr="00865C47">
        <w:t>.</w:t>
      </w:r>
    </w:p>
    <w:p w14:paraId="2050F90E" w14:textId="4A31DA73" w:rsidR="0002197C" w:rsidRPr="00865C47" w:rsidRDefault="0002197C" w:rsidP="008A51BB">
      <w:pPr>
        <w:pStyle w:val="TableTitle"/>
      </w:pPr>
      <w:bookmarkStart w:id="132" w:name="_Ref135741503"/>
      <w:bookmarkStart w:id="133" w:name="_Toc87017871"/>
      <w:bookmarkStart w:id="134" w:name="_Toc87202015"/>
      <w:r w:rsidRPr="00865C47">
        <w:t xml:space="preserve">Table </w:t>
      </w:r>
      <w:r w:rsidR="00547529">
        <w:fldChar w:fldCharType="begin"/>
      </w:r>
      <w:r w:rsidR="00547529">
        <w:instrText xml:space="preserve"> SEQ Table \* ARABIC </w:instrText>
      </w:r>
      <w:r w:rsidR="00547529">
        <w:fldChar w:fldCharType="separate"/>
      </w:r>
      <w:r w:rsidR="005D22F2">
        <w:rPr>
          <w:noProof/>
        </w:rPr>
        <w:t>12</w:t>
      </w:r>
      <w:r w:rsidR="00547529">
        <w:rPr>
          <w:noProof/>
        </w:rPr>
        <w:fldChar w:fldCharType="end"/>
      </w:r>
      <w:bookmarkEnd w:id="132"/>
      <w:r w:rsidR="00E60C44" w:rsidRPr="00865C47">
        <w:t>:</w:t>
      </w:r>
      <w:r w:rsidR="00892AE8" w:rsidRPr="00865C47">
        <w:t xml:space="preserve"> </w:t>
      </w:r>
      <w:r w:rsidRPr="00865C47">
        <w:t>Treatment groups for pooled analyses of safety</w:t>
      </w:r>
      <w:bookmarkEnd w:id="133"/>
      <w:bookmarkEnd w:id="134"/>
    </w:p>
    <w:p w14:paraId="33378E8C" w14:textId="7D8E5410" w:rsidR="00E02528" w:rsidRPr="00865C47" w:rsidRDefault="00E02528" w:rsidP="00E02528">
      <w:r w:rsidRPr="00865C47">
        <w:rPr>
          <w:noProof/>
          <w:lang w:val="en-GB" w:eastAsia="en-GB"/>
        </w:rPr>
        <w:drawing>
          <wp:inline distT="0" distB="0" distL="0" distR="0" wp14:anchorId="1B3BBDEC" wp14:editId="1BF410FB">
            <wp:extent cx="5759450" cy="2033905"/>
            <wp:effectExtent l="0" t="0" r="0" b="4445"/>
            <wp:docPr id="39" name="Picture 39" descr="Table 12: Treatment groups for pooled analyses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2: Treatment groups for pooled analyses of safety"/>
                    <pic:cNvPicPr/>
                  </pic:nvPicPr>
                  <pic:blipFill>
                    <a:blip r:embed="rId48"/>
                    <a:stretch>
                      <a:fillRect/>
                    </a:stretch>
                  </pic:blipFill>
                  <pic:spPr>
                    <a:xfrm>
                      <a:off x="0" y="0"/>
                      <a:ext cx="5759450" cy="2033905"/>
                    </a:xfrm>
                    <a:prstGeom prst="rect">
                      <a:avLst/>
                    </a:prstGeom>
                  </pic:spPr>
                </pic:pic>
              </a:graphicData>
            </a:graphic>
          </wp:inline>
        </w:drawing>
      </w:r>
    </w:p>
    <w:p w14:paraId="073F3E98" w14:textId="54F1EB1B" w:rsidR="0002197C" w:rsidRPr="00865C47" w:rsidRDefault="00565921" w:rsidP="004B01EA">
      <w:pPr>
        <w:pStyle w:val="TableDescription"/>
      </w:pPr>
      <w:r w:rsidRPr="00865C47">
        <w:t xml:space="preserve">Abbreviations: </w:t>
      </w:r>
      <w:bookmarkStart w:id="135" w:name="_Hlk136010618"/>
      <w:r w:rsidR="00E02528" w:rsidRPr="00865C47">
        <w:t>ID = intermittent dose (</w:t>
      </w:r>
      <w:r w:rsidR="00A93FFB" w:rsidRPr="00865C47">
        <w:t>once daily</w:t>
      </w:r>
      <w:r w:rsidR="00E02528" w:rsidRPr="00865C47">
        <w:t xml:space="preserve"> on </w:t>
      </w:r>
      <w:proofErr w:type="gramStart"/>
      <w:r w:rsidR="00E02528" w:rsidRPr="00865C47">
        <w:t xml:space="preserve">a </w:t>
      </w:r>
      <w:r w:rsidR="00825311" w:rsidRPr="00865C47">
        <w:t xml:space="preserve">two </w:t>
      </w:r>
      <w:r w:rsidR="00E02528" w:rsidRPr="00865C47">
        <w:t>weeks</w:t>
      </w:r>
      <w:proofErr w:type="gramEnd"/>
      <w:r w:rsidR="00825311" w:rsidRPr="00865C47">
        <w:t xml:space="preserve"> </w:t>
      </w:r>
      <w:r w:rsidR="00E02528" w:rsidRPr="00865C47">
        <w:t>on</w:t>
      </w:r>
      <w:r w:rsidR="00825311" w:rsidRPr="00865C47">
        <w:t xml:space="preserve">, one </w:t>
      </w:r>
      <w:r w:rsidR="00E02528" w:rsidRPr="00865C47">
        <w:t>week</w:t>
      </w:r>
      <w:r w:rsidR="00825311" w:rsidRPr="00865C47">
        <w:t xml:space="preserve"> </w:t>
      </w:r>
      <w:r w:rsidR="00E02528" w:rsidRPr="00865C47">
        <w:t>off schedule); CD = continuous dose (</w:t>
      </w:r>
      <w:r w:rsidR="00A93FFB" w:rsidRPr="00865C47">
        <w:t>once daily</w:t>
      </w:r>
      <w:r w:rsidR="00E02528" w:rsidRPr="00865C47">
        <w:t>).</w:t>
      </w:r>
      <w:bookmarkEnd w:id="135"/>
    </w:p>
    <w:p w14:paraId="4E53C094" w14:textId="5C0C6B88" w:rsidR="0002197C" w:rsidRPr="00865C47" w:rsidRDefault="0002197C" w:rsidP="008A51BB">
      <w:pPr>
        <w:pStyle w:val="TableTitle"/>
      </w:pPr>
      <w:bookmarkStart w:id="136" w:name="_Ref135741513"/>
      <w:bookmarkStart w:id="137" w:name="_Toc87017872"/>
      <w:bookmarkStart w:id="138" w:name="_Toc87202016"/>
      <w:r w:rsidRPr="00865C47">
        <w:t xml:space="preserve">Table </w:t>
      </w:r>
      <w:r w:rsidR="00547529">
        <w:fldChar w:fldCharType="begin"/>
      </w:r>
      <w:r w:rsidR="00547529">
        <w:instrText xml:space="preserve"> SEQ Table \* A</w:instrText>
      </w:r>
      <w:r w:rsidR="00547529">
        <w:instrText xml:space="preserve">RABIC </w:instrText>
      </w:r>
      <w:r w:rsidR="00547529">
        <w:fldChar w:fldCharType="separate"/>
      </w:r>
      <w:r w:rsidR="005D22F2">
        <w:rPr>
          <w:noProof/>
        </w:rPr>
        <w:t>13</w:t>
      </w:r>
      <w:r w:rsidR="00547529">
        <w:rPr>
          <w:noProof/>
        </w:rPr>
        <w:fldChar w:fldCharType="end"/>
      </w:r>
      <w:bookmarkEnd w:id="136"/>
      <w:r w:rsidR="00E60C44" w:rsidRPr="00865C47">
        <w:t xml:space="preserve">: </w:t>
      </w:r>
      <w:r w:rsidRPr="00865C47">
        <w:t>Summary of the number of participants with advanced malignancies (</w:t>
      </w:r>
      <w:r w:rsidR="00E60C44" w:rsidRPr="00865C47">
        <w:t>cholangiocarcinoma</w:t>
      </w:r>
      <w:r w:rsidR="00E02528" w:rsidRPr="00865C47">
        <w:t>)</w:t>
      </w:r>
      <w:r w:rsidRPr="00865C47">
        <w:t xml:space="preserve"> who received at least one dose of pemigatinib as monotherapy by dose regimen</w:t>
      </w:r>
      <w:bookmarkEnd w:id="137"/>
      <w:bookmarkEnd w:id="138"/>
    </w:p>
    <w:p w14:paraId="66D5719C" w14:textId="372CB4DF" w:rsidR="00E02528" w:rsidRPr="00865C47" w:rsidRDefault="00E02528" w:rsidP="00E02528">
      <w:r w:rsidRPr="00865C47">
        <w:rPr>
          <w:noProof/>
          <w:lang w:val="en-GB" w:eastAsia="en-GB"/>
        </w:rPr>
        <w:drawing>
          <wp:inline distT="0" distB="0" distL="0" distR="0" wp14:anchorId="04F09960" wp14:editId="41C24694">
            <wp:extent cx="5759450" cy="1489075"/>
            <wp:effectExtent l="0" t="0" r="0" b="0"/>
            <wp:docPr id="40" name="Picture 40" descr="Table 13: Summary of the number of participants with advanced malignancies (cholangiocarcinoma) who received at least one dose of pemigatinib as monotherapy by dose reg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 13: Summary of the number of participants with advanced malignancies (cholangiocarcinoma) who received at least one dose of pemigatinib as monotherapy by dose regimen"/>
                    <pic:cNvPicPr/>
                  </pic:nvPicPr>
                  <pic:blipFill>
                    <a:blip r:embed="rId49"/>
                    <a:stretch>
                      <a:fillRect/>
                    </a:stretch>
                  </pic:blipFill>
                  <pic:spPr>
                    <a:xfrm>
                      <a:off x="0" y="0"/>
                      <a:ext cx="5759450" cy="1489075"/>
                    </a:xfrm>
                    <a:prstGeom prst="rect">
                      <a:avLst/>
                    </a:prstGeom>
                  </pic:spPr>
                </pic:pic>
              </a:graphicData>
            </a:graphic>
          </wp:inline>
        </w:drawing>
      </w:r>
    </w:p>
    <w:p w14:paraId="6078007C" w14:textId="356F523C" w:rsidR="00E02528" w:rsidRPr="00865C47" w:rsidRDefault="00E02528" w:rsidP="00565921">
      <w:pPr>
        <w:pStyle w:val="TableDescription"/>
      </w:pPr>
      <w:r w:rsidRPr="00865C47">
        <w:t>Presented as number of participants with advanced malignancies (number of participants with cholangiocarcinoma).</w:t>
      </w:r>
    </w:p>
    <w:p w14:paraId="76B773B7" w14:textId="77777777" w:rsidR="00E02528" w:rsidRPr="00865C47" w:rsidRDefault="00E02528" w:rsidP="00565921">
      <w:pPr>
        <w:pStyle w:val="TableDescription"/>
      </w:pPr>
      <w:r w:rsidRPr="00865C47">
        <w:t>Treatment group determined according to the actual dose the participant received on Day 1.</w:t>
      </w:r>
    </w:p>
    <w:p w14:paraId="76DF33C1" w14:textId="33225808" w:rsidR="00E02528" w:rsidRPr="00865C47" w:rsidRDefault="00E02528" w:rsidP="00565921">
      <w:pPr>
        <w:pStyle w:val="TableDescription"/>
      </w:pPr>
      <w:r w:rsidRPr="00865C47">
        <w:t xml:space="preserve">a Pemigatinib was administered </w:t>
      </w:r>
      <w:r w:rsidR="00A93FFB" w:rsidRPr="00865C47">
        <w:t>once daily</w:t>
      </w:r>
      <w:r w:rsidRPr="00865C47">
        <w:t xml:space="preserve"> on </w:t>
      </w:r>
      <w:proofErr w:type="gramStart"/>
      <w:r w:rsidRPr="00865C47">
        <w:t xml:space="preserve">a </w:t>
      </w:r>
      <w:r w:rsidR="00825311" w:rsidRPr="00865C47">
        <w:t xml:space="preserve">two </w:t>
      </w:r>
      <w:r w:rsidRPr="00865C47">
        <w:t>weeks</w:t>
      </w:r>
      <w:proofErr w:type="gramEnd"/>
      <w:r w:rsidR="00825311" w:rsidRPr="00865C47">
        <w:t xml:space="preserve"> </w:t>
      </w:r>
      <w:r w:rsidRPr="00865C47">
        <w:t>on</w:t>
      </w:r>
      <w:r w:rsidR="00825311" w:rsidRPr="00865C47">
        <w:t xml:space="preserve">, </w:t>
      </w:r>
      <w:r w:rsidR="00BB0B32">
        <w:t xml:space="preserve">one </w:t>
      </w:r>
      <w:r w:rsidRPr="00865C47">
        <w:t>week</w:t>
      </w:r>
      <w:r w:rsidR="00825311" w:rsidRPr="00865C47">
        <w:t xml:space="preserve"> </w:t>
      </w:r>
      <w:r w:rsidRPr="00865C47">
        <w:t>off schedule.</w:t>
      </w:r>
    </w:p>
    <w:p w14:paraId="6BD1721D" w14:textId="0E2A932F" w:rsidR="00E02528" w:rsidRPr="00865C47" w:rsidRDefault="00E02528" w:rsidP="00565921">
      <w:pPr>
        <w:pStyle w:val="TableDescription"/>
      </w:pPr>
      <w:r w:rsidRPr="00865C47">
        <w:t xml:space="preserve">b Pemigatinib was administered </w:t>
      </w:r>
      <w:r w:rsidR="00A93FFB" w:rsidRPr="00865C47">
        <w:t>once daily</w:t>
      </w:r>
      <w:r w:rsidRPr="00865C47">
        <w:t>.</w:t>
      </w:r>
    </w:p>
    <w:p w14:paraId="38A4776A" w14:textId="0AB2A862" w:rsidR="0002197C" w:rsidRPr="00865C47" w:rsidRDefault="00E02528" w:rsidP="00565921">
      <w:pPr>
        <w:pStyle w:val="TableDescription"/>
      </w:pPr>
      <w:r w:rsidRPr="00865C47">
        <w:t>c Includes 2 participants with gallbladder tumo</w:t>
      </w:r>
      <w:r w:rsidR="00565921" w:rsidRPr="00865C47">
        <w:t>u</w:t>
      </w:r>
      <w:r w:rsidRPr="00865C47">
        <w:t xml:space="preserve">rs and </w:t>
      </w:r>
      <w:r w:rsidR="008A51BB" w:rsidRPr="00865C47">
        <w:t>one</w:t>
      </w:r>
      <w:r w:rsidRPr="00865C47">
        <w:t xml:space="preserve"> participant with carcinoma of ampulla of </w:t>
      </w:r>
      <w:proofErr w:type="spellStart"/>
      <w:r w:rsidRPr="00865C47">
        <w:t>vater</w:t>
      </w:r>
      <w:proofErr w:type="spellEnd"/>
      <w:r w:rsidR="00565921" w:rsidRPr="00865C47">
        <w:t>.</w:t>
      </w:r>
    </w:p>
    <w:p w14:paraId="5FFD46D2" w14:textId="1F8ACD83" w:rsidR="008A58D2" w:rsidRPr="00865C47" w:rsidRDefault="008A58D2" w:rsidP="008A58D2">
      <w:r w:rsidRPr="00865C47">
        <w:lastRenderedPageBreak/>
        <w:t xml:space="preserve">The </w:t>
      </w:r>
      <w:r w:rsidR="00E60C44" w:rsidRPr="00865C47">
        <w:t>evaluation</w:t>
      </w:r>
      <w:r w:rsidRPr="00865C47">
        <w:t xml:space="preserve"> focussed primary on the safety data from the pivotal study Addendum </w:t>
      </w:r>
      <w:r w:rsidR="00825311" w:rsidRPr="00865C47">
        <w:t xml:space="preserve">clinical study report </w:t>
      </w:r>
      <w:r w:rsidRPr="00865C47">
        <w:t>2</w:t>
      </w:r>
      <w:r w:rsidR="00865C47">
        <w:t xml:space="preserve"> </w:t>
      </w:r>
      <w:r w:rsidRPr="00865C47">
        <w:t>(data from March 22</w:t>
      </w:r>
      <w:proofErr w:type="gramStart"/>
      <w:r w:rsidRPr="00865C47">
        <w:t xml:space="preserve"> 2019</w:t>
      </w:r>
      <w:proofErr w:type="gramEnd"/>
      <w:r w:rsidRPr="00865C47">
        <w:t xml:space="preserve"> cut-off of initial </w:t>
      </w:r>
      <w:r w:rsidR="00825311" w:rsidRPr="00865C47">
        <w:t>clinical study report</w:t>
      </w:r>
      <w:r w:rsidRPr="00865C47">
        <w:t>) were also considered.</w:t>
      </w:r>
    </w:p>
    <w:p w14:paraId="5F461322" w14:textId="77777777" w:rsidR="00892AE8" w:rsidRPr="00865C47" w:rsidRDefault="008A58D2" w:rsidP="008E72D2">
      <w:pPr>
        <w:pStyle w:val="Heading5"/>
      </w:pPr>
      <w:r w:rsidRPr="00865C47">
        <w:t>Study INCB 54828-202</w:t>
      </w:r>
    </w:p>
    <w:p w14:paraId="527F93BD" w14:textId="489B39B9" w:rsidR="00892AE8" w:rsidRPr="00865C47" w:rsidRDefault="008A58D2" w:rsidP="008A58D2">
      <w:r w:rsidRPr="00865C47">
        <w:t xml:space="preserve">As of </w:t>
      </w:r>
      <w:proofErr w:type="gramStart"/>
      <w:r w:rsidRPr="00865C47">
        <w:t>7 April 2020</w:t>
      </w:r>
      <w:proofErr w:type="gramEnd"/>
      <w:r w:rsidRPr="00865C47">
        <w:t xml:space="preserve"> cut-off date, 10</w:t>
      </w:r>
      <w:r w:rsidR="00825311" w:rsidRPr="00865C47">
        <w:t xml:space="preserve"> of </w:t>
      </w:r>
      <w:r w:rsidRPr="00865C47">
        <w:t>108 (0.9%) patients remained on treatment in Cohort A and 35</w:t>
      </w:r>
      <w:r w:rsidR="00825311" w:rsidRPr="00865C47">
        <w:t> </w:t>
      </w:r>
      <w:r w:rsidRPr="00865C47">
        <w:t>(32%) remained in the study; the median duration of exposure was 220 days (range: 7</w:t>
      </w:r>
      <w:r w:rsidR="00825311" w:rsidRPr="00865C47">
        <w:t xml:space="preserve"> to </w:t>
      </w:r>
      <w:r w:rsidRPr="00865C47">
        <w:t>1112</w:t>
      </w:r>
      <w:r w:rsidR="00825311" w:rsidRPr="00865C47">
        <w:t> </w:t>
      </w:r>
      <w:r w:rsidRPr="00865C47">
        <w:t>days).</w:t>
      </w:r>
    </w:p>
    <w:p w14:paraId="17F8913E" w14:textId="6F03D06B" w:rsidR="008A58D2" w:rsidRPr="00865C47" w:rsidRDefault="008A58D2" w:rsidP="008A58D2">
      <w:r w:rsidRPr="00865C47">
        <w:t xml:space="preserve">Among the 108 patients in Cohort A, 60.1% were exposed for 6 months or longer, and 30.6% were exposed for longer than 12 months (see </w:t>
      </w:r>
      <w:r w:rsidR="007F555D" w:rsidRPr="00865C47">
        <w:fldChar w:fldCharType="begin"/>
      </w:r>
      <w:r w:rsidR="007F555D" w:rsidRPr="00865C47">
        <w:instrText xml:space="preserve"> REF _Ref135735407 \h </w:instrText>
      </w:r>
      <w:r w:rsidR="00825311" w:rsidRPr="00865C47">
        <w:instrText xml:space="preserve"> \* MERGEFORMAT </w:instrText>
      </w:r>
      <w:r w:rsidR="007F555D" w:rsidRPr="00865C47">
        <w:fldChar w:fldCharType="separate"/>
      </w:r>
      <w:r w:rsidR="005D22F2" w:rsidRPr="00865C47">
        <w:t xml:space="preserve">Table </w:t>
      </w:r>
      <w:r w:rsidR="005D22F2">
        <w:rPr>
          <w:noProof/>
        </w:rPr>
        <w:t>14</w:t>
      </w:r>
      <w:r w:rsidR="007F555D" w:rsidRPr="00865C47">
        <w:fldChar w:fldCharType="end"/>
      </w:r>
      <w:r w:rsidR="00825311" w:rsidRPr="00865C47">
        <w:t xml:space="preserve"> below</w:t>
      </w:r>
      <w:r w:rsidRPr="00865C47">
        <w:t>).</w:t>
      </w:r>
    </w:p>
    <w:p w14:paraId="0E7825CD" w14:textId="547C1542" w:rsidR="007F555D" w:rsidRPr="00865C47" w:rsidRDefault="007F555D" w:rsidP="008A51BB">
      <w:pPr>
        <w:pStyle w:val="TableTitle"/>
      </w:pPr>
      <w:bookmarkStart w:id="139" w:name="_Ref135735407"/>
      <w:bookmarkStart w:id="140" w:name="_Toc87017873"/>
      <w:bookmarkStart w:id="141" w:name="_Toc87202017"/>
      <w:r w:rsidRPr="00865C47">
        <w:lastRenderedPageBreak/>
        <w:t xml:space="preserve">Table </w:t>
      </w:r>
      <w:r w:rsidR="00547529">
        <w:fldChar w:fldCharType="begin"/>
      </w:r>
      <w:r w:rsidR="00547529">
        <w:instrText xml:space="preserve"> SEQ Table \* ARABIC </w:instrText>
      </w:r>
      <w:r w:rsidR="00547529">
        <w:fldChar w:fldCharType="separate"/>
      </w:r>
      <w:r w:rsidR="005D22F2">
        <w:rPr>
          <w:noProof/>
        </w:rPr>
        <w:t>14</w:t>
      </w:r>
      <w:r w:rsidR="00547529">
        <w:rPr>
          <w:noProof/>
        </w:rPr>
        <w:fldChar w:fldCharType="end"/>
      </w:r>
      <w:bookmarkEnd w:id="139"/>
      <w:r w:rsidR="00E60C44" w:rsidRPr="00865C47">
        <w:t>:</w:t>
      </w:r>
      <w:r w:rsidRPr="00865C47">
        <w:t xml:space="preserve"> </w:t>
      </w:r>
      <w:r w:rsidR="00E60C44" w:rsidRPr="00865C47">
        <w:t xml:space="preserve">Study INCB 54828-202 </w:t>
      </w:r>
      <w:r w:rsidRPr="00865C47">
        <w:t>Summary of pemigatinib exposure as of 7</w:t>
      </w:r>
      <w:r w:rsidR="00E60C44" w:rsidRPr="00865C47">
        <w:t> </w:t>
      </w:r>
      <w:r w:rsidRPr="00865C47">
        <w:t xml:space="preserve">April 2020 </w:t>
      </w:r>
      <w:r w:rsidR="00E60C44" w:rsidRPr="00865C47">
        <w:t>(</w:t>
      </w:r>
      <w:r w:rsidR="008A51BB" w:rsidRPr="00865C47">
        <w:t xml:space="preserve">Cohort A, </w:t>
      </w:r>
      <w:r w:rsidR="00E60C44" w:rsidRPr="00865C47">
        <w:t>s</w:t>
      </w:r>
      <w:r w:rsidRPr="00865C47">
        <w:t>afety population</w:t>
      </w:r>
      <w:bookmarkEnd w:id="140"/>
      <w:bookmarkEnd w:id="141"/>
      <w:r w:rsidR="00E60C44" w:rsidRPr="00865C47">
        <w:t>)</w:t>
      </w:r>
    </w:p>
    <w:p w14:paraId="201EEE0A" w14:textId="2F0D09AA" w:rsidR="00565921" w:rsidRPr="00865C47" w:rsidRDefault="00565921" w:rsidP="00565921">
      <w:r w:rsidRPr="00865C47">
        <w:rPr>
          <w:noProof/>
          <w:lang w:val="en-GB" w:eastAsia="en-GB"/>
        </w:rPr>
        <w:drawing>
          <wp:inline distT="0" distB="0" distL="0" distR="0" wp14:anchorId="22388EDC" wp14:editId="6B240928">
            <wp:extent cx="5759450" cy="6750050"/>
            <wp:effectExtent l="0" t="0" r="0" b="0"/>
            <wp:docPr id="2" name="Picture 2" descr="Table 14: Study INCB 54828-202 Summary of pemigatinib exposure as of 7 April 2020 (Cohort 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4: Study INCB 54828-202 Summary of pemigatinib exposure as of 7 April 2020 (Cohort A, safety population)"/>
                    <pic:cNvPicPr/>
                  </pic:nvPicPr>
                  <pic:blipFill>
                    <a:blip r:embed="rId50"/>
                    <a:stretch>
                      <a:fillRect/>
                    </a:stretch>
                  </pic:blipFill>
                  <pic:spPr>
                    <a:xfrm>
                      <a:off x="0" y="0"/>
                      <a:ext cx="5759450" cy="6750050"/>
                    </a:xfrm>
                    <a:prstGeom prst="rect">
                      <a:avLst/>
                    </a:prstGeom>
                  </pic:spPr>
                </pic:pic>
              </a:graphicData>
            </a:graphic>
          </wp:inline>
        </w:drawing>
      </w:r>
    </w:p>
    <w:p w14:paraId="44422F26" w14:textId="1391FAA5" w:rsidR="00565921" w:rsidRPr="00865C47" w:rsidRDefault="00565921" w:rsidP="00565921">
      <w:pPr>
        <w:pStyle w:val="TableDescription"/>
      </w:pPr>
      <w:r w:rsidRPr="00865C47">
        <w:t>Abbreviations: FGFR = fibroblast growth factor receptor; N = total number of subjects; n = number of subjects in subcategory; STD = standard deviation.</w:t>
      </w:r>
    </w:p>
    <w:p w14:paraId="6249530C" w14:textId="62F632FE" w:rsidR="00565921" w:rsidRPr="00865C47" w:rsidRDefault="00565921" w:rsidP="00565921">
      <w:pPr>
        <w:pStyle w:val="TableDescription"/>
      </w:pPr>
      <w:r w:rsidRPr="00865C47">
        <w:t>a Duration of treatment (days) = date of the last dose - date of the first dose + 1.</w:t>
      </w:r>
    </w:p>
    <w:p w14:paraId="532930AF" w14:textId="7ABA50E7" w:rsidR="00565921" w:rsidRPr="00865C47" w:rsidRDefault="00565921" w:rsidP="00565921">
      <w:pPr>
        <w:pStyle w:val="TableDescription"/>
      </w:pPr>
      <w:r w:rsidRPr="00865C47">
        <w:t>b Average daily dose (mg/day) = total actual dose taken (mg) / duration of treatment including scheduled dose holds for intermittent schedule (days).</w:t>
      </w:r>
    </w:p>
    <w:p w14:paraId="744FC7B8" w14:textId="1A1D8FE0" w:rsidR="00565921" w:rsidRPr="00865C47" w:rsidRDefault="00565921" w:rsidP="00565921">
      <w:pPr>
        <w:pStyle w:val="TableDescription"/>
      </w:pPr>
      <w:r w:rsidRPr="00865C47">
        <w:t>c Final dose was defined as last non-missing dose in the study or last non-missing dose prior to data cut-off.</w:t>
      </w:r>
    </w:p>
    <w:p w14:paraId="2B3907DB" w14:textId="77777777" w:rsidR="008E72D2" w:rsidRPr="00865C47" w:rsidRDefault="008E72D2" w:rsidP="008E72D2">
      <w:pPr>
        <w:pStyle w:val="Heading6"/>
      </w:pPr>
      <w:r w:rsidRPr="00865C47">
        <w:t>Adverse events</w:t>
      </w:r>
    </w:p>
    <w:p w14:paraId="35E8BE68" w14:textId="484ABF24" w:rsidR="008A58D2" w:rsidRPr="00865C47" w:rsidRDefault="008A58D2" w:rsidP="008A58D2">
      <w:r w:rsidRPr="00865C47">
        <w:t>All</w:t>
      </w:r>
      <w:r w:rsidR="008E72D2" w:rsidRPr="00865C47">
        <w:t xml:space="preserve"> </w:t>
      </w:r>
      <w:r w:rsidR="00F05332">
        <w:t>adverse events</w:t>
      </w:r>
      <w:r w:rsidR="00F05332" w:rsidRPr="00865C47">
        <w:t xml:space="preserve"> </w:t>
      </w:r>
      <w:r w:rsidR="008E72D2" w:rsidRPr="00865C47">
        <w:t xml:space="preserve">are given in </w:t>
      </w:r>
      <w:r w:rsidR="007F555D" w:rsidRPr="00865C47">
        <w:fldChar w:fldCharType="begin"/>
      </w:r>
      <w:r w:rsidR="007F555D" w:rsidRPr="00865C47">
        <w:instrText xml:space="preserve"> REF _Ref85977152 \h </w:instrText>
      </w:r>
      <w:r w:rsidR="00865C47">
        <w:instrText xml:space="preserve"> \* MERGEFORMAT </w:instrText>
      </w:r>
      <w:r w:rsidR="007F555D" w:rsidRPr="00865C47">
        <w:fldChar w:fldCharType="separate"/>
      </w:r>
      <w:r w:rsidR="005D22F2" w:rsidRPr="00865C47">
        <w:t xml:space="preserve">Table </w:t>
      </w:r>
      <w:r w:rsidR="005D22F2">
        <w:rPr>
          <w:noProof/>
        </w:rPr>
        <w:t>15</w:t>
      </w:r>
      <w:r w:rsidR="007F555D" w:rsidRPr="00865C47">
        <w:fldChar w:fldCharType="end"/>
      </w:r>
      <w:r w:rsidR="008E72D2" w:rsidRPr="00865C47">
        <w:t xml:space="preserve"> below.</w:t>
      </w:r>
    </w:p>
    <w:p w14:paraId="3CDD6F2D" w14:textId="1EF00BE0" w:rsidR="008A58D2" w:rsidRPr="00865C47" w:rsidRDefault="008A58D2" w:rsidP="008A58D2">
      <w:pPr>
        <w:pStyle w:val="ListBullet"/>
      </w:pPr>
      <w:r w:rsidRPr="00865C47">
        <w:lastRenderedPageBreak/>
        <w:t xml:space="preserve">All 147 participants had at least </w:t>
      </w:r>
      <w:r w:rsidR="008A51BB" w:rsidRPr="00865C47">
        <w:t xml:space="preserve">one </w:t>
      </w:r>
      <w:r w:rsidR="00B961FA" w:rsidRPr="00865C47">
        <w:t>treatment-emergent adverse event (</w:t>
      </w:r>
      <w:r w:rsidRPr="00865C47">
        <w:t>TEAE</w:t>
      </w:r>
      <w:r w:rsidR="00B961FA" w:rsidRPr="00865C47">
        <w:t>)</w:t>
      </w:r>
      <w:r w:rsidR="00825311" w:rsidRPr="00865C47">
        <w:t>.</w:t>
      </w:r>
      <w:r w:rsidRPr="00865C47">
        <w:t xml:space="preserve"> 91.8% had </w:t>
      </w:r>
      <w:r w:rsidR="008A51BB" w:rsidRPr="00865C47">
        <w:t xml:space="preserve">at least one </w:t>
      </w:r>
      <w:r w:rsidRPr="00865C47">
        <w:t>TEAE considered related to study drug</w:t>
      </w:r>
      <w:r w:rsidR="00825311" w:rsidRPr="00865C47">
        <w:t>.</w:t>
      </w:r>
    </w:p>
    <w:p w14:paraId="15FEF18F" w14:textId="7486B540" w:rsidR="008A58D2" w:rsidRPr="00865C47" w:rsidRDefault="008A58D2" w:rsidP="008A58D2">
      <w:pPr>
        <w:pStyle w:val="ListBullet"/>
      </w:pPr>
      <w:r w:rsidRPr="00865C47">
        <w:t xml:space="preserve">Grade 3 or higher TEAEs occurred in 64% of participants overall, most frequently </w:t>
      </w:r>
      <w:r w:rsidR="00825311" w:rsidRPr="00865C47">
        <w:t xml:space="preserve">gastrointestinal </w:t>
      </w:r>
      <w:r w:rsidRPr="00865C47">
        <w:t>disorders (24.5%) and metabolism</w:t>
      </w:r>
      <w:r w:rsidR="00825311" w:rsidRPr="00865C47">
        <w:t xml:space="preserve"> or </w:t>
      </w:r>
      <w:r w:rsidRPr="00865C47">
        <w:t xml:space="preserve">nutrition disorders (23.8%); the most frequently reported </w:t>
      </w:r>
      <w:r w:rsidR="00825311" w:rsidRPr="00865C47">
        <w:t xml:space="preserve">Grade </w:t>
      </w:r>
      <w:r w:rsidRPr="00865C47">
        <w:t xml:space="preserve">3 or higher TEAE in Cohort A were hypophosphatemia (14.8%), stomatitis (8.3%), </w:t>
      </w:r>
      <w:r w:rsidR="00825311" w:rsidRPr="00865C47">
        <w:t xml:space="preserve">palmar-plantar </w:t>
      </w:r>
      <w:proofErr w:type="spellStart"/>
      <w:r w:rsidR="00825311" w:rsidRPr="00865C47">
        <w:t>erythrodysesthesia</w:t>
      </w:r>
      <w:proofErr w:type="spellEnd"/>
      <w:r w:rsidR="00825311" w:rsidRPr="00865C47">
        <w:t xml:space="preserve"> </w:t>
      </w:r>
      <w:r w:rsidRPr="00865C47">
        <w:t>(6.5%), arthralgia (6.5%), abdominal pain (5.6%) and hyponatraemia (5.4%)</w:t>
      </w:r>
    </w:p>
    <w:p w14:paraId="7085B71D" w14:textId="77777777" w:rsidR="008A58D2" w:rsidRPr="00865C47" w:rsidRDefault="008A58D2" w:rsidP="008A58D2">
      <w:pPr>
        <w:pStyle w:val="ListBullet"/>
      </w:pPr>
      <w:r w:rsidRPr="00865C47">
        <w:t>Serious TEAEs occurred in 46.3% of participants</w:t>
      </w:r>
    </w:p>
    <w:p w14:paraId="54CECE44" w14:textId="5DEC4148" w:rsidR="008A58D2" w:rsidRPr="00865C47" w:rsidRDefault="008A58D2" w:rsidP="008A58D2">
      <w:pPr>
        <w:pStyle w:val="ListBullet"/>
      </w:pPr>
      <w:r w:rsidRPr="00865C47">
        <w:t xml:space="preserve">4.1% </w:t>
      </w:r>
      <w:r w:rsidR="00825311" w:rsidRPr="00865C47">
        <w:t xml:space="preserve">of participants </w:t>
      </w:r>
      <w:r w:rsidRPr="00865C47">
        <w:t>had serious TEAEs with a fatal outcome</w:t>
      </w:r>
    </w:p>
    <w:p w14:paraId="1CCBF4ED" w14:textId="77777777" w:rsidR="008A58D2" w:rsidRPr="00865C47" w:rsidRDefault="008A58D2" w:rsidP="008A58D2">
      <w:pPr>
        <w:pStyle w:val="ListBullet"/>
      </w:pPr>
      <w:r w:rsidRPr="00865C47">
        <w:t>The most frequent action taken with pemigatinib due to a TEAE was study drug interruption (42.2%)</w:t>
      </w:r>
    </w:p>
    <w:p w14:paraId="577FE2FD" w14:textId="77777777" w:rsidR="008A58D2" w:rsidRPr="00865C47" w:rsidRDefault="008A58D2" w:rsidP="008A58D2">
      <w:pPr>
        <w:pStyle w:val="ListBullet"/>
      </w:pPr>
      <w:r w:rsidRPr="00865C47">
        <w:t>9% of participants had TEAEs leading to discontinuation of pemigatinib</w:t>
      </w:r>
    </w:p>
    <w:p w14:paraId="6033FB45" w14:textId="5D251A8C" w:rsidR="008A58D2" w:rsidRPr="00865C47" w:rsidRDefault="008A58D2" w:rsidP="008A58D2">
      <w:r w:rsidRPr="00865C47">
        <w:t xml:space="preserve">The most frequent </w:t>
      </w:r>
      <w:r w:rsidR="00B961FA" w:rsidRPr="00865C47">
        <w:t>AE</w:t>
      </w:r>
      <w:r w:rsidRPr="00865C47">
        <w:t xml:space="preserve">s by </w:t>
      </w:r>
      <w:r w:rsidR="00A93FFB" w:rsidRPr="00865C47">
        <w:t xml:space="preserve">Preferred Term </w:t>
      </w:r>
      <w:r w:rsidRPr="00865C47">
        <w:t>in the pivotal study were hyperphosphatemia (59%), alopecia (50%), diarrhoea (47%), fatigue (44%), nausea (42%), dysgeusia (41%), stomatitis (37%), constipation (37%) decreased appetite and dry mouth (34% each).</w:t>
      </w:r>
    </w:p>
    <w:p w14:paraId="13E3618C" w14:textId="1EC42BD9" w:rsidR="008A58D2" w:rsidRPr="00865C47" w:rsidRDefault="008A58D2" w:rsidP="008E72D2">
      <w:pPr>
        <w:pStyle w:val="Heading6"/>
      </w:pPr>
      <w:r w:rsidRPr="00865C47">
        <w:t>Treatment</w:t>
      </w:r>
      <w:r w:rsidR="00825311" w:rsidRPr="00865C47">
        <w:t>-related adverse events (adverse drug reactions)</w:t>
      </w:r>
    </w:p>
    <w:p w14:paraId="1522003E" w14:textId="042F8ADE" w:rsidR="008A58D2" w:rsidRPr="00865C47" w:rsidRDefault="008A58D2" w:rsidP="008A58D2">
      <w:r w:rsidRPr="00865C47">
        <w:t xml:space="preserve">In the overall population of Study </w:t>
      </w:r>
      <w:r w:rsidR="00825311" w:rsidRPr="00865C47">
        <w:t>INCB 54828-202</w:t>
      </w:r>
      <w:r w:rsidRPr="00865C47">
        <w:t>, 91.8% of participants had treatment</w:t>
      </w:r>
      <w:r w:rsidR="00825311" w:rsidRPr="00865C47">
        <w:t>-</w:t>
      </w:r>
      <w:r w:rsidRPr="00865C47">
        <w:t>related AEs, and 94.4% experienced a treatment</w:t>
      </w:r>
      <w:r w:rsidR="00825311" w:rsidRPr="00865C47">
        <w:t>-</w:t>
      </w:r>
      <w:r w:rsidRPr="00865C47">
        <w:t>related AE in Cohort A.</w:t>
      </w:r>
    </w:p>
    <w:p w14:paraId="54700FD5" w14:textId="24B022C6" w:rsidR="008A58D2" w:rsidRPr="00865C47" w:rsidRDefault="008A58D2" w:rsidP="008A58D2">
      <w:r w:rsidRPr="00865C47">
        <w:t>In Cohort A, the most frequently reported treatment</w:t>
      </w:r>
      <w:r w:rsidR="00825311" w:rsidRPr="00865C47">
        <w:t>-</w:t>
      </w:r>
      <w:r w:rsidRPr="00865C47">
        <w:t xml:space="preserve">related TEAEs in 20% </w:t>
      </w:r>
      <w:r w:rsidR="00825311" w:rsidRPr="00865C47">
        <w:t xml:space="preserve">or more </w:t>
      </w:r>
      <w:r w:rsidRPr="00865C47">
        <w:t xml:space="preserve">participants by </w:t>
      </w:r>
      <w:r w:rsidR="00825311" w:rsidRPr="00865C47">
        <w:t>Preferred Term</w:t>
      </w:r>
      <w:r w:rsidRPr="00865C47">
        <w:t xml:space="preserve"> were: alopecia (57%), hyperphosphatemia (51%), dysgeusia (44%), diarrhoea (41%), stomatitis (38%), fatigue (35%), dry mouth (35%), dry eye (31%), nausea (30%), decreased appetite (23%), dry skin (22%), and palmar-plantar </w:t>
      </w:r>
      <w:proofErr w:type="spellStart"/>
      <w:r w:rsidRPr="00865C47">
        <w:t>erythrodysaesthesia</w:t>
      </w:r>
      <w:proofErr w:type="spellEnd"/>
      <w:r w:rsidRPr="00865C47">
        <w:t xml:space="preserve"> (20%).</w:t>
      </w:r>
    </w:p>
    <w:p w14:paraId="6A1C38E4" w14:textId="50CB7C79" w:rsidR="008A58D2" w:rsidRPr="00865C47" w:rsidRDefault="008A58D2" w:rsidP="008A58D2">
      <w:r w:rsidRPr="00865C47">
        <w:t>Treatment</w:t>
      </w:r>
      <w:r w:rsidR="00825311" w:rsidRPr="00865C47">
        <w:t>-</w:t>
      </w:r>
      <w:r w:rsidRPr="00865C47">
        <w:t xml:space="preserve">related TEAEs </w:t>
      </w:r>
      <w:r w:rsidR="00825311" w:rsidRPr="00865C47">
        <w:t xml:space="preserve">of Grade </w:t>
      </w:r>
      <w:r w:rsidRPr="00865C47">
        <w:t>3</w:t>
      </w:r>
      <w:r w:rsidR="00825311" w:rsidRPr="00865C47">
        <w:t xml:space="preserve"> or higher</w:t>
      </w:r>
      <w:r w:rsidRPr="00865C47">
        <w:t xml:space="preserve"> were reported in 32.7% of participants overall in </w:t>
      </w:r>
      <w:r w:rsidR="00825311" w:rsidRPr="00865C47">
        <w:t>Study INCB 54828-</w:t>
      </w:r>
      <w:r w:rsidRPr="00865C47">
        <w:t xml:space="preserve">202, and 37% in Cohort A; the most common in Cohort A were: hypophosphatemia (10.2%), stomatitis (7.4%), </w:t>
      </w:r>
      <w:r w:rsidR="00825311" w:rsidRPr="00865C47">
        <w:t xml:space="preserve">palmar-plantar </w:t>
      </w:r>
      <w:proofErr w:type="spellStart"/>
      <w:r w:rsidR="00825311" w:rsidRPr="00865C47">
        <w:t>erythrodysesthesia</w:t>
      </w:r>
      <w:proofErr w:type="spellEnd"/>
      <w:r w:rsidRPr="00865C47">
        <w:t xml:space="preserve"> (</w:t>
      </w:r>
      <w:proofErr w:type="gramStart"/>
      <w:r w:rsidRPr="00865C47">
        <w:t>5.6)%</w:t>
      </w:r>
      <w:proofErr w:type="gramEnd"/>
      <w:r w:rsidRPr="00865C47">
        <w:t>, arthralgia (4.6%) and diarrhoea (3.7%).</w:t>
      </w:r>
      <w:r w:rsidR="00892AE8" w:rsidRPr="00865C47">
        <w:t xml:space="preserve"> </w:t>
      </w:r>
      <w:proofErr w:type="gramStart"/>
      <w:r w:rsidRPr="00865C47">
        <w:t>QT</w:t>
      </w:r>
      <w:r w:rsidR="00865C47">
        <w:t>;</w:t>
      </w:r>
      <w:proofErr w:type="gramEnd"/>
      <w:r w:rsidR="00865C47">
        <w:rPr>
          <w:rStyle w:val="FootnoteReference"/>
        </w:rPr>
        <w:footnoteReference w:id="12"/>
      </w:r>
      <w:r w:rsidRPr="00865C47">
        <w:t xml:space="preserve"> prolongation was noted in 3 patients and seizure in </w:t>
      </w:r>
      <w:r w:rsidR="008A51BB" w:rsidRPr="00865C47">
        <w:t>one</w:t>
      </w:r>
      <w:r w:rsidRPr="00865C47">
        <w:t xml:space="preserve"> patient in Study </w:t>
      </w:r>
      <w:r w:rsidR="00825311" w:rsidRPr="00865C47">
        <w:t>INCB 54828-</w:t>
      </w:r>
      <w:r w:rsidRPr="00865C47">
        <w:t>202.</w:t>
      </w:r>
    </w:p>
    <w:p w14:paraId="57BF6CDA" w14:textId="191EEECC" w:rsidR="008A58D2" w:rsidRPr="00865C47" w:rsidRDefault="008A58D2" w:rsidP="008A58D2">
      <w:r w:rsidRPr="00865C47">
        <w:t xml:space="preserve">No deaths in </w:t>
      </w:r>
      <w:r w:rsidR="00825311" w:rsidRPr="00865C47">
        <w:t>Study INCB 54828-202</w:t>
      </w:r>
      <w:r w:rsidRPr="00865C47">
        <w:t xml:space="preserve"> or the </w:t>
      </w:r>
      <w:r w:rsidR="008A51BB" w:rsidRPr="00865C47">
        <w:t>cholangiocarcinoma</w:t>
      </w:r>
      <w:r w:rsidRPr="00865C47">
        <w:t xml:space="preserve"> population appear attributable to pemigatinib on review of narratives by the clinical </w:t>
      </w:r>
      <w:r w:rsidR="00E60C44" w:rsidRPr="00865C47">
        <w:t>evaluation</w:t>
      </w:r>
      <w:r w:rsidRPr="00865C47">
        <w:t>.</w:t>
      </w:r>
      <w:r w:rsidR="00892AE8" w:rsidRPr="00865C47">
        <w:t xml:space="preserve"> </w:t>
      </w:r>
      <w:r w:rsidRPr="00865C47">
        <w:t xml:space="preserve">In </w:t>
      </w:r>
      <w:proofErr w:type="gramStart"/>
      <w:r w:rsidRPr="00865C47">
        <w:t xml:space="preserve">the </w:t>
      </w:r>
      <w:r w:rsidR="00A93FFB" w:rsidRPr="00865C47">
        <w:t>all</w:t>
      </w:r>
      <w:proofErr w:type="gramEnd"/>
      <w:r w:rsidR="00A93FFB" w:rsidRPr="00865C47">
        <w:t xml:space="preserve"> cancer population</w:t>
      </w:r>
      <w:r w:rsidRPr="00865C47">
        <w:t>, only one fatal event was considered related to pemigatinib by the investigator (cerebrovascular accident)</w:t>
      </w:r>
      <w:r w:rsidR="00825311" w:rsidRPr="00865C47">
        <w:t>. T</w:t>
      </w:r>
      <w:r w:rsidRPr="00865C47">
        <w:t xml:space="preserve">he clinical </w:t>
      </w:r>
      <w:r w:rsidR="00E60C44" w:rsidRPr="00865C47">
        <w:t>evaluation</w:t>
      </w:r>
      <w:r w:rsidRPr="00865C47">
        <w:t xml:space="preserve"> notes that whether thromboembolic events in this participant were caused by pemigatinib cannot be determined or ruled out</w:t>
      </w:r>
      <w:r w:rsidR="00825311" w:rsidRPr="00865C47">
        <w:t>. T</w:t>
      </w:r>
      <w:r w:rsidRPr="00865C47">
        <w:t xml:space="preserve">he presence of metastatic cancer is a significant risk factor for </w:t>
      </w:r>
      <w:r w:rsidR="00825311" w:rsidRPr="00865C47">
        <w:t>venous thromboembolism</w:t>
      </w:r>
      <w:r w:rsidRPr="00865C47">
        <w:t xml:space="preserve"> and a patent foramen ovale would increase the risk of a </w:t>
      </w:r>
      <w:r w:rsidR="00825311" w:rsidRPr="00865C47">
        <w:t>cerebrovascular accident</w:t>
      </w:r>
      <w:r w:rsidRPr="00865C47">
        <w:t>.</w:t>
      </w:r>
    </w:p>
    <w:p w14:paraId="50866514" w14:textId="19F6B654" w:rsidR="007F555D" w:rsidRPr="00865C47" w:rsidRDefault="007F555D" w:rsidP="008A51BB">
      <w:pPr>
        <w:pStyle w:val="TableTitle"/>
      </w:pPr>
      <w:bookmarkStart w:id="142" w:name="_Ref85977152"/>
      <w:bookmarkStart w:id="143" w:name="_Toc87017875"/>
      <w:bookmarkStart w:id="144" w:name="_Toc87202019"/>
      <w:r w:rsidRPr="00865C47">
        <w:lastRenderedPageBreak/>
        <w:t xml:space="preserve">Table </w:t>
      </w:r>
      <w:r w:rsidR="00547529">
        <w:fldChar w:fldCharType="begin"/>
      </w:r>
      <w:r w:rsidR="00547529">
        <w:instrText xml:space="preserve"> SEQ Table \* ARABIC </w:instrText>
      </w:r>
      <w:r w:rsidR="00547529">
        <w:fldChar w:fldCharType="separate"/>
      </w:r>
      <w:r w:rsidR="005D22F2">
        <w:rPr>
          <w:noProof/>
        </w:rPr>
        <w:t>15</w:t>
      </w:r>
      <w:r w:rsidR="00547529">
        <w:rPr>
          <w:noProof/>
        </w:rPr>
        <w:fldChar w:fldCharType="end"/>
      </w:r>
      <w:bookmarkEnd w:id="142"/>
      <w:r w:rsidR="00E60C44" w:rsidRPr="00865C47">
        <w:t>: Study</w:t>
      </w:r>
      <w:r w:rsidRPr="00865C47">
        <w:t xml:space="preserve"> </w:t>
      </w:r>
      <w:r w:rsidR="00E60C44" w:rsidRPr="00865C47">
        <w:t>INCB 54828-202</w:t>
      </w:r>
      <w:r w:rsidRPr="00865C47">
        <w:t xml:space="preserve"> Summary of </w:t>
      </w:r>
      <w:r w:rsidR="008A51BB" w:rsidRPr="00865C47">
        <w:t xml:space="preserve">treatment emergent adverse events </w:t>
      </w:r>
      <w:r w:rsidRPr="00865C47">
        <w:t xml:space="preserve">occurring in </w:t>
      </w:r>
      <w:r w:rsidR="008A51BB" w:rsidRPr="00865C47">
        <w:t xml:space="preserve">at least </w:t>
      </w:r>
      <w:r w:rsidRPr="00865C47">
        <w:t xml:space="preserve">10% of participants overall by </w:t>
      </w:r>
      <w:r w:rsidR="008A51BB" w:rsidRPr="00865C47">
        <w:t xml:space="preserve">Medical Dictionary for Regulatory Activities Preferred Term </w:t>
      </w:r>
      <w:r w:rsidRPr="00865C47">
        <w:t xml:space="preserve">as of 7 April 2020 </w:t>
      </w:r>
      <w:r w:rsidR="00E60C44" w:rsidRPr="00865C47">
        <w:t>(s</w:t>
      </w:r>
      <w:r w:rsidRPr="00865C47">
        <w:t>afety population</w:t>
      </w:r>
      <w:bookmarkEnd w:id="143"/>
      <w:bookmarkEnd w:id="144"/>
      <w:r w:rsidR="00E60C44" w:rsidRPr="00865C47">
        <w:t>)</w:t>
      </w:r>
    </w:p>
    <w:p w14:paraId="3B9F4732" w14:textId="2389B80F" w:rsidR="007F555D" w:rsidRPr="00865C47" w:rsidRDefault="00E02528" w:rsidP="008A58D2">
      <w:r w:rsidRPr="00865C47">
        <w:rPr>
          <w:noProof/>
          <w:lang w:val="en-GB" w:eastAsia="en-GB"/>
        </w:rPr>
        <w:drawing>
          <wp:inline distT="0" distB="0" distL="0" distR="0" wp14:anchorId="51DC7FB9" wp14:editId="65E9B913">
            <wp:extent cx="5759450" cy="7105650"/>
            <wp:effectExtent l="0" t="0" r="0" b="0"/>
            <wp:docPr id="42" name="Picture 42" descr="Table 15: Study INCB 54828-202 Summary of treatment emergent adverse events occurring in at least 10% of participants overall by Medical Dictionary for Regulatory Activities Preferred Term as of 7 April 2020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 15: Study INCB 54828-202 Summary of treatment emergent adverse events occurring in at least 10% of participants overall by Medical Dictionary for Regulatory Activities Preferred Term as of 7 April 2020 (safety population)"/>
                    <pic:cNvPicPr/>
                  </pic:nvPicPr>
                  <pic:blipFill>
                    <a:blip r:embed="rId51"/>
                    <a:stretch>
                      <a:fillRect/>
                    </a:stretch>
                  </pic:blipFill>
                  <pic:spPr>
                    <a:xfrm>
                      <a:off x="0" y="0"/>
                      <a:ext cx="5759450" cy="7105650"/>
                    </a:xfrm>
                    <a:prstGeom prst="rect">
                      <a:avLst/>
                    </a:prstGeom>
                  </pic:spPr>
                </pic:pic>
              </a:graphicData>
            </a:graphic>
          </wp:inline>
        </w:drawing>
      </w:r>
    </w:p>
    <w:p w14:paraId="7566DCC1" w14:textId="57052442" w:rsidR="00565921" w:rsidRPr="00865C47" w:rsidRDefault="00565921" w:rsidP="00565921">
      <w:pPr>
        <w:pStyle w:val="TableDescription"/>
      </w:pPr>
      <w:r w:rsidRPr="00865C47">
        <w:t>Abbreviations: FGFR = fibroblast growth factor receptor; MedDRA = Medical Dictionary for Regulatory Activities; N = total number of subjects; n = number of subjects in subcategory.</w:t>
      </w:r>
    </w:p>
    <w:p w14:paraId="087CE686" w14:textId="52182123" w:rsidR="008A58D2" w:rsidRPr="00865C47" w:rsidRDefault="00825311" w:rsidP="008E72D2">
      <w:pPr>
        <w:pStyle w:val="Heading6"/>
      </w:pPr>
      <w:r w:rsidRPr="00865C47">
        <w:t>Serious adverse events</w:t>
      </w:r>
    </w:p>
    <w:p w14:paraId="3AA44EBD" w14:textId="77777777" w:rsidR="008A58D2" w:rsidRPr="00865C47" w:rsidRDefault="008A58D2" w:rsidP="008A58D2">
      <w:pPr>
        <w:pStyle w:val="ListBullet"/>
      </w:pPr>
      <w:r w:rsidRPr="00865C47">
        <w:t>46.3% of the overall population had serious TEAEs</w:t>
      </w:r>
    </w:p>
    <w:p w14:paraId="4C6D7B02" w14:textId="43F487FB" w:rsidR="008A58D2" w:rsidRPr="00865C47" w:rsidRDefault="008A58D2" w:rsidP="008A58D2">
      <w:pPr>
        <w:pStyle w:val="ListBullet"/>
      </w:pPr>
      <w:r w:rsidRPr="00865C47">
        <w:t>The most frequently reported were abdominal pain (4.8%), pyrexia (4.8%), cholangitis (4.1%),</w:t>
      </w:r>
      <w:r w:rsidR="00825311" w:rsidRPr="00865C47">
        <w:t xml:space="preserve"> and</w:t>
      </w:r>
      <w:r w:rsidRPr="00865C47">
        <w:t xml:space="preserve"> pleural effusion (3.4%)</w:t>
      </w:r>
    </w:p>
    <w:p w14:paraId="1F14C71B" w14:textId="0390D699" w:rsidR="008A58D2" w:rsidRPr="00865C47" w:rsidRDefault="008A58D2" w:rsidP="008A58D2">
      <w:pPr>
        <w:pStyle w:val="ListBullet"/>
      </w:pPr>
      <w:r w:rsidRPr="00865C47">
        <w:lastRenderedPageBreak/>
        <w:t xml:space="preserve">4.1% of participants experienced a </w:t>
      </w:r>
      <w:r w:rsidR="00B961FA" w:rsidRPr="00865C47">
        <w:t xml:space="preserve">serious adverse event </w:t>
      </w:r>
      <w:r w:rsidRPr="00865C47">
        <w:t xml:space="preserve">that was considered related to the study drug by the investigator: anaemia, </w:t>
      </w:r>
      <w:r w:rsidR="00825311" w:rsidRPr="00865C47">
        <w:t>acute kidney injury</w:t>
      </w:r>
      <w:r w:rsidRPr="00865C47">
        <w:t xml:space="preserve">, hyponatraemia, abdominal pain, dysphagia, decreased appetite and thrombosis (in </w:t>
      </w:r>
      <w:r w:rsidR="008A51BB" w:rsidRPr="00865C47">
        <w:t>one</w:t>
      </w:r>
      <w:r w:rsidRPr="00865C47">
        <w:t xml:space="preserve"> participant each).</w:t>
      </w:r>
      <w:r w:rsidR="00892AE8" w:rsidRPr="00865C47">
        <w:t xml:space="preserve"> </w:t>
      </w:r>
      <w:r w:rsidRPr="00865C47">
        <w:t xml:space="preserve">The </w:t>
      </w:r>
      <w:r w:rsidR="0048244F" w:rsidRPr="00865C47">
        <w:t>Phase</w:t>
      </w:r>
      <w:r w:rsidRPr="00865C47">
        <w:t xml:space="preserve"> </w:t>
      </w:r>
      <w:r w:rsidR="0048244F" w:rsidRPr="00865C47">
        <w:t>III</w:t>
      </w:r>
      <w:r w:rsidRPr="00865C47">
        <w:t xml:space="preserve"> confirmatory study that is currently underway should be informative regarding the causality of these </w:t>
      </w:r>
      <w:r w:rsidR="00B961FA" w:rsidRPr="00865C47">
        <w:t>serious adverse event</w:t>
      </w:r>
      <w:r w:rsidRPr="00865C47">
        <w:t>s to pemigatinib.</w:t>
      </w:r>
    </w:p>
    <w:p w14:paraId="4E61F9B9" w14:textId="75CDDDD0" w:rsidR="007F555D" w:rsidRPr="00865C47" w:rsidRDefault="007F555D" w:rsidP="008A51BB">
      <w:pPr>
        <w:pStyle w:val="TableTitle"/>
      </w:pPr>
      <w:bookmarkStart w:id="145" w:name="_Ref85987143"/>
      <w:bookmarkStart w:id="146" w:name="_Toc87017880"/>
      <w:bookmarkStart w:id="147" w:name="_Toc87202024"/>
      <w:r w:rsidRPr="00865C47">
        <w:t xml:space="preserve">Table </w:t>
      </w:r>
      <w:r w:rsidR="00547529">
        <w:fldChar w:fldCharType="begin"/>
      </w:r>
      <w:r w:rsidR="00547529">
        <w:instrText xml:space="preserve"> SEQ Table \* ARABIC </w:instrText>
      </w:r>
      <w:r w:rsidR="00547529">
        <w:fldChar w:fldCharType="separate"/>
      </w:r>
      <w:r w:rsidR="005D22F2">
        <w:rPr>
          <w:noProof/>
        </w:rPr>
        <w:t>16</w:t>
      </w:r>
      <w:r w:rsidR="00547529">
        <w:rPr>
          <w:noProof/>
        </w:rPr>
        <w:fldChar w:fldCharType="end"/>
      </w:r>
      <w:bookmarkEnd w:id="145"/>
      <w:r w:rsidR="008A51BB" w:rsidRPr="00865C47">
        <w:t>:</w:t>
      </w:r>
      <w:r w:rsidRPr="00865C47">
        <w:t xml:space="preserve"> Study </w:t>
      </w:r>
      <w:r w:rsidR="00E60C44" w:rsidRPr="00865C47">
        <w:t xml:space="preserve">INCB 54828-202 </w:t>
      </w:r>
      <w:r w:rsidRPr="00865C47">
        <w:t xml:space="preserve">Summary of </w:t>
      </w:r>
      <w:r w:rsidR="00E60C44" w:rsidRPr="00865C47">
        <w:t>serious adverse events</w:t>
      </w:r>
      <w:r w:rsidRPr="00865C47">
        <w:t xml:space="preserve"> occurring in </w:t>
      </w:r>
      <w:r w:rsidR="008A51BB" w:rsidRPr="00865C47">
        <w:t xml:space="preserve">at least </w:t>
      </w:r>
      <w:r w:rsidRPr="00865C47">
        <w:t>1%</w:t>
      </w:r>
      <w:r w:rsidR="00E60C44" w:rsidRPr="00865C47">
        <w:t xml:space="preserve"> </w:t>
      </w:r>
      <w:r w:rsidRPr="00865C47">
        <w:t xml:space="preserve">participants </w:t>
      </w:r>
      <w:r w:rsidR="00E60C44" w:rsidRPr="00865C47">
        <w:t>(</w:t>
      </w:r>
      <w:r w:rsidR="008A51BB" w:rsidRPr="00865C47">
        <w:t xml:space="preserve">Cohort A and overall </w:t>
      </w:r>
      <w:r w:rsidR="00E60C44" w:rsidRPr="00865C47">
        <w:t>s</w:t>
      </w:r>
      <w:r w:rsidRPr="00865C47">
        <w:t xml:space="preserve">afety </w:t>
      </w:r>
      <w:r w:rsidR="00E60C44" w:rsidRPr="00865C47">
        <w:t>p</w:t>
      </w:r>
      <w:r w:rsidRPr="00865C47">
        <w:t>opulation</w:t>
      </w:r>
      <w:bookmarkEnd w:id="146"/>
      <w:bookmarkEnd w:id="147"/>
      <w:r w:rsidR="00E60C44" w:rsidRPr="00865C47">
        <w:t>)</w:t>
      </w:r>
    </w:p>
    <w:p w14:paraId="71C13AE2" w14:textId="07840C8A" w:rsidR="00E02528" w:rsidRPr="00865C47" w:rsidRDefault="00E02528" w:rsidP="00E02528">
      <w:r w:rsidRPr="00865C47">
        <w:rPr>
          <w:noProof/>
          <w:lang w:val="en-GB" w:eastAsia="en-GB"/>
        </w:rPr>
        <w:drawing>
          <wp:inline distT="0" distB="0" distL="0" distR="0" wp14:anchorId="5832D669" wp14:editId="1B77A20D">
            <wp:extent cx="5759450" cy="6815455"/>
            <wp:effectExtent l="0" t="0" r="0" b="4445"/>
            <wp:docPr id="45" name="Picture 45" descr="Table 16: Study INCB 54828-202 Summary of serious adverse events occurring in at least 1% participants (Cohort A and overa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 16: Study INCB 54828-202 Summary of serious adverse events occurring in at least 1% participants (Cohort A and overall safety population)"/>
                    <pic:cNvPicPr/>
                  </pic:nvPicPr>
                  <pic:blipFill>
                    <a:blip r:embed="rId52"/>
                    <a:stretch>
                      <a:fillRect/>
                    </a:stretch>
                  </pic:blipFill>
                  <pic:spPr>
                    <a:xfrm>
                      <a:off x="0" y="0"/>
                      <a:ext cx="5759450" cy="6815455"/>
                    </a:xfrm>
                    <a:prstGeom prst="rect">
                      <a:avLst/>
                    </a:prstGeom>
                  </pic:spPr>
                </pic:pic>
              </a:graphicData>
            </a:graphic>
          </wp:inline>
        </w:drawing>
      </w:r>
    </w:p>
    <w:p w14:paraId="6FE1CB2B" w14:textId="63CCF37D" w:rsidR="00565921" w:rsidRPr="00865C47" w:rsidRDefault="00565921" w:rsidP="00565921">
      <w:pPr>
        <w:pStyle w:val="TableDescription"/>
      </w:pPr>
      <w:r w:rsidRPr="00865C47">
        <w:t>Abbreviations: FGFR = fibroblast growth factor receptor; MedDRA = Medical Dictionary for Regulatory Activities; N = total number of subjects; n = number of subjects in subcategory; TEAE = treatment-emergent adverse event.</w:t>
      </w:r>
    </w:p>
    <w:p w14:paraId="7B27264E" w14:textId="467B22AB" w:rsidR="008A58D2" w:rsidRPr="00865C47" w:rsidRDefault="008A58D2" w:rsidP="008E72D2">
      <w:pPr>
        <w:pStyle w:val="Heading6"/>
      </w:pPr>
      <w:r w:rsidRPr="00865C47">
        <w:lastRenderedPageBreak/>
        <w:t xml:space="preserve">Discontinuations due to </w:t>
      </w:r>
      <w:r w:rsidR="00825311" w:rsidRPr="00865C47">
        <w:t>adverse events</w:t>
      </w:r>
    </w:p>
    <w:p w14:paraId="27F573D3" w14:textId="51379B65" w:rsidR="008A58D2" w:rsidRPr="00865C47" w:rsidRDefault="00825311" w:rsidP="008A58D2">
      <w:pPr>
        <w:pStyle w:val="ListBullet"/>
      </w:pPr>
      <w:r w:rsidRPr="00865C47">
        <w:t xml:space="preserve">A total of </w:t>
      </w:r>
      <w:r w:rsidR="008A58D2" w:rsidRPr="00865C47">
        <w:t>10.2% of the overall population had TEAEs leading to discontinuation (intestinal obstruction 1.4%</w:t>
      </w:r>
      <w:r w:rsidRPr="00865C47">
        <w:t>,</w:t>
      </w:r>
      <w:r w:rsidR="008A58D2" w:rsidRPr="00865C47">
        <w:t xml:space="preserve"> </w:t>
      </w:r>
      <w:r w:rsidRPr="00865C47">
        <w:t>acute kidney injury</w:t>
      </w:r>
      <w:r w:rsidR="008A58D2" w:rsidRPr="00865C47">
        <w:t xml:space="preserve"> 1.4%)</w:t>
      </w:r>
      <w:r w:rsidRPr="00865C47">
        <w:t>.</w:t>
      </w:r>
      <w:r w:rsidR="008A58D2" w:rsidRPr="00865C47">
        <w:t xml:space="preserve"> </w:t>
      </w:r>
      <w:r w:rsidRPr="00865C47">
        <w:t>Acute kidney injury</w:t>
      </w:r>
      <w:r w:rsidR="008A58D2" w:rsidRPr="00865C47">
        <w:t xml:space="preserve"> and hyperbilirubinemia in a single participant each were considered by the investigator to be related to pemigatinib.</w:t>
      </w:r>
    </w:p>
    <w:p w14:paraId="0E69384D" w14:textId="03451255" w:rsidR="008A58D2" w:rsidRPr="00865C47" w:rsidRDefault="008A58D2" w:rsidP="008A58D2">
      <w:pPr>
        <w:pStyle w:val="ListBullet"/>
      </w:pPr>
      <w:r w:rsidRPr="00865C47">
        <w:t xml:space="preserve">In the broader </w:t>
      </w:r>
      <w:r w:rsidR="008A51BB" w:rsidRPr="00865C47">
        <w:t>cholangiocarcinoma</w:t>
      </w:r>
      <w:r w:rsidRPr="00865C47">
        <w:t xml:space="preserve"> population and </w:t>
      </w:r>
      <w:r w:rsidR="00A93FFB" w:rsidRPr="00865C47">
        <w:t>all cancer population</w:t>
      </w:r>
      <w:r w:rsidRPr="00865C47">
        <w:t xml:space="preserve">, the clinical </w:t>
      </w:r>
      <w:r w:rsidR="00E60C44" w:rsidRPr="00865C47">
        <w:t>evaluation</w:t>
      </w:r>
      <w:r w:rsidRPr="00865C47">
        <w:t xml:space="preserve"> highlighted </w:t>
      </w:r>
      <w:proofErr w:type="gramStart"/>
      <w:r w:rsidRPr="00865C47">
        <w:t>that patients</w:t>
      </w:r>
      <w:proofErr w:type="gramEnd"/>
      <w:r w:rsidRPr="00865C47">
        <w:t xml:space="preserve"> discontinued pemigatinib due to TEAEs of keratitis, ulcerative keratitis, visual acuity reduced, chorioretinopathy, </w:t>
      </w:r>
      <w:r w:rsidR="00F05332" w:rsidRPr="00865C47">
        <w:t>and trichiasis</w:t>
      </w:r>
      <w:r w:rsidRPr="00865C47">
        <w:t>.</w:t>
      </w:r>
      <w:r w:rsidR="00892AE8" w:rsidRPr="00865C47">
        <w:t xml:space="preserve"> </w:t>
      </w:r>
      <w:r w:rsidRPr="00865C47">
        <w:t>Ocular toxicities are noted to be a considerable source of morbidity.</w:t>
      </w:r>
    </w:p>
    <w:p w14:paraId="143857B7" w14:textId="20EF2445" w:rsidR="007F555D" w:rsidRPr="00865C47" w:rsidRDefault="007F555D" w:rsidP="008A51BB">
      <w:pPr>
        <w:pStyle w:val="TableTitle"/>
      </w:pPr>
      <w:bookmarkStart w:id="148" w:name="_Ref85988370"/>
      <w:bookmarkStart w:id="149" w:name="_Toc87017881"/>
      <w:bookmarkStart w:id="150" w:name="_Toc87202025"/>
      <w:r w:rsidRPr="00865C47">
        <w:t xml:space="preserve">Table </w:t>
      </w:r>
      <w:r w:rsidR="00547529">
        <w:fldChar w:fldCharType="begin"/>
      </w:r>
      <w:r w:rsidR="00547529">
        <w:instrText xml:space="preserve"> SEQ Table \* ARABIC </w:instrText>
      </w:r>
      <w:r w:rsidR="00547529">
        <w:fldChar w:fldCharType="separate"/>
      </w:r>
      <w:r w:rsidR="005D22F2">
        <w:rPr>
          <w:noProof/>
        </w:rPr>
        <w:t>17</w:t>
      </w:r>
      <w:r w:rsidR="00547529">
        <w:rPr>
          <w:noProof/>
        </w:rPr>
        <w:fldChar w:fldCharType="end"/>
      </w:r>
      <w:bookmarkEnd w:id="148"/>
      <w:r w:rsidR="00E60C44" w:rsidRPr="00865C47">
        <w:t>:</w:t>
      </w:r>
      <w:r w:rsidRPr="00865C47">
        <w:t xml:space="preserve"> Study </w:t>
      </w:r>
      <w:r w:rsidR="00E60C44" w:rsidRPr="00865C47">
        <w:t xml:space="preserve">INCB 54828-202 </w:t>
      </w:r>
      <w:r w:rsidRPr="00865C47">
        <w:t xml:space="preserve">Summary of </w:t>
      </w:r>
      <w:r w:rsidR="008A51BB" w:rsidRPr="00865C47">
        <w:t xml:space="preserve">treatment emergent adverse events </w:t>
      </w:r>
      <w:r w:rsidRPr="00865C47">
        <w:t xml:space="preserve">leading to pemigatinib discontinuation by </w:t>
      </w:r>
      <w:r w:rsidR="008A51BB" w:rsidRPr="00865C47">
        <w:t xml:space="preserve">Medical Dictionary for Regulatory Activities System Organ Class </w:t>
      </w:r>
      <w:r w:rsidRPr="00865C47">
        <w:t xml:space="preserve">and </w:t>
      </w:r>
      <w:r w:rsidR="008A51BB" w:rsidRPr="00865C47">
        <w:t xml:space="preserve">Preferred Term </w:t>
      </w:r>
      <w:r w:rsidRPr="00865C47">
        <w:t xml:space="preserve">as of 7 April 2020 </w:t>
      </w:r>
      <w:r w:rsidR="00E60C44" w:rsidRPr="00865C47">
        <w:t>(s</w:t>
      </w:r>
      <w:r w:rsidRPr="00865C47">
        <w:t>afety population</w:t>
      </w:r>
      <w:bookmarkEnd w:id="149"/>
      <w:bookmarkEnd w:id="150"/>
      <w:r w:rsidR="00E60C44" w:rsidRPr="00865C47">
        <w:t>)</w:t>
      </w:r>
    </w:p>
    <w:p w14:paraId="3D2BCBEA" w14:textId="20D3B455" w:rsidR="00E02528" w:rsidRPr="00865C47" w:rsidRDefault="00E02528" w:rsidP="00E02528">
      <w:r w:rsidRPr="00865C47">
        <w:rPr>
          <w:noProof/>
          <w:lang w:val="en-GB" w:eastAsia="en-GB"/>
        </w:rPr>
        <w:drawing>
          <wp:inline distT="0" distB="0" distL="0" distR="0" wp14:anchorId="76B91752" wp14:editId="2EF1894E">
            <wp:extent cx="5759450" cy="5031740"/>
            <wp:effectExtent l="0" t="0" r="0" b="0"/>
            <wp:docPr id="47" name="Picture 47" descr="Table 17: Study INCB 54828-202 Summary of treatment emergent adverse events leading to pemigatinib discontinuation by Medical Dictionary for Regulatory Activities System Organ Class and Preferred Term as of 7 April 2020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 17: Study INCB 54828-202 Summary of treatment emergent adverse events leading to pemigatinib discontinuation by Medical Dictionary for Regulatory Activities System Organ Class and Preferred Term as of 7 April 2020 (safety population)"/>
                    <pic:cNvPicPr/>
                  </pic:nvPicPr>
                  <pic:blipFill>
                    <a:blip r:embed="rId53"/>
                    <a:stretch>
                      <a:fillRect/>
                    </a:stretch>
                  </pic:blipFill>
                  <pic:spPr>
                    <a:xfrm>
                      <a:off x="0" y="0"/>
                      <a:ext cx="5759450" cy="5031740"/>
                    </a:xfrm>
                    <a:prstGeom prst="rect">
                      <a:avLst/>
                    </a:prstGeom>
                  </pic:spPr>
                </pic:pic>
              </a:graphicData>
            </a:graphic>
          </wp:inline>
        </w:drawing>
      </w:r>
    </w:p>
    <w:p w14:paraId="1D5B7BF3" w14:textId="77777777" w:rsidR="00565921" w:rsidRPr="00865C47" w:rsidRDefault="00565921" w:rsidP="00565921">
      <w:pPr>
        <w:pStyle w:val="TableDescription"/>
      </w:pPr>
      <w:bookmarkStart w:id="151" w:name="_Hlk136011238"/>
      <w:r w:rsidRPr="00865C47">
        <w:t>Abbreviations: FGFR = fibroblast growth factor receptor; MedDRA = Medical Dictionary for Regulatory Activities; N = total number of subjects; n = number of subjects in subcategory; TEAE = treatment-emergent adverse event.</w:t>
      </w:r>
    </w:p>
    <w:bookmarkEnd w:id="151"/>
    <w:p w14:paraId="75A1A2DC" w14:textId="7250B4D6" w:rsidR="008A58D2" w:rsidRPr="00865C47" w:rsidRDefault="008A58D2" w:rsidP="008E72D2">
      <w:pPr>
        <w:pStyle w:val="Heading6"/>
      </w:pPr>
      <w:r w:rsidRPr="00865C47">
        <w:t xml:space="preserve">Study drug interruption and dose reduction due to </w:t>
      </w:r>
      <w:r w:rsidR="00865C47">
        <w:t>adverse events</w:t>
      </w:r>
    </w:p>
    <w:p w14:paraId="54F1B74D" w14:textId="70CA025F" w:rsidR="008A58D2" w:rsidRPr="00865C47" w:rsidRDefault="00825311" w:rsidP="008A58D2">
      <w:pPr>
        <w:pStyle w:val="ListBullet"/>
      </w:pPr>
      <w:r w:rsidRPr="00865C47">
        <w:t xml:space="preserve">There were </w:t>
      </w:r>
      <w:r w:rsidR="008A58D2" w:rsidRPr="00865C47">
        <w:t>48</w:t>
      </w:r>
      <w:r w:rsidRPr="00865C47">
        <w:t xml:space="preserve"> of </w:t>
      </w:r>
      <w:r w:rsidR="008A58D2" w:rsidRPr="00865C47">
        <w:t xml:space="preserve">108 (44.4%) patients in Cohort A and 62 (42.2%) overall in </w:t>
      </w:r>
      <w:r w:rsidRPr="00865C47">
        <w:t>Study INCB 54828-202</w:t>
      </w:r>
      <w:r w:rsidR="008A58D2" w:rsidRPr="00865C47">
        <w:t xml:space="preserve"> had a TEAE leading to study drug interruption</w:t>
      </w:r>
      <w:r w:rsidRPr="00865C47">
        <w:t>.</w:t>
      </w:r>
    </w:p>
    <w:p w14:paraId="5811D5AB" w14:textId="440A2600" w:rsidR="008A58D2" w:rsidRPr="00865C47" w:rsidRDefault="00825311" w:rsidP="008A58D2">
      <w:pPr>
        <w:pStyle w:val="ListBullet"/>
      </w:pPr>
      <w:r w:rsidRPr="00865C47">
        <w:t xml:space="preserve">There were </w:t>
      </w:r>
      <w:r w:rsidR="008A58D2" w:rsidRPr="00865C47">
        <w:t>17</w:t>
      </w:r>
      <w:r w:rsidRPr="00865C47">
        <w:t xml:space="preserve"> of </w:t>
      </w:r>
      <w:r w:rsidR="008A58D2" w:rsidRPr="00865C47">
        <w:t xml:space="preserve">107 (15.9%) patients in Cohort A and 20 (13.7%) overall in </w:t>
      </w:r>
      <w:r w:rsidRPr="00865C47">
        <w:t xml:space="preserve">Study INCB 54828-202 </w:t>
      </w:r>
      <w:r w:rsidR="008A58D2" w:rsidRPr="00865C47">
        <w:t>required a dose reduction.</w:t>
      </w:r>
      <w:r w:rsidR="00892AE8" w:rsidRPr="00865C47">
        <w:t xml:space="preserve"> </w:t>
      </w:r>
      <w:r w:rsidR="008A58D2" w:rsidRPr="00865C47">
        <w:t xml:space="preserve">The most frequently reported events were stomatitis (3.4%), arthralgia (3.4%), palmar-plantar </w:t>
      </w:r>
      <w:proofErr w:type="spellStart"/>
      <w:r w:rsidR="008A58D2" w:rsidRPr="00865C47">
        <w:t>erythrodysaesthesia</w:t>
      </w:r>
      <w:proofErr w:type="spellEnd"/>
      <w:r w:rsidR="008A58D2" w:rsidRPr="00865C47">
        <w:t xml:space="preserve"> syndrome (3.4%), asthenia (1.4%) and onychomadesis (1.4%).</w:t>
      </w:r>
    </w:p>
    <w:p w14:paraId="103C9240" w14:textId="722644D2" w:rsidR="00F05332" w:rsidRDefault="00F05332" w:rsidP="004C535F">
      <w:pPr>
        <w:pStyle w:val="Heading6"/>
      </w:pPr>
      <w:r>
        <w:lastRenderedPageBreak/>
        <w:t>Adverse events of special interest</w:t>
      </w:r>
    </w:p>
    <w:p w14:paraId="6CFD9786" w14:textId="6D206E83" w:rsidR="008A58D2" w:rsidRPr="00865C47" w:rsidRDefault="008A58D2" w:rsidP="008A58D2">
      <w:r w:rsidRPr="00865C47">
        <w:t>Clinically notable TEAEs (</w:t>
      </w:r>
      <w:r w:rsidR="00B80561" w:rsidRPr="00865C47">
        <w:t>sponsor</w:t>
      </w:r>
      <w:r w:rsidRPr="00865C47">
        <w:t xml:space="preserve">-defined) include nail toxicity, hyperphosphatemia, </w:t>
      </w:r>
      <w:proofErr w:type="gramStart"/>
      <w:r w:rsidRPr="00865C47">
        <w:t>hypophosphatemia</w:t>
      </w:r>
      <w:proofErr w:type="gramEnd"/>
      <w:r w:rsidRPr="00865C47">
        <w:t xml:space="preserve"> and serous retinal detachment</w:t>
      </w:r>
      <w:r w:rsidR="00825311" w:rsidRPr="00865C47">
        <w:t>.</w:t>
      </w:r>
    </w:p>
    <w:p w14:paraId="57AADCED" w14:textId="6E48F758" w:rsidR="008A58D2" w:rsidRPr="00865C47" w:rsidRDefault="008A58D2" w:rsidP="008E72D2">
      <w:pPr>
        <w:pStyle w:val="Heading7"/>
      </w:pPr>
      <w:r w:rsidRPr="00865C47">
        <w:t>Hyperphosphatemia</w:t>
      </w:r>
    </w:p>
    <w:p w14:paraId="38B8C263" w14:textId="105873F9" w:rsidR="00892AE8" w:rsidRPr="00865C47" w:rsidRDefault="008A58D2" w:rsidP="00825311">
      <w:r w:rsidRPr="00865C47">
        <w:t xml:space="preserve">Laboratory abnormalities and clinical events reported as TEAEs were considered in combination; in the interim </w:t>
      </w:r>
      <w:r w:rsidR="00825311" w:rsidRPr="00865C47">
        <w:t>clinical study report</w:t>
      </w:r>
      <w:r w:rsidRPr="00865C47">
        <w:t xml:space="preserve">, serum phosphate values were above the </w:t>
      </w:r>
      <w:r w:rsidR="00825311" w:rsidRPr="00865C47">
        <w:t>upper limit of normal</w:t>
      </w:r>
      <w:r w:rsidRPr="00865C47">
        <w:t xml:space="preserve"> in 89% and 88% of participants at </w:t>
      </w:r>
      <w:r w:rsidR="00C70544" w:rsidRPr="00C70544">
        <w:t xml:space="preserve">Cycle </w:t>
      </w:r>
      <w:r w:rsidRPr="00865C47">
        <w:t>1</w:t>
      </w:r>
      <w:r w:rsidR="00C70544">
        <w:t xml:space="preserve"> </w:t>
      </w:r>
      <w:r w:rsidRPr="00865C47">
        <w:t>D</w:t>
      </w:r>
      <w:r w:rsidR="00C70544">
        <w:t xml:space="preserve">ay </w:t>
      </w:r>
      <w:r w:rsidRPr="00865C47">
        <w:t>8 and C</w:t>
      </w:r>
      <w:r w:rsidR="00C70544">
        <w:t xml:space="preserve">ycle </w:t>
      </w:r>
      <w:r w:rsidRPr="00865C47">
        <w:t>1</w:t>
      </w:r>
      <w:r w:rsidR="00C70544">
        <w:t xml:space="preserve"> </w:t>
      </w:r>
      <w:r w:rsidRPr="00865C47">
        <w:t>D</w:t>
      </w:r>
      <w:r w:rsidR="00C70544">
        <w:t xml:space="preserve">ay </w:t>
      </w:r>
      <w:r w:rsidRPr="00865C47">
        <w:t>15 respectively.</w:t>
      </w:r>
    </w:p>
    <w:p w14:paraId="4631D8B9" w14:textId="459D8A3B" w:rsidR="008A58D2" w:rsidRPr="00865C47" w:rsidRDefault="008A58D2" w:rsidP="00825311">
      <w:r w:rsidRPr="00865C47">
        <w:t xml:space="preserve">As of cut-off date 7 April 2020, in the overall population, hyperphosphatemia was reported in 60.5% of participants (none were </w:t>
      </w:r>
      <w:r w:rsidR="00825311" w:rsidRPr="00865C47">
        <w:t>G</w:t>
      </w:r>
      <w:r w:rsidRPr="00865C47">
        <w:t xml:space="preserve">rade 3 </w:t>
      </w:r>
      <w:r w:rsidR="00825311" w:rsidRPr="00865C47">
        <w:t xml:space="preserve">or higher </w:t>
      </w:r>
      <w:r w:rsidRPr="00865C47">
        <w:t>in severity, serious, or led to discontinuation of pemigatinib)</w:t>
      </w:r>
      <w:r w:rsidR="00825311" w:rsidRPr="00865C47">
        <w:t>. T</w:t>
      </w:r>
      <w:r w:rsidRPr="00865C47">
        <w:t>his led to dose interruption in 1.4% and dose reduction in 0.7%.</w:t>
      </w:r>
    </w:p>
    <w:p w14:paraId="3E92CB9B" w14:textId="00CAADD6" w:rsidR="00892AE8" w:rsidRPr="00865C47" w:rsidRDefault="008A58D2" w:rsidP="00825311">
      <w:r w:rsidRPr="00865C47">
        <w:t xml:space="preserve">The clinical </w:t>
      </w:r>
      <w:r w:rsidR="00E60C44" w:rsidRPr="00865C47">
        <w:t>evaluation</w:t>
      </w:r>
      <w:r w:rsidRPr="00865C47">
        <w:t xml:space="preserve"> notes the following:</w:t>
      </w:r>
    </w:p>
    <w:p w14:paraId="48462A7A" w14:textId="38B3A44D" w:rsidR="00892AE8" w:rsidRPr="00865C47" w:rsidRDefault="00825311" w:rsidP="00825311">
      <w:pPr>
        <w:pStyle w:val="ListBullet"/>
      </w:pPr>
      <w:r w:rsidRPr="00865C47">
        <w:t>S</w:t>
      </w:r>
      <w:r w:rsidR="008A58D2" w:rsidRPr="00865C47">
        <w:t xml:space="preserve">ymptoms of hyperphosphatemia are non-specific and may be difficult to </w:t>
      </w:r>
      <w:proofErr w:type="gramStart"/>
      <w:r w:rsidR="008A58D2" w:rsidRPr="00865C47">
        <w:t>make adjustments to</w:t>
      </w:r>
      <w:proofErr w:type="gramEnd"/>
      <w:r w:rsidR="008A58D2" w:rsidRPr="00865C47">
        <w:t xml:space="preserve"> diets and introduce agents based on clinical events alone</w:t>
      </w:r>
      <w:r w:rsidRPr="00865C47">
        <w:t>.</w:t>
      </w:r>
    </w:p>
    <w:p w14:paraId="7C9390A3" w14:textId="075DB66F" w:rsidR="008A58D2" w:rsidRPr="00865C47" w:rsidRDefault="00825311" w:rsidP="00825311">
      <w:pPr>
        <w:pStyle w:val="ListBullet"/>
      </w:pPr>
      <w:r w:rsidRPr="00865C47">
        <w:t>A</w:t>
      </w:r>
      <w:r w:rsidR="008A58D2" w:rsidRPr="00865C47">
        <w:t>s the protocol did not require sampling other than during cycle 1, this is likely to have resulted in substantial under-detection</w:t>
      </w:r>
      <w:r w:rsidRPr="00865C47">
        <w:t xml:space="preserve"> or </w:t>
      </w:r>
      <w:r w:rsidR="008A58D2" w:rsidRPr="00865C47">
        <w:t xml:space="preserve">under-reporting of events of increase serum phosphate during the </w:t>
      </w:r>
      <w:r w:rsidRPr="00865C47">
        <w:t>two</w:t>
      </w:r>
      <w:r w:rsidR="008A58D2" w:rsidRPr="00865C47">
        <w:t xml:space="preserve"> weeks on treatment of each cycle</w:t>
      </w:r>
      <w:r w:rsidRPr="00865C47">
        <w:t>.</w:t>
      </w:r>
    </w:p>
    <w:p w14:paraId="4420BF8D" w14:textId="4C69959D" w:rsidR="008A58D2" w:rsidRPr="00865C47" w:rsidRDefault="00825311" w:rsidP="00825311">
      <w:pPr>
        <w:pStyle w:val="ListBullet"/>
      </w:pPr>
      <w:r w:rsidRPr="00865C47">
        <w:t>T</w:t>
      </w:r>
      <w:r w:rsidR="008A58D2" w:rsidRPr="00865C47">
        <w:t xml:space="preserve">he changes in phosphate levels have not been adequately characterised which impacts on </w:t>
      </w:r>
      <w:r w:rsidR="004B01EA" w:rsidRPr="00865C47">
        <w:t>PopPK</w:t>
      </w:r>
      <w:r w:rsidR="008A58D2" w:rsidRPr="00865C47">
        <w:t xml:space="preserve"> modelling, as well as understanding the range of values experienced by patients during on and off weeks</w:t>
      </w:r>
      <w:r w:rsidRPr="00865C47">
        <w:t>.</w:t>
      </w:r>
    </w:p>
    <w:p w14:paraId="37616FE5" w14:textId="3DD3B4D8" w:rsidR="008A58D2" w:rsidRPr="00865C47" w:rsidRDefault="00825311" w:rsidP="00825311">
      <w:pPr>
        <w:pStyle w:val="ListBullet"/>
      </w:pPr>
      <w:r w:rsidRPr="00865C47">
        <w:t>M</w:t>
      </w:r>
      <w:r w:rsidR="008A58D2" w:rsidRPr="00865C47">
        <w:t>easuring serum phosphate levels after one week off pemigatinib from C</w:t>
      </w:r>
      <w:r w:rsidR="00C70544">
        <w:t xml:space="preserve">ycle </w:t>
      </w:r>
      <w:r w:rsidR="008A58D2" w:rsidRPr="00865C47">
        <w:t xml:space="preserve">2 onwards does not demonstrate changes in phosphate levels during on-drug active dosing </w:t>
      </w:r>
      <w:proofErr w:type="gramStart"/>
      <w:r w:rsidR="008A58D2" w:rsidRPr="00865C47">
        <w:t>treatment, and</w:t>
      </w:r>
      <w:proofErr w:type="gramEnd"/>
      <w:r w:rsidR="008A58D2" w:rsidRPr="00865C47">
        <w:t xml:space="preserve"> is biased towards obtaining lower phosphate levels due to a number of factors</w:t>
      </w:r>
      <w:r w:rsidRPr="00865C47">
        <w:t>.</w:t>
      </w:r>
    </w:p>
    <w:p w14:paraId="76760B57" w14:textId="3EC6E4C7" w:rsidR="00892AE8" w:rsidRPr="00865C47" w:rsidRDefault="00825311" w:rsidP="00825311">
      <w:pPr>
        <w:pStyle w:val="ListBullet"/>
      </w:pPr>
      <w:r w:rsidRPr="00865C47">
        <w:t>W</w:t>
      </w:r>
      <w:r w:rsidR="008A58D2" w:rsidRPr="00865C47">
        <w:t>ithout phosphate level measurements taken while on active treatment, the proportion experiencing hyperphosphatemia in subsequent cycles remains unknown.</w:t>
      </w:r>
    </w:p>
    <w:p w14:paraId="371FA96A" w14:textId="7565C583" w:rsidR="008A58D2" w:rsidRPr="00865C47" w:rsidRDefault="008A58D2" w:rsidP="00825311">
      <w:r w:rsidRPr="00865C47">
        <w:t xml:space="preserve">In particular, the clinical </w:t>
      </w:r>
      <w:r w:rsidR="00E60C44" w:rsidRPr="00865C47">
        <w:t>evaluation</w:t>
      </w:r>
      <w:r w:rsidRPr="00865C47">
        <w:t xml:space="preserve"> highlighted the following:</w:t>
      </w:r>
    </w:p>
    <w:p w14:paraId="54B3222C" w14:textId="25A46B58" w:rsidR="008A58D2" w:rsidRPr="00865C47" w:rsidRDefault="008A58D2" w:rsidP="00825311">
      <w:pPr>
        <w:pStyle w:val="ListBullet"/>
      </w:pPr>
      <w:r w:rsidRPr="00865C47">
        <w:t>The protocol presented clear management instructions and the PI includes sufficient information to advise treating oncologists less familiar with this unusual side-effect which is known to occur as a class effect of FGFR2 inhibitors. Consideration could be given to a patient information card advising health care providers of these events</w:t>
      </w:r>
      <w:r w:rsidR="00825311" w:rsidRPr="00865C47">
        <w:t xml:space="preserve"> or </w:t>
      </w:r>
      <w:r w:rsidRPr="00865C47">
        <w:t>risks and their management given many patients will present to other clinicians or specialties after hours, especially in regional or rural locations who would seldom encounter a patient with this rare cancer on active treatment.</w:t>
      </w:r>
    </w:p>
    <w:p w14:paraId="2CA85743" w14:textId="37C36167" w:rsidR="00892AE8" w:rsidRPr="00865C47" w:rsidRDefault="008A58D2" w:rsidP="00825311">
      <w:r w:rsidRPr="00865C47">
        <w:t xml:space="preserve">In </w:t>
      </w:r>
      <w:proofErr w:type="gramStart"/>
      <w:r w:rsidRPr="00865C47">
        <w:t xml:space="preserve">the </w:t>
      </w:r>
      <w:r w:rsidR="00A93FFB" w:rsidRPr="00865C47">
        <w:t>all</w:t>
      </w:r>
      <w:proofErr w:type="gramEnd"/>
      <w:r w:rsidR="00A93FFB" w:rsidRPr="00865C47">
        <w:t xml:space="preserve"> cancer population</w:t>
      </w:r>
      <w:r w:rsidRPr="00865C47">
        <w:t>, there was a similar frequency of hyperphosphatemia noted, but greater severity.</w:t>
      </w:r>
      <w:r w:rsidR="00892AE8" w:rsidRPr="00865C47">
        <w:t xml:space="preserve"> </w:t>
      </w:r>
      <w:r w:rsidRPr="00865C47">
        <w:t xml:space="preserve">5 participants had serious and/or </w:t>
      </w:r>
      <w:r w:rsidR="00825311" w:rsidRPr="00865C47">
        <w:t>G</w:t>
      </w:r>
      <w:r w:rsidRPr="00865C47">
        <w:t>rade 3</w:t>
      </w:r>
      <w:r w:rsidR="00825311" w:rsidRPr="00865C47">
        <w:t xml:space="preserve"> or higher</w:t>
      </w:r>
      <w:r w:rsidRPr="00865C47">
        <w:t xml:space="preserve"> TEAEs of hyperphosphatemia, with potential clinical sequelae including muscle spasms (</w:t>
      </w:r>
      <w:r w:rsidR="00825311" w:rsidRPr="00865C47">
        <w:t>Grade</w:t>
      </w:r>
      <w:r w:rsidRPr="00865C47">
        <w:t xml:space="preserve"> 1) and corneal opacity (</w:t>
      </w:r>
      <w:r w:rsidR="00825311" w:rsidRPr="00865C47">
        <w:t>Grade</w:t>
      </w:r>
      <w:r w:rsidRPr="00865C47">
        <w:t xml:space="preserve"> 1) considered related to pemigatinib.</w:t>
      </w:r>
    </w:p>
    <w:p w14:paraId="7185FD8C" w14:textId="2B213594" w:rsidR="008A58D2" w:rsidRPr="00865C47" w:rsidRDefault="008A58D2" w:rsidP="00825311">
      <w:r w:rsidRPr="00865C47">
        <w:t xml:space="preserve">A signal of soft tissue mineralisation events in patients taking pemigatinib was identified following a cumulative review of safety data. Following review of all available data for soft tissue mineralisation </w:t>
      </w:r>
      <w:r w:rsidR="00B961FA" w:rsidRPr="00865C47">
        <w:t>AE</w:t>
      </w:r>
      <w:r w:rsidRPr="00865C47">
        <w:t xml:space="preserve">s in association with FGFR inhibitors, it was determined that soft tissue mineralisation is a confirmed signal for </w:t>
      </w:r>
      <w:proofErr w:type="gramStart"/>
      <w:r w:rsidR="00825311" w:rsidRPr="00865C47">
        <w:t>pemigatinib</w:t>
      </w:r>
      <w:proofErr w:type="gramEnd"/>
      <w:r w:rsidR="00825311" w:rsidRPr="00865C47">
        <w:t xml:space="preserve"> </w:t>
      </w:r>
      <w:r w:rsidRPr="00865C47">
        <w:t xml:space="preserve">and appropriate language was added to the proposed PI. The clinical </w:t>
      </w:r>
      <w:r w:rsidR="00E60C44" w:rsidRPr="00865C47">
        <w:t>evaluation</w:t>
      </w:r>
      <w:r w:rsidRPr="00865C47">
        <w:t xml:space="preserve"> has stated that this should be included as an important identified risk in the RMP, especially given the uncertainty about the characterisation of serum phosphate level changes while on active pemigatinib in the pivotal study.</w:t>
      </w:r>
    </w:p>
    <w:p w14:paraId="3C5CDC92" w14:textId="539703C5" w:rsidR="008A58D2" w:rsidRPr="00865C47" w:rsidRDefault="008A58D2" w:rsidP="00825311">
      <w:r w:rsidRPr="00865C47">
        <w:t xml:space="preserve">The incidence of hypophosphatemia doubled in </w:t>
      </w:r>
      <w:r w:rsidR="00825311" w:rsidRPr="00865C47">
        <w:t>Study INCB 54828-202</w:t>
      </w:r>
      <w:r w:rsidRPr="00865C47">
        <w:t xml:space="preserve"> and was also more severe in the </w:t>
      </w:r>
      <w:r w:rsidR="00825311" w:rsidRPr="00865C47">
        <w:t>Study INCB 54828-202</w:t>
      </w:r>
      <w:r w:rsidRPr="00865C47">
        <w:t xml:space="preserve"> participants than in </w:t>
      </w:r>
      <w:proofErr w:type="gramStart"/>
      <w:r w:rsidRPr="00865C47">
        <w:t xml:space="preserve">the </w:t>
      </w:r>
      <w:r w:rsidR="00825311" w:rsidRPr="00865C47">
        <w:t>all</w:t>
      </w:r>
      <w:proofErr w:type="gramEnd"/>
      <w:r w:rsidR="00825311" w:rsidRPr="00865C47">
        <w:t xml:space="preserve"> cancer </w:t>
      </w:r>
      <w:r w:rsidRPr="00865C47">
        <w:t xml:space="preserve">population. This might </w:t>
      </w:r>
      <w:r w:rsidRPr="00865C47">
        <w:lastRenderedPageBreak/>
        <w:t>suggest the hyperphosphatemia events being ‘overtreated’, triggering a risk of hypophosphatemia.</w:t>
      </w:r>
    </w:p>
    <w:p w14:paraId="5186987E" w14:textId="0EC538FB" w:rsidR="008A58D2" w:rsidRPr="00865C47" w:rsidRDefault="008A58D2" w:rsidP="00825311">
      <w:r w:rsidRPr="00865C47">
        <w:t xml:space="preserve">Currently the PI states the proportion of events of </w:t>
      </w:r>
      <w:proofErr w:type="spellStart"/>
      <w:r w:rsidRPr="00865C47">
        <w:t>hypophosphataemia</w:t>
      </w:r>
      <w:proofErr w:type="spellEnd"/>
      <w:r w:rsidRPr="00865C47">
        <w:t xml:space="preserve"> that were Grade 3</w:t>
      </w:r>
      <w:r w:rsidR="00825311" w:rsidRPr="00865C47">
        <w:t xml:space="preserve"> or higher</w:t>
      </w:r>
      <w:r w:rsidRPr="00865C47">
        <w:t xml:space="preserve"> and that </w:t>
      </w:r>
      <w:r w:rsidR="00085B3F" w:rsidRPr="00865C47">
        <w:t>‘</w:t>
      </w:r>
      <w:r w:rsidRPr="00865C47">
        <w:t>none of the events were serious</w:t>
      </w:r>
      <w:r w:rsidR="00085B3F" w:rsidRPr="00865C47">
        <w:t>’</w:t>
      </w:r>
      <w:r w:rsidRPr="00865C47">
        <w:t xml:space="preserve"> </w:t>
      </w:r>
      <w:r w:rsidR="007D39FC" w:rsidRPr="00865C47">
        <w:t>T</w:t>
      </w:r>
      <w:r w:rsidRPr="00865C47">
        <w:t xml:space="preserve">his may be misconstrued by clinicians as discounting the potential seriousness of </w:t>
      </w:r>
      <w:proofErr w:type="spellStart"/>
      <w:r w:rsidRPr="00865C47">
        <w:t>hypophosphataemia</w:t>
      </w:r>
      <w:proofErr w:type="spellEnd"/>
      <w:r w:rsidRPr="00865C47">
        <w:t>, rather than referring to the specific clinical trial reporting term of some AEs as ‘serious adverse events’ as a separate and distinct term. It is recommended this phrase be deleted to avoid clinical error.</w:t>
      </w:r>
    </w:p>
    <w:p w14:paraId="3394F03E" w14:textId="2BDA7526" w:rsidR="008A58D2" w:rsidRPr="00865C47" w:rsidRDefault="008A58D2" w:rsidP="008E72D2">
      <w:pPr>
        <w:pStyle w:val="Heading7"/>
      </w:pPr>
      <w:r w:rsidRPr="00865C47">
        <w:t>Hypophosphatemia</w:t>
      </w:r>
    </w:p>
    <w:p w14:paraId="15FDA36B" w14:textId="70C5F553" w:rsidR="00892AE8" w:rsidRPr="00865C47" w:rsidRDefault="008A58D2" w:rsidP="007D39FC">
      <w:r w:rsidRPr="00865C47">
        <w:t xml:space="preserve">Hypophosphatemia was reported in 27% of patients in Cohort A, with 15% of </w:t>
      </w:r>
      <w:proofErr w:type="gramStart"/>
      <w:r w:rsidRPr="00865C47">
        <w:t>these Grade</w:t>
      </w:r>
      <w:r w:rsidR="007D39FC" w:rsidRPr="00865C47">
        <w:t> </w:t>
      </w:r>
      <w:r w:rsidRPr="00865C47">
        <w:t xml:space="preserve">3 </w:t>
      </w:r>
      <w:r w:rsidR="00825311" w:rsidRPr="00865C47">
        <w:t xml:space="preserve">or higher </w:t>
      </w:r>
      <w:r w:rsidRPr="00865C47">
        <w:t>severity</w:t>
      </w:r>
      <w:proofErr w:type="gramEnd"/>
      <w:r w:rsidRPr="00865C47">
        <w:t>.</w:t>
      </w:r>
    </w:p>
    <w:p w14:paraId="3E651F10" w14:textId="2AA3803D" w:rsidR="008A58D2" w:rsidRPr="00865C47" w:rsidRDefault="008A58D2" w:rsidP="007D39FC">
      <w:r w:rsidRPr="00865C47">
        <w:t>Hypophosphatemia led to dose interruption in 1.4% of participants</w:t>
      </w:r>
      <w:r w:rsidR="007D39FC" w:rsidRPr="00865C47">
        <w:t>. N</w:t>
      </w:r>
      <w:r w:rsidRPr="00865C47">
        <w:t>one led to discontinuation or dose reduction</w:t>
      </w:r>
      <w:r w:rsidR="007D39FC" w:rsidRPr="00865C47">
        <w:t>.</w:t>
      </w:r>
    </w:p>
    <w:p w14:paraId="48658C8B" w14:textId="5D7B6C8A" w:rsidR="008A58D2" w:rsidRPr="00865C47" w:rsidRDefault="008A58D2" w:rsidP="007D39FC">
      <w:r w:rsidRPr="00865C47">
        <w:t xml:space="preserve">Worsening of serum phosphate levels in the low direction occurred in 78% of participants in Cohort A, Grade 3 worse post-baseline values in 44% and </w:t>
      </w:r>
      <w:r w:rsidR="00825311" w:rsidRPr="00865C47">
        <w:t>Grade</w:t>
      </w:r>
      <w:r w:rsidRPr="00865C47">
        <w:t xml:space="preserve"> 4 in 1.9%</w:t>
      </w:r>
      <w:r w:rsidR="007D39FC" w:rsidRPr="00865C47">
        <w:t>.</w:t>
      </w:r>
    </w:p>
    <w:p w14:paraId="7ACD8144" w14:textId="6BBEB1AF" w:rsidR="008A58D2" w:rsidRPr="00865C47" w:rsidRDefault="008A58D2" w:rsidP="007D39FC">
      <w:r w:rsidRPr="00865C47">
        <w:t xml:space="preserve">The clinical </w:t>
      </w:r>
      <w:r w:rsidR="00E60C44" w:rsidRPr="00865C47">
        <w:t>evaluation</w:t>
      </w:r>
      <w:r w:rsidRPr="00865C47">
        <w:t xml:space="preserve"> highlighted the following:</w:t>
      </w:r>
    </w:p>
    <w:p w14:paraId="5A5BD599" w14:textId="77777777" w:rsidR="00892AE8" w:rsidRPr="00865C47" w:rsidRDefault="008A58D2" w:rsidP="007D39FC">
      <w:pPr>
        <w:pStyle w:val="ListBullet"/>
      </w:pPr>
      <w:r w:rsidRPr="00865C47">
        <w:t>Increased phosphate occurred in 89% of patients, and in the vast majority of patients prior to the development of hypophosphatemia.</w:t>
      </w:r>
    </w:p>
    <w:p w14:paraId="45399BB4" w14:textId="083AE6DE" w:rsidR="008A58D2" w:rsidRPr="00865C47" w:rsidRDefault="008A58D2" w:rsidP="007D39FC">
      <w:pPr>
        <w:pStyle w:val="ListBullet"/>
      </w:pPr>
      <w:r w:rsidRPr="00865C47">
        <w:t xml:space="preserve">Even though these measurements occurred at the end of the </w:t>
      </w:r>
      <w:r w:rsidR="008A51BB" w:rsidRPr="00865C47">
        <w:t>one</w:t>
      </w:r>
      <w:r w:rsidRPr="00865C47">
        <w:t xml:space="preserve"> week off, and therefore may not represent the peak phosphate level during the </w:t>
      </w:r>
      <w:r w:rsidR="00825311" w:rsidRPr="00865C47">
        <w:t>two</w:t>
      </w:r>
      <w:r w:rsidRPr="00865C47">
        <w:t xml:space="preserve"> weeks on part of the cycle, the apparent reduction in the events of hyperphosphatemia has led to a dramatic increase in rebound hypophosphatemia which is a risk in itself and requires close monitoring. Approximately twice as many patients experienced any grade or severe hypophosphatemia in </w:t>
      </w:r>
      <w:r w:rsidR="00825311" w:rsidRPr="00865C47">
        <w:t>Study INCB 54828-202</w:t>
      </w:r>
      <w:r w:rsidRPr="00865C47">
        <w:t xml:space="preserve"> compared with </w:t>
      </w:r>
      <w:proofErr w:type="gramStart"/>
      <w:r w:rsidRPr="00865C47">
        <w:t xml:space="preserve">the </w:t>
      </w:r>
      <w:r w:rsidR="00A93FFB" w:rsidRPr="00865C47">
        <w:t>all</w:t>
      </w:r>
      <w:proofErr w:type="gramEnd"/>
      <w:r w:rsidR="00A93FFB" w:rsidRPr="00865C47">
        <w:t xml:space="preserve"> cancer population</w:t>
      </w:r>
      <w:r w:rsidRPr="00865C47">
        <w:t>.</w:t>
      </w:r>
    </w:p>
    <w:p w14:paraId="66CB7726" w14:textId="49EA0046" w:rsidR="008A58D2" w:rsidRPr="00865C47" w:rsidRDefault="008A58D2" w:rsidP="004C535F">
      <w:pPr>
        <w:pStyle w:val="ListBullet"/>
      </w:pPr>
      <w:r w:rsidRPr="00865C47">
        <w:t xml:space="preserve">Educational materials for clinicians should be provided as this is an unusual </w:t>
      </w:r>
      <w:r w:rsidR="00B961FA" w:rsidRPr="00865C47">
        <w:t>AE</w:t>
      </w:r>
      <w:r w:rsidRPr="00865C47">
        <w:t xml:space="preserve"> and not within the experience of most clinicians. Furthermore, this class of drugs is currently only approved for very rare cancers.</w:t>
      </w:r>
    </w:p>
    <w:p w14:paraId="26A6DF26" w14:textId="77777777" w:rsidR="008A58D2" w:rsidRPr="00865C47" w:rsidRDefault="008A58D2" w:rsidP="008E72D2">
      <w:pPr>
        <w:pStyle w:val="Heading7"/>
      </w:pPr>
      <w:r w:rsidRPr="00865C47">
        <w:t>Nail toxicity</w:t>
      </w:r>
    </w:p>
    <w:p w14:paraId="2B9B462C" w14:textId="19E994CA" w:rsidR="00892AE8" w:rsidRPr="00865C47" w:rsidRDefault="008A58D2" w:rsidP="007D39FC">
      <w:r w:rsidRPr="00865C47">
        <w:t xml:space="preserve">Nail toxicity was reported in 56% of patients in Cohort A and 44.9% of all </w:t>
      </w:r>
      <w:r w:rsidR="00825311" w:rsidRPr="00865C47">
        <w:t>Study INCB 54828</w:t>
      </w:r>
      <w:r w:rsidR="007D39FC" w:rsidRPr="00865C47">
        <w:noBreakHyphen/>
      </w:r>
      <w:r w:rsidR="00825311" w:rsidRPr="00865C47">
        <w:t>202</w:t>
      </w:r>
      <w:r w:rsidRPr="00865C47">
        <w:t xml:space="preserve"> participants; most were </w:t>
      </w:r>
      <w:r w:rsidR="00825311" w:rsidRPr="00865C47">
        <w:t>Grade</w:t>
      </w:r>
      <w:r w:rsidRPr="00865C47">
        <w:t xml:space="preserve"> 1</w:t>
      </w:r>
      <w:r w:rsidR="00825311" w:rsidRPr="00865C47">
        <w:t xml:space="preserve"> or </w:t>
      </w:r>
      <w:r w:rsidRPr="00865C47">
        <w:t xml:space="preserve">2 in severity; 2.0% of </w:t>
      </w:r>
      <w:proofErr w:type="gramStart"/>
      <w:r w:rsidRPr="00865C47">
        <w:t>these Grade</w:t>
      </w:r>
      <w:r w:rsidR="007D39FC" w:rsidRPr="00865C47">
        <w:t> </w:t>
      </w:r>
      <w:r w:rsidRPr="00865C47">
        <w:t xml:space="preserve">3 </w:t>
      </w:r>
      <w:r w:rsidR="00825311" w:rsidRPr="00865C47">
        <w:t xml:space="preserve">or higher </w:t>
      </w:r>
      <w:r w:rsidRPr="00865C47">
        <w:t>severity</w:t>
      </w:r>
      <w:proofErr w:type="gramEnd"/>
      <w:r w:rsidRPr="00865C47">
        <w:t>.</w:t>
      </w:r>
    </w:p>
    <w:p w14:paraId="197A97AD" w14:textId="79AAE189" w:rsidR="008A58D2" w:rsidRPr="00865C47" w:rsidRDefault="008A58D2" w:rsidP="007D39FC">
      <w:r w:rsidRPr="00865C47">
        <w:t>None of these events led to discontinuation of pemigatinib, but dose interruption was required in 4.1% of patients and dose reduction in 3.4% of patients</w:t>
      </w:r>
    </w:p>
    <w:p w14:paraId="6BDA077F" w14:textId="1653BDA4" w:rsidR="00892AE8" w:rsidRPr="00865C47" w:rsidRDefault="008A58D2" w:rsidP="007D39FC">
      <w:r w:rsidRPr="00865C47">
        <w:t xml:space="preserve">Despite the prominence (and severity in some patients) of nail toxicity, this appears to be a largely manageable </w:t>
      </w:r>
      <w:r w:rsidR="00B961FA" w:rsidRPr="00865C47">
        <w:t>AE</w:t>
      </w:r>
      <w:r w:rsidRPr="00865C47">
        <w:t>.</w:t>
      </w:r>
    </w:p>
    <w:p w14:paraId="5EFBF811" w14:textId="7EDFD422" w:rsidR="008A58D2" w:rsidRPr="00865C47" w:rsidRDefault="008A58D2" w:rsidP="008E72D2">
      <w:pPr>
        <w:pStyle w:val="Heading7"/>
      </w:pPr>
      <w:r w:rsidRPr="00865C47">
        <w:t>Serous retinal detachment and other eye disorders</w:t>
      </w:r>
    </w:p>
    <w:p w14:paraId="13D752E9" w14:textId="5239AF34" w:rsidR="00892AE8" w:rsidRPr="00865C47" w:rsidRDefault="008A58D2" w:rsidP="007D39FC">
      <w:r w:rsidRPr="00865C47">
        <w:t xml:space="preserve">In the overall </w:t>
      </w:r>
      <w:r w:rsidR="00825311" w:rsidRPr="00865C47">
        <w:t>Study INCB 54828-202</w:t>
      </w:r>
      <w:r w:rsidRPr="00865C47">
        <w:t xml:space="preserve"> population, serous retinal detachment was reported in 4.8% of participants, mostly </w:t>
      </w:r>
      <w:r w:rsidR="008A51BB" w:rsidRPr="00865C47">
        <w:t xml:space="preserve">Grade </w:t>
      </w:r>
      <w:r w:rsidRPr="00865C47">
        <w:t>1 or 2.</w:t>
      </w:r>
      <w:r w:rsidR="00892AE8" w:rsidRPr="00865C47">
        <w:t xml:space="preserve"> </w:t>
      </w:r>
      <w:r w:rsidRPr="00865C47">
        <w:t xml:space="preserve">One participant (0.7%) had a </w:t>
      </w:r>
      <w:r w:rsidR="00825311" w:rsidRPr="00865C47">
        <w:t>Grade</w:t>
      </w:r>
      <w:r w:rsidRPr="00865C47">
        <w:t xml:space="preserve"> 3 event of retinal detachment.</w:t>
      </w:r>
      <w:r w:rsidR="00892AE8" w:rsidRPr="00865C47">
        <w:t xml:space="preserve"> </w:t>
      </w:r>
      <w:r w:rsidRPr="00865C47">
        <w:t>Serous retinal detachment led to pemigatinib dose interruption in 1.4% of participants; no events led to pemigatinib discontinuation or dose reduction.</w:t>
      </w:r>
    </w:p>
    <w:p w14:paraId="5ABCF0DD" w14:textId="38B40FBB" w:rsidR="008A58D2" w:rsidRPr="00865C47" w:rsidRDefault="008A58D2" w:rsidP="007D39FC">
      <w:r w:rsidRPr="00865C47">
        <w:t>Ocular toxicities were prominent (including important AEs other than serous retinal detachment, such as punctate keratitis and eyelash abnormalities, which led to discontinuations in the study) and should also be presented in the PI under an overarching term regarding ocular toxicities.</w:t>
      </w:r>
      <w:r w:rsidR="00892AE8" w:rsidRPr="00865C47">
        <w:t xml:space="preserve"> </w:t>
      </w:r>
      <w:r w:rsidRPr="00865C47">
        <w:t xml:space="preserve">The clinical </w:t>
      </w:r>
      <w:r w:rsidR="00E60C44" w:rsidRPr="00865C47">
        <w:t>evaluation</w:t>
      </w:r>
      <w:r w:rsidRPr="00865C47">
        <w:t xml:space="preserve"> has stated the following:</w:t>
      </w:r>
    </w:p>
    <w:p w14:paraId="1D7145CC" w14:textId="7EB0F2C8" w:rsidR="008A58D2" w:rsidRPr="00865C47" w:rsidRDefault="008A58D2" w:rsidP="007D39FC">
      <w:pPr>
        <w:pStyle w:val="ListBullet"/>
      </w:pPr>
      <w:r w:rsidRPr="00865C47">
        <w:t xml:space="preserve">the PI frequency for these events requires updating based on collated </w:t>
      </w:r>
      <w:r w:rsidR="00A93FFB" w:rsidRPr="00865C47">
        <w:t>Preferred Term</w:t>
      </w:r>
      <w:r w:rsidRPr="00865C47">
        <w:t xml:space="preserve">s for clinically related events. Given the frequency and potential severity, it is recommended there </w:t>
      </w:r>
      <w:r w:rsidRPr="00865C47">
        <w:lastRenderedPageBreak/>
        <w:t>is a separate title of Ocular Toxicity in the Warnings and Precautions sections of the PI, listing the different issues and their management</w:t>
      </w:r>
      <w:r w:rsidR="007D39FC" w:rsidRPr="00865C47">
        <w:t>.</w:t>
      </w:r>
    </w:p>
    <w:p w14:paraId="1D8F7216" w14:textId="3734F8D9" w:rsidR="008A58D2" w:rsidRDefault="008A58D2" w:rsidP="007D39FC">
      <w:pPr>
        <w:pStyle w:val="ListBullet"/>
      </w:pPr>
      <w:r w:rsidRPr="00865C47">
        <w:t>As these events are clinically very significant for patients, and the rates were higher with the longer exposure in Cohort A</w:t>
      </w:r>
      <w:r w:rsidR="007D39FC" w:rsidRPr="00865C47">
        <w:t>. T</w:t>
      </w:r>
      <w:r w:rsidRPr="00865C47">
        <w:t xml:space="preserve">he PI contains information about </w:t>
      </w:r>
      <w:r w:rsidR="007D39FC" w:rsidRPr="00865C47">
        <w:t xml:space="preserve">dry eye and serous retinal detachment in </w:t>
      </w:r>
      <w:r w:rsidRPr="00865C47">
        <w:t>the Warnings and Precautions</w:t>
      </w:r>
      <w:r w:rsidR="007D39FC" w:rsidRPr="00865C47">
        <w:t xml:space="preserve"> section</w:t>
      </w:r>
      <w:r w:rsidRPr="00865C47">
        <w:t xml:space="preserve">, but it would be better to have a heading of </w:t>
      </w:r>
      <w:r w:rsidR="007D39FC" w:rsidRPr="00865C47">
        <w:t>‘</w:t>
      </w:r>
      <w:r w:rsidRPr="00865C47">
        <w:t xml:space="preserve">Ocular </w:t>
      </w:r>
      <w:r w:rsidR="007D39FC" w:rsidRPr="00865C47">
        <w:t>T</w:t>
      </w:r>
      <w:r w:rsidRPr="00865C47">
        <w:t>oxicity</w:t>
      </w:r>
      <w:r w:rsidR="007D39FC" w:rsidRPr="00865C47">
        <w:t>’</w:t>
      </w:r>
      <w:r w:rsidRPr="00865C47">
        <w:t xml:space="preserve"> capturing the diverse range of events so these are monitored appropriately.</w:t>
      </w:r>
    </w:p>
    <w:p w14:paraId="063B7879" w14:textId="02ADE77B" w:rsidR="006F4250" w:rsidRDefault="006F4250" w:rsidP="004C535F">
      <w:pPr>
        <w:pStyle w:val="Heading6"/>
      </w:pPr>
      <w:r>
        <w:t>Other adverse events</w:t>
      </w:r>
    </w:p>
    <w:p w14:paraId="7D281484" w14:textId="31194A4F" w:rsidR="008A58D2" w:rsidRPr="00865C47" w:rsidRDefault="006F4250" w:rsidP="004C535F">
      <w:pPr>
        <w:pStyle w:val="Heading7"/>
      </w:pPr>
      <w:r>
        <w:t>Haematological parameters</w:t>
      </w:r>
    </w:p>
    <w:p w14:paraId="05A816F3" w14:textId="0CF8D760" w:rsidR="008A58D2" w:rsidRPr="00865C47" w:rsidRDefault="008A58D2" w:rsidP="008A58D2">
      <w:r>
        <w:t xml:space="preserve">No significant haematological toxicity was noted in the evaluation (see </w:t>
      </w:r>
      <w:r>
        <w:fldChar w:fldCharType="begin"/>
      </w:r>
      <w:r>
        <w:instrText xml:space="preserve"> REF _Ref135741636 \h  \* MERGEFORMAT </w:instrText>
      </w:r>
      <w:r>
        <w:fldChar w:fldCharType="separate"/>
      </w:r>
      <w:r w:rsidR="005D22F2" w:rsidRPr="00865C47">
        <w:t xml:space="preserve">Table </w:t>
      </w:r>
      <w:r w:rsidR="005D22F2">
        <w:rPr>
          <w:noProof/>
        </w:rPr>
        <w:t>18</w:t>
      </w:r>
      <w:r>
        <w:fldChar w:fldCharType="end"/>
      </w:r>
      <w:r w:rsidR="0002197C">
        <w:t xml:space="preserve"> below</w:t>
      </w:r>
      <w:r>
        <w:t>).</w:t>
      </w:r>
    </w:p>
    <w:p w14:paraId="5B5FB633" w14:textId="76CA87ED" w:rsidR="0002197C" w:rsidRDefault="0002197C" w:rsidP="0083096F">
      <w:pPr>
        <w:pStyle w:val="TableTitle"/>
      </w:pPr>
      <w:bookmarkStart w:id="152" w:name="_Ref135741636"/>
      <w:r w:rsidRPr="00865C47">
        <w:t xml:space="preserve">Table </w:t>
      </w:r>
      <w:r w:rsidR="00547529">
        <w:fldChar w:fldCharType="begin"/>
      </w:r>
      <w:r w:rsidR="00547529">
        <w:instrText xml:space="preserve"> SEQ Table \* ARABIC </w:instrText>
      </w:r>
      <w:r w:rsidR="00547529">
        <w:fldChar w:fldCharType="separate"/>
      </w:r>
      <w:r w:rsidR="005D22F2">
        <w:rPr>
          <w:noProof/>
        </w:rPr>
        <w:t>18</w:t>
      </w:r>
      <w:r w:rsidR="00547529">
        <w:rPr>
          <w:noProof/>
        </w:rPr>
        <w:fldChar w:fldCharType="end"/>
      </w:r>
      <w:bookmarkEnd w:id="152"/>
      <w:r w:rsidR="00E60C44" w:rsidRPr="00865C47">
        <w:t xml:space="preserve">: Study </w:t>
      </w:r>
      <w:r w:rsidR="00E02528" w:rsidRPr="00865C47">
        <w:t>INCB54828-</w:t>
      </w:r>
      <w:r w:rsidR="0083096F">
        <w:t>202</w:t>
      </w:r>
      <w:r w:rsidRPr="00865C47">
        <w:t xml:space="preserve"> </w:t>
      </w:r>
      <w:r w:rsidR="0083096F">
        <w:t xml:space="preserve">Treatment emergent worsening of </w:t>
      </w:r>
      <w:r w:rsidR="0083096F" w:rsidRPr="0083096F">
        <w:t xml:space="preserve">Common </w:t>
      </w:r>
      <w:r w:rsidR="0083096F">
        <w:t>Terminology</w:t>
      </w:r>
      <w:r w:rsidR="0083096F" w:rsidRPr="0083096F">
        <w:t xml:space="preserve"> Criteria</w:t>
      </w:r>
      <w:r w:rsidR="0083096F">
        <w:t xml:space="preserve"> graded hematology parameters (safety population)</w:t>
      </w:r>
    </w:p>
    <w:p w14:paraId="2C4763A7" w14:textId="23F182AB" w:rsidR="0083096F" w:rsidRPr="00865C47" w:rsidRDefault="0083096F" w:rsidP="004C535F">
      <w:r>
        <w:rPr>
          <w:noProof/>
          <w:lang w:val="en-GB" w:eastAsia="en-GB"/>
        </w:rPr>
        <w:drawing>
          <wp:inline distT="0" distB="0" distL="0" distR="0" wp14:anchorId="032E916C" wp14:editId="46BE26C7">
            <wp:extent cx="5759450" cy="2254250"/>
            <wp:effectExtent l="0" t="0" r="0" b="0"/>
            <wp:docPr id="5" name="Picture 5" descr="Table 18: Study INCB54828-202 Treatment emergent worsening of Common Terminology Criteria graded hematology paramet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8: Study INCB54828-202 Treatment emergent worsening of Common Terminology Criteria graded hematology parameters (safety population)"/>
                    <pic:cNvPicPr/>
                  </pic:nvPicPr>
                  <pic:blipFill>
                    <a:blip r:embed="rId54"/>
                    <a:stretch>
                      <a:fillRect/>
                    </a:stretch>
                  </pic:blipFill>
                  <pic:spPr>
                    <a:xfrm>
                      <a:off x="0" y="0"/>
                      <a:ext cx="5759450" cy="2254250"/>
                    </a:xfrm>
                    <a:prstGeom prst="rect">
                      <a:avLst/>
                    </a:prstGeom>
                  </pic:spPr>
                </pic:pic>
              </a:graphicData>
            </a:graphic>
          </wp:inline>
        </w:drawing>
      </w:r>
    </w:p>
    <w:p w14:paraId="118FB663" w14:textId="2FF00445" w:rsidR="0083096F" w:rsidRPr="0083096F" w:rsidRDefault="00565921">
      <w:pPr>
        <w:pStyle w:val="TableDescription"/>
      </w:pPr>
      <w:r w:rsidRPr="0083096F">
        <w:t xml:space="preserve">Abbreviations: </w:t>
      </w:r>
      <w:r w:rsidR="0083096F" w:rsidRPr="0083096F">
        <w:t>FGFR = fibroblast growth factor receptor; N = number of subjects; n = number of subjects in subcategory; NA = Grade 4 Common Terminology Criteria grade is not applicable to the parameter.</w:t>
      </w:r>
    </w:p>
    <w:p w14:paraId="7F4BBE06" w14:textId="0958CEFD" w:rsidR="006F4250" w:rsidRDefault="0083096F">
      <w:pPr>
        <w:pStyle w:val="TableDescription"/>
      </w:pPr>
      <w:r w:rsidRPr="0083096F">
        <w:t>Note: Worst Common Terminology Criteria grade post-Baseline. If baseline grade is missing, any post-baseline abnormality (Grade 1 to 4) is considered worsening from Baseline.</w:t>
      </w:r>
    </w:p>
    <w:p w14:paraId="0A6AF5B2" w14:textId="2D71B357" w:rsidR="006F4250" w:rsidRPr="006F4250" w:rsidRDefault="006F4250" w:rsidP="004C535F">
      <w:r>
        <w:br w:type="page"/>
      </w:r>
    </w:p>
    <w:p w14:paraId="363786E0" w14:textId="56A76B72" w:rsidR="006F4250" w:rsidRDefault="006F4250" w:rsidP="004C535F">
      <w:pPr>
        <w:pStyle w:val="Heading7"/>
      </w:pPr>
      <w:r>
        <w:lastRenderedPageBreak/>
        <w:t>Clinical chemistry</w:t>
      </w:r>
    </w:p>
    <w:p w14:paraId="0D0030E0" w14:textId="09E6C33B" w:rsidR="0002197C" w:rsidRPr="0083096F" w:rsidRDefault="006F4250" w:rsidP="004C535F">
      <w:r>
        <w:t xml:space="preserve">TEAEs relating to chemistry parameters for Study INCB 54828-202 are shown in </w:t>
      </w:r>
      <w:r>
        <w:fldChar w:fldCharType="begin"/>
      </w:r>
      <w:r>
        <w:instrText xml:space="preserve"> REF _Ref86143712 \h  \* MERGEFORMAT </w:instrText>
      </w:r>
      <w:r>
        <w:fldChar w:fldCharType="separate"/>
      </w:r>
      <w:r w:rsidR="005D22F2" w:rsidRPr="00865C47">
        <w:t xml:space="preserve">Table </w:t>
      </w:r>
      <w:r w:rsidR="005D22F2">
        <w:rPr>
          <w:noProof/>
        </w:rPr>
        <w:t>19</w:t>
      </w:r>
      <w:r>
        <w:fldChar w:fldCharType="end"/>
      </w:r>
      <w:r>
        <w:t xml:space="preserve"> and </w:t>
      </w:r>
      <w:r>
        <w:fldChar w:fldCharType="begin"/>
      </w:r>
      <w:r>
        <w:instrText xml:space="preserve"> REF _Ref86319089 \h  \* MERGEFORMAT </w:instrText>
      </w:r>
      <w:r>
        <w:fldChar w:fldCharType="separate"/>
      </w:r>
      <w:r w:rsidR="005D22F2" w:rsidRPr="00865C47">
        <w:t xml:space="preserve">Table </w:t>
      </w:r>
      <w:r w:rsidR="005D22F2">
        <w:rPr>
          <w:noProof/>
        </w:rPr>
        <w:t>20</w:t>
      </w:r>
      <w:r>
        <w:fldChar w:fldCharType="end"/>
      </w:r>
      <w:r>
        <w:t xml:space="preserve"> below.</w:t>
      </w:r>
    </w:p>
    <w:p w14:paraId="51B6EADE" w14:textId="1AD96868" w:rsidR="0002197C" w:rsidRPr="00865C47" w:rsidRDefault="0002197C" w:rsidP="008A51BB">
      <w:pPr>
        <w:pStyle w:val="TableTitle"/>
      </w:pPr>
      <w:bookmarkStart w:id="153" w:name="_Ref86143712"/>
      <w:bookmarkStart w:id="154" w:name="_Toc87017898"/>
      <w:bookmarkStart w:id="155" w:name="_Toc87202042"/>
      <w:r w:rsidRPr="00865C47">
        <w:t xml:space="preserve">Table </w:t>
      </w:r>
      <w:r w:rsidR="00547529">
        <w:fldChar w:fldCharType="begin"/>
      </w:r>
      <w:r w:rsidR="00547529">
        <w:instrText xml:space="preserve"> SEQ Table \* ARABIC </w:instrText>
      </w:r>
      <w:r w:rsidR="00547529">
        <w:fldChar w:fldCharType="separate"/>
      </w:r>
      <w:r w:rsidR="005D22F2">
        <w:rPr>
          <w:noProof/>
        </w:rPr>
        <w:t>19</w:t>
      </w:r>
      <w:r w:rsidR="00547529">
        <w:rPr>
          <w:noProof/>
        </w:rPr>
        <w:fldChar w:fldCharType="end"/>
      </w:r>
      <w:bookmarkEnd w:id="153"/>
      <w:r w:rsidR="00E60C44" w:rsidRPr="00865C47">
        <w:t>:</w:t>
      </w:r>
      <w:r w:rsidRPr="00865C47">
        <w:t xml:space="preserve"> Study </w:t>
      </w:r>
      <w:r w:rsidR="00E60C44" w:rsidRPr="00865C47">
        <w:t xml:space="preserve">INCB 54828-202 </w:t>
      </w:r>
      <w:r w:rsidRPr="00865C47">
        <w:t>Treatment</w:t>
      </w:r>
      <w:r w:rsidR="00E60C44" w:rsidRPr="00865C47">
        <w:t xml:space="preserve"> </w:t>
      </w:r>
      <w:r w:rsidRPr="00865C47">
        <w:t xml:space="preserve">emergent worsening in </w:t>
      </w:r>
      <w:r w:rsidR="008A51BB" w:rsidRPr="00865C47">
        <w:t xml:space="preserve">Common Terminology Criteria </w:t>
      </w:r>
      <w:r w:rsidRPr="00865C47">
        <w:t xml:space="preserve">graded </w:t>
      </w:r>
      <w:r w:rsidR="00E60C44" w:rsidRPr="00865C47">
        <w:t>clinical chemistry parameters (safety population</w:t>
      </w:r>
      <w:bookmarkEnd w:id="154"/>
      <w:bookmarkEnd w:id="155"/>
      <w:r w:rsidR="00E60C44" w:rsidRPr="00865C47">
        <w:t>)</w:t>
      </w:r>
    </w:p>
    <w:p w14:paraId="209B571E" w14:textId="302E2345" w:rsidR="00E02528" w:rsidRPr="00865C47" w:rsidRDefault="00E02528" w:rsidP="00170035">
      <w:r w:rsidRPr="00865C47">
        <w:rPr>
          <w:noProof/>
          <w:lang w:val="en-GB" w:eastAsia="en-GB"/>
        </w:rPr>
        <w:drawing>
          <wp:inline distT="0" distB="0" distL="0" distR="0" wp14:anchorId="132F7607" wp14:editId="07D70777">
            <wp:extent cx="5759450" cy="4184650"/>
            <wp:effectExtent l="0" t="0" r="0" b="6350"/>
            <wp:docPr id="50" name="Picture 50" descr="Table 19: Study INCB 54828-202 Treatment emergent worsening in Common Terminology Criteria graded clinical chemistry parameter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 19: Study INCB 54828-202 Treatment emergent worsening in Common Terminology Criteria graded clinical chemistry parameters (safety population)"/>
                    <pic:cNvPicPr/>
                  </pic:nvPicPr>
                  <pic:blipFill>
                    <a:blip r:embed="rId55"/>
                    <a:stretch>
                      <a:fillRect/>
                    </a:stretch>
                  </pic:blipFill>
                  <pic:spPr>
                    <a:xfrm>
                      <a:off x="0" y="0"/>
                      <a:ext cx="5759450" cy="4184650"/>
                    </a:xfrm>
                    <a:prstGeom prst="rect">
                      <a:avLst/>
                    </a:prstGeom>
                  </pic:spPr>
                </pic:pic>
              </a:graphicData>
            </a:graphic>
          </wp:inline>
        </w:drawing>
      </w:r>
    </w:p>
    <w:p w14:paraId="3E0BAAB8" w14:textId="2D47B2E0" w:rsidR="00565921" w:rsidRPr="00865C47" w:rsidRDefault="00565921" w:rsidP="00565921">
      <w:pPr>
        <w:pStyle w:val="TableDescription"/>
      </w:pPr>
      <w:r w:rsidRPr="00865C47">
        <w:t>Abbreviations: FGFR = fibroblast growth factor receptor; N = total number of subjects; n = number of subjects in subcategory; NA = Common Terminology Criteria grade is not applicable to the parameter.</w:t>
      </w:r>
    </w:p>
    <w:p w14:paraId="3EB72CA9" w14:textId="46BACB9D" w:rsidR="00E02528" w:rsidRPr="00865C47" w:rsidRDefault="00E02528" w:rsidP="00565921">
      <w:pPr>
        <w:pStyle w:val="TableDescription"/>
      </w:pPr>
      <w:r w:rsidRPr="00865C47">
        <w:t xml:space="preserve">Worst </w:t>
      </w:r>
      <w:r w:rsidR="008A51BB" w:rsidRPr="00865C47">
        <w:t xml:space="preserve">Common Terminology Criteria </w:t>
      </w:r>
      <w:r w:rsidRPr="00865C47">
        <w:t>grade post</w:t>
      </w:r>
      <w:r w:rsidR="00170035">
        <w:t>-B</w:t>
      </w:r>
      <w:r w:rsidRPr="00865C47">
        <w:t>aseline. If baseline grade is missing, any post</w:t>
      </w:r>
      <w:r w:rsidR="00170035">
        <w:t>-</w:t>
      </w:r>
      <w:r w:rsidRPr="00865C47">
        <w:t>baseline abnormality (Grade 1</w:t>
      </w:r>
      <w:r w:rsidR="00565921" w:rsidRPr="00865C47">
        <w:t xml:space="preserve"> to </w:t>
      </w:r>
      <w:r w:rsidRPr="00865C47">
        <w:t>4) is considered worsening from baseline.</w:t>
      </w:r>
    </w:p>
    <w:p w14:paraId="7ABC4227" w14:textId="41B18584" w:rsidR="007D39FC" w:rsidRPr="00865C47" w:rsidRDefault="00E02528" w:rsidP="00565921">
      <w:pPr>
        <w:pStyle w:val="TableDescription"/>
      </w:pPr>
      <w:r w:rsidRPr="00865C47">
        <w:t xml:space="preserve">a </w:t>
      </w:r>
      <w:r w:rsidR="00565921" w:rsidRPr="00865C47">
        <w:t xml:space="preserve">Common Terminology Criteria </w:t>
      </w:r>
      <w:r w:rsidRPr="00865C47">
        <w:t xml:space="preserve">grade based on changes relative to the </w:t>
      </w:r>
      <w:r w:rsidR="00825311" w:rsidRPr="00865C47">
        <w:t>upper limit of normal</w:t>
      </w:r>
      <w:r w:rsidRPr="00865C47">
        <w:t xml:space="preserve"> and baseline values.</w:t>
      </w:r>
    </w:p>
    <w:p w14:paraId="2342CE8D" w14:textId="063A1AE2" w:rsidR="007D39FC" w:rsidRPr="00865C47" w:rsidRDefault="007D39FC" w:rsidP="007D39FC">
      <w:r w:rsidRPr="00865C47">
        <w:t>In the</w:t>
      </w:r>
      <w:r w:rsidR="00865C47">
        <w:t xml:space="preserve"> dossier</w:t>
      </w:r>
      <w:r w:rsidRPr="00865C47">
        <w:t>, no new safety signals were seen in the wider cholangiocarcinoma and all cancer populations with respect to calcium, vitamin D or parathyroid hormone.</w:t>
      </w:r>
    </w:p>
    <w:p w14:paraId="54FABEC7" w14:textId="77777777" w:rsidR="007D39FC" w:rsidRPr="00865C47" w:rsidRDefault="007D39FC" w:rsidP="007D39FC">
      <w:r w:rsidRPr="00865C47">
        <w:t>Clinically significant hyponatraemia occurred in 15% of patients in the pivotal study.</w:t>
      </w:r>
    </w:p>
    <w:p w14:paraId="3275C40A" w14:textId="60584D98" w:rsidR="007D39FC" w:rsidRPr="00865C47" w:rsidRDefault="007D39FC" w:rsidP="007D39FC">
      <w:r w:rsidRPr="00865C47">
        <w:t xml:space="preserve">Monitoring of renal function would occur as a standard part of clinical management; it would appear that a mild elevation in creatinine during treatment is to be expected. The pattern of a rise in blood creatinine while on treatment which resolves off treatment was observed across all studies. In the other safety populations, particularly the all cancer population, any increased events of rise in blood creatinine or acute kidney injury are more likely to reflect the cancers being treated (for example, urothelial cancer) or concurrent </w:t>
      </w:r>
      <w:r w:rsidR="00B961FA" w:rsidRPr="00865C47">
        <w:t>AE</w:t>
      </w:r>
      <w:r w:rsidRPr="00865C47">
        <w:t>s than drug-related toxicity.</w:t>
      </w:r>
    </w:p>
    <w:p w14:paraId="6AEE951D" w14:textId="0D056AF1" w:rsidR="007D39FC" w:rsidRPr="00865C47" w:rsidRDefault="007D39FC" w:rsidP="007D39FC">
      <w:r w:rsidRPr="00865C47">
        <w:t>Treatment-emergent worsening of alanine transaminase, aspartate transaminase, and bilirubin occurred in 44.9%, 43.5%, and 28.6% of participants, respectively.</w:t>
      </w:r>
    </w:p>
    <w:p w14:paraId="087791AC" w14:textId="699E58A9" w:rsidR="008A51BB" w:rsidRPr="00865C47" w:rsidRDefault="008A51BB" w:rsidP="004B01EA">
      <w:pPr>
        <w:pStyle w:val="TableDescription"/>
      </w:pPr>
      <w:r w:rsidRPr="00865C47">
        <w:br w:type="page"/>
      </w:r>
    </w:p>
    <w:p w14:paraId="48DFD60C" w14:textId="1864D754" w:rsidR="0002197C" w:rsidRPr="00865C47" w:rsidRDefault="0002197C" w:rsidP="008A51BB">
      <w:pPr>
        <w:pStyle w:val="TableTitle"/>
      </w:pPr>
      <w:bookmarkStart w:id="156" w:name="_Ref86319089"/>
      <w:bookmarkStart w:id="157" w:name="_Toc87017899"/>
      <w:bookmarkStart w:id="158" w:name="_Toc87202043"/>
      <w:r w:rsidRPr="00865C47">
        <w:lastRenderedPageBreak/>
        <w:t xml:space="preserve">Table </w:t>
      </w:r>
      <w:r w:rsidR="00547529">
        <w:fldChar w:fldCharType="begin"/>
      </w:r>
      <w:r w:rsidR="00547529">
        <w:instrText xml:space="preserve"> SEQ Table \* ARABIC </w:instrText>
      </w:r>
      <w:r w:rsidR="00547529">
        <w:fldChar w:fldCharType="separate"/>
      </w:r>
      <w:r w:rsidR="005D22F2">
        <w:rPr>
          <w:noProof/>
        </w:rPr>
        <w:t>20</w:t>
      </w:r>
      <w:r w:rsidR="00547529">
        <w:rPr>
          <w:noProof/>
        </w:rPr>
        <w:fldChar w:fldCharType="end"/>
      </w:r>
      <w:bookmarkEnd w:id="156"/>
      <w:r w:rsidR="00E60C44" w:rsidRPr="00865C47">
        <w:t>:</w:t>
      </w:r>
      <w:r w:rsidRPr="00865C47">
        <w:t xml:space="preserve"> </w:t>
      </w:r>
      <w:r w:rsidR="00E02528" w:rsidRPr="00865C47">
        <w:t xml:space="preserve">Study INCB 54828-202 </w:t>
      </w:r>
      <w:r w:rsidRPr="00865C47">
        <w:t>Treatment</w:t>
      </w:r>
      <w:r w:rsidR="00E60C44" w:rsidRPr="00865C47">
        <w:t xml:space="preserve"> </w:t>
      </w:r>
      <w:r w:rsidRPr="00865C47">
        <w:t xml:space="preserve">emergent worsening of </w:t>
      </w:r>
      <w:r w:rsidR="008A51BB" w:rsidRPr="00865C47">
        <w:t>Common Terminology Criteria</w:t>
      </w:r>
      <w:r w:rsidR="00E60C44" w:rsidRPr="00865C47">
        <w:t xml:space="preserve"> graded chemistry parameters in </w:t>
      </w:r>
      <w:r w:rsidR="008A51BB" w:rsidRPr="00865C47">
        <w:t xml:space="preserve">at least </w:t>
      </w:r>
      <w:r w:rsidR="00E60C44" w:rsidRPr="00865C47">
        <w:t xml:space="preserve">10% (all grades) or </w:t>
      </w:r>
      <w:r w:rsidR="008A51BB" w:rsidRPr="00865C47">
        <w:t xml:space="preserve">at least </w:t>
      </w:r>
      <w:r w:rsidR="00E60C44" w:rsidRPr="00865C47">
        <w:t>5% (Grade 3 or higher) of participants (cholangiocarcinoma population or all cancer population</w:t>
      </w:r>
      <w:bookmarkEnd w:id="157"/>
      <w:bookmarkEnd w:id="158"/>
      <w:r w:rsidR="00E60C44" w:rsidRPr="00865C47">
        <w:t>)</w:t>
      </w:r>
    </w:p>
    <w:p w14:paraId="24C1FED4" w14:textId="6DD8C311" w:rsidR="00E02528" w:rsidRPr="00865C47" w:rsidRDefault="00E02528" w:rsidP="00170035">
      <w:r w:rsidRPr="00865C47">
        <w:rPr>
          <w:noProof/>
          <w:lang w:val="en-GB" w:eastAsia="en-GB"/>
        </w:rPr>
        <w:drawing>
          <wp:inline distT="0" distB="0" distL="0" distR="0" wp14:anchorId="02F0CCAC" wp14:editId="270F0F58">
            <wp:extent cx="5759450" cy="2948940"/>
            <wp:effectExtent l="0" t="0" r="0" b="3810"/>
            <wp:docPr id="51" name="Picture 51" descr="Table 20: Study INCB 54828-202 Treatment emergent worsening of Common Terminology Criteria graded chemistry parameters in at least 10% (all grades) or at least 5% (Grade 3 or higher) of participants (cholangiocarcinoma population or all canc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 20: Study INCB 54828-202 Treatment emergent worsening of Common Terminology Criteria graded chemistry parameters in at least 10% (all grades) or at least 5% (Grade 3 or higher) of participants (cholangiocarcinoma population or all cancer population)"/>
                    <pic:cNvPicPr/>
                  </pic:nvPicPr>
                  <pic:blipFill>
                    <a:blip r:embed="rId56"/>
                    <a:stretch>
                      <a:fillRect/>
                    </a:stretch>
                  </pic:blipFill>
                  <pic:spPr>
                    <a:xfrm>
                      <a:off x="0" y="0"/>
                      <a:ext cx="5759450" cy="2948940"/>
                    </a:xfrm>
                    <a:prstGeom prst="rect">
                      <a:avLst/>
                    </a:prstGeom>
                  </pic:spPr>
                </pic:pic>
              </a:graphicData>
            </a:graphic>
          </wp:inline>
        </w:drawing>
      </w:r>
    </w:p>
    <w:p w14:paraId="6B7B4CBC" w14:textId="32FDDA0A" w:rsidR="00565921" w:rsidRPr="00865C47" w:rsidRDefault="00565921" w:rsidP="00565921">
      <w:pPr>
        <w:pStyle w:val="TableDescription"/>
      </w:pPr>
      <w:r w:rsidRPr="00865C47">
        <w:t>Abbreviations: N = total number of subjects; n = number of subjects in subcategory.</w:t>
      </w:r>
    </w:p>
    <w:p w14:paraId="2E3844FE" w14:textId="54A7FC75" w:rsidR="0002197C" w:rsidRPr="00865C47" w:rsidRDefault="00E02528" w:rsidP="00565921">
      <w:pPr>
        <w:pStyle w:val="TableDescription"/>
      </w:pPr>
      <w:r w:rsidRPr="00865C47">
        <w:t xml:space="preserve">a. Uses </w:t>
      </w:r>
      <w:r w:rsidR="008A51BB" w:rsidRPr="00865C47">
        <w:t xml:space="preserve">Common Terminology Criteria for adverse events </w:t>
      </w:r>
      <w:r w:rsidRPr="00865C47">
        <w:t>v</w:t>
      </w:r>
      <w:r w:rsidR="00565921" w:rsidRPr="00865C47">
        <w:t xml:space="preserve">ersion </w:t>
      </w:r>
      <w:r w:rsidRPr="00865C47">
        <w:t>4.03 for creatinine increased</w:t>
      </w:r>
      <w:r w:rsidR="00565921" w:rsidRPr="00865C47">
        <w:t>.</w:t>
      </w:r>
    </w:p>
    <w:p w14:paraId="77F7115F" w14:textId="34A1FB49" w:rsidR="008A58D2" w:rsidRPr="00865C47" w:rsidRDefault="006F4250" w:rsidP="004C535F">
      <w:pPr>
        <w:pStyle w:val="Heading7"/>
      </w:pPr>
      <w:r>
        <w:t>Cardiovascular/e</w:t>
      </w:r>
      <w:r w:rsidR="00A93FFB" w:rsidRPr="00865C47">
        <w:t>lectrocardiogram</w:t>
      </w:r>
      <w:r w:rsidR="008A58D2" w:rsidRPr="00865C47">
        <w:t xml:space="preserve"> findings</w:t>
      </w:r>
    </w:p>
    <w:p w14:paraId="5C6269A3" w14:textId="671A64DF" w:rsidR="008A58D2" w:rsidRPr="00865C47" w:rsidRDefault="008A58D2" w:rsidP="008A58D2">
      <w:r w:rsidRPr="00865C47">
        <w:t xml:space="preserve">There does not appear to be a safety signal for </w:t>
      </w:r>
      <w:r w:rsidR="00A93FFB" w:rsidRPr="00865C47">
        <w:t xml:space="preserve">electrocardiogram </w:t>
      </w:r>
      <w:r w:rsidRPr="00865C47">
        <w:t>abnormalities in patients receiving pemigatinib.</w:t>
      </w:r>
    </w:p>
    <w:p w14:paraId="2858B006" w14:textId="77777777" w:rsidR="00C22214" w:rsidRPr="00865C47" w:rsidRDefault="00C22214" w:rsidP="00C22214">
      <w:pPr>
        <w:pStyle w:val="Heading3"/>
        <w:rPr>
          <w:lang w:eastAsia="en-AU"/>
        </w:rPr>
      </w:pPr>
      <w:bookmarkStart w:id="159" w:name="_Toc314842514"/>
      <w:bookmarkStart w:id="160" w:name="_Toc103679298"/>
      <w:bookmarkStart w:id="161" w:name="_Toc139284940"/>
      <w:r w:rsidRPr="00865C47">
        <w:rPr>
          <w:lang w:eastAsia="en-AU"/>
        </w:rPr>
        <w:t>Risk management plan</w:t>
      </w:r>
      <w:bookmarkEnd w:id="159"/>
      <w:bookmarkEnd w:id="160"/>
      <w:bookmarkEnd w:id="161"/>
    </w:p>
    <w:p w14:paraId="08CC4F26" w14:textId="37D1B1A1" w:rsidR="008A58D2" w:rsidRPr="00865C47" w:rsidRDefault="005B5AC9" w:rsidP="008A58D2">
      <w:bookmarkStart w:id="162" w:name="_Toc247691531"/>
      <w:bookmarkStart w:id="163" w:name="_Toc314842515"/>
      <w:r w:rsidRPr="00865C47">
        <w:t>The sponsor</w:t>
      </w:r>
      <w:r w:rsidR="008A58D2" w:rsidRPr="00865C47">
        <w:t xml:space="preserve"> has submitted EU-RMP version 1.4 (date</w:t>
      </w:r>
      <w:r w:rsidR="007D39FC" w:rsidRPr="00865C47">
        <w:t>d</w:t>
      </w:r>
      <w:r w:rsidR="008A58D2" w:rsidRPr="00865C47">
        <w:t xml:space="preserve"> 18 January 2021; </w:t>
      </w:r>
      <w:r w:rsidR="00B961FA" w:rsidRPr="00865C47">
        <w:t>data lock point</w:t>
      </w:r>
      <w:r w:rsidR="008A58D2" w:rsidRPr="00865C47">
        <w:t xml:space="preserve"> 22</w:t>
      </w:r>
      <w:r w:rsidR="00B961FA" w:rsidRPr="00865C47">
        <w:t> </w:t>
      </w:r>
      <w:r w:rsidR="008A58D2" w:rsidRPr="00865C47">
        <w:t xml:space="preserve">March 2019) and </w:t>
      </w:r>
      <w:r w:rsidR="00B961FA" w:rsidRPr="00865C47">
        <w:t>Australia specific annex (</w:t>
      </w:r>
      <w:r w:rsidR="008A58D2" w:rsidRPr="00865C47">
        <w:t>ASA</w:t>
      </w:r>
      <w:r w:rsidR="00B961FA" w:rsidRPr="00865C47">
        <w:t>)</w:t>
      </w:r>
      <w:r w:rsidR="008A58D2" w:rsidRPr="00865C47">
        <w:t xml:space="preserve"> version 0.2 (date 2 October 2021) in support of this application. ASA version 0.3 (dated April</w:t>
      </w:r>
      <w:r w:rsidR="007D39FC" w:rsidRPr="00865C47">
        <w:t> </w:t>
      </w:r>
      <w:r w:rsidR="008A58D2" w:rsidRPr="00865C47">
        <w:t>2022) was provided with the response</w:t>
      </w:r>
      <w:r w:rsidR="00825311" w:rsidRPr="00865C47">
        <w:t xml:space="preserve"> to a TGA request for information</w:t>
      </w:r>
      <w:r w:rsidR="008A58D2" w:rsidRPr="00865C47">
        <w:t>.</w:t>
      </w:r>
    </w:p>
    <w:p w14:paraId="39F3CD1D" w14:textId="79986C1C" w:rsidR="0072003B" w:rsidRPr="00865C47" w:rsidRDefault="00C22214" w:rsidP="008A58D2">
      <w:r w:rsidRPr="00865C47">
        <w:t>The summary of safety concerns and their associated risk monitoring and mitigation strategies are summarised in</w:t>
      </w:r>
      <w:r w:rsidR="003B149C" w:rsidRPr="00865C47">
        <w:t xml:space="preserve"> </w:t>
      </w:r>
      <w:r w:rsidR="003B149C" w:rsidRPr="00865C47">
        <w:fldChar w:fldCharType="begin"/>
      </w:r>
      <w:r w:rsidR="003B149C" w:rsidRPr="00865C47">
        <w:instrText xml:space="preserve"> REF _Ref97629131 \h  \* MERGEFORMAT </w:instrText>
      </w:r>
      <w:r w:rsidR="003B149C" w:rsidRPr="00865C47">
        <w:fldChar w:fldCharType="separate"/>
      </w:r>
      <w:r w:rsidR="005D22F2" w:rsidRPr="00865C47">
        <w:t xml:space="preserve">Table </w:t>
      </w:r>
      <w:r w:rsidR="005D22F2">
        <w:t>21</w:t>
      </w:r>
      <w:r w:rsidR="003B149C" w:rsidRPr="00865C47">
        <w:fldChar w:fldCharType="end"/>
      </w:r>
      <w:r w:rsidR="008C49C6" w:rsidRPr="00865C47">
        <w:t>.</w:t>
      </w:r>
      <w:r w:rsidR="0072003B" w:rsidRPr="00865C47">
        <w:t xml:space="preserve"> The TGA</w:t>
      </w:r>
      <w:r w:rsidR="00C07551" w:rsidRPr="00865C47">
        <w:t xml:space="preserve"> may</w:t>
      </w:r>
      <w:r w:rsidR="0072003B" w:rsidRPr="00865C47">
        <w:t xml:space="preserve"> request an updated RMP at any stage of a product's life-cycle, during both the pre-approval and post-approval phases.</w:t>
      </w:r>
    </w:p>
    <w:p w14:paraId="56B51A93" w14:textId="7AF6BD68" w:rsidR="006A277A" w:rsidRPr="00865C47" w:rsidRDefault="00C22214" w:rsidP="00C22214">
      <w:pPr>
        <w:pStyle w:val="TableTitle"/>
      </w:pPr>
      <w:bookmarkStart w:id="164" w:name="_Ref97629131"/>
      <w:r w:rsidRPr="00865C47">
        <w:t xml:space="preserve">Table </w:t>
      </w:r>
      <w:r w:rsidR="00547529">
        <w:fldChar w:fldCharType="begin"/>
      </w:r>
      <w:r w:rsidR="00547529">
        <w:instrText xml:space="preserve"> SEQ Table \* ARABIC </w:instrText>
      </w:r>
      <w:r w:rsidR="00547529">
        <w:fldChar w:fldCharType="separate"/>
      </w:r>
      <w:r w:rsidR="005D22F2">
        <w:rPr>
          <w:noProof/>
        </w:rPr>
        <w:t>21</w:t>
      </w:r>
      <w:r w:rsidR="00547529">
        <w:rPr>
          <w:noProof/>
        </w:rPr>
        <w:fldChar w:fldCharType="end"/>
      </w:r>
      <w:bookmarkEnd w:id="164"/>
      <w:r w:rsidRPr="00865C47">
        <w:t>: Summary of safety concerns</w:t>
      </w:r>
    </w:p>
    <w:tbl>
      <w:tblPr>
        <w:tblStyle w:val="TableTGAblue"/>
        <w:tblW w:w="8912" w:type="dxa"/>
        <w:tblLayout w:type="fixed"/>
        <w:tblLook w:val="04A0" w:firstRow="1" w:lastRow="0" w:firstColumn="1" w:lastColumn="0" w:noHBand="0" w:noVBand="1"/>
      </w:tblPr>
      <w:tblGrid>
        <w:gridCol w:w="1550"/>
        <w:gridCol w:w="2394"/>
        <w:gridCol w:w="1107"/>
        <w:gridCol w:w="1381"/>
        <w:gridCol w:w="1107"/>
        <w:gridCol w:w="1373"/>
      </w:tblGrid>
      <w:tr w:rsidR="008A58D2" w:rsidRPr="00865C47" w14:paraId="414C895E" w14:textId="77777777" w:rsidTr="004C535F">
        <w:trPr>
          <w:cnfStyle w:val="100000000000" w:firstRow="1" w:lastRow="0" w:firstColumn="0" w:lastColumn="0" w:oddVBand="0" w:evenVBand="0" w:oddHBand="0" w:evenHBand="0" w:firstRowFirstColumn="0" w:firstRowLastColumn="0" w:lastRowFirstColumn="0" w:lastRowLastColumn="0"/>
          <w:trHeight w:val="131"/>
        </w:trPr>
        <w:tc>
          <w:tcPr>
            <w:tcW w:w="3944" w:type="dxa"/>
            <w:gridSpan w:val="2"/>
            <w:vMerge w:val="restart"/>
            <w:tcBorders>
              <w:right w:val="single" w:sz="8" w:space="0" w:color="auto"/>
            </w:tcBorders>
          </w:tcPr>
          <w:p w14:paraId="3047307C" w14:textId="77777777" w:rsidR="008A58D2" w:rsidRPr="00865C47" w:rsidRDefault="008A58D2" w:rsidP="008A58D2">
            <w:pPr>
              <w:pStyle w:val="Tabletext0"/>
              <w:ind w:left="0" w:right="0"/>
              <w:rPr>
                <w:sz w:val="22"/>
                <w:szCs w:val="22"/>
              </w:rPr>
            </w:pPr>
            <w:r w:rsidRPr="00865C47">
              <w:rPr>
                <w:sz w:val="22"/>
                <w:szCs w:val="22"/>
              </w:rPr>
              <w:t>Summary of safety concerns</w:t>
            </w:r>
          </w:p>
        </w:tc>
        <w:tc>
          <w:tcPr>
            <w:tcW w:w="2488" w:type="dxa"/>
            <w:gridSpan w:val="2"/>
            <w:tcBorders>
              <w:left w:val="single" w:sz="8" w:space="0" w:color="auto"/>
              <w:right w:val="single" w:sz="8" w:space="0" w:color="auto"/>
            </w:tcBorders>
          </w:tcPr>
          <w:p w14:paraId="361BD72B" w14:textId="77777777" w:rsidR="008A58D2" w:rsidRPr="00865C47" w:rsidRDefault="008A58D2" w:rsidP="008A58D2">
            <w:pPr>
              <w:pStyle w:val="Tabletext0"/>
              <w:ind w:left="0" w:right="0"/>
              <w:rPr>
                <w:sz w:val="22"/>
                <w:szCs w:val="22"/>
              </w:rPr>
            </w:pPr>
            <w:r w:rsidRPr="00865C47">
              <w:rPr>
                <w:sz w:val="22"/>
                <w:szCs w:val="22"/>
              </w:rPr>
              <w:t>Pharmacovigilance</w:t>
            </w:r>
          </w:p>
        </w:tc>
        <w:tc>
          <w:tcPr>
            <w:tcW w:w="2480" w:type="dxa"/>
            <w:gridSpan w:val="2"/>
            <w:tcBorders>
              <w:left w:val="single" w:sz="8" w:space="0" w:color="auto"/>
            </w:tcBorders>
          </w:tcPr>
          <w:p w14:paraId="651A6975" w14:textId="5F535D80" w:rsidR="008A58D2" w:rsidRPr="00865C47" w:rsidRDefault="008A58D2" w:rsidP="008A58D2">
            <w:pPr>
              <w:pStyle w:val="Tabletext0"/>
              <w:ind w:left="0" w:right="0"/>
              <w:rPr>
                <w:sz w:val="22"/>
                <w:szCs w:val="22"/>
              </w:rPr>
            </w:pPr>
            <w:r w:rsidRPr="00865C47">
              <w:rPr>
                <w:sz w:val="22"/>
                <w:szCs w:val="22"/>
              </w:rPr>
              <w:t>Risk minimisation</w:t>
            </w:r>
          </w:p>
        </w:tc>
      </w:tr>
      <w:tr w:rsidR="008A58D2" w:rsidRPr="00865C47" w14:paraId="14754DC6" w14:textId="77777777" w:rsidTr="004C535F">
        <w:trPr>
          <w:trHeight w:val="150"/>
        </w:trPr>
        <w:tc>
          <w:tcPr>
            <w:tcW w:w="3944" w:type="dxa"/>
            <w:gridSpan w:val="2"/>
            <w:vMerge/>
            <w:tcBorders>
              <w:right w:val="single" w:sz="8" w:space="0" w:color="auto"/>
            </w:tcBorders>
            <w:shd w:val="clear" w:color="auto" w:fill="006DA7"/>
          </w:tcPr>
          <w:p w14:paraId="303EA926" w14:textId="77777777" w:rsidR="008A58D2" w:rsidRPr="00865C47" w:rsidRDefault="008A58D2" w:rsidP="008A58D2">
            <w:pPr>
              <w:pStyle w:val="Tabletext0"/>
              <w:ind w:left="0" w:right="0"/>
              <w:rPr>
                <w:b/>
                <w:color w:val="FFFFFF" w:themeColor="background1"/>
                <w:sz w:val="22"/>
                <w:szCs w:val="22"/>
              </w:rPr>
            </w:pPr>
          </w:p>
        </w:tc>
        <w:tc>
          <w:tcPr>
            <w:tcW w:w="1107" w:type="dxa"/>
            <w:tcBorders>
              <w:left w:val="single" w:sz="8" w:space="0" w:color="auto"/>
            </w:tcBorders>
            <w:shd w:val="clear" w:color="auto" w:fill="006DA7"/>
          </w:tcPr>
          <w:p w14:paraId="6EEBF403" w14:textId="77777777" w:rsidR="008A58D2" w:rsidRPr="00865C47" w:rsidRDefault="008A58D2" w:rsidP="008A58D2">
            <w:pPr>
              <w:pStyle w:val="Tabletext0"/>
              <w:ind w:left="0" w:right="0"/>
              <w:rPr>
                <w:b/>
                <w:color w:val="FFFFFF" w:themeColor="background1"/>
                <w:sz w:val="22"/>
                <w:szCs w:val="22"/>
              </w:rPr>
            </w:pPr>
            <w:r w:rsidRPr="00865C47">
              <w:rPr>
                <w:b/>
                <w:color w:val="FFFFFF" w:themeColor="background1"/>
                <w:sz w:val="22"/>
                <w:szCs w:val="22"/>
              </w:rPr>
              <w:t>Routine</w:t>
            </w:r>
          </w:p>
        </w:tc>
        <w:tc>
          <w:tcPr>
            <w:tcW w:w="1381" w:type="dxa"/>
            <w:shd w:val="clear" w:color="auto" w:fill="006DA7"/>
          </w:tcPr>
          <w:p w14:paraId="6CFD15CB" w14:textId="77777777" w:rsidR="008A58D2" w:rsidRPr="00865C47" w:rsidRDefault="008A58D2" w:rsidP="008A58D2">
            <w:pPr>
              <w:pStyle w:val="Tabletext0"/>
              <w:ind w:left="0" w:right="0"/>
              <w:rPr>
                <w:b/>
                <w:color w:val="FFFFFF" w:themeColor="background1"/>
                <w:sz w:val="22"/>
                <w:szCs w:val="22"/>
              </w:rPr>
            </w:pPr>
            <w:r w:rsidRPr="00865C47">
              <w:rPr>
                <w:b/>
                <w:color w:val="FFFFFF" w:themeColor="background1"/>
                <w:sz w:val="22"/>
                <w:szCs w:val="22"/>
              </w:rPr>
              <w:t>Additional</w:t>
            </w:r>
          </w:p>
        </w:tc>
        <w:tc>
          <w:tcPr>
            <w:tcW w:w="1107" w:type="dxa"/>
            <w:shd w:val="clear" w:color="auto" w:fill="006DA7"/>
          </w:tcPr>
          <w:p w14:paraId="4439EC94" w14:textId="77777777" w:rsidR="008A58D2" w:rsidRPr="00865C47" w:rsidRDefault="008A58D2" w:rsidP="008A58D2">
            <w:pPr>
              <w:pStyle w:val="Tabletext0"/>
              <w:ind w:left="0" w:right="0"/>
              <w:rPr>
                <w:b/>
                <w:color w:val="FFFFFF" w:themeColor="background1"/>
                <w:sz w:val="22"/>
                <w:szCs w:val="22"/>
              </w:rPr>
            </w:pPr>
            <w:r w:rsidRPr="00865C47">
              <w:rPr>
                <w:b/>
                <w:color w:val="FFFFFF" w:themeColor="background1"/>
                <w:sz w:val="22"/>
                <w:szCs w:val="22"/>
              </w:rPr>
              <w:t>Routine</w:t>
            </w:r>
          </w:p>
        </w:tc>
        <w:tc>
          <w:tcPr>
            <w:tcW w:w="1373" w:type="dxa"/>
            <w:shd w:val="clear" w:color="auto" w:fill="006DA7"/>
          </w:tcPr>
          <w:p w14:paraId="7D35CFE4" w14:textId="77777777" w:rsidR="008A58D2" w:rsidRPr="00865C47" w:rsidRDefault="008A58D2" w:rsidP="008A58D2">
            <w:pPr>
              <w:pStyle w:val="Tabletext0"/>
              <w:ind w:left="0" w:right="0"/>
              <w:rPr>
                <w:b/>
                <w:color w:val="FFFFFF" w:themeColor="background1"/>
                <w:sz w:val="22"/>
                <w:szCs w:val="22"/>
              </w:rPr>
            </w:pPr>
            <w:r w:rsidRPr="00865C47">
              <w:rPr>
                <w:b/>
                <w:color w:val="FFFFFF" w:themeColor="background1"/>
                <w:sz w:val="22"/>
                <w:szCs w:val="22"/>
              </w:rPr>
              <w:t>Additional</w:t>
            </w:r>
          </w:p>
        </w:tc>
      </w:tr>
      <w:tr w:rsidR="008A58D2" w:rsidRPr="00865C47" w14:paraId="6EB9D6BD" w14:textId="77777777" w:rsidTr="004C535F">
        <w:trPr>
          <w:trHeight w:val="137"/>
        </w:trPr>
        <w:tc>
          <w:tcPr>
            <w:tcW w:w="1550" w:type="dxa"/>
            <w:vMerge w:val="restart"/>
          </w:tcPr>
          <w:p w14:paraId="733566CA" w14:textId="77777777" w:rsidR="008A58D2" w:rsidRPr="00865C47" w:rsidRDefault="008A58D2" w:rsidP="008A58D2">
            <w:pPr>
              <w:pStyle w:val="Tabletext0"/>
              <w:ind w:left="0" w:right="0"/>
              <w:rPr>
                <w:sz w:val="22"/>
                <w:szCs w:val="22"/>
              </w:rPr>
            </w:pPr>
            <w:r w:rsidRPr="00865C47">
              <w:rPr>
                <w:sz w:val="22"/>
                <w:szCs w:val="22"/>
              </w:rPr>
              <w:t>Important identified risks</w:t>
            </w:r>
          </w:p>
        </w:tc>
        <w:tc>
          <w:tcPr>
            <w:tcW w:w="2394" w:type="dxa"/>
          </w:tcPr>
          <w:p w14:paraId="62B5469F" w14:textId="77777777" w:rsidR="008A58D2" w:rsidRPr="00865C47" w:rsidRDefault="008A58D2" w:rsidP="008A58D2">
            <w:pPr>
              <w:pStyle w:val="Tabletext0"/>
              <w:ind w:left="0" w:right="0"/>
              <w:rPr>
                <w:sz w:val="22"/>
                <w:szCs w:val="22"/>
              </w:rPr>
            </w:pPr>
            <w:r w:rsidRPr="00865C47">
              <w:rPr>
                <w:sz w:val="22"/>
                <w:szCs w:val="22"/>
              </w:rPr>
              <w:t>Serous retinal detachment</w:t>
            </w:r>
          </w:p>
        </w:tc>
        <w:tc>
          <w:tcPr>
            <w:tcW w:w="1107" w:type="dxa"/>
            <w:vAlign w:val="center"/>
          </w:tcPr>
          <w:p w14:paraId="5F6329B0"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81" w:type="dxa"/>
            <w:vAlign w:val="center"/>
          </w:tcPr>
          <w:p w14:paraId="7A431C4D" w14:textId="77777777" w:rsidR="008A58D2" w:rsidRPr="00865C47" w:rsidRDefault="008A58D2" w:rsidP="004C535F">
            <w:pPr>
              <w:pStyle w:val="Tabletext0"/>
              <w:ind w:left="0" w:right="0"/>
              <w:jc w:val="center"/>
              <w:rPr>
                <w:sz w:val="22"/>
                <w:szCs w:val="22"/>
              </w:rPr>
            </w:pPr>
            <w:r w:rsidRPr="00865C47">
              <w:rPr>
                <w:sz w:val="22"/>
                <w:szCs w:val="22"/>
              </w:rPr>
              <w:t>–</w:t>
            </w:r>
          </w:p>
        </w:tc>
        <w:tc>
          <w:tcPr>
            <w:tcW w:w="1107" w:type="dxa"/>
            <w:vAlign w:val="center"/>
          </w:tcPr>
          <w:p w14:paraId="7BA1AE3B"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73" w:type="dxa"/>
            <w:vAlign w:val="center"/>
          </w:tcPr>
          <w:p w14:paraId="04A5FBCF" w14:textId="77777777" w:rsidR="008A58D2" w:rsidRPr="00865C47" w:rsidRDefault="008A58D2" w:rsidP="004C535F">
            <w:pPr>
              <w:pStyle w:val="Tabletext0"/>
              <w:ind w:left="0" w:right="0"/>
              <w:jc w:val="center"/>
              <w:rPr>
                <w:sz w:val="22"/>
                <w:szCs w:val="22"/>
              </w:rPr>
            </w:pPr>
            <w:r w:rsidRPr="00865C47">
              <w:rPr>
                <w:sz w:val="22"/>
                <w:szCs w:val="22"/>
              </w:rPr>
              <w:t>–</w:t>
            </w:r>
          </w:p>
        </w:tc>
      </w:tr>
      <w:tr w:rsidR="008A58D2" w:rsidRPr="00865C47" w14:paraId="1557E8FB" w14:textId="77777777" w:rsidTr="004C535F">
        <w:trPr>
          <w:trHeight w:val="94"/>
        </w:trPr>
        <w:tc>
          <w:tcPr>
            <w:tcW w:w="1550" w:type="dxa"/>
            <w:vMerge/>
          </w:tcPr>
          <w:p w14:paraId="6A7006BF" w14:textId="77777777" w:rsidR="008A58D2" w:rsidRPr="00865C47" w:rsidRDefault="008A58D2" w:rsidP="008A58D2">
            <w:pPr>
              <w:pStyle w:val="Tabletext0"/>
              <w:ind w:left="0" w:right="0"/>
              <w:rPr>
                <w:sz w:val="22"/>
                <w:szCs w:val="22"/>
              </w:rPr>
            </w:pPr>
          </w:p>
        </w:tc>
        <w:tc>
          <w:tcPr>
            <w:tcW w:w="2394" w:type="dxa"/>
          </w:tcPr>
          <w:p w14:paraId="66BFB16A" w14:textId="77777777" w:rsidR="008A58D2" w:rsidRPr="00865C47" w:rsidRDefault="008A58D2" w:rsidP="008A58D2">
            <w:pPr>
              <w:pStyle w:val="Tabletext0"/>
              <w:ind w:left="0" w:right="0"/>
              <w:rPr>
                <w:sz w:val="22"/>
                <w:szCs w:val="22"/>
              </w:rPr>
            </w:pPr>
            <w:r w:rsidRPr="00865C47">
              <w:rPr>
                <w:sz w:val="22"/>
                <w:szCs w:val="22"/>
              </w:rPr>
              <w:t>Hyperphosphatemia</w:t>
            </w:r>
          </w:p>
        </w:tc>
        <w:tc>
          <w:tcPr>
            <w:tcW w:w="1107" w:type="dxa"/>
            <w:vAlign w:val="center"/>
          </w:tcPr>
          <w:p w14:paraId="63061C27"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81" w:type="dxa"/>
            <w:vAlign w:val="center"/>
          </w:tcPr>
          <w:p w14:paraId="7C72EC8A" w14:textId="77777777" w:rsidR="008A58D2" w:rsidRPr="00865C47" w:rsidRDefault="008A58D2" w:rsidP="004C535F">
            <w:pPr>
              <w:pStyle w:val="Tabletext0"/>
              <w:ind w:left="0" w:right="0"/>
              <w:jc w:val="center"/>
              <w:rPr>
                <w:sz w:val="22"/>
                <w:szCs w:val="22"/>
              </w:rPr>
            </w:pPr>
            <w:r w:rsidRPr="00865C47">
              <w:rPr>
                <w:sz w:val="22"/>
                <w:szCs w:val="22"/>
              </w:rPr>
              <w:t>–</w:t>
            </w:r>
          </w:p>
        </w:tc>
        <w:tc>
          <w:tcPr>
            <w:tcW w:w="1107" w:type="dxa"/>
            <w:vAlign w:val="center"/>
          </w:tcPr>
          <w:p w14:paraId="5FE96B4F"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73" w:type="dxa"/>
            <w:vAlign w:val="center"/>
          </w:tcPr>
          <w:p w14:paraId="18C6953C" w14:textId="77777777" w:rsidR="008A58D2" w:rsidRPr="00865C47" w:rsidRDefault="008A58D2" w:rsidP="004C535F">
            <w:pPr>
              <w:pStyle w:val="Tabletext0"/>
              <w:ind w:left="0" w:right="0"/>
              <w:jc w:val="center"/>
              <w:rPr>
                <w:sz w:val="22"/>
                <w:szCs w:val="22"/>
              </w:rPr>
            </w:pPr>
            <w:r w:rsidRPr="00865C47">
              <w:rPr>
                <w:sz w:val="22"/>
                <w:szCs w:val="22"/>
              </w:rPr>
              <w:t>–</w:t>
            </w:r>
          </w:p>
        </w:tc>
      </w:tr>
      <w:tr w:rsidR="008A58D2" w:rsidRPr="00865C47" w14:paraId="6495B2D9" w14:textId="77777777" w:rsidTr="004C535F">
        <w:trPr>
          <w:trHeight w:val="159"/>
        </w:trPr>
        <w:tc>
          <w:tcPr>
            <w:tcW w:w="1550" w:type="dxa"/>
            <w:vMerge w:val="restart"/>
          </w:tcPr>
          <w:p w14:paraId="689191EA" w14:textId="77777777" w:rsidR="008A58D2" w:rsidRPr="00865C47" w:rsidRDefault="008A58D2" w:rsidP="008A58D2">
            <w:pPr>
              <w:pStyle w:val="Tabletext0"/>
              <w:ind w:left="0" w:right="0"/>
              <w:rPr>
                <w:sz w:val="22"/>
                <w:szCs w:val="22"/>
              </w:rPr>
            </w:pPr>
            <w:r w:rsidRPr="00865C47">
              <w:rPr>
                <w:sz w:val="22"/>
                <w:szCs w:val="22"/>
              </w:rPr>
              <w:t>Important potential risks</w:t>
            </w:r>
          </w:p>
        </w:tc>
        <w:tc>
          <w:tcPr>
            <w:tcW w:w="2394" w:type="dxa"/>
          </w:tcPr>
          <w:p w14:paraId="3397A8B5" w14:textId="77777777" w:rsidR="008A58D2" w:rsidRPr="00865C47" w:rsidRDefault="008A58D2" w:rsidP="008A58D2">
            <w:pPr>
              <w:pStyle w:val="Tabletext0"/>
              <w:ind w:left="0" w:right="0"/>
              <w:rPr>
                <w:sz w:val="22"/>
                <w:szCs w:val="22"/>
              </w:rPr>
            </w:pPr>
            <w:r w:rsidRPr="00865C47">
              <w:rPr>
                <w:sz w:val="22"/>
                <w:szCs w:val="22"/>
              </w:rPr>
              <w:t>Embryo-Fetal Toxicity</w:t>
            </w:r>
          </w:p>
        </w:tc>
        <w:tc>
          <w:tcPr>
            <w:tcW w:w="1107" w:type="dxa"/>
            <w:vAlign w:val="center"/>
          </w:tcPr>
          <w:p w14:paraId="5C2FF467"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81" w:type="dxa"/>
            <w:vAlign w:val="center"/>
          </w:tcPr>
          <w:p w14:paraId="36C00CA7" w14:textId="77777777" w:rsidR="008A58D2" w:rsidRPr="00865C47" w:rsidRDefault="008A58D2" w:rsidP="004C535F">
            <w:pPr>
              <w:pStyle w:val="Tabletext0"/>
              <w:ind w:left="0" w:right="0"/>
              <w:jc w:val="center"/>
              <w:rPr>
                <w:sz w:val="22"/>
                <w:szCs w:val="22"/>
              </w:rPr>
            </w:pPr>
            <w:r w:rsidRPr="00865C47">
              <w:rPr>
                <w:sz w:val="22"/>
                <w:szCs w:val="22"/>
              </w:rPr>
              <w:t>–</w:t>
            </w:r>
          </w:p>
        </w:tc>
        <w:tc>
          <w:tcPr>
            <w:tcW w:w="1107" w:type="dxa"/>
            <w:vAlign w:val="center"/>
          </w:tcPr>
          <w:p w14:paraId="00B23877"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73" w:type="dxa"/>
            <w:vAlign w:val="center"/>
          </w:tcPr>
          <w:p w14:paraId="502CDFE2" w14:textId="77777777" w:rsidR="008A58D2" w:rsidRPr="00865C47" w:rsidRDefault="008A58D2" w:rsidP="004C535F">
            <w:pPr>
              <w:pStyle w:val="Tabletext0"/>
              <w:ind w:left="0" w:right="0"/>
              <w:jc w:val="center"/>
              <w:rPr>
                <w:sz w:val="22"/>
                <w:szCs w:val="22"/>
              </w:rPr>
            </w:pPr>
            <w:r w:rsidRPr="00865C47">
              <w:rPr>
                <w:sz w:val="22"/>
                <w:szCs w:val="22"/>
              </w:rPr>
              <w:t>–</w:t>
            </w:r>
          </w:p>
        </w:tc>
      </w:tr>
      <w:tr w:rsidR="008A58D2" w:rsidRPr="00865C47" w14:paraId="4532C61D" w14:textId="77777777" w:rsidTr="004C535F">
        <w:trPr>
          <w:trHeight w:val="122"/>
        </w:trPr>
        <w:tc>
          <w:tcPr>
            <w:tcW w:w="1550" w:type="dxa"/>
            <w:vMerge/>
          </w:tcPr>
          <w:p w14:paraId="5DFB1AA7" w14:textId="77777777" w:rsidR="008A58D2" w:rsidRPr="00865C47" w:rsidRDefault="008A58D2" w:rsidP="008A58D2">
            <w:pPr>
              <w:pStyle w:val="Tabletext0"/>
              <w:ind w:left="0" w:right="0"/>
              <w:rPr>
                <w:sz w:val="22"/>
                <w:szCs w:val="22"/>
              </w:rPr>
            </w:pPr>
          </w:p>
        </w:tc>
        <w:tc>
          <w:tcPr>
            <w:tcW w:w="2394" w:type="dxa"/>
          </w:tcPr>
          <w:p w14:paraId="053A611F" w14:textId="77777777" w:rsidR="008A58D2" w:rsidRPr="00865C47" w:rsidRDefault="008A58D2" w:rsidP="008A58D2">
            <w:pPr>
              <w:pStyle w:val="Tabletext0"/>
              <w:ind w:left="0" w:right="0"/>
              <w:rPr>
                <w:sz w:val="22"/>
                <w:szCs w:val="22"/>
              </w:rPr>
            </w:pPr>
            <w:r w:rsidRPr="00865C47">
              <w:rPr>
                <w:sz w:val="22"/>
                <w:szCs w:val="22"/>
              </w:rPr>
              <w:t>Acute kidney injury</w:t>
            </w:r>
          </w:p>
        </w:tc>
        <w:tc>
          <w:tcPr>
            <w:tcW w:w="1107" w:type="dxa"/>
            <w:vAlign w:val="center"/>
          </w:tcPr>
          <w:p w14:paraId="2BAC9DAE"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81" w:type="dxa"/>
            <w:vAlign w:val="center"/>
          </w:tcPr>
          <w:p w14:paraId="1829F7A0" w14:textId="77777777" w:rsidR="008A58D2" w:rsidRPr="00865C47" w:rsidRDefault="008A58D2" w:rsidP="004C535F">
            <w:pPr>
              <w:pStyle w:val="Tabletext0"/>
              <w:ind w:left="0" w:right="0"/>
              <w:jc w:val="center"/>
              <w:rPr>
                <w:sz w:val="22"/>
                <w:szCs w:val="22"/>
              </w:rPr>
            </w:pPr>
            <w:r w:rsidRPr="00865C47">
              <w:rPr>
                <w:sz w:val="22"/>
                <w:szCs w:val="22"/>
              </w:rPr>
              <w:t>–</w:t>
            </w:r>
          </w:p>
        </w:tc>
        <w:tc>
          <w:tcPr>
            <w:tcW w:w="1107" w:type="dxa"/>
            <w:vAlign w:val="center"/>
          </w:tcPr>
          <w:p w14:paraId="1D0D7FAE" w14:textId="77777777" w:rsidR="008A58D2" w:rsidRPr="00865C47" w:rsidRDefault="008A58D2" w:rsidP="004C535F">
            <w:pPr>
              <w:pStyle w:val="Tabletext0"/>
              <w:ind w:left="0" w:right="0"/>
              <w:jc w:val="center"/>
              <w:rPr>
                <w:sz w:val="22"/>
                <w:szCs w:val="22"/>
              </w:rPr>
            </w:pPr>
            <w:r w:rsidRPr="00865C47">
              <w:rPr>
                <w:rFonts w:ascii="Wingdings" w:eastAsia="Wingdings" w:hAnsi="Wingdings" w:cs="Wingdings"/>
                <w:sz w:val="22"/>
                <w:szCs w:val="22"/>
              </w:rPr>
              <w:t></w:t>
            </w:r>
          </w:p>
        </w:tc>
        <w:tc>
          <w:tcPr>
            <w:tcW w:w="1373" w:type="dxa"/>
            <w:vAlign w:val="center"/>
          </w:tcPr>
          <w:p w14:paraId="29E805C9" w14:textId="77777777" w:rsidR="008A58D2" w:rsidRPr="00865C47" w:rsidRDefault="008A58D2" w:rsidP="004C535F">
            <w:pPr>
              <w:pStyle w:val="Tabletext0"/>
              <w:ind w:left="0" w:right="0"/>
              <w:jc w:val="center"/>
              <w:rPr>
                <w:sz w:val="22"/>
                <w:szCs w:val="22"/>
              </w:rPr>
            </w:pPr>
            <w:r w:rsidRPr="00865C47">
              <w:rPr>
                <w:sz w:val="22"/>
                <w:szCs w:val="22"/>
              </w:rPr>
              <w:t>–</w:t>
            </w:r>
          </w:p>
        </w:tc>
      </w:tr>
    </w:tbl>
    <w:p w14:paraId="3CEB4669" w14:textId="77777777" w:rsidR="00892AE8" w:rsidRPr="00865C47" w:rsidRDefault="008A58D2" w:rsidP="008A58D2">
      <w:pPr>
        <w:pStyle w:val="ListBullet"/>
      </w:pPr>
      <w:r w:rsidRPr="00865C47">
        <w:t>The summary of safety concerns aligns with the EU-RMP and is acceptable from an RMP perspective.</w:t>
      </w:r>
    </w:p>
    <w:p w14:paraId="0C188EDC" w14:textId="60FF4AF3" w:rsidR="008A58D2" w:rsidRPr="00865C47" w:rsidRDefault="008A58D2" w:rsidP="008A58D2">
      <w:pPr>
        <w:pStyle w:val="ListBullet"/>
      </w:pPr>
      <w:r w:rsidRPr="00865C47">
        <w:lastRenderedPageBreak/>
        <w:t>Only routine pharmacovigilance activities are proposed for all safety concerns, in line with that proposed in the EU-RMP. No additional pharmacovigilance activities are proposed for this submission. This approach is acceptable from an RMP perspective.</w:t>
      </w:r>
    </w:p>
    <w:p w14:paraId="7487E74D" w14:textId="77777777" w:rsidR="00892AE8" w:rsidRPr="00865C47" w:rsidRDefault="008A58D2" w:rsidP="008A58D2">
      <w:pPr>
        <w:pStyle w:val="ListBullet"/>
      </w:pPr>
      <w:r w:rsidRPr="00865C47">
        <w:t>The clinical study plan to support provisional registration of pemigatinib is included in the ASA. The format and content of the plan is in line with TGA guidelines. Approval of clinical study plan is subject to Delegate’s final acceptance.</w:t>
      </w:r>
    </w:p>
    <w:p w14:paraId="442F174D" w14:textId="0FE7EF1A" w:rsidR="00892AE8" w:rsidRPr="00865C47" w:rsidRDefault="008A58D2" w:rsidP="008A58D2">
      <w:pPr>
        <w:pStyle w:val="ListBullet"/>
      </w:pPr>
      <w:r w:rsidRPr="00865C47">
        <w:t xml:space="preserve">Routine risk minimisation activities are proposed for all safety concerns. Changes to PI and CMI have been suggested at </w:t>
      </w:r>
      <w:r w:rsidR="008A51BB" w:rsidRPr="00865C47">
        <w:t xml:space="preserve">the first and second </w:t>
      </w:r>
      <w:r w:rsidRPr="00865C47">
        <w:t xml:space="preserve">round </w:t>
      </w:r>
      <w:r w:rsidR="008A51BB" w:rsidRPr="00865C47">
        <w:t xml:space="preserve">of </w:t>
      </w:r>
      <w:r w:rsidR="007D39FC" w:rsidRPr="00865C47">
        <w:t>evaluation</w:t>
      </w:r>
      <w:r w:rsidRPr="00865C47">
        <w:t xml:space="preserve"> and </w:t>
      </w:r>
      <w:r w:rsidR="00A449D2">
        <w:t>have been resolved prior to approval</w:t>
      </w:r>
      <w:r w:rsidRPr="00865C47">
        <w:t xml:space="preserve">. These have been referred to the Delegate for consideration. Additional risk minimisation activities have not been proposed for pemigatinib. Patient-directed material had been recommended at </w:t>
      </w:r>
      <w:r w:rsidR="007D39FC" w:rsidRPr="00865C47">
        <w:t>the first round of evaluation</w:t>
      </w:r>
      <w:r w:rsidRPr="00865C47">
        <w:t xml:space="preserve">. To this sponsor states that international material is being adapted for Australian patients and have confirmed that these materials are similar to that provided to patients in the </w:t>
      </w:r>
      <w:r w:rsidR="00B961FA" w:rsidRPr="00865C47">
        <w:t>United States of America</w:t>
      </w:r>
      <w:r w:rsidRPr="00865C47">
        <w:t>.</w:t>
      </w:r>
    </w:p>
    <w:p w14:paraId="74A4F87F" w14:textId="1CC17195" w:rsidR="00C22214" w:rsidRPr="00865C47" w:rsidRDefault="00C22214" w:rsidP="00C22214">
      <w:pPr>
        <w:pStyle w:val="Heading3"/>
      </w:pPr>
      <w:bookmarkStart w:id="165" w:name="_Toc103679299"/>
      <w:bookmarkStart w:id="166" w:name="_Toc139284941"/>
      <w:r w:rsidRPr="00865C47">
        <w:t>Risk-benefit analysis</w:t>
      </w:r>
      <w:bookmarkEnd w:id="162"/>
      <w:bookmarkEnd w:id="163"/>
      <w:bookmarkEnd w:id="165"/>
      <w:bookmarkEnd w:id="166"/>
    </w:p>
    <w:p w14:paraId="77DE2655" w14:textId="77777777" w:rsidR="00C22214" w:rsidRPr="00865C47" w:rsidRDefault="00C22214" w:rsidP="00C22214">
      <w:pPr>
        <w:pStyle w:val="Heading4"/>
      </w:pPr>
      <w:bookmarkStart w:id="167" w:name="_Toc98931932"/>
      <w:bookmarkStart w:id="168" w:name="_Toc139284942"/>
      <w:r w:rsidRPr="00865C47">
        <w:t>Delegate’s considerations</w:t>
      </w:r>
      <w:bookmarkEnd w:id="167"/>
      <w:bookmarkEnd w:id="168"/>
    </w:p>
    <w:p w14:paraId="1B5DDC21" w14:textId="101B62A0" w:rsidR="008A58D2" w:rsidRPr="00865C47" w:rsidRDefault="008A58D2" w:rsidP="008A58D2">
      <w:r w:rsidRPr="00865C47">
        <w:t>The prognosis of patients with advanced cholangiocarcinoma is poor, and the median survival for those undergoing supportive care alone is short.</w:t>
      </w:r>
      <w:r w:rsidR="00892AE8" w:rsidRPr="00865C47">
        <w:t xml:space="preserve"> </w:t>
      </w:r>
      <w:r w:rsidRPr="00865C47">
        <w:t>In patients with advanced or metastatic cholangiocarcinoma who have progressed following platinum-based chemotherapy, there are few effective treatment options.</w:t>
      </w:r>
      <w:r w:rsidR="00892AE8" w:rsidRPr="00865C47">
        <w:t xml:space="preserve"> </w:t>
      </w:r>
      <w:r w:rsidRPr="00865C47">
        <w:t>The use of second-line chemotherapy was evaluated (</w:t>
      </w:r>
      <w:proofErr w:type="spellStart"/>
      <w:r w:rsidRPr="00865C47">
        <w:t>Lamarca</w:t>
      </w:r>
      <w:proofErr w:type="spellEnd"/>
      <w:r w:rsidRPr="00865C47">
        <w:t xml:space="preserve"> et al., 2014)</w:t>
      </w:r>
      <w:r w:rsidR="00865C47" w:rsidRPr="00865C47">
        <w:rPr>
          <w:vertAlign w:val="superscript"/>
        </w:rPr>
        <w:fldChar w:fldCharType="begin"/>
      </w:r>
      <w:r w:rsidR="00865C47" w:rsidRPr="00865C47">
        <w:rPr>
          <w:vertAlign w:val="superscript"/>
        </w:rPr>
        <w:instrText xml:space="preserve"> NOTEREF _Ref136342684 \h </w:instrText>
      </w:r>
      <w:r w:rsidR="00865C47">
        <w:rPr>
          <w:vertAlign w:val="superscript"/>
        </w:rPr>
        <w:instrText xml:space="preserve"> \* MERGEFORMAT </w:instrText>
      </w:r>
      <w:r w:rsidR="00865C47" w:rsidRPr="00865C47">
        <w:rPr>
          <w:vertAlign w:val="superscript"/>
        </w:rPr>
      </w:r>
      <w:r w:rsidR="00865C47" w:rsidRPr="00865C47">
        <w:rPr>
          <w:vertAlign w:val="superscript"/>
        </w:rPr>
        <w:fldChar w:fldCharType="separate"/>
      </w:r>
      <w:r w:rsidR="005D22F2">
        <w:rPr>
          <w:vertAlign w:val="superscript"/>
        </w:rPr>
        <w:t>6</w:t>
      </w:r>
      <w:r w:rsidR="00865C47" w:rsidRPr="00865C47">
        <w:rPr>
          <w:vertAlign w:val="superscript"/>
        </w:rPr>
        <w:fldChar w:fldCharType="end"/>
      </w:r>
      <w:r w:rsidRPr="00865C47">
        <w:t xml:space="preserve"> in a molecularly unselected population of 761 patients with advanced biliary tract cancers. The results of this systematic review showed median </w:t>
      </w:r>
      <w:r w:rsidR="00A93FFB" w:rsidRPr="00865C47">
        <w:t>progression-free survival</w:t>
      </w:r>
      <w:r w:rsidRPr="00865C47">
        <w:t xml:space="preserve"> and </w:t>
      </w:r>
      <w:r w:rsidR="00A93FFB" w:rsidRPr="00865C47">
        <w:t>overall survival</w:t>
      </w:r>
      <w:r w:rsidRPr="00865C47">
        <w:t xml:space="preserve"> durations of 3.2 (95% CI: 2.7, 3.7) and 7.2 months (95% CI: 6.2, 8.2), respectively.</w:t>
      </w:r>
    </w:p>
    <w:p w14:paraId="7AD28FE3" w14:textId="1FA47472" w:rsidR="008A58D2" w:rsidRPr="00865C47" w:rsidRDefault="008A58D2" w:rsidP="008A58D2">
      <w:r w:rsidRPr="00865C47">
        <w:t xml:space="preserve">There is no satisfactory approved therapy in Australia for the proposed target population who have cholangiocarcinoma with a </w:t>
      </w:r>
      <w:r w:rsidRPr="004C535F">
        <w:rPr>
          <w:i/>
        </w:rPr>
        <w:t>FGFR2</w:t>
      </w:r>
      <w:r w:rsidRPr="00865C47">
        <w:t xml:space="preserve"> gene fusion or other rearrangement who have received at least one prior line of systemic treatment.</w:t>
      </w:r>
      <w:r w:rsidR="00892AE8" w:rsidRPr="00865C47">
        <w:t xml:space="preserve"> </w:t>
      </w:r>
      <w:r w:rsidRPr="00865C47">
        <w:t>Pemigatinib is a small molecule kinase inhibitor of FGFR1</w:t>
      </w:r>
      <w:r w:rsidR="00B961FA" w:rsidRPr="00865C47">
        <w:t xml:space="preserve"> to </w:t>
      </w:r>
      <w:r w:rsidRPr="00865C47">
        <w:t xml:space="preserve">4 that inhibits FGFR phosphorylation and signalling in cancer cell lines with constitutive activation of FGFR signalling due to activating </w:t>
      </w:r>
      <w:r w:rsidRPr="004C535F">
        <w:rPr>
          <w:i/>
        </w:rPr>
        <w:t>FGFR</w:t>
      </w:r>
      <w:r w:rsidRPr="00865C47">
        <w:t xml:space="preserve"> amplifications and fusions. The sponsor proposes pemigatinib as a targeted therapy for the treatment of this population based on early clinical data from a Phase II single arm studies that have indicated an improved response rate, comparing favourably with response rates reported in historical studies of unselected </w:t>
      </w:r>
      <w:r w:rsidR="008A51BB" w:rsidRPr="00865C47">
        <w:t>cholangiocarcinoma</w:t>
      </w:r>
      <w:r w:rsidRPr="00865C47">
        <w:t xml:space="preserve"> patients treated with limited treatment options currently available in Australia.</w:t>
      </w:r>
    </w:p>
    <w:p w14:paraId="0B9B1725" w14:textId="77777777" w:rsidR="008A58D2" w:rsidRPr="00865C47" w:rsidRDefault="008A58D2" w:rsidP="007D39FC">
      <w:pPr>
        <w:pStyle w:val="Heading5"/>
        <w:rPr>
          <w:lang w:eastAsia="ja-JP"/>
        </w:rPr>
      </w:pPr>
      <w:r w:rsidRPr="00865C47">
        <w:rPr>
          <w:lang w:eastAsia="ja-JP"/>
        </w:rPr>
        <w:t>Proposed indication</w:t>
      </w:r>
    </w:p>
    <w:p w14:paraId="447DF78A" w14:textId="26BFB8E5" w:rsidR="007D39FC" w:rsidRPr="00865C47" w:rsidRDefault="008A58D2" w:rsidP="008A58D2">
      <w:r w:rsidRPr="00865C47">
        <w:t xml:space="preserve">The </w:t>
      </w:r>
      <w:r w:rsidR="00B80561" w:rsidRPr="00865C47">
        <w:t>sponsor</w:t>
      </w:r>
      <w:r w:rsidRPr="00865C47">
        <w:t xml:space="preserve"> proposes to register a new therapeutic entity, under the provisional approval pathway, for the following indication:</w:t>
      </w:r>
    </w:p>
    <w:p w14:paraId="303F25F0" w14:textId="11CB8D08" w:rsidR="007D39FC" w:rsidRPr="00865C47" w:rsidRDefault="007D39FC" w:rsidP="007D39FC">
      <w:pPr>
        <w:ind w:left="720"/>
        <w:rPr>
          <w:i/>
          <w:iCs/>
        </w:rPr>
      </w:pPr>
      <w:r w:rsidRPr="00865C47">
        <w:rPr>
          <w:i/>
          <w:iCs/>
        </w:rPr>
        <w:t>F</w:t>
      </w:r>
      <w:r w:rsidR="008A58D2" w:rsidRPr="00865C47">
        <w:rPr>
          <w:i/>
          <w:iCs/>
        </w:rPr>
        <w:t>or the treatment of adults with locally advanced or metastatic cholangiocarcinoma with a fibroblast growth factor receptor 2 (FGFR2) fusion or rearrangement that is relapsed or refractory after at least one line of systemic therapy.</w:t>
      </w:r>
    </w:p>
    <w:p w14:paraId="57D39EB6" w14:textId="7EFFA3E3" w:rsidR="008A58D2" w:rsidRPr="00865C47" w:rsidRDefault="008A58D2" w:rsidP="008A58D2">
      <w:r w:rsidRPr="00865C47">
        <w:t>The proposed recommended pemigatinib dose is 13.5</w:t>
      </w:r>
      <w:r w:rsidR="00825311" w:rsidRPr="00865C47">
        <w:t> </w:t>
      </w:r>
      <w:r w:rsidRPr="00865C47">
        <w:t>mg orally, once daily, for 14 days followed by 7 days off therapy, until disease progression or unacceptable toxicity.</w:t>
      </w:r>
    </w:p>
    <w:p w14:paraId="028A5E64" w14:textId="48EE34F6" w:rsidR="008A58D2" w:rsidRPr="00865C47" w:rsidRDefault="008A58D2" w:rsidP="007D39FC">
      <w:pPr>
        <w:pStyle w:val="Heading5"/>
        <w:rPr>
          <w:lang w:eastAsia="en-AU"/>
        </w:rPr>
      </w:pPr>
      <w:r w:rsidRPr="00865C47">
        <w:rPr>
          <w:lang w:eastAsia="en-AU"/>
        </w:rPr>
        <w:lastRenderedPageBreak/>
        <w:t>Benefits</w:t>
      </w:r>
    </w:p>
    <w:p w14:paraId="1153E23F" w14:textId="2DF66206" w:rsidR="008A58D2" w:rsidRPr="00865C47" w:rsidRDefault="008A58D2" w:rsidP="008A58D2">
      <w:r w:rsidRPr="00865C47">
        <w:t xml:space="preserve">The sponsor has provided substantial evidence of effectiveness to support provisional approval of pemigatinib for the treatment of adult patients with locally advanced or metastatic cholangiocarcinoma with an </w:t>
      </w:r>
      <w:r w:rsidRPr="004C535F">
        <w:rPr>
          <w:i/>
        </w:rPr>
        <w:t>FGFR2</w:t>
      </w:r>
      <w:r w:rsidRPr="00865C47">
        <w:t xml:space="preserve"> fusion or rearrangement that is relapsed or refractory after at least one line of systemic therapy.</w:t>
      </w:r>
      <w:r w:rsidR="00892AE8" w:rsidRPr="00865C47">
        <w:t xml:space="preserve"> </w:t>
      </w:r>
      <w:r w:rsidRPr="00865C47">
        <w:t xml:space="preserve">The recommendation for provisional approval is supported by results from Study INCB 54828-202, a </w:t>
      </w:r>
      <w:r w:rsidR="0048244F" w:rsidRPr="00865C47">
        <w:t>Phase II</w:t>
      </w:r>
      <w:r w:rsidRPr="00865C47">
        <w:t>, open</w:t>
      </w:r>
      <w:r w:rsidR="007D39FC" w:rsidRPr="00865C47">
        <w:t xml:space="preserve"> </w:t>
      </w:r>
      <w:r w:rsidRPr="00865C47">
        <w:t>label, uncontrolled study in adults with advanced</w:t>
      </w:r>
      <w:r w:rsidR="00825311" w:rsidRPr="00865C47">
        <w:t xml:space="preserve"> or </w:t>
      </w:r>
      <w:r w:rsidRPr="00865C47">
        <w:t>metastatic</w:t>
      </w:r>
      <w:r w:rsidR="00825311" w:rsidRPr="00865C47">
        <w:t>,</w:t>
      </w:r>
      <w:r w:rsidRPr="00865C47">
        <w:t xml:space="preserve"> or surgically unresectable cholangiocarcinoma who have disease progression after at least </w:t>
      </w:r>
      <w:r w:rsidR="008A51BB" w:rsidRPr="00865C47">
        <w:t>one</w:t>
      </w:r>
      <w:r w:rsidRPr="00865C47">
        <w:t xml:space="preserve"> previous systemic treatment.</w:t>
      </w:r>
    </w:p>
    <w:p w14:paraId="5A1B3C0A" w14:textId="36569B59" w:rsidR="008A58D2" w:rsidRPr="00865C47" w:rsidRDefault="008A58D2" w:rsidP="008A58D2">
      <w:r w:rsidRPr="00865C47">
        <w:t xml:space="preserve">An </w:t>
      </w:r>
      <w:r w:rsidR="00A93FFB" w:rsidRPr="00865C47">
        <w:t>overall response rate</w:t>
      </w:r>
      <w:r w:rsidRPr="00865C47">
        <w:t xml:space="preserve"> of 37% (95% CI: 27.94, 46.86) in patients in Cohort A (with </w:t>
      </w:r>
      <w:r w:rsidRPr="004C535F">
        <w:rPr>
          <w:i/>
        </w:rPr>
        <w:t>FGFR2</w:t>
      </w:r>
      <w:r w:rsidRPr="00865C47">
        <w:t xml:space="preserve"> rearrangements or fusions; n</w:t>
      </w:r>
      <w:r w:rsidR="00A93FFB" w:rsidRPr="00865C47">
        <w:t xml:space="preserve"> </w:t>
      </w:r>
      <w:r w:rsidRPr="00865C47">
        <w:t>=</w:t>
      </w:r>
      <w:r w:rsidR="00A93FFB" w:rsidRPr="00865C47">
        <w:t xml:space="preserve"> </w:t>
      </w:r>
      <w:r w:rsidRPr="00865C47">
        <w:t xml:space="preserve">107), and the absence of a meaningful response in patients with cholangiocarcinoma in Cohort B (FGF/FGFR alterations other than </w:t>
      </w:r>
      <w:r w:rsidRPr="004C535F">
        <w:rPr>
          <w:i/>
        </w:rPr>
        <w:t>FGFR2</w:t>
      </w:r>
      <w:r w:rsidRPr="00865C47">
        <w:t xml:space="preserve"> rearrangements or fusions) or</w:t>
      </w:r>
      <w:r w:rsidR="007D39FC" w:rsidRPr="00865C47">
        <w:t xml:space="preserve"> Cohort</w:t>
      </w:r>
      <w:r w:rsidRPr="00865C47">
        <w:t xml:space="preserve"> C (negative for FGF/FGFR alterations), demonstrates a clinically meaningful effect of treatment with pemigatinib.</w:t>
      </w:r>
      <w:r w:rsidR="00892AE8" w:rsidRPr="00865C47">
        <w:t xml:space="preserve"> </w:t>
      </w:r>
      <w:r w:rsidRPr="00865C47">
        <w:t>Four participants (3.7%) had complete responses and 36</w:t>
      </w:r>
      <w:r w:rsidR="007D39FC" w:rsidRPr="00865C47">
        <w:t> </w:t>
      </w:r>
      <w:r w:rsidRPr="00865C47">
        <w:t>participants (33.3%) had partial responses at the latest data cut-off date of 7 April 2020.</w:t>
      </w:r>
    </w:p>
    <w:p w14:paraId="61DB4278" w14:textId="77777777" w:rsidR="008A58D2" w:rsidRPr="00865C47" w:rsidRDefault="008A58D2" w:rsidP="008A58D2">
      <w:r w:rsidRPr="00865C47">
        <w:t>The median duration of response was 8.1 months (95% CI: 5.7, 13.1) among those with a confirmed response, which also supports a robust treatment effect.</w:t>
      </w:r>
    </w:p>
    <w:p w14:paraId="3391D295" w14:textId="3392804C" w:rsidR="008A58D2" w:rsidRPr="00865C47" w:rsidRDefault="008A58D2" w:rsidP="007D39FC">
      <w:pPr>
        <w:pStyle w:val="Heading6"/>
        <w:rPr>
          <w:lang w:eastAsia="en-AU"/>
        </w:rPr>
      </w:pPr>
      <w:r w:rsidRPr="00865C47">
        <w:rPr>
          <w:lang w:eastAsia="en-AU"/>
        </w:rPr>
        <w:t>Uncertainties of benefit</w:t>
      </w:r>
    </w:p>
    <w:p w14:paraId="7C486190" w14:textId="10D86BD7" w:rsidR="008A58D2" w:rsidRPr="00865C47" w:rsidRDefault="008A58D2" w:rsidP="008A58D2">
      <w:r w:rsidRPr="00865C47">
        <w:t>There are limitations to deriving inference from a small, single</w:t>
      </w:r>
      <w:r w:rsidR="007D39FC" w:rsidRPr="00865C47">
        <w:t xml:space="preserve"> </w:t>
      </w:r>
      <w:r w:rsidRPr="00865C47">
        <w:t xml:space="preserve">arm </w:t>
      </w:r>
      <w:r w:rsidR="007D39FC" w:rsidRPr="00865C47">
        <w:t xml:space="preserve">or </w:t>
      </w:r>
      <w:r w:rsidRPr="00865C47">
        <w:t>non-randomised study such as Study INCB 54828-202.</w:t>
      </w:r>
      <w:r w:rsidR="00892AE8" w:rsidRPr="00865C47">
        <w:t xml:space="preserve"> </w:t>
      </w:r>
      <w:r w:rsidRPr="00865C47">
        <w:t xml:space="preserve">In addition, the analyses of </w:t>
      </w:r>
      <w:r w:rsidR="00A93FFB" w:rsidRPr="00865C47">
        <w:t>progression-free survival</w:t>
      </w:r>
      <w:r w:rsidRPr="00865C47">
        <w:t xml:space="preserve"> and </w:t>
      </w:r>
      <w:r w:rsidR="00A93FFB" w:rsidRPr="00865C47">
        <w:t>overall survival</w:t>
      </w:r>
      <w:r w:rsidRPr="00865C47">
        <w:t xml:space="preserve"> are considered uninterpretable in the absence of a comparative arm.</w:t>
      </w:r>
      <w:r w:rsidR="00892AE8" w:rsidRPr="00865C47">
        <w:t xml:space="preserve"> </w:t>
      </w:r>
      <w:r w:rsidRPr="00865C47">
        <w:t xml:space="preserve">However, the </w:t>
      </w:r>
      <w:r w:rsidR="00A93FFB" w:rsidRPr="00865C47">
        <w:t>progression-free survival</w:t>
      </w:r>
      <w:r w:rsidRPr="00865C47">
        <w:t xml:space="preserve"> and </w:t>
      </w:r>
      <w:r w:rsidR="00A93FFB" w:rsidRPr="00865C47">
        <w:t>overall survival</w:t>
      </w:r>
      <w:r w:rsidRPr="00865C47">
        <w:t xml:space="preserve"> analyses in Cohort A, when compared with those for patients in Cohorts B and C, suggest that these are likely to be improved; a randomised study with a comparator arm would provide stronger evidence of an effect. A randomised Phase</w:t>
      </w:r>
      <w:r w:rsidR="007D39FC" w:rsidRPr="00865C47">
        <w:t> </w:t>
      </w:r>
      <w:r w:rsidRPr="00865C47">
        <w:t xml:space="preserve">III study of pemigatinib versus the standard of care chemotherapy in patients with </w:t>
      </w:r>
      <w:r w:rsidR="008A51BB" w:rsidRPr="00865C47">
        <w:t>cholangiocarcinoma</w:t>
      </w:r>
      <w:r w:rsidRPr="00865C47">
        <w:t xml:space="preserve"> not previously treated in the metastatic setting is underway and will inform whether there is a </w:t>
      </w:r>
      <w:r w:rsidR="00A93FFB" w:rsidRPr="00865C47">
        <w:t>progression-free survival</w:t>
      </w:r>
      <w:r w:rsidRPr="00865C47">
        <w:t xml:space="preserve"> or </w:t>
      </w:r>
      <w:r w:rsidR="00A93FFB" w:rsidRPr="00865C47">
        <w:t>overall survival</w:t>
      </w:r>
      <w:r w:rsidRPr="00865C47">
        <w:t xml:space="preserve"> benefit in this population.</w:t>
      </w:r>
      <w:r w:rsidR="00892AE8" w:rsidRPr="00865C47">
        <w:t xml:space="preserve"> </w:t>
      </w:r>
      <w:r w:rsidRPr="00865C47">
        <w:t>Submission of this confirmatory study will be required post approval to confirm the clinical benefit of pemigatinib.</w:t>
      </w:r>
    </w:p>
    <w:p w14:paraId="7FD3BD6E" w14:textId="2AA2E429" w:rsidR="008A58D2" w:rsidRPr="00865C47" w:rsidRDefault="008A58D2" w:rsidP="008A58D2">
      <w:r w:rsidRPr="00865C47">
        <w:t>The quality of life data indicate a negative effect of the pemigatinib treatment side effects but whether this is worse than the currently very poor treatment alternatives (palliative chemotherapy or best supportive care) could not be demonstrated given that this was a single arm study; there was an intrinsic bias in the design of administering the questionnaires every 3</w:t>
      </w:r>
      <w:r w:rsidR="007D39FC" w:rsidRPr="00865C47">
        <w:t> </w:t>
      </w:r>
      <w:r w:rsidRPr="00865C47">
        <w:t xml:space="preserve">cycles, which will not capture responses from those discontinuing early due to toxicity or disease progression in this aggressive cancer. This will be addressed in the randomised Phase III study currently underway in the first-line setting, where patients with </w:t>
      </w:r>
      <w:r w:rsidR="008A51BB" w:rsidRPr="00865C47">
        <w:t>cholangiocarcinoma</w:t>
      </w:r>
      <w:r w:rsidRPr="00865C47">
        <w:t xml:space="preserve"> and </w:t>
      </w:r>
      <w:r w:rsidRPr="004C535F">
        <w:rPr>
          <w:i/>
        </w:rPr>
        <w:t>FGFR</w:t>
      </w:r>
      <w:r w:rsidRPr="00865C47">
        <w:t xml:space="preserve"> rearrangement</w:t>
      </w:r>
      <w:r w:rsidR="007D39FC" w:rsidRPr="00865C47">
        <w:t xml:space="preserve"> or </w:t>
      </w:r>
      <w:r w:rsidRPr="00865C47">
        <w:t>fusions are randomised to receive either standard of care chemotherapy or pemigatinib.</w:t>
      </w:r>
    </w:p>
    <w:p w14:paraId="089A86C4" w14:textId="347E3175" w:rsidR="008A58D2" w:rsidRPr="00865C47" w:rsidRDefault="008A58D2" w:rsidP="007D39FC">
      <w:pPr>
        <w:pStyle w:val="Heading6"/>
        <w:rPr>
          <w:rFonts w:asciiTheme="minorHAnsi" w:hAnsiTheme="minorHAnsi"/>
          <w:lang w:eastAsia="en-AU"/>
        </w:rPr>
      </w:pPr>
      <w:r w:rsidRPr="00865C47">
        <w:rPr>
          <w:lang w:eastAsia="en-AU"/>
        </w:rPr>
        <w:t>Risks</w:t>
      </w:r>
    </w:p>
    <w:p w14:paraId="2B30C6AD" w14:textId="4FCC82EC" w:rsidR="008A58D2" w:rsidRPr="00865C47" w:rsidRDefault="008A58D2" w:rsidP="008A58D2">
      <w:r w:rsidRPr="00865C47">
        <w:t xml:space="preserve">The primary analysis of the safety of the proposed dose regimen of pemigatinib (13.5 mg once daily </w:t>
      </w:r>
      <w:r w:rsidR="00B21D73">
        <w:t>for</w:t>
      </w:r>
      <w:r w:rsidRPr="00865C47">
        <w:t xml:space="preserve"> </w:t>
      </w:r>
      <w:r w:rsidR="00825311" w:rsidRPr="00865C47">
        <w:t xml:space="preserve">two </w:t>
      </w:r>
      <w:r w:rsidRPr="00865C47">
        <w:t>weeks</w:t>
      </w:r>
      <w:r w:rsidR="00825311" w:rsidRPr="00865C47">
        <w:t xml:space="preserve"> </w:t>
      </w:r>
      <w:r w:rsidRPr="00865C47">
        <w:t>on</w:t>
      </w:r>
      <w:r w:rsidR="00825311" w:rsidRPr="00865C47">
        <w:t>,</w:t>
      </w:r>
      <w:r w:rsidR="00B21D73">
        <w:t xml:space="preserve"> followed by</w:t>
      </w:r>
      <w:r w:rsidR="00825311" w:rsidRPr="00865C47">
        <w:t xml:space="preserve"> one week </w:t>
      </w:r>
      <w:r w:rsidRPr="00865C47">
        <w:t>off schedule) in participants with previously treated advanced</w:t>
      </w:r>
      <w:r w:rsidR="00825311" w:rsidRPr="00865C47">
        <w:t xml:space="preserve"> or </w:t>
      </w:r>
      <w:r w:rsidRPr="00865C47">
        <w:t>metastatic</w:t>
      </w:r>
      <w:r w:rsidR="00825311" w:rsidRPr="00865C47">
        <w:t>,</w:t>
      </w:r>
      <w:r w:rsidRPr="00865C47">
        <w:t xml:space="preserve"> or surgically unresectable cholangiocarcinoma is based on results from Study</w:t>
      </w:r>
      <w:r w:rsidR="007D39FC" w:rsidRPr="00865C47">
        <w:t> </w:t>
      </w:r>
      <w:r w:rsidRPr="00865C47">
        <w:t>INCB 54828-202. At the most recent cut-off date of April 2020, the median duration of exposure was 220 days (range</w:t>
      </w:r>
      <w:r w:rsidR="007D39FC" w:rsidRPr="00865C47">
        <w:t xml:space="preserve">: </w:t>
      </w:r>
      <w:r w:rsidRPr="00865C47">
        <w:t xml:space="preserve">7 </w:t>
      </w:r>
      <w:r w:rsidR="007D39FC" w:rsidRPr="00865C47">
        <w:t>to</w:t>
      </w:r>
      <w:r w:rsidRPr="00865C47">
        <w:t xml:space="preserve"> 1112 days) and 17.6% of participants had at least 6 months of exposure and 9% greater than 12 months exposure.</w:t>
      </w:r>
    </w:p>
    <w:p w14:paraId="098E0DA4" w14:textId="42E70FF5" w:rsidR="00892AE8" w:rsidRPr="00865C47" w:rsidRDefault="008A58D2" w:rsidP="008A58D2">
      <w:r w:rsidRPr="00865C47">
        <w:t xml:space="preserve">All 147 participants had at least </w:t>
      </w:r>
      <w:r w:rsidR="008A51BB" w:rsidRPr="00865C47">
        <w:t>one</w:t>
      </w:r>
      <w:r w:rsidRPr="00865C47">
        <w:t xml:space="preserve"> TEAE, and the majority (92%) had at least </w:t>
      </w:r>
      <w:r w:rsidR="008A51BB" w:rsidRPr="00865C47">
        <w:t>one</w:t>
      </w:r>
      <w:r w:rsidRPr="00865C47">
        <w:t xml:space="preserve"> TEAE that was considered related to study drug by the investigator.</w:t>
      </w:r>
    </w:p>
    <w:p w14:paraId="138CC787" w14:textId="77777777" w:rsidR="00892AE8" w:rsidRPr="00865C47" w:rsidRDefault="008A58D2" w:rsidP="008A58D2">
      <w:pPr>
        <w:pStyle w:val="ListBullet"/>
      </w:pPr>
      <w:r w:rsidRPr="00865C47">
        <w:lastRenderedPageBreak/>
        <w:t>Grade 3 or higher TEAEs occurred in 69% of participants overall.</w:t>
      </w:r>
    </w:p>
    <w:p w14:paraId="1C9C00F2" w14:textId="77777777" w:rsidR="00892AE8" w:rsidRPr="00865C47" w:rsidRDefault="008A58D2" w:rsidP="008A58D2">
      <w:pPr>
        <w:pStyle w:val="ListBullet"/>
      </w:pPr>
      <w:r w:rsidRPr="00865C47">
        <w:t>Serious TEAEs occurred in 46% of participants, including 6 participants (4%) who had serious TEAEs with a fatal outcome.</w:t>
      </w:r>
    </w:p>
    <w:p w14:paraId="64FCD2A0" w14:textId="77777777" w:rsidR="00892AE8" w:rsidRPr="00865C47" w:rsidRDefault="008A58D2" w:rsidP="008A58D2">
      <w:pPr>
        <w:pStyle w:val="ListBullet"/>
      </w:pPr>
      <w:r w:rsidRPr="00865C47">
        <w:t>Treatment interruptions due to a TEAE were required in 42%, with 10% of the overall population discontinuing treatment due to a TEAE; these toxicities are generally considered to be manageable.</w:t>
      </w:r>
    </w:p>
    <w:p w14:paraId="10C263A3" w14:textId="4B202809" w:rsidR="00892AE8" w:rsidRPr="00865C47" w:rsidRDefault="008A58D2" w:rsidP="008A58D2">
      <w:pPr>
        <w:pStyle w:val="ListBullet"/>
      </w:pPr>
      <w:r w:rsidRPr="00865C47">
        <w:t xml:space="preserve">The most frequent </w:t>
      </w:r>
      <w:r w:rsidR="00B961FA" w:rsidRPr="00865C47">
        <w:t>AE</w:t>
      </w:r>
      <w:r w:rsidRPr="00865C47">
        <w:t>s were hyperphosphatemia (59%), alopecia (50%), diarrhoea (47%), fatigue (44%), nausea (42%), dysgeusia (41%), stomatitis (37%), constipation (37%) decreased appetite and dry mouth (34% each).</w:t>
      </w:r>
    </w:p>
    <w:p w14:paraId="01ADA367" w14:textId="578990E2" w:rsidR="00892AE8" w:rsidRPr="00865C47" w:rsidRDefault="008A58D2" w:rsidP="008A58D2">
      <w:pPr>
        <w:pStyle w:val="ListBullet"/>
      </w:pPr>
      <w:r w:rsidRPr="00865C47">
        <w:t>Adverse events of Grade3</w:t>
      </w:r>
      <w:r w:rsidR="007D39FC" w:rsidRPr="00865C47">
        <w:t xml:space="preserve"> or higher</w:t>
      </w:r>
      <w:r w:rsidRPr="00865C47">
        <w:t xml:space="preserve"> severity included hypophosphatemia (15%), stomatitis (8%), palmar-plantar </w:t>
      </w:r>
      <w:proofErr w:type="spellStart"/>
      <w:r w:rsidRPr="00865C47">
        <w:t>erythrodysaesthesia</w:t>
      </w:r>
      <w:proofErr w:type="spellEnd"/>
      <w:r w:rsidRPr="00865C47">
        <w:t xml:space="preserve"> (7%), arthralgia (6.5%), abdominal pain (5.6%) and hyponatraemia (5%).</w:t>
      </w:r>
    </w:p>
    <w:p w14:paraId="1A4BB79B" w14:textId="0C750E2E" w:rsidR="008A58D2" w:rsidRPr="00865C47" w:rsidRDefault="008A58D2" w:rsidP="008A58D2">
      <w:pPr>
        <w:pStyle w:val="ListBullet"/>
      </w:pPr>
      <w:r w:rsidRPr="00865C47">
        <w:t xml:space="preserve">Stomatitis, palmar-plantar </w:t>
      </w:r>
      <w:proofErr w:type="spellStart"/>
      <w:r w:rsidRPr="00865C47">
        <w:t>erythrodysaesthesia</w:t>
      </w:r>
      <w:proofErr w:type="spellEnd"/>
      <w:r w:rsidRPr="00865C47">
        <w:t xml:space="preserve"> syndrome, and arthralgia were the most frequent TEAEs leading to interruptions and dose reductions.</w:t>
      </w:r>
    </w:p>
    <w:p w14:paraId="65CF718D" w14:textId="2830FAE3" w:rsidR="008A58D2" w:rsidRPr="00865C47" w:rsidRDefault="008A58D2" w:rsidP="008A58D2">
      <w:pPr>
        <w:pStyle w:val="ListBullet"/>
      </w:pPr>
      <w:r w:rsidRPr="00865C47">
        <w:t xml:space="preserve">Toxicities that are specific to the mechanism of action of pemigatinib include hyperphosphatemia, retinal pigment epithelial detachment and other ocular toxicities, and nail toxicities. </w:t>
      </w:r>
      <w:r w:rsidR="00825311" w:rsidRPr="00865C47">
        <w:t>Study INCB 54828-202</w:t>
      </w:r>
      <w:r w:rsidRPr="00865C47">
        <w:t xml:space="preserve"> demonstrated that interventions to control the serum phosphate level generally reduced the rate of clinically significant increases, but there were substantial and potentially severe decreases in serum phosphate which may be related to overcorrection or another mechanism.</w:t>
      </w:r>
      <w:r w:rsidR="00892AE8" w:rsidRPr="00865C47">
        <w:t xml:space="preserve"> </w:t>
      </w:r>
      <w:r w:rsidRPr="00865C47">
        <w:t>This needs to be adequately addressed in the PI.</w:t>
      </w:r>
    </w:p>
    <w:p w14:paraId="6244098F" w14:textId="10BC3DAF" w:rsidR="008A58D2" w:rsidRPr="00865C47" w:rsidRDefault="008A58D2" w:rsidP="008A58D2">
      <w:pPr>
        <w:pStyle w:val="ListBullet"/>
      </w:pPr>
      <w:r w:rsidRPr="00865C47">
        <w:t>The rates of hyperphosphatemia are likely to have been underestimated due to levels only be checked per protocol just prior to commencement of each cycle</w:t>
      </w:r>
      <w:r w:rsidR="00825311" w:rsidRPr="00865C47">
        <w:t>,</w:t>
      </w:r>
      <w:r w:rsidRPr="00865C47">
        <w:t xml:space="preserve"> that is, after a </w:t>
      </w:r>
      <w:r w:rsidR="00825311" w:rsidRPr="00865C47">
        <w:t xml:space="preserve">one </w:t>
      </w:r>
      <w:r w:rsidRPr="00865C47">
        <w:t>week break from daily dosing. Hypophosphatemia was common, and sometimes severe</w:t>
      </w:r>
      <w:r w:rsidR="00825311" w:rsidRPr="00865C47">
        <w:t>,</w:t>
      </w:r>
      <w:r w:rsidRPr="00865C47">
        <w:t xml:space="preserve"> but this may not be representative of the levels while on active pemigatinib dosing.</w:t>
      </w:r>
    </w:p>
    <w:p w14:paraId="672F9CE5" w14:textId="69AECF3A" w:rsidR="008A58D2" w:rsidRPr="00865C47" w:rsidRDefault="008A58D2" w:rsidP="008A58D2">
      <w:pPr>
        <w:pStyle w:val="ListBullet"/>
      </w:pPr>
      <w:r w:rsidRPr="00865C47">
        <w:t>Ocular toxicities in the integrated safety were common, diverse and all related to pemigatinib (</w:t>
      </w:r>
      <w:r w:rsidR="00B80561" w:rsidRPr="00865C47">
        <w:t>for example,</w:t>
      </w:r>
      <w:r w:rsidRPr="00865C47">
        <w:t xml:space="preserve"> retinal pigment epithelial detachment, dry eye, keratitis, and eyelash growth abnormalities), resulting in study discontinuations</w:t>
      </w:r>
    </w:p>
    <w:p w14:paraId="28A2F740" w14:textId="77777777" w:rsidR="008A58D2" w:rsidRPr="00865C47" w:rsidRDefault="008A58D2" w:rsidP="008A58D2">
      <w:pPr>
        <w:pStyle w:val="ListBullet"/>
      </w:pPr>
      <w:r w:rsidRPr="00865C47">
        <w:t>Nail toxicities were frequent and may be a distressing outcome for patients.</w:t>
      </w:r>
    </w:p>
    <w:p w14:paraId="0EF427F9" w14:textId="5388088A" w:rsidR="008A58D2" w:rsidRPr="00865C47" w:rsidRDefault="008A58D2" w:rsidP="007D39FC">
      <w:pPr>
        <w:pStyle w:val="Heading6"/>
        <w:rPr>
          <w:lang w:eastAsia="en-AU"/>
        </w:rPr>
      </w:pPr>
      <w:r w:rsidRPr="00865C47">
        <w:rPr>
          <w:lang w:eastAsia="en-AU"/>
        </w:rPr>
        <w:t>Uncertainties of risk</w:t>
      </w:r>
    </w:p>
    <w:p w14:paraId="47AE2724" w14:textId="79BCB66E" w:rsidR="008A58D2" w:rsidRPr="00865C47" w:rsidRDefault="008A58D2" w:rsidP="008A58D2">
      <w:r w:rsidRPr="00865C47">
        <w:t>As this was a single</w:t>
      </w:r>
      <w:r w:rsidR="007D39FC" w:rsidRPr="00865C47">
        <w:t xml:space="preserve"> </w:t>
      </w:r>
      <w:r w:rsidRPr="00865C47">
        <w:t xml:space="preserve">arm study, there is no comparator to make confident attributions about </w:t>
      </w:r>
      <w:r w:rsidR="00B961FA" w:rsidRPr="00865C47">
        <w:t>AE</w:t>
      </w:r>
      <w:r w:rsidRPr="00865C47">
        <w:t xml:space="preserve">s and relation to treatment, nor to demonstrate the toxicities relative to an alternate regimen that could be used in this population, such as </w:t>
      </w:r>
      <w:proofErr w:type="spellStart"/>
      <w:r w:rsidR="00865C47" w:rsidRPr="00865C47">
        <w:t>Folfox</w:t>
      </w:r>
      <w:proofErr w:type="spellEnd"/>
      <w:r w:rsidR="00865C47" w:rsidRPr="00865C47">
        <w:t xml:space="preserve"> </w:t>
      </w:r>
      <w:r w:rsidRPr="00865C47">
        <w:t>(which is associated with substantial toxicity and does not provide high response rates or durable responses).</w:t>
      </w:r>
    </w:p>
    <w:p w14:paraId="3F00304F" w14:textId="02806156" w:rsidR="00892AE8" w:rsidRPr="00865C47" w:rsidRDefault="008A58D2" w:rsidP="008A58D2">
      <w:r w:rsidRPr="00865C47">
        <w:t xml:space="preserve">The relatively small number of participants in Study INCB 54828-202 and in the development studies to date limits the ability to fully characterise rare </w:t>
      </w:r>
      <w:r w:rsidR="00B961FA" w:rsidRPr="00865C47">
        <w:t>AEs</w:t>
      </w:r>
      <w:r w:rsidRPr="00865C47">
        <w:t xml:space="preserve">, and to attribute causality to pemigatinib for some of the </w:t>
      </w:r>
      <w:r w:rsidR="00B961FA" w:rsidRPr="00865C47">
        <w:t>AE</w:t>
      </w:r>
      <w:r w:rsidRPr="00865C47">
        <w:t>s.</w:t>
      </w:r>
      <w:r w:rsidR="00892AE8" w:rsidRPr="00865C47">
        <w:t xml:space="preserve"> </w:t>
      </w:r>
      <w:r w:rsidRPr="00865C47">
        <w:t>However, there are sufficient data to form a benefit-risk for this population, and the observed safety profile could be considered acceptable in the context of a rare and aggressive cancer with a very poor prognosis.</w:t>
      </w:r>
    </w:p>
    <w:p w14:paraId="5D3B4941" w14:textId="72ED2AEF" w:rsidR="008A58D2" w:rsidRPr="00865C47" w:rsidRDefault="008A58D2" w:rsidP="007D39FC">
      <w:pPr>
        <w:pStyle w:val="Heading6"/>
        <w:rPr>
          <w:lang w:eastAsia="en-AU"/>
        </w:rPr>
      </w:pPr>
      <w:r w:rsidRPr="00865C47">
        <w:rPr>
          <w:lang w:eastAsia="en-AU"/>
        </w:rPr>
        <w:t>Benefit risk balance</w:t>
      </w:r>
    </w:p>
    <w:p w14:paraId="072E270D" w14:textId="25CE9180" w:rsidR="00892AE8" w:rsidRPr="00865C47" w:rsidRDefault="008A58D2" w:rsidP="008A58D2">
      <w:r w:rsidRPr="00865C47">
        <w:t>Overall, the benefit-risk assessment for pemigatinib is considered to be favourable to support provisional registration for the proposed indication.</w:t>
      </w:r>
      <w:r w:rsidR="00892AE8" w:rsidRPr="00865C47">
        <w:t xml:space="preserve"> </w:t>
      </w:r>
      <w:r w:rsidRPr="00865C47">
        <w:t xml:space="preserve">The </w:t>
      </w:r>
      <w:r w:rsidR="00A93FFB" w:rsidRPr="00865C47">
        <w:t>overall response rate</w:t>
      </w:r>
      <w:r w:rsidRPr="00865C47">
        <w:t xml:space="preserve"> and duration of response from Study INCB 54828-202 are considered to be clinically meaningful and reasonably likely to predict clinical benefit in the proposed population.</w:t>
      </w:r>
    </w:p>
    <w:p w14:paraId="6B1822F0" w14:textId="4307051E" w:rsidR="00892AE8" w:rsidRPr="00865C47" w:rsidRDefault="008A58D2" w:rsidP="008A58D2">
      <w:r w:rsidRPr="00865C47">
        <w:lastRenderedPageBreak/>
        <w:t>Although pemigatinib can cause serious toxicities, the safety profile demonstrated is acceptable when considered in the context of a life-threatening disease (</w:t>
      </w:r>
      <w:r w:rsidR="007D39FC" w:rsidRPr="00865C47">
        <w:t xml:space="preserve">that is, </w:t>
      </w:r>
      <w:r w:rsidRPr="00865C47">
        <w:t>advanced cholangiocarcinoma), the significant unmet need in the intended patient population, and the lack of available targeted therapy options for the proposed population in Australia at present.</w:t>
      </w:r>
    </w:p>
    <w:p w14:paraId="0B010DBA" w14:textId="211840AD" w:rsidR="008A58D2" w:rsidRPr="00865C47" w:rsidRDefault="008A58D2" w:rsidP="008A58D2">
      <w:r w:rsidRPr="00865C47">
        <w:t>The study design limits interpretation of survival; although available evidence supports provisional approval, further data is required in order to confirm clinical benefit.</w:t>
      </w:r>
      <w:r w:rsidR="00892AE8" w:rsidRPr="00865C47">
        <w:t xml:space="preserve"> </w:t>
      </w:r>
      <w:r w:rsidRPr="00865C47">
        <w:t xml:space="preserve">The proposed confirmatory study is likely to address the uncertainties about relative toxicity compared with the other very limited treatment options, impact on quality of life and relative efficacy in a patient population with </w:t>
      </w:r>
      <w:r w:rsidR="008A51BB" w:rsidRPr="00865C47">
        <w:t>cholangiocarcinoma</w:t>
      </w:r>
      <w:r w:rsidRPr="00865C47">
        <w:t xml:space="preserve"> harbouring </w:t>
      </w:r>
      <w:r w:rsidRPr="004C535F">
        <w:rPr>
          <w:i/>
        </w:rPr>
        <w:t>FGFR2</w:t>
      </w:r>
      <w:r w:rsidRPr="00865C47">
        <w:t xml:space="preserve"> gene fusions or rearrangements. The sponsor will be required to submit final reports of the confirmatory study post-marketing.</w:t>
      </w:r>
    </w:p>
    <w:p w14:paraId="3916F296" w14:textId="77777777" w:rsidR="00C22214" w:rsidRPr="00865C47" w:rsidRDefault="00C22214" w:rsidP="00C22214">
      <w:pPr>
        <w:pStyle w:val="Heading4"/>
      </w:pPr>
      <w:bookmarkStart w:id="169" w:name="_Toc98931933"/>
      <w:bookmarkStart w:id="170" w:name="_Toc139284943"/>
      <w:r w:rsidRPr="00865C47">
        <w:t>Proposed action</w:t>
      </w:r>
      <w:bookmarkEnd w:id="169"/>
      <w:bookmarkEnd w:id="170"/>
    </w:p>
    <w:p w14:paraId="5B55CAEA" w14:textId="77777777" w:rsidR="008A58D2" w:rsidRPr="00865C47" w:rsidRDefault="008A58D2" w:rsidP="008A58D2">
      <w:r w:rsidRPr="00865C47">
        <w:t>The benefit risk assessment for pemigatinib in proposed population is considered to be favourable.</w:t>
      </w:r>
    </w:p>
    <w:p w14:paraId="62838C38" w14:textId="581AD522" w:rsidR="007D39FC" w:rsidRPr="00865C47" w:rsidRDefault="008A58D2" w:rsidP="007D39FC">
      <w:r w:rsidRPr="00865C47">
        <w:t xml:space="preserve">Provisional approval of pemigatinib </w:t>
      </w:r>
      <w:r w:rsidR="007D39FC" w:rsidRPr="00865C47">
        <w:t>is supported for the following indication providing that all outstanding concerns or recommendations outlined in the quality and RMP evaluation reports are satisfactorily addressed:</w:t>
      </w:r>
    </w:p>
    <w:p w14:paraId="2CB382B8" w14:textId="77777777" w:rsidR="007D39FC" w:rsidRPr="00865C47" w:rsidRDefault="007D39FC" w:rsidP="007D39FC">
      <w:pPr>
        <w:ind w:left="720"/>
        <w:rPr>
          <w:i/>
          <w:iCs/>
        </w:rPr>
      </w:pPr>
      <w:r w:rsidRPr="00865C47">
        <w:rPr>
          <w:i/>
          <w:iCs/>
        </w:rPr>
        <w:t>This medicine has provisional approval in Australia for the treatment of adults with locally advanced or metastatic cholangiocarcinoma with a fibroblast growth factor receptor 2 (FGFR2) fusion or rearrangement that is relapsed or refractory after at least one line of systemic therapy. The decision to approve this indication has been made on the basis of overall response rate (ORR) and duration of response (DOR). Continued approval of this indication depends on verification and description of benefit in confirmatory trials.</w:t>
      </w:r>
    </w:p>
    <w:p w14:paraId="7ACC604C" w14:textId="764A0A0C" w:rsidR="008A58D2" w:rsidRPr="00865C47" w:rsidRDefault="008A58D2" w:rsidP="008A58D2">
      <w:r w:rsidRPr="00865C47">
        <w:t>In addition to the standard conditions of registration, additional conditions of registration are proposed.</w:t>
      </w:r>
    </w:p>
    <w:p w14:paraId="318CFABC" w14:textId="77777777" w:rsidR="00C22214" w:rsidRPr="00865C47" w:rsidRDefault="00C22214" w:rsidP="00C22214">
      <w:pPr>
        <w:pStyle w:val="Heading4"/>
      </w:pPr>
      <w:bookmarkStart w:id="171" w:name="_Toc98931936"/>
      <w:bookmarkStart w:id="172" w:name="_Toc139284944"/>
      <w:bookmarkStart w:id="173" w:name="_Toc247691532"/>
      <w:bookmarkStart w:id="174" w:name="_Toc314842516"/>
      <w:r w:rsidRPr="00865C47">
        <w:t>Advisory Committee considerations</w:t>
      </w:r>
      <w:bookmarkEnd w:id="171"/>
      <w:bookmarkEnd w:id="172"/>
    </w:p>
    <w:p w14:paraId="087BB9CB" w14:textId="751C6D09" w:rsidR="00C22214" w:rsidRPr="00865C47" w:rsidRDefault="00C22214" w:rsidP="00C22214">
      <w:pPr>
        <w:rPr>
          <w:bCs/>
          <w:szCs w:val="22"/>
        </w:rPr>
      </w:pPr>
      <w:r w:rsidRPr="00865C47">
        <w:rPr>
          <w:bCs/>
          <w:szCs w:val="22"/>
        </w:rPr>
        <w:t xml:space="preserve">The </w:t>
      </w:r>
      <w:hyperlink r:id="rId57" w:history="1">
        <w:r w:rsidRPr="00865C47">
          <w:rPr>
            <w:rStyle w:val="Hyperlink"/>
            <w:szCs w:val="22"/>
          </w:rPr>
          <w:t>Advisory Committee on Medicines (ACM)</w:t>
        </w:r>
      </w:hyperlink>
      <w:r w:rsidRPr="00865C47">
        <w:rPr>
          <w:szCs w:val="22"/>
        </w:rPr>
        <w:t>,</w:t>
      </w:r>
      <w:r w:rsidRPr="00865C47">
        <w:rPr>
          <w:bCs/>
          <w:szCs w:val="22"/>
        </w:rPr>
        <w:t xml:space="preserve"> having considered the evaluations and the Delegate’s overview, as well as the sponsor’s response to these documents, advised the following.</w:t>
      </w:r>
    </w:p>
    <w:p w14:paraId="0D935CC4" w14:textId="77777777" w:rsidR="00C22214" w:rsidRPr="00865C47" w:rsidRDefault="00C22214" w:rsidP="00C22214">
      <w:pPr>
        <w:pStyle w:val="Heading5"/>
      </w:pPr>
      <w:r w:rsidRPr="00865C47">
        <w:t>Specific advice to the Delegate</w:t>
      </w:r>
    </w:p>
    <w:p w14:paraId="705CDC4C" w14:textId="68B32F8C" w:rsidR="008A58D2" w:rsidRPr="00865C47" w:rsidRDefault="008A58D2" w:rsidP="008A58D2">
      <w:pPr>
        <w:pStyle w:val="Numberbullet0"/>
        <w:numPr>
          <w:ilvl w:val="0"/>
          <w:numId w:val="34"/>
        </w:numPr>
        <w:spacing w:after="120"/>
        <w:ind w:left="425" w:hanging="425"/>
        <w:rPr>
          <w:b/>
          <w:bCs/>
          <w:i/>
          <w:iCs/>
        </w:rPr>
      </w:pPr>
      <w:r w:rsidRPr="00865C47">
        <w:rPr>
          <w:b/>
          <w:bCs/>
          <w:i/>
          <w:iCs/>
        </w:rPr>
        <w:t xml:space="preserve">Are the results from the Phase II </w:t>
      </w:r>
      <w:r w:rsidR="007D39FC" w:rsidRPr="00865C47">
        <w:rPr>
          <w:b/>
          <w:bCs/>
          <w:i/>
          <w:iCs/>
        </w:rPr>
        <w:t xml:space="preserve">Study </w:t>
      </w:r>
      <w:r w:rsidRPr="00865C47">
        <w:rPr>
          <w:b/>
          <w:bCs/>
          <w:i/>
          <w:iCs/>
        </w:rPr>
        <w:t>INCB 54828-202 (</w:t>
      </w:r>
      <w:r w:rsidR="007D39FC" w:rsidRPr="00865C47">
        <w:rPr>
          <w:b/>
          <w:bCs/>
          <w:i/>
          <w:iCs/>
        </w:rPr>
        <w:t xml:space="preserve">the </w:t>
      </w:r>
      <w:r w:rsidRPr="00865C47">
        <w:rPr>
          <w:b/>
          <w:bCs/>
          <w:i/>
          <w:iCs/>
        </w:rPr>
        <w:t>FIGHT-202</w:t>
      </w:r>
      <w:r w:rsidR="007D39FC" w:rsidRPr="00865C47">
        <w:rPr>
          <w:b/>
          <w:bCs/>
          <w:i/>
          <w:iCs/>
        </w:rPr>
        <w:t xml:space="preserve"> trial</w:t>
      </w:r>
      <w:r w:rsidRPr="00865C47">
        <w:rPr>
          <w:b/>
          <w:bCs/>
          <w:i/>
          <w:iCs/>
        </w:rPr>
        <w:t>) sufficient to support the use of pemigatinib in the proposed population?</w:t>
      </w:r>
    </w:p>
    <w:p w14:paraId="357C3FA1" w14:textId="77777777" w:rsidR="008A58D2" w:rsidRPr="00865C47" w:rsidRDefault="008A58D2" w:rsidP="008A58D2">
      <w:r w:rsidRPr="00865C47">
        <w:t>The ACM agreed that the data from the Phase II study, Study INCB 54828-202 (FIGHT-202 trial) sufficiently supports the use of pemigatinib in the proposed population as second line therapy.</w:t>
      </w:r>
    </w:p>
    <w:p w14:paraId="7AA1CC3E" w14:textId="0E37EE14" w:rsidR="008A58D2" w:rsidRPr="00865C47" w:rsidRDefault="008A58D2" w:rsidP="008A58D2">
      <w:r w:rsidRPr="00865C47">
        <w:t xml:space="preserve">The ACM noted the </w:t>
      </w:r>
      <w:r w:rsidR="00A93FFB" w:rsidRPr="00865C47">
        <w:t>overall response rate</w:t>
      </w:r>
      <w:r w:rsidRPr="00865C47">
        <w:t xml:space="preserve"> of 37% and the median </w:t>
      </w:r>
      <w:r w:rsidR="00A93FFB" w:rsidRPr="00865C47">
        <w:t>duration of response</w:t>
      </w:r>
      <w:r w:rsidRPr="00865C47">
        <w:t xml:space="preserve"> of 8.1</w:t>
      </w:r>
      <w:r w:rsidR="007D39FC" w:rsidRPr="00865C47">
        <w:t> </w:t>
      </w:r>
      <w:r w:rsidRPr="00865C47">
        <w:t>months, stating that early efficacy appears to be demonstrated within many of the participants on pemigatinib.</w:t>
      </w:r>
    </w:p>
    <w:p w14:paraId="2C254EAD" w14:textId="77777777" w:rsidR="008A58D2" w:rsidRPr="00865C47" w:rsidRDefault="008A58D2" w:rsidP="008A58D2">
      <w:r w:rsidRPr="00865C47">
        <w:t xml:space="preserve">The ACM advised that careful management of the toxicity profile would be required, with specific monitoring given to </w:t>
      </w:r>
      <w:proofErr w:type="spellStart"/>
      <w:r w:rsidRPr="00865C47">
        <w:t>hyperphosphataemia</w:t>
      </w:r>
      <w:proofErr w:type="spellEnd"/>
      <w:r w:rsidRPr="00865C47">
        <w:t>. The ACM advised that the PI and CMI should include clear information on monitoring of phosphate levels. The ACM also noted that screening and monitoring for serous retinopathy would be important and early intervention for ocular symptoms warranted.</w:t>
      </w:r>
    </w:p>
    <w:p w14:paraId="044ECA15" w14:textId="77777777" w:rsidR="00892AE8" w:rsidRPr="00865C47" w:rsidRDefault="008A58D2" w:rsidP="008A58D2">
      <w:r w:rsidRPr="00865C47">
        <w:lastRenderedPageBreak/>
        <w:t>The ACM noted that cholangiocarcinoma is a rare cancer with poor outcomes and limited treatment options as such, on balance the availability of this treatment as a provisional registration is warranted based on the early data.</w:t>
      </w:r>
    </w:p>
    <w:p w14:paraId="5291EA2A" w14:textId="180148B3" w:rsidR="00C22214" w:rsidRPr="00865C47" w:rsidRDefault="00C22214" w:rsidP="00C22214">
      <w:pPr>
        <w:pStyle w:val="Heading5"/>
      </w:pPr>
      <w:r w:rsidRPr="00865C47">
        <w:t>Conclusion</w:t>
      </w:r>
    </w:p>
    <w:p w14:paraId="3CA5927C" w14:textId="77777777" w:rsidR="008A58D2" w:rsidRPr="00865C47" w:rsidRDefault="008A58D2" w:rsidP="008A58D2">
      <w:r w:rsidRPr="00865C47">
        <w:t>The ACM considered this product to have an overall positive benefit-risk profile for the provisional registration of pemigatinib for the following indication:</w:t>
      </w:r>
    </w:p>
    <w:p w14:paraId="36F164A8" w14:textId="77777777" w:rsidR="008A58D2" w:rsidRPr="00865C47" w:rsidRDefault="008A58D2" w:rsidP="008A58D2">
      <w:pPr>
        <w:ind w:left="720"/>
        <w:rPr>
          <w:i/>
          <w:iCs/>
        </w:rPr>
      </w:pPr>
      <w:r w:rsidRPr="00865C47">
        <w:rPr>
          <w:i/>
          <w:iCs/>
        </w:rPr>
        <w:t>For the treatment of adult patients with locally advanced or metastatic cholangiocarcinoma with a fibroblast growth factor receptor 2 (FGFR2) fusion or rearrangement who have received at least one prior systemic therapy for advanced disease.</w:t>
      </w:r>
    </w:p>
    <w:p w14:paraId="65AF510D" w14:textId="77777777" w:rsidR="008A58D2" w:rsidRPr="00865C47" w:rsidRDefault="008A58D2" w:rsidP="008A58D2">
      <w:pPr>
        <w:ind w:left="720"/>
        <w:rPr>
          <w:i/>
          <w:iCs/>
        </w:rPr>
      </w:pPr>
      <w:r w:rsidRPr="00865C47">
        <w:rPr>
          <w:i/>
          <w:iCs/>
        </w:rPr>
        <w:t>The decision to approve this indication has been made on the basis of overall response rate (ORR) and duration of response (DOR). Continued approval of this indication depends on verification and description of benefit in confirmatory trials.</w:t>
      </w:r>
    </w:p>
    <w:p w14:paraId="307F236C" w14:textId="77777777" w:rsidR="00C22214" w:rsidRPr="00865C47" w:rsidRDefault="00C22214" w:rsidP="00C22214">
      <w:pPr>
        <w:pStyle w:val="Heading2"/>
      </w:pPr>
      <w:bookmarkStart w:id="175" w:name="_Toc103679300"/>
      <w:bookmarkStart w:id="176" w:name="_Toc139284945"/>
      <w:r w:rsidRPr="00865C47">
        <w:t>Outcome</w:t>
      </w:r>
      <w:bookmarkEnd w:id="173"/>
      <w:bookmarkEnd w:id="174"/>
      <w:bookmarkEnd w:id="175"/>
      <w:bookmarkEnd w:id="176"/>
    </w:p>
    <w:p w14:paraId="0AE804ED" w14:textId="77777777" w:rsidR="00892AE8" w:rsidRPr="00865C47" w:rsidRDefault="00C22214" w:rsidP="008A58D2">
      <w:r w:rsidRPr="00865C47">
        <w:t xml:space="preserve">Based on a review of quality, safety, and efficacy, the TGA approved the registration of </w:t>
      </w:r>
      <w:r w:rsidR="008A58D2" w:rsidRPr="00865C47">
        <w:t>Pemazyre (pemigatinib) 4.5 mg, 9 mg and 13.5 mg, tablet, blister pack</w:t>
      </w:r>
      <w:r w:rsidRPr="00865C47">
        <w:t>, indicated for:</w:t>
      </w:r>
    </w:p>
    <w:p w14:paraId="4EC92C04" w14:textId="5DAB2CF1" w:rsidR="008A58D2" w:rsidRPr="00865C47" w:rsidRDefault="008A58D2" w:rsidP="008A58D2">
      <w:pPr>
        <w:ind w:left="720"/>
        <w:rPr>
          <w:i/>
          <w:iCs/>
        </w:rPr>
      </w:pPr>
      <w:r w:rsidRPr="00865C47">
        <w:rPr>
          <w:i/>
          <w:iCs/>
        </w:rPr>
        <w:t>Pemigatinib has provisional approval in Australia for the treatment of adult patients with locally advanced or metastatic cholangiocarcinoma with a fibroblast growth factor receptor 2 (FGFR2) fusion or rearrangement that has progressed after at least one prior line of systemic therapy. The decision to approve this indication has been made on the basis of overall response rate (ORR) and duration of response (DOR). Continued approval of this indication depends on verification and description of benefit in confirmatory trial(s).</w:t>
      </w:r>
    </w:p>
    <w:p w14:paraId="0D732DA4" w14:textId="77777777" w:rsidR="00854D98" w:rsidRPr="00865C47" w:rsidRDefault="00854D98" w:rsidP="00854D98">
      <w:pPr>
        <w:pStyle w:val="Heading3"/>
      </w:pPr>
      <w:bookmarkStart w:id="177" w:name="_Toc103679301"/>
      <w:bookmarkStart w:id="178" w:name="_Toc139284946"/>
      <w:r w:rsidRPr="00865C47">
        <w:t>Specific conditions of registration applying to these goods</w:t>
      </w:r>
      <w:bookmarkEnd w:id="177"/>
      <w:bookmarkEnd w:id="178"/>
    </w:p>
    <w:p w14:paraId="413B86F3" w14:textId="4B3F0ED1" w:rsidR="008A58D2" w:rsidRPr="00865C47" w:rsidRDefault="008A58D2" w:rsidP="008A58D2">
      <w:pPr>
        <w:pStyle w:val="ListBullet"/>
      </w:pPr>
      <w:r w:rsidRPr="00865C47">
        <w:t>Pemazyre (pemigatinib) is to be included in the Black Triangle Scheme. The PI and CMI for Pemazyre must include the black triangle symbol and mandatory accompanying text for five years, or the product’s entire period of provisional registration, whichever is longer.</w:t>
      </w:r>
    </w:p>
    <w:p w14:paraId="23B4DC9D" w14:textId="72E5D75A" w:rsidR="008A58D2" w:rsidRPr="00865C47" w:rsidRDefault="008A58D2" w:rsidP="008A58D2">
      <w:pPr>
        <w:pStyle w:val="ListBullet"/>
      </w:pPr>
      <w:r w:rsidRPr="00865C47">
        <w:t>The Pemazyre EU-risk management plan (RMP) (version 1.4, dated 29 January 2021, data lock point 22 March 2019), with Australia specific annex (version 0.3, dated April 2022), included with Submission PM-2021-03777-1-4, and any subsequent revisions, as agreed with the TGA will be implemented in Australia.</w:t>
      </w:r>
    </w:p>
    <w:p w14:paraId="6C803FAF" w14:textId="77777777" w:rsidR="008A58D2" w:rsidRPr="00865C47" w:rsidRDefault="008A58D2" w:rsidP="008A58D2">
      <w:pPr>
        <w:pStyle w:val="ListBullet"/>
        <w:numPr>
          <w:ilvl w:val="0"/>
          <w:numId w:val="0"/>
        </w:numPr>
        <w:ind w:left="360"/>
      </w:pPr>
      <w:r w:rsidRPr="00865C47">
        <w:t>An obligatory component of risk management plans is routine pharmacovigilance. Routine pharmacovigilance includes the submission of periodic safety update reports (PSURs).</w:t>
      </w:r>
    </w:p>
    <w:p w14:paraId="0F1815D0" w14:textId="77777777" w:rsidR="008A58D2" w:rsidRPr="00865C47" w:rsidRDefault="008A58D2" w:rsidP="008A58D2">
      <w:pPr>
        <w:pStyle w:val="ListBullet"/>
        <w:numPr>
          <w:ilvl w:val="0"/>
          <w:numId w:val="0"/>
        </w:numPr>
        <w:ind w:left="360"/>
      </w:pPr>
      <w:r w:rsidRPr="00865C47">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this approval letter, or the entire period of provisional registration, whichever is longer.</w:t>
      </w:r>
    </w:p>
    <w:p w14:paraId="2A097C25" w14:textId="77777777" w:rsidR="008A58D2" w:rsidRPr="00865C47" w:rsidRDefault="008A58D2" w:rsidP="008A58D2">
      <w:pPr>
        <w:pStyle w:val="ListBullet"/>
        <w:numPr>
          <w:ilvl w:val="0"/>
          <w:numId w:val="0"/>
        </w:numPr>
        <w:ind w:left="360"/>
      </w:pPr>
      <w:r w:rsidRPr="00865C47">
        <w:t>The reports are to at least meet the requirements for PSURs as described in the European Medicines Agency’s Guideline on Good Pharmacovigilance Practices (GVP) Module VII-periodic safety update report (revision 1), Part VII.B structures and processes. Note that submission of a PSUR does not constitute an application to vary the registration. Each report must have been prepared within ninety calendar days of the data lock point for that report.</w:t>
      </w:r>
    </w:p>
    <w:p w14:paraId="48EC5808" w14:textId="1CE8EF49" w:rsidR="008A58D2" w:rsidRPr="00865C47" w:rsidRDefault="008A58D2" w:rsidP="008A58D2">
      <w:pPr>
        <w:pStyle w:val="ListBullet"/>
      </w:pPr>
      <w:r w:rsidRPr="00865C47">
        <w:lastRenderedPageBreak/>
        <w:t>[The sponsor to] submit the results of the confirmatory study, FIGHT</w:t>
      </w:r>
      <w:r w:rsidRPr="00865C47">
        <w:noBreakHyphen/>
        <w:t>302 (INCB 54828</w:t>
      </w:r>
      <w:r w:rsidRPr="00865C47">
        <w:noBreakHyphen/>
        <w:t>302), a Phase III study comparing the efficacy and safety of pemigatinib [versus] gemcitabine plus cisplatin chemotherapy in adults with unresectable or metastatic cholangiocarcinoma with FGFR2 rearrangement.</w:t>
      </w:r>
    </w:p>
    <w:p w14:paraId="16A4C2B8" w14:textId="2C330CBA" w:rsidR="008A58D2" w:rsidRPr="00865C47" w:rsidRDefault="008A58D2" w:rsidP="00854D98">
      <w:pPr>
        <w:pStyle w:val="ListBullet"/>
      </w:pPr>
      <w:r w:rsidRPr="00865C47">
        <w:t>[The sponsor to] submit an updated PK/PD modelling analysis for evaluation.</w:t>
      </w:r>
    </w:p>
    <w:p w14:paraId="451DC3FC" w14:textId="77777777" w:rsidR="00C22214" w:rsidRPr="00865C47" w:rsidRDefault="00C22214" w:rsidP="00C22214">
      <w:pPr>
        <w:pStyle w:val="Heading2"/>
      </w:pPr>
      <w:bookmarkStart w:id="179" w:name="_Toc103679303"/>
      <w:bookmarkStart w:id="180" w:name="_Toc139284947"/>
      <w:r w:rsidRPr="00865C47">
        <w:t>Attachment 1. Product Information</w:t>
      </w:r>
      <w:bookmarkEnd w:id="179"/>
      <w:bookmarkEnd w:id="180"/>
    </w:p>
    <w:p w14:paraId="7C9C44CD" w14:textId="5E8FF851" w:rsidR="00892AE8" w:rsidRPr="00865C47" w:rsidRDefault="00C22214" w:rsidP="00C22214">
      <w:pPr>
        <w:rPr>
          <w:szCs w:val="22"/>
        </w:rPr>
      </w:pPr>
      <w:r w:rsidRPr="00865C47">
        <w:rPr>
          <w:szCs w:val="22"/>
        </w:rPr>
        <w:t xml:space="preserve">The PI for </w:t>
      </w:r>
      <w:r w:rsidR="008A58D2" w:rsidRPr="00865C47">
        <w:rPr>
          <w:szCs w:val="22"/>
        </w:rPr>
        <w:t xml:space="preserve">Pemazyre </w:t>
      </w:r>
      <w:r w:rsidRPr="00865C47">
        <w:rPr>
          <w:szCs w:val="22"/>
        </w:rPr>
        <w:t xml:space="preserve">approved with the submission which is described in this AusPAR is at Attachment 1. For the most recent PI, please refer to the TGA </w:t>
      </w:r>
      <w:hyperlink r:id="rId58" w:history="1">
        <w:r w:rsidRPr="00865C47">
          <w:rPr>
            <w:rStyle w:val="Hyperlink"/>
            <w:szCs w:val="22"/>
          </w:rPr>
          <w:t>PI/CMI search facility.</w:t>
        </w:r>
      </w:hyperlink>
    </w:p>
    <w:p w14:paraId="40740B65" w14:textId="0211B6BE" w:rsidR="00C22214" w:rsidRPr="00865C47" w:rsidRDefault="00C22214" w:rsidP="00C22214">
      <w:pPr>
        <w:autoSpaceDE w:val="0"/>
        <w:autoSpaceDN w:val="0"/>
        <w:adjustRightInd w:val="0"/>
        <w:spacing w:after="0"/>
      </w:pPr>
      <w:r w:rsidRPr="00865C47">
        <w:rPr>
          <w:b/>
        </w:rPr>
        <w:br w:type="page"/>
      </w:r>
    </w:p>
    <w:p w14:paraId="53357BF3" w14:textId="276457B5" w:rsidR="00C22214" w:rsidRPr="00865C47" w:rsidRDefault="00C22214" w:rsidP="00C22214">
      <w:pPr>
        <w:rPr>
          <w:lang w:eastAsia="ja-JP"/>
        </w:rPr>
        <w:sectPr w:rsidR="00C22214" w:rsidRPr="00865C47" w:rsidSect="007452E8">
          <w:headerReference w:type="default" r:id="rId59"/>
          <w:footerReference w:type="default" r:id="rId6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865C47" w14:paraId="3C0C07BF" w14:textId="77777777" w:rsidTr="007452E8">
        <w:trPr>
          <w:trHeight w:hRule="exact" w:val="565"/>
          <w:jc w:val="center"/>
        </w:trPr>
        <w:tc>
          <w:tcPr>
            <w:tcW w:w="9145" w:type="dxa"/>
          </w:tcPr>
          <w:bookmarkEnd w:id="3"/>
          <w:bookmarkEnd w:id="4"/>
          <w:p w14:paraId="7E090B86" w14:textId="77777777" w:rsidR="00F02AEC" w:rsidRPr="00865C47" w:rsidRDefault="00F02AEC" w:rsidP="007452E8">
            <w:pPr>
              <w:pStyle w:val="TGASignoff"/>
            </w:pPr>
            <w:r w:rsidRPr="00865C47">
              <w:lastRenderedPageBreak/>
              <w:t>Therapeutic Goods Administration</w:t>
            </w:r>
          </w:p>
        </w:tc>
      </w:tr>
      <w:tr w:rsidR="00F02AEC" w:rsidRPr="00865C47" w14:paraId="70F47EA1" w14:textId="77777777" w:rsidTr="007452E8">
        <w:trPr>
          <w:trHeight w:val="963"/>
          <w:jc w:val="center"/>
        </w:trPr>
        <w:tc>
          <w:tcPr>
            <w:tcW w:w="9145" w:type="dxa"/>
            <w:tcMar>
              <w:top w:w="28" w:type="dxa"/>
            </w:tcMar>
          </w:tcPr>
          <w:p w14:paraId="3491EBCD" w14:textId="77777777" w:rsidR="00F02AEC" w:rsidRPr="00865C47" w:rsidRDefault="00F02AEC" w:rsidP="007452E8">
            <w:pPr>
              <w:pStyle w:val="Address"/>
              <w:jc w:val="center"/>
            </w:pPr>
            <w:r w:rsidRPr="00865C47">
              <w:t>PO Box 100 Woden ACT 2606 Australia</w:t>
            </w:r>
          </w:p>
          <w:p w14:paraId="5D0FE0E7" w14:textId="209E00B2" w:rsidR="00F02AEC" w:rsidRPr="00865C47" w:rsidRDefault="00F02AEC">
            <w:pPr>
              <w:pStyle w:val="Address"/>
              <w:jc w:val="center"/>
              <w:rPr>
                <w:sz w:val="22"/>
                <w:szCs w:val="22"/>
              </w:rPr>
            </w:pPr>
            <w:r w:rsidRPr="00865C47">
              <w:t xml:space="preserve">Email: </w:t>
            </w:r>
            <w:hyperlink r:id="rId61" w:history="1">
              <w:r w:rsidRPr="00865C47">
                <w:rPr>
                  <w:rStyle w:val="Hyperlink"/>
                </w:rPr>
                <w:t>info@tga.gov.au</w:t>
              </w:r>
            </w:hyperlink>
            <w:r w:rsidRPr="00865C47">
              <w:t xml:space="preserve">  Phone: 1800 020 </w:t>
            </w:r>
            <w:proofErr w:type="gramStart"/>
            <w:r w:rsidRPr="00865C47">
              <w:t>653  Fax</w:t>
            </w:r>
            <w:proofErr w:type="gramEnd"/>
            <w:r w:rsidRPr="00865C47">
              <w:t>: 02 6203 1605</w:t>
            </w:r>
          </w:p>
          <w:p w14:paraId="4533D80F" w14:textId="688D7D36" w:rsidR="00F02AEC" w:rsidRPr="00865C47" w:rsidRDefault="00547529">
            <w:pPr>
              <w:pStyle w:val="Address"/>
              <w:jc w:val="center"/>
              <w:rPr>
                <w:rStyle w:val="Hyperlink"/>
                <w:b/>
                <w:color w:val="auto"/>
                <w:sz w:val="22"/>
              </w:rPr>
            </w:pPr>
            <w:hyperlink r:id="rId62" w:history="1">
              <w:r w:rsidR="00F02AEC" w:rsidRPr="00865C47">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865C47">
              <w:t>Reference/Publication #</w:t>
            </w:r>
          </w:p>
        </w:tc>
      </w:tr>
    </w:tbl>
    <w:p w14:paraId="788B80FD" w14:textId="77777777" w:rsidR="007452E8" w:rsidRDefault="007452E8"/>
    <w:sectPr w:rsidR="007452E8" w:rsidSect="007452E8">
      <w:headerReference w:type="first" r:id="rId63"/>
      <w:footerReference w:type="first" r:id="rId6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0824E" w14:textId="77777777" w:rsidR="008A2400" w:rsidRDefault="008A2400" w:rsidP="00F02AEC">
      <w:pPr>
        <w:spacing w:after="0" w:line="240" w:lineRule="auto"/>
      </w:pPr>
      <w:r>
        <w:separator/>
      </w:r>
    </w:p>
  </w:endnote>
  <w:endnote w:type="continuationSeparator" w:id="0">
    <w:p w14:paraId="5FE9BFC4" w14:textId="77777777" w:rsidR="008A2400" w:rsidRDefault="008A2400"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946A46" w:rsidRPr="00257138" w14:paraId="162D69C2" w14:textId="77777777" w:rsidTr="007452E8">
      <w:trPr>
        <w:trHeight w:val="423"/>
      </w:trPr>
      <w:tc>
        <w:tcPr>
          <w:tcW w:w="4360" w:type="dxa"/>
          <w:tcBorders>
            <w:top w:val="single" w:sz="4" w:space="0" w:color="auto"/>
          </w:tcBorders>
        </w:tcPr>
        <w:p w14:paraId="32E1B782" w14:textId="77777777" w:rsidR="00946A46" w:rsidRDefault="00946A46" w:rsidP="007452E8">
          <w:pPr>
            <w:pStyle w:val="Footer"/>
          </w:pPr>
        </w:p>
        <w:p w14:paraId="1849C07C" w14:textId="77777777" w:rsidR="00946A46" w:rsidRPr="00257138" w:rsidRDefault="00946A46"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946A46" w:rsidRDefault="00946A46" w:rsidP="007452E8">
              <w:pPr>
                <w:pStyle w:val="Footer"/>
                <w:jc w:val="right"/>
              </w:pPr>
            </w:p>
            <w:p w14:paraId="5EDE6DF6" w14:textId="77777777" w:rsidR="00946A46" w:rsidRPr="00257138" w:rsidRDefault="00946A46"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547529">
                <w:fldChar w:fldCharType="begin"/>
              </w:r>
              <w:r w:rsidR="00547529">
                <w:instrText xml:space="preserve"> NUMPAGES  </w:instrText>
              </w:r>
              <w:r w:rsidR="00547529">
                <w:fldChar w:fldCharType="separate"/>
              </w:r>
              <w:r>
                <w:rPr>
                  <w:noProof/>
                </w:rPr>
                <w:t>2</w:t>
              </w:r>
              <w:r w:rsidR="00547529">
                <w:rPr>
                  <w:noProof/>
                </w:rPr>
                <w:fldChar w:fldCharType="end"/>
              </w:r>
            </w:p>
          </w:sdtContent>
        </w:sdt>
      </w:tc>
    </w:tr>
    <w:tr w:rsidR="00946A46" w:rsidRPr="00257138" w14:paraId="280F09C8" w14:textId="77777777" w:rsidTr="007452E8">
      <w:trPr>
        <w:trHeight w:val="263"/>
      </w:trPr>
      <w:tc>
        <w:tcPr>
          <w:tcW w:w="4360" w:type="dxa"/>
        </w:tcPr>
        <w:p w14:paraId="673F06D3" w14:textId="77777777" w:rsidR="00946A46" w:rsidRPr="00257138" w:rsidRDefault="00946A46" w:rsidP="007452E8">
          <w:pPr>
            <w:pStyle w:val="Footer"/>
          </w:pPr>
          <w:r w:rsidRPr="00257138">
            <w:t xml:space="preserve">V1.0 </w:t>
          </w:r>
          <w:r>
            <w:t>Month</w:t>
          </w:r>
          <w:r w:rsidRPr="00257138">
            <w:t xml:space="preserve"> 201</w:t>
          </w:r>
          <w:r>
            <w:t>2</w:t>
          </w:r>
        </w:p>
      </w:tc>
      <w:tc>
        <w:tcPr>
          <w:tcW w:w="4360" w:type="dxa"/>
        </w:tcPr>
        <w:p w14:paraId="77F5B433" w14:textId="77777777" w:rsidR="00946A46" w:rsidRPr="00257138" w:rsidRDefault="00946A46" w:rsidP="007452E8">
          <w:pPr>
            <w:pStyle w:val="Footer"/>
            <w:jc w:val="right"/>
          </w:pPr>
        </w:p>
      </w:tc>
    </w:tr>
  </w:tbl>
  <w:p w14:paraId="63F6FDDE" w14:textId="77777777" w:rsidR="00946A46" w:rsidRPr="00826007" w:rsidRDefault="00946A46"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946A46" w:rsidRDefault="00946A46"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946A46" w:rsidRPr="004A3084" w14:paraId="6266BC33" w14:textId="77777777" w:rsidTr="007452E8">
      <w:trPr>
        <w:trHeight w:val="423"/>
      </w:trPr>
      <w:tc>
        <w:tcPr>
          <w:tcW w:w="7338" w:type="dxa"/>
          <w:tcBorders>
            <w:top w:val="single" w:sz="4" w:space="0" w:color="auto"/>
          </w:tcBorders>
        </w:tcPr>
        <w:p w14:paraId="3C421323" w14:textId="41610736" w:rsidR="00946A46" w:rsidRPr="004A3084" w:rsidRDefault="00946A46" w:rsidP="007452E8">
          <w:pPr>
            <w:pStyle w:val="Footer"/>
          </w:pPr>
          <w:r w:rsidRPr="00487162">
            <w:t>AusPA</w:t>
          </w:r>
          <w:r>
            <w:t xml:space="preserve">R - </w:t>
          </w:r>
          <w:r w:rsidRPr="008A58D2">
            <w:t>Pemazyre</w:t>
          </w:r>
          <w:r>
            <w:t xml:space="preserve"> -</w:t>
          </w:r>
          <w:r w:rsidRPr="00460036">
            <w:t xml:space="preserve"> </w:t>
          </w:r>
          <w:bookmarkStart w:id="181" w:name="_Hlk136342143"/>
          <w:r w:rsidRPr="008A58D2">
            <w:t>pemigatinib</w:t>
          </w:r>
          <w:r>
            <w:t xml:space="preserve"> </w:t>
          </w:r>
          <w:bookmarkEnd w:id="181"/>
          <w:r>
            <w:t xml:space="preserve">- </w:t>
          </w:r>
          <w:r w:rsidRPr="008A58D2">
            <w:t>Specialised Therapeutics Alim Pty Ltd</w:t>
          </w:r>
          <w:r>
            <w:t xml:space="preserve"> - </w:t>
          </w:r>
          <w:r w:rsidRPr="008A58D2">
            <w:t>PM-2021-03777-1-4</w:t>
          </w:r>
          <w:r>
            <w:br/>
          </w:r>
          <w:r w:rsidR="00632A92">
            <w:t>Final 3</w:t>
          </w:r>
          <w:r>
            <w:t xml:space="preserve"> Ju</w:t>
          </w:r>
          <w:r w:rsidR="00632A92">
            <w:t>ly</w:t>
          </w:r>
          <w:r>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74B581D3" w:rsidR="00946A46" w:rsidRPr="004A3084" w:rsidRDefault="00946A46" w:rsidP="007452E8">
              <w:pPr>
                <w:pStyle w:val="Footer"/>
                <w:jc w:val="right"/>
              </w:pPr>
              <w:r w:rsidRPr="004A3084">
                <w:t xml:space="preserve">Page </w:t>
              </w:r>
              <w:r>
                <w:fldChar w:fldCharType="begin"/>
              </w:r>
              <w:r>
                <w:instrText xml:space="preserve"> PAGE </w:instrText>
              </w:r>
              <w:r>
                <w:fldChar w:fldCharType="separate"/>
              </w:r>
              <w:r w:rsidR="00B21D73">
                <w:rPr>
                  <w:noProof/>
                </w:rPr>
                <w:t>51</w:t>
              </w:r>
              <w:r>
                <w:rPr>
                  <w:noProof/>
                </w:rPr>
                <w:fldChar w:fldCharType="end"/>
              </w:r>
              <w:r w:rsidRPr="004A3084">
                <w:t xml:space="preserve"> of </w:t>
              </w:r>
              <w:r w:rsidR="00547529">
                <w:fldChar w:fldCharType="begin"/>
              </w:r>
              <w:r w:rsidR="00547529">
                <w:instrText xml:space="preserve"> NUMPAGES  </w:instrText>
              </w:r>
              <w:r w:rsidR="00547529">
                <w:fldChar w:fldCharType="separate"/>
              </w:r>
              <w:r w:rsidR="00B21D73">
                <w:rPr>
                  <w:noProof/>
                </w:rPr>
                <w:t>52</w:t>
              </w:r>
              <w:r w:rsidR="00547529">
                <w:rPr>
                  <w:noProof/>
                </w:rPr>
                <w:fldChar w:fldCharType="end"/>
              </w:r>
            </w:p>
          </w:sdtContent>
        </w:sdt>
      </w:tc>
    </w:tr>
  </w:tbl>
  <w:p w14:paraId="1A4EDE60" w14:textId="77777777" w:rsidR="00946A46" w:rsidRPr="00826007" w:rsidRDefault="00946A46"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946A46" w:rsidRPr="008E3C43" w:rsidRDefault="00946A46"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B12C7" w14:textId="77777777" w:rsidR="008A2400" w:rsidRDefault="008A2400" w:rsidP="00F02AEC">
      <w:pPr>
        <w:spacing w:after="0" w:line="240" w:lineRule="auto"/>
      </w:pPr>
      <w:r>
        <w:separator/>
      </w:r>
    </w:p>
  </w:footnote>
  <w:footnote w:type="continuationSeparator" w:id="0">
    <w:p w14:paraId="3011C434" w14:textId="77777777" w:rsidR="008A2400" w:rsidRDefault="008A2400" w:rsidP="00F02AEC">
      <w:pPr>
        <w:spacing w:after="0" w:line="240" w:lineRule="auto"/>
      </w:pPr>
      <w:r>
        <w:continuationSeparator/>
      </w:r>
    </w:p>
  </w:footnote>
  <w:footnote w:id="1">
    <w:p w14:paraId="68402A9B" w14:textId="60286C39" w:rsidR="00946A46" w:rsidRPr="00A93DC6" w:rsidRDefault="00946A46">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1629B62B" w14:textId="3B990D88" w:rsidR="003C484E" w:rsidRPr="004C535F" w:rsidRDefault="003C484E">
      <w:pPr>
        <w:pStyle w:val="FootnoteText"/>
        <w:rPr>
          <w:lang w:val="en-GB"/>
        </w:rPr>
      </w:pPr>
      <w:r>
        <w:rPr>
          <w:rStyle w:val="FootnoteReference"/>
        </w:rPr>
        <w:footnoteRef/>
      </w:r>
      <w:r>
        <w:t xml:space="preserve"> </w:t>
      </w:r>
      <w:r w:rsidRPr="003C484E">
        <w:t>Fritz,</w:t>
      </w:r>
      <w:r w:rsidR="004C535F">
        <w:t xml:space="preserve"> A.</w:t>
      </w:r>
      <w:r w:rsidRPr="003C484E">
        <w:t xml:space="preserve"> et al</w:t>
      </w:r>
      <w:r w:rsidR="004C535F">
        <w:t>.</w:t>
      </w:r>
      <w:r w:rsidRPr="003C484E">
        <w:t xml:space="preserve"> eds. </w:t>
      </w:r>
      <w:r w:rsidRPr="004C535F">
        <w:rPr>
          <w:iCs/>
        </w:rPr>
        <w:t>International Classification of Diseases for Oncology (ICD-O).</w:t>
      </w:r>
      <w:r w:rsidRPr="003C484E">
        <w:t xml:space="preserve"> 3rd ed. World Health Organization; 2000.</w:t>
      </w:r>
    </w:p>
  </w:footnote>
  <w:footnote w:id="3">
    <w:p w14:paraId="1BD39096" w14:textId="01E4403A" w:rsidR="003C484E" w:rsidRPr="004C535F" w:rsidRDefault="003C484E">
      <w:pPr>
        <w:pStyle w:val="FootnoteText"/>
        <w:rPr>
          <w:lang w:val="en-GB"/>
        </w:rPr>
      </w:pPr>
      <w:r>
        <w:rPr>
          <w:rStyle w:val="FootnoteReference"/>
        </w:rPr>
        <w:footnoteRef/>
      </w:r>
      <w:r>
        <w:t xml:space="preserve"> </w:t>
      </w:r>
      <w:r w:rsidRPr="003C484E">
        <w:t>Mollah</w:t>
      </w:r>
      <w:r w:rsidR="004C535F">
        <w:t>,</w:t>
      </w:r>
      <w:r w:rsidRPr="003C484E">
        <w:t xml:space="preserve"> T</w:t>
      </w:r>
      <w:r w:rsidR="004C535F">
        <w:t xml:space="preserve">. et al. </w:t>
      </w:r>
      <w:r w:rsidRPr="003C484E">
        <w:t xml:space="preserve">Epidemiological </w:t>
      </w:r>
      <w:r w:rsidR="004C535F" w:rsidRPr="003C484E">
        <w:t xml:space="preserve">Trends </w:t>
      </w:r>
      <w:r w:rsidR="004C535F">
        <w:t>o</w:t>
      </w:r>
      <w:r w:rsidR="004C535F" w:rsidRPr="003C484E">
        <w:t xml:space="preserve">f Gallbladder Cancer </w:t>
      </w:r>
      <w:r w:rsidR="004C535F">
        <w:t>i</w:t>
      </w:r>
      <w:r w:rsidR="004C535F" w:rsidRPr="003C484E">
        <w:t xml:space="preserve">n </w:t>
      </w:r>
      <w:r w:rsidRPr="003C484E">
        <w:t xml:space="preserve">Australia </w:t>
      </w:r>
      <w:r w:rsidR="004C535F">
        <w:t>b</w:t>
      </w:r>
      <w:r w:rsidR="004C535F" w:rsidRPr="003C484E">
        <w:t xml:space="preserve">etween </w:t>
      </w:r>
      <w:r w:rsidRPr="003C484E">
        <w:t xml:space="preserve">1982 to 2018: </w:t>
      </w:r>
      <w:r w:rsidR="004C535F">
        <w:t>a</w:t>
      </w:r>
      <w:r w:rsidRPr="003C484E">
        <w:t xml:space="preserve"> </w:t>
      </w:r>
      <w:r w:rsidR="004C535F" w:rsidRPr="003C484E">
        <w:t xml:space="preserve">Population-Based Study Utilizing </w:t>
      </w:r>
      <w:r w:rsidR="004C535F">
        <w:t>t</w:t>
      </w:r>
      <w:r w:rsidR="004C535F" w:rsidRPr="003C484E">
        <w:t xml:space="preserve">he </w:t>
      </w:r>
      <w:r w:rsidRPr="003C484E">
        <w:t>Australian Cancer Database</w:t>
      </w:r>
      <w:r w:rsidR="004C535F">
        <w:t>,</w:t>
      </w:r>
      <w:r w:rsidRPr="003C484E">
        <w:t xml:space="preserve"> </w:t>
      </w:r>
      <w:r w:rsidRPr="004C535F">
        <w:rPr>
          <w:i/>
        </w:rPr>
        <w:t>Ann Hepatobiliary Pancreat Surg</w:t>
      </w:r>
      <w:r w:rsidR="004C535F">
        <w:rPr>
          <w:i/>
        </w:rPr>
        <w:t>,</w:t>
      </w:r>
      <w:r w:rsidRPr="003C484E">
        <w:t xml:space="preserve"> 2022;</w:t>
      </w:r>
      <w:r w:rsidR="004C535F">
        <w:t xml:space="preserve"> </w:t>
      </w:r>
      <w:r w:rsidRPr="003C484E">
        <w:t>26(3):</w:t>
      </w:r>
      <w:r w:rsidR="004C535F">
        <w:t xml:space="preserve"> </w:t>
      </w:r>
      <w:r w:rsidRPr="003C484E">
        <w:t>263-269.</w:t>
      </w:r>
    </w:p>
  </w:footnote>
  <w:footnote w:id="4">
    <w:p w14:paraId="1F724162" w14:textId="7A20A944" w:rsidR="003C484E" w:rsidRPr="004C535F" w:rsidRDefault="003C484E">
      <w:pPr>
        <w:pStyle w:val="FootnoteText"/>
        <w:rPr>
          <w:lang w:val="en-GB"/>
        </w:rPr>
      </w:pPr>
      <w:r>
        <w:rPr>
          <w:rStyle w:val="FootnoteReference"/>
        </w:rPr>
        <w:footnoteRef/>
      </w:r>
      <w:r>
        <w:t xml:space="preserve"> </w:t>
      </w:r>
      <w:r w:rsidR="007F4E96" w:rsidRPr="007F4E96">
        <w:t>Khan</w:t>
      </w:r>
      <w:r w:rsidR="004C535F">
        <w:t>,</w:t>
      </w:r>
      <w:r w:rsidR="007F4E96" w:rsidRPr="007F4E96">
        <w:t xml:space="preserve"> S</w:t>
      </w:r>
      <w:r w:rsidR="004C535F">
        <w:t>.</w:t>
      </w:r>
      <w:r w:rsidR="007F4E96" w:rsidRPr="007F4E96">
        <w:t>A</w:t>
      </w:r>
      <w:r w:rsidR="004C535F">
        <w:t xml:space="preserve">. et al. </w:t>
      </w:r>
      <w:r w:rsidR="007F4E96" w:rsidRPr="007F4E96">
        <w:t xml:space="preserve">Cholangiocarcinoma: Epidemiology and </w:t>
      </w:r>
      <w:r w:rsidR="004C535F" w:rsidRPr="007F4E96">
        <w:t>Risk Factors</w:t>
      </w:r>
      <w:r w:rsidR="004C535F">
        <w:t>,</w:t>
      </w:r>
      <w:r w:rsidR="007F4E96" w:rsidRPr="007F4E96">
        <w:t xml:space="preserve"> </w:t>
      </w:r>
      <w:r w:rsidR="007F4E96" w:rsidRPr="004C535F">
        <w:rPr>
          <w:i/>
        </w:rPr>
        <w:t>Liver Int</w:t>
      </w:r>
      <w:r w:rsidR="004C535F">
        <w:rPr>
          <w:i/>
        </w:rPr>
        <w:t>,</w:t>
      </w:r>
      <w:r w:rsidR="007F4E96" w:rsidRPr="007F4E96">
        <w:t xml:space="preserve"> 2019;</w:t>
      </w:r>
      <w:r w:rsidR="004C535F">
        <w:t xml:space="preserve"> </w:t>
      </w:r>
      <w:r w:rsidR="007F4E96" w:rsidRPr="007F4E96">
        <w:t>39 Suppl 1:</w:t>
      </w:r>
      <w:r w:rsidR="004C535F">
        <w:t xml:space="preserve"> </w:t>
      </w:r>
      <w:r w:rsidR="007F4E96" w:rsidRPr="007F4E96">
        <w:t>19-31.</w:t>
      </w:r>
    </w:p>
  </w:footnote>
  <w:footnote w:id="5">
    <w:p w14:paraId="58C674E3" w14:textId="2152D393" w:rsidR="00946A46" w:rsidRDefault="00946A46">
      <w:pPr>
        <w:pStyle w:val="FootnoteText"/>
      </w:pPr>
      <w:r>
        <w:rPr>
          <w:rStyle w:val="FootnoteReference"/>
        </w:rPr>
        <w:footnoteRef/>
      </w:r>
      <w:r>
        <w:t xml:space="preserve"> </w:t>
      </w:r>
      <w:r w:rsidRPr="00865C47">
        <w:t>National Comprehensive Cancer Network</w:t>
      </w:r>
      <w:r>
        <w:t xml:space="preserve"> (NCCN) </w:t>
      </w:r>
      <w:r w:rsidRPr="00783DA9">
        <w:t xml:space="preserve">NCCN Clinical Practice Guidelines in Oncology </w:t>
      </w:r>
      <w:r>
        <w:t>-</w:t>
      </w:r>
      <w:r w:rsidRPr="00783DA9">
        <w:t xml:space="preserve"> Hepatobiliary Cancers</w:t>
      </w:r>
      <w:r>
        <w:t xml:space="preserve">, </w:t>
      </w:r>
      <w:r w:rsidRPr="00783DA9">
        <w:t>Version 5.2021</w:t>
      </w:r>
      <w:r>
        <w:t xml:space="preserve">; </w:t>
      </w:r>
      <w:r w:rsidRPr="00783DA9">
        <w:t>2021.</w:t>
      </w:r>
    </w:p>
  </w:footnote>
  <w:footnote w:id="6">
    <w:p w14:paraId="251336B8" w14:textId="496B007A" w:rsidR="00946A46" w:rsidRDefault="00946A46">
      <w:pPr>
        <w:pStyle w:val="FootnoteText"/>
      </w:pPr>
      <w:r>
        <w:rPr>
          <w:rStyle w:val="FootnoteReference"/>
        </w:rPr>
        <w:footnoteRef/>
      </w:r>
      <w:r>
        <w:t xml:space="preserve"> </w:t>
      </w:r>
      <w:r w:rsidRPr="00783DA9">
        <w:t>Lamarca</w:t>
      </w:r>
      <w:r>
        <w:t>,</w:t>
      </w:r>
      <w:r w:rsidRPr="00783DA9">
        <w:t xml:space="preserve"> A</w:t>
      </w:r>
      <w:r>
        <w:t xml:space="preserve">. et al. </w:t>
      </w:r>
      <w:r w:rsidRPr="00783DA9">
        <w:t xml:space="preserve">Second-Line Chemotherapy </w:t>
      </w:r>
      <w:r>
        <w:t>i</w:t>
      </w:r>
      <w:r w:rsidRPr="00783DA9">
        <w:t>n Advanced Biliary Cancer: a Systematic Review</w:t>
      </w:r>
      <w:r>
        <w:t>,</w:t>
      </w:r>
      <w:r w:rsidRPr="00783DA9">
        <w:t xml:space="preserve"> </w:t>
      </w:r>
      <w:r w:rsidRPr="00865C47">
        <w:rPr>
          <w:i/>
          <w:iCs/>
        </w:rPr>
        <w:t>Ann Oncol</w:t>
      </w:r>
      <w:r>
        <w:rPr>
          <w:i/>
          <w:iCs/>
        </w:rPr>
        <w:t xml:space="preserve">, </w:t>
      </w:r>
      <w:proofErr w:type="gramStart"/>
      <w:r w:rsidRPr="00783DA9">
        <w:t>2014 ;</w:t>
      </w:r>
      <w:proofErr w:type="gramEnd"/>
      <w:r>
        <w:t xml:space="preserve"> </w:t>
      </w:r>
      <w:r w:rsidRPr="00783DA9">
        <w:t>25(12):</w:t>
      </w:r>
      <w:r>
        <w:t xml:space="preserve"> </w:t>
      </w:r>
      <w:r w:rsidRPr="00783DA9">
        <w:t>2328-2338.</w:t>
      </w:r>
    </w:p>
  </w:footnote>
  <w:footnote w:id="7">
    <w:p w14:paraId="6AF8D5C8" w14:textId="4B5445D1" w:rsidR="00946A46" w:rsidRDefault="00946A46" w:rsidP="00783DA9">
      <w:pPr>
        <w:pStyle w:val="FootnoteText"/>
      </w:pPr>
      <w:r>
        <w:rPr>
          <w:rStyle w:val="FootnoteReference"/>
        </w:rPr>
        <w:footnoteRef/>
      </w:r>
      <w:r>
        <w:t xml:space="preserve"> </w:t>
      </w:r>
      <w:r w:rsidRPr="00783DA9">
        <w:t>Truseltiq</w:t>
      </w:r>
      <w:r>
        <w:t xml:space="preserve"> (i</w:t>
      </w:r>
      <w:r w:rsidRPr="00783DA9">
        <w:t>nfigratinib as phosphate</w:t>
      </w:r>
      <w:r>
        <w:t xml:space="preserve">) was first registered on ARTG on </w:t>
      </w:r>
      <w:r w:rsidRPr="00783DA9">
        <w:t>5 November 2021</w:t>
      </w:r>
      <w:r>
        <w:t xml:space="preserve"> (ARTG records: 348760, 348761, 348762, 348763, 348760, 348761, 348762, 348763, 348760, 348761, 348762, 348763, 348760, 348761, 348762 and 348763).</w:t>
      </w:r>
    </w:p>
  </w:footnote>
  <w:footnote w:id="8">
    <w:p w14:paraId="1F470053" w14:textId="0C8D3576" w:rsidR="00946A46" w:rsidRDefault="00946A46" w:rsidP="00865C47">
      <w:pPr>
        <w:pStyle w:val="FootnoteText"/>
      </w:pPr>
      <w:r>
        <w:rPr>
          <w:rStyle w:val="FootnoteReference"/>
        </w:rPr>
        <w:footnoteRef/>
      </w:r>
      <w:r>
        <w:t xml:space="preserve"> </w:t>
      </w:r>
      <w:r w:rsidRPr="00865C47">
        <w:rPr>
          <w:b/>
          <w:bCs/>
        </w:rPr>
        <w:t>Pregnancy category D</w:t>
      </w:r>
      <w:r>
        <w:t>: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9">
    <w:p w14:paraId="5A8B26B8" w14:textId="7CEE118E" w:rsidR="00946A46" w:rsidRDefault="00946A46">
      <w:pPr>
        <w:pStyle w:val="FootnoteText"/>
      </w:pPr>
      <w:r>
        <w:rPr>
          <w:rStyle w:val="FootnoteReference"/>
        </w:rPr>
        <w:footnoteRef/>
      </w:r>
      <w:r>
        <w:t xml:space="preserve"> </w:t>
      </w:r>
      <w:r w:rsidRPr="00A449D2">
        <w:t>The sponsor has later requested to waive the requirement of conducting a mutagenicity study on this impurity. The reasoning is considered acceptable from a nonclinical perspective and therefore, the study is no longer required.</w:t>
      </w:r>
    </w:p>
  </w:footnote>
  <w:footnote w:id="10">
    <w:p w14:paraId="5F583E15" w14:textId="14FF30F3" w:rsidR="00946A46" w:rsidRDefault="00946A46" w:rsidP="00865C47">
      <w:pPr>
        <w:pStyle w:val="FootnoteText"/>
      </w:pPr>
      <w:r>
        <w:rPr>
          <w:rStyle w:val="FootnoteReference"/>
        </w:rPr>
        <w:footnoteRef/>
      </w:r>
      <w:r>
        <w:t xml:space="preserve"> </w:t>
      </w:r>
      <w:r w:rsidRPr="00865C47">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4FE24C90" w14:textId="57528D2F" w:rsidR="00946A46" w:rsidRDefault="00946A46" w:rsidP="00865C47">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11">
    <w:p w14:paraId="1DD99AD3" w14:textId="2C720DB7" w:rsidR="00946A46" w:rsidRDefault="00946A46">
      <w:pPr>
        <w:pStyle w:val="FootnoteText"/>
      </w:pPr>
      <w:r>
        <w:rPr>
          <w:rStyle w:val="FootnoteReference"/>
        </w:rPr>
        <w:footnoteRef/>
      </w:r>
      <w:r>
        <w:t xml:space="preserve"> </w:t>
      </w:r>
      <w:r w:rsidRPr="00565921">
        <w:t>Brookmeyer</w:t>
      </w:r>
      <w:r>
        <w:t>,</w:t>
      </w:r>
      <w:r w:rsidRPr="00565921">
        <w:t xml:space="preserve"> R</w:t>
      </w:r>
      <w:r>
        <w:t>. and</w:t>
      </w:r>
      <w:r w:rsidRPr="00565921">
        <w:t xml:space="preserve"> Crowley</w:t>
      </w:r>
      <w:r>
        <w:t>,</w:t>
      </w:r>
      <w:r w:rsidRPr="00565921">
        <w:t xml:space="preserve"> J. A</w:t>
      </w:r>
      <w:r>
        <w:t>.</w:t>
      </w:r>
      <w:r w:rsidRPr="00565921">
        <w:t xml:space="preserve"> Confidence Interval </w:t>
      </w:r>
      <w:r>
        <w:t>f</w:t>
      </w:r>
      <w:r w:rsidRPr="00565921">
        <w:t>or The Median Survival Time</w:t>
      </w:r>
      <w:r>
        <w:t>,</w:t>
      </w:r>
      <w:r w:rsidRPr="00565921">
        <w:t xml:space="preserve"> </w:t>
      </w:r>
      <w:r w:rsidRPr="00C70544">
        <w:rPr>
          <w:i/>
          <w:iCs/>
        </w:rPr>
        <w:t>Biometrics</w:t>
      </w:r>
      <w:r>
        <w:t>,</w:t>
      </w:r>
      <w:r w:rsidRPr="00565921">
        <w:t xml:space="preserve"> 1982;</w:t>
      </w:r>
      <w:r>
        <w:t xml:space="preserve"> </w:t>
      </w:r>
      <w:r w:rsidRPr="00565921">
        <w:t>38:</w:t>
      </w:r>
      <w:r>
        <w:t xml:space="preserve"> </w:t>
      </w:r>
      <w:r w:rsidRPr="00565921">
        <w:t>29-41.</w:t>
      </w:r>
    </w:p>
  </w:footnote>
  <w:footnote w:id="12">
    <w:p w14:paraId="2973197B" w14:textId="26520E74" w:rsidR="00946A46" w:rsidRDefault="00946A46">
      <w:pPr>
        <w:pStyle w:val="FootnoteText"/>
      </w:pPr>
      <w:r>
        <w:rPr>
          <w:rStyle w:val="FootnoteReference"/>
        </w:rPr>
        <w:footnoteRef/>
      </w:r>
      <w:r>
        <w:t xml:space="preserve"> </w:t>
      </w:r>
      <w:r w:rsidRPr="00865C47">
        <w:t xml:space="preserve">The </w:t>
      </w:r>
      <w:r w:rsidRPr="00865C47">
        <w:rPr>
          <w:b/>
          <w:bCs/>
        </w:rPr>
        <w:t>QT interval</w:t>
      </w:r>
      <w:r w:rsidRPr="00865C47">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946A46" w:rsidRPr="00CB0550" w:rsidRDefault="00946A46"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946A46" w:rsidRPr="002B29B2" w14:paraId="3E15C3BC" w14:textId="77777777" w:rsidTr="007452E8">
      <w:trPr>
        <w:trHeight w:hRule="exact" w:val="8845"/>
      </w:trPr>
      <w:tc>
        <w:tcPr>
          <w:tcW w:w="11964" w:type="dxa"/>
          <w:vAlign w:val="center"/>
        </w:tcPr>
        <w:p w14:paraId="6FDE4BFB" w14:textId="77777777" w:rsidR="00946A46" w:rsidRPr="002B29B2" w:rsidRDefault="00547529" w:rsidP="007452E8">
          <w:pPr>
            <w:ind w:left="-57"/>
            <w:rPr>
              <w:noProof/>
            </w:rPr>
          </w:pPr>
          <w:sdt>
            <w:sdtPr>
              <w:rPr>
                <w:noProof/>
              </w:rPr>
              <w:id w:val="1926993388"/>
              <w:showingPlcHdr/>
              <w:picture/>
            </w:sdtPr>
            <w:sdtEndPr/>
            <w:sdtContent>
              <w:r w:rsidR="00946A46"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946A46" w:rsidRDefault="00946A46"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946A46" w:rsidRDefault="00946A46"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946A46" w:rsidRPr="00FE501F" w:rsidRDefault="00946A46"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6FE1C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5044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5662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3A3E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28B8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493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6C682F5A"/>
    <w:lvl w:ilvl="0">
      <w:start w:val="1"/>
      <w:numFmt w:val="decimal"/>
      <w:lvlText w:val="%1."/>
      <w:lvlJc w:val="left"/>
      <w:pPr>
        <w:tabs>
          <w:tab w:val="num" w:pos="360"/>
        </w:tabs>
        <w:ind w:left="360" w:hanging="360"/>
      </w:pPr>
    </w:lvl>
  </w:abstractNum>
  <w:abstractNum w:abstractNumId="7" w15:restartNumberingAfterBreak="0">
    <w:nsid w:val="021222EC"/>
    <w:multiLevelType w:val="hybridMultilevel"/>
    <w:tmpl w:val="BE600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0F6A73"/>
    <w:multiLevelType w:val="hybridMultilevel"/>
    <w:tmpl w:val="30324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D72EC8"/>
    <w:multiLevelType w:val="hybridMultilevel"/>
    <w:tmpl w:val="E98EAF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9108CD"/>
    <w:multiLevelType w:val="hybridMultilevel"/>
    <w:tmpl w:val="F59ADFA4"/>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15:restartNumberingAfterBreak="0">
    <w:nsid w:val="10A428FA"/>
    <w:multiLevelType w:val="hybridMultilevel"/>
    <w:tmpl w:val="6EDED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4826E3"/>
    <w:multiLevelType w:val="hybridMultilevel"/>
    <w:tmpl w:val="F2F8B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4F6A3B"/>
    <w:multiLevelType w:val="hybridMultilevel"/>
    <w:tmpl w:val="34C4A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F631D1"/>
    <w:multiLevelType w:val="hybridMultilevel"/>
    <w:tmpl w:val="B51C9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8" w15:restartNumberingAfterBreak="0">
    <w:nsid w:val="16E44D66"/>
    <w:multiLevelType w:val="hybridMultilevel"/>
    <w:tmpl w:val="1234D8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511E7C"/>
    <w:multiLevelType w:val="hybridMultilevel"/>
    <w:tmpl w:val="4858D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043991"/>
    <w:multiLevelType w:val="multilevel"/>
    <w:tmpl w:val="DE32DD54"/>
    <w:lvl w:ilvl="0">
      <w:start w:val="1"/>
      <w:numFmt w:val="decimal"/>
      <w:lvlText w:val="%1."/>
      <w:lvlJc w:val="left"/>
      <w:pPr>
        <w:ind w:left="425" w:hanging="425"/>
      </w:pPr>
      <w:rPr>
        <w:rFonts w:ascii="Cambria" w:hAnsi="Cambria"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1" w15:restartNumberingAfterBreak="0">
    <w:nsid w:val="219332AC"/>
    <w:multiLevelType w:val="hybridMultilevel"/>
    <w:tmpl w:val="72DE2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F83511"/>
    <w:multiLevelType w:val="hybridMultilevel"/>
    <w:tmpl w:val="033C7F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4" w15:restartNumberingAfterBreak="0">
    <w:nsid w:val="2C142E0A"/>
    <w:multiLevelType w:val="hybridMultilevel"/>
    <w:tmpl w:val="C7D26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E3B3F18"/>
    <w:multiLevelType w:val="hybridMultilevel"/>
    <w:tmpl w:val="5A0AA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996E75"/>
    <w:multiLevelType w:val="hybridMultilevel"/>
    <w:tmpl w:val="B05C2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E9D752B"/>
    <w:multiLevelType w:val="hybridMultilevel"/>
    <w:tmpl w:val="9D52C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CC165E"/>
    <w:multiLevelType w:val="hybridMultilevel"/>
    <w:tmpl w:val="763A3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6320A5"/>
    <w:multiLevelType w:val="hybridMultilevel"/>
    <w:tmpl w:val="2CD89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1" w15:restartNumberingAfterBreak="0">
    <w:nsid w:val="3C5E2009"/>
    <w:multiLevelType w:val="hybridMultilevel"/>
    <w:tmpl w:val="524A3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4C60B3"/>
    <w:multiLevelType w:val="multilevel"/>
    <w:tmpl w:val="ECF29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EE686E"/>
    <w:multiLevelType w:val="hybridMultilevel"/>
    <w:tmpl w:val="0396C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5E2616"/>
    <w:multiLevelType w:val="hybridMultilevel"/>
    <w:tmpl w:val="A2C61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36" w15:restartNumberingAfterBreak="0">
    <w:nsid w:val="4FBE02A4"/>
    <w:multiLevelType w:val="hybridMultilevel"/>
    <w:tmpl w:val="E7AEA9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4323A42"/>
    <w:multiLevelType w:val="multilevel"/>
    <w:tmpl w:val="60700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9C3C5C"/>
    <w:multiLevelType w:val="multilevel"/>
    <w:tmpl w:val="CDA86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86B4E0A"/>
    <w:multiLevelType w:val="hybridMultilevel"/>
    <w:tmpl w:val="4376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2E1248D"/>
    <w:multiLevelType w:val="hybridMultilevel"/>
    <w:tmpl w:val="1D828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61E2E10"/>
    <w:multiLevelType w:val="hybridMultilevel"/>
    <w:tmpl w:val="982A0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6C41C3"/>
    <w:multiLevelType w:val="hybridMultilevel"/>
    <w:tmpl w:val="1D627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6"/>
  </w:num>
  <w:num w:numId="4">
    <w:abstractNumId w:val="37"/>
  </w:num>
  <w:num w:numId="5">
    <w:abstractNumId w:val="23"/>
  </w:num>
  <w:num w:numId="6">
    <w:abstractNumId w:val="35"/>
  </w:num>
  <w:num w:numId="7">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2"/>
  </w:num>
  <w:num w:numId="9">
    <w:abstractNumId w:val="41"/>
  </w:num>
  <w:num w:numId="10">
    <w:abstractNumId w:val="34"/>
  </w:num>
  <w:num w:numId="11">
    <w:abstractNumId w:val="43"/>
  </w:num>
  <w:num w:numId="12">
    <w:abstractNumId w:val="28"/>
  </w:num>
  <w:num w:numId="13">
    <w:abstractNumId w:val="27"/>
  </w:num>
  <w:num w:numId="14">
    <w:abstractNumId w:val="29"/>
  </w:num>
  <w:num w:numId="15">
    <w:abstractNumId w:val="26"/>
  </w:num>
  <w:num w:numId="16">
    <w:abstractNumId w:val="9"/>
  </w:num>
  <w:num w:numId="17">
    <w:abstractNumId w:val="25"/>
  </w:num>
  <w:num w:numId="18">
    <w:abstractNumId w:val="38"/>
  </w:num>
  <w:num w:numId="19">
    <w:abstractNumId w:val="40"/>
  </w:num>
  <w:num w:numId="20">
    <w:abstractNumId w:val="31"/>
  </w:num>
  <w:num w:numId="21">
    <w:abstractNumId w:val="19"/>
  </w:num>
  <w:num w:numId="22">
    <w:abstractNumId w:val="7"/>
  </w:num>
  <w:num w:numId="23">
    <w:abstractNumId w:val="14"/>
  </w:num>
  <w:num w:numId="24">
    <w:abstractNumId w:val="42"/>
  </w:num>
  <w:num w:numId="25">
    <w:abstractNumId w:val="15"/>
  </w:num>
  <w:num w:numId="26">
    <w:abstractNumId w:val="21"/>
  </w:num>
  <w:num w:numId="27">
    <w:abstractNumId w:val="36"/>
  </w:num>
  <w:num w:numId="28">
    <w:abstractNumId w:val="22"/>
  </w:num>
  <w:num w:numId="29">
    <w:abstractNumId w:val="24"/>
  </w:num>
  <w:num w:numId="30">
    <w:abstractNumId w:val="18"/>
  </w:num>
  <w:num w:numId="31">
    <w:abstractNumId w:val="33"/>
  </w:num>
  <w:num w:numId="32">
    <w:abstractNumId w:val="8"/>
  </w:num>
  <w:num w:numId="33">
    <w:abstractNumId w:val="13"/>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32"/>
  </w:num>
  <w:num w:numId="37">
    <w:abstractNumId w:val="30"/>
  </w:num>
  <w:num w:numId="38">
    <w:abstractNumId w:val="20"/>
  </w:num>
  <w:num w:numId="39">
    <w:abstractNumId w:val="39"/>
  </w:num>
  <w:num w:numId="40">
    <w:abstractNumId w:val="5"/>
  </w:num>
  <w:num w:numId="41">
    <w:abstractNumId w:val="4"/>
  </w:num>
  <w:num w:numId="42">
    <w:abstractNumId w:val="6"/>
  </w:num>
  <w:num w:numId="43">
    <w:abstractNumId w:val="3"/>
  </w:num>
  <w:num w:numId="44">
    <w:abstractNumId w:val="2"/>
  </w:num>
  <w:num w:numId="45">
    <w:abstractNumId w:val="1"/>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2197C"/>
    <w:rsid w:val="00032038"/>
    <w:rsid w:val="00036B87"/>
    <w:rsid w:val="00077844"/>
    <w:rsid w:val="00085B3F"/>
    <w:rsid w:val="00094B81"/>
    <w:rsid w:val="000975AA"/>
    <w:rsid w:val="000C4DEF"/>
    <w:rsid w:val="000D7934"/>
    <w:rsid w:val="000F3DD7"/>
    <w:rsid w:val="00101FB1"/>
    <w:rsid w:val="0011763E"/>
    <w:rsid w:val="0012473C"/>
    <w:rsid w:val="0013132F"/>
    <w:rsid w:val="0013528C"/>
    <w:rsid w:val="00161EC9"/>
    <w:rsid w:val="0016550F"/>
    <w:rsid w:val="00165D28"/>
    <w:rsid w:val="00170035"/>
    <w:rsid w:val="00175CD8"/>
    <w:rsid w:val="00190D13"/>
    <w:rsid w:val="001927B6"/>
    <w:rsid w:val="001C1C2E"/>
    <w:rsid w:val="0020369B"/>
    <w:rsid w:val="00226F39"/>
    <w:rsid w:val="00241B60"/>
    <w:rsid w:val="002435C6"/>
    <w:rsid w:val="00274B9B"/>
    <w:rsid w:val="002A28DE"/>
    <w:rsid w:val="002C5E29"/>
    <w:rsid w:val="002D7127"/>
    <w:rsid w:val="003008D8"/>
    <w:rsid w:val="00303959"/>
    <w:rsid w:val="00312AC3"/>
    <w:rsid w:val="00314430"/>
    <w:rsid w:val="00324B33"/>
    <w:rsid w:val="003312CF"/>
    <w:rsid w:val="00337F56"/>
    <w:rsid w:val="00346EC2"/>
    <w:rsid w:val="00353EA9"/>
    <w:rsid w:val="0035444D"/>
    <w:rsid w:val="00377777"/>
    <w:rsid w:val="00395140"/>
    <w:rsid w:val="003B149C"/>
    <w:rsid w:val="003C484E"/>
    <w:rsid w:val="003D71A1"/>
    <w:rsid w:val="004160FE"/>
    <w:rsid w:val="0041688F"/>
    <w:rsid w:val="0042376F"/>
    <w:rsid w:val="004246B8"/>
    <w:rsid w:val="00433318"/>
    <w:rsid w:val="00462869"/>
    <w:rsid w:val="004700E2"/>
    <w:rsid w:val="00477C4E"/>
    <w:rsid w:val="0048244F"/>
    <w:rsid w:val="00491A55"/>
    <w:rsid w:val="004B01EA"/>
    <w:rsid w:val="004B3081"/>
    <w:rsid w:val="004C535F"/>
    <w:rsid w:val="004E7B48"/>
    <w:rsid w:val="00522FD9"/>
    <w:rsid w:val="00535DFE"/>
    <w:rsid w:val="00547529"/>
    <w:rsid w:val="00562F42"/>
    <w:rsid w:val="00565921"/>
    <w:rsid w:val="0056766D"/>
    <w:rsid w:val="0058575E"/>
    <w:rsid w:val="0058783C"/>
    <w:rsid w:val="005911AE"/>
    <w:rsid w:val="0059313A"/>
    <w:rsid w:val="005B023F"/>
    <w:rsid w:val="005B5AC9"/>
    <w:rsid w:val="005D2089"/>
    <w:rsid w:val="005D22F2"/>
    <w:rsid w:val="005D7514"/>
    <w:rsid w:val="005E1A7B"/>
    <w:rsid w:val="006277A1"/>
    <w:rsid w:val="00632A92"/>
    <w:rsid w:val="006351D9"/>
    <w:rsid w:val="00637130"/>
    <w:rsid w:val="00637F0E"/>
    <w:rsid w:val="006423F2"/>
    <w:rsid w:val="00650664"/>
    <w:rsid w:val="00692CCD"/>
    <w:rsid w:val="006A1F0B"/>
    <w:rsid w:val="006A277A"/>
    <w:rsid w:val="006A369F"/>
    <w:rsid w:val="006D6B44"/>
    <w:rsid w:val="006F4250"/>
    <w:rsid w:val="006F5AFB"/>
    <w:rsid w:val="007072A1"/>
    <w:rsid w:val="00710BC5"/>
    <w:rsid w:val="0072003B"/>
    <w:rsid w:val="00732D26"/>
    <w:rsid w:val="007357B9"/>
    <w:rsid w:val="007452E8"/>
    <w:rsid w:val="00746990"/>
    <w:rsid w:val="00747793"/>
    <w:rsid w:val="00750D70"/>
    <w:rsid w:val="00783DA9"/>
    <w:rsid w:val="00793272"/>
    <w:rsid w:val="00794FBC"/>
    <w:rsid w:val="007B04DE"/>
    <w:rsid w:val="007C57BC"/>
    <w:rsid w:val="007D39FC"/>
    <w:rsid w:val="007D4138"/>
    <w:rsid w:val="007D4330"/>
    <w:rsid w:val="007F0A77"/>
    <w:rsid w:val="007F4E96"/>
    <w:rsid w:val="007F50D3"/>
    <w:rsid w:val="007F555D"/>
    <w:rsid w:val="00805DE0"/>
    <w:rsid w:val="00824828"/>
    <w:rsid w:val="00825311"/>
    <w:rsid w:val="0083096F"/>
    <w:rsid w:val="008329DB"/>
    <w:rsid w:val="008361C5"/>
    <w:rsid w:val="0083628F"/>
    <w:rsid w:val="00837AB9"/>
    <w:rsid w:val="00845FB2"/>
    <w:rsid w:val="00850637"/>
    <w:rsid w:val="00854D98"/>
    <w:rsid w:val="00860B29"/>
    <w:rsid w:val="00865C47"/>
    <w:rsid w:val="008804CF"/>
    <w:rsid w:val="0088084D"/>
    <w:rsid w:val="00892AE8"/>
    <w:rsid w:val="008964B3"/>
    <w:rsid w:val="008A2400"/>
    <w:rsid w:val="008A51BB"/>
    <w:rsid w:val="008A58D2"/>
    <w:rsid w:val="008C49C6"/>
    <w:rsid w:val="008C754C"/>
    <w:rsid w:val="008D6A54"/>
    <w:rsid w:val="008E1F31"/>
    <w:rsid w:val="008E72D2"/>
    <w:rsid w:val="0090605E"/>
    <w:rsid w:val="00906663"/>
    <w:rsid w:val="009108CE"/>
    <w:rsid w:val="00915A9F"/>
    <w:rsid w:val="00930D58"/>
    <w:rsid w:val="009420E3"/>
    <w:rsid w:val="00946A46"/>
    <w:rsid w:val="009550E7"/>
    <w:rsid w:val="00966EF1"/>
    <w:rsid w:val="00981E53"/>
    <w:rsid w:val="0098350E"/>
    <w:rsid w:val="00996FA5"/>
    <w:rsid w:val="009C594D"/>
    <w:rsid w:val="009D08F5"/>
    <w:rsid w:val="009E6F8C"/>
    <w:rsid w:val="00A00DC3"/>
    <w:rsid w:val="00A01C56"/>
    <w:rsid w:val="00A30CE6"/>
    <w:rsid w:val="00A358E7"/>
    <w:rsid w:val="00A449D2"/>
    <w:rsid w:val="00A4591A"/>
    <w:rsid w:val="00A51A2D"/>
    <w:rsid w:val="00A63D9B"/>
    <w:rsid w:val="00A93DC6"/>
    <w:rsid w:val="00A93FFB"/>
    <w:rsid w:val="00AB7CBF"/>
    <w:rsid w:val="00AE1947"/>
    <w:rsid w:val="00B05E64"/>
    <w:rsid w:val="00B21D73"/>
    <w:rsid w:val="00B23626"/>
    <w:rsid w:val="00B46BC0"/>
    <w:rsid w:val="00B55681"/>
    <w:rsid w:val="00B80561"/>
    <w:rsid w:val="00B91643"/>
    <w:rsid w:val="00B961FA"/>
    <w:rsid w:val="00B967FF"/>
    <w:rsid w:val="00BA7F7D"/>
    <w:rsid w:val="00BB0B32"/>
    <w:rsid w:val="00BB1C14"/>
    <w:rsid w:val="00BD07DF"/>
    <w:rsid w:val="00BD14DC"/>
    <w:rsid w:val="00BD5DBD"/>
    <w:rsid w:val="00BF4638"/>
    <w:rsid w:val="00C07551"/>
    <w:rsid w:val="00C22214"/>
    <w:rsid w:val="00C407AB"/>
    <w:rsid w:val="00C46FD6"/>
    <w:rsid w:val="00C570FF"/>
    <w:rsid w:val="00C60706"/>
    <w:rsid w:val="00C6574E"/>
    <w:rsid w:val="00C70544"/>
    <w:rsid w:val="00C816C6"/>
    <w:rsid w:val="00C86933"/>
    <w:rsid w:val="00CB0550"/>
    <w:rsid w:val="00CF662C"/>
    <w:rsid w:val="00D005B1"/>
    <w:rsid w:val="00D01DDB"/>
    <w:rsid w:val="00D078BE"/>
    <w:rsid w:val="00D13F8A"/>
    <w:rsid w:val="00D41F1C"/>
    <w:rsid w:val="00D62877"/>
    <w:rsid w:val="00D63760"/>
    <w:rsid w:val="00D839EA"/>
    <w:rsid w:val="00D918D5"/>
    <w:rsid w:val="00D94C8E"/>
    <w:rsid w:val="00DB192C"/>
    <w:rsid w:val="00DB1CF3"/>
    <w:rsid w:val="00DB37E9"/>
    <w:rsid w:val="00DF4578"/>
    <w:rsid w:val="00DF5BFE"/>
    <w:rsid w:val="00E02528"/>
    <w:rsid w:val="00E47E0C"/>
    <w:rsid w:val="00E51813"/>
    <w:rsid w:val="00E53D3F"/>
    <w:rsid w:val="00E5579B"/>
    <w:rsid w:val="00E60C44"/>
    <w:rsid w:val="00E735FB"/>
    <w:rsid w:val="00E90FB2"/>
    <w:rsid w:val="00EA5B23"/>
    <w:rsid w:val="00ED7DEC"/>
    <w:rsid w:val="00F02AEC"/>
    <w:rsid w:val="00F05332"/>
    <w:rsid w:val="00F157FC"/>
    <w:rsid w:val="00F30AF3"/>
    <w:rsid w:val="00F54019"/>
    <w:rsid w:val="00F657B4"/>
    <w:rsid w:val="00F865A7"/>
    <w:rsid w:val="00FA0754"/>
    <w:rsid w:val="00FA1BC9"/>
    <w:rsid w:val="00FA49C3"/>
    <w:rsid w:val="00FB236E"/>
    <w:rsid w:val="00FC324E"/>
    <w:rsid w:val="00FC6D80"/>
    <w:rsid w:val="00FC6F56"/>
    <w:rsid w:val="00FE087C"/>
    <w:rsid w:val="00FF0E80"/>
    <w:rsid w:val="00FF3265"/>
    <w:rsid w:val="4C28886C"/>
    <w:rsid w:val="5A8C4429"/>
    <w:rsid w:val="71EC44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DE0"/>
    <w:rPr>
      <w:rFonts w:ascii="Cambria" w:hAnsi="Cambria"/>
      <w:sz w:val="22"/>
    </w:rPr>
  </w:style>
  <w:style w:type="paragraph" w:styleId="Heading1">
    <w:name w:val="heading 1"/>
    <w:basedOn w:val="Normal"/>
    <w:next w:val="Normal"/>
    <w:link w:val="Heading1Char"/>
    <w:uiPriority w:val="9"/>
    <w:qFormat/>
    <w:rsid w:val="00F053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A58D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E72D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783DA9"/>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qFormat/>
    <w:rsid w:val="008A58D2"/>
    <w:pPr>
      <w:adjustRightInd w:val="0"/>
      <w:snapToGrid w:val="0"/>
      <w:spacing w:before="180" w:after="180" w:line="240" w:lineRule="atLeast"/>
      <w:ind w:left="720"/>
      <w:contextualSpacing/>
    </w:pPr>
    <w:rPr>
      <w:rFonts w:eastAsia="MS Mincho" w:cs="Times New Roman"/>
      <w:lang w:eastAsia="ja-JP"/>
    </w:rPr>
  </w:style>
  <w:style w:type="paragraph" w:styleId="NormalWeb">
    <w:name w:val="Normal (Web)"/>
    <w:basedOn w:val="Normal"/>
    <w:uiPriority w:val="99"/>
    <w:unhideWhenUsed/>
    <w:rsid w:val="008A58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list">
    <w:name w:val="Bullet list"/>
    <w:basedOn w:val="Normal"/>
    <w:link w:val="BulletlistChar"/>
    <w:qFormat/>
    <w:rsid w:val="008A58D2"/>
    <w:pPr>
      <w:numPr>
        <w:numId w:val="35"/>
      </w:numPr>
      <w:spacing w:after="180" w:line="252" w:lineRule="auto"/>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8A58D2"/>
    <w:rPr>
      <w:rFonts w:ascii="Cambria" w:eastAsia="Times New Roman" w:hAnsi="Cambria" w:cs="Times New Roman"/>
      <w:snapToGrid w:val="0"/>
      <w:kern w:val="2"/>
      <w:sz w:val="23"/>
      <w:szCs w:val="22"/>
    </w:rPr>
  </w:style>
  <w:style w:type="paragraph" w:customStyle="1" w:styleId="Standard">
    <w:name w:val="Standard"/>
    <w:basedOn w:val="Normal"/>
    <w:link w:val="StandardChar"/>
    <w:qFormat/>
    <w:rsid w:val="008A58D2"/>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8A58D2"/>
    <w:rPr>
      <w:rFonts w:ascii="Cambria" w:eastAsia="Times New Roman" w:hAnsi="Cambria" w:cs="Times New Roman"/>
      <w:snapToGrid w:val="0"/>
      <w:kern w:val="16"/>
      <w:sz w:val="23"/>
      <w:szCs w:val="24"/>
    </w:rPr>
  </w:style>
  <w:style w:type="paragraph" w:customStyle="1" w:styleId="Tabletext0">
    <w:name w:val="Table text"/>
    <w:basedOn w:val="Standard"/>
    <w:link w:val="TabletextChar"/>
    <w:qFormat/>
    <w:rsid w:val="008A58D2"/>
    <w:pPr>
      <w:spacing w:before="20" w:after="20"/>
    </w:pPr>
  </w:style>
  <w:style w:type="character" w:customStyle="1" w:styleId="TabletextChar">
    <w:name w:val="Table text Char"/>
    <w:basedOn w:val="StandardChar"/>
    <w:link w:val="Tabletext0"/>
    <w:rsid w:val="008A58D2"/>
    <w:rPr>
      <w:rFonts w:ascii="Cambria" w:eastAsia="Times New Roman" w:hAnsi="Cambria" w:cs="Times New Roman"/>
      <w:snapToGrid w:val="0"/>
      <w:kern w:val="16"/>
      <w:sz w:val="23"/>
      <w:szCs w:val="24"/>
    </w:rPr>
  </w:style>
  <w:style w:type="character" w:customStyle="1" w:styleId="Heading7Char">
    <w:name w:val="Heading 7 Char"/>
    <w:basedOn w:val="DefaultParagraphFont"/>
    <w:link w:val="Heading7"/>
    <w:uiPriority w:val="9"/>
    <w:rsid w:val="008A58D2"/>
    <w:rPr>
      <w:rFonts w:asciiTheme="majorHAnsi" w:eastAsiaTheme="majorEastAsia" w:hAnsiTheme="majorHAnsi" w:cstheme="majorBidi"/>
      <w:i/>
      <w:iCs/>
      <w:color w:val="1F3763" w:themeColor="accent1" w:themeShade="7F"/>
      <w:sz w:val="22"/>
    </w:rPr>
  </w:style>
  <w:style w:type="paragraph" w:customStyle="1" w:styleId="Bullet2">
    <w:name w:val="Bullet 2"/>
    <w:basedOn w:val="Normal"/>
    <w:rsid w:val="007F555D"/>
    <w:pPr>
      <w:numPr>
        <w:numId w:val="37"/>
      </w:numPr>
      <w:spacing w:after="0" w:line="240" w:lineRule="auto"/>
    </w:pPr>
    <w:rPr>
      <w:rFonts w:ascii="Times New Roman" w:eastAsia="Times New Roman" w:hAnsi="Times New Roman" w:cs="Times New Roman"/>
      <w:kern w:val="24"/>
      <w:sz w:val="24"/>
      <w:szCs w:val="24"/>
      <w:lang w:eastAsia="en-AU"/>
    </w:rPr>
  </w:style>
  <w:style w:type="character" w:customStyle="1" w:styleId="Heading8Char">
    <w:name w:val="Heading 8 Char"/>
    <w:basedOn w:val="DefaultParagraphFont"/>
    <w:link w:val="Heading8"/>
    <w:uiPriority w:val="9"/>
    <w:rsid w:val="008E72D2"/>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F0533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63076210">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www.tga.gov.au/products/australian-register-therapeutic-goods-artg/product-information-one"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0" Type="http://schemas.openxmlformats.org/officeDocument/2006/relationships/hyperlink" Target="https://www.tga.gov.au/products/australian-register-therapeutic-goods-artg/product-information-one" TargetMode="External"/><Relationship Id="rId29"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provisional-approval-pathway-prescription-medicines"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www.tga.gov.au/picmi-search-facility"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picmi-search-facilit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yperlink" Target="https://www.tga.gov.au/committee/advisory-committee-medicines-acm" TargetMode="External"/><Relationship Id="rId61" Type="http://schemas.openxmlformats.org/officeDocument/2006/relationships/hyperlink" Target="mailto:info@tga.gov.au" TargetMode="External"/><Relationship Id="rId10" Type="http://schemas.openxmlformats.org/officeDocument/2006/relationships/endnotes" Target="endnotes.xml"/><Relationship Id="rId19" Type="http://schemas.openxmlformats.org/officeDocument/2006/relationships/hyperlink" Target="https://www.tga.gov.au/publication/orphan-drug-designation"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footer" Target="footer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products/australian-register-therapeutic-goods-artg/consumer-medicines-information-cmi"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pprovedby_x002f_on xmlns="98462ecd-b279-436c-b43a-bb013e125fa9" xsi:nil="true"/>
    <lcf76f155ced4ddcb4097134ff3c332f xmlns="98462ecd-b279-436c-b43a-bb013e125fa9">
      <Terms xmlns="http://schemas.microsoft.com/office/infopath/2007/PartnerControls"/>
    </lcf76f155ced4ddcb4097134ff3c332f>
    <_ip_UnifiedCompliancePolicyProperties xmlns="http://schemas.microsoft.com/sharepoint/v3" xsi:nil="true"/>
    <TaxCatchAll xmlns="a347395a-ef1c-43fd-82de-fcdafe8321f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E52A38EF923540BEFA1B6FC451B16A" ma:contentTypeVersion="16" ma:contentTypeDescription="Create a new document." ma:contentTypeScope="" ma:versionID="b3d5e5fb14458064e5d0765b10fc25ff">
  <xsd:schema xmlns:xsd="http://www.w3.org/2001/XMLSchema" xmlns:xs="http://www.w3.org/2001/XMLSchema" xmlns:p="http://schemas.microsoft.com/office/2006/metadata/properties" xmlns:ns1="http://schemas.microsoft.com/sharepoint/v3" xmlns:ns2="98462ecd-b279-436c-b43a-bb013e125fa9" xmlns:ns3="a347395a-ef1c-43fd-82de-fcdafe8321f5" targetNamespace="http://schemas.microsoft.com/office/2006/metadata/properties" ma:root="true" ma:fieldsID="4aaa513cc84b6c3a33e00aa9df413cde" ns1:_="" ns2:_="" ns3:_="">
    <xsd:import namespace="http://schemas.microsoft.com/sharepoint/v3"/>
    <xsd:import namespace="98462ecd-b279-436c-b43a-bb013e125fa9"/>
    <xsd:import namespace="a347395a-ef1c-43fd-82de-fcdafe8321f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Approvedby_x002f_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462ecd-b279-436c-b43a-bb013e125f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f40b0f-2eae-4ca5-9139-7527fc530ceb" ma:termSetId="09814cd3-568e-fe90-9814-8d621ff8fb84" ma:anchorId="fba54fb3-c3e1-fe81-a776-ca4b69148c4d" ma:open="true" ma:isKeyword="false">
      <xsd:complexType>
        <xsd:sequence>
          <xsd:element ref="pc:Terms" minOccurs="0" maxOccurs="1"/>
        </xsd:sequence>
      </xsd:complexType>
    </xsd:element>
    <xsd:element name="Approvedby_x002f_on" ma:index="23" nillable="true" ma:displayName="Approved by/on" ma:format="Dropdown" ma:internalName="Approvedby_x002f_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47395a-ef1c-43fd-82de-fcdafe8321f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17a6c1-93c0-41d7-ba66-fe0b630fe297}" ma:internalName="TaxCatchAll" ma:showField="CatchAllData" ma:web="a347395a-ef1c-43fd-82de-fcdafe8321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7596B6-3EC7-45C7-9B97-CD96E093C882}">
  <ds:schemaRefs>
    <ds:schemaRef ds:uri="http://schemas.microsoft.com/office/2006/metadata/properties"/>
    <ds:schemaRef ds:uri="http://schemas.microsoft.com/office/infopath/2007/PartnerControls"/>
    <ds:schemaRef ds:uri="http://schemas.microsoft.com/sharepoint/v3"/>
    <ds:schemaRef ds:uri="98462ecd-b279-436c-b43a-bb013e125fa9"/>
    <ds:schemaRef ds:uri="a347395a-ef1c-43fd-82de-fcdafe8321f5"/>
  </ds:schemaRefs>
</ds:datastoreItem>
</file>

<file path=customXml/itemProps2.xml><?xml version="1.0" encoding="utf-8"?>
<ds:datastoreItem xmlns:ds="http://schemas.openxmlformats.org/officeDocument/2006/customXml" ds:itemID="{636C9E89-57BA-4304-AE04-88C4D4890538}">
  <ds:schemaRefs>
    <ds:schemaRef ds:uri="http://schemas.openxmlformats.org/officeDocument/2006/bibliography"/>
  </ds:schemaRefs>
</ds:datastoreItem>
</file>

<file path=customXml/itemProps3.xml><?xml version="1.0" encoding="utf-8"?>
<ds:datastoreItem xmlns:ds="http://schemas.openxmlformats.org/officeDocument/2006/customXml" ds:itemID="{9E1C3677-CAF9-463F-9DE9-9566412D8781}">
  <ds:schemaRefs>
    <ds:schemaRef ds:uri="http://schemas.microsoft.com/sharepoint/v3/contenttype/forms"/>
  </ds:schemaRefs>
</ds:datastoreItem>
</file>

<file path=customXml/itemProps4.xml><?xml version="1.0" encoding="utf-8"?>
<ds:datastoreItem xmlns:ds="http://schemas.openxmlformats.org/officeDocument/2006/customXml" ds:itemID="{7E6AE9C3-320B-4821-9C37-7D6F849836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462ecd-b279-436c-b43a-bb013e125fa9"/>
    <ds:schemaRef ds:uri="a347395a-ef1c-43fd-82de-fcdafe832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51</Pages>
  <Words>14852</Words>
  <Characters>84657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99311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Pemazyre</dc:title>
  <dc:subject>Prescription medicine regulation</dc:subject>
  <dc:creator>Therapeutic Goods Administration</dc:creator>
  <cp:keywords/>
  <dc:description/>
  <cp:lastModifiedBy>PITKIN, Brendan</cp:lastModifiedBy>
  <cp:revision>22</cp:revision>
  <dcterms:created xsi:type="dcterms:W3CDTF">2023-06-30T00:58:00Z</dcterms:created>
  <dcterms:modified xsi:type="dcterms:W3CDTF">2023-07-07T01:19:00Z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0x0101002AE52A38EF923540BEFA1B6FC451B16A</vt:lpwstr>
  </property>
  <property fmtid="{D5CDD505-2E9C-101B-9397-08002B2CF9AE}" pid="3" name="MediaServiceImageTags">
    <vt:lpwstr/>
  </property>
</Properties>
</file>