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4840D" w14:textId="77777777" w:rsidR="00E03E9C" w:rsidRPr="00A361DF" w:rsidRDefault="00E03E9C" w:rsidP="00E03E9C">
      <w:pPr>
        <w:spacing w:line="240" w:lineRule="auto"/>
        <w:rPr>
          <w:color w:val="000000"/>
        </w:rPr>
      </w:pPr>
      <w:r w:rsidRPr="00A361DF">
        <w:rPr>
          <w:noProof/>
          <w:lang w:eastAsia="en-GB"/>
        </w:rPr>
        <w:drawing>
          <wp:inline distT="0" distB="0" distL="0" distR="0" wp14:anchorId="23AAB5D9" wp14:editId="670F187A">
            <wp:extent cx="200025" cy="171450"/>
            <wp:effectExtent l="0" t="0" r="9525"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A361DF">
        <w:t xml:space="preserve">This medicinal product is subject to additional monitoring. This will allow quick identification of new safety information. Healthcare professionals are asked to report any suspected adverse events at </w:t>
      </w:r>
      <w:hyperlink r:id="rId12" w:history="1">
        <w:r w:rsidRPr="00A361DF">
          <w:t>www.tga.gov.au/reporting-problems</w:t>
        </w:r>
      </w:hyperlink>
      <w:r w:rsidRPr="00A361DF">
        <w:t>.</w:t>
      </w:r>
      <w:r w:rsidRPr="00A361DF">
        <w:rPr>
          <w:color w:val="000000"/>
        </w:rPr>
        <w:t xml:space="preserve"> </w:t>
      </w:r>
    </w:p>
    <w:p w14:paraId="2F94C010" w14:textId="489A9AB2" w:rsidR="00812D16" w:rsidRDefault="00812D16" w:rsidP="00C65B4E">
      <w:pPr>
        <w:spacing w:line="240" w:lineRule="auto"/>
        <w:rPr>
          <w:szCs w:val="22"/>
        </w:rPr>
      </w:pPr>
    </w:p>
    <w:p w14:paraId="2F94C011" w14:textId="467F4AD7" w:rsidR="00812D16" w:rsidRPr="00672F96" w:rsidRDefault="00E03E9C" w:rsidP="00C65B4E">
      <w:pPr>
        <w:spacing w:line="240" w:lineRule="auto"/>
        <w:rPr>
          <w:szCs w:val="22"/>
        </w:rPr>
      </w:pPr>
      <w:r w:rsidRPr="00A361DF">
        <w:rPr>
          <w:b/>
          <w:noProof/>
          <w:sz w:val="40"/>
        </w:rPr>
        <w:t>AUSTRALIAN PRODUCT INFORMATION</w:t>
      </w:r>
      <w:r>
        <w:rPr>
          <w:b/>
          <w:noProof/>
          <w:sz w:val="40"/>
        </w:rPr>
        <w:t xml:space="preserve"> – TRECONDI (treosulfan) </w:t>
      </w:r>
      <w:r w:rsidR="00090C47">
        <w:rPr>
          <w:b/>
          <w:noProof/>
          <w:sz w:val="40"/>
        </w:rPr>
        <w:t xml:space="preserve"> </w:t>
      </w:r>
    </w:p>
    <w:p w14:paraId="2F94C014" w14:textId="77777777" w:rsidR="00812D16" w:rsidRPr="00672F96" w:rsidRDefault="00812D16" w:rsidP="00C65B4E">
      <w:pPr>
        <w:spacing w:line="240" w:lineRule="auto"/>
        <w:rPr>
          <w:szCs w:val="22"/>
        </w:rPr>
      </w:pPr>
    </w:p>
    <w:p w14:paraId="2F94C027" w14:textId="3D94410B" w:rsidR="00AE0267" w:rsidRPr="00672F96" w:rsidRDefault="00522617" w:rsidP="00672F96">
      <w:pPr>
        <w:pStyle w:val="Heading2"/>
        <w:rPr>
          <w:szCs w:val="22"/>
        </w:rPr>
      </w:pPr>
      <w:r w:rsidRPr="00672F96">
        <w:rPr>
          <w:szCs w:val="22"/>
        </w:rPr>
        <w:t>1.</w:t>
      </w:r>
      <w:r w:rsidRPr="00672F96">
        <w:rPr>
          <w:szCs w:val="22"/>
        </w:rPr>
        <w:tab/>
        <w:t>NAME OF THE MEDICIN</w:t>
      </w:r>
      <w:r w:rsidR="00E03E9C">
        <w:rPr>
          <w:szCs w:val="22"/>
        </w:rPr>
        <w:t>E</w:t>
      </w:r>
    </w:p>
    <w:p w14:paraId="2F94C028" w14:textId="77777777" w:rsidR="00AE0267" w:rsidRPr="00672F96" w:rsidRDefault="00AE0267" w:rsidP="00672F96">
      <w:pPr>
        <w:spacing w:line="240" w:lineRule="auto"/>
        <w:rPr>
          <w:szCs w:val="22"/>
        </w:rPr>
      </w:pPr>
    </w:p>
    <w:p w14:paraId="2F94C029" w14:textId="69D211BB" w:rsidR="00A16820" w:rsidRPr="00672F96" w:rsidRDefault="00E03E9C" w:rsidP="00672F96">
      <w:pPr>
        <w:spacing w:line="240" w:lineRule="auto"/>
        <w:rPr>
          <w:szCs w:val="22"/>
        </w:rPr>
      </w:pPr>
      <w:proofErr w:type="spellStart"/>
      <w:r>
        <w:rPr>
          <w:szCs w:val="22"/>
        </w:rPr>
        <w:t>treosulfan</w:t>
      </w:r>
      <w:proofErr w:type="spellEnd"/>
    </w:p>
    <w:p w14:paraId="2F94C02B" w14:textId="77777777" w:rsidR="00AE0267" w:rsidRPr="00672F96" w:rsidRDefault="00AE0267" w:rsidP="00672F96">
      <w:pPr>
        <w:spacing w:line="240" w:lineRule="auto"/>
        <w:rPr>
          <w:szCs w:val="22"/>
        </w:rPr>
      </w:pPr>
    </w:p>
    <w:p w14:paraId="2F94C02C" w14:textId="77777777" w:rsidR="000830AE" w:rsidRPr="00672F96" w:rsidRDefault="000830AE" w:rsidP="00672F96">
      <w:pPr>
        <w:spacing w:line="240" w:lineRule="auto"/>
        <w:rPr>
          <w:szCs w:val="22"/>
        </w:rPr>
      </w:pPr>
    </w:p>
    <w:p w14:paraId="2F94C02D" w14:textId="77777777" w:rsidR="00AE0267" w:rsidRPr="00672F96" w:rsidRDefault="00522617" w:rsidP="00672F96">
      <w:pPr>
        <w:pStyle w:val="Heading2"/>
        <w:rPr>
          <w:szCs w:val="22"/>
        </w:rPr>
      </w:pPr>
      <w:r w:rsidRPr="00672F96">
        <w:rPr>
          <w:szCs w:val="22"/>
        </w:rPr>
        <w:t>2.</w:t>
      </w:r>
      <w:r w:rsidRPr="00672F96">
        <w:rPr>
          <w:szCs w:val="22"/>
        </w:rPr>
        <w:tab/>
        <w:t>QUALITATIVE AND QUANTITATIVE COMPOSITION</w:t>
      </w:r>
    </w:p>
    <w:p w14:paraId="2F94C02E" w14:textId="77777777" w:rsidR="00AE0267" w:rsidRPr="00672F96" w:rsidRDefault="00AE0267" w:rsidP="00672F96">
      <w:pPr>
        <w:spacing w:line="240" w:lineRule="auto"/>
        <w:rPr>
          <w:szCs w:val="22"/>
        </w:rPr>
      </w:pPr>
    </w:p>
    <w:p w14:paraId="2F94C02F" w14:textId="77777777" w:rsidR="00672F96" w:rsidRPr="0063799C" w:rsidRDefault="00522617" w:rsidP="00672F96">
      <w:pPr>
        <w:spacing w:line="240" w:lineRule="auto"/>
        <w:rPr>
          <w:szCs w:val="22"/>
        </w:rPr>
      </w:pPr>
      <w:proofErr w:type="spellStart"/>
      <w:r w:rsidRPr="0063799C">
        <w:rPr>
          <w:szCs w:val="22"/>
          <w:u w:val="single"/>
        </w:rPr>
        <w:t>Trecondi</w:t>
      </w:r>
      <w:proofErr w:type="spellEnd"/>
      <w:r w:rsidRPr="0063799C">
        <w:rPr>
          <w:szCs w:val="22"/>
          <w:u w:val="single"/>
        </w:rPr>
        <w:t xml:space="preserve"> 1 g</w:t>
      </w:r>
      <w:r w:rsidR="0033799E" w:rsidRPr="0063799C">
        <w:rPr>
          <w:szCs w:val="22"/>
          <w:u w:val="single"/>
        </w:rPr>
        <w:t xml:space="preserve"> powder for solution for infusion</w:t>
      </w:r>
    </w:p>
    <w:p w14:paraId="2F94C030" w14:textId="1BEBAE56" w:rsidR="00AE0267" w:rsidRPr="0063799C" w:rsidRDefault="007C668C" w:rsidP="00672F96">
      <w:pPr>
        <w:spacing w:line="240" w:lineRule="auto"/>
        <w:rPr>
          <w:szCs w:val="22"/>
        </w:rPr>
      </w:pPr>
      <w:r>
        <w:rPr>
          <w:szCs w:val="22"/>
        </w:rPr>
        <w:t>One</w:t>
      </w:r>
      <w:r w:rsidR="004B55F4">
        <w:rPr>
          <w:szCs w:val="22"/>
        </w:rPr>
        <w:t> </w:t>
      </w:r>
      <w:r w:rsidR="00F92EF6" w:rsidRPr="0063799C">
        <w:rPr>
          <w:szCs w:val="22"/>
        </w:rPr>
        <w:t>vial contains</w:t>
      </w:r>
      <w:r w:rsidR="00DE6CCE" w:rsidRPr="0063799C">
        <w:rPr>
          <w:szCs w:val="22"/>
        </w:rPr>
        <w:t xml:space="preserve"> 1</w:t>
      </w:r>
      <w:r w:rsidR="005D68B2" w:rsidRPr="0063799C">
        <w:rPr>
          <w:szCs w:val="22"/>
        </w:rPr>
        <w:t> </w:t>
      </w:r>
      <w:r w:rsidR="00DE6CCE" w:rsidRPr="0063799C">
        <w:rPr>
          <w:szCs w:val="22"/>
        </w:rPr>
        <w:t xml:space="preserve">g </w:t>
      </w:r>
      <w:r w:rsidR="00940FCB" w:rsidRPr="0063799C">
        <w:rPr>
          <w:szCs w:val="22"/>
        </w:rPr>
        <w:t xml:space="preserve">of </w:t>
      </w:r>
      <w:proofErr w:type="spellStart"/>
      <w:r w:rsidR="00DE6CCE" w:rsidRPr="0063799C">
        <w:rPr>
          <w:szCs w:val="22"/>
        </w:rPr>
        <w:t>treosulfan</w:t>
      </w:r>
      <w:proofErr w:type="spellEnd"/>
      <w:r w:rsidR="00DE6CCE" w:rsidRPr="0063799C">
        <w:rPr>
          <w:szCs w:val="22"/>
        </w:rPr>
        <w:t>.</w:t>
      </w:r>
    </w:p>
    <w:p w14:paraId="2F94C031" w14:textId="77777777" w:rsidR="00672F96" w:rsidRPr="0063799C" w:rsidRDefault="00672F96" w:rsidP="00672F96">
      <w:pPr>
        <w:spacing w:line="240" w:lineRule="auto"/>
        <w:rPr>
          <w:szCs w:val="22"/>
        </w:rPr>
      </w:pPr>
    </w:p>
    <w:p w14:paraId="2F94C032" w14:textId="77777777" w:rsidR="00672F96" w:rsidRPr="0063799C" w:rsidRDefault="00522617" w:rsidP="00672F96">
      <w:pPr>
        <w:spacing w:line="240" w:lineRule="auto"/>
        <w:rPr>
          <w:szCs w:val="22"/>
          <w:u w:val="single"/>
        </w:rPr>
      </w:pPr>
      <w:proofErr w:type="spellStart"/>
      <w:r w:rsidRPr="0063799C">
        <w:rPr>
          <w:szCs w:val="22"/>
          <w:u w:val="single"/>
        </w:rPr>
        <w:t>Trecondi</w:t>
      </w:r>
      <w:proofErr w:type="spellEnd"/>
      <w:r w:rsidRPr="0063799C">
        <w:rPr>
          <w:szCs w:val="22"/>
          <w:u w:val="single"/>
        </w:rPr>
        <w:t xml:space="preserve"> 5 g</w:t>
      </w:r>
      <w:r w:rsidR="0033799E" w:rsidRPr="0063799C">
        <w:rPr>
          <w:szCs w:val="22"/>
          <w:u w:val="single"/>
        </w:rPr>
        <w:t xml:space="preserve"> powder for solution for infusion</w:t>
      </w:r>
    </w:p>
    <w:p w14:paraId="2F94C033" w14:textId="3B8BD004" w:rsidR="00940FCB" w:rsidRDefault="007C668C" w:rsidP="00672F96">
      <w:pPr>
        <w:spacing w:line="240" w:lineRule="auto"/>
        <w:rPr>
          <w:szCs w:val="22"/>
        </w:rPr>
      </w:pPr>
      <w:r>
        <w:rPr>
          <w:szCs w:val="22"/>
        </w:rPr>
        <w:t>One</w:t>
      </w:r>
      <w:r w:rsidR="004B55F4">
        <w:rPr>
          <w:szCs w:val="22"/>
        </w:rPr>
        <w:t> </w:t>
      </w:r>
      <w:r w:rsidR="00522617" w:rsidRPr="0063799C">
        <w:rPr>
          <w:szCs w:val="22"/>
        </w:rPr>
        <w:t xml:space="preserve">vial contains 5 g of </w:t>
      </w:r>
      <w:proofErr w:type="spellStart"/>
      <w:r w:rsidR="00522617" w:rsidRPr="0063799C">
        <w:rPr>
          <w:szCs w:val="22"/>
        </w:rPr>
        <w:t>treosulfan</w:t>
      </w:r>
      <w:proofErr w:type="spellEnd"/>
      <w:r w:rsidR="00522617" w:rsidRPr="0063799C">
        <w:rPr>
          <w:szCs w:val="22"/>
        </w:rPr>
        <w:t>.</w:t>
      </w:r>
    </w:p>
    <w:p w14:paraId="2F94C034" w14:textId="77777777" w:rsidR="00672F96" w:rsidRPr="00672F96" w:rsidRDefault="00672F96" w:rsidP="00672F96">
      <w:pPr>
        <w:spacing w:line="240" w:lineRule="auto"/>
        <w:rPr>
          <w:szCs w:val="22"/>
        </w:rPr>
      </w:pPr>
    </w:p>
    <w:p w14:paraId="2F94C035" w14:textId="53EB5DA9" w:rsidR="000B73B7" w:rsidRPr="00672F96" w:rsidRDefault="00522617" w:rsidP="00672F96">
      <w:pPr>
        <w:spacing w:line="240" w:lineRule="auto"/>
        <w:rPr>
          <w:szCs w:val="22"/>
        </w:rPr>
      </w:pPr>
      <w:r w:rsidRPr="00672F96">
        <w:rPr>
          <w:szCs w:val="22"/>
        </w:rPr>
        <w:t>When reconstituted a</w:t>
      </w:r>
      <w:r w:rsidRPr="00F026C3">
        <w:rPr>
          <w:szCs w:val="22"/>
        </w:rPr>
        <w:t>ccording to section </w:t>
      </w:r>
      <w:r w:rsidR="00F026C3" w:rsidRPr="00F026C3">
        <w:rPr>
          <w:szCs w:val="22"/>
        </w:rPr>
        <w:t>4.2</w:t>
      </w:r>
      <w:r w:rsidRPr="00F026C3">
        <w:rPr>
          <w:szCs w:val="22"/>
        </w:rPr>
        <w:t>, 1</w:t>
      </w:r>
      <w:r w:rsidR="0075309C" w:rsidRPr="00F026C3">
        <w:rPr>
          <w:szCs w:val="22"/>
        </w:rPr>
        <w:t> </w:t>
      </w:r>
      <w:r w:rsidRPr="00F026C3">
        <w:rPr>
          <w:szCs w:val="22"/>
        </w:rPr>
        <w:t>m</w:t>
      </w:r>
      <w:r w:rsidR="009B5E8B" w:rsidRPr="00F026C3">
        <w:rPr>
          <w:szCs w:val="22"/>
        </w:rPr>
        <w:t>L</w:t>
      </w:r>
      <w:r w:rsidRPr="00672F96">
        <w:rPr>
          <w:szCs w:val="22"/>
        </w:rPr>
        <w:t xml:space="preserve"> of the solution for </w:t>
      </w:r>
      <w:r w:rsidR="00C17E31" w:rsidRPr="00672F96">
        <w:rPr>
          <w:szCs w:val="22"/>
        </w:rPr>
        <w:t>infusion</w:t>
      </w:r>
      <w:r w:rsidRPr="00672F96">
        <w:rPr>
          <w:szCs w:val="22"/>
        </w:rPr>
        <w:t xml:space="preserve"> contains 50</w:t>
      </w:r>
      <w:r w:rsidR="0075309C" w:rsidRPr="00672F96">
        <w:rPr>
          <w:szCs w:val="22"/>
        </w:rPr>
        <w:t> </w:t>
      </w:r>
      <w:r w:rsidRPr="00672F96">
        <w:rPr>
          <w:szCs w:val="22"/>
        </w:rPr>
        <w:t xml:space="preserve">mg </w:t>
      </w:r>
      <w:proofErr w:type="spellStart"/>
      <w:r w:rsidRPr="00672F96">
        <w:rPr>
          <w:szCs w:val="22"/>
        </w:rPr>
        <w:t>treosulfan</w:t>
      </w:r>
      <w:proofErr w:type="spellEnd"/>
      <w:r w:rsidRPr="00672F96">
        <w:rPr>
          <w:szCs w:val="22"/>
        </w:rPr>
        <w:t>.</w:t>
      </w:r>
    </w:p>
    <w:p w14:paraId="2F94C036" w14:textId="7F19D8B3" w:rsidR="000B73B7" w:rsidRDefault="000B73B7" w:rsidP="00672F96">
      <w:pPr>
        <w:spacing w:line="240" w:lineRule="auto"/>
        <w:rPr>
          <w:szCs w:val="22"/>
        </w:rPr>
      </w:pPr>
    </w:p>
    <w:p w14:paraId="1D9B3ECB" w14:textId="6B5BE348" w:rsidR="00E03E9C" w:rsidRPr="00672F96" w:rsidRDefault="00E03E9C" w:rsidP="00672F96">
      <w:pPr>
        <w:spacing w:line="240" w:lineRule="auto"/>
        <w:rPr>
          <w:szCs w:val="22"/>
        </w:rPr>
      </w:pPr>
      <w:r>
        <w:t>For the full list of excipients, see section 6.1 List of excipients.</w:t>
      </w:r>
    </w:p>
    <w:p w14:paraId="2F94C037" w14:textId="39C8F54E" w:rsidR="000830AE" w:rsidRDefault="000830AE" w:rsidP="00672F96">
      <w:pPr>
        <w:spacing w:line="240" w:lineRule="auto"/>
        <w:rPr>
          <w:szCs w:val="22"/>
        </w:rPr>
      </w:pPr>
    </w:p>
    <w:p w14:paraId="6D7790CB" w14:textId="77777777" w:rsidR="008B22BA" w:rsidRPr="00672F96" w:rsidRDefault="008B22BA" w:rsidP="00672F96">
      <w:pPr>
        <w:spacing w:line="240" w:lineRule="auto"/>
        <w:rPr>
          <w:szCs w:val="22"/>
        </w:rPr>
      </w:pPr>
    </w:p>
    <w:p w14:paraId="2F94C038" w14:textId="77777777" w:rsidR="00AE0267" w:rsidRPr="00672F96" w:rsidRDefault="00522617" w:rsidP="00672F96">
      <w:pPr>
        <w:pStyle w:val="Heading2"/>
        <w:rPr>
          <w:szCs w:val="22"/>
        </w:rPr>
      </w:pPr>
      <w:r w:rsidRPr="00672F96">
        <w:rPr>
          <w:szCs w:val="22"/>
        </w:rPr>
        <w:t>3.</w:t>
      </w:r>
      <w:r w:rsidRPr="00672F96">
        <w:rPr>
          <w:szCs w:val="22"/>
        </w:rPr>
        <w:tab/>
        <w:t xml:space="preserve">PHARMACEUTICAL </w:t>
      </w:r>
      <w:r w:rsidR="000830AE" w:rsidRPr="00672F96">
        <w:rPr>
          <w:szCs w:val="22"/>
        </w:rPr>
        <w:t>FORM</w:t>
      </w:r>
    </w:p>
    <w:p w14:paraId="2F94C039" w14:textId="77777777" w:rsidR="00AE0267" w:rsidRPr="00672F96" w:rsidRDefault="00AE0267" w:rsidP="00672F96">
      <w:pPr>
        <w:spacing w:line="240" w:lineRule="auto"/>
        <w:rPr>
          <w:szCs w:val="22"/>
        </w:rPr>
      </w:pPr>
    </w:p>
    <w:p w14:paraId="2F94C03A" w14:textId="77777777" w:rsidR="00AE0267" w:rsidRPr="00672F96" w:rsidRDefault="00522617" w:rsidP="00672F96">
      <w:pPr>
        <w:spacing w:line="240" w:lineRule="auto"/>
        <w:rPr>
          <w:szCs w:val="22"/>
        </w:rPr>
      </w:pPr>
      <w:r w:rsidRPr="00672F96">
        <w:rPr>
          <w:szCs w:val="22"/>
        </w:rPr>
        <w:t xml:space="preserve">Powder for solution for </w:t>
      </w:r>
      <w:r w:rsidR="00C17E31" w:rsidRPr="00672F96">
        <w:rPr>
          <w:szCs w:val="22"/>
        </w:rPr>
        <w:t>infusion</w:t>
      </w:r>
      <w:r w:rsidR="00586C84" w:rsidRPr="00672F96">
        <w:rPr>
          <w:szCs w:val="22"/>
        </w:rPr>
        <w:t>.</w:t>
      </w:r>
    </w:p>
    <w:p w14:paraId="2F94C03B" w14:textId="77777777" w:rsidR="00D60129" w:rsidRPr="00672F96" w:rsidRDefault="00D60129" w:rsidP="00672F96">
      <w:pPr>
        <w:spacing w:line="240" w:lineRule="auto"/>
        <w:rPr>
          <w:szCs w:val="22"/>
        </w:rPr>
      </w:pPr>
    </w:p>
    <w:p w14:paraId="2F94C03C" w14:textId="77777777" w:rsidR="00AE0267" w:rsidRPr="00672F96" w:rsidRDefault="00522617" w:rsidP="00672F96">
      <w:pPr>
        <w:spacing w:line="240" w:lineRule="auto"/>
        <w:rPr>
          <w:szCs w:val="22"/>
        </w:rPr>
      </w:pPr>
      <w:r w:rsidRPr="00672F96">
        <w:rPr>
          <w:szCs w:val="22"/>
        </w:rPr>
        <w:t>W</w:t>
      </w:r>
      <w:r w:rsidR="00F92EF6" w:rsidRPr="00672F96">
        <w:rPr>
          <w:szCs w:val="22"/>
        </w:rPr>
        <w:t>hite crystalline powder</w:t>
      </w:r>
      <w:r w:rsidR="00586C84" w:rsidRPr="00672F96">
        <w:rPr>
          <w:szCs w:val="22"/>
        </w:rPr>
        <w:t>.</w:t>
      </w:r>
    </w:p>
    <w:p w14:paraId="2F94C03D" w14:textId="77777777" w:rsidR="000830AE" w:rsidRPr="00672F96" w:rsidRDefault="000830AE" w:rsidP="00672F96">
      <w:pPr>
        <w:spacing w:line="240" w:lineRule="auto"/>
        <w:rPr>
          <w:szCs w:val="22"/>
        </w:rPr>
      </w:pPr>
    </w:p>
    <w:p w14:paraId="2F94C03E" w14:textId="77777777" w:rsidR="009A298D" w:rsidRPr="00672F96" w:rsidRDefault="009A298D" w:rsidP="00672F96">
      <w:pPr>
        <w:spacing w:line="240" w:lineRule="auto"/>
        <w:rPr>
          <w:szCs w:val="22"/>
        </w:rPr>
      </w:pPr>
    </w:p>
    <w:p w14:paraId="2F94C03F" w14:textId="77777777" w:rsidR="00AE0267" w:rsidRPr="00672F96" w:rsidRDefault="00522617" w:rsidP="00672F96">
      <w:pPr>
        <w:pStyle w:val="Heading2"/>
        <w:rPr>
          <w:szCs w:val="22"/>
        </w:rPr>
      </w:pPr>
      <w:r w:rsidRPr="00672F96">
        <w:rPr>
          <w:szCs w:val="22"/>
        </w:rPr>
        <w:t>4.</w:t>
      </w:r>
      <w:r w:rsidRPr="00672F96">
        <w:rPr>
          <w:szCs w:val="22"/>
        </w:rPr>
        <w:tab/>
      </w:r>
      <w:r w:rsidR="000830AE" w:rsidRPr="00672F96">
        <w:rPr>
          <w:szCs w:val="22"/>
        </w:rPr>
        <w:t>CLINICAL PARTICULARS</w:t>
      </w:r>
    </w:p>
    <w:p w14:paraId="2F94C040" w14:textId="77777777" w:rsidR="00AE0267" w:rsidRPr="00672F96" w:rsidRDefault="00AE0267" w:rsidP="00672F96">
      <w:pPr>
        <w:spacing w:line="240" w:lineRule="auto"/>
        <w:rPr>
          <w:szCs w:val="22"/>
        </w:rPr>
      </w:pPr>
    </w:p>
    <w:p w14:paraId="2F94C041" w14:textId="77777777" w:rsidR="00AE0267" w:rsidRPr="00672F96" w:rsidRDefault="00522617" w:rsidP="00672F96">
      <w:pPr>
        <w:pStyle w:val="Heading3"/>
        <w:rPr>
          <w:szCs w:val="22"/>
        </w:rPr>
      </w:pPr>
      <w:r w:rsidRPr="00672F96">
        <w:rPr>
          <w:szCs w:val="22"/>
        </w:rPr>
        <w:t>4.1</w:t>
      </w:r>
      <w:r w:rsidRPr="00672F96">
        <w:rPr>
          <w:szCs w:val="22"/>
        </w:rPr>
        <w:tab/>
        <w:t>Therapeutic indications</w:t>
      </w:r>
    </w:p>
    <w:p w14:paraId="2F94C042" w14:textId="77777777" w:rsidR="00AE0267" w:rsidRPr="00672F96" w:rsidRDefault="00AE0267" w:rsidP="00672F96">
      <w:pPr>
        <w:spacing w:line="240" w:lineRule="auto"/>
        <w:rPr>
          <w:szCs w:val="22"/>
        </w:rPr>
      </w:pPr>
    </w:p>
    <w:p w14:paraId="413E90AB" w14:textId="77777777" w:rsidR="00BC7463" w:rsidRPr="00BC7463" w:rsidRDefault="00BC7463" w:rsidP="00BC7463">
      <w:pPr>
        <w:tabs>
          <w:tab w:val="clear" w:pos="567"/>
        </w:tabs>
        <w:autoSpaceDE w:val="0"/>
        <w:autoSpaceDN w:val="0"/>
        <w:adjustRightInd w:val="0"/>
        <w:spacing w:line="240" w:lineRule="auto"/>
        <w:rPr>
          <w:rFonts w:eastAsia="SimSun"/>
          <w:b/>
          <w:bCs/>
          <w:szCs w:val="22"/>
          <w:lang w:val="en-AU" w:eastAsia="de-DE"/>
        </w:rPr>
      </w:pPr>
      <w:r w:rsidRPr="00BC7463">
        <w:rPr>
          <w:rFonts w:eastAsia="SimSun"/>
          <w:b/>
          <w:bCs/>
          <w:szCs w:val="22"/>
          <w:lang w:val="en-AU" w:eastAsia="de-DE"/>
        </w:rPr>
        <w:t>Adults with acute myeloid leukaemia (AML) or myelodysplastic syndrome (MDS)</w:t>
      </w:r>
    </w:p>
    <w:p w14:paraId="5B607853" w14:textId="50225454" w:rsidR="00BC7463" w:rsidRPr="00BC7463" w:rsidRDefault="00BC7463" w:rsidP="00BC7463">
      <w:pPr>
        <w:tabs>
          <w:tab w:val="clear" w:pos="567"/>
        </w:tabs>
        <w:autoSpaceDE w:val="0"/>
        <w:autoSpaceDN w:val="0"/>
        <w:adjustRightInd w:val="0"/>
        <w:spacing w:line="240" w:lineRule="auto"/>
        <w:rPr>
          <w:rFonts w:eastAsia="SimSun"/>
          <w:szCs w:val="22"/>
          <w:lang w:val="en-AU" w:eastAsia="de-DE"/>
        </w:rPr>
      </w:pPr>
      <w:proofErr w:type="spellStart"/>
      <w:r w:rsidRPr="00BC7463">
        <w:rPr>
          <w:rFonts w:eastAsia="SimSun"/>
          <w:szCs w:val="22"/>
          <w:lang w:val="en-AU" w:eastAsia="de-DE"/>
        </w:rPr>
        <w:t>Trecondi</w:t>
      </w:r>
      <w:proofErr w:type="spellEnd"/>
      <w:r w:rsidRPr="00BC7463">
        <w:rPr>
          <w:rFonts w:eastAsia="SimSun"/>
          <w:szCs w:val="22"/>
          <w:lang w:val="en-AU" w:eastAsia="de-DE"/>
        </w:rPr>
        <w:t xml:space="preserve"> (</w:t>
      </w:r>
      <w:proofErr w:type="spellStart"/>
      <w:r w:rsidRPr="00BC7463">
        <w:rPr>
          <w:rFonts w:eastAsia="SimSun"/>
          <w:szCs w:val="22"/>
          <w:lang w:val="en-AU" w:eastAsia="de-DE"/>
        </w:rPr>
        <w:t>treosulfan</w:t>
      </w:r>
      <w:proofErr w:type="spellEnd"/>
      <w:r w:rsidRPr="00BC7463">
        <w:rPr>
          <w:rFonts w:eastAsia="SimSun"/>
          <w:szCs w:val="22"/>
          <w:lang w:val="en-AU" w:eastAsia="de-DE"/>
        </w:rPr>
        <w:t>) is indicated in combination with fludarabine as part of conditioning treatment prior to allogeneic hematopoietic stem cell transplantation (</w:t>
      </w:r>
      <w:proofErr w:type="spellStart"/>
      <w:r w:rsidRPr="00BC7463">
        <w:rPr>
          <w:rFonts w:eastAsia="SimSun"/>
          <w:szCs w:val="22"/>
          <w:lang w:val="en-AU" w:eastAsia="de-DE"/>
        </w:rPr>
        <w:t>alloHSCT</w:t>
      </w:r>
      <w:proofErr w:type="spellEnd"/>
      <w:r w:rsidRPr="00BC7463">
        <w:rPr>
          <w:rFonts w:eastAsia="SimSun"/>
          <w:szCs w:val="22"/>
          <w:lang w:val="en-AU" w:eastAsia="de-DE"/>
        </w:rPr>
        <w:t>) in adult patients with AML or MDS at increased risk for standard conditioning therapies.</w:t>
      </w:r>
    </w:p>
    <w:p w14:paraId="3FCAAED6" w14:textId="77777777" w:rsidR="00BC7463" w:rsidRPr="00BC7463" w:rsidRDefault="00BC7463" w:rsidP="00BC7463">
      <w:pPr>
        <w:tabs>
          <w:tab w:val="clear" w:pos="567"/>
        </w:tabs>
        <w:autoSpaceDE w:val="0"/>
        <w:autoSpaceDN w:val="0"/>
        <w:adjustRightInd w:val="0"/>
        <w:spacing w:line="240" w:lineRule="auto"/>
        <w:rPr>
          <w:rFonts w:eastAsia="SimSun"/>
          <w:b/>
          <w:bCs/>
          <w:szCs w:val="22"/>
          <w:lang w:val="en-AU" w:eastAsia="de-DE"/>
        </w:rPr>
      </w:pPr>
    </w:p>
    <w:p w14:paraId="1EF4F015" w14:textId="67BE3E1D" w:rsidR="00BC7463" w:rsidRPr="00BC7463" w:rsidRDefault="00BC7463" w:rsidP="00BC7463">
      <w:pPr>
        <w:tabs>
          <w:tab w:val="clear" w:pos="567"/>
        </w:tabs>
        <w:autoSpaceDE w:val="0"/>
        <w:autoSpaceDN w:val="0"/>
        <w:adjustRightInd w:val="0"/>
        <w:spacing w:line="240" w:lineRule="auto"/>
        <w:rPr>
          <w:rFonts w:eastAsia="SimSun"/>
          <w:b/>
          <w:bCs/>
          <w:szCs w:val="22"/>
          <w:lang w:val="en-AU" w:eastAsia="de-DE"/>
        </w:rPr>
      </w:pPr>
      <w:r w:rsidRPr="00BC7463">
        <w:rPr>
          <w:rFonts w:eastAsia="SimSun"/>
          <w:b/>
          <w:bCs/>
          <w:szCs w:val="22"/>
          <w:lang w:val="en-AU" w:eastAsia="de-DE"/>
        </w:rPr>
        <w:t xml:space="preserve">Paediatric patients aged 1 month and older with </w:t>
      </w:r>
      <w:r w:rsidR="001A675E">
        <w:rPr>
          <w:rFonts w:eastAsia="SimSun"/>
          <w:b/>
          <w:bCs/>
          <w:szCs w:val="22"/>
          <w:lang w:val="en-AU" w:eastAsia="de-DE"/>
        </w:rPr>
        <w:t>malignant and non-malignant</w:t>
      </w:r>
      <w:r w:rsidR="001A675E" w:rsidRPr="001A675E">
        <w:rPr>
          <w:rFonts w:eastAsia="SimSun"/>
          <w:b/>
          <w:bCs/>
          <w:szCs w:val="22"/>
          <w:lang w:val="en-AU" w:eastAsia="de-DE"/>
        </w:rPr>
        <w:t xml:space="preserve"> </w:t>
      </w:r>
      <w:r w:rsidRPr="00BC7463">
        <w:rPr>
          <w:rFonts w:eastAsia="SimSun"/>
          <w:b/>
          <w:bCs/>
          <w:szCs w:val="22"/>
          <w:lang w:val="en-AU" w:eastAsia="de-DE"/>
        </w:rPr>
        <w:t xml:space="preserve">haematological </w:t>
      </w:r>
      <w:r w:rsidR="001A675E" w:rsidRPr="001A675E">
        <w:rPr>
          <w:rFonts w:eastAsia="SimSun"/>
          <w:b/>
          <w:bCs/>
          <w:szCs w:val="22"/>
          <w:lang w:val="en-AU" w:eastAsia="de-DE"/>
        </w:rPr>
        <w:t>diseases</w:t>
      </w:r>
    </w:p>
    <w:p w14:paraId="3364400B" w14:textId="6D74C0C5" w:rsidR="00BC7463" w:rsidRPr="00BC7463" w:rsidRDefault="00BC7463" w:rsidP="00BC7463">
      <w:pPr>
        <w:tabs>
          <w:tab w:val="clear" w:pos="567"/>
        </w:tabs>
        <w:autoSpaceDE w:val="0"/>
        <w:autoSpaceDN w:val="0"/>
        <w:adjustRightInd w:val="0"/>
        <w:spacing w:line="240" w:lineRule="auto"/>
        <w:rPr>
          <w:rFonts w:eastAsia="SimSun"/>
          <w:szCs w:val="22"/>
          <w:lang w:val="en-AU" w:eastAsia="de-DE"/>
        </w:rPr>
      </w:pPr>
      <w:proofErr w:type="spellStart"/>
      <w:r w:rsidRPr="00BC7463">
        <w:rPr>
          <w:rFonts w:eastAsia="SimSun"/>
          <w:szCs w:val="22"/>
          <w:lang w:val="en-AU" w:eastAsia="de-DE"/>
        </w:rPr>
        <w:t>Trecondi</w:t>
      </w:r>
      <w:proofErr w:type="spellEnd"/>
      <w:r w:rsidRPr="00BC7463">
        <w:rPr>
          <w:rFonts w:eastAsia="SimSun"/>
          <w:szCs w:val="22"/>
          <w:lang w:val="en-AU" w:eastAsia="de-DE"/>
        </w:rPr>
        <w:t xml:space="preserve"> (</w:t>
      </w:r>
      <w:proofErr w:type="spellStart"/>
      <w:r w:rsidRPr="00BC7463">
        <w:rPr>
          <w:rFonts w:eastAsia="SimSun"/>
          <w:szCs w:val="22"/>
          <w:lang w:val="en-AU" w:eastAsia="de-DE"/>
        </w:rPr>
        <w:t>treosulfan</w:t>
      </w:r>
      <w:proofErr w:type="spellEnd"/>
      <w:r w:rsidRPr="00BC7463">
        <w:rPr>
          <w:rFonts w:eastAsia="SimSun"/>
          <w:szCs w:val="22"/>
          <w:lang w:val="en-AU" w:eastAsia="de-DE"/>
        </w:rPr>
        <w:t>) is indicated in combination with fludarabine, with or without thiotepa, as part of conditioning treatment prior to allogeneic haematopoietic stem cell transplantation (</w:t>
      </w:r>
      <w:proofErr w:type="spellStart"/>
      <w:r w:rsidRPr="00BC7463">
        <w:rPr>
          <w:rFonts w:eastAsia="SimSun"/>
          <w:szCs w:val="22"/>
          <w:lang w:val="en-AU" w:eastAsia="de-DE"/>
        </w:rPr>
        <w:t>alloHSCT</w:t>
      </w:r>
      <w:proofErr w:type="spellEnd"/>
      <w:r w:rsidRPr="00BC7463">
        <w:rPr>
          <w:rFonts w:eastAsia="SimSun"/>
          <w:szCs w:val="22"/>
          <w:lang w:val="en-AU" w:eastAsia="de-DE"/>
        </w:rPr>
        <w:t>) in paediatric patients older than one month with malignant</w:t>
      </w:r>
      <w:r w:rsidR="004203DD">
        <w:rPr>
          <w:rFonts w:eastAsia="SimSun"/>
          <w:szCs w:val="22"/>
          <w:lang w:val="en-AU" w:eastAsia="de-DE"/>
        </w:rPr>
        <w:t xml:space="preserve"> and non-malignant</w:t>
      </w:r>
      <w:r w:rsidR="00F028CE">
        <w:rPr>
          <w:rFonts w:eastAsia="SimSun"/>
          <w:szCs w:val="22"/>
          <w:lang w:val="en-AU" w:eastAsia="de-DE"/>
        </w:rPr>
        <w:t xml:space="preserve"> diseases</w:t>
      </w:r>
      <w:r w:rsidRPr="00BC7463">
        <w:rPr>
          <w:rFonts w:eastAsia="SimSun"/>
          <w:szCs w:val="22"/>
          <w:lang w:val="en-AU" w:eastAsia="de-DE"/>
        </w:rPr>
        <w:t>.</w:t>
      </w:r>
    </w:p>
    <w:p w14:paraId="2F94C044" w14:textId="77777777" w:rsidR="00453AAF" w:rsidRPr="00672F96" w:rsidRDefault="00453AAF" w:rsidP="00672F96">
      <w:pPr>
        <w:spacing w:line="240" w:lineRule="auto"/>
        <w:rPr>
          <w:szCs w:val="22"/>
        </w:rPr>
      </w:pPr>
    </w:p>
    <w:p w14:paraId="2F94C045" w14:textId="67A7CC95" w:rsidR="00AE0267" w:rsidRPr="00672F96" w:rsidRDefault="00522617" w:rsidP="00672F96">
      <w:pPr>
        <w:pStyle w:val="Heading3"/>
        <w:rPr>
          <w:szCs w:val="22"/>
        </w:rPr>
      </w:pPr>
      <w:r w:rsidRPr="00672F96">
        <w:rPr>
          <w:szCs w:val="22"/>
        </w:rPr>
        <w:t>4.2</w:t>
      </w:r>
      <w:r w:rsidRPr="00672F96">
        <w:rPr>
          <w:szCs w:val="22"/>
        </w:rPr>
        <w:tab/>
      </w:r>
      <w:r w:rsidR="00E03E9C">
        <w:rPr>
          <w:szCs w:val="22"/>
        </w:rPr>
        <w:t>Dose</w:t>
      </w:r>
      <w:r w:rsidR="00E03E9C" w:rsidRPr="00672F96">
        <w:rPr>
          <w:szCs w:val="22"/>
        </w:rPr>
        <w:t xml:space="preserve"> </w:t>
      </w:r>
      <w:r w:rsidRPr="00672F96">
        <w:rPr>
          <w:szCs w:val="22"/>
        </w:rPr>
        <w:t>and method of administration</w:t>
      </w:r>
    </w:p>
    <w:p w14:paraId="2F94C046" w14:textId="77777777" w:rsidR="00AE0267" w:rsidRPr="00672F96" w:rsidRDefault="00AE0267" w:rsidP="00672F96">
      <w:pPr>
        <w:spacing w:line="240" w:lineRule="auto"/>
        <w:rPr>
          <w:szCs w:val="22"/>
        </w:rPr>
      </w:pPr>
    </w:p>
    <w:p w14:paraId="2F94C047" w14:textId="77777777" w:rsidR="00E574AF" w:rsidRPr="00672F96" w:rsidRDefault="00522617" w:rsidP="00672F96">
      <w:pPr>
        <w:spacing w:line="240" w:lineRule="auto"/>
        <w:rPr>
          <w:szCs w:val="22"/>
        </w:rPr>
      </w:pPr>
      <w:r w:rsidRPr="00672F96">
        <w:rPr>
          <w:szCs w:val="22"/>
        </w:rPr>
        <w:t xml:space="preserve">Administration of </w:t>
      </w:r>
      <w:proofErr w:type="spellStart"/>
      <w:r w:rsidRPr="00672F96">
        <w:rPr>
          <w:szCs w:val="22"/>
        </w:rPr>
        <w:t>treosulfan</w:t>
      </w:r>
      <w:proofErr w:type="spellEnd"/>
      <w:r w:rsidRPr="00672F96">
        <w:rPr>
          <w:szCs w:val="22"/>
        </w:rPr>
        <w:t xml:space="preserve"> should be supervised by a physician experienced in conditioning treatment followed by </w:t>
      </w:r>
      <w:proofErr w:type="spellStart"/>
      <w:r w:rsidRPr="00672F96">
        <w:rPr>
          <w:szCs w:val="22"/>
        </w:rPr>
        <w:t>alloHSCT</w:t>
      </w:r>
      <w:proofErr w:type="spellEnd"/>
      <w:r w:rsidRPr="00672F96">
        <w:rPr>
          <w:szCs w:val="22"/>
        </w:rPr>
        <w:t>.</w:t>
      </w:r>
    </w:p>
    <w:p w14:paraId="2F94C048" w14:textId="77777777" w:rsidR="00E574AF" w:rsidRPr="00672F96" w:rsidRDefault="00E574AF" w:rsidP="00672F96">
      <w:pPr>
        <w:spacing w:line="240" w:lineRule="auto"/>
        <w:rPr>
          <w:szCs w:val="22"/>
        </w:rPr>
      </w:pPr>
    </w:p>
    <w:p w14:paraId="23E3B2DF" w14:textId="77777777" w:rsidR="00D1016C" w:rsidRDefault="00D1016C" w:rsidP="00672F96">
      <w:pPr>
        <w:spacing w:line="240" w:lineRule="auto"/>
        <w:rPr>
          <w:szCs w:val="22"/>
          <w:u w:val="single"/>
        </w:rPr>
      </w:pPr>
    </w:p>
    <w:p w14:paraId="2F94C049" w14:textId="58255FAD" w:rsidR="00AE0267" w:rsidRPr="00672F96" w:rsidRDefault="00E03E9C" w:rsidP="00672F96">
      <w:pPr>
        <w:spacing w:line="240" w:lineRule="auto"/>
        <w:rPr>
          <w:szCs w:val="22"/>
          <w:u w:val="single"/>
        </w:rPr>
      </w:pPr>
      <w:r>
        <w:rPr>
          <w:szCs w:val="22"/>
          <w:u w:val="single"/>
        </w:rPr>
        <w:t>Dosage</w:t>
      </w:r>
    </w:p>
    <w:p w14:paraId="2F94C04A" w14:textId="77777777" w:rsidR="003D6E05" w:rsidRPr="00672F96" w:rsidRDefault="003D6E05" w:rsidP="00672F96">
      <w:pPr>
        <w:spacing w:line="240" w:lineRule="auto"/>
        <w:rPr>
          <w:i/>
          <w:szCs w:val="22"/>
        </w:rPr>
      </w:pPr>
    </w:p>
    <w:p w14:paraId="2F94C04B" w14:textId="0861DFCA" w:rsidR="00C174C1" w:rsidRPr="00672F96" w:rsidRDefault="00522617" w:rsidP="00672F96">
      <w:pPr>
        <w:spacing w:line="240" w:lineRule="auto"/>
        <w:rPr>
          <w:i/>
          <w:szCs w:val="22"/>
        </w:rPr>
      </w:pPr>
      <w:r w:rsidRPr="00672F96">
        <w:rPr>
          <w:i/>
          <w:szCs w:val="22"/>
        </w:rPr>
        <w:t>A</w:t>
      </w:r>
      <w:r w:rsidR="00E574AF" w:rsidRPr="00672F96">
        <w:rPr>
          <w:i/>
          <w:szCs w:val="22"/>
        </w:rPr>
        <w:t>dults</w:t>
      </w:r>
      <w:r w:rsidRPr="00672F96">
        <w:rPr>
          <w:i/>
          <w:szCs w:val="22"/>
        </w:rPr>
        <w:t xml:space="preserve"> with </w:t>
      </w:r>
      <w:r w:rsidR="00BC7463" w:rsidRPr="00BC7463">
        <w:rPr>
          <w:rFonts w:eastAsia="SimSun"/>
          <w:szCs w:val="22"/>
          <w:lang w:val="en-AU" w:eastAsia="de-DE"/>
        </w:rPr>
        <w:t>AML or MDS</w:t>
      </w:r>
    </w:p>
    <w:p w14:paraId="2F94C04C" w14:textId="77777777" w:rsidR="000830AE" w:rsidRPr="00672F96" w:rsidRDefault="000830AE" w:rsidP="00672F96">
      <w:pPr>
        <w:spacing w:line="240" w:lineRule="auto"/>
        <w:rPr>
          <w:i/>
          <w:szCs w:val="22"/>
        </w:rPr>
      </w:pPr>
    </w:p>
    <w:p w14:paraId="2F94C04D" w14:textId="77777777" w:rsidR="0056538D" w:rsidRPr="00672F96" w:rsidRDefault="00522617" w:rsidP="00672F96">
      <w:pPr>
        <w:spacing w:line="240" w:lineRule="auto"/>
        <w:rPr>
          <w:szCs w:val="22"/>
        </w:rPr>
      </w:pPr>
      <w:proofErr w:type="spellStart"/>
      <w:r w:rsidRPr="00672F96">
        <w:rPr>
          <w:szCs w:val="22"/>
        </w:rPr>
        <w:t>Treosulfan</w:t>
      </w:r>
      <w:proofErr w:type="spellEnd"/>
      <w:r w:rsidRPr="00672F96">
        <w:rPr>
          <w:szCs w:val="22"/>
        </w:rPr>
        <w:t xml:space="preserve"> is </w:t>
      </w:r>
      <w:r w:rsidR="0068791D" w:rsidRPr="00672F96">
        <w:rPr>
          <w:szCs w:val="22"/>
        </w:rPr>
        <w:t>given</w:t>
      </w:r>
      <w:r w:rsidRPr="00672F96">
        <w:rPr>
          <w:szCs w:val="22"/>
        </w:rPr>
        <w:t xml:space="preserve"> in combination with fludarabine.</w:t>
      </w:r>
    </w:p>
    <w:p w14:paraId="2F94C04E" w14:textId="77777777" w:rsidR="00AE0267" w:rsidRPr="00672F96" w:rsidRDefault="00522617" w:rsidP="00672F96">
      <w:pPr>
        <w:spacing w:line="240" w:lineRule="auto"/>
        <w:rPr>
          <w:szCs w:val="22"/>
        </w:rPr>
      </w:pPr>
      <w:r w:rsidRPr="00672F96">
        <w:rPr>
          <w:szCs w:val="22"/>
        </w:rPr>
        <w:t>The recommended dose and schedule of administration is:</w:t>
      </w:r>
    </w:p>
    <w:p w14:paraId="2F94C04F" w14:textId="77777777" w:rsidR="003D6E05" w:rsidRPr="00672F96" w:rsidRDefault="00522617" w:rsidP="00672F96">
      <w:pPr>
        <w:numPr>
          <w:ilvl w:val="0"/>
          <w:numId w:val="27"/>
        </w:numPr>
        <w:spacing w:line="240" w:lineRule="auto"/>
        <w:rPr>
          <w:szCs w:val="22"/>
        </w:rPr>
      </w:pPr>
      <w:proofErr w:type="spellStart"/>
      <w:r w:rsidRPr="00672F96">
        <w:rPr>
          <w:szCs w:val="22"/>
        </w:rPr>
        <w:t>Treosulfan</w:t>
      </w:r>
      <w:proofErr w:type="spellEnd"/>
      <w:r w:rsidRPr="00672F96">
        <w:rPr>
          <w:szCs w:val="22"/>
        </w:rPr>
        <w:t xml:space="preserve"> </w:t>
      </w:r>
      <w:r w:rsidR="00AE0267" w:rsidRPr="00672F96">
        <w:rPr>
          <w:szCs w:val="22"/>
        </w:rPr>
        <w:t>10</w:t>
      </w:r>
      <w:r w:rsidRPr="00672F96">
        <w:rPr>
          <w:szCs w:val="22"/>
        </w:rPr>
        <w:t> </w:t>
      </w:r>
      <w:r w:rsidR="00AE0267" w:rsidRPr="00672F96">
        <w:rPr>
          <w:szCs w:val="22"/>
        </w:rPr>
        <w:t xml:space="preserve">g/m² body surface area </w:t>
      </w:r>
      <w:r w:rsidR="00E419D7" w:rsidRPr="00672F96">
        <w:rPr>
          <w:szCs w:val="22"/>
        </w:rPr>
        <w:t>(BSA)</w:t>
      </w:r>
      <w:r w:rsidR="00EB47B3" w:rsidRPr="00672F96">
        <w:rPr>
          <w:szCs w:val="22"/>
        </w:rPr>
        <w:t xml:space="preserve"> per day</w:t>
      </w:r>
      <w:r w:rsidR="00E419D7" w:rsidRPr="00672F96">
        <w:rPr>
          <w:szCs w:val="22"/>
        </w:rPr>
        <w:t xml:space="preserve"> </w:t>
      </w:r>
      <w:r w:rsidRPr="00672F96">
        <w:rPr>
          <w:szCs w:val="22"/>
        </w:rPr>
        <w:t xml:space="preserve">as </w:t>
      </w:r>
      <w:r w:rsidR="00B06FCE" w:rsidRPr="00672F96">
        <w:rPr>
          <w:szCs w:val="22"/>
        </w:rPr>
        <w:t xml:space="preserve">a </w:t>
      </w:r>
      <w:r w:rsidRPr="00672F96">
        <w:rPr>
          <w:szCs w:val="22"/>
        </w:rPr>
        <w:t>two</w:t>
      </w:r>
      <w:r w:rsidR="004E7E93" w:rsidRPr="00672F96">
        <w:rPr>
          <w:szCs w:val="22"/>
        </w:rPr>
        <w:noBreakHyphen/>
      </w:r>
      <w:r w:rsidRPr="00672F96">
        <w:rPr>
          <w:szCs w:val="22"/>
        </w:rPr>
        <w:t>hour intravenous infusion, given on three consecutive days (</w:t>
      </w:r>
      <w:r w:rsidR="008B36D0" w:rsidRPr="00672F96">
        <w:rPr>
          <w:szCs w:val="22"/>
        </w:rPr>
        <w:t>day -4, -3, -2</w:t>
      </w:r>
      <w:r w:rsidRPr="00672F96">
        <w:rPr>
          <w:szCs w:val="22"/>
        </w:rPr>
        <w:t>) before stem cell infusion (day</w:t>
      </w:r>
      <w:r w:rsidR="002451A7" w:rsidRPr="00672F96">
        <w:rPr>
          <w:szCs w:val="22"/>
        </w:rPr>
        <w:t> </w:t>
      </w:r>
      <w:r w:rsidRPr="00672F96">
        <w:rPr>
          <w:szCs w:val="22"/>
        </w:rPr>
        <w:t>0)</w:t>
      </w:r>
      <w:r w:rsidR="00EB47B3" w:rsidRPr="00672F96">
        <w:rPr>
          <w:szCs w:val="22"/>
        </w:rPr>
        <w:t>. The</w:t>
      </w:r>
      <w:r w:rsidR="00A81107" w:rsidRPr="00672F96">
        <w:rPr>
          <w:szCs w:val="22"/>
        </w:rPr>
        <w:t xml:space="preserve"> total </w:t>
      </w:r>
      <w:proofErr w:type="spellStart"/>
      <w:r w:rsidR="00A81107" w:rsidRPr="00672F96">
        <w:rPr>
          <w:szCs w:val="22"/>
        </w:rPr>
        <w:t>treosulfan</w:t>
      </w:r>
      <w:proofErr w:type="spellEnd"/>
      <w:r w:rsidR="00A81107" w:rsidRPr="00672F96">
        <w:rPr>
          <w:szCs w:val="22"/>
        </w:rPr>
        <w:t xml:space="preserve"> dose</w:t>
      </w:r>
      <w:r w:rsidR="00EB47B3" w:rsidRPr="00672F96">
        <w:rPr>
          <w:szCs w:val="22"/>
        </w:rPr>
        <w:t xml:space="preserve"> is</w:t>
      </w:r>
      <w:r w:rsidR="00A81107" w:rsidRPr="00672F96">
        <w:rPr>
          <w:szCs w:val="22"/>
        </w:rPr>
        <w:t xml:space="preserve"> 30 g/m</w:t>
      </w:r>
      <w:proofErr w:type="gramStart"/>
      <w:r w:rsidR="00A81107" w:rsidRPr="00672F96">
        <w:rPr>
          <w:szCs w:val="22"/>
        </w:rPr>
        <w:t>²</w:t>
      </w:r>
      <w:r w:rsidR="00C81BB6" w:rsidRPr="00672F96">
        <w:rPr>
          <w:szCs w:val="22"/>
        </w:rPr>
        <w:t>;</w:t>
      </w:r>
      <w:proofErr w:type="gramEnd"/>
    </w:p>
    <w:p w14:paraId="2F94C050" w14:textId="77777777" w:rsidR="00AE2BE9" w:rsidRPr="00672F96" w:rsidRDefault="00522617" w:rsidP="00672F96">
      <w:pPr>
        <w:numPr>
          <w:ilvl w:val="0"/>
          <w:numId w:val="27"/>
        </w:numPr>
        <w:spacing w:line="240" w:lineRule="auto"/>
        <w:rPr>
          <w:szCs w:val="22"/>
        </w:rPr>
      </w:pPr>
      <w:r w:rsidRPr="00672F96">
        <w:rPr>
          <w:szCs w:val="22"/>
        </w:rPr>
        <w:t>Fludarabine 30 </w:t>
      </w:r>
      <w:r w:rsidR="00C81BB6" w:rsidRPr="00672F96">
        <w:rPr>
          <w:szCs w:val="22"/>
        </w:rPr>
        <w:t>m</w:t>
      </w:r>
      <w:r w:rsidRPr="00672F96">
        <w:rPr>
          <w:szCs w:val="22"/>
        </w:rPr>
        <w:t>g/m² BSA</w:t>
      </w:r>
      <w:r w:rsidR="00EB47B3" w:rsidRPr="00672F96">
        <w:rPr>
          <w:szCs w:val="22"/>
        </w:rPr>
        <w:t xml:space="preserve"> per day</w:t>
      </w:r>
      <w:r w:rsidRPr="00672F96">
        <w:rPr>
          <w:szCs w:val="22"/>
        </w:rPr>
        <w:t xml:space="preserve"> as a 0</w:t>
      </w:r>
      <w:r w:rsidRPr="0063799C">
        <w:rPr>
          <w:szCs w:val="22"/>
        </w:rPr>
        <w:t>.5</w:t>
      </w:r>
      <w:r w:rsidR="00316205" w:rsidRPr="0063799C">
        <w:rPr>
          <w:szCs w:val="22"/>
        </w:rPr>
        <w:noBreakHyphen/>
      </w:r>
      <w:r w:rsidRPr="0063799C">
        <w:rPr>
          <w:szCs w:val="22"/>
        </w:rPr>
        <w:t>hour</w:t>
      </w:r>
      <w:r w:rsidRPr="00672F96">
        <w:rPr>
          <w:szCs w:val="22"/>
        </w:rPr>
        <w:t xml:space="preserve"> intravenous infusion, given on five consecutive days (</w:t>
      </w:r>
      <w:r w:rsidR="008B36D0" w:rsidRPr="00672F96">
        <w:rPr>
          <w:szCs w:val="22"/>
        </w:rPr>
        <w:t>day -</w:t>
      </w:r>
      <w:r w:rsidRPr="00672F96">
        <w:rPr>
          <w:szCs w:val="22"/>
        </w:rPr>
        <w:t>6, -5, -4, -3, -2)</w:t>
      </w:r>
      <w:r w:rsidR="00A81107" w:rsidRPr="00672F96">
        <w:rPr>
          <w:szCs w:val="22"/>
        </w:rPr>
        <w:t xml:space="preserve"> </w:t>
      </w:r>
      <w:r w:rsidR="00D2089E" w:rsidRPr="00672F96">
        <w:rPr>
          <w:szCs w:val="22"/>
        </w:rPr>
        <w:t>before stem cell infusion (day</w:t>
      </w:r>
      <w:r w:rsidR="008B36D0" w:rsidRPr="00672F96">
        <w:rPr>
          <w:szCs w:val="22"/>
        </w:rPr>
        <w:t> </w:t>
      </w:r>
      <w:r w:rsidR="00D2089E" w:rsidRPr="00672F96">
        <w:rPr>
          <w:szCs w:val="22"/>
        </w:rPr>
        <w:t>0)</w:t>
      </w:r>
      <w:r w:rsidR="00EB47B3" w:rsidRPr="00672F96">
        <w:rPr>
          <w:szCs w:val="22"/>
        </w:rPr>
        <w:t xml:space="preserve">. The </w:t>
      </w:r>
      <w:r w:rsidR="00A81107" w:rsidRPr="00672F96">
        <w:rPr>
          <w:szCs w:val="22"/>
        </w:rPr>
        <w:t>total fludarabine dose</w:t>
      </w:r>
      <w:r w:rsidR="00EB47B3" w:rsidRPr="00672F96">
        <w:rPr>
          <w:szCs w:val="22"/>
        </w:rPr>
        <w:t xml:space="preserve"> is</w:t>
      </w:r>
      <w:r w:rsidR="00A81107" w:rsidRPr="00672F96">
        <w:rPr>
          <w:szCs w:val="22"/>
        </w:rPr>
        <w:t xml:space="preserve"> 150</w:t>
      </w:r>
      <w:r w:rsidR="002451A7" w:rsidRPr="00672F96">
        <w:rPr>
          <w:szCs w:val="22"/>
        </w:rPr>
        <w:t> </w:t>
      </w:r>
      <w:r w:rsidR="00A81107" w:rsidRPr="00672F96">
        <w:rPr>
          <w:szCs w:val="22"/>
        </w:rPr>
        <w:t>mg/m</w:t>
      </w:r>
      <w:proofErr w:type="gramStart"/>
      <w:r w:rsidR="00A81107" w:rsidRPr="00672F96">
        <w:rPr>
          <w:szCs w:val="22"/>
        </w:rPr>
        <w:t>²</w:t>
      </w:r>
      <w:r w:rsidR="00C81BB6" w:rsidRPr="00672F96">
        <w:rPr>
          <w:szCs w:val="22"/>
        </w:rPr>
        <w:t>;</w:t>
      </w:r>
      <w:proofErr w:type="gramEnd"/>
    </w:p>
    <w:p w14:paraId="2F94C051" w14:textId="77777777" w:rsidR="00AE2BE9" w:rsidRPr="00672F96" w:rsidRDefault="00522617" w:rsidP="00672F96">
      <w:pPr>
        <w:numPr>
          <w:ilvl w:val="0"/>
          <w:numId w:val="27"/>
        </w:numPr>
        <w:spacing w:line="240" w:lineRule="auto"/>
        <w:rPr>
          <w:szCs w:val="22"/>
        </w:rPr>
      </w:pPr>
      <w:proofErr w:type="spellStart"/>
      <w:r w:rsidRPr="00672F96">
        <w:rPr>
          <w:szCs w:val="22"/>
        </w:rPr>
        <w:t>Treosulfan</w:t>
      </w:r>
      <w:proofErr w:type="spellEnd"/>
      <w:r w:rsidRPr="00672F96">
        <w:rPr>
          <w:szCs w:val="22"/>
        </w:rPr>
        <w:t xml:space="preserve"> should be </w:t>
      </w:r>
      <w:r w:rsidR="0068791D" w:rsidRPr="00672F96">
        <w:rPr>
          <w:szCs w:val="22"/>
        </w:rPr>
        <w:t>administered</w:t>
      </w:r>
      <w:r w:rsidRPr="00672F96">
        <w:rPr>
          <w:szCs w:val="22"/>
        </w:rPr>
        <w:t xml:space="preserve"> before fludarabine</w:t>
      </w:r>
      <w:r w:rsidR="00EB47B3" w:rsidRPr="00672F96">
        <w:rPr>
          <w:szCs w:val="22"/>
        </w:rPr>
        <w:t xml:space="preserve"> on days -4, -3, -2</w:t>
      </w:r>
      <w:r w:rsidR="00447124" w:rsidRPr="00672F96">
        <w:rPr>
          <w:szCs w:val="22"/>
        </w:rPr>
        <w:t xml:space="preserve"> </w:t>
      </w:r>
      <w:r w:rsidR="00387971" w:rsidRPr="00672F96">
        <w:rPr>
          <w:szCs w:val="22"/>
        </w:rPr>
        <w:t>(</w:t>
      </w:r>
      <w:r w:rsidR="00447124" w:rsidRPr="00672F96">
        <w:rPr>
          <w:szCs w:val="22"/>
        </w:rPr>
        <w:t>FT</w:t>
      </w:r>
      <w:r w:rsidR="00447124" w:rsidRPr="00672F96">
        <w:rPr>
          <w:szCs w:val="22"/>
          <w:vertAlign w:val="subscript"/>
        </w:rPr>
        <w:t>10</w:t>
      </w:r>
      <w:r w:rsidR="00316205">
        <w:rPr>
          <w:szCs w:val="22"/>
        </w:rPr>
        <w:t> </w:t>
      </w:r>
      <w:r w:rsidR="00447124" w:rsidRPr="00672F96">
        <w:rPr>
          <w:szCs w:val="22"/>
        </w:rPr>
        <w:t>regimen</w:t>
      </w:r>
      <w:r w:rsidR="00387971" w:rsidRPr="00672F96">
        <w:rPr>
          <w:szCs w:val="22"/>
        </w:rPr>
        <w:t>)</w:t>
      </w:r>
      <w:r w:rsidRPr="00672F96">
        <w:rPr>
          <w:szCs w:val="22"/>
        </w:rPr>
        <w:t>.</w:t>
      </w:r>
    </w:p>
    <w:p w14:paraId="2F94C052" w14:textId="77777777" w:rsidR="001A2C4C" w:rsidRPr="00672F96" w:rsidRDefault="001A2C4C" w:rsidP="00672F96">
      <w:pPr>
        <w:spacing w:line="240" w:lineRule="auto"/>
        <w:rPr>
          <w:szCs w:val="22"/>
        </w:rPr>
      </w:pPr>
    </w:p>
    <w:p w14:paraId="2F94C05B" w14:textId="2BE1FDCB" w:rsidR="00AE0267" w:rsidRDefault="00AE0267" w:rsidP="00672F96">
      <w:pPr>
        <w:spacing w:line="240" w:lineRule="auto"/>
        <w:rPr>
          <w:szCs w:val="22"/>
        </w:rPr>
      </w:pPr>
    </w:p>
    <w:p w14:paraId="7B842C9C" w14:textId="37B32661" w:rsidR="006076E8" w:rsidRPr="006076E8" w:rsidRDefault="006076E8" w:rsidP="00672F96">
      <w:pPr>
        <w:spacing w:line="240" w:lineRule="auto"/>
        <w:rPr>
          <w:szCs w:val="22"/>
          <w:u w:val="single"/>
        </w:rPr>
      </w:pPr>
      <w:r w:rsidRPr="006076E8">
        <w:rPr>
          <w:szCs w:val="22"/>
          <w:u w:val="single"/>
        </w:rPr>
        <w:t>Dosage adjustment</w:t>
      </w:r>
    </w:p>
    <w:p w14:paraId="252AC8ED" w14:textId="77777777" w:rsidR="006076E8" w:rsidRPr="00672F96" w:rsidRDefault="006076E8" w:rsidP="00672F96">
      <w:pPr>
        <w:spacing w:line="240" w:lineRule="auto"/>
        <w:rPr>
          <w:szCs w:val="22"/>
        </w:rPr>
      </w:pPr>
    </w:p>
    <w:p w14:paraId="2F94C05C" w14:textId="77777777" w:rsidR="00D64C18" w:rsidRDefault="00D64C18" w:rsidP="00D64C18">
      <w:pPr>
        <w:spacing w:line="240" w:lineRule="auto"/>
        <w:rPr>
          <w:i/>
          <w:szCs w:val="22"/>
        </w:rPr>
      </w:pPr>
      <w:r>
        <w:rPr>
          <w:i/>
          <w:szCs w:val="22"/>
        </w:rPr>
        <w:t>Elderly</w:t>
      </w:r>
    </w:p>
    <w:p w14:paraId="2F94C05D" w14:textId="77777777" w:rsidR="00D64C18" w:rsidRPr="00D24F9B" w:rsidRDefault="00D64C18" w:rsidP="00D64C18">
      <w:pPr>
        <w:spacing w:line="240" w:lineRule="auto"/>
        <w:rPr>
          <w:i/>
          <w:szCs w:val="22"/>
        </w:rPr>
      </w:pPr>
    </w:p>
    <w:p w14:paraId="2F94C05E" w14:textId="77777777" w:rsidR="00D64C18" w:rsidRDefault="00D64C18" w:rsidP="00D64C18">
      <w:pPr>
        <w:spacing w:line="240" w:lineRule="auto"/>
        <w:rPr>
          <w:szCs w:val="22"/>
        </w:rPr>
      </w:pPr>
      <w:r w:rsidRPr="00D24F9B">
        <w:rPr>
          <w:szCs w:val="22"/>
        </w:rPr>
        <w:t>No dose adjustment is necessary in any subset of the elderly population</w:t>
      </w:r>
      <w:r>
        <w:rPr>
          <w:szCs w:val="22"/>
        </w:rPr>
        <w:t>.</w:t>
      </w:r>
    </w:p>
    <w:p w14:paraId="2F94C05F" w14:textId="77777777" w:rsidR="00D64C18" w:rsidRDefault="00D64C18" w:rsidP="00D64C18">
      <w:pPr>
        <w:spacing w:line="240" w:lineRule="auto"/>
        <w:rPr>
          <w:szCs w:val="22"/>
        </w:rPr>
      </w:pPr>
    </w:p>
    <w:p w14:paraId="2F94C060" w14:textId="77777777" w:rsidR="00D64C18" w:rsidRDefault="00D64C18" w:rsidP="00D64C18">
      <w:pPr>
        <w:spacing w:line="240" w:lineRule="auto"/>
        <w:rPr>
          <w:i/>
          <w:szCs w:val="22"/>
        </w:rPr>
      </w:pPr>
      <w:r>
        <w:rPr>
          <w:i/>
          <w:szCs w:val="22"/>
        </w:rPr>
        <w:t>Renal and hepatic impairment</w:t>
      </w:r>
    </w:p>
    <w:p w14:paraId="2F94C061" w14:textId="77777777" w:rsidR="00D64C18" w:rsidRPr="00D24F9B" w:rsidRDefault="00D64C18" w:rsidP="00D64C18">
      <w:pPr>
        <w:spacing w:line="240" w:lineRule="auto"/>
        <w:rPr>
          <w:i/>
          <w:szCs w:val="22"/>
        </w:rPr>
      </w:pPr>
    </w:p>
    <w:p w14:paraId="2F94C062" w14:textId="77777777" w:rsidR="00D64C18" w:rsidRDefault="00D64C18" w:rsidP="00672F96">
      <w:pPr>
        <w:spacing w:line="240" w:lineRule="auto"/>
        <w:rPr>
          <w:i/>
          <w:szCs w:val="22"/>
        </w:rPr>
      </w:pPr>
      <w:r w:rsidRPr="00D24F9B">
        <w:rPr>
          <w:szCs w:val="22"/>
        </w:rPr>
        <w:t xml:space="preserve">No dose adjustment is necessary for mild or moderate impairment, but </w:t>
      </w:r>
      <w:proofErr w:type="spellStart"/>
      <w:r>
        <w:rPr>
          <w:szCs w:val="22"/>
        </w:rPr>
        <w:t>treosulfan</w:t>
      </w:r>
      <w:proofErr w:type="spellEnd"/>
      <w:r w:rsidRPr="00D24F9B">
        <w:rPr>
          <w:szCs w:val="22"/>
        </w:rPr>
        <w:t xml:space="preserve"> is contraindicated in </w:t>
      </w:r>
      <w:r>
        <w:rPr>
          <w:szCs w:val="22"/>
        </w:rPr>
        <w:t xml:space="preserve">patients with </w:t>
      </w:r>
      <w:r w:rsidRPr="00D24F9B">
        <w:rPr>
          <w:szCs w:val="22"/>
        </w:rPr>
        <w:t>severe impairment (</w:t>
      </w:r>
      <w:r>
        <w:rPr>
          <w:szCs w:val="22"/>
        </w:rPr>
        <w:t>see</w:t>
      </w:r>
      <w:r w:rsidRPr="00D24F9B">
        <w:rPr>
          <w:szCs w:val="22"/>
        </w:rPr>
        <w:t xml:space="preserve"> section</w:t>
      </w:r>
      <w:r>
        <w:rPr>
          <w:szCs w:val="22"/>
        </w:rPr>
        <w:t> </w:t>
      </w:r>
      <w:r w:rsidRPr="00D24F9B">
        <w:rPr>
          <w:szCs w:val="22"/>
        </w:rPr>
        <w:t>4</w:t>
      </w:r>
      <w:r w:rsidRPr="004F2434">
        <w:rPr>
          <w:szCs w:val="22"/>
        </w:rPr>
        <w:t>.3).</w:t>
      </w:r>
    </w:p>
    <w:p w14:paraId="2F94C063" w14:textId="77777777" w:rsidR="00D64C18" w:rsidRDefault="00D64C18" w:rsidP="00672F96">
      <w:pPr>
        <w:spacing w:line="240" w:lineRule="auto"/>
        <w:rPr>
          <w:i/>
          <w:szCs w:val="22"/>
        </w:rPr>
      </w:pPr>
    </w:p>
    <w:p w14:paraId="2F94C064" w14:textId="31E894C6" w:rsidR="00AE0267" w:rsidRDefault="00522617" w:rsidP="00672F96">
      <w:pPr>
        <w:spacing w:line="240" w:lineRule="auto"/>
        <w:rPr>
          <w:i/>
          <w:szCs w:val="22"/>
        </w:rPr>
      </w:pPr>
      <w:r w:rsidRPr="0063799C">
        <w:rPr>
          <w:i/>
          <w:szCs w:val="22"/>
        </w:rPr>
        <w:t>Paediatric population</w:t>
      </w:r>
      <w:r w:rsidR="0098579C">
        <w:rPr>
          <w:i/>
          <w:szCs w:val="22"/>
        </w:rPr>
        <w:t xml:space="preserve"> </w:t>
      </w:r>
      <w:r w:rsidR="00BC7463">
        <w:rPr>
          <w:i/>
          <w:szCs w:val="22"/>
        </w:rPr>
        <w:t xml:space="preserve">aged 1 month and older with </w:t>
      </w:r>
      <w:r w:rsidR="00051644">
        <w:rPr>
          <w:i/>
          <w:szCs w:val="22"/>
        </w:rPr>
        <w:t xml:space="preserve">malignant and non-malignant </w:t>
      </w:r>
      <w:r w:rsidR="001A675E">
        <w:rPr>
          <w:i/>
          <w:szCs w:val="22"/>
        </w:rPr>
        <w:t xml:space="preserve">haematological </w:t>
      </w:r>
      <w:r w:rsidR="00051644">
        <w:rPr>
          <w:i/>
          <w:szCs w:val="22"/>
        </w:rPr>
        <w:t>diseases</w:t>
      </w:r>
      <w:r w:rsidR="0098579C">
        <w:rPr>
          <w:i/>
          <w:szCs w:val="22"/>
        </w:rPr>
        <w:t xml:space="preserve"> </w:t>
      </w:r>
    </w:p>
    <w:p w14:paraId="2F94C065" w14:textId="77777777" w:rsidR="0045098D" w:rsidRPr="00672F96" w:rsidRDefault="0045098D" w:rsidP="00672F96">
      <w:pPr>
        <w:spacing w:line="240" w:lineRule="auto"/>
        <w:rPr>
          <w:i/>
          <w:szCs w:val="22"/>
        </w:rPr>
      </w:pPr>
    </w:p>
    <w:p w14:paraId="2F94C066" w14:textId="77777777" w:rsidR="00C947B7" w:rsidRPr="00672F96" w:rsidRDefault="00522617" w:rsidP="00672F96">
      <w:pPr>
        <w:spacing w:line="240" w:lineRule="auto"/>
        <w:rPr>
          <w:szCs w:val="22"/>
        </w:rPr>
      </w:pPr>
      <w:proofErr w:type="spellStart"/>
      <w:r w:rsidRPr="00672F96">
        <w:rPr>
          <w:szCs w:val="22"/>
        </w:rPr>
        <w:t>Treosulfan</w:t>
      </w:r>
      <w:proofErr w:type="spellEnd"/>
      <w:r w:rsidRPr="00672F96">
        <w:rPr>
          <w:szCs w:val="22"/>
        </w:rPr>
        <w:t xml:space="preserve"> </w:t>
      </w:r>
      <w:r w:rsidR="003D2E4C" w:rsidRPr="00672F96">
        <w:rPr>
          <w:szCs w:val="22"/>
        </w:rPr>
        <w:t xml:space="preserve">is given </w:t>
      </w:r>
      <w:r w:rsidRPr="00672F96">
        <w:rPr>
          <w:szCs w:val="22"/>
        </w:rPr>
        <w:t xml:space="preserve">in combination with fludarabine, with </w:t>
      </w:r>
      <w:r w:rsidR="001626C0" w:rsidRPr="00672F96">
        <w:rPr>
          <w:szCs w:val="22"/>
        </w:rPr>
        <w:t xml:space="preserve">thiotepa </w:t>
      </w:r>
      <w:r w:rsidRPr="00672F96">
        <w:rPr>
          <w:szCs w:val="22"/>
        </w:rPr>
        <w:t>(intensified regimen</w:t>
      </w:r>
      <w:r w:rsidR="00447124" w:rsidRPr="0063799C">
        <w:rPr>
          <w:szCs w:val="22"/>
        </w:rPr>
        <w:t>; FT</w:t>
      </w:r>
      <w:r w:rsidR="00447124" w:rsidRPr="0063799C">
        <w:rPr>
          <w:szCs w:val="22"/>
          <w:vertAlign w:val="subscript"/>
        </w:rPr>
        <w:t>10</w:t>
      </w:r>
      <w:r w:rsidR="0045098D" w:rsidRPr="0063799C">
        <w:rPr>
          <w:szCs w:val="22"/>
          <w:vertAlign w:val="subscript"/>
        </w:rPr>
        <w:noBreakHyphen/>
      </w:r>
      <w:r w:rsidR="00447124" w:rsidRPr="0063799C">
        <w:rPr>
          <w:szCs w:val="22"/>
          <w:vertAlign w:val="subscript"/>
        </w:rPr>
        <w:t>14</w:t>
      </w:r>
      <w:r w:rsidR="00447124" w:rsidRPr="0063799C">
        <w:rPr>
          <w:szCs w:val="22"/>
        </w:rPr>
        <w:t>TT</w:t>
      </w:r>
      <w:r w:rsidR="0045098D" w:rsidRPr="0063799C">
        <w:rPr>
          <w:szCs w:val="22"/>
        </w:rPr>
        <w:t> </w:t>
      </w:r>
      <w:r w:rsidR="00447124" w:rsidRPr="0063799C">
        <w:rPr>
          <w:szCs w:val="22"/>
        </w:rPr>
        <w:t>regimen</w:t>
      </w:r>
      <w:r w:rsidRPr="0063799C">
        <w:rPr>
          <w:szCs w:val="22"/>
        </w:rPr>
        <w:t>) or without thiotepa</w:t>
      </w:r>
      <w:r w:rsidR="00447124" w:rsidRPr="0063799C">
        <w:rPr>
          <w:szCs w:val="22"/>
        </w:rPr>
        <w:t xml:space="preserve"> </w:t>
      </w:r>
      <w:r w:rsidR="00387971" w:rsidRPr="0063799C">
        <w:rPr>
          <w:szCs w:val="22"/>
        </w:rPr>
        <w:t>(</w:t>
      </w:r>
      <w:r w:rsidR="00447124" w:rsidRPr="0063799C">
        <w:rPr>
          <w:szCs w:val="22"/>
        </w:rPr>
        <w:t>FT</w:t>
      </w:r>
      <w:r w:rsidR="00447124" w:rsidRPr="0063799C">
        <w:rPr>
          <w:szCs w:val="22"/>
          <w:vertAlign w:val="subscript"/>
        </w:rPr>
        <w:t>10</w:t>
      </w:r>
      <w:r w:rsidR="0045098D" w:rsidRPr="0063799C">
        <w:rPr>
          <w:szCs w:val="22"/>
          <w:vertAlign w:val="subscript"/>
        </w:rPr>
        <w:noBreakHyphen/>
      </w:r>
      <w:r w:rsidR="00447124" w:rsidRPr="0063799C">
        <w:rPr>
          <w:szCs w:val="22"/>
          <w:vertAlign w:val="subscript"/>
        </w:rPr>
        <w:t>14</w:t>
      </w:r>
      <w:r w:rsidR="00447124" w:rsidRPr="0063799C">
        <w:rPr>
          <w:szCs w:val="22"/>
        </w:rPr>
        <w:t xml:space="preserve"> regimen</w:t>
      </w:r>
      <w:r w:rsidR="00387971" w:rsidRPr="0063799C">
        <w:rPr>
          <w:szCs w:val="22"/>
        </w:rPr>
        <w:t>)</w:t>
      </w:r>
      <w:r w:rsidR="00710C4E" w:rsidRPr="00672F96">
        <w:rPr>
          <w:szCs w:val="22"/>
        </w:rPr>
        <w:t>.</w:t>
      </w:r>
      <w:r w:rsidRPr="00672F96">
        <w:rPr>
          <w:szCs w:val="22"/>
        </w:rPr>
        <w:t xml:space="preserve"> </w:t>
      </w:r>
    </w:p>
    <w:p w14:paraId="2F94C067" w14:textId="77777777" w:rsidR="00C947B7" w:rsidRPr="00672F96" w:rsidRDefault="00522617" w:rsidP="00672F96">
      <w:pPr>
        <w:spacing w:line="240" w:lineRule="auto"/>
        <w:rPr>
          <w:szCs w:val="22"/>
        </w:rPr>
      </w:pPr>
      <w:r w:rsidRPr="00672F96">
        <w:rPr>
          <w:szCs w:val="22"/>
        </w:rPr>
        <w:t>The recommended dose and schedule of administration is:</w:t>
      </w:r>
    </w:p>
    <w:p w14:paraId="2F94C068" w14:textId="77777777" w:rsidR="00C947B7" w:rsidRPr="00672F96" w:rsidRDefault="00522617" w:rsidP="00672F96">
      <w:pPr>
        <w:numPr>
          <w:ilvl w:val="0"/>
          <w:numId w:val="27"/>
        </w:numPr>
        <w:spacing w:line="240" w:lineRule="auto"/>
        <w:rPr>
          <w:szCs w:val="22"/>
        </w:rPr>
      </w:pPr>
      <w:proofErr w:type="spellStart"/>
      <w:r w:rsidRPr="00672F96">
        <w:rPr>
          <w:szCs w:val="22"/>
        </w:rPr>
        <w:t>Treosulfan</w:t>
      </w:r>
      <w:proofErr w:type="spellEnd"/>
      <w:r w:rsidRPr="00672F96">
        <w:rPr>
          <w:szCs w:val="22"/>
        </w:rPr>
        <w:t xml:space="preserve"> </w:t>
      </w:r>
      <w:r w:rsidRPr="0063799C">
        <w:rPr>
          <w:szCs w:val="22"/>
        </w:rPr>
        <w:t>10</w:t>
      </w:r>
      <w:r w:rsidRPr="0063799C">
        <w:rPr>
          <w:szCs w:val="22"/>
        </w:rPr>
        <w:noBreakHyphen/>
        <w:t xml:space="preserve">14 g/m² </w:t>
      </w:r>
      <w:r w:rsidR="00316205" w:rsidRPr="0063799C">
        <w:rPr>
          <w:szCs w:val="22"/>
        </w:rPr>
        <w:t>body surface area (</w:t>
      </w:r>
      <w:r w:rsidRPr="0063799C">
        <w:rPr>
          <w:szCs w:val="22"/>
        </w:rPr>
        <w:t>BSA</w:t>
      </w:r>
      <w:r w:rsidR="00316205" w:rsidRPr="0063799C">
        <w:rPr>
          <w:szCs w:val="22"/>
        </w:rPr>
        <w:t>)</w:t>
      </w:r>
      <w:r w:rsidR="00710C4E" w:rsidRPr="00672F96">
        <w:rPr>
          <w:szCs w:val="22"/>
        </w:rPr>
        <w:t xml:space="preserve"> per day</w:t>
      </w:r>
      <w:r w:rsidRPr="00672F96">
        <w:rPr>
          <w:szCs w:val="22"/>
        </w:rPr>
        <w:t xml:space="preserve"> as</w:t>
      </w:r>
      <w:r w:rsidR="00B06FCE" w:rsidRPr="00672F96">
        <w:rPr>
          <w:szCs w:val="22"/>
        </w:rPr>
        <w:t xml:space="preserve"> a</w:t>
      </w:r>
      <w:r w:rsidRPr="00672F96">
        <w:rPr>
          <w:szCs w:val="22"/>
        </w:rPr>
        <w:t xml:space="preserve"> two</w:t>
      </w:r>
      <w:r w:rsidR="00387971" w:rsidRPr="00672F96">
        <w:rPr>
          <w:szCs w:val="22"/>
        </w:rPr>
        <w:noBreakHyphen/>
      </w:r>
      <w:r w:rsidRPr="00672F96">
        <w:rPr>
          <w:szCs w:val="22"/>
        </w:rPr>
        <w:t>hour intravenous infusion, given on three consecutive days (day</w:t>
      </w:r>
      <w:r w:rsidR="008B36D0" w:rsidRPr="00672F96">
        <w:rPr>
          <w:szCs w:val="22"/>
        </w:rPr>
        <w:t> </w:t>
      </w:r>
      <w:r w:rsidRPr="00672F96">
        <w:rPr>
          <w:szCs w:val="22"/>
        </w:rPr>
        <w:t>-6, -5, -4)</w:t>
      </w:r>
      <w:r w:rsidR="002451A7" w:rsidRPr="00672F96">
        <w:rPr>
          <w:szCs w:val="22"/>
        </w:rPr>
        <w:t xml:space="preserve"> before stem cell infusion (day </w:t>
      </w:r>
      <w:r w:rsidRPr="00672F96">
        <w:rPr>
          <w:szCs w:val="22"/>
        </w:rPr>
        <w:t>0)</w:t>
      </w:r>
      <w:r w:rsidR="00710C4E" w:rsidRPr="00672F96">
        <w:rPr>
          <w:szCs w:val="22"/>
        </w:rPr>
        <w:t xml:space="preserve">. The </w:t>
      </w:r>
      <w:r w:rsidRPr="00672F96">
        <w:rPr>
          <w:szCs w:val="22"/>
        </w:rPr>
        <w:t xml:space="preserve">total </w:t>
      </w:r>
      <w:proofErr w:type="spellStart"/>
      <w:r w:rsidRPr="00672F96">
        <w:rPr>
          <w:szCs w:val="22"/>
        </w:rPr>
        <w:t>treosulfan</w:t>
      </w:r>
      <w:proofErr w:type="spellEnd"/>
      <w:r w:rsidRPr="00672F96">
        <w:rPr>
          <w:szCs w:val="22"/>
        </w:rPr>
        <w:t xml:space="preserve"> dose</w:t>
      </w:r>
      <w:r w:rsidR="00710C4E" w:rsidRPr="00672F96">
        <w:rPr>
          <w:szCs w:val="22"/>
        </w:rPr>
        <w:t xml:space="preserve"> </w:t>
      </w:r>
      <w:r w:rsidR="00710C4E" w:rsidRPr="0063799C">
        <w:rPr>
          <w:szCs w:val="22"/>
        </w:rPr>
        <w:t>is</w:t>
      </w:r>
      <w:r w:rsidRPr="0063799C">
        <w:rPr>
          <w:szCs w:val="22"/>
        </w:rPr>
        <w:t xml:space="preserve"> 30</w:t>
      </w:r>
      <w:r w:rsidRPr="0063799C">
        <w:rPr>
          <w:szCs w:val="22"/>
        </w:rPr>
        <w:noBreakHyphen/>
        <w:t>42</w:t>
      </w:r>
      <w:r w:rsidRPr="00672F96">
        <w:rPr>
          <w:szCs w:val="22"/>
        </w:rPr>
        <w:t> g/m</w:t>
      </w:r>
      <w:proofErr w:type="gramStart"/>
      <w:r w:rsidRPr="00672F96">
        <w:rPr>
          <w:szCs w:val="22"/>
        </w:rPr>
        <w:t>²</w:t>
      </w:r>
      <w:r w:rsidR="00C81BB6" w:rsidRPr="00672F96">
        <w:rPr>
          <w:szCs w:val="22"/>
        </w:rPr>
        <w:t>;</w:t>
      </w:r>
      <w:proofErr w:type="gramEnd"/>
    </w:p>
    <w:p w14:paraId="2F94C069" w14:textId="77777777" w:rsidR="00BE1EC2" w:rsidRPr="00672F96" w:rsidRDefault="00522617" w:rsidP="00672F96">
      <w:pPr>
        <w:tabs>
          <w:tab w:val="clear" w:pos="567"/>
        </w:tabs>
        <w:spacing w:line="240" w:lineRule="auto"/>
        <w:ind w:left="567"/>
        <w:rPr>
          <w:szCs w:val="22"/>
        </w:rPr>
      </w:pPr>
      <w:r w:rsidRPr="00672F96">
        <w:rPr>
          <w:szCs w:val="22"/>
        </w:rPr>
        <w:t>The</w:t>
      </w:r>
      <w:r w:rsidR="00E54D54" w:rsidRPr="00672F96">
        <w:rPr>
          <w:szCs w:val="22"/>
        </w:rPr>
        <w:t xml:space="preserve"> </w:t>
      </w:r>
      <w:r w:rsidRPr="00672F96">
        <w:rPr>
          <w:szCs w:val="22"/>
        </w:rPr>
        <w:t xml:space="preserve">dose of </w:t>
      </w:r>
      <w:proofErr w:type="spellStart"/>
      <w:r w:rsidRPr="00672F96">
        <w:rPr>
          <w:szCs w:val="22"/>
        </w:rPr>
        <w:t>treosulfan</w:t>
      </w:r>
      <w:proofErr w:type="spellEnd"/>
      <w:r w:rsidR="00011BC5" w:rsidRPr="00672F96">
        <w:rPr>
          <w:szCs w:val="22"/>
        </w:rPr>
        <w:t xml:space="preserve"> should be adapted to </w:t>
      </w:r>
      <w:r w:rsidR="00011BC5" w:rsidRPr="0063799C">
        <w:rPr>
          <w:szCs w:val="22"/>
        </w:rPr>
        <w:t xml:space="preserve">the patient’s </w:t>
      </w:r>
      <w:r w:rsidR="0038429C" w:rsidRPr="0063799C">
        <w:rPr>
          <w:szCs w:val="22"/>
        </w:rPr>
        <w:t>BSA</w:t>
      </w:r>
      <w:r w:rsidR="00E54D54" w:rsidRPr="0063799C">
        <w:rPr>
          <w:szCs w:val="22"/>
        </w:rPr>
        <w:t xml:space="preserve"> as</w:t>
      </w:r>
      <w:r w:rsidR="00E54D54" w:rsidRPr="00672F96">
        <w:rPr>
          <w:szCs w:val="22"/>
        </w:rPr>
        <w:t xml:space="preserve"> follows</w:t>
      </w:r>
      <w:r w:rsidR="003D2E4C" w:rsidRPr="00672F96">
        <w:rPr>
          <w:szCs w:val="22"/>
        </w:rPr>
        <w:t xml:space="preserve"> (see </w:t>
      </w:r>
      <w:r w:rsidR="00E54D54" w:rsidRPr="00672F96">
        <w:rPr>
          <w:szCs w:val="22"/>
        </w:rPr>
        <w:t>s</w:t>
      </w:r>
      <w:r w:rsidR="003D2E4C" w:rsidRPr="00672F96">
        <w:rPr>
          <w:szCs w:val="22"/>
        </w:rPr>
        <w:t>ection</w:t>
      </w:r>
      <w:r w:rsidR="008B36D0" w:rsidRPr="00672F96">
        <w:rPr>
          <w:szCs w:val="22"/>
        </w:rPr>
        <w:t> </w:t>
      </w:r>
      <w:r w:rsidR="003D2E4C" w:rsidRPr="00672F96">
        <w:rPr>
          <w:szCs w:val="22"/>
        </w:rPr>
        <w:t>5.2)</w:t>
      </w:r>
      <w:r w:rsidRPr="00672F96">
        <w:rPr>
          <w:szCs w:val="22"/>
        </w:rPr>
        <w:t>:</w:t>
      </w:r>
    </w:p>
    <w:p w14:paraId="2F94C06A" w14:textId="77777777" w:rsidR="003D2E4C" w:rsidRPr="00672F96" w:rsidRDefault="003D2E4C" w:rsidP="00672F96">
      <w:pPr>
        <w:tabs>
          <w:tab w:val="clear" w:pos="567"/>
        </w:tabs>
        <w:spacing w:line="240" w:lineRule="auto"/>
        <w:ind w:left="284"/>
        <w:rPr>
          <w:szCs w:val="22"/>
        </w:rPr>
      </w:pPr>
    </w:p>
    <w:tbl>
      <w:tblPr>
        <w:tblStyle w:val="TableGrid"/>
        <w:tblW w:w="0" w:type="auto"/>
        <w:tblInd w:w="675" w:type="dxa"/>
        <w:tblLook w:val="04A0" w:firstRow="1" w:lastRow="0" w:firstColumn="1" w:lastColumn="0" w:noHBand="0" w:noVBand="1"/>
      </w:tblPr>
      <w:tblGrid>
        <w:gridCol w:w="2410"/>
        <w:gridCol w:w="2410"/>
      </w:tblGrid>
      <w:tr w:rsidR="00937EA8" w14:paraId="2F94C06D" w14:textId="77777777" w:rsidTr="003D2E4C">
        <w:tc>
          <w:tcPr>
            <w:tcW w:w="2410" w:type="dxa"/>
          </w:tcPr>
          <w:p w14:paraId="2F94C06B" w14:textId="77777777" w:rsidR="003D2E4C" w:rsidRPr="00672F96" w:rsidRDefault="00522617" w:rsidP="00672F96">
            <w:pPr>
              <w:tabs>
                <w:tab w:val="clear" w:pos="567"/>
              </w:tabs>
              <w:spacing w:line="240" w:lineRule="auto"/>
              <w:rPr>
                <w:szCs w:val="22"/>
              </w:rPr>
            </w:pPr>
            <w:r w:rsidRPr="00672F96">
              <w:rPr>
                <w:b/>
                <w:szCs w:val="22"/>
              </w:rPr>
              <w:t>Body surface area (m²)</w:t>
            </w:r>
          </w:p>
        </w:tc>
        <w:tc>
          <w:tcPr>
            <w:tcW w:w="2410" w:type="dxa"/>
          </w:tcPr>
          <w:p w14:paraId="2F94C06C" w14:textId="77777777" w:rsidR="003D2E4C" w:rsidRPr="00672F96" w:rsidRDefault="00522617" w:rsidP="00672F96">
            <w:pPr>
              <w:tabs>
                <w:tab w:val="clear" w:pos="567"/>
              </w:tabs>
              <w:spacing w:line="240" w:lineRule="auto"/>
              <w:rPr>
                <w:szCs w:val="22"/>
              </w:rPr>
            </w:pPr>
            <w:proofErr w:type="spellStart"/>
            <w:r w:rsidRPr="00672F96">
              <w:rPr>
                <w:b/>
                <w:szCs w:val="22"/>
              </w:rPr>
              <w:t>Treosulfan</w:t>
            </w:r>
            <w:proofErr w:type="spellEnd"/>
            <w:r w:rsidRPr="00672F96">
              <w:rPr>
                <w:b/>
                <w:szCs w:val="22"/>
              </w:rPr>
              <w:t xml:space="preserve"> dose (g/m²)</w:t>
            </w:r>
          </w:p>
        </w:tc>
      </w:tr>
      <w:tr w:rsidR="00937EA8" w14:paraId="2F94C070" w14:textId="77777777" w:rsidTr="003D2E4C">
        <w:tc>
          <w:tcPr>
            <w:tcW w:w="2410" w:type="dxa"/>
          </w:tcPr>
          <w:p w14:paraId="2F94C06E" w14:textId="634E3765" w:rsidR="003D2E4C" w:rsidRPr="00672F96" w:rsidRDefault="00B56C4F" w:rsidP="00087F5E">
            <w:pPr>
              <w:tabs>
                <w:tab w:val="clear" w:pos="567"/>
              </w:tabs>
              <w:spacing w:line="240" w:lineRule="auto"/>
              <w:rPr>
                <w:szCs w:val="22"/>
              </w:rPr>
            </w:pPr>
            <w:r>
              <w:rPr>
                <w:szCs w:val="22"/>
              </w:rPr>
              <w:t>&lt;</w:t>
            </w:r>
            <w:r w:rsidR="007E32E8" w:rsidRPr="00672F96">
              <w:rPr>
                <w:szCs w:val="22"/>
              </w:rPr>
              <w:t> </w:t>
            </w:r>
            <w:r w:rsidR="00087F5E">
              <w:rPr>
                <w:szCs w:val="22"/>
              </w:rPr>
              <w:t>0.4</w:t>
            </w:r>
          </w:p>
        </w:tc>
        <w:tc>
          <w:tcPr>
            <w:tcW w:w="2410" w:type="dxa"/>
          </w:tcPr>
          <w:p w14:paraId="2F94C06F" w14:textId="77777777" w:rsidR="003D2E4C" w:rsidRPr="00672F96" w:rsidRDefault="00522617" w:rsidP="00672F96">
            <w:pPr>
              <w:tabs>
                <w:tab w:val="clear" w:pos="567"/>
              </w:tabs>
              <w:spacing w:line="240" w:lineRule="auto"/>
              <w:rPr>
                <w:szCs w:val="22"/>
              </w:rPr>
            </w:pPr>
            <w:r w:rsidRPr="00672F96">
              <w:rPr>
                <w:szCs w:val="22"/>
              </w:rPr>
              <w:t>10.0</w:t>
            </w:r>
          </w:p>
        </w:tc>
      </w:tr>
      <w:tr w:rsidR="00937EA8" w14:paraId="2F94C073" w14:textId="77777777" w:rsidTr="003D2E4C">
        <w:tc>
          <w:tcPr>
            <w:tcW w:w="2410" w:type="dxa"/>
          </w:tcPr>
          <w:p w14:paraId="2F94C071" w14:textId="49E8E398" w:rsidR="003D2E4C" w:rsidRPr="00672F96" w:rsidRDefault="00087F5E" w:rsidP="00672F96">
            <w:pPr>
              <w:tabs>
                <w:tab w:val="clear" w:pos="567"/>
              </w:tabs>
              <w:spacing w:line="240" w:lineRule="auto"/>
              <w:rPr>
                <w:szCs w:val="22"/>
              </w:rPr>
            </w:pPr>
            <w:r w:rsidRPr="00C24F11">
              <w:rPr>
                <w:szCs w:val="22"/>
              </w:rPr>
              <w:t>≥ 0.4 to &lt; 0.9</w:t>
            </w:r>
          </w:p>
        </w:tc>
        <w:tc>
          <w:tcPr>
            <w:tcW w:w="2410" w:type="dxa"/>
          </w:tcPr>
          <w:p w14:paraId="2F94C072" w14:textId="77777777" w:rsidR="003D2E4C" w:rsidRPr="00672F96" w:rsidRDefault="00522617" w:rsidP="00672F96">
            <w:pPr>
              <w:tabs>
                <w:tab w:val="clear" w:pos="567"/>
              </w:tabs>
              <w:spacing w:line="240" w:lineRule="auto"/>
              <w:rPr>
                <w:szCs w:val="22"/>
              </w:rPr>
            </w:pPr>
            <w:r w:rsidRPr="00672F96">
              <w:rPr>
                <w:szCs w:val="22"/>
              </w:rPr>
              <w:t>12.0</w:t>
            </w:r>
          </w:p>
        </w:tc>
      </w:tr>
      <w:tr w:rsidR="00937EA8" w14:paraId="2F94C076" w14:textId="77777777" w:rsidTr="003D2E4C">
        <w:tc>
          <w:tcPr>
            <w:tcW w:w="2410" w:type="dxa"/>
          </w:tcPr>
          <w:p w14:paraId="2F94C074" w14:textId="6DAB4F4A" w:rsidR="003D2E4C" w:rsidRPr="00672F96" w:rsidRDefault="0019540E" w:rsidP="00672F96">
            <w:pPr>
              <w:tabs>
                <w:tab w:val="clear" w:pos="567"/>
              </w:tabs>
              <w:spacing w:line="240" w:lineRule="auto"/>
              <w:rPr>
                <w:szCs w:val="22"/>
              </w:rPr>
            </w:pPr>
            <w:r w:rsidRPr="00C24F11">
              <w:rPr>
                <w:szCs w:val="22"/>
              </w:rPr>
              <w:t>≥ 0.9</w:t>
            </w:r>
          </w:p>
        </w:tc>
        <w:tc>
          <w:tcPr>
            <w:tcW w:w="2410" w:type="dxa"/>
          </w:tcPr>
          <w:p w14:paraId="2F94C075" w14:textId="77777777" w:rsidR="003D2E4C" w:rsidRPr="00672F96" w:rsidRDefault="00522617" w:rsidP="00672F96">
            <w:pPr>
              <w:tabs>
                <w:tab w:val="clear" w:pos="567"/>
              </w:tabs>
              <w:spacing w:line="240" w:lineRule="auto"/>
              <w:rPr>
                <w:szCs w:val="22"/>
              </w:rPr>
            </w:pPr>
            <w:r w:rsidRPr="00672F96">
              <w:rPr>
                <w:szCs w:val="22"/>
              </w:rPr>
              <w:t>14.0</w:t>
            </w:r>
          </w:p>
        </w:tc>
      </w:tr>
    </w:tbl>
    <w:p w14:paraId="2F94C077" w14:textId="77777777" w:rsidR="00E33D13" w:rsidRPr="00672F96" w:rsidRDefault="00E33D13" w:rsidP="00672F96">
      <w:pPr>
        <w:tabs>
          <w:tab w:val="clear" w:pos="567"/>
        </w:tabs>
        <w:spacing w:line="240" w:lineRule="auto"/>
        <w:ind w:left="567"/>
        <w:rPr>
          <w:szCs w:val="22"/>
        </w:rPr>
      </w:pPr>
    </w:p>
    <w:p w14:paraId="2F94C078" w14:textId="77777777" w:rsidR="00C947B7" w:rsidRPr="00672F96" w:rsidRDefault="00522617" w:rsidP="00672F96">
      <w:pPr>
        <w:numPr>
          <w:ilvl w:val="0"/>
          <w:numId w:val="27"/>
        </w:numPr>
        <w:spacing w:line="240" w:lineRule="auto"/>
        <w:rPr>
          <w:szCs w:val="22"/>
        </w:rPr>
      </w:pPr>
      <w:r w:rsidRPr="00672F96">
        <w:rPr>
          <w:szCs w:val="22"/>
        </w:rPr>
        <w:t>Fludarabine 30 </w:t>
      </w:r>
      <w:r w:rsidR="00C81BB6" w:rsidRPr="00672F96">
        <w:rPr>
          <w:szCs w:val="22"/>
        </w:rPr>
        <w:t>m</w:t>
      </w:r>
      <w:r w:rsidRPr="00672F96">
        <w:rPr>
          <w:szCs w:val="22"/>
        </w:rPr>
        <w:t>g/m² BSA</w:t>
      </w:r>
      <w:r w:rsidR="00710C4E" w:rsidRPr="00672F96">
        <w:rPr>
          <w:szCs w:val="22"/>
        </w:rPr>
        <w:t xml:space="preserve"> per day</w:t>
      </w:r>
      <w:r w:rsidRPr="00672F96">
        <w:rPr>
          <w:szCs w:val="22"/>
        </w:rPr>
        <w:t xml:space="preserve"> as a </w:t>
      </w:r>
      <w:r w:rsidRPr="0063799C">
        <w:rPr>
          <w:szCs w:val="22"/>
        </w:rPr>
        <w:t>0.5</w:t>
      </w:r>
      <w:r w:rsidR="00B242A3" w:rsidRPr="0063799C">
        <w:rPr>
          <w:szCs w:val="22"/>
        </w:rPr>
        <w:noBreakHyphen/>
      </w:r>
      <w:r w:rsidRPr="0063799C">
        <w:rPr>
          <w:szCs w:val="22"/>
        </w:rPr>
        <w:t>hour intravenous</w:t>
      </w:r>
      <w:r w:rsidRPr="00672F96">
        <w:rPr>
          <w:szCs w:val="22"/>
        </w:rPr>
        <w:t xml:space="preserve"> infusion, given on five consecutive days (day</w:t>
      </w:r>
      <w:r w:rsidR="008B36D0" w:rsidRPr="00672F96">
        <w:rPr>
          <w:szCs w:val="22"/>
        </w:rPr>
        <w:t> </w:t>
      </w:r>
      <w:r w:rsidRPr="00672F96">
        <w:rPr>
          <w:szCs w:val="22"/>
        </w:rPr>
        <w:t>-</w:t>
      </w:r>
      <w:r w:rsidR="001A2C4C" w:rsidRPr="00672F96">
        <w:rPr>
          <w:szCs w:val="22"/>
        </w:rPr>
        <w:t>7</w:t>
      </w:r>
      <w:r w:rsidRPr="00672F96">
        <w:rPr>
          <w:szCs w:val="22"/>
        </w:rPr>
        <w:t>, -</w:t>
      </w:r>
      <w:r w:rsidR="001A2C4C" w:rsidRPr="00672F96">
        <w:rPr>
          <w:szCs w:val="22"/>
        </w:rPr>
        <w:t>6</w:t>
      </w:r>
      <w:r w:rsidRPr="00672F96">
        <w:rPr>
          <w:szCs w:val="22"/>
        </w:rPr>
        <w:t>, -</w:t>
      </w:r>
      <w:r w:rsidR="001A2C4C" w:rsidRPr="00672F96">
        <w:rPr>
          <w:szCs w:val="22"/>
        </w:rPr>
        <w:t>5</w:t>
      </w:r>
      <w:r w:rsidRPr="00672F96">
        <w:rPr>
          <w:szCs w:val="22"/>
        </w:rPr>
        <w:t>, -</w:t>
      </w:r>
      <w:r w:rsidR="001A2C4C" w:rsidRPr="00672F96">
        <w:rPr>
          <w:szCs w:val="22"/>
        </w:rPr>
        <w:t>4</w:t>
      </w:r>
      <w:r w:rsidRPr="00672F96">
        <w:rPr>
          <w:szCs w:val="22"/>
        </w:rPr>
        <w:t>, -</w:t>
      </w:r>
      <w:r w:rsidR="001A2C4C" w:rsidRPr="00672F96">
        <w:rPr>
          <w:szCs w:val="22"/>
        </w:rPr>
        <w:t>3</w:t>
      </w:r>
      <w:r w:rsidRPr="00672F96">
        <w:rPr>
          <w:szCs w:val="22"/>
        </w:rPr>
        <w:t>)</w:t>
      </w:r>
      <w:r w:rsidR="00D2089E" w:rsidRPr="00672F96">
        <w:rPr>
          <w:szCs w:val="22"/>
        </w:rPr>
        <w:t xml:space="preserve"> before stem cell infusion (day 0)</w:t>
      </w:r>
      <w:r w:rsidR="00710C4E" w:rsidRPr="00672F96">
        <w:rPr>
          <w:szCs w:val="22"/>
        </w:rPr>
        <w:t xml:space="preserve">. The </w:t>
      </w:r>
      <w:r w:rsidRPr="00672F96">
        <w:rPr>
          <w:szCs w:val="22"/>
        </w:rPr>
        <w:t>total fludarabine dose</w:t>
      </w:r>
      <w:r w:rsidR="00710C4E" w:rsidRPr="00672F96">
        <w:rPr>
          <w:szCs w:val="22"/>
        </w:rPr>
        <w:t xml:space="preserve"> is</w:t>
      </w:r>
      <w:r w:rsidRPr="00672F96">
        <w:rPr>
          <w:szCs w:val="22"/>
        </w:rPr>
        <w:t xml:space="preserve"> 150</w:t>
      </w:r>
      <w:r w:rsidR="002451A7" w:rsidRPr="00672F96">
        <w:rPr>
          <w:szCs w:val="22"/>
        </w:rPr>
        <w:t> </w:t>
      </w:r>
      <w:r w:rsidRPr="00672F96">
        <w:rPr>
          <w:szCs w:val="22"/>
        </w:rPr>
        <w:t>mg/m</w:t>
      </w:r>
      <w:proofErr w:type="gramStart"/>
      <w:r w:rsidRPr="00672F96">
        <w:rPr>
          <w:szCs w:val="22"/>
        </w:rPr>
        <w:t>²</w:t>
      </w:r>
      <w:r w:rsidR="004451CA" w:rsidRPr="00672F96">
        <w:rPr>
          <w:szCs w:val="22"/>
        </w:rPr>
        <w:t>;</w:t>
      </w:r>
      <w:proofErr w:type="gramEnd"/>
    </w:p>
    <w:p w14:paraId="2F94C079" w14:textId="77777777" w:rsidR="00C947B7" w:rsidRPr="00672F96" w:rsidRDefault="00522617" w:rsidP="00672F96">
      <w:pPr>
        <w:numPr>
          <w:ilvl w:val="0"/>
          <w:numId w:val="27"/>
        </w:numPr>
        <w:spacing w:line="240" w:lineRule="auto"/>
        <w:rPr>
          <w:szCs w:val="22"/>
        </w:rPr>
      </w:pPr>
      <w:proofErr w:type="spellStart"/>
      <w:r w:rsidRPr="00672F96">
        <w:rPr>
          <w:szCs w:val="22"/>
        </w:rPr>
        <w:t>Treosulfan</w:t>
      </w:r>
      <w:proofErr w:type="spellEnd"/>
      <w:r w:rsidRPr="00672F96">
        <w:rPr>
          <w:szCs w:val="22"/>
        </w:rPr>
        <w:t xml:space="preserve"> should be </w:t>
      </w:r>
      <w:r w:rsidR="004451CA" w:rsidRPr="00672F96">
        <w:rPr>
          <w:szCs w:val="22"/>
        </w:rPr>
        <w:t>administered</w:t>
      </w:r>
      <w:r w:rsidRPr="00672F96">
        <w:rPr>
          <w:szCs w:val="22"/>
        </w:rPr>
        <w:t xml:space="preserve"> before </w:t>
      </w:r>
      <w:proofErr w:type="gramStart"/>
      <w:r w:rsidRPr="00672F96">
        <w:rPr>
          <w:szCs w:val="22"/>
        </w:rPr>
        <w:t>fludarabine</w:t>
      </w:r>
      <w:r w:rsidR="004451CA" w:rsidRPr="00672F96">
        <w:rPr>
          <w:szCs w:val="22"/>
        </w:rPr>
        <w:t>;</w:t>
      </w:r>
      <w:proofErr w:type="gramEnd"/>
    </w:p>
    <w:p w14:paraId="2F94C07A" w14:textId="2DADCF36" w:rsidR="00C947B7" w:rsidRPr="00672F96" w:rsidRDefault="00522617" w:rsidP="00672F96">
      <w:pPr>
        <w:numPr>
          <w:ilvl w:val="0"/>
          <w:numId w:val="27"/>
        </w:numPr>
        <w:spacing w:line="240" w:lineRule="auto"/>
        <w:rPr>
          <w:szCs w:val="22"/>
        </w:rPr>
      </w:pPr>
      <w:r w:rsidRPr="00672F96">
        <w:rPr>
          <w:szCs w:val="22"/>
        </w:rPr>
        <w:t>Thiotepa (intensified regimen</w:t>
      </w:r>
      <w:r w:rsidR="0052172D">
        <w:rPr>
          <w:szCs w:val="22"/>
        </w:rPr>
        <w:t xml:space="preserve"> </w:t>
      </w:r>
      <w:r w:rsidRPr="00672F96">
        <w:rPr>
          <w:szCs w:val="22"/>
        </w:rPr>
        <w:t>5 mg/kg</w:t>
      </w:r>
      <w:r w:rsidR="00C174C1" w:rsidRPr="00672F96">
        <w:rPr>
          <w:szCs w:val="22"/>
        </w:rPr>
        <w:t xml:space="preserve"> twice a day</w:t>
      </w:r>
      <w:r w:rsidR="0038429C" w:rsidRPr="001F5BAC">
        <w:rPr>
          <w:szCs w:val="22"/>
        </w:rPr>
        <w:t>)</w:t>
      </w:r>
      <w:r w:rsidR="002451A7" w:rsidRPr="00672F96">
        <w:rPr>
          <w:szCs w:val="22"/>
        </w:rPr>
        <w:t>, given as two intravenous infusions</w:t>
      </w:r>
      <w:r w:rsidR="007E32E8" w:rsidRPr="00672F96">
        <w:rPr>
          <w:szCs w:val="22"/>
        </w:rPr>
        <w:t xml:space="preserve"> over </w:t>
      </w:r>
      <w:r w:rsidR="007E32E8" w:rsidRPr="001F5BAC">
        <w:rPr>
          <w:szCs w:val="22"/>
        </w:rPr>
        <w:t>2</w:t>
      </w:r>
      <w:r w:rsidR="008B36D0" w:rsidRPr="001F5BAC">
        <w:rPr>
          <w:szCs w:val="22"/>
        </w:rPr>
        <w:t>–</w:t>
      </w:r>
      <w:r w:rsidR="007E32E8" w:rsidRPr="001F5BAC">
        <w:rPr>
          <w:szCs w:val="22"/>
        </w:rPr>
        <w:t>4</w:t>
      </w:r>
      <w:r w:rsidR="007E32E8" w:rsidRPr="00672F96">
        <w:rPr>
          <w:szCs w:val="22"/>
        </w:rPr>
        <w:t> hours</w:t>
      </w:r>
      <w:r w:rsidR="002451A7" w:rsidRPr="00672F96">
        <w:rPr>
          <w:szCs w:val="22"/>
        </w:rPr>
        <w:t xml:space="preserve"> on day -2</w:t>
      </w:r>
      <w:r w:rsidR="00D2089E" w:rsidRPr="00672F96">
        <w:rPr>
          <w:szCs w:val="22"/>
        </w:rPr>
        <w:t xml:space="preserve"> before stem cell infusion (day 0)</w:t>
      </w:r>
      <w:r w:rsidR="002451A7" w:rsidRPr="00672F96">
        <w:rPr>
          <w:szCs w:val="22"/>
        </w:rPr>
        <w:t>.</w:t>
      </w:r>
    </w:p>
    <w:p w14:paraId="2F94C07B" w14:textId="77777777" w:rsidR="000D6EEC" w:rsidRPr="00672F96" w:rsidRDefault="000D6EEC" w:rsidP="00672F96">
      <w:pPr>
        <w:spacing w:line="240" w:lineRule="auto"/>
        <w:rPr>
          <w:szCs w:val="22"/>
        </w:rPr>
      </w:pPr>
    </w:p>
    <w:p w14:paraId="2F94C07C" w14:textId="57903308" w:rsidR="00AE0267" w:rsidRDefault="00522617" w:rsidP="00672F96">
      <w:pPr>
        <w:spacing w:line="240" w:lineRule="auto"/>
        <w:rPr>
          <w:szCs w:val="22"/>
        </w:rPr>
      </w:pPr>
      <w:r w:rsidRPr="00672F96">
        <w:rPr>
          <w:szCs w:val="22"/>
        </w:rPr>
        <w:t xml:space="preserve">The safety and efficacy of </w:t>
      </w:r>
      <w:proofErr w:type="spellStart"/>
      <w:r w:rsidRPr="00672F96">
        <w:rPr>
          <w:szCs w:val="22"/>
        </w:rPr>
        <w:t>treosulfan</w:t>
      </w:r>
      <w:proofErr w:type="spellEnd"/>
      <w:r w:rsidRPr="00672F96">
        <w:rPr>
          <w:szCs w:val="22"/>
        </w:rPr>
        <w:t xml:space="preserve"> in children less than 1</w:t>
      </w:r>
      <w:r w:rsidR="00387971" w:rsidRPr="00672F96">
        <w:rPr>
          <w:szCs w:val="22"/>
        </w:rPr>
        <w:t> </w:t>
      </w:r>
      <w:r w:rsidRPr="00672F96">
        <w:rPr>
          <w:szCs w:val="22"/>
        </w:rPr>
        <w:t>month of age has not yet been established.</w:t>
      </w:r>
    </w:p>
    <w:p w14:paraId="5202A461" w14:textId="77777777" w:rsidR="002C6A59" w:rsidRPr="00672F96" w:rsidRDefault="002C6A59" w:rsidP="00672F96">
      <w:pPr>
        <w:spacing w:line="240" w:lineRule="auto"/>
        <w:rPr>
          <w:szCs w:val="22"/>
        </w:rPr>
      </w:pPr>
    </w:p>
    <w:p w14:paraId="2F94C07E" w14:textId="77777777" w:rsidR="00AE0267" w:rsidRPr="00672F96" w:rsidRDefault="00522617" w:rsidP="00672F96">
      <w:pPr>
        <w:keepNext/>
        <w:spacing w:line="240" w:lineRule="auto"/>
        <w:rPr>
          <w:szCs w:val="22"/>
          <w:u w:val="single"/>
        </w:rPr>
      </w:pPr>
      <w:r w:rsidRPr="00672F96">
        <w:rPr>
          <w:szCs w:val="22"/>
          <w:u w:val="single"/>
        </w:rPr>
        <w:lastRenderedPageBreak/>
        <w:t>Method of administration</w:t>
      </w:r>
    </w:p>
    <w:p w14:paraId="2F94C07F" w14:textId="77777777" w:rsidR="00E419D7" w:rsidRPr="00672F96" w:rsidRDefault="00E419D7" w:rsidP="00672F96">
      <w:pPr>
        <w:keepNext/>
        <w:spacing w:line="240" w:lineRule="auto"/>
        <w:rPr>
          <w:szCs w:val="22"/>
          <w:u w:val="single"/>
        </w:rPr>
      </w:pPr>
    </w:p>
    <w:p w14:paraId="2F94C080" w14:textId="77777777" w:rsidR="00D16079" w:rsidRPr="00672F96" w:rsidRDefault="00522617" w:rsidP="00672F96">
      <w:pPr>
        <w:keepNext/>
        <w:spacing w:line="240" w:lineRule="auto"/>
        <w:rPr>
          <w:szCs w:val="22"/>
        </w:rPr>
      </w:pPr>
      <w:proofErr w:type="spellStart"/>
      <w:r w:rsidRPr="00672F96">
        <w:rPr>
          <w:szCs w:val="22"/>
        </w:rPr>
        <w:t>Treosulfan</w:t>
      </w:r>
      <w:proofErr w:type="spellEnd"/>
      <w:r w:rsidRPr="00672F96">
        <w:rPr>
          <w:szCs w:val="22"/>
        </w:rPr>
        <w:t xml:space="preserve"> is for intravenous use</w:t>
      </w:r>
      <w:r w:rsidR="00C174C1" w:rsidRPr="00672F96">
        <w:rPr>
          <w:szCs w:val="22"/>
        </w:rPr>
        <w:t xml:space="preserve"> as a two-hour infusion</w:t>
      </w:r>
      <w:r w:rsidRPr="00672F96">
        <w:rPr>
          <w:szCs w:val="22"/>
        </w:rPr>
        <w:t>.</w:t>
      </w:r>
    </w:p>
    <w:p w14:paraId="2F94C081" w14:textId="77777777" w:rsidR="00D16079" w:rsidRPr="00672F96" w:rsidRDefault="00D16079" w:rsidP="00672F96">
      <w:pPr>
        <w:keepNext/>
        <w:spacing w:line="240" w:lineRule="auto"/>
        <w:rPr>
          <w:szCs w:val="22"/>
          <w:u w:val="single"/>
        </w:rPr>
      </w:pPr>
    </w:p>
    <w:p w14:paraId="2F94C082" w14:textId="77777777" w:rsidR="00AE0267" w:rsidRDefault="00522617" w:rsidP="00672F96">
      <w:pPr>
        <w:keepNext/>
        <w:spacing w:line="240" w:lineRule="auto"/>
        <w:rPr>
          <w:i/>
          <w:iCs/>
          <w:szCs w:val="22"/>
        </w:rPr>
      </w:pPr>
      <w:r w:rsidRPr="00672F96">
        <w:rPr>
          <w:i/>
          <w:iCs/>
          <w:szCs w:val="22"/>
        </w:rPr>
        <w:t xml:space="preserve">Precautions to be taken before handling or administering the medicinal </w:t>
      </w:r>
      <w:r w:rsidRPr="001F5BAC">
        <w:rPr>
          <w:i/>
          <w:iCs/>
          <w:szCs w:val="22"/>
        </w:rPr>
        <w:t>product</w:t>
      </w:r>
    </w:p>
    <w:p w14:paraId="2F94C083" w14:textId="77777777" w:rsidR="0045098D" w:rsidRPr="00672F96" w:rsidRDefault="0045098D" w:rsidP="00672F96">
      <w:pPr>
        <w:keepNext/>
        <w:spacing w:line="240" w:lineRule="auto"/>
        <w:rPr>
          <w:szCs w:val="22"/>
        </w:rPr>
      </w:pPr>
    </w:p>
    <w:p w14:paraId="2F94C084" w14:textId="77777777" w:rsidR="00AE0267" w:rsidRPr="00672F96" w:rsidRDefault="00522617" w:rsidP="00672F96">
      <w:pPr>
        <w:spacing w:line="240" w:lineRule="auto"/>
        <w:rPr>
          <w:szCs w:val="22"/>
        </w:rPr>
      </w:pPr>
      <w:r w:rsidRPr="00672F96">
        <w:rPr>
          <w:szCs w:val="22"/>
        </w:rPr>
        <w:t xml:space="preserve">When handling </w:t>
      </w:r>
      <w:proofErr w:type="spellStart"/>
      <w:r w:rsidRPr="00672F96">
        <w:rPr>
          <w:szCs w:val="22"/>
        </w:rPr>
        <w:t>treosulfan</w:t>
      </w:r>
      <w:proofErr w:type="spellEnd"/>
      <w:r w:rsidRPr="00672F96">
        <w:rPr>
          <w:szCs w:val="22"/>
        </w:rPr>
        <w:t xml:space="preserve">, inhalation, skin contact or contact with mucous membranes should be avoided. Pregnant personnel should be excluded from handling </w:t>
      </w:r>
      <w:proofErr w:type="spellStart"/>
      <w:r w:rsidRPr="00672F96">
        <w:rPr>
          <w:szCs w:val="22"/>
        </w:rPr>
        <w:t>cytotoxics</w:t>
      </w:r>
      <w:proofErr w:type="spellEnd"/>
      <w:r w:rsidRPr="00672F96">
        <w:rPr>
          <w:szCs w:val="22"/>
        </w:rPr>
        <w:t>.</w:t>
      </w:r>
    </w:p>
    <w:p w14:paraId="2F94C085" w14:textId="77777777" w:rsidR="00D16079" w:rsidRPr="00672F96" w:rsidRDefault="00D16079" w:rsidP="00672F96">
      <w:pPr>
        <w:spacing w:line="240" w:lineRule="auto"/>
        <w:rPr>
          <w:szCs w:val="22"/>
        </w:rPr>
      </w:pPr>
    </w:p>
    <w:p w14:paraId="2F94C086" w14:textId="77777777" w:rsidR="006D5B15" w:rsidRPr="00672F96" w:rsidRDefault="00522617" w:rsidP="00672F96">
      <w:pPr>
        <w:spacing w:line="240" w:lineRule="auto"/>
        <w:rPr>
          <w:szCs w:val="22"/>
        </w:rPr>
      </w:pPr>
      <w:r w:rsidRPr="00672F96">
        <w:rPr>
          <w:szCs w:val="22"/>
        </w:rPr>
        <w:t>Intravenous administration should be performed using a safe technique to avoid extravasation (see</w:t>
      </w:r>
      <w:r w:rsidR="00C124A3" w:rsidRPr="00672F96">
        <w:rPr>
          <w:szCs w:val="22"/>
        </w:rPr>
        <w:t xml:space="preserve"> section</w:t>
      </w:r>
      <w:r w:rsidR="00387971" w:rsidRPr="00672F96">
        <w:rPr>
          <w:szCs w:val="22"/>
        </w:rPr>
        <w:t> </w:t>
      </w:r>
      <w:r w:rsidRPr="00672F96">
        <w:rPr>
          <w:szCs w:val="22"/>
        </w:rPr>
        <w:t>4.4).</w:t>
      </w:r>
    </w:p>
    <w:p w14:paraId="2F94C087" w14:textId="77777777" w:rsidR="006D5B15" w:rsidRPr="00672F96" w:rsidRDefault="006D5B15" w:rsidP="00672F96">
      <w:pPr>
        <w:spacing w:line="240" w:lineRule="auto"/>
        <w:rPr>
          <w:szCs w:val="22"/>
        </w:rPr>
      </w:pPr>
    </w:p>
    <w:p w14:paraId="2F94C088" w14:textId="046FF5FF" w:rsidR="00C174C1" w:rsidRPr="006076E8" w:rsidRDefault="006076E8" w:rsidP="006076E8">
      <w:pPr>
        <w:keepNext/>
        <w:spacing w:line="240" w:lineRule="auto"/>
        <w:rPr>
          <w:szCs w:val="22"/>
          <w:u w:val="single"/>
        </w:rPr>
      </w:pPr>
      <w:r w:rsidRPr="006076E8">
        <w:rPr>
          <w:szCs w:val="22"/>
          <w:u w:val="single"/>
        </w:rPr>
        <w:t>I</w:t>
      </w:r>
      <w:r w:rsidR="00522617" w:rsidRPr="006076E8">
        <w:rPr>
          <w:szCs w:val="22"/>
          <w:u w:val="single"/>
        </w:rPr>
        <w:t>nstructions on reconstitution of the medicin</w:t>
      </w:r>
      <w:r w:rsidRPr="006076E8">
        <w:rPr>
          <w:szCs w:val="22"/>
          <w:u w:val="single"/>
        </w:rPr>
        <w:t>e</w:t>
      </w:r>
      <w:r w:rsidR="00522617" w:rsidRPr="006076E8">
        <w:rPr>
          <w:szCs w:val="22"/>
          <w:u w:val="single"/>
        </w:rPr>
        <w:t xml:space="preserve"> before administration</w:t>
      </w:r>
    </w:p>
    <w:p w14:paraId="3317ED45" w14:textId="37F641AA" w:rsidR="006076E8" w:rsidRDefault="006076E8" w:rsidP="00672F96">
      <w:pPr>
        <w:spacing w:line="240" w:lineRule="auto"/>
        <w:rPr>
          <w:szCs w:val="22"/>
        </w:rPr>
      </w:pPr>
    </w:p>
    <w:p w14:paraId="649B5C0E" w14:textId="77777777" w:rsidR="006076E8" w:rsidRPr="00672F96" w:rsidRDefault="006076E8" w:rsidP="006076E8">
      <w:pPr>
        <w:spacing w:line="240" w:lineRule="auto"/>
        <w:rPr>
          <w:szCs w:val="22"/>
        </w:rPr>
      </w:pPr>
      <w:r w:rsidRPr="00672F96">
        <w:rPr>
          <w:szCs w:val="22"/>
        </w:rPr>
        <w:t xml:space="preserve">As with all cytotoxic substances, appropriate precautions should be taken when handling </w:t>
      </w:r>
      <w:proofErr w:type="spellStart"/>
      <w:r w:rsidRPr="00672F96">
        <w:rPr>
          <w:szCs w:val="22"/>
        </w:rPr>
        <w:t>treosulfan</w:t>
      </w:r>
      <w:proofErr w:type="spellEnd"/>
      <w:r w:rsidRPr="00672F96">
        <w:rPr>
          <w:szCs w:val="22"/>
        </w:rPr>
        <w:t>.</w:t>
      </w:r>
    </w:p>
    <w:p w14:paraId="372776E7" w14:textId="77777777" w:rsidR="006076E8" w:rsidRPr="00672F96" w:rsidRDefault="006076E8" w:rsidP="006076E8">
      <w:pPr>
        <w:spacing w:line="240" w:lineRule="auto"/>
        <w:rPr>
          <w:szCs w:val="22"/>
        </w:rPr>
      </w:pPr>
    </w:p>
    <w:p w14:paraId="00095264" w14:textId="77777777" w:rsidR="006076E8" w:rsidRPr="00672F96" w:rsidRDefault="006076E8" w:rsidP="006076E8">
      <w:pPr>
        <w:tabs>
          <w:tab w:val="clear" w:pos="567"/>
        </w:tabs>
        <w:spacing w:line="240" w:lineRule="auto"/>
        <w:rPr>
          <w:szCs w:val="22"/>
        </w:rPr>
      </w:pPr>
      <w:r w:rsidRPr="00672F96">
        <w:rPr>
          <w:szCs w:val="22"/>
        </w:rPr>
        <w:t xml:space="preserve">Trained personnel should reconstitute the medicinal product. When handling </w:t>
      </w:r>
      <w:proofErr w:type="spellStart"/>
      <w:r w:rsidRPr="00672F96">
        <w:rPr>
          <w:szCs w:val="22"/>
        </w:rPr>
        <w:t>treosulfan</w:t>
      </w:r>
      <w:proofErr w:type="spellEnd"/>
      <w:r w:rsidRPr="00672F96">
        <w:rPr>
          <w:szCs w:val="22"/>
        </w:rPr>
        <w:t xml:space="preserve">, inhalation, skin contact or contact with mucous membranes should be avoided (the use of adequate protective disposable gloves, goggles, </w:t>
      </w:r>
      <w:proofErr w:type="gramStart"/>
      <w:r w:rsidRPr="00672F96">
        <w:rPr>
          <w:szCs w:val="22"/>
        </w:rPr>
        <w:t>gown</w:t>
      </w:r>
      <w:proofErr w:type="gramEnd"/>
      <w:r w:rsidRPr="00672F96">
        <w:rPr>
          <w:szCs w:val="22"/>
        </w:rPr>
        <w:t xml:space="preserve"> and mask is recommended). Contaminated body parts should be carefully rinsed with water and soap, the eyes should be rinsed with sodium chloride 9</w:t>
      </w:r>
      <w:r>
        <w:rPr>
          <w:szCs w:val="22"/>
        </w:rPr>
        <w:t> </w:t>
      </w:r>
      <w:r w:rsidRPr="00672F96">
        <w:rPr>
          <w:szCs w:val="22"/>
        </w:rPr>
        <w:t>mg/</w:t>
      </w:r>
      <w:r w:rsidRPr="00F072EF">
        <w:rPr>
          <w:szCs w:val="22"/>
        </w:rPr>
        <w:t xml:space="preserve">mL (0.9%) solution. If </w:t>
      </w:r>
      <w:proofErr w:type="gramStart"/>
      <w:r w:rsidRPr="00F072EF">
        <w:rPr>
          <w:szCs w:val="22"/>
        </w:rPr>
        <w:t>possible</w:t>
      </w:r>
      <w:proofErr w:type="gramEnd"/>
      <w:r w:rsidRPr="00F072EF">
        <w:rPr>
          <w:szCs w:val="22"/>
        </w:rPr>
        <w:t xml:space="preserve"> it is recommended to work on a special safety workbench, equipped with laminar flow, with liquid</w:t>
      </w:r>
      <w:r w:rsidRPr="00F072EF">
        <w:rPr>
          <w:szCs w:val="22"/>
        </w:rPr>
        <w:noBreakHyphen/>
        <w:t>impermeable</w:t>
      </w:r>
      <w:r w:rsidRPr="00672F96">
        <w:rPr>
          <w:szCs w:val="22"/>
        </w:rPr>
        <w:t xml:space="preserve">, absorbent disposable foil. Adequate care and precautions should be taken in the disposal of items (syringes, needles, etc.) used to reconstitute cytotoxic medicinal products. Use </w:t>
      </w:r>
      <w:proofErr w:type="spellStart"/>
      <w:r w:rsidRPr="00672F96">
        <w:rPr>
          <w:szCs w:val="22"/>
        </w:rPr>
        <w:t>Luer</w:t>
      </w:r>
      <w:proofErr w:type="spellEnd"/>
      <w:r w:rsidRPr="00672F96">
        <w:rPr>
          <w:szCs w:val="22"/>
        </w:rPr>
        <w:noBreakHyphen/>
        <w:t xml:space="preserve">lock fittings on all syringes and sets. Large bore needles are recommended to minimise pressure and the possible formation of aerosols. The latter may also be reduced </w:t>
      </w:r>
      <w:proofErr w:type="gramStart"/>
      <w:r w:rsidRPr="00672F96">
        <w:rPr>
          <w:szCs w:val="22"/>
        </w:rPr>
        <w:t>by the use of</w:t>
      </w:r>
      <w:proofErr w:type="gramEnd"/>
      <w:r w:rsidRPr="00672F96">
        <w:rPr>
          <w:szCs w:val="22"/>
        </w:rPr>
        <w:t xml:space="preserve"> a venting needle. </w:t>
      </w:r>
    </w:p>
    <w:p w14:paraId="00AA6AF9" w14:textId="77777777" w:rsidR="006076E8" w:rsidRPr="00672F96" w:rsidRDefault="006076E8" w:rsidP="006076E8">
      <w:pPr>
        <w:tabs>
          <w:tab w:val="clear" w:pos="567"/>
        </w:tabs>
        <w:spacing w:line="240" w:lineRule="auto"/>
        <w:rPr>
          <w:szCs w:val="22"/>
        </w:rPr>
      </w:pPr>
      <w:r w:rsidRPr="00672F96">
        <w:rPr>
          <w:szCs w:val="22"/>
        </w:rPr>
        <w:t xml:space="preserve">Pregnant personnel should be excluded from handling </w:t>
      </w:r>
      <w:proofErr w:type="spellStart"/>
      <w:r w:rsidRPr="00672F96">
        <w:rPr>
          <w:szCs w:val="22"/>
        </w:rPr>
        <w:t>cytotoxics</w:t>
      </w:r>
      <w:proofErr w:type="spellEnd"/>
      <w:r w:rsidRPr="00672F96">
        <w:rPr>
          <w:szCs w:val="22"/>
        </w:rPr>
        <w:t>.</w:t>
      </w:r>
    </w:p>
    <w:p w14:paraId="24D67F1E" w14:textId="77777777" w:rsidR="006076E8" w:rsidRPr="00672F96" w:rsidRDefault="006076E8" w:rsidP="006076E8">
      <w:pPr>
        <w:spacing w:line="240" w:lineRule="auto"/>
        <w:rPr>
          <w:szCs w:val="22"/>
        </w:rPr>
      </w:pPr>
    </w:p>
    <w:p w14:paraId="53D76CEB" w14:textId="77777777" w:rsidR="006076E8" w:rsidRPr="00F072EF" w:rsidRDefault="006076E8" w:rsidP="006076E8">
      <w:pPr>
        <w:keepNext/>
        <w:keepLines/>
        <w:spacing w:line="240" w:lineRule="auto"/>
        <w:rPr>
          <w:szCs w:val="22"/>
        </w:rPr>
      </w:pPr>
      <w:r w:rsidRPr="00672F96">
        <w:rPr>
          <w:szCs w:val="22"/>
        </w:rPr>
        <w:t xml:space="preserve">Instructions </w:t>
      </w:r>
      <w:r w:rsidRPr="00F072EF">
        <w:rPr>
          <w:szCs w:val="22"/>
        </w:rPr>
        <w:t xml:space="preserve">for reconstitution of </w:t>
      </w:r>
      <w:proofErr w:type="spellStart"/>
      <w:r w:rsidRPr="00F072EF">
        <w:rPr>
          <w:szCs w:val="22"/>
        </w:rPr>
        <w:t>treosulfan</w:t>
      </w:r>
      <w:proofErr w:type="spellEnd"/>
      <w:r w:rsidRPr="00F072EF">
        <w:rPr>
          <w:szCs w:val="22"/>
        </w:rPr>
        <w:t>:</w:t>
      </w:r>
    </w:p>
    <w:p w14:paraId="0A7A5F29" w14:textId="42A0396F" w:rsidR="006076E8" w:rsidRPr="00F072EF" w:rsidRDefault="006076E8" w:rsidP="006076E8">
      <w:pPr>
        <w:keepNext/>
        <w:keepLines/>
        <w:spacing w:line="240" w:lineRule="auto"/>
        <w:ind w:left="567" w:hanging="567"/>
        <w:rPr>
          <w:szCs w:val="22"/>
        </w:rPr>
      </w:pPr>
      <w:r w:rsidRPr="00F072EF">
        <w:rPr>
          <w:szCs w:val="22"/>
        </w:rPr>
        <w:t>1.</w:t>
      </w:r>
      <w:r w:rsidRPr="00F072EF">
        <w:rPr>
          <w:szCs w:val="22"/>
        </w:rPr>
        <w:tab/>
      </w:r>
      <w:proofErr w:type="spellStart"/>
      <w:r w:rsidRPr="00F072EF">
        <w:rPr>
          <w:szCs w:val="22"/>
        </w:rPr>
        <w:t>Treosulfan</w:t>
      </w:r>
      <w:proofErr w:type="spellEnd"/>
      <w:r w:rsidRPr="00F072EF">
        <w:rPr>
          <w:szCs w:val="22"/>
        </w:rPr>
        <w:t xml:space="preserve"> is reconstituted in its original glass container. Reconstituted solutions of </w:t>
      </w:r>
      <w:proofErr w:type="spellStart"/>
      <w:r w:rsidRPr="00F072EF">
        <w:rPr>
          <w:szCs w:val="22"/>
        </w:rPr>
        <w:t>treosulfan</w:t>
      </w:r>
      <w:proofErr w:type="spellEnd"/>
      <w:r w:rsidRPr="00F072EF">
        <w:rPr>
          <w:szCs w:val="22"/>
        </w:rPr>
        <w:t xml:space="preserve"> may be combined into a larger glass vial, </w:t>
      </w:r>
      <w:r w:rsidR="00EB784F">
        <w:rPr>
          <w:szCs w:val="22"/>
        </w:rPr>
        <w:t>EVA</w:t>
      </w:r>
      <w:r w:rsidR="00EB784F" w:rsidRPr="00F072EF">
        <w:rPr>
          <w:szCs w:val="22"/>
        </w:rPr>
        <w:t xml:space="preserve"> </w:t>
      </w:r>
      <w:r w:rsidRPr="00F072EF">
        <w:rPr>
          <w:szCs w:val="22"/>
        </w:rPr>
        <w:t>bag or PE bag.</w:t>
      </w:r>
      <w:r w:rsidR="006771D8">
        <w:rPr>
          <w:szCs w:val="22"/>
        </w:rPr>
        <w:t xml:space="preserve"> Do not dilute reconstituted product. </w:t>
      </w:r>
    </w:p>
    <w:p w14:paraId="13A1535B" w14:textId="77777777" w:rsidR="006076E8" w:rsidRPr="00F072EF" w:rsidRDefault="006076E8" w:rsidP="006076E8">
      <w:pPr>
        <w:ind w:left="567" w:hanging="567"/>
      </w:pPr>
      <w:r w:rsidRPr="00F072EF">
        <w:t>2.</w:t>
      </w:r>
      <w:r w:rsidRPr="00F072EF">
        <w:tab/>
        <w:t>To avoid solubility problems, warm the solvent, sodium chloride 4.5 mg/mL (0.45%) solution, to 25 °C </w:t>
      </w:r>
      <w:r w:rsidRPr="00F072EF">
        <w:noBreakHyphen/>
        <w:t> 30 °C (not higher), for example by using a water bath.</w:t>
      </w:r>
    </w:p>
    <w:p w14:paraId="2F078B06" w14:textId="77777777" w:rsidR="006076E8" w:rsidRPr="00F072EF" w:rsidRDefault="006076E8" w:rsidP="006076E8">
      <w:pPr>
        <w:keepNext/>
        <w:keepLines/>
        <w:spacing w:line="240" w:lineRule="auto"/>
        <w:ind w:left="567" w:hanging="567"/>
        <w:rPr>
          <w:szCs w:val="22"/>
        </w:rPr>
      </w:pPr>
      <w:r w:rsidRPr="00F072EF">
        <w:rPr>
          <w:szCs w:val="22"/>
        </w:rPr>
        <w:t>3.</w:t>
      </w:r>
      <w:r w:rsidRPr="00F072EF">
        <w:rPr>
          <w:szCs w:val="22"/>
        </w:rPr>
        <w:tab/>
        <w:t xml:space="preserve">Remove the </w:t>
      </w:r>
      <w:proofErr w:type="spellStart"/>
      <w:r w:rsidRPr="00F072EF">
        <w:rPr>
          <w:szCs w:val="22"/>
        </w:rPr>
        <w:t>treosulfan</w:t>
      </w:r>
      <w:proofErr w:type="spellEnd"/>
      <w:r w:rsidRPr="00F072EF">
        <w:rPr>
          <w:szCs w:val="22"/>
        </w:rPr>
        <w:t xml:space="preserve"> powder carefully from the inner surface of the vial by shaking. This procedure is very important, because moistening of powder that sticks to the surface results in caking. If this happens, vigorously shake the vial to redissolve the cake.</w:t>
      </w:r>
    </w:p>
    <w:p w14:paraId="4F6D2B29" w14:textId="77777777" w:rsidR="006076E8" w:rsidRPr="00F072EF" w:rsidRDefault="006076E8" w:rsidP="006076E8">
      <w:pPr>
        <w:keepNext/>
        <w:keepLines/>
        <w:spacing w:line="240" w:lineRule="auto"/>
        <w:ind w:left="567" w:hanging="567"/>
        <w:rPr>
          <w:szCs w:val="22"/>
        </w:rPr>
      </w:pPr>
      <w:r w:rsidRPr="00F072EF">
        <w:rPr>
          <w:szCs w:val="22"/>
        </w:rPr>
        <w:t>4.</w:t>
      </w:r>
      <w:r w:rsidRPr="00F072EF">
        <w:rPr>
          <w:szCs w:val="22"/>
        </w:rPr>
        <w:tab/>
        <w:t xml:space="preserve">Reconstitute each vial of </w:t>
      </w:r>
      <w:proofErr w:type="spellStart"/>
      <w:r w:rsidRPr="00F072EF">
        <w:rPr>
          <w:szCs w:val="22"/>
        </w:rPr>
        <w:t>Trecondi</w:t>
      </w:r>
      <w:proofErr w:type="spellEnd"/>
      <w:r w:rsidRPr="00F072EF">
        <w:rPr>
          <w:szCs w:val="22"/>
        </w:rPr>
        <w:t xml:space="preserve"> containing 1 g </w:t>
      </w:r>
      <w:proofErr w:type="spellStart"/>
      <w:r w:rsidRPr="00F072EF">
        <w:rPr>
          <w:szCs w:val="22"/>
        </w:rPr>
        <w:t>treosulfan</w:t>
      </w:r>
      <w:proofErr w:type="spellEnd"/>
      <w:r w:rsidRPr="00F072EF">
        <w:rPr>
          <w:szCs w:val="22"/>
        </w:rPr>
        <w:t xml:space="preserve"> in 20 mL of pre</w:t>
      </w:r>
      <w:r w:rsidRPr="00F072EF">
        <w:rPr>
          <w:szCs w:val="22"/>
        </w:rPr>
        <w:noBreakHyphen/>
        <w:t>warmed (maximum 30 °C) sodium chloride 4.5 mg/mL (0.45%) solution by shaking.</w:t>
      </w:r>
    </w:p>
    <w:p w14:paraId="2A1DB6C3" w14:textId="77777777" w:rsidR="006076E8" w:rsidRPr="00F072EF" w:rsidRDefault="006076E8" w:rsidP="006076E8">
      <w:pPr>
        <w:keepNext/>
        <w:keepLines/>
        <w:spacing w:line="240" w:lineRule="auto"/>
        <w:ind w:left="567"/>
        <w:rPr>
          <w:szCs w:val="22"/>
        </w:rPr>
      </w:pPr>
      <w:r w:rsidRPr="00F072EF">
        <w:rPr>
          <w:szCs w:val="22"/>
          <w:shd w:val="clear" w:color="auto" w:fill="FFFFFF" w:themeFill="background1"/>
        </w:rPr>
        <w:t xml:space="preserve">Reconstitute each vial of </w:t>
      </w:r>
      <w:proofErr w:type="spellStart"/>
      <w:r w:rsidRPr="00F072EF">
        <w:rPr>
          <w:szCs w:val="22"/>
          <w:shd w:val="clear" w:color="auto" w:fill="FFFFFF" w:themeFill="background1"/>
        </w:rPr>
        <w:t>Trecondi</w:t>
      </w:r>
      <w:proofErr w:type="spellEnd"/>
      <w:r w:rsidRPr="00F072EF">
        <w:rPr>
          <w:szCs w:val="22"/>
          <w:shd w:val="clear" w:color="auto" w:fill="FFFFFF" w:themeFill="background1"/>
        </w:rPr>
        <w:t xml:space="preserve"> containing 5 g </w:t>
      </w:r>
      <w:proofErr w:type="spellStart"/>
      <w:r w:rsidRPr="00F072EF">
        <w:rPr>
          <w:szCs w:val="22"/>
          <w:shd w:val="clear" w:color="auto" w:fill="FFFFFF" w:themeFill="background1"/>
        </w:rPr>
        <w:t>treosulfan</w:t>
      </w:r>
      <w:proofErr w:type="spellEnd"/>
      <w:r w:rsidRPr="00F072EF">
        <w:rPr>
          <w:szCs w:val="22"/>
          <w:shd w:val="clear" w:color="auto" w:fill="FFFFFF" w:themeFill="background1"/>
        </w:rPr>
        <w:t xml:space="preserve"> in 100 mL of pre</w:t>
      </w:r>
      <w:r w:rsidRPr="00F072EF">
        <w:rPr>
          <w:szCs w:val="22"/>
          <w:shd w:val="clear" w:color="auto" w:fill="FFFFFF" w:themeFill="background1"/>
        </w:rPr>
        <w:noBreakHyphen/>
        <w:t xml:space="preserve">warmed (maximum 30 °C) sodium chloride </w:t>
      </w:r>
      <w:r w:rsidRPr="00F072EF">
        <w:rPr>
          <w:szCs w:val="22"/>
        </w:rPr>
        <w:t xml:space="preserve">4.5 mg/mL (0.45%) </w:t>
      </w:r>
      <w:r w:rsidRPr="00F072EF">
        <w:rPr>
          <w:szCs w:val="22"/>
          <w:shd w:val="clear" w:color="auto" w:fill="FFFFFF" w:themeFill="background1"/>
        </w:rPr>
        <w:t>solution by shaking.</w:t>
      </w:r>
    </w:p>
    <w:p w14:paraId="50F91BC6" w14:textId="77777777" w:rsidR="006076E8" w:rsidRPr="00F072EF" w:rsidRDefault="006076E8" w:rsidP="006076E8">
      <w:pPr>
        <w:tabs>
          <w:tab w:val="clear" w:pos="567"/>
          <w:tab w:val="left" w:pos="0"/>
        </w:tabs>
        <w:spacing w:line="240" w:lineRule="auto"/>
        <w:rPr>
          <w:szCs w:val="22"/>
        </w:rPr>
      </w:pPr>
    </w:p>
    <w:p w14:paraId="7FAB58F6" w14:textId="77777777" w:rsidR="006076E8" w:rsidRPr="00F072EF" w:rsidRDefault="006076E8" w:rsidP="006076E8">
      <w:pPr>
        <w:tabs>
          <w:tab w:val="clear" w:pos="567"/>
        </w:tabs>
        <w:spacing w:line="240" w:lineRule="auto"/>
        <w:rPr>
          <w:szCs w:val="22"/>
        </w:rPr>
      </w:pPr>
      <w:r w:rsidRPr="00F072EF">
        <w:rPr>
          <w:szCs w:val="22"/>
        </w:rPr>
        <w:t>For preparation of sodium chloride 4.5 mg/mL (0.45%) solution equivalent volumes of sodium chloride 9 mg/mL (0.9%) solution and water for injections can be mixed.</w:t>
      </w:r>
    </w:p>
    <w:p w14:paraId="6B80D3FE" w14:textId="77777777" w:rsidR="006076E8" w:rsidRPr="00F072EF" w:rsidRDefault="006076E8" w:rsidP="006076E8">
      <w:pPr>
        <w:tabs>
          <w:tab w:val="clear" w:pos="567"/>
          <w:tab w:val="left" w:pos="0"/>
        </w:tabs>
        <w:spacing w:line="240" w:lineRule="auto"/>
        <w:rPr>
          <w:szCs w:val="22"/>
        </w:rPr>
      </w:pPr>
    </w:p>
    <w:p w14:paraId="4851B694" w14:textId="77777777" w:rsidR="006076E8" w:rsidRPr="00672F96" w:rsidRDefault="006076E8" w:rsidP="006076E8">
      <w:pPr>
        <w:spacing w:line="240" w:lineRule="auto"/>
        <w:rPr>
          <w:szCs w:val="22"/>
        </w:rPr>
      </w:pPr>
      <w:r w:rsidRPr="00F072EF">
        <w:rPr>
          <w:szCs w:val="22"/>
        </w:rPr>
        <w:t xml:space="preserve">The reconstituted solution contains 50 mg </w:t>
      </w:r>
      <w:proofErr w:type="spellStart"/>
      <w:r w:rsidRPr="00F072EF">
        <w:rPr>
          <w:szCs w:val="22"/>
        </w:rPr>
        <w:t>treosulfan</w:t>
      </w:r>
      <w:proofErr w:type="spellEnd"/>
      <w:r w:rsidRPr="00F072EF">
        <w:rPr>
          <w:szCs w:val="22"/>
        </w:rPr>
        <w:t xml:space="preserve"> per mL and appears as a clear co</w:t>
      </w:r>
      <w:r w:rsidRPr="00672F96">
        <w:rPr>
          <w:szCs w:val="22"/>
        </w:rPr>
        <w:t xml:space="preserve">lourless solution. </w:t>
      </w:r>
      <w:r w:rsidRPr="0081250D">
        <w:rPr>
          <w:b/>
          <w:bCs/>
          <w:szCs w:val="22"/>
        </w:rPr>
        <w:t>Solutions showing any sign of precipitation should not be used.</w:t>
      </w:r>
    </w:p>
    <w:p w14:paraId="2F94C089" w14:textId="77777777" w:rsidR="001D133F" w:rsidRDefault="001D133F" w:rsidP="00672F96">
      <w:pPr>
        <w:spacing w:line="240" w:lineRule="auto"/>
        <w:rPr>
          <w:szCs w:val="22"/>
        </w:rPr>
      </w:pPr>
    </w:p>
    <w:p w14:paraId="2F94C08A" w14:textId="77777777" w:rsidR="00AE0267" w:rsidRPr="00672F96" w:rsidRDefault="00522617" w:rsidP="00672F96">
      <w:pPr>
        <w:pStyle w:val="Heading3"/>
        <w:rPr>
          <w:szCs w:val="22"/>
        </w:rPr>
      </w:pPr>
      <w:r w:rsidRPr="00672F96">
        <w:rPr>
          <w:szCs w:val="22"/>
        </w:rPr>
        <w:t>4.3</w:t>
      </w:r>
      <w:r w:rsidRPr="00672F96">
        <w:rPr>
          <w:szCs w:val="22"/>
        </w:rPr>
        <w:tab/>
        <w:t>Contraindications</w:t>
      </w:r>
    </w:p>
    <w:p w14:paraId="2F94C08B" w14:textId="77777777" w:rsidR="00AE0267" w:rsidRPr="00672F96" w:rsidRDefault="00AE0267" w:rsidP="00672F96">
      <w:pPr>
        <w:spacing w:line="240" w:lineRule="auto"/>
        <w:rPr>
          <w:szCs w:val="22"/>
        </w:rPr>
      </w:pPr>
    </w:p>
    <w:p w14:paraId="2F94C08C" w14:textId="77777777" w:rsidR="00AE0267" w:rsidRPr="00672F96" w:rsidRDefault="00522617" w:rsidP="00672F96">
      <w:pPr>
        <w:numPr>
          <w:ilvl w:val="0"/>
          <w:numId w:val="28"/>
        </w:numPr>
        <w:spacing w:line="240" w:lineRule="auto"/>
        <w:rPr>
          <w:szCs w:val="22"/>
        </w:rPr>
      </w:pPr>
      <w:r w:rsidRPr="00672F96">
        <w:rPr>
          <w:szCs w:val="22"/>
        </w:rPr>
        <w:t>Hypersensitivity to the active substance</w:t>
      </w:r>
    </w:p>
    <w:p w14:paraId="2F94C08D" w14:textId="77777777" w:rsidR="00147176" w:rsidRPr="00672F96" w:rsidRDefault="00522617" w:rsidP="00672F96">
      <w:pPr>
        <w:numPr>
          <w:ilvl w:val="0"/>
          <w:numId w:val="28"/>
        </w:numPr>
        <w:spacing w:line="240" w:lineRule="auto"/>
        <w:rPr>
          <w:szCs w:val="22"/>
        </w:rPr>
      </w:pPr>
      <w:r w:rsidRPr="00672F96">
        <w:rPr>
          <w:szCs w:val="22"/>
        </w:rPr>
        <w:t>Active non-controlled infectious disease</w:t>
      </w:r>
    </w:p>
    <w:p w14:paraId="2F94C08E" w14:textId="77777777" w:rsidR="008E76E9" w:rsidRPr="00672F96" w:rsidRDefault="00522617" w:rsidP="00672F96">
      <w:pPr>
        <w:numPr>
          <w:ilvl w:val="0"/>
          <w:numId w:val="28"/>
        </w:numPr>
        <w:spacing w:line="240" w:lineRule="auto"/>
        <w:rPr>
          <w:szCs w:val="22"/>
        </w:rPr>
      </w:pPr>
      <w:r w:rsidRPr="00672F96">
        <w:rPr>
          <w:szCs w:val="22"/>
        </w:rPr>
        <w:t>Severe concomitant cardiac, lung, liver, and renal impairment</w:t>
      </w:r>
    </w:p>
    <w:p w14:paraId="2F94C08F" w14:textId="77777777" w:rsidR="00147176" w:rsidRPr="00672F96" w:rsidRDefault="00522617" w:rsidP="00672F96">
      <w:pPr>
        <w:numPr>
          <w:ilvl w:val="0"/>
          <w:numId w:val="28"/>
        </w:numPr>
        <w:spacing w:line="240" w:lineRule="auto"/>
        <w:rPr>
          <w:szCs w:val="22"/>
        </w:rPr>
      </w:pPr>
      <w:r w:rsidRPr="00672F96">
        <w:rPr>
          <w:szCs w:val="22"/>
        </w:rPr>
        <w:lastRenderedPageBreak/>
        <w:t>Fanconi anaemia and other DNA breakage repair disorders</w:t>
      </w:r>
    </w:p>
    <w:p w14:paraId="2F94C090" w14:textId="17C8386F" w:rsidR="00AE0267" w:rsidRPr="00672F96" w:rsidRDefault="00522617" w:rsidP="00672F96">
      <w:pPr>
        <w:numPr>
          <w:ilvl w:val="0"/>
          <w:numId w:val="28"/>
        </w:numPr>
        <w:spacing w:line="240" w:lineRule="auto"/>
        <w:rPr>
          <w:szCs w:val="22"/>
        </w:rPr>
      </w:pPr>
      <w:r w:rsidRPr="00672F96">
        <w:rPr>
          <w:szCs w:val="22"/>
        </w:rPr>
        <w:t xml:space="preserve">Pregnancy </w:t>
      </w:r>
      <w:r w:rsidR="00923BB1">
        <w:rPr>
          <w:szCs w:val="22"/>
        </w:rPr>
        <w:t xml:space="preserve">and lactation </w:t>
      </w:r>
      <w:r w:rsidR="002E1334" w:rsidRPr="00672F96">
        <w:rPr>
          <w:szCs w:val="22"/>
        </w:rPr>
        <w:t xml:space="preserve">(see </w:t>
      </w:r>
      <w:r w:rsidR="00923BB1">
        <w:rPr>
          <w:szCs w:val="22"/>
        </w:rPr>
        <w:t>S</w:t>
      </w:r>
      <w:r w:rsidR="002E1334" w:rsidRPr="00672F96">
        <w:rPr>
          <w:szCs w:val="22"/>
        </w:rPr>
        <w:t>ection 4.6</w:t>
      </w:r>
      <w:r w:rsidR="00923BB1">
        <w:rPr>
          <w:szCs w:val="22"/>
        </w:rPr>
        <w:t xml:space="preserve"> Fertility, </w:t>
      </w:r>
      <w:proofErr w:type="gramStart"/>
      <w:r w:rsidR="00923BB1">
        <w:rPr>
          <w:szCs w:val="22"/>
        </w:rPr>
        <w:t>pregnancy</w:t>
      </w:r>
      <w:proofErr w:type="gramEnd"/>
      <w:r w:rsidR="00923BB1">
        <w:rPr>
          <w:szCs w:val="22"/>
        </w:rPr>
        <w:t xml:space="preserve"> and lactation</w:t>
      </w:r>
      <w:r w:rsidR="002E1334" w:rsidRPr="00672F96">
        <w:rPr>
          <w:szCs w:val="22"/>
        </w:rPr>
        <w:t>)</w:t>
      </w:r>
    </w:p>
    <w:p w14:paraId="2F94C091" w14:textId="77777777" w:rsidR="00C174C1" w:rsidRPr="00672F96" w:rsidRDefault="00522617" w:rsidP="00672F96">
      <w:pPr>
        <w:numPr>
          <w:ilvl w:val="0"/>
          <w:numId w:val="28"/>
        </w:numPr>
        <w:spacing w:line="240" w:lineRule="auto"/>
        <w:rPr>
          <w:szCs w:val="22"/>
        </w:rPr>
      </w:pPr>
      <w:r w:rsidRPr="00672F96">
        <w:rPr>
          <w:szCs w:val="22"/>
        </w:rPr>
        <w:t>Administration of live vaccine</w:t>
      </w:r>
    </w:p>
    <w:p w14:paraId="2F94C093" w14:textId="77777777" w:rsidR="00AE0267" w:rsidRPr="00672F96" w:rsidRDefault="00522617" w:rsidP="00672F96">
      <w:pPr>
        <w:pStyle w:val="Heading3"/>
        <w:rPr>
          <w:szCs w:val="22"/>
        </w:rPr>
      </w:pPr>
      <w:r w:rsidRPr="00672F96">
        <w:rPr>
          <w:szCs w:val="22"/>
        </w:rPr>
        <w:t>4.4</w:t>
      </w:r>
      <w:r w:rsidRPr="00672F96">
        <w:rPr>
          <w:szCs w:val="22"/>
        </w:rPr>
        <w:tab/>
        <w:t>Special warnings and precautions for use</w:t>
      </w:r>
    </w:p>
    <w:p w14:paraId="2F94C094" w14:textId="77777777" w:rsidR="00AE0267" w:rsidRPr="00672F96" w:rsidRDefault="00AE0267" w:rsidP="00672F96">
      <w:pPr>
        <w:spacing w:line="240" w:lineRule="auto"/>
        <w:rPr>
          <w:szCs w:val="22"/>
        </w:rPr>
      </w:pPr>
    </w:p>
    <w:p w14:paraId="2F94C095" w14:textId="77777777" w:rsidR="00315F19" w:rsidRDefault="00522617" w:rsidP="00672F96">
      <w:pPr>
        <w:spacing w:line="240" w:lineRule="auto"/>
        <w:rPr>
          <w:szCs w:val="22"/>
          <w:u w:val="single"/>
        </w:rPr>
      </w:pPr>
      <w:r w:rsidRPr="001F5BAC">
        <w:rPr>
          <w:szCs w:val="22"/>
          <w:u w:val="single"/>
        </w:rPr>
        <w:t>Myelosuppression</w:t>
      </w:r>
    </w:p>
    <w:p w14:paraId="2F94C096" w14:textId="77777777" w:rsidR="0045098D" w:rsidRPr="00672F96" w:rsidRDefault="0045098D" w:rsidP="00672F96">
      <w:pPr>
        <w:spacing w:line="240" w:lineRule="auto"/>
        <w:rPr>
          <w:szCs w:val="22"/>
          <w:u w:val="single"/>
        </w:rPr>
      </w:pPr>
    </w:p>
    <w:p w14:paraId="2F94C097" w14:textId="4F57714D" w:rsidR="00666F8B" w:rsidRDefault="00522617" w:rsidP="00672F96">
      <w:pPr>
        <w:spacing w:line="240" w:lineRule="auto"/>
        <w:rPr>
          <w:szCs w:val="22"/>
        </w:rPr>
      </w:pPr>
      <w:r w:rsidRPr="00672F96">
        <w:rPr>
          <w:szCs w:val="22"/>
        </w:rPr>
        <w:t xml:space="preserve">Profound </w:t>
      </w:r>
      <w:r w:rsidRPr="00435707">
        <w:rPr>
          <w:szCs w:val="22"/>
        </w:rPr>
        <w:t xml:space="preserve">myelosuppression with pancytopenia is the desired therapeutic effect of </w:t>
      </w:r>
      <w:proofErr w:type="spellStart"/>
      <w:r w:rsidRPr="00435707">
        <w:rPr>
          <w:szCs w:val="22"/>
        </w:rPr>
        <w:t>treosulfan</w:t>
      </w:r>
      <w:proofErr w:type="spellEnd"/>
      <w:r w:rsidR="00B242A3" w:rsidRPr="00435707">
        <w:rPr>
          <w:szCs w:val="22"/>
        </w:rPr>
        <w:noBreakHyphen/>
      </w:r>
      <w:r w:rsidR="003D2E4C" w:rsidRPr="00435707">
        <w:rPr>
          <w:szCs w:val="22"/>
        </w:rPr>
        <w:t>based conditioning</w:t>
      </w:r>
      <w:r w:rsidRPr="00435707">
        <w:rPr>
          <w:szCs w:val="22"/>
        </w:rPr>
        <w:t xml:space="preserve"> treatment, occurring in all patients. It is therefore recommended to monitor blood cell counts frequently until recovery of the haematopoietic system. </w:t>
      </w:r>
    </w:p>
    <w:p w14:paraId="68A275E8" w14:textId="77777777" w:rsidR="00380F41" w:rsidRPr="00435707" w:rsidRDefault="00380F41" w:rsidP="00672F96">
      <w:pPr>
        <w:spacing w:line="240" w:lineRule="auto"/>
        <w:rPr>
          <w:szCs w:val="22"/>
        </w:rPr>
      </w:pPr>
    </w:p>
    <w:p w14:paraId="2F94C098" w14:textId="6A2E4ED0" w:rsidR="00AE0267" w:rsidRPr="00672F96" w:rsidRDefault="00522617" w:rsidP="00672F96">
      <w:pPr>
        <w:spacing w:line="240" w:lineRule="auto"/>
        <w:rPr>
          <w:szCs w:val="22"/>
        </w:rPr>
      </w:pPr>
      <w:r w:rsidRPr="00435707">
        <w:rPr>
          <w:szCs w:val="22"/>
        </w:rPr>
        <w:t xml:space="preserve">During phases of severe neutropenia (median duration of neutropenic period is </w:t>
      </w:r>
      <w:r w:rsidR="00FF0397" w:rsidRPr="00435707">
        <w:rPr>
          <w:szCs w:val="22"/>
        </w:rPr>
        <w:t>14</w:t>
      </w:r>
      <w:r w:rsidR="002E1334" w:rsidRPr="00435707">
        <w:rPr>
          <w:szCs w:val="22"/>
        </w:rPr>
        <w:noBreakHyphen/>
      </w:r>
      <w:r w:rsidR="003D2E4C" w:rsidRPr="00435707">
        <w:rPr>
          <w:szCs w:val="22"/>
        </w:rPr>
        <w:t>17.5</w:t>
      </w:r>
      <w:r w:rsidR="002E1334" w:rsidRPr="00435707">
        <w:rPr>
          <w:szCs w:val="22"/>
        </w:rPr>
        <w:t> </w:t>
      </w:r>
      <w:r w:rsidRPr="00435707">
        <w:rPr>
          <w:szCs w:val="22"/>
        </w:rPr>
        <w:t>days</w:t>
      </w:r>
      <w:r w:rsidR="00FF0397" w:rsidRPr="00435707">
        <w:rPr>
          <w:szCs w:val="22"/>
        </w:rPr>
        <w:t xml:space="preserve"> in adults and </w:t>
      </w:r>
      <w:r w:rsidR="00D6509E">
        <w:rPr>
          <w:szCs w:val="22"/>
        </w:rPr>
        <w:t>20-22</w:t>
      </w:r>
      <w:r w:rsidR="002E1334" w:rsidRPr="00435707">
        <w:rPr>
          <w:szCs w:val="22"/>
        </w:rPr>
        <w:t> </w:t>
      </w:r>
      <w:r w:rsidR="00FF0397" w:rsidRPr="00435707">
        <w:rPr>
          <w:szCs w:val="22"/>
        </w:rPr>
        <w:t>days in paediatric patients</w:t>
      </w:r>
      <w:r w:rsidRPr="00435707">
        <w:rPr>
          <w:szCs w:val="22"/>
        </w:rPr>
        <w:t>) the risk of infection is increased. Prophylactic or empiric anti</w:t>
      </w:r>
      <w:r w:rsidR="00575B33" w:rsidRPr="00435707">
        <w:rPr>
          <w:szCs w:val="22"/>
        </w:rPr>
        <w:noBreakHyphen/>
      </w:r>
      <w:r w:rsidRPr="00435707">
        <w:rPr>
          <w:szCs w:val="22"/>
        </w:rPr>
        <w:t>infective treatment (bacterial</w:t>
      </w:r>
      <w:r w:rsidR="00BB4C03" w:rsidRPr="00435707">
        <w:rPr>
          <w:szCs w:val="22"/>
        </w:rPr>
        <w:t>, viral,</w:t>
      </w:r>
      <w:r w:rsidRPr="00435707">
        <w:rPr>
          <w:szCs w:val="22"/>
        </w:rPr>
        <w:t xml:space="preserve"> </w:t>
      </w:r>
      <w:r w:rsidR="00297586" w:rsidRPr="00435707">
        <w:rPr>
          <w:szCs w:val="22"/>
        </w:rPr>
        <w:t>fungal</w:t>
      </w:r>
      <w:r w:rsidRPr="00435707">
        <w:rPr>
          <w:szCs w:val="22"/>
        </w:rPr>
        <w:t xml:space="preserve">) should therefore be considered. </w:t>
      </w:r>
      <w:r w:rsidR="001C68D5" w:rsidRPr="00435707">
        <w:rPr>
          <w:szCs w:val="22"/>
        </w:rPr>
        <w:t>Growth factors</w:t>
      </w:r>
      <w:r w:rsidR="001C68D5" w:rsidRPr="00672F96">
        <w:rPr>
          <w:szCs w:val="22"/>
        </w:rPr>
        <w:t xml:space="preserve"> (G</w:t>
      </w:r>
      <w:r w:rsidR="00666F8B" w:rsidRPr="00672F96">
        <w:rPr>
          <w:szCs w:val="22"/>
        </w:rPr>
        <w:noBreakHyphen/>
      </w:r>
      <w:r w:rsidR="001C68D5" w:rsidRPr="00672F96">
        <w:rPr>
          <w:szCs w:val="22"/>
        </w:rPr>
        <w:t>CSF, GM</w:t>
      </w:r>
      <w:r w:rsidR="00666F8B" w:rsidRPr="00672F96">
        <w:rPr>
          <w:szCs w:val="22"/>
        </w:rPr>
        <w:noBreakHyphen/>
      </w:r>
      <w:r w:rsidR="001C68D5" w:rsidRPr="00672F96">
        <w:rPr>
          <w:szCs w:val="22"/>
        </w:rPr>
        <w:t xml:space="preserve">CSF), </w:t>
      </w:r>
      <w:r w:rsidRPr="00672F96">
        <w:rPr>
          <w:szCs w:val="22"/>
        </w:rPr>
        <w:t>platelet and</w:t>
      </w:r>
      <w:r w:rsidR="001C68D5" w:rsidRPr="00672F96">
        <w:rPr>
          <w:szCs w:val="22"/>
        </w:rPr>
        <w:t>/or</w:t>
      </w:r>
      <w:r w:rsidRPr="00672F96">
        <w:rPr>
          <w:szCs w:val="22"/>
        </w:rPr>
        <w:t xml:space="preserve"> red blood cell support should be given</w:t>
      </w:r>
      <w:r w:rsidR="001C68D5" w:rsidRPr="00672F96">
        <w:rPr>
          <w:szCs w:val="22"/>
        </w:rPr>
        <w:t xml:space="preserve"> as indicated</w:t>
      </w:r>
      <w:r w:rsidRPr="00672F96">
        <w:rPr>
          <w:szCs w:val="22"/>
        </w:rPr>
        <w:t>.</w:t>
      </w:r>
    </w:p>
    <w:p w14:paraId="2F94C099" w14:textId="77777777" w:rsidR="00D44004" w:rsidRPr="00672F96" w:rsidRDefault="00D44004" w:rsidP="00672F96">
      <w:pPr>
        <w:spacing w:line="240" w:lineRule="auto"/>
        <w:rPr>
          <w:szCs w:val="22"/>
        </w:rPr>
      </w:pPr>
    </w:p>
    <w:p w14:paraId="2F94C09A" w14:textId="77777777" w:rsidR="00AE0267" w:rsidRDefault="00522617" w:rsidP="00672F96">
      <w:pPr>
        <w:spacing w:line="240" w:lineRule="auto"/>
        <w:rPr>
          <w:szCs w:val="22"/>
          <w:u w:val="single"/>
        </w:rPr>
      </w:pPr>
      <w:r w:rsidRPr="00672F96">
        <w:rPr>
          <w:szCs w:val="22"/>
          <w:u w:val="single"/>
        </w:rPr>
        <w:t xml:space="preserve">Secondary </w:t>
      </w:r>
      <w:r w:rsidRPr="00435707">
        <w:rPr>
          <w:szCs w:val="22"/>
          <w:u w:val="single"/>
        </w:rPr>
        <w:t>malignancies</w:t>
      </w:r>
    </w:p>
    <w:p w14:paraId="2F94C09B" w14:textId="77777777" w:rsidR="0045098D" w:rsidRPr="00672F96" w:rsidRDefault="0045098D" w:rsidP="00672F96">
      <w:pPr>
        <w:spacing w:line="240" w:lineRule="auto"/>
        <w:rPr>
          <w:szCs w:val="22"/>
          <w:u w:val="single"/>
        </w:rPr>
      </w:pPr>
    </w:p>
    <w:p w14:paraId="2F94C09C" w14:textId="77777777" w:rsidR="00AE0267" w:rsidRPr="00672F96" w:rsidRDefault="00522617" w:rsidP="00672F96">
      <w:pPr>
        <w:spacing w:line="240" w:lineRule="auto"/>
        <w:rPr>
          <w:szCs w:val="22"/>
        </w:rPr>
      </w:pPr>
      <w:r w:rsidRPr="00672F96">
        <w:rPr>
          <w:szCs w:val="22"/>
        </w:rPr>
        <w:t>Secondary malignancies are well</w:t>
      </w:r>
      <w:r w:rsidR="00B242A3">
        <w:rPr>
          <w:szCs w:val="22"/>
        </w:rPr>
        <w:noBreakHyphen/>
      </w:r>
      <w:r w:rsidRPr="00672F96">
        <w:rPr>
          <w:szCs w:val="22"/>
        </w:rPr>
        <w:t xml:space="preserve">established complications in long-term survivors after </w:t>
      </w:r>
      <w:proofErr w:type="spellStart"/>
      <w:r w:rsidRPr="00672F96">
        <w:rPr>
          <w:szCs w:val="22"/>
        </w:rPr>
        <w:t>alloHSCT</w:t>
      </w:r>
      <w:proofErr w:type="spellEnd"/>
      <w:r w:rsidRPr="00672F96">
        <w:rPr>
          <w:szCs w:val="22"/>
        </w:rPr>
        <w:t xml:space="preserve">. </w:t>
      </w:r>
      <w:r w:rsidR="00000423" w:rsidRPr="00672F96">
        <w:rPr>
          <w:szCs w:val="22"/>
        </w:rPr>
        <w:t xml:space="preserve">How much </w:t>
      </w:r>
      <w:proofErr w:type="spellStart"/>
      <w:r w:rsidR="00000423" w:rsidRPr="00672F96">
        <w:rPr>
          <w:szCs w:val="22"/>
        </w:rPr>
        <w:t>treosulfan</w:t>
      </w:r>
      <w:proofErr w:type="spellEnd"/>
      <w:r w:rsidR="00000423" w:rsidRPr="00672F96">
        <w:rPr>
          <w:szCs w:val="22"/>
        </w:rPr>
        <w:t xml:space="preserve"> contributes to their occurrence is unknown.</w:t>
      </w:r>
      <w:r w:rsidR="00FB2E6F" w:rsidRPr="00672F96">
        <w:rPr>
          <w:szCs w:val="22"/>
        </w:rPr>
        <w:t xml:space="preserve"> </w:t>
      </w:r>
      <w:r w:rsidRPr="00672F96">
        <w:rPr>
          <w:szCs w:val="22"/>
        </w:rPr>
        <w:t xml:space="preserve">The </w:t>
      </w:r>
      <w:r w:rsidR="00FB2E6F" w:rsidRPr="00672F96">
        <w:rPr>
          <w:szCs w:val="22"/>
        </w:rPr>
        <w:t xml:space="preserve">possible </w:t>
      </w:r>
      <w:r w:rsidRPr="00672F96">
        <w:rPr>
          <w:szCs w:val="22"/>
        </w:rPr>
        <w:t xml:space="preserve">risk of a second malignancy should be explained to the patient. </w:t>
      </w:r>
      <w:proofErr w:type="gramStart"/>
      <w:r w:rsidRPr="00672F96">
        <w:rPr>
          <w:szCs w:val="22"/>
        </w:rPr>
        <w:t>On the basis of</w:t>
      </w:r>
      <w:proofErr w:type="gramEnd"/>
      <w:r w:rsidRPr="00672F96">
        <w:rPr>
          <w:szCs w:val="22"/>
        </w:rPr>
        <w:t xml:space="preserve"> human data, </w:t>
      </w:r>
      <w:proofErr w:type="spellStart"/>
      <w:r w:rsidRPr="00672F96">
        <w:rPr>
          <w:szCs w:val="22"/>
        </w:rPr>
        <w:t>treosulfan</w:t>
      </w:r>
      <w:proofErr w:type="spellEnd"/>
      <w:r w:rsidRPr="00672F96">
        <w:rPr>
          <w:szCs w:val="22"/>
        </w:rPr>
        <w:t xml:space="preserve"> has been classified by the International Agency for Research on Cancer (IARC) as a human carcinogen.</w:t>
      </w:r>
    </w:p>
    <w:p w14:paraId="2F94C09D" w14:textId="77777777" w:rsidR="00A933D3" w:rsidRPr="00672F96" w:rsidRDefault="00A933D3" w:rsidP="00672F96">
      <w:pPr>
        <w:spacing w:line="240" w:lineRule="auto"/>
        <w:rPr>
          <w:szCs w:val="22"/>
          <w:u w:val="single"/>
        </w:rPr>
      </w:pPr>
    </w:p>
    <w:p w14:paraId="2F94C09E" w14:textId="77777777" w:rsidR="004B01AB" w:rsidRDefault="00522617" w:rsidP="00672F96">
      <w:pPr>
        <w:spacing w:line="240" w:lineRule="auto"/>
        <w:rPr>
          <w:szCs w:val="22"/>
          <w:u w:val="single"/>
        </w:rPr>
      </w:pPr>
      <w:r w:rsidRPr="00672F96">
        <w:rPr>
          <w:szCs w:val="22"/>
          <w:u w:val="single"/>
        </w:rPr>
        <w:t>Mucositis</w:t>
      </w:r>
    </w:p>
    <w:p w14:paraId="2F94C09F" w14:textId="77777777" w:rsidR="0045098D" w:rsidRPr="00672F96" w:rsidRDefault="0045098D" w:rsidP="00672F96">
      <w:pPr>
        <w:spacing w:line="240" w:lineRule="auto"/>
        <w:rPr>
          <w:szCs w:val="22"/>
          <w:u w:val="single"/>
        </w:rPr>
      </w:pPr>
    </w:p>
    <w:p w14:paraId="2F94C0A0" w14:textId="77777777" w:rsidR="004B01AB" w:rsidRPr="00672F96" w:rsidRDefault="00522617" w:rsidP="00672F96">
      <w:pPr>
        <w:spacing w:line="240" w:lineRule="auto"/>
        <w:rPr>
          <w:szCs w:val="22"/>
        </w:rPr>
      </w:pPr>
      <w:r w:rsidRPr="00672F96">
        <w:rPr>
          <w:szCs w:val="22"/>
        </w:rPr>
        <w:t>Oral m</w:t>
      </w:r>
      <w:r w:rsidR="00417E0D" w:rsidRPr="00672F96">
        <w:rPr>
          <w:szCs w:val="22"/>
        </w:rPr>
        <w:t xml:space="preserve">ucositis (including </w:t>
      </w:r>
      <w:r w:rsidR="00417E0D" w:rsidRPr="00435707">
        <w:rPr>
          <w:szCs w:val="22"/>
        </w:rPr>
        <w:t>high</w:t>
      </w:r>
      <w:r w:rsidR="00B242A3" w:rsidRPr="00435707">
        <w:rPr>
          <w:szCs w:val="22"/>
        </w:rPr>
        <w:noBreakHyphen/>
      </w:r>
      <w:r w:rsidR="00417E0D" w:rsidRPr="00435707">
        <w:rPr>
          <w:szCs w:val="22"/>
        </w:rPr>
        <w:t>grade</w:t>
      </w:r>
      <w:r w:rsidR="00417E0D" w:rsidRPr="00672F96">
        <w:rPr>
          <w:szCs w:val="22"/>
        </w:rPr>
        <w:t xml:space="preserve"> severity) is a very common undesirable effect of </w:t>
      </w:r>
      <w:proofErr w:type="spellStart"/>
      <w:r w:rsidR="00417E0D" w:rsidRPr="00672F96">
        <w:rPr>
          <w:szCs w:val="22"/>
        </w:rPr>
        <w:t>treosulfan</w:t>
      </w:r>
      <w:proofErr w:type="spellEnd"/>
      <w:r w:rsidR="00B242A3" w:rsidRPr="00435707">
        <w:rPr>
          <w:szCs w:val="22"/>
        </w:rPr>
        <w:noBreakHyphen/>
      </w:r>
      <w:r w:rsidR="00417E0D" w:rsidRPr="00672F96">
        <w:rPr>
          <w:szCs w:val="22"/>
        </w:rPr>
        <w:t xml:space="preserve">based conditioning followed by </w:t>
      </w:r>
      <w:proofErr w:type="spellStart"/>
      <w:r w:rsidR="00417E0D" w:rsidRPr="00672F96">
        <w:rPr>
          <w:szCs w:val="22"/>
        </w:rPr>
        <w:t>alloHSCT</w:t>
      </w:r>
      <w:proofErr w:type="spellEnd"/>
      <w:r w:rsidR="006752A4" w:rsidRPr="00672F96">
        <w:rPr>
          <w:szCs w:val="22"/>
        </w:rPr>
        <w:t xml:space="preserve"> (see </w:t>
      </w:r>
      <w:r w:rsidR="006752A4" w:rsidRPr="00435707">
        <w:rPr>
          <w:szCs w:val="22"/>
        </w:rPr>
        <w:t>section</w:t>
      </w:r>
      <w:r w:rsidR="00B242A3" w:rsidRPr="00435707">
        <w:rPr>
          <w:szCs w:val="22"/>
        </w:rPr>
        <w:t> </w:t>
      </w:r>
      <w:r w:rsidR="006752A4" w:rsidRPr="00435707">
        <w:rPr>
          <w:szCs w:val="22"/>
        </w:rPr>
        <w:t>4</w:t>
      </w:r>
      <w:r w:rsidR="006752A4" w:rsidRPr="00672F96">
        <w:rPr>
          <w:szCs w:val="22"/>
        </w:rPr>
        <w:t>.8)</w:t>
      </w:r>
      <w:r w:rsidR="00417E0D" w:rsidRPr="00672F96">
        <w:rPr>
          <w:szCs w:val="22"/>
        </w:rPr>
        <w:t xml:space="preserve">. </w:t>
      </w:r>
      <w:r w:rsidR="00FE56AE" w:rsidRPr="00672F96">
        <w:rPr>
          <w:szCs w:val="22"/>
        </w:rPr>
        <w:t xml:space="preserve">Use of </w:t>
      </w:r>
      <w:r w:rsidR="00823E74" w:rsidRPr="00672F96">
        <w:rPr>
          <w:szCs w:val="22"/>
        </w:rPr>
        <w:t>mucositis prophylaxis (</w:t>
      </w:r>
      <w:proofErr w:type="gramStart"/>
      <w:r w:rsidR="00823E74" w:rsidRPr="00672F96">
        <w:rPr>
          <w:szCs w:val="22"/>
        </w:rPr>
        <w:t>e.g.</w:t>
      </w:r>
      <w:proofErr w:type="gramEnd"/>
      <w:r w:rsidR="00823E74" w:rsidRPr="00672F96">
        <w:rPr>
          <w:szCs w:val="22"/>
        </w:rPr>
        <w:t xml:space="preserve"> </w:t>
      </w:r>
      <w:r w:rsidR="00752C82" w:rsidRPr="00672F96">
        <w:rPr>
          <w:szCs w:val="22"/>
          <w:lang w:val="en"/>
        </w:rPr>
        <w:t>topical antimicrobials, barrier protectants</w:t>
      </w:r>
      <w:r w:rsidR="00752C82" w:rsidRPr="00435707">
        <w:rPr>
          <w:szCs w:val="22"/>
          <w:lang w:val="en"/>
        </w:rPr>
        <w:t>, ice and</w:t>
      </w:r>
      <w:r w:rsidR="00752C82" w:rsidRPr="00672F96">
        <w:rPr>
          <w:szCs w:val="22"/>
          <w:lang w:val="en"/>
        </w:rPr>
        <w:t xml:space="preserve"> adequate oral hygiene) </w:t>
      </w:r>
      <w:r w:rsidR="00823E74" w:rsidRPr="00672F96">
        <w:rPr>
          <w:szCs w:val="22"/>
        </w:rPr>
        <w:t>is recommended.</w:t>
      </w:r>
    </w:p>
    <w:p w14:paraId="2F94C0A1" w14:textId="77777777" w:rsidR="004B01AB" w:rsidRPr="00672F96" w:rsidRDefault="004B01AB" w:rsidP="00672F96">
      <w:pPr>
        <w:spacing w:line="240" w:lineRule="auto"/>
        <w:rPr>
          <w:szCs w:val="22"/>
          <w:u w:val="single"/>
        </w:rPr>
      </w:pPr>
    </w:p>
    <w:p w14:paraId="2F94C0A2" w14:textId="77777777" w:rsidR="00722CEE" w:rsidRDefault="00522617" w:rsidP="00672F96">
      <w:pPr>
        <w:spacing w:line="240" w:lineRule="auto"/>
        <w:rPr>
          <w:szCs w:val="22"/>
          <w:u w:val="single"/>
        </w:rPr>
      </w:pPr>
      <w:r w:rsidRPr="00672F96">
        <w:rPr>
          <w:szCs w:val="22"/>
          <w:u w:val="single"/>
        </w:rPr>
        <w:t>Vaccines</w:t>
      </w:r>
    </w:p>
    <w:p w14:paraId="2F94C0A3" w14:textId="77777777" w:rsidR="005C21F4" w:rsidRPr="00672F96" w:rsidRDefault="005C21F4" w:rsidP="00672F96">
      <w:pPr>
        <w:spacing w:line="240" w:lineRule="auto"/>
        <w:rPr>
          <w:szCs w:val="22"/>
          <w:u w:val="single"/>
        </w:rPr>
      </w:pPr>
    </w:p>
    <w:p w14:paraId="2F94C0A4" w14:textId="67A773BB" w:rsidR="00722CEE" w:rsidRPr="00672F96" w:rsidRDefault="00522617" w:rsidP="00672F96">
      <w:pPr>
        <w:spacing w:line="240" w:lineRule="auto"/>
        <w:rPr>
          <w:szCs w:val="22"/>
        </w:rPr>
      </w:pPr>
      <w:r w:rsidRPr="00672F96">
        <w:rPr>
          <w:szCs w:val="22"/>
        </w:rPr>
        <w:t>Concomitant use of live attenuated vaccines is not recommended.</w:t>
      </w:r>
    </w:p>
    <w:p w14:paraId="2F94C0A5" w14:textId="77777777" w:rsidR="00722CEE" w:rsidRPr="00672F96" w:rsidRDefault="00722CEE" w:rsidP="00672F96">
      <w:pPr>
        <w:spacing w:line="240" w:lineRule="auto"/>
        <w:rPr>
          <w:szCs w:val="22"/>
          <w:u w:val="single"/>
        </w:rPr>
      </w:pPr>
    </w:p>
    <w:p w14:paraId="2F94C0A6" w14:textId="7729BD62" w:rsidR="00380374" w:rsidRDefault="00923BB1" w:rsidP="00672F96">
      <w:pPr>
        <w:spacing w:line="240" w:lineRule="auto"/>
        <w:rPr>
          <w:szCs w:val="22"/>
          <w:u w:val="single"/>
        </w:rPr>
      </w:pPr>
      <w:proofErr w:type="spellStart"/>
      <w:r>
        <w:rPr>
          <w:szCs w:val="22"/>
          <w:u w:val="single"/>
        </w:rPr>
        <w:t>Embryofetal</w:t>
      </w:r>
      <w:proofErr w:type="spellEnd"/>
      <w:r>
        <w:rPr>
          <w:szCs w:val="22"/>
          <w:u w:val="single"/>
        </w:rPr>
        <w:t xml:space="preserve"> toxicity and contraception</w:t>
      </w:r>
    </w:p>
    <w:p w14:paraId="2F94C0A7" w14:textId="77777777" w:rsidR="005C21F4" w:rsidRPr="00672F96" w:rsidRDefault="005C21F4" w:rsidP="00672F96">
      <w:pPr>
        <w:spacing w:line="240" w:lineRule="auto"/>
        <w:rPr>
          <w:szCs w:val="22"/>
          <w:u w:val="single"/>
        </w:rPr>
      </w:pPr>
    </w:p>
    <w:p w14:paraId="2F94C0A8" w14:textId="3E4733E9" w:rsidR="00380374" w:rsidRDefault="00522617" w:rsidP="00672F96">
      <w:pPr>
        <w:spacing w:line="240" w:lineRule="auto"/>
        <w:rPr>
          <w:szCs w:val="22"/>
        </w:rPr>
      </w:pPr>
      <w:proofErr w:type="spellStart"/>
      <w:r w:rsidRPr="00672F96">
        <w:rPr>
          <w:szCs w:val="22"/>
        </w:rPr>
        <w:t>Treosulfan</w:t>
      </w:r>
      <w:proofErr w:type="spellEnd"/>
      <w:r w:rsidRPr="00672F96">
        <w:rPr>
          <w:szCs w:val="22"/>
        </w:rPr>
        <w:t xml:space="preserve"> can impair fertility</w:t>
      </w:r>
      <w:r w:rsidR="00923BB1">
        <w:rPr>
          <w:szCs w:val="22"/>
        </w:rPr>
        <w:t xml:space="preserve"> (see section 4.6 Fertility, </w:t>
      </w:r>
      <w:proofErr w:type="gramStart"/>
      <w:r w:rsidR="00923BB1">
        <w:rPr>
          <w:szCs w:val="22"/>
        </w:rPr>
        <w:t>pregnancy</w:t>
      </w:r>
      <w:proofErr w:type="gramEnd"/>
      <w:r w:rsidR="00923BB1">
        <w:rPr>
          <w:szCs w:val="22"/>
        </w:rPr>
        <w:t xml:space="preserve"> and lactation)</w:t>
      </w:r>
      <w:r w:rsidRPr="00672F96">
        <w:rPr>
          <w:szCs w:val="22"/>
        </w:rPr>
        <w:t xml:space="preserve">. </w:t>
      </w:r>
    </w:p>
    <w:p w14:paraId="3C013078" w14:textId="77777777" w:rsidR="008D23A2" w:rsidRPr="00672F96" w:rsidRDefault="008D23A2" w:rsidP="00672F96">
      <w:pPr>
        <w:spacing w:line="240" w:lineRule="auto"/>
        <w:rPr>
          <w:szCs w:val="22"/>
        </w:rPr>
      </w:pPr>
    </w:p>
    <w:p w14:paraId="2F94C0A9" w14:textId="02DCF187" w:rsidR="00380374" w:rsidRPr="00672F96" w:rsidRDefault="00522617" w:rsidP="00672F96">
      <w:pPr>
        <w:spacing w:line="240" w:lineRule="auto"/>
        <w:rPr>
          <w:szCs w:val="22"/>
        </w:rPr>
      </w:pPr>
      <w:r w:rsidRPr="00672F96">
        <w:rPr>
          <w:szCs w:val="22"/>
        </w:rPr>
        <w:t>Ovarian suppression and amenorrhoea with menopausal symptoms commonly occur in pre</w:t>
      </w:r>
      <w:r w:rsidRPr="00672F96">
        <w:rPr>
          <w:szCs w:val="22"/>
        </w:rPr>
        <w:noBreakHyphen/>
        <w:t>menopausal patients</w:t>
      </w:r>
      <w:r w:rsidR="00E96A89" w:rsidRPr="00672F96">
        <w:rPr>
          <w:szCs w:val="22"/>
        </w:rPr>
        <w:t xml:space="preserve"> (see section</w:t>
      </w:r>
      <w:r w:rsidR="00387971" w:rsidRPr="00672F96">
        <w:rPr>
          <w:szCs w:val="22"/>
        </w:rPr>
        <w:t> </w:t>
      </w:r>
      <w:r w:rsidR="00E96A89" w:rsidRPr="00672F96">
        <w:rPr>
          <w:szCs w:val="22"/>
        </w:rPr>
        <w:t>4.6</w:t>
      </w:r>
      <w:r w:rsidR="008D23A2">
        <w:rPr>
          <w:szCs w:val="22"/>
        </w:rPr>
        <w:t xml:space="preserve"> Fertility, </w:t>
      </w:r>
      <w:proofErr w:type="gramStart"/>
      <w:r w:rsidR="008D23A2">
        <w:rPr>
          <w:szCs w:val="22"/>
        </w:rPr>
        <w:t>pregnancy</w:t>
      </w:r>
      <w:proofErr w:type="gramEnd"/>
      <w:r w:rsidR="008D23A2">
        <w:rPr>
          <w:szCs w:val="22"/>
        </w:rPr>
        <w:t xml:space="preserve"> and lactation</w:t>
      </w:r>
      <w:r w:rsidR="00E96A89" w:rsidRPr="00672F96">
        <w:rPr>
          <w:szCs w:val="22"/>
        </w:rPr>
        <w:t>)</w:t>
      </w:r>
      <w:r w:rsidRPr="00672F96">
        <w:rPr>
          <w:szCs w:val="22"/>
        </w:rPr>
        <w:t>.</w:t>
      </w:r>
    </w:p>
    <w:p w14:paraId="2F94C0AA" w14:textId="377BC31B" w:rsidR="00315F19" w:rsidRPr="008D23A2" w:rsidRDefault="00315F19" w:rsidP="00672F96">
      <w:pPr>
        <w:spacing w:line="240" w:lineRule="auto"/>
        <w:rPr>
          <w:szCs w:val="22"/>
        </w:rPr>
      </w:pPr>
    </w:p>
    <w:p w14:paraId="52922F68" w14:textId="61FD436A" w:rsidR="008D23A2" w:rsidRDefault="008D23A2" w:rsidP="008D23A2">
      <w:pPr>
        <w:spacing w:line="240" w:lineRule="auto"/>
        <w:rPr>
          <w:szCs w:val="22"/>
        </w:rPr>
      </w:pPr>
      <w:r w:rsidRPr="008D23A2">
        <w:rPr>
          <w:szCs w:val="22"/>
        </w:rPr>
        <w:t xml:space="preserve">Pregnant women should be informed of the potential risk to a </w:t>
      </w:r>
      <w:proofErr w:type="spellStart"/>
      <w:r w:rsidRPr="008D23A2">
        <w:rPr>
          <w:szCs w:val="22"/>
        </w:rPr>
        <w:t>fetus</w:t>
      </w:r>
      <w:proofErr w:type="spellEnd"/>
      <w:r w:rsidRPr="008D23A2">
        <w:rPr>
          <w:szCs w:val="22"/>
        </w:rPr>
        <w:t xml:space="preserve"> (see section 4.6 Fertility, </w:t>
      </w:r>
      <w:proofErr w:type="gramStart"/>
      <w:r w:rsidRPr="008D23A2">
        <w:rPr>
          <w:szCs w:val="22"/>
        </w:rPr>
        <w:t>pregnancy</w:t>
      </w:r>
      <w:proofErr w:type="gramEnd"/>
      <w:r w:rsidRPr="008D23A2">
        <w:rPr>
          <w:szCs w:val="22"/>
        </w:rPr>
        <w:t xml:space="preserve"> and lactation). Females of reproductive potential should be advised to have a pregnancy test within 7 days prior to starting treatment with </w:t>
      </w:r>
      <w:proofErr w:type="spellStart"/>
      <w:r w:rsidRPr="008D23A2">
        <w:rPr>
          <w:szCs w:val="22"/>
        </w:rPr>
        <w:t>T</w:t>
      </w:r>
      <w:r>
        <w:rPr>
          <w:szCs w:val="22"/>
        </w:rPr>
        <w:t>recondi</w:t>
      </w:r>
      <w:proofErr w:type="spellEnd"/>
      <w:r w:rsidRPr="008D23A2">
        <w:rPr>
          <w:szCs w:val="22"/>
        </w:rPr>
        <w:t xml:space="preserve"> and to use effective contraception during treatment and for at least 6 months after stopping treatment. </w:t>
      </w:r>
    </w:p>
    <w:p w14:paraId="08146DAF" w14:textId="77777777" w:rsidR="008D23A2" w:rsidRPr="008D23A2" w:rsidRDefault="008D23A2" w:rsidP="008D23A2">
      <w:pPr>
        <w:spacing w:line="240" w:lineRule="auto"/>
        <w:rPr>
          <w:szCs w:val="22"/>
        </w:rPr>
      </w:pPr>
    </w:p>
    <w:p w14:paraId="11018106" w14:textId="628D8524" w:rsidR="008D23A2" w:rsidRDefault="008D23A2" w:rsidP="008D23A2">
      <w:pPr>
        <w:spacing w:line="240" w:lineRule="auto"/>
        <w:rPr>
          <w:szCs w:val="22"/>
        </w:rPr>
      </w:pPr>
      <w:r w:rsidRPr="008D23A2">
        <w:rPr>
          <w:szCs w:val="22"/>
        </w:rPr>
        <w:t xml:space="preserve">Males with female partners of reproductive potential should be advised to use effective contraception during treatment and for at least 6 months after the last dose of </w:t>
      </w:r>
      <w:proofErr w:type="spellStart"/>
      <w:r w:rsidRPr="008D23A2">
        <w:rPr>
          <w:szCs w:val="22"/>
        </w:rPr>
        <w:t>T</w:t>
      </w:r>
      <w:r>
        <w:rPr>
          <w:szCs w:val="22"/>
        </w:rPr>
        <w:t>recondi</w:t>
      </w:r>
      <w:proofErr w:type="spellEnd"/>
      <w:r w:rsidRPr="008D23A2">
        <w:rPr>
          <w:szCs w:val="22"/>
        </w:rPr>
        <w:t>.</w:t>
      </w:r>
    </w:p>
    <w:p w14:paraId="68F29CB9" w14:textId="77777777" w:rsidR="008D23A2" w:rsidRPr="008D23A2" w:rsidRDefault="008D23A2" w:rsidP="008D23A2">
      <w:pPr>
        <w:spacing w:line="240" w:lineRule="auto"/>
        <w:rPr>
          <w:szCs w:val="22"/>
        </w:rPr>
      </w:pPr>
    </w:p>
    <w:p w14:paraId="4AC0BCF9" w14:textId="5BBFDAD2" w:rsidR="00E14182" w:rsidRDefault="00E14182" w:rsidP="00672F96">
      <w:pPr>
        <w:spacing w:line="240" w:lineRule="auto"/>
        <w:rPr>
          <w:szCs w:val="22"/>
          <w:u w:val="single"/>
        </w:rPr>
      </w:pPr>
      <w:r>
        <w:rPr>
          <w:szCs w:val="22"/>
          <w:u w:val="single"/>
        </w:rPr>
        <w:t xml:space="preserve">Use in </w:t>
      </w:r>
      <w:r w:rsidR="00892931">
        <w:rPr>
          <w:szCs w:val="22"/>
          <w:u w:val="single"/>
        </w:rPr>
        <w:t xml:space="preserve">the </w:t>
      </w:r>
      <w:r>
        <w:rPr>
          <w:szCs w:val="22"/>
          <w:u w:val="single"/>
        </w:rPr>
        <w:t xml:space="preserve">elderly </w:t>
      </w:r>
    </w:p>
    <w:p w14:paraId="4133002B" w14:textId="5C9A3E32" w:rsidR="00E14182" w:rsidRDefault="00E14182" w:rsidP="00672F96">
      <w:pPr>
        <w:spacing w:line="240" w:lineRule="auto"/>
        <w:rPr>
          <w:szCs w:val="22"/>
          <w:u w:val="single"/>
        </w:rPr>
      </w:pPr>
    </w:p>
    <w:p w14:paraId="2450F66F" w14:textId="48D9B79B" w:rsidR="00E14182" w:rsidRPr="00E14182" w:rsidRDefault="00E14182" w:rsidP="00672F96">
      <w:pPr>
        <w:spacing w:line="240" w:lineRule="auto"/>
        <w:rPr>
          <w:szCs w:val="22"/>
        </w:rPr>
      </w:pPr>
      <w:r w:rsidRPr="00E14182">
        <w:rPr>
          <w:szCs w:val="22"/>
        </w:rPr>
        <w:t xml:space="preserve">No data available. </w:t>
      </w:r>
    </w:p>
    <w:p w14:paraId="302B6215" w14:textId="77777777" w:rsidR="00E14182" w:rsidRPr="00672F96" w:rsidRDefault="00E14182" w:rsidP="00672F96">
      <w:pPr>
        <w:spacing w:line="240" w:lineRule="auto"/>
        <w:rPr>
          <w:szCs w:val="22"/>
          <w:u w:val="single"/>
        </w:rPr>
      </w:pPr>
    </w:p>
    <w:p w14:paraId="20C52124" w14:textId="77777777" w:rsidR="00F87F4E" w:rsidRDefault="00F87F4E" w:rsidP="00672F96">
      <w:pPr>
        <w:spacing w:line="240" w:lineRule="auto"/>
        <w:rPr>
          <w:szCs w:val="22"/>
          <w:u w:val="single"/>
        </w:rPr>
      </w:pPr>
    </w:p>
    <w:p w14:paraId="2F94C0AB" w14:textId="1775E454" w:rsidR="00AE0267" w:rsidRPr="00672F96" w:rsidRDefault="00522617" w:rsidP="00672F96">
      <w:pPr>
        <w:spacing w:line="240" w:lineRule="auto"/>
        <w:rPr>
          <w:szCs w:val="22"/>
          <w:u w:val="single"/>
        </w:rPr>
      </w:pPr>
      <w:r w:rsidRPr="00672F96">
        <w:rPr>
          <w:szCs w:val="22"/>
          <w:u w:val="single"/>
        </w:rPr>
        <w:lastRenderedPageBreak/>
        <w:t xml:space="preserve">Paediatric </w:t>
      </w:r>
      <w:r w:rsidR="00F026C3">
        <w:rPr>
          <w:szCs w:val="22"/>
          <w:u w:val="single"/>
        </w:rPr>
        <w:t>use</w:t>
      </w:r>
    </w:p>
    <w:p w14:paraId="2F94C0AC" w14:textId="77777777" w:rsidR="00832049" w:rsidRPr="00672F96" w:rsidRDefault="00832049" w:rsidP="00672F96">
      <w:pPr>
        <w:spacing w:line="240" w:lineRule="auto"/>
        <w:rPr>
          <w:szCs w:val="22"/>
          <w:u w:val="single"/>
        </w:rPr>
      </w:pPr>
    </w:p>
    <w:p w14:paraId="2F94C0AD" w14:textId="77777777" w:rsidR="00BA6F78" w:rsidRDefault="00522617" w:rsidP="00672F96">
      <w:pPr>
        <w:spacing w:line="240" w:lineRule="auto"/>
        <w:rPr>
          <w:i/>
          <w:szCs w:val="22"/>
        </w:rPr>
      </w:pPr>
      <w:r w:rsidRPr="00435707">
        <w:rPr>
          <w:i/>
          <w:szCs w:val="22"/>
        </w:rPr>
        <w:t>Seizures</w:t>
      </w:r>
    </w:p>
    <w:p w14:paraId="2F94C0AE" w14:textId="77777777" w:rsidR="005C21F4" w:rsidRPr="00672F96" w:rsidRDefault="005C21F4" w:rsidP="00672F96">
      <w:pPr>
        <w:spacing w:line="240" w:lineRule="auto"/>
        <w:rPr>
          <w:i/>
          <w:szCs w:val="22"/>
        </w:rPr>
      </w:pPr>
    </w:p>
    <w:p w14:paraId="2F94C0AF" w14:textId="77777777" w:rsidR="001D4FB1" w:rsidRPr="00672F96" w:rsidRDefault="00522617" w:rsidP="005C2E8F">
      <w:pPr>
        <w:spacing w:line="240" w:lineRule="auto"/>
        <w:rPr>
          <w:i/>
          <w:szCs w:val="22"/>
        </w:rPr>
      </w:pPr>
      <w:r w:rsidRPr="00672F96">
        <w:rPr>
          <w:szCs w:val="22"/>
        </w:rPr>
        <w:t>There have been isolated reports of seizure</w:t>
      </w:r>
      <w:r w:rsidR="00832049" w:rsidRPr="00672F96">
        <w:rPr>
          <w:szCs w:val="22"/>
        </w:rPr>
        <w:t>s</w:t>
      </w:r>
      <w:r w:rsidRPr="00672F96">
        <w:rPr>
          <w:szCs w:val="22"/>
        </w:rPr>
        <w:t xml:space="preserve"> in infants (≤</w:t>
      </w:r>
      <w:r w:rsidR="00297586" w:rsidRPr="00672F96">
        <w:rPr>
          <w:szCs w:val="22"/>
        </w:rPr>
        <w:t> </w:t>
      </w:r>
      <w:r w:rsidRPr="00672F96">
        <w:rPr>
          <w:szCs w:val="22"/>
        </w:rPr>
        <w:t>4</w:t>
      </w:r>
      <w:r w:rsidR="00297586" w:rsidRPr="00672F96">
        <w:rPr>
          <w:szCs w:val="22"/>
        </w:rPr>
        <w:t> </w:t>
      </w:r>
      <w:r w:rsidRPr="00672F96">
        <w:rPr>
          <w:szCs w:val="22"/>
        </w:rPr>
        <w:t xml:space="preserve">months of age) </w:t>
      </w:r>
      <w:r w:rsidR="00297FE9" w:rsidRPr="00672F96">
        <w:rPr>
          <w:szCs w:val="22"/>
        </w:rPr>
        <w:t>with primary immunodefi</w:t>
      </w:r>
      <w:r w:rsidR="00932F17" w:rsidRPr="00672F96">
        <w:rPr>
          <w:szCs w:val="22"/>
        </w:rPr>
        <w:t>ci</w:t>
      </w:r>
      <w:r w:rsidR="00297FE9" w:rsidRPr="00672F96">
        <w:rPr>
          <w:szCs w:val="22"/>
        </w:rPr>
        <w:t xml:space="preserve">encies </w:t>
      </w:r>
      <w:r w:rsidRPr="00672F96">
        <w:rPr>
          <w:szCs w:val="22"/>
        </w:rPr>
        <w:t xml:space="preserve">after </w:t>
      </w:r>
      <w:r w:rsidR="0080313B" w:rsidRPr="00672F96">
        <w:rPr>
          <w:szCs w:val="22"/>
        </w:rPr>
        <w:t>conditioning treatment with</w:t>
      </w:r>
      <w:r w:rsidRPr="00672F96">
        <w:rPr>
          <w:szCs w:val="22"/>
        </w:rPr>
        <w:t xml:space="preserve"> </w:t>
      </w:r>
      <w:proofErr w:type="spellStart"/>
      <w:r w:rsidRPr="00672F96">
        <w:rPr>
          <w:szCs w:val="22"/>
        </w:rPr>
        <w:t>treosulfan</w:t>
      </w:r>
      <w:proofErr w:type="spellEnd"/>
      <w:r w:rsidRPr="00672F96">
        <w:rPr>
          <w:szCs w:val="22"/>
        </w:rPr>
        <w:t xml:space="preserve"> </w:t>
      </w:r>
      <w:r w:rsidR="006277D9" w:rsidRPr="00672F96">
        <w:rPr>
          <w:szCs w:val="22"/>
        </w:rPr>
        <w:t>in combination with</w:t>
      </w:r>
      <w:r w:rsidR="0080313B" w:rsidRPr="00672F96">
        <w:rPr>
          <w:szCs w:val="22"/>
        </w:rPr>
        <w:t xml:space="preserve"> </w:t>
      </w:r>
      <w:r w:rsidRPr="00672F96">
        <w:rPr>
          <w:szCs w:val="22"/>
        </w:rPr>
        <w:t xml:space="preserve">fludarabine or cyclophosphamide. Therefore, </w:t>
      </w:r>
      <w:r w:rsidR="00E77AC4" w:rsidRPr="00672F96">
        <w:rPr>
          <w:szCs w:val="22"/>
        </w:rPr>
        <w:t xml:space="preserve">infants ≤ 4 months of age </w:t>
      </w:r>
      <w:r w:rsidRPr="00672F96">
        <w:rPr>
          <w:szCs w:val="22"/>
        </w:rPr>
        <w:t>should be monitored for signs of neurologic</w:t>
      </w:r>
      <w:r w:rsidR="00832049" w:rsidRPr="00672F96">
        <w:rPr>
          <w:szCs w:val="22"/>
        </w:rPr>
        <w:t>al</w:t>
      </w:r>
      <w:r w:rsidRPr="00672F96">
        <w:rPr>
          <w:szCs w:val="22"/>
        </w:rPr>
        <w:t xml:space="preserve"> </w:t>
      </w:r>
      <w:r w:rsidR="00AF0B66" w:rsidRPr="00672F96">
        <w:rPr>
          <w:szCs w:val="22"/>
        </w:rPr>
        <w:t>adverse reactions</w:t>
      </w:r>
      <w:r w:rsidRPr="00672F96">
        <w:rPr>
          <w:szCs w:val="22"/>
        </w:rPr>
        <w:t>.</w:t>
      </w:r>
      <w:r w:rsidR="00297FE9" w:rsidRPr="00672F96">
        <w:rPr>
          <w:szCs w:val="22"/>
        </w:rPr>
        <w:t xml:space="preserve"> Although it cannot be proved that </w:t>
      </w:r>
      <w:proofErr w:type="spellStart"/>
      <w:r w:rsidR="00297FE9" w:rsidRPr="00672F96">
        <w:rPr>
          <w:szCs w:val="22"/>
        </w:rPr>
        <w:t>treosulfan</w:t>
      </w:r>
      <w:proofErr w:type="spellEnd"/>
      <w:r w:rsidR="00297FE9" w:rsidRPr="00672F96">
        <w:rPr>
          <w:szCs w:val="22"/>
        </w:rPr>
        <w:t xml:space="preserve"> was the cause, the use of clonazepam prophylaxis for </w:t>
      </w:r>
      <w:r w:rsidR="006277D9" w:rsidRPr="00672F96">
        <w:rPr>
          <w:szCs w:val="22"/>
        </w:rPr>
        <w:t>children</w:t>
      </w:r>
      <w:r w:rsidR="00297FE9" w:rsidRPr="00672F96">
        <w:rPr>
          <w:szCs w:val="22"/>
        </w:rPr>
        <w:t xml:space="preserve"> younger than 1</w:t>
      </w:r>
      <w:r w:rsidR="008B36D0" w:rsidRPr="00672F96">
        <w:rPr>
          <w:szCs w:val="22"/>
        </w:rPr>
        <w:t> </w:t>
      </w:r>
      <w:r w:rsidR="00297FE9" w:rsidRPr="00672F96">
        <w:rPr>
          <w:szCs w:val="22"/>
        </w:rPr>
        <w:t>year might be considered.</w:t>
      </w:r>
    </w:p>
    <w:p w14:paraId="2F94C0B0" w14:textId="77777777" w:rsidR="005C2E8F" w:rsidRDefault="005C2E8F" w:rsidP="005C2E8F">
      <w:pPr>
        <w:spacing w:line="240" w:lineRule="auto"/>
        <w:rPr>
          <w:i/>
          <w:szCs w:val="22"/>
        </w:rPr>
      </w:pPr>
    </w:p>
    <w:p w14:paraId="2F94C0B1" w14:textId="77777777" w:rsidR="00BA6F78" w:rsidRDefault="00522617" w:rsidP="005C2E8F">
      <w:pPr>
        <w:spacing w:line="240" w:lineRule="auto"/>
        <w:rPr>
          <w:i/>
          <w:szCs w:val="22"/>
        </w:rPr>
      </w:pPr>
      <w:r w:rsidRPr="00672F96">
        <w:rPr>
          <w:i/>
          <w:szCs w:val="22"/>
        </w:rPr>
        <w:t xml:space="preserve">Respiratory, </w:t>
      </w:r>
      <w:proofErr w:type="gramStart"/>
      <w:r w:rsidRPr="00672F96">
        <w:rPr>
          <w:i/>
          <w:szCs w:val="22"/>
        </w:rPr>
        <w:t>thoracic</w:t>
      </w:r>
      <w:proofErr w:type="gramEnd"/>
      <w:r w:rsidRPr="00672F96">
        <w:rPr>
          <w:i/>
          <w:szCs w:val="22"/>
        </w:rPr>
        <w:t xml:space="preserve"> and mediastinal disorders</w:t>
      </w:r>
    </w:p>
    <w:p w14:paraId="2F94C0B2" w14:textId="77777777" w:rsidR="005C2E8F" w:rsidRPr="00672F96" w:rsidRDefault="005C2E8F" w:rsidP="005C2E8F">
      <w:pPr>
        <w:spacing w:line="240" w:lineRule="auto"/>
        <w:rPr>
          <w:i/>
          <w:szCs w:val="22"/>
        </w:rPr>
      </w:pPr>
    </w:p>
    <w:p w14:paraId="2F94C0B3" w14:textId="77777777" w:rsidR="0043202E" w:rsidRPr="00672F96" w:rsidRDefault="00522617" w:rsidP="00672F96">
      <w:pPr>
        <w:spacing w:line="240" w:lineRule="auto"/>
        <w:rPr>
          <w:szCs w:val="22"/>
        </w:rPr>
      </w:pPr>
      <w:r w:rsidRPr="00672F96">
        <w:rPr>
          <w:szCs w:val="22"/>
        </w:rPr>
        <w:t xml:space="preserve">There was a significant association between age and respiratory toxicity in paediatric patients treated with </w:t>
      </w:r>
      <w:proofErr w:type="spellStart"/>
      <w:r w:rsidRPr="00672F96">
        <w:rPr>
          <w:szCs w:val="22"/>
        </w:rPr>
        <w:t>treosulfan</w:t>
      </w:r>
      <w:proofErr w:type="spellEnd"/>
      <w:r w:rsidR="00916401">
        <w:rPr>
          <w:szCs w:val="22"/>
        </w:rPr>
        <w:noBreakHyphen/>
      </w:r>
      <w:r w:rsidRPr="00672F96">
        <w:rPr>
          <w:szCs w:val="22"/>
        </w:rPr>
        <w:t>based conditioning.</w:t>
      </w:r>
    </w:p>
    <w:p w14:paraId="2F94C0B4" w14:textId="77777777" w:rsidR="00BA6F78" w:rsidRPr="00672F96" w:rsidRDefault="00522617" w:rsidP="00672F96">
      <w:pPr>
        <w:spacing w:line="240" w:lineRule="auto"/>
        <w:rPr>
          <w:szCs w:val="22"/>
        </w:rPr>
      </w:pPr>
      <w:r w:rsidRPr="00672F96">
        <w:rPr>
          <w:szCs w:val="22"/>
        </w:rPr>
        <w:t xml:space="preserve">Children </w:t>
      </w:r>
      <w:r w:rsidR="00661165" w:rsidRPr="00672F96">
        <w:rPr>
          <w:szCs w:val="22"/>
        </w:rPr>
        <w:t xml:space="preserve">younger than </w:t>
      </w:r>
      <w:r w:rsidRPr="00672F96">
        <w:rPr>
          <w:szCs w:val="22"/>
        </w:rPr>
        <w:t>one year (mainly non</w:t>
      </w:r>
      <w:r w:rsidR="00387971" w:rsidRPr="00672F96">
        <w:rPr>
          <w:szCs w:val="22"/>
        </w:rPr>
        <w:noBreakHyphen/>
      </w:r>
      <w:r w:rsidRPr="00672F96">
        <w:rPr>
          <w:szCs w:val="22"/>
        </w:rPr>
        <w:t>malignant diseases</w:t>
      </w:r>
      <w:r w:rsidR="00E77AC4" w:rsidRPr="00672F96">
        <w:rPr>
          <w:szCs w:val="22"/>
        </w:rPr>
        <w:t>, especially immunodeficiencies</w:t>
      </w:r>
      <w:r w:rsidRPr="00672F96">
        <w:rPr>
          <w:szCs w:val="22"/>
        </w:rPr>
        <w:t>) experienced more respiratory grade</w:t>
      </w:r>
      <w:r w:rsidR="00387971" w:rsidRPr="00672F96">
        <w:rPr>
          <w:szCs w:val="22"/>
        </w:rPr>
        <w:t> </w:t>
      </w:r>
      <w:r w:rsidRPr="00672F96">
        <w:rPr>
          <w:szCs w:val="22"/>
        </w:rPr>
        <w:t>III/IV toxicity</w:t>
      </w:r>
      <w:r w:rsidR="00E77AC4" w:rsidRPr="00672F96">
        <w:rPr>
          <w:szCs w:val="22"/>
        </w:rPr>
        <w:t xml:space="preserve">, possibly due </w:t>
      </w:r>
      <w:r w:rsidR="004B01AB" w:rsidRPr="00672F96">
        <w:rPr>
          <w:szCs w:val="22"/>
        </w:rPr>
        <w:t xml:space="preserve">to </w:t>
      </w:r>
      <w:r w:rsidRPr="00672F96">
        <w:rPr>
          <w:szCs w:val="22"/>
        </w:rPr>
        <w:t xml:space="preserve">pulmonary infections </w:t>
      </w:r>
      <w:r w:rsidR="00E77AC4" w:rsidRPr="00672F96">
        <w:rPr>
          <w:szCs w:val="22"/>
        </w:rPr>
        <w:t xml:space="preserve">already existing </w:t>
      </w:r>
      <w:r w:rsidRPr="00672F96">
        <w:rPr>
          <w:szCs w:val="22"/>
        </w:rPr>
        <w:t xml:space="preserve">before </w:t>
      </w:r>
      <w:r w:rsidR="005C21F4" w:rsidRPr="00435707">
        <w:rPr>
          <w:szCs w:val="22"/>
        </w:rPr>
        <w:t>the</w:t>
      </w:r>
      <w:r w:rsidR="005C21F4">
        <w:rPr>
          <w:szCs w:val="22"/>
        </w:rPr>
        <w:t xml:space="preserve"> </w:t>
      </w:r>
      <w:r w:rsidR="004B01AB" w:rsidRPr="00672F96">
        <w:rPr>
          <w:szCs w:val="22"/>
        </w:rPr>
        <w:t>start of conditioning treatment</w:t>
      </w:r>
      <w:r w:rsidRPr="00672F96">
        <w:rPr>
          <w:szCs w:val="22"/>
        </w:rPr>
        <w:t>.</w:t>
      </w:r>
    </w:p>
    <w:p w14:paraId="2F94C0B5" w14:textId="77777777" w:rsidR="002E348D" w:rsidRPr="00672F96" w:rsidRDefault="002E348D" w:rsidP="00672F96">
      <w:pPr>
        <w:spacing w:line="240" w:lineRule="auto"/>
        <w:rPr>
          <w:szCs w:val="22"/>
        </w:rPr>
      </w:pPr>
    </w:p>
    <w:p w14:paraId="2F94C0B6" w14:textId="44309FED" w:rsidR="002E348D" w:rsidRDefault="002E0881" w:rsidP="00672F96">
      <w:pPr>
        <w:spacing w:line="240" w:lineRule="auto"/>
        <w:rPr>
          <w:i/>
          <w:szCs w:val="22"/>
        </w:rPr>
      </w:pPr>
      <w:r>
        <w:rPr>
          <w:i/>
          <w:szCs w:val="22"/>
        </w:rPr>
        <w:t>Skin disorders</w:t>
      </w:r>
    </w:p>
    <w:p w14:paraId="2F94C0B7" w14:textId="77777777" w:rsidR="005C21F4" w:rsidRPr="00672F96" w:rsidRDefault="005C21F4" w:rsidP="00672F96">
      <w:pPr>
        <w:spacing w:line="240" w:lineRule="auto"/>
        <w:rPr>
          <w:i/>
          <w:szCs w:val="22"/>
        </w:rPr>
      </w:pPr>
    </w:p>
    <w:p w14:paraId="49743E3F" w14:textId="7FA71D9D" w:rsidR="002E0881" w:rsidRDefault="002E0881" w:rsidP="00672F96">
      <w:pPr>
        <w:spacing w:line="240" w:lineRule="auto"/>
        <w:rPr>
          <w:szCs w:val="22"/>
        </w:rPr>
      </w:pPr>
      <w:r>
        <w:rPr>
          <w:szCs w:val="22"/>
        </w:rPr>
        <w:t xml:space="preserve">An </w:t>
      </w:r>
      <w:r w:rsidRPr="00FC66B2">
        <w:rPr>
          <w:szCs w:val="22"/>
        </w:rPr>
        <w:t xml:space="preserve">increase of skin </w:t>
      </w:r>
      <w:r>
        <w:rPr>
          <w:szCs w:val="22"/>
        </w:rPr>
        <w:t>disorders (</w:t>
      </w:r>
      <w:proofErr w:type="gramStart"/>
      <w:r>
        <w:rPr>
          <w:szCs w:val="22"/>
        </w:rPr>
        <w:t>e.g.</w:t>
      </w:r>
      <w:proofErr w:type="gramEnd"/>
      <w:r>
        <w:rPr>
          <w:szCs w:val="22"/>
        </w:rPr>
        <w:t xml:space="preserve"> rash, dermatitis)</w:t>
      </w:r>
      <w:r w:rsidRPr="00FC66B2">
        <w:rPr>
          <w:szCs w:val="22"/>
        </w:rPr>
        <w:t xml:space="preserve"> was observed when patients received sodium bicarbonate-containing hydration</w:t>
      </w:r>
      <w:r>
        <w:rPr>
          <w:szCs w:val="22"/>
        </w:rPr>
        <w:t xml:space="preserve"> in the course of </w:t>
      </w:r>
      <w:proofErr w:type="spellStart"/>
      <w:r>
        <w:rPr>
          <w:szCs w:val="22"/>
        </w:rPr>
        <w:t>treosulfan</w:t>
      </w:r>
      <w:proofErr w:type="spellEnd"/>
      <w:r>
        <w:rPr>
          <w:szCs w:val="22"/>
        </w:rPr>
        <w:t xml:space="preserve"> infusion, potentially because of acceleration of the pH-dependent formation of alkylating epoxides</w:t>
      </w:r>
      <w:r w:rsidRPr="00FC66B2">
        <w:rPr>
          <w:szCs w:val="22"/>
        </w:rPr>
        <w:t>.</w:t>
      </w:r>
      <w:r>
        <w:rPr>
          <w:szCs w:val="22"/>
        </w:rPr>
        <w:t xml:space="preserve"> </w:t>
      </w:r>
    </w:p>
    <w:p w14:paraId="75385DEB" w14:textId="77777777" w:rsidR="00380F41" w:rsidRDefault="00380F41" w:rsidP="00672F96">
      <w:pPr>
        <w:spacing w:line="240" w:lineRule="auto"/>
        <w:rPr>
          <w:szCs w:val="22"/>
        </w:rPr>
      </w:pPr>
    </w:p>
    <w:p w14:paraId="2F94C0B8" w14:textId="18741015" w:rsidR="00BA6F78" w:rsidRPr="00672F96" w:rsidRDefault="00522617" w:rsidP="00672F96">
      <w:pPr>
        <w:spacing w:line="240" w:lineRule="auto"/>
        <w:rPr>
          <w:szCs w:val="22"/>
        </w:rPr>
      </w:pPr>
      <w:r w:rsidRPr="00672F96">
        <w:rPr>
          <w:szCs w:val="22"/>
        </w:rPr>
        <w:t>D</w:t>
      </w:r>
      <w:r w:rsidR="002E0881">
        <w:rPr>
          <w:szCs w:val="22"/>
        </w:rPr>
        <w:t>iaper d</w:t>
      </w:r>
      <w:r w:rsidRPr="00672F96">
        <w:rPr>
          <w:szCs w:val="22"/>
        </w:rPr>
        <w:t xml:space="preserve">ermatitis may occur in small children because of excretion of </w:t>
      </w:r>
      <w:proofErr w:type="spellStart"/>
      <w:r w:rsidRPr="00672F96">
        <w:rPr>
          <w:szCs w:val="22"/>
        </w:rPr>
        <w:t>treosulfan</w:t>
      </w:r>
      <w:proofErr w:type="spellEnd"/>
      <w:r w:rsidRPr="00672F96">
        <w:rPr>
          <w:szCs w:val="22"/>
        </w:rPr>
        <w:t xml:space="preserve"> in the urine. Therefore,</w:t>
      </w:r>
      <w:r w:rsidR="008B36D0" w:rsidRPr="00672F96">
        <w:rPr>
          <w:szCs w:val="22"/>
        </w:rPr>
        <w:t xml:space="preserve"> nappies should be changed frequently up </w:t>
      </w:r>
      <w:r w:rsidR="008B36D0" w:rsidRPr="00435707">
        <w:rPr>
          <w:szCs w:val="22"/>
        </w:rPr>
        <w:t>to 6–8</w:t>
      </w:r>
      <w:r w:rsidR="008B36D0" w:rsidRPr="00672F96">
        <w:rPr>
          <w:szCs w:val="22"/>
        </w:rPr>
        <w:t> hours</w:t>
      </w:r>
      <w:r w:rsidRPr="00672F96">
        <w:rPr>
          <w:szCs w:val="22"/>
        </w:rPr>
        <w:t xml:space="preserve"> after </w:t>
      </w:r>
      <w:r w:rsidR="00413E4E" w:rsidRPr="00672F96">
        <w:rPr>
          <w:szCs w:val="22"/>
        </w:rPr>
        <w:t>each</w:t>
      </w:r>
      <w:r w:rsidRPr="00672F96">
        <w:rPr>
          <w:szCs w:val="22"/>
        </w:rPr>
        <w:t xml:space="preserve"> </w:t>
      </w:r>
      <w:r w:rsidR="00413E4E" w:rsidRPr="00672F96">
        <w:rPr>
          <w:szCs w:val="22"/>
        </w:rPr>
        <w:t>infusion</w:t>
      </w:r>
      <w:r w:rsidRPr="00672F96">
        <w:rPr>
          <w:szCs w:val="22"/>
        </w:rPr>
        <w:t xml:space="preserve"> of </w:t>
      </w:r>
      <w:proofErr w:type="spellStart"/>
      <w:r w:rsidRPr="00672F96">
        <w:rPr>
          <w:szCs w:val="22"/>
        </w:rPr>
        <w:t>treosulfan</w:t>
      </w:r>
      <w:proofErr w:type="spellEnd"/>
      <w:r w:rsidRPr="00672F96">
        <w:rPr>
          <w:szCs w:val="22"/>
        </w:rPr>
        <w:t xml:space="preserve">. </w:t>
      </w:r>
    </w:p>
    <w:p w14:paraId="0E4C3EAC" w14:textId="77777777" w:rsidR="001D7542" w:rsidRDefault="001D7542" w:rsidP="00672F96">
      <w:pPr>
        <w:spacing w:line="240" w:lineRule="auto"/>
        <w:rPr>
          <w:szCs w:val="22"/>
        </w:rPr>
      </w:pPr>
    </w:p>
    <w:p w14:paraId="2F94C0B9" w14:textId="7BC9F86C" w:rsidR="002E348D" w:rsidRDefault="001D7542" w:rsidP="00672F96">
      <w:pPr>
        <w:spacing w:line="240" w:lineRule="auto"/>
        <w:rPr>
          <w:szCs w:val="22"/>
        </w:rPr>
      </w:pPr>
      <w:r>
        <w:rPr>
          <w:szCs w:val="22"/>
        </w:rPr>
        <w:t xml:space="preserve">Keep skin clean and dry on days of </w:t>
      </w:r>
      <w:proofErr w:type="spellStart"/>
      <w:r>
        <w:rPr>
          <w:szCs w:val="22"/>
        </w:rPr>
        <w:t>treosulfan</w:t>
      </w:r>
      <w:proofErr w:type="spellEnd"/>
      <w:r>
        <w:rPr>
          <w:szCs w:val="22"/>
        </w:rPr>
        <w:t xml:space="preserve"> infusion.</w:t>
      </w:r>
    </w:p>
    <w:p w14:paraId="3808DC8D" w14:textId="77777777" w:rsidR="001D7542" w:rsidRDefault="001D7542" w:rsidP="00672F96">
      <w:pPr>
        <w:spacing w:line="240" w:lineRule="auto"/>
        <w:rPr>
          <w:szCs w:val="22"/>
        </w:rPr>
      </w:pPr>
    </w:p>
    <w:p w14:paraId="391CB59F" w14:textId="6D2DC57B" w:rsidR="00E14182" w:rsidRPr="00E14182" w:rsidRDefault="00E14182" w:rsidP="00672F96">
      <w:pPr>
        <w:spacing w:line="240" w:lineRule="auto"/>
        <w:rPr>
          <w:szCs w:val="22"/>
          <w:u w:val="single"/>
        </w:rPr>
      </w:pPr>
      <w:r w:rsidRPr="00E14182">
        <w:rPr>
          <w:szCs w:val="22"/>
          <w:u w:val="single"/>
        </w:rPr>
        <w:t>Effects on laboratory tests</w:t>
      </w:r>
    </w:p>
    <w:p w14:paraId="7B89B00C" w14:textId="0FFE01B0" w:rsidR="00E14182" w:rsidRDefault="00E14182" w:rsidP="00672F96">
      <w:pPr>
        <w:spacing w:line="240" w:lineRule="auto"/>
        <w:rPr>
          <w:szCs w:val="22"/>
        </w:rPr>
      </w:pPr>
    </w:p>
    <w:p w14:paraId="1E93761C" w14:textId="1A1D5A12" w:rsidR="00E14182" w:rsidRDefault="00E14182" w:rsidP="00672F96">
      <w:pPr>
        <w:spacing w:line="240" w:lineRule="auto"/>
        <w:rPr>
          <w:szCs w:val="22"/>
        </w:rPr>
      </w:pPr>
      <w:r w:rsidRPr="00134AFD">
        <w:rPr>
          <w:szCs w:val="22"/>
        </w:rPr>
        <w:t>No data available.</w:t>
      </w:r>
      <w:r>
        <w:rPr>
          <w:szCs w:val="22"/>
        </w:rPr>
        <w:t xml:space="preserve">  </w:t>
      </w:r>
    </w:p>
    <w:p w14:paraId="5F9381CA" w14:textId="77777777" w:rsidR="00E14182" w:rsidRPr="00672F96" w:rsidRDefault="00E14182" w:rsidP="00672F96">
      <w:pPr>
        <w:spacing w:line="240" w:lineRule="auto"/>
        <w:rPr>
          <w:szCs w:val="22"/>
        </w:rPr>
      </w:pPr>
    </w:p>
    <w:p w14:paraId="2F94C0BA" w14:textId="77777777" w:rsidR="00AE0267" w:rsidRPr="00672F96" w:rsidRDefault="00522617" w:rsidP="00672F96">
      <w:pPr>
        <w:spacing w:line="240" w:lineRule="auto"/>
        <w:rPr>
          <w:szCs w:val="22"/>
          <w:u w:val="single"/>
        </w:rPr>
      </w:pPr>
      <w:r w:rsidRPr="00672F96">
        <w:rPr>
          <w:szCs w:val="22"/>
          <w:u w:val="single"/>
        </w:rPr>
        <w:t>Extravasation</w:t>
      </w:r>
    </w:p>
    <w:p w14:paraId="2F94C0BB" w14:textId="77777777" w:rsidR="00AB4B23" w:rsidRPr="00672F96" w:rsidRDefault="00AB4B23" w:rsidP="00672F96">
      <w:pPr>
        <w:spacing w:line="240" w:lineRule="auto"/>
        <w:rPr>
          <w:szCs w:val="22"/>
          <w:u w:val="single"/>
        </w:rPr>
      </w:pPr>
    </w:p>
    <w:p w14:paraId="2F94C0BC" w14:textId="77777777" w:rsidR="006B27EA" w:rsidRPr="00672F96" w:rsidRDefault="00522617" w:rsidP="00672F96">
      <w:pPr>
        <w:spacing w:line="240" w:lineRule="auto"/>
        <w:rPr>
          <w:szCs w:val="22"/>
        </w:rPr>
      </w:pPr>
      <w:proofErr w:type="spellStart"/>
      <w:r w:rsidRPr="00672F96">
        <w:rPr>
          <w:szCs w:val="22"/>
        </w:rPr>
        <w:t>Treosulfan</w:t>
      </w:r>
      <w:proofErr w:type="spellEnd"/>
      <w:r w:rsidRPr="00672F96">
        <w:rPr>
          <w:szCs w:val="22"/>
        </w:rPr>
        <w:t xml:space="preserve"> is considered an irritan</w:t>
      </w:r>
      <w:r w:rsidR="00A9564E" w:rsidRPr="00672F96">
        <w:rPr>
          <w:szCs w:val="22"/>
        </w:rPr>
        <w:t>t</w:t>
      </w:r>
      <w:r w:rsidRPr="00672F96">
        <w:rPr>
          <w:szCs w:val="22"/>
        </w:rPr>
        <w:t xml:space="preserve">. Intravenous application should be performed </w:t>
      </w:r>
      <w:r w:rsidR="00A9564E" w:rsidRPr="00672F96">
        <w:rPr>
          <w:szCs w:val="22"/>
        </w:rPr>
        <w:t>using</w:t>
      </w:r>
      <w:r w:rsidRPr="00672F96">
        <w:rPr>
          <w:szCs w:val="22"/>
        </w:rPr>
        <w:t xml:space="preserve"> a safe technique. If extravasation is suspected, general safety measures should be </w:t>
      </w:r>
      <w:r w:rsidR="003C0836" w:rsidRPr="00672F96">
        <w:rPr>
          <w:szCs w:val="22"/>
        </w:rPr>
        <w:t>implemented</w:t>
      </w:r>
      <w:r w:rsidRPr="00672F96">
        <w:rPr>
          <w:szCs w:val="22"/>
        </w:rPr>
        <w:t xml:space="preserve">. No specific measure has </w:t>
      </w:r>
      <w:r w:rsidR="00A9564E" w:rsidRPr="00672F96">
        <w:rPr>
          <w:szCs w:val="22"/>
        </w:rPr>
        <w:t xml:space="preserve">been </w:t>
      </w:r>
      <w:r w:rsidRPr="00672F96">
        <w:rPr>
          <w:szCs w:val="22"/>
        </w:rPr>
        <w:t>prove</w:t>
      </w:r>
      <w:r w:rsidR="00A9564E" w:rsidRPr="00672F96">
        <w:rPr>
          <w:szCs w:val="22"/>
        </w:rPr>
        <w:t>n</w:t>
      </w:r>
      <w:r w:rsidRPr="00672F96">
        <w:rPr>
          <w:szCs w:val="22"/>
        </w:rPr>
        <w:t xml:space="preserve"> to be recommendable.</w:t>
      </w:r>
    </w:p>
    <w:p w14:paraId="2F94C0BD" w14:textId="77777777" w:rsidR="00AE0267" w:rsidRPr="00672F96" w:rsidRDefault="00AE0267" w:rsidP="00672F96">
      <w:pPr>
        <w:spacing w:line="240" w:lineRule="auto"/>
        <w:rPr>
          <w:szCs w:val="22"/>
        </w:rPr>
      </w:pPr>
    </w:p>
    <w:p w14:paraId="2F94C0BE" w14:textId="3799A5F5" w:rsidR="00AE0267" w:rsidRPr="00672F96" w:rsidRDefault="00522617" w:rsidP="00672F96">
      <w:pPr>
        <w:pStyle w:val="Heading3"/>
        <w:rPr>
          <w:szCs w:val="22"/>
        </w:rPr>
      </w:pPr>
      <w:r w:rsidRPr="00672F96">
        <w:rPr>
          <w:szCs w:val="22"/>
        </w:rPr>
        <w:t>4.5</w:t>
      </w:r>
      <w:r w:rsidRPr="00672F96">
        <w:rPr>
          <w:szCs w:val="22"/>
        </w:rPr>
        <w:tab/>
        <w:t>Interaction with other medicin</w:t>
      </w:r>
      <w:r w:rsidR="00E14182">
        <w:rPr>
          <w:szCs w:val="22"/>
        </w:rPr>
        <w:t>es</w:t>
      </w:r>
      <w:r w:rsidRPr="00672F96">
        <w:rPr>
          <w:szCs w:val="22"/>
        </w:rPr>
        <w:t xml:space="preserve"> and other forms of interaction</w:t>
      </w:r>
    </w:p>
    <w:p w14:paraId="2F94C0BF" w14:textId="77777777" w:rsidR="00AE0267" w:rsidRPr="00672F96" w:rsidRDefault="00AE0267" w:rsidP="00672F96">
      <w:pPr>
        <w:spacing w:line="240" w:lineRule="auto"/>
        <w:rPr>
          <w:szCs w:val="22"/>
          <w:u w:val="single"/>
        </w:rPr>
      </w:pPr>
    </w:p>
    <w:p w14:paraId="2F94C0C0" w14:textId="77777777" w:rsidR="00AE0267" w:rsidRDefault="00522617" w:rsidP="00672F96">
      <w:pPr>
        <w:spacing w:line="240" w:lineRule="auto"/>
        <w:rPr>
          <w:szCs w:val="22"/>
        </w:rPr>
      </w:pPr>
      <w:r w:rsidRPr="00672F96">
        <w:rPr>
          <w:szCs w:val="22"/>
        </w:rPr>
        <w:t xml:space="preserve">No interaction of </w:t>
      </w:r>
      <w:proofErr w:type="spellStart"/>
      <w:r w:rsidRPr="00672F96">
        <w:rPr>
          <w:szCs w:val="22"/>
        </w:rPr>
        <w:t>treosulfan</w:t>
      </w:r>
      <w:proofErr w:type="spellEnd"/>
      <w:r w:rsidRPr="00672F96">
        <w:rPr>
          <w:szCs w:val="22"/>
        </w:rPr>
        <w:t xml:space="preserve"> </w:t>
      </w:r>
      <w:r w:rsidR="00832049" w:rsidRPr="00672F96">
        <w:rPr>
          <w:szCs w:val="22"/>
        </w:rPr>
        <w:t xml:space="preserve">was </w:t>
      </w:r>
      <w:r w:rsidRPr="00672F96">
        <w:rPr>
          <w:szCs w:val="22"/>
        </w:rPr>
        <w:t>observed in high</w:t>
      </w:r>
      <w:r w:rsidR="00EE00A7" w:rsidRPr="00672F96">
        <w:rPr>
          <w:szCs w:val="22"/>
        </w:rPr>
        <w:noBreakHyphen/>
      </w:r>
      <w:r w:rsidRPr="00672F96">
        <w:rPr>
          <w:szCs w:val="22"/>
        </w:rPr>
        <w:t>dose chemotherapy.</w:t>
      </w:r>
    </w:p>
    <w:p w14:paraId="2F94C0C1" w14:textId="77777777" w:rsidR="00255175" w:rsidRDefault="00255175" w:rsidP="00672F96">
      <w:pPr>
        <w:spacing w:line="240" w:lineRule="auto"/>
        <w:rPr>
          <w:szCs w:val="22"/>
        </w:rPr>
      </w:pPr>
    </w:p>
    <w:p w14:paraId="2F94C0C2" w14:textId="4A7BB41B" w:rsidR="00255175" w:rsidRDefault="00255175" w:rsidP="00672F96">
      <w:pPr>
        <w:spacing w:line="240" w:lineRule="auto"/>
        <w:rPr>
          <w:szCs w:val="22"/>
        </w:rPr>
      </w:pPr>
      <w:r>
        <w:rPr>
          <w:szCs w:val="22"/>
        </w:rPr>
        <w:t xml:space="preserve">Detailed </w:t>
      </w:r>
      <w:r w:rsidRPr="00255175">
        <w:rPr>
          <w:i/>
          <w:szCs w:val="22"/>
        </w:rPr>
        <w:t>in vitro</w:t>
      </w:r>
      <w:r>
        <w:rPr>
          <w:szCs w:val="22"/>
        </w:rPr>
        <w:t xml:space="preserve"> studies did not completely exclude potential interactions between high plasma concentrations of </w:t>
      </w:r>
      <w:proofErr w:type="spellStart"/>
      <w:r>
        <w:rPr>
          <w:szCs w:val="22"/>
        </w:rPr>
        <w:t>treosulfan</w:t>
      </w:r>
      <w:proofErr w:type="spellEnd"/>
      <w:r>
        <w:rPr>
          <w:szCs w:val="22"/>
        </w:rPr>
        <w:t xml:space="preserve"> and CYP3A4, CYP2C19, or </w:t>
      </w:r>
      <w:r w:rsidRPr="004F2434">
        <w:rPr>
          <w:szCs w:val="22"/>
        </w:rPr>
        <w:t>P</w:t>
      </w:r>
      <w:r w:rsidR="0037737D" w:rsidRPr="004F2434">
        <w:rPr>
          <w:szCs w:val="22"/>
        </w:rPr>
        <w:noBreakHyphen/>
      </w:r>
      <w:proofErr w:type="spellStart"/>
      <w:r w:rsidRPr="004F2434">
        <w:rPr>
          <w:szCs w:val="22"/>
        </w:rPr>
        <w:t>gp</w:t>
      </w:r>
      <w:proofErr w:type="spellEnd"/>
      <w:r w:rsidR="0037737D">
        <w:rPr>
          <w:szCs w:val="22"/>
        </w:rPr>
        <w:t> </w:t>
      </w:r>
      <w:r>
        <w:rPr>
          <w:szCs w:val="22"/>
        </w:rPr>
        <w:t xml:space="preserve">substrates. </w:t>
      </w:r>
      <w:proofErr w:type="gramStart"/>
      <w:r w:rsidR="000C61A9">
        <w:rPr>
          <w:lang w:val="en-US"/>
        </w:rPr>
        <w:t>Physiologically-based</w:t>
      </w:r>
      <w:proofErr w:type="gramEnd"/>
      <w:r w:rsidR="000C61A9">
        <w:rPr>
          <w:lang w:val="en-US"/>
        </w:rPr>
        <w:t xml:space="preserve"> pharmacokinetic modelling</w:t>
      </w:r>
      <w:r w:rsidR="000C61A9" w:rsidRPr="00486C0D">
        <w:rPr>
          <w:lang w:val="en-US"/>
        </w:rPr>
        <w:t xml:space="preserve"> predicted a weak (AUC ratio ≥</w:t>
      </w:r>
      <w:r w:rsidR="000C61A9">
        <w:rPr>
          <w:lang w:val="en-US"/>
        </w:rPr>
        <w:t> 1.25 and &lt; </w:t>
      </w:r>
      <w:r w:rsidR="000C61A9" w:rsidRPr="00486C0D">
        <w:rPr>
          <w:lang w:val="en-US"/>
        </w:rPr>
        <w:t>2) to moderate (AUC ratio ≥</w:t>
      </w:r>
      <w:r w:rsidR="000C61A9">
        <w:rPr>
          <w:lang w:val="en-US"/>
        </w:rPr>
        <w:t> 2 and &lt; </w:t>
      </w:r>
      <w:r w:rsidR="000C61A9" w:rsidRPr="00486C0D">
        <w:rPr>
          <w:lang w:val="en-US"/>
        </w:rPr>
        <w:t>5) interaction for CYP3A4, a weak interaction for CYP2C19, and a negligible (AUC ratio &lt;</w:t>
      </w:r>
      <w:r w:rsidR="000C61A9">
        <w:rPr>
          <w:lang w:val="en-US"/>
        </w:rPr>
        <w:t> </w:t>
      </w:r>
      <w:r w:rsidR="000C61A9" w:rsidRPr="00486C0D">
        <w:rPr>
          <w:lang w:val="en-US"/>
        </w:rPr>
        <w:t>1.25) interaction for P</w:t>
      </w:r>
      <w:r w:rsidR="000C61A9">
        <w:rPr>
          <w:lang w:val="en-US"/>
        </w:rPr>
        <w:noBreakHyphen/>
        <w:t>glycoprotein (P</w:t>
      </w:r>
      <w:r w:rsidR="000C61A9">
        <w:rPr>
          <w:lang w:val="en-US"/>
        </w:rPr>
        <w:noBreakHyphen/>
      </w:r>
      <w:proofErr w:type="spellStart"/>
      <w:r w:rsidR="000C61A9">
        <w:rPr>
          <w:lang w:val="en-US"/>
        </w:rPr>
        <w:t>gp</w:t>
      </w:r>
      <w:proofErr w:type="spellEnd"/>
      <w:r w:rsidR="000C61A9">
        <w:rPr>
          <w:lang w:val="en-US"/>
        </w:rPr>
        <w:t>)</w:t>
      </w:r>
      <w:r w:rsidR="000C61A9" w:rsidRPr="00486C0D">
        <w:rPr>
          <w:lang w:val="en-US"/>
        </w:rPr>
        <w:t>.</w:t>
      </w:r>
      <w:r w:rsidR="000C61A9">
        <w:rPr>
          <w:lang w:val="en-US"/>
        </w:rPr>
        <w:t xml:space="preserve"> </w:t>
      </w:r>
      <w:r w:rsidR="0022508D">
        <w:rPr>
          <w:szCs w:val="22"/>
        </w:rPr>
        <w:t>Therefore, medicinal products with a narrow therapeutic index (</w:t>
      </w:r>
      <w:proofErr w:type="gramStart"/>
      <w:r w:rsidR="0022508D">
        <w:rPr>
          <w:szCs w:val="22"/>
        </w:rPr>
        <w:t>e.g.</w:t>
      </w:r>
      <w:proofErr w:type="gramEnd"/>
      <w:r w:rsidR="0022508D">
        <w:rPr>
          <w:szCs w:val="22"/>
        </w:rPr>
        <w:t xml:space="preserve"> digoxin) that are substrates for CYP3A4, CYP2C19 or P</w:t>
      </w:r>
      <w:r w:rsidR="0022508D">
        <w:rPr>
          <w:szCs w:val="22"/>
        </w:rPr>
        <w:noBreakHyphen/>
      </w:r>
      <w:proofErr w:type="spellStart"/>
      <w:r w:rsidR="0022508D">
        <w:rPr>
          <w:szCs w:val="22"/>
        </w:rPr>
        <w:t>gp</w:t>
      </w:r>
      <w:proofErr w:type="spellEnd"/>
      <w:r w:rsidR="0022508D">
        <w:rPr>
          <w:szCs w:val="22"/>
        </w:rPr>
        <w:t xml:space="preserve"> should not be given during treatment with </w:t>
      </w:r>
      <w:proofErr w:type="spellStart"/>
      <w:r w:rsidR="0022508D">
        <w:rPr>
          <w:szCs w:val="22"/>
        </w:rPr>
        <w:t>treosulfan</w:t>
      </w:r>
      <w:proofErr w:type="spellEnd"/>
      <w:r w:rsidR="0022508D">
        <w:rPr>
          <w:szCs w:val="22"/>
        </w:rPr>
        <w:t>.</w:t>
      </w:r>
    </w:p>
    <w:p w14:paraId="06B942AF" w14:textId="77777777" w:rsidR="00380F41" w:rsidRDefault="00380F41" w:rsidP="00672F96">
      <w:pPr>
        <w:spacing w:line="240" w:lineRule="auto"/>
        <w:rPr>
          <w:szCs w:val="22"/>
        </w:rPr>
      </w:pPr>
    </w:p>
    <w:p w14:paraId="15D36C2F" w14:textId="6D695065" w:rsidR="000C61A9" w:rsidRDefault="000C61A9" w:rsidP="00672F96">
      <w:pPr>
        <w:spacing w:line="240" w:lineRule="auto"/>
        <w:rPr>
          <w:szCs w:val="22"/>
        </w:rPr>
      </w:pPr>
      <w:r w:rsidRPr="00D5225D">
        <w:rPr>
          <w:szCs w:val="22"/>
        </w:rPr>
        <w:t xml:space="preserve">Considering overall timing of treatments and the respective </w:t>
      </w:r>
      <w:r>
        <w:rPr>
          <w:szCs w:val="22"/>
        </w:rPr>
        <w:t xml:space="preserve">pharmacokinetic </w:t>
      </w:r>
      <w:r w:rsidRPr="00D5225D">
        <w:rPr>
          <w:szCs w:val="22"/>
        </w:rPr>
        <w:t xml:space="preserve">properties of concomitantly used drugs (e.g., half-life), the interaction potential can be reduced to “no interaction” </w:t>
      </w:r>
      <w:r w:rsidRPr="00D5225D">
        <w:rPr>
          <w:szCs w:val="22"/>
        </w:rPr>
        <w:lastRenderedPageBreak/>
        <w:t>(AUC ratio &lt;</w:t>
      </w:r>
      <w:r>
        <w:rPr>
          <w:szCs w:val="22"/>
        </w:rPr>
        <w:t> </w:t>
      </w:r>
      <w:r w:rsidRPr="00D5225D">
        <w:rPr>
          <w:szCs w:val="22"/>
        </w:rPr>
        <w:t>1.25), if all concomitantly used drugs are dosed 2</w:t>
      </w:r>
      <w:r>
        <w:rPr>
          <w:szCs w:val="22"/>
        </w:rPr>
        <w:t> </w:t>
      </w:r>
      <w:r w:rsidRPr="00D5225D">
        <w:rPr>
          <w:szCs w:val="22"/>
        </w:rPr>
        <w:t>h before or 8</w:t>
      </w:r>
      <w:r>
        <w:rPr>
          <w:szCs w:val="22"/>
        </w:rPr>
        <w:t> </w:t>
      </w:r>
      <w:r w:rsidRPr="00D5225D">
        <w:rPr>
          <w:szCs w:val="22"/>
        </w:rPr>
        <w:t>h after the 2</w:t>
      </w:r>
      <w:r>
        <w:rPr>
          <w:szCs w:val="22"/>
        </w:rPr>
        <w:t> </w:t>
      </w:r>
      <w:r w:rsidRPr="00D5225D">
        <w:rPr>
          <w:szCs w:val="22"/>
        </w:rPr>
        <w:t xml:space="preserve">h </w:t>
      </w:r>
      <w:r>
        <w:rPr>
          <w:szCs w:val="22"/>
        </w:rPr>
        <w:t>intravenous</w:t>
      </w:r>
      <w:r w:rsidRPr="00D5225D">
        <w:rPr>
          <w:szCs w:val="22"/>
        </w:rPr>
        <w:t xml:space="preserve"> infusion of </w:t>
      </w:r>
      <w:proofErr w:type="spellStart"/>
      <w:r>
        <w:rPr>
          <w:szCs w:val="22"/>
        </w:rPr>
        <w:t>treosulfan</w:t>
      </w:r>
      <w:proofErr w:type="spellEnd"/>
      <w:r w:rsidRPr="00D5225D">
        <w:rPr>
          <w:szCs w:val="22"/>
        </w:rPr>
        <w:t>.</w:t>
      </w:r>
    </w:p>
    <w:p w14:paraId="7C3E1C43" w14:textId="6411CC84" w:rsidR="000132E6" w:rsidRDefault="000132E6" w:rsidP="00672F96">
      <w:pPr>
        <w:spacing w:line="240" w:lineRule="auto"/>
        <w:rPr>
          <w:szCs w:val="22"/>
        </w:rPr>
      </w:pPr>
    </w:p>
    <w:p w14:paraId="19DFC0B8" w14:textId="5CC29BEE" w:rsidR="000132E6" w:rsidRPr="000132E6" w:rsidRDefault="000132E6" w:rsidP="00672F96">
      <w:pPr>
        <w:spacing w:line="240" w:lineRule="auto"/>
        <w:rPr>
          <w:b/>
          <w:bCs/>
          <w:szCs w:val="22"/>
        </w:rPr>
      </w:pPr>
      <w:r>
        <w:rPr>
          <w:szCs w:val="22"/>
        </w:rPr>
        <w:t xml:space="preserve">In </w:t>
      </w:r>
      <w:r>
        <w:rPr>
          <w:i/>
          <w:iCs/>
          <w:szCs w:val="22"/>
        </w:rPr>
        <w:t xml:space="preserve">in vitro </w:t>
      </w:r>
      <w:r>
        <w:rPr>
          <w:szCs w:val="22"/>
        </w:rPr>
        <w:t xml:space="preserve">studies </w:t>
      </w:r>
      <w:proofErr w:type="spellStart"/>
      <w:r>
        <w:rPr>
          <w:szCs w:val="22"/>
        </w:rPr>
        <w:t>treosulfan</w:t>
      </w:r>
      <w:proofErr w:type="spellEnd"/>
      <w:r>
        <w:rPr>
          <w:szCs w:val="22"/>
        </w:rPr>
        <w:t xml:space="preserve"> did not inhibit CYP1A2, 2B6, 2C8, 2C9, 2C19, 2D6, or 3A4 using testosterone as substrate. However, using midazolam as the substrate, </w:t>
      </w:r>
      <w:proofErr w:type="spellStart"/>
      <w:r>
        <w:rPr>
          <w:szCs w:val="22"/>
        </w:rPr>
        <w:t>treosulfan</w:t>
      </w:r>
      <w:proofErr w:type="spellEnd"/>
      <w:r>
        <w:rPr>
          <w:szCs w:val="22"/>
        </w:rPr>
        <w:t xml:space="preserve"> was a reversible inhibitor for CYP2C19 and 3A4. </w:t>
      </w:r>
      <w:proofErr w:type="spellStart"/>
      <w:r>
        <w:rPr>
          <w:szCs w:val="22"/>
        </w:rPr>
        <w:t>Treosulfan</w:t>
      </w:r>
      <w:proofErr w:type="spellEnd"/>
      <w:r>
        <w:rPr>
          <w:szCs w:val="22"/>
        </w:rPr>
        <w:t xml:space="preserve"> did not inhibit substrate transport via various transport proteins </w:t>
      </w:r>
      <w:proofErr w:type="gramStart"/>
      <w:r>
        <w:rPr>
          <w:szCs w:val="22"/>
        </w:rPr>
        <w:t>with the exception of</w:t>
      </w:r>
      <w:proofErr w:type="gramEnd"/>
      <w:r>
        <w:rPr>
          <w:szCs w:val="22"/>
        </w:rPr>
        <w:t xml:space="preserve"> P-glycoprotein (P-</w:t>
      </w:r>
      <w:proofErr w:type="spellStart"/>
      <w:r>
        <w:rPr>
          <w:szCs w:val="22"/>
        </w:rPr>
        <w:t>gp</w:t>
      </w:r>
      <w:proofErr w:type="spellEnd"/>
      <w:r>
        <w:rPr>
          <w:szCs w:val="22"/>
        </w:rPr>
        <w:t>) and MATE2 at very high concentrations.</w:t>
      </w:r>
    </w:p>
    <w:p w14:paraId="2F94C0C3" w14:textId="77777777" w:rsidR="00941B04" w:rsidRPr="00672F96" w:rsidRDefault="00941B04" w:rsidP="00672F96">
      <w:pPr>
        <w:spacing w:line="240" w:lineRule="auto"/>
        <w:rPr>
          <w:szCs w:val="22"/>
        </w:rPr>
      </w:pPr>
    </w:p>
    <w:p w14:paraId="2F94C0C4" w14:textId="6D05B767" w:rsidR="00941B04" w:rsidRPr="00672F96" w:rsidRDefault="00522617" w:rsidP="00672F96">
      <w:pPr>
        <w:spacing w:line="240" w:lineRule="auto"/>
        <w:rPr>
          <w:szCs w:val="22"/>
        </w:rPr>
      </w:pPr>
      <w:r w:rsidRPr="00672F96">
        <w:rPr>
          <w:szCs w:val="22"/>
        </w:rPr>
        <w:t xml:space="preserve">The effect of </w:t>
      </w:r>
      <w:proofErr w:type="spellStart"/>
      <w:r w:rsidRPr="00672F96">
        <w:rPr>
          <w:szCs w:val="22"/>
        </w:rPr>
        <w:t>treosulfan</w:t>
      </w:r>
      <w:proofErr w:type="spellEnd"/>
      <w:r w:rsidRPr="00672F96">
        <w:rPr>
          <w:szCs w:val="22"/>
        </w:rPr>
        <w:t xml:space="preserve"> on the pharmacokinetics of fludarabine</w:t>
      </w:r>
      <w:r w:rsidR="000132E6">
        <w:rPr>
          <w:szCs w:val="22"/>
        </w:rPr>
        <w:t xml:space="preserve"> and thiotepa</w:t>
      </w:r>
      <w:r w:rsidRPr="00672F96">
        <w:rPr>
          <w:szCs w:val="22"/>
        </w:rPr>
        <w:t xml:space="preserve"> is not known.</w:t>
      </w:r>
    </w:p>
    <w:p w14:paraId="2F94C0C5" w14:textId="050E2E39" w:rsidR="00AE0267" w:rsidRDefault="00AE0267" w:rsidP="00672F96">
      <w:pPr>
        <w:spacing w:line="240" w:lineRule="auto"/>
        <w:rPr>
          <w:szCs w:val="22"/>
        </w:rPr>
      </w:pPr>
    </w:p>
    <w:p w14:paraId="2F94C0C6" w14:textId="77777777" w:rsidR="00AE0267" w:rsidRPr="00672F96" w:rsidRDefault="00522617" w:rsidP="00672F96">
      <w:pPr>
        <w:pStyle w:val="Heading3"/>
        <w:rPr>
          <w:szCs w:val="22"/>
        </w:rPr>
      </w:pPr>
      <w:r w:rsidRPr="00672F96">
        <w:rPr>
          <w:szCs w:val="22"/>
        </w:rPr>
        <w:t>4.6</w:t>
      </w:r>
      <w:r w:rsidRPr="00672F96">
        <w:rPr>
          <w:szCs w:val="22"/>
        </w:rPr>
        <w:tab/>
        <w:t xml:space="preserve">Fertility, </w:t>
      </w:r>
      <w:proofErr w:type="gramStart"/>
      <w:r w:rsidRPr="00672F96">
        <w:rPr>
          <w:szCs w:val="22"/>
        </w:rPr>
        <w:t>pregnancy</w:t>
      </w:r>
      <w:proofErr w:type="gramEnd"/>
      <w:r w:rsidRPr="00672F96">
        <w:rPr>
          <w:szCs w:val="22"/>
        </w:rPr>
        <w:t xml:space="preserve"> and lactation</w:t>
      </w:r>
    </w:p>
    <w:p w14:paraId="2F94C0D3" w14:textId="77777777" w:rsidR="00A933D3" w:rsidRPr="00672F96" w:rsidRDefault="00A933D3" w:rsidP="00672F96">
      <w:pPr>
        <w:spacing w:line="240" w:lineRule="auto"/>
        <w:rPr>
          <w:szCs w:val="22"/>
          <w:u w:val="single"/>
        </w:rPr>
      </w:pPr>
    </w:p>
    <w:p w14:paraId="2F94C0D4" w14:textId="19605CEF" w:rsidR="00AE0267" w:rsidRPr="00672F96" w:rsidRDefault="00E14182" w:rsidP="00672F96">
      <w:pPr>
        <w:spacing w:line="240" w:lineRule="auto"/>
        <w:rPr>
          <w:szCs w:val="22"/>
          <w:u w:val="single"/>
        </w:rPr>
      </w:pPr>
      <w:r>
        <w:rPr>
          <w:szCs w:val="22"/>
          <w:u w:val="single"/>
        </w:rPr>
        <w:t>Effects on f</w:t>
      </w:r>
      <w:r w:rsidR="00522617" w:rsidRPr="00672F96">
        <w:rPr>
          <w:szCs w:val="22"/>
          <w:u w:val="single"/>
        </w:rPr>
        <w:t>ertility</w:t>
      </w:r>
    </w:p>
    <w:p w14:paraId="2F94C0D5" w14:textId="77777777" w:rsidR="0015755A" w:rsidRPr="00672F96" w:rsidRDefault="0015755A" w:rsidP="00672F96">
      <w:pPr>
        <w:spacing w:line="240" w:lineRule="auto"/>
        <w:rPr>
          <w:szCs w:val="22"/>
        </w:rPr>
      </w:pPr>
    </w:p>
    <w:p w14:paraId="4E03793D" w14:textId="3FDBAB4F" w:rsidR="000132E6" w:rsidRDefault="000132E6" w:rsidP="000132E6">
      <w:pPr>
        <w:tabs>
          <w:tab w:val="clear" w:pos="567"/>
        </w:tabs>
        <w:autoSpaceDE w:val="0"/>
        <w:autoSpaceDN w:val="0"/>
        <w:adjustRightInd w:val="0"/>
        <w:spacing w:line="240" w:lineRule="auto"/>
        <w:rPr>
          <w:rFonts w:eastAsia="SimSun"/>
          <w:color w:val="000000"/>
          <w:szCs w:val="22"/>
          <w:lang w:val="en-AU" w:eastAsia="de-DE"/>
        </w:rPr>
      </w:pPr>
      <w:r w:rsidRPr="000132E6">
        <w:rPr>
          <w:rFonts w:eastAsia="SimSun"/>
          <w:color w:val="000000"/>
          <w:szCs w:val="22"/>
          <w:lang w:val="en-AU" w:eastAsia="de-DE"/>
        </w:rPr>
        <w:t xml:space="preserve">In common with other alkylating conditioning agents, </w:t>
      </w:r>
      <w:proofErr w:type="spellStart"/>
      <w:r w:rsidRPr="000132E6">
        <w:rPr>
          <w:rFonts w:eastAsia="SimSun"/>
          <w:color w:val="000000"/>
          <w:szCs w:val="22"/>
          <w:lang w:val="en-AU" w:eastAsia="de-DE"/>
        </w:rPr>
        <w:t>treosulfan</w:t>
      </w:r>
      <w:proofErr w:type="spellEnd"/>
      <w:r w:rsidRPr="000132E6">
        <w:rPr>
          <w:rFonts w:eastAsia="SimSun"/>
          <w:color w:val="000000"/>
          <w:szCs w:val="22"/>
          <w:lang w:val="en-AU" w:eastAsia="de-DE"/>
        </w:rPr>
        <w:t xml:space="preserve"> may impair fertility in men and women. </w:t>
      </w:r>
    </w:p>
    <w:p w14:paraId="6947D4B5" w14:textId="77777777" w:rsidR="000132E6" w:rsidRPr="000132E6" w:rsidRDefault="000132E6" w:rsidP="000132E6">
      <w:pPr>
        <w:tabs>
          <w:tab w:val="clear" w:pos="567"/>
        </w:tabs>
        <w:autoSpaceDE w:val="0"/>
        <w:autoSpaceDN w:val="0"/>
        <w:adjustRightInd w:val="0"/>
        <w:spacing w:line="240" w:lineRule="auto"/>
        <w:rPr>
          <w:rFonts w:eastAsia="SimSun"/>
          <w:color w:val="000000"/>
          <w:szCs w:val="22"/>
          <w:lang w:val="en-AU" w:eastAsia="de-DE"/>
        </w:rPr>
      </w:pPr>
    </w:p>
    <w:p w14:paraId="764F03C8" w14:textId="01F4D7D1" w:rsidR="000132E6" w:rsidRPr="000132E6" w:rsidRDefault="000132E6" w:rsidP="000132E6">
      <w:pPr>
        <w:tabs>
          <w:tab w:val="clear" w:pos="567"/>
        </w:tabs>
        <w:autoSpaceDE w:val="0"/>
        <w:autoSpaceDN w:val="0"/>
        <w:adjustRightInd w:val="0"/>
        <w:spacing w:line="240" w:lineRule="auto"/>
        <w:rPr>
          <w:rFonts w:eastAsia="SimSun"/>
          <w:color w:val="000000"/>
          <w:szCs w:val="22"/>
          <w:lang w:val="en-AU" w:eastAsia="de-DE"/>
        </w:rPr>
      </w:pPr>
      <w:r w:rsidRPr="000132E6">
        <w:rPr>
          <w:rFonts w:eastAsia="SimSun"/>
          <w:color w:val="000000"/>
          <w:szCs w:val="22"/>
          <w:lang w:val="en-AU" w:eastAsia="de-DE"/>
        </w:rPr>
        <w:t xml:space="preserve">Males of reproductive potential should seek advice on cryo-conservation of sperm prior to treatment with </w:t>
      </w:r>
      <w:proofErr w:type="spellStart"/>
      <w:r w:rsidRPr="000132E6">
        <w:rPr>
          <w:rFonts w:eastAsia="SimSun"/>
          <w:color w:val="000000"/>
          <w:szCs w:val="22"/>
          <w:lang w:val="en-AU" w:eastAsia="de-DE"/>
        </w:rPr>
        <w:t>T</w:t>
      </w:r>
      <w:r>
        <w:rPr>
          <w:rFonts w:eastAsia="SimSun"/>
          <w:color w:val="000000"/>
          <w:szCs w:val="22"/>
          <w:lang w:val="en-AU" w:eastAsia="de-DE"/>
        </w:rPr>
        <w:t>recondi</w:t>
      </w:r>
      <w:proofErr w:type="spellEnd"/>
      <w:r w:rsidRPr="000132E6">
        <w:rPr>
          <w:rFonts w:eastAsia="SimSun"/>
          <w:color w:val="000000"/>
          <w:szCs w:val="22"/>
          <w:lang w:val="en-AU" w:eastAsia="de-DE"/>
        </w:rPr>
        <w:t xml:space="preserve"> because of the possibility of irreversible infertility due to therapy with </w:t>
      </w:r>
      <w:proofErr w:type="spellStart"/>
      <w:r w:rsidRPr="000132E6">
        <w:rPr>
          <w:rFonts w:eastAsia="SimSun"/>
          <w:color w:val="000000"/>
          <w:szCs w:val="22"/>
          <w:lang w:val="en-AU" w:eastAsia="de-DE"/>
        </w:rPr>
        <w:t>treosulfan</w:t>
      </w:r>
      <w:proofErr w:type="spellEnd"/>
      <w:r w:rsidRPr="000132E6">
        <w:rPr>
          <w:rFonts w:eastAsia="SimSun"/>
          <w:color w:val="000000"/>
          <w:szCs w:val="22"/>
          <w:lang w:val="en-AU" w:eastAsia="de-DE"/>
        </w:rPr>
        <w:t xml:space="preserve">. </w:t>
      </w:r>
    </w:p>
    <w:p w14:paraId="5050FBB4" w14:textId="12AC5A5B" w:rsidR="000132E6" w:rsidRDefault="000132E6" w:rsidP="000132E6">
      <w:pPr>
        <w:tabs>
          <w:tab w:val="clear" w:pos="567"/>
        </w:tabs>
        <w:autoSpaceDE w:val="0"/>
        <w:autoSpaceDN w:val="0"/>
        <w:adjustRightInd w:val="0"/>
        <w:spacing w:line="240" w:lineRule="auto"/>
        <w:rPr>
          <w:rFonts w:eastAsia="SimSun"/>
          <w:color w:val="000000"/>
          <w:szCs w:val="22"/>
          <w:lang w:val="en-AU" w:eastAsia="de-DE"/>
        </w:rPr>
      </w:pPr>
      <w:proofErr w:type="spellStart"/>
      <w:r w:rsidRPr="000132E6">
        <w:rPr>
          <w:rFonts w:eastAsia="SimSun"/>
          <w:color w:val="000000"/>
          <w:szCs w:val="22"/>
          <w:lang w:val="en-AU" w:eastAsia="de-DE"/>
        </w:rPr>
        <w:t>Treosulfan</w:t>
      </w:r>
      <w:proofErr w:type="spellEnd"/>
      <w:r w:rsidRPr="000132E6">
        <w:rPr>
          <w:rFonts w:eastAsia="SimSun"/>
          <w:color w:val="000000"/>
          <w:szCs w:val="22"/>
          <w:lang w:val="en-AU" w:eastAsia="de-DE"/>
        </w:rPr>
        <w:t xml:space="preserve"> can cause ovarian suppression and amenorrhoea with menopausal symptoms in pre-menopausal women. </w:t>
      </w:r>
    </w:p>
    <w:p w14:paraId="79130755" w14:textId="77777777" w:rsidR="000132E6" w:rsidRPr="000132E6" w:rsidRDefault="000132E6" w:rsidP="000132E6">
      <w:pPr>
        <w:tabs>
          <w:tab w:val="clear" w:pos="567"/>
        </w:tabs>
        <w:autoSpaceDE w:val="0"/>
        <w:autoSpaceDN w:val="0"/>
        <w:adjustRightInd w:val="0"/>
        <w:spacing w:line="240" w:lineRule="auto"/>
        <w:rPr>
          <w:rFonts w:eastAsia="SimSun"/>
          <w:color w:val="000000"/>
          <w:szCs w:val="22"/>
          <w:lang w:val="en-AU" w:eastAsia="de-DE"/>
        </w:rPr>
      </w:pPr>
    </w:p>
    <w:p w14:paraId="4DD4FF88" w14:textId="6E100A1B" w:rsidR="000132E6" w:rsidRDefault="000132E6" w:rsidP="000132E6">
      <w:pPr>
        <w:tabs>
          <w:tab w:val="clear" w:pos="567"/>
        </w:tabs>
        <w:autoSpaceDE w:val="0"/>
        <w:autoSpaceDN w:val="0"/>
        <w:adjustRightInd w:val="0"/>
        <w:spacing w:line="240" w:lineRule="auto"/>
        <w:rPr>
          <w:rFonts w:eastAsia="SimSun"/>
          <w:color w:val="000000"/>
          <w:szCs w:val="22"/>
          <w:lang w:val="en-AU" w:eastAsia="de-DE"/>
        </w:rPr>
      </w:pPr>
      <w:r w:rsidRPr="000132E6">
        <w:rPr>
          <w:rFonts w:eastAsia="SimSun"/>
          <w:color w:val="000000"/>
          <w:szCs w:val="22"/>
          <w:lang w:val="en-AU" w:eastAsia="de-DE"/>
        </w:rPr>
        <w:t xml:space="preserve">Because of the potential risk to the </w:t>
      </w:r>
      <w:proofErr w:type="spellStart"/>
      <w:r w:rsidRPr="000132E6">
        <w:rPr>
          <w:rFonts w:eastAsia="SimSun"/>
          <w:color w:val="000000"/>
          <w:szCs w:val="22"/>
          <w:lang w:val="en-AU" w:eastAsia="de-DE"/>
        </w:rPr>
        <w:t>fetus</w:t>
      </w:r>
      <w:proofErr w:type="spellEnd"/>
      <w:r w:rsidRPr="000132E6">
        <w:rPr>
          <w:rFonts w:eastAsia="SimSun"/>
          <w:color w:val="000000"/>
          <w:szCs w:val="22"/>
          <w:lang w:val="en-AU" w:eastAsia="de-DE"/>
        </w:rPr>
        <w:t xml:space="preserve">, both sexually active men and women of childbearing potential </w:t>
      </w:r>
      <w:proofErr w:type="gramStart"/>
      <w:r w:rsidRPr="000132E6">
        <w:rPr>
          <w:rFonts w:eastAsia="SimSun"/>
          <w:color w:val="000000"/>
          <w:szCs w:val="22"/>
          <w:lang w:val="en-AU" w:eastAsia="de-DE"/>
        </w:rPr>
        <w:t>have to</w:t>
      </w:r>
      <w:proofErr w:type="gramEnd"/>
      <w:r w:rsidRPr="000132E6">
        <w:rPr>
          <w:rFonts w:eastAsia="SimSun"/>
          <w:color w:val="000000"/>
          <w:szCs w:val="22"/>
          <w:lang w:val="en-AU" w:eastAsia="de-DE"/>
        </w:rPr>
        <w:t xml:space="preserve"> use effective contraception during and up to 6 months after treatment (see ‘Use in Pregnancy.’) </w:t>
      </w:r>
    </w:p>
    <w:p w14:paraId="78608F96" w14:textId="77777777" w:rsidR="000132E6" w:rsidRPr="000132E6" w:rsidRDefault="000132E6" w:rsidP="000132E6">
      <w:pPr>
        <w:tabs>
          <w:tab w:val="clear" w:pos="567"/>
        </w:tabs>
        <w:autoSpaceDE w:val="0"/>
        <w:autoSpaceDN w:val="0"/>
        <w:adjustRightInd w:val="0"/>
        <w:spacing w:line="240" w:lineRule="auto"/>
        <w:rPr>
          <w:rFonts w:eastAsia="SimSun"/>
          <w:color w:val="000000"/>
          <w:szCs w:val="22"/>
          <w:lang w:val="en-AU" w:eastAsia="de-DE"/>
        </w:rPr>
      </w:pPr>
    </w:p>
    <w:p w14:paraId="3FFB1B6D" w14:textId="789C22E9" w:rsidR="00BD23D5" w:rsidRDefault="000132E6" w:rsidP="000132E6">
      <w:pPr>
        <w:spacing w:line="240" w:lineRule="auto"/>
        <w:rPr>
          <w:rFonts w:eastAsia="SimSun"/>
          <w:color w:val="000000"/>
          <w:szCs w:val="22"/>
          <w:lang w:val="en-AU" w:eastAsia="de-DE"/>
        </w:rPr>
      </w:pPr>
      <w:r w:rsidRPr="000132E6">
        <w:rPr>
          <w:rFonts w:eastAsia="SimSun"/>
          <w:color w:val="000000"/>
          <w:szCs w:val="22"/>
          <w:lang w:val="en-AU" w:eastAsia="de-DE"/>
        </w:rPr>
        <w:t xml:space="preserve">Specific reproductive toxicity studies with </w:t>
      </w:r>
      <w:proofErr w:type="spellStart"/>
      <w:r w:rsidRPr="000132E6">
        <w:rPr>
          <w:rFonts w:eastAsia="SimSun"/>
          <w:color w:val="000000"/>
          <w:szCs w:val="22"/>
          <w:lang w:val="en-AU" w:eastAsia="de-DE"/>
        </w:rPr>
        <w:t>treosulfan</w:t>
      </w:r>
      <w:proofErr w:type="spellEnd"/>
      <w:r w:rsidRPr="000132E6">
        <w:rPr>
          <w:rFonts w:eastAsia="SimSun"/>
          <w:color w:val="000000"/>
          <w:szCs w:val="22"/>
          <w:lang w:val="en-AU" w:eastAsia="de-DE"/>
        </w:rPr>
        <w:t xml:space="preserve"> in animals were not conducted. However, during chronic oral toxicity tests in rats, spermatogenesis and ovarian function were significantly affected. Data on impairment of fertility from the published literature includes reports of impaired spermatogenesis and uterine-ovarian and sperm development, and permanent reduction of reserve primordial ovarian follicles mice and rats treated with </w:t>
      </w:r>
      <w:proofErr w:type="spellStart"/>
      <w:r w:rsidRPr="000132E6">
        <w:rPr>
          <w:rFonts w:eastAsia="SimSun"/>
          <w:color w:val="000000"/>
          <w:szCs w:val="22"/>
          <w:lang w:val="en-AU" w:eastAsia="de-DE"/>
        </w:rPr>
        <w:t>treosulfan</w:t>
      </w:r>
      <w:proofErr w:type="spellEnd"/>
      <w:r w:rsidRPr="000132E6">
        <w:rPr>
          <w:rFonts w:eastAsia="SimSun"/>
          <w:color w:val="000000"/>
          <w:szCs w:val="22"/>
          <w:lang w:val="en-AU" w:eastAsia="de-DE"/>
        </w:rPr>
        <w:t xml:space="preserve"> or its active moieties. </w:t>
      </w:r>
    </w:p>
    <w:p w14:paraId="547FABB3" w14:textId="77777777" w:rsidR="00BD23D5" w:rsidRPr="00672F96" w:rsidRDefault="00BD23D5" w:rsidP="000132E6">
      <w:pPr>
        <w:spacing w:line="240" w:lineRule="auto"/>
        <w:rPr>
          <w:szCs w:val="22"/>
        </w:rPr>
      </w:pPr>
    </w:p>
    <w:p w14:paraId="3E0643F1" w14:textId="2F03C8AD" w:rsidR="00BD23D5" w:rsidRDefault="00BD23D5" w:rsidP="00BD23D5">
      <w:pPr>
        <w:spacing w:line="240" w:lineRule="auto"/>
        <w:rPr>
          <w:szCs w:val="22"/>
          <w:u w:val="single"/>
        </w:rPr>
      </w:pPr>
      <w:r w:rsidRPr="00BD23D5">
        <w:rPr>
          <w:szCs w:val="22"/>
          <w:u w:val="single"/>
        </w:rPr>
        <w:t xml:space="preserve">Use in pregnancy – Category D </w:t>
      </w:r>
    </w:p>
    <w:p w14:paraId="3F36682B" w14:textId="77777777" w:rsidR="00BD23D5" w:rsidRPr="00BD23D5" w:rsidRDefault="00BD23D5" w:rsidP="00BD23D5">
      <w:pPr>
        <w:spacing w:line="240" w:lineRule="auto"/>
        <w:rPr>
          <w:szCs w:val="22"/>
          <w:u w:val="single"/>
        </w:rPr>
      </w:pPr>
    </w:p>
    <w:p w14:paraId="05829F91" w14:textId="77777777" w:rsidR="00380F41" w:rsidRDefault="00BD23D5" w:rsidP="00BD23D5">
      <w:pPr>
        <w:tabs>
          <w:tab w:val="clear" w:pos="567"/>
        </w:tabs>
        <w:autoSpaceDE w:val="0"/>
        <w:autoSpaceDN w:val="0"/>
        <w:adjustRightInd w:val="0"/>
        <w:spacing w:line="240" w:lineRule="auto"/>
        <w:rPr>
          <w:rFonts w:eastAsia="SimSun"/>
          <w:color w:val="000000"/>
          <w:szCs w:val="22"/>
          <w:lang w:val="en-AU" w:eastAsia="de-DE"/>
        </w:rPr>
      </w:pPr>
      <w:r w:rsidRPr="00BD23D5">
        <w:rPr>
          <w:rFonts w:eastAsia="SimSun"/>
          <w:color w:val="000000"/>
          <w:szCs w:val="22"/>
          <w:lang w:val="en-AU" w:eastAsia="de-DE"/>
        </w:rPr>
        <w:t xml:space="preserve">There are no adequate or well-controlled studies with </w:t>
      </w:r>
      <w:proofErr w:type="spellStart"/>
      <w:r w:rsidRPr="00BD23D5">
        <w:rPr>
          <w:rFonts w:eastAsia="SimSun"/>
          <w:color w:val="000000"/>
          <w:szCs w:val="22"/>
          <w:lang w:val="en-AU" w:eastAsia="de-DE"/>
        </w:rPr>
        <w:t>T</w:t>
      </w:r>
      <w:r>
        <w:rPr>
          <w:rFonts w:eastAsia="SimSun"/>
          <w:color w:val="000000"/>
          <w:szCs w:val="22"/>
          <w:lang w:val="en-AU" w:eastAsia="de-DE"/>
        </w:rPr>
        <w:t>recondi</w:t>
      </w:r>
      <w:proofErr w:type="spellEnd"/>
      <w:r>
        <w:rPr>
          <w:rFonts w:eastAsia="SimSun"/>
          <w:color w:val="000000"/>
          <w:szCs w:val="22"/>
          <w:lang w:val="en-AU" w:eastAsia="de-DE"/>
        </w:rPr>
        <w:t xml:space="preserve"> </w:t>
      </w:r>
      <w:r w:rsidRPr="00BD23D5">
        <w:rPr>
          <w:rFonts w:eastAsia="SimSun"/>
          <w:color w:val="000000"/>
          <w:szCs w:val="22"/>
          <w:lang w:val="en-AU" w:eastAsia="de-DE"/>
        </w:rPr>
        <w:t>in pregnant women.</w:t>
      </w:r>
    </w:p>
    <w:p w14:paraId="11694973" w14:textId="146B6201" w:rsidR="00BD23D5" w:rsidRPr="00BD23D5" w:rsidRDefault="00BD23D5" w:rsidP="00BD23D5">
      <w:pPr>
        <w:tabs>
          <w:tab w:val="clear" w:pos="567"/>
        </w:tabs>
        <w:autoSpaceDE w:val="0"/>
        <w:autoSpaceDN w:val="0"/>
        <w:adjustRightInd w:val="0"/>
        <w:spacing w:line="240" w:lineRule="auto"/>
        <w:rPr>
          <w:rFonts w:eastAsia="SimSun"/>
          <w:color w:val="000000"/>
          <w:szCs w:val="22"/>
          <w:lang w:val="en-AU" w:eastAsia="de-DE"/>
        </w:rPr>
      </w:pPr>
    </w:p>
    <w:p w14:paraId="0F336C8A" w14:textId="731BD7E7" w:rsidR="00BD23D5" w:rsidRDefault="00BD23D5" w:rsidP="00BD23D5">
      <w:pPr>
        <w:tabs>
          <w:tab w:val="clear" w:pos="567"/>
        </w:tabs>
        <w:autoSpaceDE w:val="0"/>
        <w:autoSpaceDN w:val="0"/>
        <w:adjustRightInd w:val="0"/>
        <w:spacing w:line="240" w:lineRule="auto"/>
        <w:rPr>
          <w:rFonts w:eastAsia="SimSun"/>
          <w:color w:val="000000"/>
          <w:szCs w:val="22"/>
          <w:lang w:val="en-AU" w:eastAsia="de-DE"/>
        </w:rPr>
      </w:pPr>
      <w:r w:rsidRPr="00BD23D5">
        <w:rPr>
          <w:rFonts w:eastAsia="SimSun"/>
          <w:color w:val="000000"/>
          <w:szCs w:val="22"/>
          <w:lang w:val="en-AU" w:eastAsia="de-DE"/>
        </w:rPr>
        <w:t xml:space="preserve">Animal studies are insufficient with respect to developmental toxicity. Based on the cytotoxicity and genotoxicity of </w:t>
      </w:r>
      <w:proofErr w:type="spellStart"/>
      <w:r w:rsidRPr="00BD23D5">
        <w:rPr>
          <w:rFonts w:eastAsia="SimSun"/>
          <w:color w:val="000000"/>
          <w:szCs w:val="22"/>
          <w:lang w:val="en-AU" w:eastAsia="de-DE"/>
        </w:rPr>
        <w:t>treosulfan</w:t>
      </w:r>
      <w:proofErr w:type="spellEnd"/>
      <w:r w:rsidRPr="00BD23D5">
        <w:rPr>
          <w:rFonts w:eastAsia="SimSun"/>
          <w:color w:val="000000"/>
          <w:szCs w:val="22"/>
          <w:lang w:val="en-AU" w:eastAsia="de-DE"/>
        </w:rPr>
        <w:t xml:space="preserve"> and its active moieties, a potential for </w:t>
      </w:r>
      <w:proofErr w:type="spellStart"/>
      <w:r w:rsidRPr="00BD23D5">
        <w:rPr>
          <w:rFonts w:eastAsia="SimSun"/>
          <w:color w:val="000000"/>
          <w:szCs w:val="22"/>
          <w:lang w:val="en-AU" w:eastAsia="de-DE"/>
        </w:rPr>
        <w:t>fetal</w:t>
      </w:r>
      <w:proofErr w:type="spellEnd"/>
      <w:r w:rsidRPr="00BD23D5">
        <w:rPr>
          <w:rFonts w:eastAsia="SimSun"/>
          <w:color w:val="000000"/>
          <w:szCs w:val="22"/>
          <w:lang w:val="en-AU" w:eastAsia="de-DE"/>
        </w:rPr>
        <w:t xml:space="preserve"> toxicity and teratogenicity exists. </w:t>
      </w:r>
      <w:proofErr w:type="spellStart"/>
      <w:r w:rsidRPr="00BD23D5">
        <w:rPr>
          <w:rFonts w:eastAsia="SimSun"/>
          <w:color w:val="000000"/>
          <w:szCs w:val="22"/>
          <w:lang w:val="en-AU" w:eastAsia="de-DE"/>
        </w:rPr>
        <w:t>T</w:t>
      </w:r>
      <w:r>
        <w:rPr>
          <w:rFonts w:eastAsia="SimSun"/>
          <w:color w:val="000000"/>
          <w:szCs w:val="22"/>
          <w:lang w:val="en-AU" w:eastAsia="de-DE"/>
        </w:rPr>
        <w:t>recondi</w:t>
      </w:r>
      <w:proofErr w:type="spellEnd"/>
      <w:r w:rsidRPr="00BD23D5">
        <w:rPr>
          <w:rFonts w:eastAsia="SimSun"/>
          <w:color w:val="000000"/>
          <w:szCs w:val="22"/>
          <w:lang w:val="en-AU" w:eastAsia="de-DE"/>
        </w:rPr>
        <w:t xml:space="preserve"> is contraindicated during pregnancy (see Section 4.3 Contraindications). </w:t>
      </w:r>
    </w:p>
    <w:p w14:paraId="5036060C" w14:textId="77777777" w:rsidR="00BD23D5" w:rsidRPr="00BD23D5" w:rsidRDefault="00BD23D5" w:rsidP="00BD23D5">
      <w:pPr>
        <w:tabs>
          <w:tab w:val="clear" w:pos="567"/>
        </w:tabs>
        <w:autoSpaceDE w:val="0"/>
        <w:autoSpaceDN w:val="0"/>
        <w:adjustRightInd w:val="0"/>
        <w:spacing w:line="240" w:lineRule="auto"/>
        <w:rPr>
          <w:rFonts w:eastAsia="SimSun"/>
          <w:color w:val="000000"/>
          <w:szCs w:val="22"/>
          <w:lang w:val="en-AU" w:eastAsia="de-DE"/>
        </w:rPr>
      </w:pPr>
    </w:p>
    <w:p w14:paraId="42D7A09B" w14:textId="244EB3B2" w:rsidR="00BD23D5" w:rsidRPr="00BD23D5" w:rsidRDefault="00BD23D5" w:rsidP="00BD23D5">
      <w:pPr>
        <w:spacing w:line="240" w:lineRule="auto"/>
        <w:rPr>
          <w:szCs w:val="22"/>
          <w:u w:val="single"/>
        </w:rPr>
      </w:pPr>
      <w:r w:rsidRPr="00BD23D5">
        <w:rPr>
          <w:szCs w:val="22"/>
          <w:u w:val="single"/>
        </w:rPr>
        <w:t xml:space="preserve">Use in lactation </w:t>
      </w:r>
    </w:p>
    <w:p w14:paraId="7A507CB7" w14:textId="77777777" w:rsidR="00BD23D5" w:rsidRPr="00BD23D5" w:rsidRDefault="00BD23D5" w:rsidP="00BD23D5">
      <w:pPr>
        <w:tabs>
          <w:tab w:val="clear" w:pos="567"/>
        </w:tabs>
        <w:autoSpaceDE w:val="0"/>
        <w:autoSpaceDN w:val="0"/>
        <w:adjustRightInd w:val="0"/>
        <w:spacing w:line="240" w:lineRule="auto"/>
        <w:rPr>
          <w:rFonts w:eastAsia="SimSun"/>
          <w:color w:val="000000"/>
          <w:szCs w:val="22"/>
          <w:lang w:val="en-AU" w:eastAsia="de-DE"/>
        </w:rPr>
      </w:pPr>
    </w:p>
    <w:p w14:paraId="2F94C0D9" w14:textId="0111A46E" w:rsidR="00AE0267" w:rsidRDefault="00BD23D5" w:rsidP="00BD23D5">
      <w:pPr>
        <w:spacing w:line="240" w:lineRule="auto"/>
        <w:rPr>
          <w:rFonts w:eastAsia="SimSun"/>
          <w:color w:val="000000"/>
          <w:szCs w:val="22"/>
          <w:lang w:val="en-AU" w:eastAsia="de-DE"/>
        </w:rPr>
      </w:pPr>
      <w:r w:rsidRPr="00BD23D5">
        <w:rPr>
          <w:rFonts w:eastAsia="SimSun"/>
          <w:color w:val="000000"/>
          <w:szCs w:val="22"/>
          <w:lang w:val="en-AU" w:eastAsia="de-DE"/>
        </w:rPr>
        <w:t xml:space="preserve">It is unknown whether </w:t>
      </w:r>
      <w:proofErr w:type="spellStart"/>
      <w:r w:rsidRPr="00BD23D5">
        <w:rPr>
          <w:rFonts w:eastAsia="SimSun"/>
          <w:color w:val="000000"/>
          <w:szCs w:val="22"/>
          <w:lang w:val="en-AU" w:eastAsia="de-DE"/>
        </w:rPr>
        <w:t>treosulfan</w:t>
      </w:r>
      <w:proofErr w:type="spellEnd"/>
      <w:r w:rsidRPr="00BD23D5">
        <w:rPr>
          <w:rFonts w:eastAsia="SimSun"/>
          <w:color w:val="000000"/>
          <w:szCs w:val="22"/>
          <w:lang w:val="en-AU" w:eastAsia="de-DE"/>
        </w:rPr>
        <w:t xml:space="preserve"> or its active moieties are excreted in human milk. No adequate or well-controlled studies have been conducted to assess the impact of </w:t>
      </w:r>
      <w:proofErr w:type="spellStart"/>
      <w:r w:rsidRPr="00BD23D5">
        <w:rPr>
          <w:rFonts w:eastAsia="SimSun"/>
          <w:color w:val="000000"/>
          <w:szCs w:val="22"/>
          <w:lang w:val="en-AU" w:eastAsia="de-DE"/>
        </w:rPr>
        <w:t>T</w:t>
      </w:r>
      <w:r>
        <w:rPr>
          <w:rFonts w:eastAsia="SimSun"/>
          <w:color w:val="000000"/>
          <w:szCs w:val="22"/>
          <w:lang w:val="en-AU" w:eastAsia="de-DE"/>
        </w:rPr>
        <w:t>recondi</w:t>
      </w:r>
      <w:proofErr w:type="spellEnd"/>
      <w:r>
        <w:rPr>
          <w:rFonts w:eastAsia="SimSun"/>
          <w:color w:val="000000"/>
          <w:szCs w:val="22"/>
          <w:lang w:val="en-AU" w:eastAsia="de-DE"/>
        </w:rPr>
        <w:t xml:space="preserve"> </w:t>
      </w:r>
      <w:r w:rsidRPr="00BD23D5">
        <w:rPr>
          <w:rFonts w:eastAsia="SimSun"/>
          <w:color w:val="000000"/>
          <w:szCs w:val="22"/>
          <w:lang w:val="en-AU" w:eastAsia="de-DE"/>
        </w:rPr>
        <w:t xml:space="preserve">on milk production or its presence in breast milk. Since many drugs are excreted in human milk and because of the potential for serious adverse reactions in breastfeeding infants due to TRECONDI, a risk to breast-fed children cannot be excluded. Breastfeeding should be discontinued during treatment with </w:t>
      </w:r>
      <w:proofErr w:type="spellStart"/>
      <w:r w:rsidRPr="00BD23D5">
        <w:rPr>
          <w:rFonts w:eastAsia="SimSun"/>
          <w:color w:val="000000"/>
          <w:szCs w:val="22"/>
          <w:lang w:val="en-AU" w:eastAsia="de-DE"/>
        </w:rPr>
        <w:t>T</w:t>
      </w:r>
      <w:r>
        <w:rPr>
          <w:rFonts w:eastAsia="SimSun"/>
          <w:color w:val="000000"/>
          <w:szCs w:val="22"/>
          <w:lang w:val="en-AU" w:eastAsia="de-DE"/>
        </w:rPr>
        <w:t>recondi</w:t>
      </w:r>
      <w:proofErr w:type="spellEnd"/>
      <w:r w:rsidRPr="00BD23D5">
        <w:rPr>
          <w:rFonts w:eastAsia="SimSun"/>
          <w:color w:val="000000"/>
          <w:szCs w:val="22"/>
          <w:lang w:val="en-AU" w:eastAsia="de-DE"/>
        </w:rPr>
        <w:t xml:space="preserve"> and for at least 6 months after the last dose.</w:t>
      </w:r>
    </w:p>
    <w:p w14:paraId="1BBE25B9" w14:textId="77777777" w:rsidR="00BD23D5" w:rsidRPr="00BD23D5" w:rsidRDefault="00BD23D5" w:rsidP="00BD23D5">
      <w:pPr>
        <w:spacing w:line="240" w:lineRule="auto"/>
        <w:rPr>
          <w:szCs w:val="22"/>
        </w:rPr>
      </w:pPr>
    </w:p>
    <w:p w14:paraId="2F94C0DA" w14:textId="77777777" w:rsidR="00AE0267" w:rsidRPr="00672F96" w:rsidRDefault="00522617" w:rsidP="00672F96">
      <w:pPr>
        <w:pStyle w:val="Heading3"/>
        <w:rPr>
          <w:szCs w:val="22"/>
        </w:rPr>
      </w:pPr>
      <w:r w:rsidRPr="00672F96">
        <w:rPr>
          <w:szCs w:val="22"/>
        </w:rPr>
        <w:t>4.7</w:t>
      </w:r>
      <w:r w:rsidRPr="00672F96">
        <w:rPr>
          <w:szCs w:val="22"/>
        </w:rPr>
        <w:tab/>
        <w:t>Effects on ability to drive and use machines</w:t>
      </w:r>
    </w:p>
    <w:p w14:paraId="2F94C0DB" w14:textId="77777777" w:rsidR="00AE0267" w:rsidRPr="00672F96" w:rsidRDefault="00AE0267" w:rsidP="00672F96">
      <w:pPr>
        <w:spacing w:line="240" w:lineRule="auto"/>
        <w:rPr>
          <w:szCs w:val="22"/>
        </w:rPr>
      </w:pPr>
    </w:p>
    <w:p w14:paraId="2F94C0DC" w14:textId="77777777" w:rsidR="00AE0267" w:rsidRPr="00672F96" w:rsidRDefault="00522617" w:rsidP="00672F96">
      <w:pPr>
        <w:spacing w:line="240" w:lineRule="auto"/>
        <w:rPr>
          <w:szCs w:val="22"/>
        </w:rPr>
      </w:pPr>
      <w:proofErr w:type="spellStart"/>
      <w:r w:rsidRPr="00672F96">
        <w:rPr>
          <w:szCs w:val="22"/>
        </w:rPr>
        <w:t>Treosulfan</w:t>
      </w:r>
      <w:proofErr w:type="spellEnd"/>
      <w:r w:rsidR="00E04A17" w:rsidRPr="00672F96">
        <w:rPr>
          <w:szCs w:val="22"/>
        </w:rPr>
        <w:t xml:space="preserve"> has moderate influence on the ability to drive and use machines. It is likely that certain adverse reactions of </w:t>
      </w:r>
      <w:proofErr w:type="spellStart"/>
      <w:r w:rsidR="00E04A17" w:rsidRPr="00672F96">
        <w:rPr>
          <w:szCs w:val="22"/>
        </w:rPr>
        <w:t>treosulfan</w:t>
      </w:r>
      <w:proofErr w:type="spellEnd"/>
      <w:r w:rsidR="00E04A17" w:rsidRPr="00672F96">
        <w:rPr>
          <w:szCs w:val="22"/>
        </w:rPr>
        <w:t xml:space="preserve"> like nausea</w:t>
      </w:r>
      <w:r w:rsidR="009E4832" w:rsidRPr="00672F96">
        <w:rPr>
          <w:szCs w:val="22"/>
        </w:rPr>
        <w:t xml:space="preserve">, </w:t>
      </w:r>
      <w:r w:rsidR="00E04A17" w:rsidRPr="00672F96">
        <w:rPr>
          <w:szCs w:val="22"/>
        </w:rPr>
        <w:t>vomiting</w:t>
      </w:r>
      <w:r w:rsidR="00EE6B02" w:rsidRPr="00672F96">
        <w:rPr>
          <w:szCs w:val="22"/>
        </w:rPr>
        <w:t xml:space="preserve"> or dizziness</w:t>
      </w:r>
      <w:r w:rsidR="00E04A17" w:rsidRPr="00672F96">
        <w:rPr>
          <w:szCs w:val="22"/>
        </w:rPr>
        <w:t xml:space="preserve"> could affect these functions. </w:t>
      </w:r>
    </w:p>
    <w:p w14:paraId="2F94C0DD" w14:textId="77777777" w:rsidR="00AE0267" w:rsidRPr="00672F96" w:rsidRDefault="00AE0267" w:rsidP="00672F96">
      <w:pPr>
        <w:spacing w:line="240" w:lineRule="auto"/>
        <w:rPr>
          <w:szCs w:val="22"/>
        </w:rPr>
      </w:pPr>
    </w:p>
    <w:p w14:paraId="2F94C0DE" w14:textId="20D9F566" w:rsidR="006B27EA" w:rsidRPr="00672F96" w:rsidRDefault="00522617" w:rsidP="00672F96">
      <w:pPr>
        <w:pStyle w:val="Heading3"/>
        <w:rPr>
          <w:szCs w:val="22"/>
        </w:rPr>
      </w:pPr>
      <w:r w:rsidRPr="00672F96">
        <w:rPr>
          <w:szCs w:val="22"/>
        </w:rPr>
        <w:t>4.8</w:t>
      </w:r>
      <w:r w:rsidRPr="00672F96">
        <w:rPr>
          <w:szCs w:val="22"/>
        </w:rPr>
        <w:tab/>
      </w:r>
      <w:r w:rsidR="0019632A">
        <w:rPr>
          <w:szCs w:val="22"/>
        </w:rPr>
        <w:t>Adverse effects (u</w:t>
      </w:r>
      <w:r w:rsidRPr="00672F96">
        <w:rPr>
          <w:szCs w:val="22"/>
        </w:rPr>
        <w:t>ndesirable effects</w:t>
      </w:r>
      <w:r w:rsidR="0019632A">
        <w:rPr>
          <w:szCs w:val="22"/>
        </w:rPr>
        <w:t>)</w:t>
      </w:r>
    </w:p>
    <w:p w14:paraId="2F94C0DF" w14:textId="77777777" w:rsidR="00AE0267" w:rsidRPr="00672F96" w:rsidRDefault="00AE0267" w:rsidP="00672F96">
      <w:pPr>
        <w:spacing w:line="240" w:lineRule="auto"/>
        <w:rPr>
          <w:b/>
          <w:i/>
          <w:szCs w:val="22"/>
        </w:rPr>
      </w:pPr>
    </w:p>
    <w:p w14:paraId="2F94C0E0" w14:textId="77777777" w:rsidR="00AE0267" w:rsidRPr="00672F96" w:rsidRDefault="00522617" w:rsidP="00672F96">
      <w:pPr>
        <w:spacing w:line="240" w:lineRule="auto"/>
        <w:rPr>
          <w:szCs w:val="22"/>
          <w:u w:val="single"/>
        </w:rPr>
      </w:pPr>
      <w:r w:rsidRPr="00672F96">
        <w:rPr>
          <w:szCs w:val="22"/>
          <w:u w:val="single"/>
        </w:rPr>
        <w:t xml:space="preserve">Summary of </w:t>
      </w:r>
      <w:r w:rsidR="00627036" w:rsidRPr="00672F96">
        <w:rPr>
          <w:szCs w:val="22"/>
          <w:u w:val="single"/>
        </w:rPr>
        <w:t xml:space="preserve">the </w:t>
      </w:r>
      <w:r w:rsidRPr="00672F96">
        <w:rPr>
          <w:szCs w:val="22"/>
          <w:u w:val="single"/>
        </w:rPr>
        <w:t>safety profile</w:t>
      </w:r>
    </w:p>
    <w:p w14:paraId="2F94C0E1" w14:textId="77777777" w:rsidR="00F9729F" w:rsidRPr="00672F96" w:rsidRDefault="00F9729F" w:rsidP="00672F96">
      <w:pPr>
        <w:spacing w:line="240" w:lineRule="auto"/>
        <w:rPr>
          <w:szCs w:val="22"/>
          <w:u w:val="single"/>
        </w:rPr>
      </w:pPr>
    </w:p>
    <w:p w14:paraId="2F94C0E2" w14:textId="77777777" w:rsidR="006062FA" w:rsidRPr="00916401" w:rsidRDefault="00522617" w:rsidP="00672F96">
      <w:pPr>
        <w:spacing w:line="240" w:lineRule="auto"/>
        <w:rPr>
          <w:szCs w:val="22"/>
        </w:rPr>
      </w:pPr>
      <w:r w:rsidRPr="00435707">
        <w:rPr>
          <w:szCs w:val="22"/>
        </w:rPr>
        <w:t>Profound myelosuppression/pancytopenia is the desired therapeutic effect of conditioning therapy and occurs in all patients. Blood cell counts usually recover after HSCT.</w:t>
      </w:r>
    </w:p>
    <w:p w14:paraId="2F94C0E3" w14:textId="77777777" w:rsidR="006062FA" w:rsidRPr="00672F96" w:rsidRDefault="006062FA" w:rsidP="00672F96">
      <w:pPr>
        <w:spacing w:line="240" w:lineRule="auto"/>
        <w:rPr>
          <w:szCs w:val="22"/>
          <w:u w:val="single"/>
        </w:rPr>
      </w:pPr>
    </w:p>
    <w:p w14:paraId="2F94C0E4" w14:textId="7E7ED45F" w:rsidR="00A63629" w:rsidRPr="00672F96" w:rsidRDefault="00522617" w:rsidP="00672F96">
      <w:pPr>
        <w:spacing w:line="240" w:lineRule="auto"/>
        <w:rPr>
          <w:szCs w:val="22"/>
        </w:rPr>
      </w:pPr>
      <w:r w:rsidRPr="00672F96">
        <w:rPr>
          <w:szCs w:val="22"/>
        </w:rPr>
        <w:t xml:space="preserve">The most commonly observed adverse </w:t>
      </w:r>
      <w:r w:rsidR="009E4832" w:rsidRPr="00672F96">
        <w:rPr>
          <w:szCs w:val="22"/>
        </w:rPr>
        <w:t>reactions</w:t>
      </w:r>
      <w:r w:rsidRPr="00672F96">
        <w:rPr>
          <w:szCs w:val="22"/>
        </w:rPr>
        <w:t xml:space="preserve"> </w:t>
      </w:r>
      <w:r w:rsidR="00EE00A7" w:rsidRPr="00672F96">
        <w:rPr>
          <w:szCs w:val="22"/>
        </w:rPr>
        <w:t>(</w:t>
      </w:r>
      <w:r w:rsidR="009B2429" w:rsidRPr="00672F96">
        <w:rPr>
          <w:szCs w:val="22"/>
        </w:rPr>
        <w:t>adults/paediatric patients</w:t>
      </w:r>
      <w:r w:rsidR="00EE00A7" w:rsidRPr="00672F96">
        <w:rPr>
          <w:szCs w:val="22"/>
        </w:rPr>
        <w:t>)</w:t>
      </w:r>
      <w:r w:rsidR="009B2429" w:rsidRPr="00672F96">
        <w:rPr>
          <w:szCs w:val="22"/>
        </w:rPr>
        <w:t xml:space="preserve"> </w:t>
      </w:r>
      <w:r w:rsidRPr="00672F96">
        <w:rPr>
          <w:szCs w:val="22"/>
        </w:rPr>
        <w:t xml:space="preserve">after </w:t>
      </w:r>
      <w:proofErr w:type="spellStart"/>
      <w:r w:rsidR="00F75F1F" w:rsidRPr="00672F96">
        <w:rPr>
          <w:szCs w:val="22"/>
        </w:rPr>
        <w:t>treosulfan</w:t>
      </w:r>
      <w:proofErr w:type="spellEnd"/>
      <w:r w:rsidR="00916401" w:rsidRPr="00435707">
        <w:rPr>
          <w:szCs w:val="22"/>
        </w:rPr>
        <w:noBreakHyphen/>
      </w:r>
      <w:r w:rsidRPr="00435707">
        <w:rPr>
          <w:szCs w:val="22"/>
        </w:rPr>
        <w:t>based</w:t>
      </w:r>
      <w:r w:rsidRPr="00672F96">
        <w:rPr>
          <w:szCs w:val="22"/>
        </w:rPr>
        <w:t xml:space="preserve"> conditioning followed by </w:t>
      </w:r>
      <w:proofErr w:type="spellStart"/>
      <w:r w:rsidR="00C17FEC" w:rsidRPr="00672F96">
        <w:rPr>
          <w:szCs w:val="22"/>
        </w:rPr>
        <w:t>allo</w:t>
      </w:r>
      <w:r w:rsidRPr="00672F96">
        <w:rPr>
          <w:szCs w:val="22"/>
        </w:rPr>
        <w:t>HSCT</w:t>
      </w:r>
      <w:proofErr w:type="spellEnd"/>
      <w:r w:rsidRPr="00672F96">
        <w:rPr>
          <w:szCs w:val="22"/>
        </w:rPr>
        <w:t xml:space="preserve"> include infections</w:t>
      </w:r>
      <w:r w:rsidR="00F34FBD" w:rsidRPr="00672F96">
        <w:rPr>
          <w:szCs w:val="22"/>
        </w:rPr>
        <w:t xml:space="preserve"> </w:t>
      </w:r>
      <w:r w:rsidR="00EE00A7" w:rsidRPr="00672F96">
        <w:rPr>
          <w:szCs w:val="22"/>
        </w:rPr>
        <w:t>(</w:t>
      </w:r>
      <w:r w:rsidR="00F75C11">
        <w:rPr>
          <w:szCs w:val="22"/>
        </w:rPr>
        <w:t>12.9</w:t>
      </w:r>
      <w:r w:rsidR="00F34FBD" w:rsidRPr="00672F96">
        <w:rPr>
          <w:szCs w:val="22"/>
        </w:rPr>
        <w:t>% /</w:t>
      </w:r>
      <w:r w:rsidR="00F75C11">
        <w:rPr>
          <w:szCs w:val="22"/>
        </w:rPr>
        <w:t>12.2</w:t>
      </w:r>
      <w:r w:rsidR="00F34FBD" w:rsidRPr="00672F96">
        <w:rPr>
          <w:szCs w:val="22"/>
        </w:rPr>
        <w:t>%</w:t>
      </w:r>
      <w:r w:rsidR="00EE00A7" w:rsidRPr="00672F96">
        <w:rPr>
          <w:szCs w:val="22"/>
        </w:rPr>
        <w:t>)</w:t>
      </w:r>
      <w:r w:rsidRPr="00672F96">
        <w:rPr>
          <w:szCs w:val="22"/>
        </w:rPr>
        <w:t>, gastrointestinal disorders (nausea</w:t>
      </w:r>
      <w:r w:rsidR="00F34FBD" w:rsidRPr="00672F96">
        <w:rPr>
          <w:szCs w:val="22"/>
        </w:rPr>
        <w:t xml:space="preserve"> [</w:t>
      </w:r>
      <w:r w:rsidR="00F75C11">
        <w:rPr>
          <w:szCs w:val="22"/>
        </w:rPr>
        <w:t>38</w:t>
      </w:r>
      <w:r w:rsidR="00F34FBD" w:rsidRPr="00672F96">
        <w:rPr>
          <w:szCs w:val="22"/>
        </w:rPr>
        <w:t>.5%/</w:t>
      </w:r>
      <w:r w:rsidR="00F75C11">
        <w:rPr>
          <w:szCs w:val="22"/>
        </w:rPr>
        <w:t>27.8</w:t>
      </w:r>
      <w:r w:rsidR="00F34FBD" w:rsidRPr="00672F96">
        <w:rPr>
          <w:szCs w:val="22"/>
        </w:rPr>
        <w:t>%]</w:t>
      </w:r>
      <w:r w:rsidRPr="00672F96">
        <w:rPr>
          <w:szCs w:val="22"/>
        </w:rPr>
        <w:t xml:space="preserve">, </w:t>
      </w:r>
      <w:r w:rsidR="00F34FBD" w:rsidRPr="00672F96">
        <w:rPr>
          <w:szCs w:val="22"/>
        </w:rPr>
        <w:t>stomatitis [36.</w:t>
      </w:r>
      <w:r w:rsidR="00F75C11">
        <w:rPr>
          <w:szCs w:val="22"/>
        </w:rPr>
        <w:t>4</w:t>
      </w:r>
      <w:r w:rsidR="00F34FBD" w:rsidRPr="00672F96">
        <w:rPr>
          <w:szCs w:val="22"/>
        </w:rPr>
        <w:t>%/</w:t>
      </w:r>
      <w:r w:rsidR="00F75C11">
        <w:rPr>
          <w:szCs w:val="22"/>
        </w:rPr>
        <w:t>67.0</w:t>
      </w:r>
      <w:r w:rsidR="00F34FBD" w:rsidRPr="00672F96">
        <w:rPr>
          <w:szCs w:val="22"/>
        </w:rPr>
        <w:t xml:space="preserve">%], </w:t>
      </w:r>
      <w:r w:rsidRPr="00672F96">
        <w:rPr>
          <w:szCs w:val="22"/>
        </w:rPr>
        <w:t>vomiting</w:t>
      </w:r>
      <w:r w:rsidR="00F34FBD" w:rsidRPr="00672F96">
        <w:rPr>
          <w:szCs w:val="22"/>
        </w:rPr>
        <w:t xml:space="preserve"> [22.5%/</w:t>
      </w:r>
      <w:r w:rsidR="00F75C11">
        <w:rPr>
          <w:szCs w:val="22"/>
        </w:rPr>
        <w:t>41.7</w:t>
      </w:r>
      <w:r w:rsidR="00F34FBD" w:rsidRPr="00672F96">
        <w:rPr>
          <w:szCs w:val="22"/>
        </w:rPr>
        <w:t>%]</w:t>
      </w:r>
      <w:r w:rsidRPr="00672F96">
        <w:rPr>
          <w:szCs w:val="22"/>
        </w:rPr>
        <w:t>, diarrhoea</w:t>
      </w:r>
      <w:r w:rsidR="00F34FBD" w:rsidRPr="00672F96">
        <w:rPr>
          <w:szCs w:val="22"/>
        </w:rPr>
        <w:t xml:space="preserve"> [15.</w:t>
      </w:r>
      <w:r w:rsidR="00F75C11">
        <w:rPr>
          <w:szCs w:val="22"/>
        </w:rPr>
        <w:t>2</w:t>
      </w:r>
      <w:r w:rsidR="00F34FBD" w:rsidRPr="00672F96">
        <w:rPr>
          <w:szCs w:val="22"/>
        </w:rPr>
        <w:t>%/</w:t>
      </w:r>
      <w:r w:rsidR="00F75C11">
        <w:rPr>
          <w:szCs w:val="22"/>
        </w:rPr>
        <w:t>34.8</w:t>
      </w:r>
      <w:r w:rsidR="00F34FBD" w:rsidRPr="00672F96">
        <w:rPr>
          <w:szCs w:val="22"/>
        </w:rPr>
        <w:t>%]</w:t>
      </w:r>
      <w:r w:rsidRPr="00672F96">
        <w:rPr>
          <w:szCs w:val="22"/>
        </w:rPr>
        <w:t>, abdominal pain</w:t>
      </w:r>
      <w:r w:rsidR="00F34FBD" w:rsidRPr="00672F96">
        <w:rPr>
          <w:szCs w:val="22"/>
        </w:rPr>
        <w:t xml:space="preserve"> [</w:t>
      </w:r>
      <w:r w:rsidR="00D13762" w:rsidRPr="00672F96">
        <w:rPr>
          <w:szCs w:val="22"/>
        </w:rPr>
        <w:t>10</w:t>
      </w:r>
      <w:r w:rsidR="00F34FBD" w:rsidRPr="00672F96">
        <w:rPr>
          <w:szCs w:val="22"/>
        </w:rPr>
        <w:t>.</w:t>
      </w:r>
      <w:r w:rsidR="00F75C11">
        <w:rPr>
          <w:szCs w:val="22"/>
        </w:rPr>
        <w:t>6</w:t>
      </w:r>
      <w:r w:rsidR="00F34FBD" w:rsidRPr="00672F96">
        <w:rPr>
          <w:szCs w:val="22"/>
        </w:rPr>
        <w:t>%/</w:t>
      </w:r>
      <w:r w:rsidR="00F75C11">
        <w:rPr>
          <w:szCs w:val="22"/>
        </w:rPr>
        <w:t>18.3</w:t>
      </w:r>
      <w:r w:rsidR="00F34FBD" w:rsidRPr="00672F96">
        <w:rPr>
          <w:szCs w:val="22"/>
        </w:rPr>
        <w:t>%]</w:t>
      </w:r>
      <w:r w:rsidRPr="00672F96">
        <w:rPr>
          <w:szCs w:val="22"/>
        </w:rPr>
        <w:t>), fatigue</w:t>
      </w:r>
      <w:r w:rsidR="00F34FBD" w:rsidRPr="00672F96">
        <w:rPr>
          <w:szCs w:val="22"/>
        </w:rPr>
        <w:t xml:space="preserve"> </w:t>
      </w:r>
      <w:r w:rsidR="00EE00A7" w:rsidRPr="00672F96">
        <w:rPr>
          <w:szCs w:val="22"/>
        </w:rPr>
        <w:t>(</w:t>
      </w:r>
      <w:r w:rsidR="00F34FBD" w:rsidRPr="00672F96">
        <w:rPr>
          <w:szCs w:val="22"/>
        </w:rPr>
        <w:t>1</w:t>
      </w:r>
      <w:r w:rsidR="00F75C11">
        <w:rPr>
          <w:szCs w:val="22"/>
        </w:rPr>
        <w:t>4.8</w:t>
      </w:r>
      <w:r w:rsidR="00F34FBD" w:rsidRPr="00672F96">
        <w:rPr>
          <w:szCs w:val="22"/>
        </w:rPr>
        <w:t>%/</w:t>
      </w:r>
      <w:r w:rsidR="00F75C11">
        <w:rPr>
          <w:szCs w:val="22"/>
        </w:rPr>
        <w:t>1.7</w:t>
      </w:r>
      <w:r w:rsidR="00F34FBD" w:rsidRPr="00672F96">
        <w:rPr>
          <w:szCs w:val="22"/>
        </w:rPr>
        <w:t>%</w:t>
      </w:r>
      <w:r w:rsidR="00EE00A7" w:rsidRPr="00672F96">
        <w:rPr>
          <w:szCs w:val="22"/>
        </w:rPr>
        <w:t>)</w:t>
      </w:r>
      <w:r w:rsidR="00F34FBD" w:rsidRPr="00672F96">
        <w:rPr>
          <w:szCs w:val="22"/>
        </w:rPr>
        <w:t>,</w:t>
      </w:r>
      <w:r w:rsidR="00F75C11">
        <w:rPr>
          <w:szCs w:val="22"/>
        </w:rPr>
        <w:t xml:space="preserve"> hepatotoxicity [0.3%/26.1%],</w:t>
      </w:r>
      <w:r w:rsidRPr="00672F96">
        <w:rPr>
          <w:szCs w:val="22"/>
        </w:rPr>
        <w:t xml:space="preserve"> </w:t>
      </w:r>
      <w:r w:rsidR="00717CD9" w:rsidRPr="00672F96">
        <w:rPr>
          <w:szCs w:val="22"/>
        </w:rPr>
        <w:t xml:space="preserve">febrile neutropenia </w:t>
      </w:r>
      <w:r w:rsidR="00EE00A7" w:rsidRPr="00672F96">
        <w:rPr>
          <w:szCs w:val="22"/>
        </w:rPr>
        <w:t>(</w:t>
      </w:r>
      <w:r w:rsidR="00F75C11">
        <w:rPr>
          <w:szCs w:val="22"/>
        </w:rPr>
        <w:t>10.9</w:t>
      </w:r>
      <w:r w:rsidR="00717CD9" w:rsidRPr="00672F96">
        <w:rPr>
          <w:szCs w:val="22"/>
        </w:rPr>
        <w:t>%/</w:t>
      </w:r>
      <w:r w:rsidR="00F75C11">
        <w:rPr>
          <w:szCs w:val="22"/>
        </w:rPr>
        <w:t>0.9</w:t>
      </w:r>
      <w:r w:rsidR="00717CD9" w:rsidRPr="00672F96">
        <w:rPr>
          <w:szCs w:val="22"/>
        </w:rPr>
        <w:t>%</w:t>
      </w:r>
      <w:r w:rsidR="00EE00A7" w:rsidRPr="00672F96">
        <w:rPr>
          <w:szCs w:val="22"/>
        </w:rPr>
        <w:t>)</w:t>
      </w:r>
      <w:r w:rsidR="00717CD9" w:rsidRPr="00672F96">
        <w:rPr>
          <w:szCs w:val="22"/>
        </w:rPr>
        <w:t>,</w:t>
      </w:r>
      <w:r w:rsidR="0074466C" w:rsidRPr="00672F96">
        <w:rPr>
          <w:szCs w:val="22"/>
        </w:rPr>
        <w:t xml:space="preserve"> </w:t>
      </w:r>
      <w:r w:rsidR="00F75C11">
        <w:rPr>
          <w:szCs w:val="22"/>
        </w:rPr>
        <w:t xml:space="preserve">decreased appetite [8.2%/0.9%], maculopapular </w:t>
      </w:r>
      <w:r w:rsidR="00F75C11" w:rsidRPr="00672F96">
        <w:rPr>
          <w:szCs w:val="22"/>
        </w:rPr>
        <w:t>rash (</w:t>
      </w:r>
      <w:r w:rsidR="00F75C11">
        <w:rPr>
          <w:szCs w:val="22"/>
        </w:rPr>
        <w:t>6.4</w:t>
      </w:r>
      <w:r w:rsidR="00F75C11" w:rsidRPr="00672F96">
        <w:rPr>
          <w:szCs w:val="22"/>
        </w:rPr>
        <w:t>%/</w:t>
      </w:r>
      <w:r w:rsidR="00F75C11">
        <w:rPr>
          <w:szCs w:val="22"/>
        </w:rPr>
        <w:t>7.8</w:t>
      </w:r>
      <w:r w:rsidR="00F75C11" w:rsidRPr="00672F96">
        <w:rPr>
          <w:szCs w:val="22"/>
        </w:rPr>
        <w:t xml:space="preserve">%), </w:t>
      </w:r>
      <w:r w:rsidR="00F75C11">
        <w:rPr>
          <w:szCs w:val="22"/>
        </w:rPr>
        <w:t xml:space="preserve">pyrexia [5.5%/13.0], headache [5.2%/2.6%], </w:t>
      </w:r>
      <w:r w:rsidR="0074466C" w:rsidRPr="00672F96">
        <w:rPr>
          <w:szCs w:val="22"/>
        </w:rPr>
        <w:t xml:space="preserve">oedema </w:t>
      </w:r>
      <w:r w:rsidR="00EE00A7" w:rsidRPr="00672F96">
        <w:rPr>
          <w:szCs w:val="22"/>
        </w:rPr>
        <w:t>(</w:t>
      </w:r>
      <w:r w:rsidR="0074466C" w:rsidRPr="00672F96">
        <w:rPr>
          <w:szCs w:val="22"/>
        </w:rPr>
        <w:t>7.</w:t>
      </w:r>
      <w:r w:rsidR="00F75C11">
        <w:rPr>
          <w:szCs w:val="22"/>
        </w:rPr>
        <w:t>3</w:t>
      </w:r>
      <w:r w:rsidR="0074466C" w:rsidRPr="00672F96">
        <w:rPr>
          <w:szCs w:val="22"/>
        </w:rPr>
        <w:t>%/0%</w:t>
      </w:r>
      <w:r w:rsidR="00EE00A7" w:rsidRPr="00672F96">
        <w:rPr>
          <w:szCs w:val="22"/>
        </w:rPr>
        <w:t>)</w:t>
      </w:r>
      <w:r w:rsidR="0074466C" w:rsidRPr="00672F96">
        <w:rPr>
          <w:szCs w:val="22"/>
        </w:rPr>
        <w:t>,</w:t>
      </w:r>
      <w:r w:rsidR="00717CD9" w:rsidRPr="00672F96">
        <w:rPr>
          <w:szCs w:val="22"/>
        </w:rPr>
        <w:t xml:space="preserve"> </w:t>
      </w:r>
      <w:r w:rsidRPr="00672F96">
        <w:rPr>
          <w:szCs w:val="22"/>
        </w:rPr>
        <w:t xml:space="preserve">and increases of </w:t>
      </w:r>
      <w:r w:rsidR="00BB027E" w:rsidRPr="00672F96">
        <w:rPr>
          <w:szCs w:val="22"/>
        </w:rPr>
        <w:t xml:space="preserve">alanine </w:t>
      </w:r>
      <w:r w:rsidRPr="00672F96">
        <w:rPr>
          <w:szCs w:val="22"/>
        </w:rPr>
        <w:t>transaminase (</w:t>
      </w:r>
      <w:r w:rsidR="00A933D3" w:rsidRPr="00672F96">
        <w:rPr>
          <w:szCs w:val="22"/>
        </w:rPr>
        <w:t>ALT [5.</w:t>
      </w:r>
      <w:r w:rsidR="00F75C11">
        <w:rPr>
          <w:szCs w:val="22"/>
        </w:rPr>
        <w:t>5</w:t>
      </w:r>
      <w:r w:rsidR="00A933D3" w:rsidRPr="00672F96">
        <w:rPr>
          <w:szCs w:val="22"/>
        </w:rPr>
        <w:t>%/</w:t>
      </w:r>
      <w:r w:rsidR="00F75C11">
        <w:rPr>
          <w:szCs w:val="22"/>
        </w:rPr>
        <w:t>11.3</w:t>
      </w:r>
      <w:r w:rsidR="00A933D3" w:rsidRPr="00672F96">
        <w:rPr>
          <w:szCs w:val="22"/>
        </w:rPr>
        <w:t>%</w:t>
      </w:r>
      <w:r w:rsidR="00A933D3" w:rsidRPr="00435707">
        <w:rPr>
          <w:szCs w:val="22"/>
        </w:rPr>
        <w:t>]</w:t>
      </w:r>
      <w:r w:rsidR="005C21F4" w:rsidRPr="00435707">
        <w:rPr>
          <w:szCs w:val="22"/>
        </w:rPr>
        <w:t>)</w:t>
      </w:r>
      <w:r w:rsidR="00A933D3" w:rsidRPr="00435707">
        <w:rPr>
          <w:szCs w:val="22"/>
        </w:rPr>
        <w:t>,</w:t>
      </w:r>
      <w:r w:rsidR="00A933D3" w:rsidRPr="00672F96">
        <w:rPr>
          <w:szCs w:val="22"/>
        </w:rPr>
        <w:t xml:space="preserve"> </w:t>
      </w:r>
      <w:r w:rsidR="00BB027E" w:rsidRPr="00672F96">
        <w:rPr>
          <w:szCs w:val="22"/>
        </w:rPr>
        <w:t>aspartate transaminase (</w:t>
      </w:r>
      <w:r w:rsidRPr="00672F96">
        <w:rPr>
          <w:szCs w:val="22"/>
        </w:rPr>
        <w:t>AST</w:t>
      </w:r>
      <w:r w:rsidR="00F34FBD" w:rsidRPr="00672F96">
        <w:rPr>
          <w:szCs w:val="22"/>
        </w:rPr>
        <w:t xml:space="preserve"> [4.</w:t>
      </w:r>
      <w:r w:rsidR="00F75C11">
        <w:rPr>
          <w:szCs w:val="22"/>
        </w:rPr>
        <w:t>9</w:t>
      </w:r>
      <w:r w:rsidR="00F34FBD" w:rsidRPr="00672F96">
        <w:rPr>
          <w:szCs w:val="22"/>
        </w:rPr>
        <w:t>%/</w:t>
      </w:r>
      <w:r w:rsidR="00F75C11">
        <w:rPr>
          <w:szCs w:val="22"/>
        </w:rPr>
        <w:t>7.8</w:t>
      </w:r>
      <w:r w:rsidR="00F34FBD" w:rsidRPr="00672F96">
        <w:rPr>
          <w:szCs w:val="22"/>
        </w:rPr>
        <w:t>%]</w:t>
      </w:r>
      <w:r w:rsidRPr="00672F96">
        <w:rPr>
          <w:szCs w:val="22"/>
        </w:rPr>
        <w:t>) and bilirubin</w:t>
      </w:r>
      <w:r w:rsidR="00F34FBD" w:rsidRPr="00672F96">
        <w:rPr>
          <w:szCs w:val="22"/>
        </w:rPr>
        <w:t xml:space="preserve"> </w:t>
      </w:r>
      <w:r w:rsidR="008A3AD5" w:rsidRPr="00672F96">
        <w:rPr>
          <w:szCs w:val="22"/>
        </w:rPr>
        <w:t>(</w:t>
      </w:r>
      <w:r w:rsidR="00F75C11">
        <w:rPr>
          <w:szCs w:val="22"/>
        </w:rPr>
        <w:t>17.9</w:t>
      </w:r>
      <w:r w:rsidR="00F34FBD" w:rsidRPr="00672F96">
        <w:rPr>
          <w:szCs w:val="22"/>
        </w:rPr>
        <w:t>%/</w:t>
      </w:r>
      <w:r w:rsidR="00F75C11">
        <w:rPr>
          <w:szCs w:val="22"/>
        </w:rPr>
        <w:t>7.0</w:t>
      </w:r>
      <w:r w:rsidR="00F34FBD" w:rsidRPr="00672F96">
        <w:rPr>
          <w:szCs w:val="22"/>
        </w:rPr>
        <w:t>%</w:t>
      </w:r>
      <w:r w:rsidR="008A3AD5" w:rsidRPr="00672F96">
        <w:rPr>
          <w:szCs w:val="22"/>
        </w:rPr>
        <w:t>)</w:t>
      </w:r>
      <w:r w:rsidRPr="00672F96">
        <w:rPr>
          <w:szCs w:val="22"/>
        </w:rPr>
        <w:t>.</w:t>
      </w:r>
    </w:p>
    <w:p w14:paraId="2F94C0E5" w14:textId="77777777" w:rsidR="009A1547" w:rsidRPr="00672F96" w:rsidRDefault="009A1547" w:rsidP="00672F96">
      <w:pPr>
        <w:spacing w:line="240" w:lineRule="auto"/>
        <w:rPr>
          <w:szCs w:val="22"/>
        </w:rPr>
      </w:pPr>
    </w:p>
    <w:p w14:paraId="2F94C0E6" w14:textId="77777777" w:rsidR="009A1547" w:rsidRPr="00672F96" w:rsidRDefault="00522617" w:rsidP="00672F96">
      <w:pPr>
        <w:spacing w:line="240" w:lineRule="auto"/>
        <w:rPr>
          <w:szCs w:val="22"/>
          <w:u w:val="single"/>
        </w:rPr>
      </w:pPr>
      <w:r w:rsidRPr="00672F96">
        <w:rPr>
          <w:szCs w:val="22"/>
          <w:u w:val="single"/>
        </w:rPr>
        <w:t>Adults</w:t>
      </w:r>
    </w:p>
    <w:p w14:paraId="2F94C0E7" w14:textId="77777777" w:rsidR="00A63629" w:rsidRPr="00672F96" w:rsidRDefault="00A63629" w:rsidP="00672F96">
      <w:pPr>
        <w:tabs>
          <w:tab w:val="clear" w:pos="567"/>
        </w:tabs>
        <w:spacing w:line="240" w:lineRule="auto"/>
        <w:rPr>
          <w:szCs w:val="22"/>
          <w:u w:val="single"/>
        </w:rPr>
      </w:pPr>
    </w:p>
    <w:p w14:paraId="2F94C0E8" w14:textId="77777777" w:rsidR="00AE0267" w:rsidRPr="00435707" w:rsidRDefault="00522617" w:rsidP="00672F96">
      <w:pPr>
        <w:spacing w:line="240" w:lineRule="auto"/>
        <w:rPr>
          <w:i/>
          <w:szCs w:val="22"/>
        </w:rPr>
      </w:pPr>
      <w:r w:rsidRPr="00435707">
        <w:rPr>
          <w:i/>
          <w:szCs w:val="22"/>
        </w:rPr>
        <w:t>Tabulated list of adverse reactions</w:t>
      </w:r>
    </w:p>
    <w:p w14:paraId="2F94C0E9" w14:textId="77777777" w:rsidR="00573CBF" w:rsidRPr="00435707" w:rsidRDefault="00573CBF" w:rsidP="00672F96">
      <w:pPr>
        <w:spacing w:line="240" w:lineRule="auto"/>
        <w:rPr>
          <w:i/>
          <w:szCs w:val="22"/>
          <w:u w:val="single"/>
        </w:rPr>
      </w:pPr>
    </w:p>
    <w:p w14:paraId="2F94C0EA" w14:textId="62A649A1" w:rsidR="00AE0267" w:rsidRPr="00672F96" w:rsidRDefault="00522617" w:rsidP="00672F96">
      <w:pPr>
        <w:spacing w:line="240" w:lineRule="auto"/>
        <w:rPr>
          <w:szCs w:val="22"/>
        </w:rPr>
      </w:pPr>
      <w:r w:rsidRPr="00435707">
        <w:rPr>
          <w:szCs w:val="22"/>
        </w:rPr>
        <w:t xml:space="preserve">The frequencies of adverse reactions reported in the table below are derived from </w:t>
      </w:r>
      <w:r w:rsidR="00A63629" w:rsidRPr="00435707">
        <w:rPr>
          <w:szCs w:val="22"/>
        </w:rPr>
        <w:t>5 </w:t>
      </w:r>
      <w:r w:rsidRPr="00435707">
        <w:rPr>
          <w:szCs w:val="22"/>
        </w:rPr>
        <w:t>clinical trials (</w:t>
      </w:r>
      <w:r w:rsidR="00103953" w:rsidRPr="00435707">
        <w:rPr>
          <w:szCs w:val="22"/>
        </w:rPr>
        <w:t xml:space="preserve">including a total of </w:t>
      </w:r>
      <w:r w:rsidR="00F75C11">
        <w:rPr>
          <w:szCs w:val="22"/>
        </w:rPr>
        <w:t>613</w:t>
      </w:r>
      <w:r w:rsidR="00F75C11" w:rsidRPr="00435707">
        <w:rPr>
          <w:szCs w:val="22"/>
        </w:rPr>
        <w:t> </w:t>
      </w:r>
      <w:r w:rsidRPr="00435707">
        <w:rPr>
          <w:szCs w:val="22"/>
        </w:rPr>
        <w:t xml:space="preserve">patients) where </w:t>
      </w:r>
      <w:proofErr w:type="spellStart"/>
      <w:r w:rsidRPr="00435707">
        <w:rPr>
          <w:szCs w:val="22"/>
        </w:rPr>
        <w:t>treosulfan</w:t>
      </w:r>
      <w:proofErr w:type="spellEnd"/>
      <w:r w:rsidRPr="00435707">
        <w:rPr>
          <w:szCs w:val="22"/>
        </w:rPr>
        <w:t xml:space="preserve"> combined with fludarabine was investigated as conditioning treatment prior to </w:t>
      </w:r>
      <w:proofErr w:type="spellStart"/>
      <w:r w:rsidRPr="00435707">
        <w:rPr>
          <w:szCs w:val="22"/>
        </w:rPr>
        <w:t>alloHSCT</w:t>
      </w:r>
      <w:proofErr w:type="spellEnd"/>
      <w:r w:rsidRPr="00435707">
        <w:rPr>
          <w:szCs w:val="22"/>
        </w:rPr>
        <w:t xml:space="preserve"> in adult patients. </w:t>
      </w:r>
      <w:proofErr w:type="spellStart"/>
      <w:r w:rsidRPr="00435707">
        <w:rPr>
          <w:szCs w:val="22"/>
        </w:rPr>
        <w:t>Treosulfan</w:t>
      </w:r>
      <w:proofErr w:type="spellEnd"/>
      <w:r w:rsidRPr="00435707">
        <w:rPr>
          <w:szCs w:val="22"/>
        </w:rPr>
        <w:t xml:space="preserve"> was administered in a dose range of 10</w:t>
      </w:r>
      <w:r w:rsidR="00BB308E" w:rsidRPr="00435707">
        <w:rPr>
          <w:szCs w:val="22"/>
        </w:rPr>
        <w:noBreakHyphen/>
      </w:r>
      <w:r w:rsidRPr="00435707">
        <w:rPr>
          <w:szCs w:val="22"/>
        </w:rPr>
        <w:t>14</w:t>
      </w:r>
      <w:r w:rsidR="00354B79" w:rsidRPr="00435707">
        <w:rPr>
          <w:szCs w:val="22"/>
        </w:rPr>
        <w:t> </w:t>
      </w:r>
      <w:r w:rsidRPr="00435707">
        <w:rPr>
          <w:szCs w:val="22"/>
        </w:rPr>
        <w:t xml:space="preserve">g/m² </w:t>
      </w:r>
      <w:r w:rsidR="00F75F1F" w:rsidRPr="00435707">
        <w:rPr>
          <w:szCs w:val="22"/>
        </w:rPr>
        <w:t>BSA</w:t>
      </w:r>
      <w:r w:rsidRPr="00435707">
        <w:rPr>
          <w:szCs w:val="22"/>
        </w:rPr>
        <w:t xml:space="preserve"> on 3</w:t>
      </w:r>
      <w:r w:rsidR="00354B79" w:rsidRPr="00435707">
        <w:rPr>
          <w:szCs w:val="22"/>
        </w:rPr>
        <w:t> </w:t>
      </w:r>
      <w:r w:rsidRPr="00435707">
        <w:rPr>
          <w:szCs w:val="22"/>
        </w:rPr>
        <w:t>consecutive days.</w:t>
      </w:r>
      <w:r w:rsidRPr="00672F96">
        <w:rPr>
          <w:szCs w:val="22"/>
        </w:rPr>
        <w:t xml:space="preserve"> </w:t>
      </w:r>
    </w:p>
    <w:p w14:paraId="2F94C0EB" w14:textId="77777777" w:rsidR="0017291B" w:rsidRPr="00672F96" w:rsidRDefault="0017291B" w:rsidP="00672F96">
      <w:pPr>
        <w:spacing w:line="240" w:lineRule="auto"/>
        <w:rPr>
          <w:szCs w:val="22"/>
        </w:rPr>
      </w:pPr>
    </w:p>
    <w:p w14:paraId="2F94C0EC" w14:textId="77777777" w:rsidR="00AE0267" w:rsidRPr="00672F96" w:rsidRDefault="00522617" w:rsidP="00672F96">
      <w:pPr>
        <w:spacing w:line="240" w:lineRule="auto"/>
        <w:rPr>
          <w:szCs w:val="22"/>
        </w:rPr>
      </w:pPr>
      <w:r w:rsidRPr="00672F96">
        <w:rPr>
          <w:szCs w:val="22"/>
        </w:rPr>
        <w:t>Adverse reactions are listed below, by system organ class and by frequency</w:t>
      </w:r>
      <w:r w:rsidR="0089440A" w:rsidRPr="00672F96">
        <w:rPr>
          <w:szCs w:val="22"/>
        </w:rPr>
        <w:t xml:space="preserve">: very common (≥ 1/10), common (≥ 1/100 to &lt; 1/10), uncommon (≥ 1/1,000 to &lt; 1/100), rare (≥ 1/10,000 to &lt; 1/1,000), very rare (&lt; 1/10,000) and not known (cannot be estimated from the available data). </w:t>
      </w:r>
      <w:r w:rsidRPr="00672F96">
        <w:rPr>
          <w:szCs w:val="22"/>
        </w:rPr>
        <w:t>Within each frequency group, undesirable effects are presented in order of decreasing seriousness.</w:t>
      </w:r>
    </w:p>
    <w:p w14:paraId="2F94C0ED" w14:textId="77777777" w:rsidR="00AE0267" w:rsidRPr="00672F96" w:rsidRDefault="00AE0267" w:rsidP="00672F96">
      <w:pPr>
        <w:spacing w:line="240" w:lineRule="auto"/>
        <w:rPr>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543"/>
        <w:gridCol w:w="3544"/>
      </w:tblGrid>
      <w:tr w:rsidR="00937EA8" w14:paraId="2F94C0F1" w14:textId="77777777" w:rsidTr="0014160B">
        <w:trPr>
          <w:cantSplit/>
          <w:tblHeader/>
        </w:trPr>
        <w:tc>
          <w:tcPr>
            <w:tcW w:w="2235" w:type="dxa"/>
            <w:shd w:val="clear" w:color="auto" w:fill="E0E0E0"/>
          </w:tcPr>
          <w:p w14:paraId="2F94C0EE" w14:textId="77777777" w:rsidR="0014160B" w:rsidRPr="00672F96" w:rsidRDefault="00522617" w:rsidP="00672F96">
            <w:pPr>
              <w:spacing w:line="240" w:lineRule="auto"/>
              <w:rPr>
                <w:b/>
                <w:szCs w:val="22"/>
              </w:rPr>
            </w:pPr>
            <w:r w:rsidRPr="00672F96">
              <w:rPr>
                <w:b/>
                <w:szCs w:val="22"/>
              </w:rPr>
              <w:br w:type="page"/>
              <w:t>System Organ Class (SOC)</w:t>
            </w:r>
          </w:p>
        </w:tc>
        <w:tc>
          <w:tcPr>
            <w:tcW w:w="3543" w:type="dxa"/>
            <w:shd w:val="clear" w:color="auto" w:fill="E0E0E0"/>
          </w:tcPr>
          <w:p w14:paraId="2F94C0EF" w14:textId="77777777" w:rsidR="0014160B" w:rsidRPr="00672F96" w:rsidRDefault="00522617" w:rsidP="004635B2">
            <w:pPr>
              <w:spacing w:line="240" w:lineRule="auto"/>
              <w:rPr>
                <w:b/>
                <w:szCs w:val="22"/>
              </w:rPr>
            </w:pPr>
            <w:r w:rsidRPr="00672F96">
              <w:rPr>
                <w:b/>
                <w:szCs w:val="22"/>
              </w:rPr>
              <w:t xml:space="preserve">All </w:t>
            </w:r>
            <w:r w:rsidR="004635B2">
              <w:rPr>
                <w:b/>
                <w:szCs w:val="22"/>
              </w:rPr>
              <w:t>Adverse Reactions</w:t>
            </w:r>
            <w:r w:rsidR="004635B2" w:rsidRPr="00672F96">
              <w:rPr>
                <w:b/>
                <w:szCs w:val="22"/>
              </w:rPr>
              <w:t xml:space="preserve"> </w:t>
            </w:r>
            <w:r w:rsidRPr="00672F96">
              <w:rPr>
                <w:b/>
                <w:szCs w:val="22"/>
              </w:rPr>
              <w:t>/ Frequency</w:t>
            </w:r>
          </w:p>
        </w:tc>
        <w:tc>
          <w:tcPr>
            <w:tcW w:w="3544" w:type="dxa"/>
            <w:shd w:val="clear" w:color="auto" w:fill="E0E0E0"/>
          </w:tcPr>
          <w:p w14:paraId="2F94C0F0" w14:textId="77777777" w:rsidR="0014160B" w:rsidRPr="00672F96" w:rsidRDefault="00522617" w:rsidP="004635B2">
            <w:pPr>
              <w:spacing w:line="240" w:lineRule="auto"/>
              <w:rPr>
                <w:b/>
                <w:szCs w:val="22"/>
              </w:rPr>
            </w:pPr>
            <w:r w:rsidRPr="00672F96">
              <w:rPr>
                <w:b/>
                <w:szCs w:val="22"/>
              </w:rPr>
              <w:t>Grade</w:t>
            </w:r>
            <w:r w:rsidR="001B6C17" w:rsidRPr="00672F96">
              <w:rPr>
                <w:b/>
                <w:szCs w:val="22"/>
              </w:rPr>
              <w:t> </w:t>
            </w:r>
            <w:r w:rsidRPr="00672F96">
              <w:rPr>
                <w:b/>
                <w:szCs w:val="22"/>
              </w:rPr>
              <w:t xml:space="preserve">3-4 </w:t>
            </w:r>
            <w:r w:rsidR="004635B2">
              <w:rPr>
                <w:b/>
                <w:szCs w:val="22"/>
              </w:rPr>
              <w:t>Adverse Reactions</w:t>
            </w:r>
            <w:r w:rsidR="004635B2" w:rsidRPr="00672F96">
              <w:rPr>
                <w:b/>
                <w:szCs w:val="22"/>
              </w:rPr>
              <w:t xml:space="preserve"> </w:t>
            </w:r>
            <w:r w:rsidRPr="00672F96">
              <w:rPr>
                <w:b/>
                <w:szCs w:val="22"/>
              </w:rPr>
              <w:t>/ Frequency</w:t>
            </w:r>
          </w:p>
        </w:tc>
      </w:tr>
      <w:tr w:rsidR="00937EA8" w14:paraId="2F94C100" w14:textId="77777777" w:rsidTr="0014160B">
        <w:trPr>
          <w:cantSplit/>
        </w:trPr>
        <w:tc>
          <w:tcPr>
            <w:tcW w:w="2235" w:type="dxa"/>
          </w:tcPr>
          <w:p w14:paraId="2F94C0F2" w14:textId="77777777" w:rsidR="0014160B" w:rsidRPr="00672F96" w:rsidRDefault="00522617" w:rsidP="00672F96">
            <w:pPr>
              <w:spacing w:line="240" w:lineRule="auto"/>
              <w:rPr>
                <w:b/>
                <w:szCs w:val="22"/>
              </w:rPr>
            </w:pPr>
            <w:r w:rsidRPr="00672F96">
              <w:rPr>
                <w:b/>
                <w:szCs w:val="22"/>
              </w:rPr>
              <w:t>Infections and infestations*</w:t>
            </w:r>
          </w:p>
        </w:tc>
        <w:tc>
          <w:tcPr>
            <w:tcW w:w="3543" w:type="dxa"/>
          </w:tcPr>
          <w:p w14:paraId="2F94C0F3" w14:textId="77777777" w:rsidR="0014160B" w:rsidRPr="00672F96" w:rsidRDefault="00522617" w:rsidP="00672F96">
            <w:pPr>
              <w:spacing w:line="240" w:lineRule="auto"/>
              <w:rPr>
                <w:b/>
                <w:szCs w:val="22"/>
              </w:rPr>
            </w:pPr>
            <w:r w:rsidRPr="00672F96">
              <w:rPr>
                <w:b/>
                <w:szCs w:val="22"/>
              </w:rPr>
              <w:t>Very common</w:t>
            </w:r>
          </w:p>
          <w:p w14:paraId="2F94C0F4" w14:textId="77777777" w:rsidR="0014160B" w:rsidRPr="00672F96" w:rsidRDefault="00522617" w:rsidP="00672F96">
            <w:pPr>
              <w:spacing w:line="240" w:lineRule="auto"/>
              <w:rPr>
                <w:szCs w:val="22"/>
              </w:rPr>
            </w:pPr>
            <w:r w:rsidRPr="00672F96">
              <w:rPr>
                <w:szCs w:val="22"/>
              </w:rPr>
              <w:t>Infections (bacterial, viral, fungal)</w:t>
            </w:r>
          </w:p>
          <w:p w14:paraId="2F94C0F5" w14:textId="77777777" w:rsidR="0014160B" w:rsidRPr="00672F96" w:rsidRDefault="0014160B" w:rsidP="00672F96">
            <w:pPr>
              <w:spacing w:line="240" w:lineRule="auto"/>
              <w:rPr>
                <w:szCs w:val="22"/>
              </w:rPr>
            </w:pPr>
          </w:p>
          <w:p w14:paraId="2F94C0F6" w14:textId="77777777" w:rsidR="0014160B" w:rsidRPr="00672F96" w:rsidRDefault="00522617" w:rsidP="00672F96">
            <w:pPr>
              <w:spacing w:line="240" w:lineRule="auto"/>
              <w:rPr>
                <w:b/>
                <w:szCs w:val="22"/>
              </w:rPr>
            </w:pPr>
            <w:r w:rsidRPr="00672F96">
              <w:rPr>
                <w:b/>
                <w:szCs w:val="22"/>
              </w:rPr>
              <w:t>Common</w:t>
            </w:r>
          </w:p>
          <w:p w14:paraId="2F94C0F7" w14:textId="77777777" w:rsidR="0017291B" w:rsidRPr="00672F96" w:rsidRDefault="00522617" w:rsidP="00672F96">
            <w:pPr>
              <w:spacing w:line="240" w:lineRule="auto"/>
              <w:rPr>
                <w:szCs w:val="22"/>
              </w:rPr>
            </w:pPr>
            <w:proofErr w:type="spellStart"/>
            <w:r w:rsidRPr="00672F96">
              <w:rPr>
                <w:szCs w:val="22"/>
              </w:rPr>
              <w:t>Sepsis</w:t>
            </w:r>
            <w:r w:rsidRPr="00672F96">
              <w:rPr>
                <w:szCs w:val="22"/>
                <w:vertAlign w:val="superscript"/>
              </w:rPr>
              <w:t>a</w:t>
            </w:r>
            <w:proofErr w:type="spellEnd"/>
          </w:p>
          <w:p w14:paraId="2F94C0F8" w14:textId="77777777" w:rsidR="0017291B" w:rsidRPr="00672F96" w:rsidRDefault="0017291B" w:rsidP="00672F96">
            <w:pPr>
              <w:spacing w:line="240" w:lineRule="auto"/>
              <w:rPr>
                <w:szCs w:val="22"/>
              </w:rPr>
            </w:pPr>
          </w:p>
          <w:p w14:paraId="2F94C0F9" w14:textId="77777777" w:rsidR="0017291B" w:rsidRPr="00672F96" w:rsidRDefault="00522617" w:rsidP="00672F96">
            <w:pPr>
              <w:spacing w:line="240" w:lineRule="auto"/>
              <w:rPr>
                <w:b/>
                <w:szCs w:val="22"/>
              </w:rPr>
            </w:pPr>
            <w:r w:rsidRPr="00672F96">
              <w:rPr>
                <w:b/>
                <w:szCs w:val="22"/>
              </w:rPr>
              <w:t>Not known</w:t>
            </w:r>
          </w:p>
          <w:p w14:paraId="2F94C0FA" w14:textId="77777777" w:rsidR="0014160B" w:rsidRPr="00672F96" w:rsidRDefault="00522617" w:rsidP="00672F96">
            <w:pPr>
              <w:spacing w:line="240" w:lineRule="auto"/>
              <w:rPr>
                <w:szCs w:val="22"/>
              </w:rPr>
            </w:pPr>
            <w:r w:rsidRPr="00672F96">
              <w:rPr>
                <w:szCs w:val="22"/>
              </w:rPr>
              <w:t xml:space="preserve">Septic </w:t>
            </w:r>
            <w:proofErr w:type="spellStart"/>
            <w:r w:rsidRPr="00672F96">
              <w:rPr>
                <w:szCs w:val="22"/>
              </w:rPr>
              <w:t>shock</w:t>
            </w:r>
            <w:r w:rsidRPr="00672F96">
              <w:rPr>
                <w:szCs w:val="22"/>
                <w:vertAlign w:val="superscript"/>
              </w:rPr>
              <w:t>c</w:t>
            </w:r>
            <w:proofErr w:type="spellEnd"/>
          </w:p>
        </w:tc>
        <w:tc>
          <w:tcPr>
            <w:tcW w:w="3544" w:type="dxa"/>
          </w:tcPr>
          <w:p w14:paraId="2F94C0FB" w14:textId="77777777" w:rsidR="0014160B" w:rsidRPr="00672F96" w:rsidRDefault="00522617" w:rsidP="00672F96">
            <w:pPr>
              <w:rPr>
                <w:b/>
                <w:szCs w:val="22"/>
              </w:rPr>
            </w:pPr>
            <w:r w:rsidRPr="00672F96">
              <w:rPr>
                <w:b/>
                <w:szCs w:val="22"/>
              </w:rPr>
              <w:t>Common</w:t>
            </w:r>
          </w:p>
          <w:p w14:paraId="2F94C0FC" w14:textId="77777777" w:rsidR="0017291B" w:rsidRPr="00672F96" w:rsidRDefault="00522617" w:rsidP="00672F96">
            <w:pPr>
              <w:spacing w:line="240" w:lineRule="auto"/>
              <w:rPr>
                <w:szCs w:val="22"/>
              </w:rPr>
            </w:pPr>
            <w:r w:rsidRPr="00672F96">
              <w:rPr>
                <w:szCs w:val="22"/>
              </w:rPr>
              <w:t xml:space="preserve">Infections (bacterial, viral, fungal), </w:t>
            </w:r>
            <w:proofErr w:type="spellStart"/>
            <w:r w:rsidRPr="00672F96">
              <w:rPr>
                <w:szCs w:val="22"/>
              </w:rPr>
              <w:t>sepsis</w:t>
            </w:r>
            <w:r w:rsidRPr="00672F96">
              <w:rPr>
                <w:szCs w:val="22"/>
                <w:vertAlign w:val="superscript"/>
              </w:rPr>
              <w:t>a</w:t>
            </w:r>
            <w:proofErr w:type="spellEnd"/>
          </w:p>
          <w:p w14:paraId="2F94C0FD" w14:textId="77777777" w:rsidR="0017291B" w:rsidRPr="00672F96" w:rsidRDefault="0017291B" w:rsidP="00672F96">
            <w:pPr>
              <w:spacing w:line="240" w:lineRule="auto"/>
              <w:rPr>
                <w:szCs w:val="22"/>
              </w:rPr>
            </w:pPr>
          </w:p>
          <w:p w14:paraId="2F94C0FE" w14:textId="77777777" w:rsidR="0017291B" w:rsidRPr="00672F96" w:rsidRDefault="00522617" w:rsidP="00672F96">
            <w:pPr>
              <w:spacing w:line="240" w:lineRule="auto"/>
              <w:rPr>
                <w:b/>
                <w:szCs w:val="22"/>
              </w:rPr>
            </w:pPr>
            <w:r w:rsidRPr="00672F96">
              <w:rPr>
                <w:b/>
                <w:szCs w:val="22"/>
              </w:rPr>
              <w:t>Not known</w:t>
            </w:r>
          </w:p>
          <w:p w14:paraId="2F94C0FF" w14:textId="77777777" w:rsidR="0014160B" w:rsidRPr="00672F96" w:rsidRDefault="00522617" w:rsidP="00672F96">
            <w:pPr>
              <w:spacing w:line="240" w:lineRule="auto"/>
              <w:rPr>
                <w:b/>
                <w:szCs w:val="22"/>
              </w:rPr>
            </w:pPr>
            <w:r w:rsidRPr="00672F96">
              <w:rPr>
                <w:szCs w:val="22"/>
              </w:rPr>
              <w:t xml:space="preserve">Septic </w:t>
            </w:r>
            <w:proofErr w:type="spellStart"/>
            <w:r w:rsidRPr="00672F96">
              <w:rPr>
                <w:szCs w:val="22"/>
              </w:rPr>
              <w:t>shock</w:t>
            </w:r>
            <w:r w:rsidR="008C49FD" w:rsidRPr="00672F96">
              <w:rPr>
                <w:szCs w:val="22"/>
                <w:vertAlign w:val="superscript"/>
              </w:rPr>
              <w:t>c</w:t>
            </w:r>
            <w:proofErr w:type="spellEnd"/>
          </w:p>
        </w:tc>
      </w:tr>
      <w:tr w:rsidR="00937EA8" w14:paraId="2F94C106" w14:textId="77777777" w:rsidTr="0014160B">
        <w:trPr>
          <w:cantSplit/>
        </w:trPr>
        <w:tc>
          <w:tcPr>
            <w:tcW w:w="2235" w:type="dxa"/>
          </w:tcPr>
          <w:p w14:paraId="2F94C101" w14:textId="77777777" w:rsidR="0014160B" w:rsidRPr="00672F96" w:rsidRDefault="00522617" w:rsidP="00672F96">
            <w:pPr>
              <w:spacing w:line="240" w:lineRule="auto"/>
              <w:rPr>
                <w:b/>
                <w:szCs w:val="22"/>
              </w:rPr>
            </w:pPr>
            <w:r w:rsidRPr="00672F96">
              <w:rPr>
                <w:b/>
                <w:szCs w:val="22"/>
              </w:rPr>
              <w:t xml:space="preserve">Neoplasms benign, malignant and unspecified (including cysts and </w:t>
            </w:r>
            <w:proofErr w:type="gramStart"/>
            <w:r w:rsidRPr="00672F96">
              <w:rPr>
                <w:b/>
                <w:szCs w:val="22"/>
              </w:rPr>
              <w:t>polyps)*</w:t>
            </w:r>
            <w:proofErr w:type="gramEnd"/>
          </w:p>
        </w:tc>
        <w:tc>
          <w:tcPr>
            <w:tcW w:w="3543" w:type="dxa"/>
          </w:tcPr>
          <w:p w14:paraId="2F94C102" w14:textId="77777777" w:rsidR="0014160B" w:rsidRPr="00672F96" w:rsidRDefault="00522617" w:rsidP="00672F96">
            <w:pPr>
              <w:spacing w:line="240" w:lineRule="auto"/>
              <w:rPr>
                <w:b/>
                <w:szCs w:val="22"/>
              </w:rPr>
            </w:pPr>
            <w:r w:rsidRPr="00672F96">
              <w:rPr>
                <w:b/>
                <w:szCs w:val="22"/>
              </w:rPr>
              <w:t>Not known</w:t>
            </w:r>
          </w:p>
          <w:p w14:paraId="2F94C103" w14:textId="77777777" w:rsidR="0014160B" w:rsidRPr="00672F96" w:rsidRDefault="00522617" w:rsidP="00672F96">
            <w:pPr>
              <w:spacing w:line="240" w:lineRule="auto"/>
              <w:rPr>
                <w:szCs w:val="22"/>
              </w:rPr>
            </w:pPr>
            <w:r w:rsidRPr="00435707">
              <w:rPr>
                <w:szCs w:val="22"/>
              </w:rPr>
              <w:t>Treatment</w:t>
            </w:r>
            <w:r w:rsidR="005C21F4" w:rsidRPr="00435707">
              <w:rPr>
                <w:szCs w:val="22"/>
              </w:rPr>
              <w:noBreakHyphen/>
            </w:r>
            <w:r w:rsidRPr="00435707">
              <w:rPr>
                <w:szCs w:val="22"/>
              </w:rPr>
              <w:t>related</w:t>
            </w:r>
            <w:r w:rsidRPr="00672F96">
              <w:rPr>
                <w:szCs w:val="22"/>
              </w:rPr>
              <w:t xml:space="preserve"> second malignancy</w:t>
            </w:r>
          </w:p>
        </w:tc>
        <w:tc>
          <w:tcPr>
            <w:tcW w:w="3544" w:type="dxa"/>
          </w:tcPr>
          <w:p w14:paraId="2F94C104" w14:textId="77777777" w:rsidR="0014160B" w:rsidRPr="00672F96" w:rsidRDefault="00522617" w:rsidP="00672F96">
            <w:pPr>
              <w:spacing w:before="40" w:after="20" w:line="240" w:lineRule="auto"/>
              <w:rPr>
                <w:b/>
                <w:szCs w:val="22"/>
              </w:rPr>
            </w:pPr>
            <w:r w:rsidRPr="00672F96">
              <w:rPr>
                <w:b/>
                <w:szCs w:val="22"/>
              </w:rPr>
              <w:t>Not known</w:t>
            </w:r>
          </w:p>
          <w:p w14:paraId="2F94C105" w14:textId="77777777" w:rsidR="0014160B" w:rsidRPr="00672F96" w:rsidRDefault="00522617" w:rsidP="00672F96">
            <w:pPr>
              <w:spacing w:line="240" w:lineRule="auto"/>
              <w:rPr>
                <w:b/>
                <w:szCs w:val="22"/>
              </w:rPr>
            </w:pPr>
            <w:r w:rsidRPr="00672F96">
              <w:rPr>
                <w:szCs w:val="22"/>
              </w:rPr>
              <w:t>Treatment-related second malignancy</w:t>
            </w:r>
          </w:p>
        </w:tc>
      </w:tr>
      <w:tr w:rsidR="00937EA8" w14:paraId="2F94C10C" w14:textId="77777777" w:rsidTr="0014160B">
        <w:trPr>
          <w:cantSplit/>
        </w:trPr>
        <w:tc>
          <w:tcPr>
            <w:tcW w:w="2235" w:type="dxa"/>
          </w:tcPr>
          <w:p w14:paraId="2F94C107" w14:textId="77777777" w:rsidR="0014160B" w:rsidRPr="00672F96" w:rsidRDefault="00522617" w:rsidP="00672F96">
            <w:pPr>
              <w:spacing w:line="240" w:lineRule="auto"/>
              <w:rPr>
                <w:b/>
                <w:szCs w:val="22"/>
              </w:rPr>
            </w:pPr>
            <w:r w:rsidRPr="00672F96">
              <w:rPr>
                <w:b/>
                <w:szCs w:val="22"/>
              </w:rPr>
              <w:t>Blood and lymphatic system disorders*</w:t>
            </w:r>
          </w:p>
        </w:tc>
        <w:tc>
          <w:tcPr>
            <w:tcW w:w="3543" w:type="dxa"/>
          </w:tcPr>
          <w:p w14:paraId="2F94C108" w14:textId="77777777" w:rsidR="0014160B" w:rsidRPr="00672F96" w:rsidRDefault="00522617" w:rsidP="00672F96">
            <w:pPr>
              <w:spacing w:line="240" w:lineRule="auto"/>
              <w:rPr>
                <w:b/>
                <w:szCs w:val="22"/>
              </w:rPr>
            </w:pPr>
            <w:r w:rsidRPr="00672F96">
              <w:rPr>
                <w:b/>
                <w:szCs w:val="22"/>
              </w:rPr>
              <w:t>Very common</w:t>
            </w:r>
          </w:p>
          <w:p w14:paraId="2F94C109" w14:textId="77777777" w:rsidR="0014160B" w:rsidRPr="00672F96" w:rsidRDefault="00522617" w:rsidP="00672F96">
            <w:pPr>
              <w:spacing w:line="240" w:lineRule="auto"/>
              <w:rPr>
                <w:szCs w:val="22"/>
              </w:rPr>
            </w:pPr>
            <w:r w:rsidRPr="00672F96">
              <w:rPr>
                <w:szCs w:val="22"/>
              </w:rPr>
              <w:t>Myelosuppression, pancytopenia, f</w:t>
            </w:r>
            <w:r w:rsidR="00DE6CCE" w:rsidRPr="00672F96">
              <w:rPr>
                <w:szCs w:val="22"/>
              </w:rPr>
              <w:t>ebrile neutropenia</w:t>
            </w:r>
          </w:p>
        </w:tc>
        <w:tc>
          <w:tcPr>
            <w:tcW w:w="3544" w:type="dxa"/>
          </w:tcPr>
          <w:p w14:paraId="2F94C10A" w14:textId="77777777" w:rsidR="0014160B" w:rsidRPr="00672F96" w:rsidRDefault="00522617" w:rsidP="00672F96">
            <w:pPr>
              <w:rPr>
                <w:b/>
                <w:szCs w:val="22"/>
              </w:rPr>
            </w:pPr>
            <w:r w:rsidRPr="00672F96">
              <w:rPr>
                <w:b/>
                <w:szCs w:val="22"/>
              </w:rPr>
              <w:t>Very common</w:t>
            </w:r>
          </w:p>
          <w:p w14:paraId="2F94C10B" w14:textId="77777777" w:rsidR="0014160B" w:rsidRPr="00672F96" w:rsidRDefault="00522617" w:rsidP="00672F96">
            <w:pPr>
              <w:spacing w:line="240" w:lineRule="auto"/>
              <w:rPr>
                <w:b/>
                <w:szCs w:val="22"/>
              </w:rPr>
            </w:pPr>
            <w:r w:rsidRPr="00672F96">
              <w:rPr>
                <w:szCs w:val="22"/>
              </w:rPr>
              <w:t>Myelosuppression, pancytopenia, f</w:t>
            </w:r>
            <w:r w:rsidR="00DE6CCE" w:rsidRPr="00672F96">
              <w:rPr>
                <w:szCs w:val="22"/>
              </w:rPr>
              <w:t>ebrile neutropenia</w:t>
            </w:r>
          </w:p>
        </w:tc>
      </w:tr>
      <w:tr w:rsidR="00937EA8" w14:paraId="2F94C111" w14:textId="77777777" w:rsidTr="0014160B">
        <w:trPr>
          <w:cantSplit/>
        </w:trPr>
        <w:tc>
          <w:tcPr>
            <w:tcW w:w="2235" w:type="dxa"/>
          </w:tcPr>
          <w:p w14:paraId="2F94C10D" w14:textId="77777777" w:rsidR="0014160B" w:rsidRPr="00672F96" w:rsidRDefault="00522617" w:rsidP="00672F96">
            <w:pPr>
              <w:spacing w:line="240" w:lineRule="auto"/>
              <w:rPr>
                <w:b/>
                <w:szCs w:val="22"/>
              </w:rPr>
            </w:pPr>
            <w:r w:rsidRPr="00672F96">
              <w:rPr>
                <w:b/>
                <w:szCs w:val="22"/>
              </w:rPr>
              <w:t>Immune system disorders*</w:t>
            </w:r>
          </w:p>
        </w:tc>
        <w:tc>
          <w:tcPr>
            <w:tcW w:w="3543" w:type="dxa"/>
          </w:tcPr>
          <w:p w14:paraId="2F94C10E" w14:textId="77777777" w:rsidR="0014160B" w:rsidRPr="00672F96" w:rsidRDefault="00522617" w:rsidP="00672F96">
            <w:pPr>
              <w:spacing w:line="240" w:lineRule="auto"/>
              <w:rPr>
                <w:b/>
                <w:szCs w:val="22"/>
              </w:rPr>
            </w:pPr>
            <w:r w:rsidRPr="00672F96">
              <w:rPr>
                <w:b/>
                <w:szCs w:val="22"/>
              </w:rPr>
              <w:t>Common</w:t>
            </w:r>
          </w:p>
          <w:p w14:paraId="2F94C10F" w14:textId="77777777" w:rsidR="0014160B" w:rsidRPr="00672F96" w:rsidRDefault="00522617" w:rsidP="00672F96">
            <w:pPr>
              <w:spacing w:line="240" w:lineRule="auto"/>
              <w:rPr>
                <w:szCs w:val="22"/>
              </w:rPr>
            </w:pPr>
            <w:r w:rsidRPr="00672F96">
              <w:rPr>
                <w:szCs w:val="22"/>
              </w:rPr>
              <w:t>Hypersensitivity</w:t>
            </w:r>
          </w:p>
        </w:tc>
        <w:tc>
          <w:tcPr>
            <w:tcW w:w="3544" w:type="dxa"/>
          </w:tcPr>
          <w:p w14:paraId="2F94C110" w14:textId="77777777" w:rsidR="0014160B" w:rsidRPr="00672F96" w:rsidRDefault="0014160B" w:rsidP="00672F96">
            <w:pPr>
              <w:spacing w:line="240" w:lineRule="auto"/>
              <w:rPr>
                <w:b/>
                <w:szCs w:val="22"/>
              </w:rPr>
            </w:pPr>
          </w:p>
        </w:tc>
      </w:tr>
      <w:tr w:rsidR="00937EA8" w14:paraId="2F94C123" w14:textId="77777777" w:rsidTr="0014160B">
        <w:trPr>
          <w:cantSplit/>
        </w:trPr>
        <w:tc>
          <w:tcPr>
            <w:tcW w:w="2235" w:type="dxa"/>
          </w:tcPr>
          <w:p w14:paraId="2F94C112" w14:textId="77777777" w:rsidR="0014160B" w:rsidRPr="00672F96" w:rsidRDefault="00522617" w:rsidP="00672F96">
            <w:pPr>
              <w:spacing w:line="240" w:lineRule="auto"/>
              <w:rPr>
                <w:b/>
                <w:szCs w:val="22"/>
              </w:rPr>
            </w:pPr>
            <w:r w:rsidRPr="00672F96">
              <w:rPr>
                <w:b/>
                <w:szCs w:val="22"/>
              </w:rPr>
              <w:lastRenderedPageBreak/>
              <w:t>Metabolism and nutrition disorders</w:t>
            </w:r>
          </w:p>
        </w:tc>
        <w:tc>
          <w:tcPr>
            <w:tcW w:w="3543" w:type="dxa"/>
          </w:tcPr>
          <w:p w14:paraId="2F94C113" w14:textId="77777777" w:rsidR="0014160B" w:rsidRPr="00672F96" w:rsidRDefault="00522617" w:rsidP="00672F96">
            <w:pPr>
              <w:spacing w:line="240" w:lineRule="auto"/>
              <w:rPr>
                <w:b/>
                <w:szCs w:val="22"/>
              </w:rPr>
            </w:pPr>
            <w:r w:rsidRPr="00672F96">
              <w:rPr>
                <w:b/>
                <w:szCs w:val="22"/>
              </w:rPr>
              <w:t>Common</w:t>
            </w:r>
          </w:p>
          <w:p w14:paraId="2F94C114" w14:textId="77777777" w:rsidR="0014160B" w:rsidRPr="00672F96" w:rsidRDefault="00522617" w:rsidP="00672F96">
            <w:pPr>
              <w:spacing w:line="240" w:lineRule="auto"/>
              <w:rPr>
                <w:szCs w:val="22"/>
              </w:rPr>
            </w:pPr>
            <w:r w:rsidRPr="00672F96">
              <w:rPr>
                <w:szCs w:val="22"/>
              </w:rPr>
              <w:t xml:space="preserve">Decreased appetite </w:t>
            </w:r>
          </w:p>
          <w:p w14:paraId="2F94C115" w14:textId="77777777" w:rsidR="0014160B" w:rsidRPr="00672F96" w:rsidRDefault="0014160B" w:rsidP="00672F96">
            <w:pPr>
              <w:spacing w:line="240" w:lineRule="auto"/>
              <w:rPr>
                <w:szCs w:val="22"/>
              </w:rPr>
            </w:pPr>
          </w:p>
          <w:p w14:paraId="2F94C116" w14:textId="77777777" w:rsidR="0014160B" w:rsidRPr="00672F96" w:rsidRDefault="00522617" w:rsidP="00672F96">
            <w:pPr>
              <w:spacing w:line="240" w:lineRule="auto"/>
              <w:rPr>
                <w:b/>
                <w:szCs w:val="22"/>
              </w:rPr>
            </w:pPr>
            <w:r w:rsidRPr="00672F96">
              <w:rPr>
                <w:b/>
                <w:szCs w:val="22"/>
              </w:rPr>
              <w:t>Uncommon</w:t>
            </w:r>
          </w:p>
          <w:p w14:paraId="2F94C117" w14:textId="77777777" w:rsidR="0014160B" w:rsidRPr="00672F96" w:rsidRDefault="00522617" w:rsidP="00672F96">
            <w:pPr>
              <w:spacing w:line="240" w:lineRule="auto"/>
              <w:rPr>
                <w:szCs w:val="22"/>
              </w:rPr>
            </w:pPr>
            <w:r w:rsidRPr="00672F96">
              <w:rPr>
                <w:szCs w:val="22"/>
              </w:rPr>
              <w:t>Hyperglycaemia</w:t>
            </w:r>
          </w:p>
          <w:p w14:paraId="2F94C118" w14:textId="77777777" w:rsidR="0014160B" w:rsidRPr="00672F96" w:rsidRDefault="0014160B" w:rsidP="00672F96">
            <w:pPr>
              <w:spacing w:line="240" w:lineRule="auto"/>
              <w:rPr>
                <w:szCs w:val="22"/>
              </w:rPr>
            </w:pPr>
          </w:p>
          <w:p w14:paraId="2F94C119" w14:textId="77777777" w:rsidR="0014160B" w:rsidRPr="00672F96" w:rsidRDefault="00522617" w:rsidP="00672F96">
            <w:pPr>
              <w:spacing w:line="240" w:lineRule="auto"/>
              <w:rPr>
                <w:b/>
                <w:szCs w:val="22"/>
              </w:rPr>
            </w:pPr>
            <w:r w:rsidRPr="00672F96">
              <w:rPr>
                <w:b/>
                <w:szCs w:val="22"/>
              </w:rPr>
              <w:t>Not known</w:t>
            </w:r>
          </w:p>
          <w:p w14:paraId="2F94C11A" w14:textId="77777777" w:rsidR="0014160B" w:rsidRPr="00672F96" w:rsidRDefault="00522617" w:rsidP="00672F96">
            <w:pPr>
              <w:spacing w:line="240" w:lineRule="auto"/>
              <w:rPr>
                <w:szCs w:val="22"/>
              </w:rPr>
            </w:pPr>
            <w:proofErr w:type="spellStart"/>
            <w:r w:rsidRPr="00672F96">
              <w:rPr>
                <w:szCs w:val="22"/>
              </w:rPr>
              <w:t>Acidosis</w:t>
            </w:r>
            <w:r w:rsidRPr="00672F96">
              <w:rPr>
                <w:szCs w:val="22"/>
                <w:vertAlign w:val="superscript"/>
              </w:rPr>
              <w:t>b</w:t>
            </w:r>
            <w:proofErr w:type="spellEnd"/>
            <w:r w:rsidRPr="00672F96">
              <w:rPr>
                <w:szCs w:val="22"/>
              </w:rPr>
              <w:t>, glucose tolerance impaired, electrolyte imbalance</w:t>
            </w:r>
          </w:p>
        </w:tc>
        <w:tc>
          <w:tcPr>
            <w:tcW w:w="3544" w:type="dxa"/>
          </w:tcPr>
          <w:p w14:paraId="2F94C11B" w14:textId="77777777" w:rsidR="0014160B" w:rsidRPr="00672F96" w:rsidRDefault="00522617" w:rsidP="00672F96">
            <w:pPr>
              <w:rPr>
                <w:b/>
                <w:szCs w:val="22"/>
              </w:rPr>
            </w:pPr>
            <w:r w:rsidRPr="00672F96">
              <w:rPr>
                <w:b/>
                <w:szCs w:val="22"/>
              </w:rPr>
              <w:t>Common</w:t>
            </w:r>
          </w:p>
          <w:p w14:paraId="2F94C11C" w14:textId="77777777" w:rsidR="0014160B" w:rsidRPr="00672F96" w:rsidRDefault="00522617" w:rsidP="00672F96">
            <w:pPr>
              <w:rPr>
                <w:szCs w:val="22"/>
              </w:rPr>
            </w:pPr>
            <w:r w:rsidRPr="00672F96">
              <w:rPr>
                <w:szCs w:val="22"/>
              </w:rPr>
              <w:t xml:space="preserve">Decreased appetite </w:t>
            </w:r>
          </w:p>
          <w:p w14:paraId="2F94C11D" w14:textId="77777777" w:rsidR="0014160B" w:rsidRPr="00672F96" w:rsidRDefault="0014160B" w:rsidP="00672F96">
            <w:pPr>
              <w:rPr>
                <w:szCs w:val="22"/>
              </w:rPr>
            </w:pPr>
          </w:p>
          <w:p w14:paraId="2F94C11E" w14:textId="77777777" w:rsidR="0014160B" w:rsidRPr="00672F96" w:rsidRDefault="00522617" w:rsidP="00672F96">
            <w:pPr>
              <w:rPr>
                <w:b/>
                <w:szCs w:val="22"/>
              </w:rPr>
            </w:pPr>
            <w:r w:rsidRPr="00672F96">
              <w:rPr>
                <w:b/>
                <w:szCs w:val="22"/>
              </w:rPr>
              <w:t>Uncommon</w:t>
            </w:r>
          </w:p>
          <w:p w14:paraId="2F94C11F" w14:textId="77777777" w:rsidR="00786745" w:rsidRPr="00672F96" w:rsidRDefault="00522617" w:rsidP="00672F96">
            <w:pPr>
              <w:rPr>
                <w:szCs w:val="22"/>
              </w:rPr>
            </w:pPr>
            <w:r w:rsidRPr="00672F96">
              <w:rPr>
                <w:szCs w:val="22"/>
              </w:rPr>
              <w:t>Hyperglycaemia</w:t>
            </w:r>
          </w:p>
          <w:p w14:paraId="2F94C120" w14:textId="77777777" w:rsidR="00786745" w:rsidRPr="00672F96" w:rsidRDefault="00786745" w:rsidP="00672F96">
            <w:pPr>
              <w:rPr>
                <w:szCs w:val="22"/>
              </w:rPr>
            </w:pPr>
          </w:p>
          <w:p w14:paraId="2F94C121" w14:textId="77777777" w:rsidR="0014160B" w:rsidRPr="00672F96" w:rsidRDefault="00522617" w:rsidP="00672F96">
            <w:pPr>
              <w:rPr>
                <w:b/>
                <w:szCs w:val="22"/>
              </w:rPr>
            </w:pPr>
            <w:r w:rsidRPr="00672F96">
              <w:rPr>
                <w:b/>
                <w:szCs w:val="22"/>
              </w:rPr>
              <w:t>Not known</w:t>
            </w:r>
          </w:p>
          <w:p w14:paraId="2F94C122" w14:textId="77777777" w:rsidR="0014160B" w:rsidRPr="00672F96" w:rsidRDefault="00522617" w:rsidP="00672F96">
            <w:pPr>
              <w:spacing w:line="240" w:lineRule="auto"/>
              <w:rPr>
                <w:b/>
                <w:szCs w:val="22"/>
              </w:rPr>
            </w:pPr>
            <w:proofErr w:type="spellStart"/>
            <w:r w:rsidRPr="00672F96">
              <w:rPr>
                <w:szCs w:val="22"/>
              </w:rPr>
              <w:t>Acidosis</w:t>
            </w:r>
            <w:r w:rsidRPr="00672F96">
              <w:rPr>
                <w:szCs w:val="22"/>
                <w:vertAlign w:val="superscript"/>
              </w:rPr>
              <w:t>b</w:t>
            </w:r>
            <w:proofErr w:type="spellEnd"/>
            <w:r w:rsidRPr="00672F96">
              <w:rPr>
                <w:szCs w:val="22"/>
              </w:rPr>
              <w:t>, glucose tolerance impaired, electrolyte imbalance</w:t>
            </w:r>
          </w:p>
        </w:tc>
      </w:tr>
      <w:tr w:rsidR="00937EA8" w14:paraId="2F94C130" w14:textId="77777777" w:rsidTr="0014160B">
        <w:trPr>
          <w:cantSplit/>
        </w:trPr>
        <w:tc>
          <w:tcPr>
            <w:tcW w:w="2235" w:type="dxa"/>
          </w:tcPr>
          <w:p w14:paraId="2F94C124" w14:textId="77777777" w:rsidR="0014160B" w:rsidRPr="00672F96" w:rsidRDefault="00522617" w:rsidP="00672F96">
            <w:pPr>
              <w:spacing w:line="240" w:lineRule="auto"/>
              <w:rPr>
                <w:b/>
                <w:szCs w:val="22"/>
              </w:rPr>
            </w:pPr>
            <w:r w:rsidRPr="00672F96">
              <w:rPr>
                <w:b/>
                <w:szCs w:val="22"/>
              </w:rPr>
              <w:t>Psychiatric disorders</w:t>
            </w:r>
          </w:p>
        </w:tc>
        <w:tc>
          <w:tcPr>
            <w:tcW w:w="3543" w:type="dxa"/>
          </w:tcPr>
          <w:p w14:paraId="2F94C125" w14:textId="77777777" w:rsidR="0014160B" w:rsidRPr="00672F96" w:rsidRDefault="00522617" w:rsidP="00672F96">
            <w:pPr>
              <w:spacing w:line="240" w:lineRule="auto"/>
              <w:rPr>
                <w:b/>
                <w:szCs w:val="22"/>
              </w:rPr>
            </w:pPr>
            <w:r w:rsidRPr="00672F96">
              <w:rPr>
                <w:b/>
                <w:szCs w:val="22"/>
              </w:rPr>
              <w:t>Common</w:t>
            </w:r>
          </w:p>
          <w:p w14:paraId="2F94C126" w14:textId="77777777" w:rsidR="0014160B" w:rsidRPr="00672F96" w:rsidRDefault="00522617" w:rsidP="00672F96">
            <w:pPr>
              <w:spacing w:line="240" w:lineRule="auto"/>
              <w:rPr>
                <w:szCs w:val="22"/>
              </w:rPr>
            </w:pPr>
            <w:r w:rsidRPr="00672F96">
              <w:rPr>
                <w:szCs w:val="22"/>
              </w:rPr>
              <w:t>Insomnia</w:t>
            </w:r>
          </w:p>
          <w:p w14:paraId="2F94C127" w14:textId="77777777" w:rsidR="0014160B" w:rsidRPr="00672F96" w:rsidRDefault="0014160B" w:rsidP="00672F96">
            <w:pPr>
              <w:spacing w:line="240" w:lineRule="auto"/>
              <w:rPr>
                <w:szCs w:val="22"/>
              </w:rPr>
            </w:pPr>
          </w:p>
          <w:p w14:paraId="2F94C128" w14:textId="77777777" w:rsidR="0014160B" w:rsidRPr="00672F96" w:rsidRDefault="00522617" w:rsidP="00672F96">
            <w:pPr>
              <w:spacing w:line="240" w:lineRule="auto"/>
              <w:rPr>
                <w:b/>
                <w:szCs w:val="22"/>
              </w:rPr>
            </w:pPr>
            <w:r w:rsidRPr="00672F96">
              <w:rPr>
                <w:b/>
                <w:szCs w:val="22"/>
              </w:rPr>
              <w:t>Uncommon</w:t>
            </w:r>
          </w:p>
          <w:p w14:paraId="2F94C129" w14:textId="77777777" w:rsidR="0014160B" w:rsidRPr="00672F96" w:rsidRDefault="00522617" w:rsidP="00672F96">
            <w:pPr>
              <w:spacing w:line="240" w:lineRule="auto"/>
              <w:rPr>
                <w:szCs w:val="22"/>
              </w:rPr>
            </w:pPr>
            <w:proofErr w:type="spellStart"/>
            <w:r w:rsidRPr="00672F96">
              <w:rPr>
                <w:szCs w:val="22"/>
              </w:rPr>
              <w:t>Confusional</w:t>
            </w:r>
            <w:proofErr w:type="spellEnd"/>
            <w:r w:rsidRPr="00672F96">
              <w:rPr>
                <w:szCs w:val="22"/>
              </w:rPr>
              <w:t xml:space="preserve"> state </w:t>
            </w:r>
          </w:p>
          <w:p w14:paraId="2F94C12A" w14:textId="77777777" w:rsidR="0014160B" w:rsidRPr="00672F96" w:rsidRDefault="0014160B" w:rsidP="00672F96">
            <w:pPr>
              <w:spacing w:line="240" w:lineRule="auto"/>
              <w:rPr>
                <w:szCs w:val="22"/>
              </w:rPr>
            </w:pPr>
          </w:p>
          <w:p w14:paraId="2F94C12B" w14:textId="77777777" w:rsidR="0014160B" w:rsidRPr="00672F96" w:rsidRDefault="00522617" w:rsidP="00672F96">
            <w:pPr>
              <w:spacing w:line="240" w:lineRule="auto"/>
              <w:rPr>
                <w:b/>
                <w:szCs w:val="22"/>
              </w:rPr>
            </w:pPr>
            <w:r w:rsidRPr="00672F96">
              <w:rPr>
                <w:b/>
                <w:szCs w:val="22"/>
              </w:rPr>
              <w:t>Not known</w:t>
            </w:r>
          </w:p>
          <w:p w14:paraId="2F94C12C" w14:textId="77777777" w:rsidR="0014160B" w:rsidRPr="00672F96" w:rsidRDefault="00522617" w:rsidP="00672F96">
            <w:pPr>
              <w:spacing w:line="240" w:lineRule="auto"/>
              <w:rPr>
                <w:szCs w:val="22"/>
              </w:rPr>
            </w:pPr>
            <w:r w:rsidRPr="00672F96">
              <w:rPr>
                <w:szCs w:val="22"/>
              </w:rPr>
              <w:t>Agitation</w:t>
            </w:r>
          </w:p>
        </w:tc>
        <w:tc>
          <w:tcPr>
            <w:tcW w:w="3544" w:type="dxa"/>
          </w:tcPr>
          <w:p w14:paraId="2F94C12D" w14:textId="20639D27" w:rsidR="0014160B" w:rsidRPr="00672F96" w:rsidRDefault="00590039" w:rsidP="00672F96">
            <w:pPr>
              <w:rPr>
                <w:b/>
                <w:szCs w:val="22"/>
              </w:rPr>
            </w:pPr>
            <w:r>
              <w:rPr>
                <w:b/>
                <w:szCs w:val="22"/>
              </w:rPr>
              <w:t>Not known</w:t>
            </w:r>
          </w:p>
          <w:p w14:paraId="2F94C12E" w14:textId="77777777" w:rsidR="0014160B" w:rsidRPr="00672F96" w:rsidRDefault="00522617" w:rsidP="00672F96">
            <w:pPr>
              <w:rPr>
                <w:szCs w:val="22"/>
              </w:rPr>
            </w:pPr>
            <w:proofErr w:type="spellStart"/>
            <w:r w:rsidRPr="00672F96">
              <w:rPr>
                <w:szCs w:val="22"/>
              </w:rPr>
              <w:t>Confusional</w:t>
            </w:r>
            <w:proofErr w:type="spellEnd"/>
            <w:r w:rsidRPr="00672F96">
              <w:rPr>
                <w:szCs w:val="22"/>
              </w:rPr>
              <w:t xml:space="preserve"> state </w:t>
            </w:r>
          </w:p>
          <w:p w14:paraId="2F94C12F" w14:textId="77777777" w:rsidR="0014160B" w:rsidRPr="00672F96" w:rsidRDefault="0014160B" w:rsidP="00672F96">
            <w:pPr>
              <w:spacing w:line="240" w:lineRule="auto"/>
              <w:rPr>
                <w:b/>
                <w:szCs w:val="22"/>
              </w:rPr>
            </w:pPr>
          </w:p>
        </w:tc>
      </w:tr>
      <w:tr w:rsidR="00937EA8" w14:paraId="2F94C13F" w14:textId="77777777" w:rsidTr="0014160B">
        <w:trPr>
          <w:cantSplit/>
        </w:trPr>
        <w:tc>
          <w:tcPr>
            <w:tcW w:w="2235" w:type="dxa"/>
          </w:tcPr>
          <w:p w14:paraId="2F94C131" w14:textId="77777777" w:rsidR="0014160B" w:rsidRPr="00672F96" w:rsidRDefault="00522617" w:rsidP="00672F96">
            <w:pPr>
              <w:spacing w:line="240" w:lineRule="auto"/>
              <w:rPr>
                <w:b/>
                <w:szCs w:val="22"/>
              </w:rPr>
            </w:pPr>
            <w:r w:rsidRPr="00672F96">
              <w:rPr>
                <w:b/>
                <w:szCs w:val="22"/>
              </w:rPr>
              <w:t>Nervous system disorders</w:t>
            </w:r>
          </w:p>
        </w:tc>
        <w:tc>
          <w:tcPr>
            <w:tcW w:w="3543" w:type="dxa"/>
          </w:tcPr>
          <w:p w14:paraId="2F94C132" w14:textId="77777777" w:rsidR="0014160B" w:rsidRPr="00672F96" w:rsidRDefault="00522617" w:rsidP="00672F96">
            <w:pPr>
              <w:spacing w:line="240" w:lineRule="auto"/>
              <w:rPr>
                <w:b/>
                <w:szCs w:val="22"/>
              </w:rPr>
            </w:pPr>
            <w:r w:rsidRPr="00672F96">
              <w:rPr>
                <w:b/>
                <w:szCs w:val="22"/>
              </w:rPr>
              <w:t>Common</w:t>
            </w:r>
          </w:p>
          <w:p w14:paraId="2F94C133" w14:textId="77777777" w:rsidR="0014160B" w:rsidRPr="00672F96" w:rsidRDefault="00522617" w:rsidP="00672F96">
            <w:pPr>
              <w:spacing w:line="240" w:lineRule="auto"/>
              <w:rPr>
                <w:szCs w:val="22"/>
              </w:rPr>
            </w:pPr>
            <w:r w:rsidRPr="00672F96">
              <w:rPr>
                <w:szCs w:val="22"/>
              </w:rPr>
              <w:t>Headache, dizziness</w:t>
            </w:r>
          </w:p>
          <w:p w14:paraId="2F94C134" w14:textId="77777777" w:rsidR="0014160B" w:rsidRPr="00672F96" w:rsidRDefault="0014160B" w:rsidP="00672F96">
            <w:pPr>
              <w:spacing w:line="240" w:lineRule="auto"/>
              <w:rPr>
                <w:szCs w:val="22"/>
              </w:rPr>
            </w:pPr>
          </w:p>
          <w:p w14:paraId="2F94C135" w14:textId="77777777" w:rsidR="0014160B" w:rsidRPr="00672F96" w:rsidRDefault="00522617" w:rsidP="00672F96">
            <w:pPr>
              <w:spacing w:line="240" w:lineRule="auto"/>
              <w:rPr>
                <w:b/>
                <w:szCs w:val="22"/>
              </w:rPr>
            </w:pPr>
            <w:r w:rsidRPr="00672F96">
              <w:rPr>
                <w:b/>
                <w:szCs w:val="22"/>
              </w:rPr>
              <w:t>Uncommon</w:t>
            </w:r>
          </w:p>
          <w:p w14:paraId="2F94C136" w14:textId="0A184C8E" w:rsidR="0014160B" w:rsidRPr="00672F96" w:rsidRDefault="00522617" w:rsidP="00672F96">
            <w:pPr>
              <w:spacing w:line="240" w:lineRule="auto"/>
              <w:rPr>
                <w:szCs w:val="22"/>
              </w:rPr>
            </w:pPr>
            <w:r w:rsidRPr="00672F96">
              <w:rPr>
                <w:szCs w:val="22"/>
              </w:rPr>
              <w:t>Peripheral sensory neuropathy</w:t>
            </w:r>
            <w:r w:rsidR="00590039" w:rsidRPr="00672F96">
              <w:rPr>
                <w:szCs w:val="22"/>
              </w:rPr>
              <w:t>, intracranial haemorrhage</w:t>
            </w:r>
          </w:p>
          <w:p w14:paraId="2F94C137" w14:textId="77777777" w:rsidR="0014160B" w:rsidRPr="00672F96" w:rsidRDefault="0014160B" w:rsidP="00672F96">
            <w:pPr>
              <w:spacing w:line="240" w:lineRule="auto"/>
              <w:rPr>
                <w:szCs w:val="22"/>
              </w:rPr>
            </w:pPr>
          </w:p>
          <w:p w14:paraId="2F94C138" w14:textId="77777777" w:rsidR="0014160B" w:rsidRPr="00672F96" w:rsidRDefault="00522617" w:rsidP="00672F96">
            <w:pPr>
              <w:spacing w:line="240" w:lineRule="auto"/>
              <w:rPr>
                <w:b/>
                <w:szCs w:val="22"/>
              </w:rPr>
            </w:pPr>
            <w:r w:rsidRPr="00672F96">
              <w:rPr>
                <w:b/>
                <w:szCs w:val="22"/>
              </w:rPr>
              <w:t>Not known</w:t>
            </w:r>
          </w:p>
          <w:p w14:paraId="2F94C139" w14:textId="289097B8" w:rsidR="0014160B" w:rsidRPr="00672F96" w:rsidRDefault="00522617" w:rsidP="00590039">
            <w:pPr>
              <w:spacing w:line="240" w:lineRule="auto"/>
              <w:rPr>
                <w:szCs w:val="22"/>
              </w:rPr>
            </w:pPr>
            <w:r w:rsidRPr="00672F96">
              <w:rPr>
                <w:szCs w:val="22"/>
              </w:rPr>
              <w:t>Encephalopathy, extrapyramidal disorder, syncope, paraesthesia</w:t>
            </w:r>
          </w:p>
        </w:tc>
        <w:tc>
          <w:tcPr>
            <w:tcW w:w="3544" w:type="dxa"/>
          </w:tcPr>
          <w:p w14:paraId="2F94C13A" w14:textId="4E192A4F" w:rsidR="0014160B" w:rsidRPr="00672F96" w:rsidRDefault="00590039" w:rsidP="00672F96">
            <w:pPr>
              <w:rPr>
                <w:b/>
                <w:szCs w:val="22"/>
              </w:rPr>
            </w:pPr>
            <w:r>
              <w:rPr>
                <w:b/>
                <w:szCs w:val="22"/>
              </w:rPr>
              <w:t>Uncommon</w:t>
            </w:r>
          </w:p>
          <w:p w14:paraId="2F94C13B" w14:textId="367908F1" w:rsidR="0014160B" w:rsidRPr="00672F96" w:rsidRDefault="00522617" w:rsidP="00672F96">
            <w:pPr>
              <w:rPr>
                <w:szCs w:val="22"/>
              </w:rPr>
            </w:pPr>
            <w:r w:rsidRPr="00672F96">
              <w:rPr>
                <w:szCs w:val="22"/>
              </w:rPr>
              <w:t>Headache</w:t>
            </w:r>
          </w:p>
          <w:p w14:paraId="2F94C13C" w14:textId="77777777" w:rsidR="0014160B" w:rsidRPr="00672F96" w:rsidRDefault="0014160B" w:rsidP="00672F96">
            <w:pPr>
              <w:rPr>
                <w:szCs w:val="22"/>
              </w:rPr>
            </w:pPr>
          </w:p>
          <w:p w14:paraId="2F94C13D" w14:textId="77777777" w:rsidR="0014160B" w:rsidRPr="00672F96" w:rsidRDefault="00522617" w:rsidP="00672F96">
            <w:pPr>
              <w:rPr>
                <w:b/>
                <w:szCs w:val="22"/>
              </w:rPr>
            </w:pPr>
            <w:r w:rsidRPr="00672F96">
              <w:rPr>
                <w:b/>
                <w:szCs w:val="22"/>
              </w:rPr>
              <w:t>Not known</w:t>
            </w:r>
          </w:p>
          <w:p w14:paraId="2F94C13E" w14:textId="45A5D7FD" w:rsidR="0014160B" w:rsidRPr="00672F96" w:rsidRDefault="00522617" w:rsidP="00672F96">
            <w:pPr>
              <w:spacing w:line="240" w:lineRule="auto"/>
              <w:rPr>
                <w:b/>
                <w:szCs w:val="22"/>
              </w:rPr>
            </w:pPr>
            <w:r w:rsidRPr="00672F96">
              <w:rPr>
                <w:szCs w:val="22"/>
              </w:rPr>
              <w:t>Encephalopathy, intracranial haemorrhage, syncope</w:t>
            </w:r>
            <w:r w:rsidR="00590039" w:rsidRPr="00672F96">
              <w:rPr>
                <w:szCs w:val="22"/>
              </w:rPr>
              <w:t>, peripheral sensory neuropathy</w:t>
            </w:r>
          </w:p>
        </w:tc>
      </w:tr>
      <w:tr w:rsidR="00937EA8" w14:paraId="2F94C144" w14:textId="77777777" w:rsidTr="0014160B">
        <w:trPr>
          <w:cantSplit/>
        </w:trPr>
        <w:tc>
          <w:tcPr>
            <w:tcW w:w="2235" w:type="dxa"/>
          </w:tcPr>
          <w:p w14:paraId="2F94C140" w14:textId="77777777" w:rsidR="0014160B" w:rsidRPr="00672F96" w:rsidRDefault="00522617" w:rsidP="00672F96">
            <w:pPr>
              <w:spacing w:line="240" w:lineRule="auto"/>
              <w:rPr>
                <w:b/>
                <w:szCs w:val="22"/>
              </w:rPr>
            </w:pPr>
            <w:r w:rsidRPr="00672F96">
              <w:rPr>
                <w:b/>
                <w:szCs w:val="22"/>
              </w:rPr>
              <w:t>Eye disorders</w:t>
            </w:r>
          </w:p>
        </w:tc>
        <w:tc>
          <w:tcPr>
            <w:tcW w:w="3543" w:type="dxa"/>
          </w:tcPr>
          <w:p w14:paraId="2F94C141" w14:textId="77777777" w:rsidR="0014160B" w:rsidRPr="00672F96" w:rsidRDefault="00522617" w:rsidP="00672F96">
            <w:pPr>
              <w:spacing w:line="240" w:lineRule="auto"/>
              <w:rPr>
                <w:b/>
                <w:szCs w:val="22"/>
              </w:rPr>
            </w:pPr>
            <w:r w:rsidRPr="00672F96">
              <w:rPr>
                <w:b/>
                <w:szCs w:val="22"/>
              </w:rPr>
              <w:t>Not known</w:t>
            </w:r>
          </w:p>
          <w:p w14:paraId="2F94C142" w14:textId="77777777" w:rsidR="0014160B" w:rsidRPr="00672F96" w:rsidRDefault="00522617" w:rsidP="00672F96">
            <w:pPr>
              <w:spacing w:line="240" w:lineRule="auto"/>
              <w:rPr>
                <w:szCs w:val="22"/>
              </w:rPr>
            </w:pPr>
            <w:r w:rsidRPr="00672F96">
              <w:rPr>
                <w:szCs w:val="22"/>
              </w:rPr>
              <w:t>Dry eye</w:t>
            </w:r>
          </w:p>
        </w:tc>
        <w:tc>
          <w:tcPr>
            <w:tcW w:w="3544" w:type="dxa"/>
          </w:tcPr>
          <w:p w14:paraId="2F94C143" w14:textId="77777777" w:rsidR="0014160B" w:rsidRPr="00672F96" w:rsidRDefault="0014160B" w:rsidP="00672F96">
            <w:pPr>
              <w:spacing w:line="240" w:lineRule="auto"/>
              <w:rPr>
                <w:b/>
                <w:szCs w:val="22"/>
              </w:rPr>
            </w:pPr>
          </w:p>
        </w:tc>
      </w:tr>
      <w:tr w:rsidR="00590039" w14:paraId="28E2B0E7" w14:textId="77777777" w:rsidTr="0014160B">
        <w:trPr>
          <w:cantSplit/>
        </w:trPr>
        <w:tc>
          <w:tcPr>
            <w:tcW w:w="2235" w:type="dxa"/>
          </w:tcPr>
          <w:p w14:paraId="51BDB5B8" w14:textId="1BA95327" w:rsidR="00590039" w:rsidRPr="00672F96" w:rsidRDefault="00590039" w:rsidP="00672F96">
            <w:pPr>
              <w:spacing w:line="240" w:lineRule="auto"/>
              <w:rPr>
                <w:b/>
                <w:szCs w:val="22"/>
              </w:rPr>
            </w:pPr>
            <w:r>
              <w:rPr>
                <w:b/>
                <w:szCs w:val="22"/>
              </w:rPr>
              <w:t>Ear and labyrinth disorders</w:t>
            </w:r>
          </w:p>
        </w:tc>
        <w:tc>
          <w:tcPr>
            <w:tcW w:w="3543" w:type="dxa"/>
          </w:tcPr>
          <w:p w14:paraId="49E7D2B6" w14:textId="77777777" w:rsidR="00590039" w:rsidRDefault="00590039" w:rsidP="00672F96">
            <w:pPr>
              <w:spacing w:line="240" w:lineRule="auto"/>
              <w:rPr>
                <w:b/>
                <w:szCs w:val="22"/>
              </w:rPr>
            </w:pPr>
            <w:r>
              <w:rPr>
                <w:b/>
                <w:szCs w:val="22"/>
              </w:rPr>
              <w:t>Uncommon</w:t>
            </w:r>
          </w:p>
          <w:p w14:paraId="75F12BE2" w14:textId="4B77AAA1" w:rsidR="00590039" w:rsidRPr="00590039" w:rsidRDefault="00590039" w:rsidP="00672F96">
            <w:pPr>
              <w:spacing w:line="240" w:lineRule="auto"/>
              <w:rPr>
                <w:szCs w:val="22"/>
              </w:rPr>
            </w:pPr>
            <w:r>
              <w:rPr>
                <w:szCs w:val="22"/>
              </w:rPr>
              <w:t>Vertigo</w:t>
            </w:r>
          </w:p>
        </w:tc>
        <w:tc>
          <w:tcPr>
            <w:tcW w:w="3544" w:type="dxa"/>
          </w:tcPr>
          <w:p w14:paraId="402D675A" w14:textId="77777777" w:rsidR="00590039" w:rsidRPr="00672F96" w:rsidRDefault="00590039" w:rsidP="00672F96">
            <w:pPr>
              <w:spacing w:line="240" w:lineRule="auto"/>
              <w:rPr>
                <w:b/>
                <w:szCs w:val="22"/>
              </w:rPr>
            </w:pPr>
          </w:p>
        </w:tc>
      </w:tr>
      <w:tr w:rsidR="00937EA8" w14:paraId="2F94C150" w14:textId="77777777" w:rsidTr="0014160B">
        <w:trPr>
          <w:cantSplit/>
        </w:trPr>
        <w:tc>
          <w:tcPr>
            <w:tcW w:w="2235" w:type="dxa"/>
          </w:tcPr>
          <w:p w14:paraId="2F94C145" w14:textId="5D8B7E43" w:rsidR="0014160B" w:rsidRPr="00672F96" w:rsidRDefault="00522617" w:rsidP="00672F96">
            <w:pPr>
              <w:spacing w:line="240" w:lineRule="auto"/>
              <w:rPr>
                <w:b/>
                <w:szCs w:val="22"/>
              </w:rPr>
            </w:pPr>
            <w:r w:rsidRPr="00672F96">
              <w:rPr>
                <w:b/>
                <w:szCs w:val="22"/>
              </w:rPr>
              <w:t>Cardiac disorders*</w:t>
            </w:r>
          </w:p>
        </w:tc>
        <w:tc>
          <w:tcPr>
            <w:tcW w:w="3543" w:type="dxa"/>
          </w:tcPr>
          <w:p w14:paraId="2F94C146" w14:textId="77777777" w:rsidR="0014160B" w:rsidRPr="00672F96" w:rsidRDefault="00522617" w:rsidP="00672F96">
            <w:pPr>
              <w:spacing w:line="240" w:lineRule="auto"/>
              <w:rPr>
                <w:b/>
                <w:szCs w:val="22"/>
              </w:rPr>
            </w:pPr>
            <w:r w:rsidRPr="00672F96">
              <w:rPr>
                <w:b/>
                <w:szCs w:val="22"/>
              </w:rPr>
              <w:t>Common</w:t>
            </w:r>
          </w:p>
          <w:p w14:paraId="2F94C147" w14:textId="77777777" w:rsidR="0014160B" w:rsidRPr="00672F96" w:rsidRDefault="00522617" w:rsidP="00672F96">
            <w:pPr>
              <w:spacing w:line="240" w:lineRule="auto"/>
              <w:rPr>
                <w:szCs w:val="22"/>
              </w:rPr>
            </w:pPr>
            <w:r w:rsidRPr="00672F96">
              <w:rPr>
                <w:szCs w:val="22"/>
              </w:rPr>
              <w:t>Cardiac arrhythmias (</w:t>
            </w:r>
            <w:proofErr w:type="gramStart"/>
            <w:r w:rsidRPr="00672F96">
              <w:rPr>
                <w:szCs w:val="22"/>
              </w:rPr>
              <w:t>e.g.</w:t>
            </w:r>
            <w:proofErr w:type="gramEnd"/>
            <w:r w:rsidRPr="00672F96">
              <w:rPr>
                <w:szCs w:val="22"/>
              </w:rPr>
              <w:t xml:space="preserve"> atrial fibrillation, sinus </w:t>
            </w:r>
            <w:r w:rsidR="00733B31" w:rsidRPr="00672F96">
              <w:rPr>
                <w:szCs w:val="22"/>
              </w:rPr>
              <w:t>arrhythmia</w:t>
            </w:r>
            <w:r w:rsidRPr="00672F96">
              <w:rPr>
                <w:szCs w:val="22"/>
              </w:rPr>
              <w:t>)</w:t>
            </w:r>
          </w:p>
          <w:p w14:paraId="2F94C148" w14:textId="77777777" w:rsidR="0014160B" w:rsidRPr="00672F96" w:rsidRDefault="0014160B" w:rsidP="00672F96">
            <w:pPr>
              <w:spacing w:line="240" w:lineRule="auto"/>
              <w:rPr>
                <w:szCs w:val="22"/>
              </w:rPr>
            </w:pPr>
          </w:p>
          <w:p w14:paraId="2F94C149" w14:textId="77777777" w:rsidR="0014160B" w:rsidRPr="00672F96" w:rsidRDefault="00522617" w:rsidP="00672F96">
            <w:pPr>
              <w:spacing w:line="240" w:lineRule="auto"/>
              <w:rPr>
                <w:b/>
                <w:szCs w:val="22"/>
              </w:rPr>
            </w:pPr>
            <w:r w:rsidRPr="00672F96">
              <w:rPr>
                <w:b/>
                <w:szCs w:val="22"/>
              </w:rPr>
              <w:t>Not known</w:t>
            </w:r>
          </w:p>
          <w:p w14:paraId="2F94C14A" w14:textId="77777777" w:rsidR="0014160B" w:rsidRPr="00672F96" w:rsidRDefault="00522617" w:rsidP="00672F96">
            <w:pPr>
              <w:spacing w:line="240" w:lineRule="auto"/>
              <w:rPr>
                <w:szCs w:val="22"/>
              </w:rPr>
            </w:pPr>
            <w:r w:rsidRPr="00672F96">
              <w:rPr>
                <w:szCs w:val="22"/>
              </w:rPr>
              <w:t>Cardiac arrest, cardiac failure, myocardial infarction, pericardial effusion</w:t>
            </w:r>
          </w:p>
        </w:tc>
        <w:tc>
          <w:tcPr>
            <w:tcW w:w="3544" w:type="dxa"/>
          </w:tcPr>
          <w:p w14:paraId="2F94C14B" w14:textId="77777777" w:rsidR="0014160B" w:rsidRPr="00672F96" w:rsidRDefault="00522617" w:rsidP="00672F96">
            <w:pPr>
              <w:rPr>
                <w:b/>
                <w:szCs w:val="22"/>
              </w:rPr>
            </w:pPr>
            <w:r w:rsidRPr="00672F96">
              <w:rPr>
                <w:b/>
                <w:szCs w:val="22"/>
              </w:rPr>
              <w:t>Uncommon</w:t>
            </w:r>
          </w:p>
          <w:p w14:paraId="2F94C14C" w14:textId="77777777" w:rsidR="0014160B" w:rsidRPr="00672F96" w:rsidRDefault="00522617" w:rsidP="00672F96">
            <w:pPr>
              <w:rPr>
                <w:szCs w:val="22"/>
              </w:rPr>
            </w:pPr>
            <w:r w:rsidRPr="00672F96">
              <w:rPr>
                <w:szCs w:val="22"/>
              </w:rPr>
              <w:t>Cardiac arrhythmias (</w:t>
            </w:r>
            <w:proofErr w:type="gramStart"/>
            <w:r w:rsidRPr="00672F96">
              <w:rPr>
                <w:szCs w:val="22"/>
              </w:rPr>
              <w:t>e.g.</w:t>
            </w:r>
            <w:proofErr w:type="gramEnd"/>
            <w:r w:rsidRPr="00672F96">
              <w:rPr>
                <w:szCs w:val="22"/>
              </w:rPr>
              <w:t xml:space="preserve"> atrial fibrillation, sinus arrhythmia)</w:t>
            </w:r>
          </w:p>
          <w:p w14:paraId="2F94C14D" w14:textId="77777777" w:rsidR="0014160B" w:rsidRPr="00672F96" w:rsidRDefault="0014160B" w:rsidP="00672F96">
            <w:pPr>
              <w:rPr>
                <w:szCs w:val="22"/>
              </w:rPr>
            </w:pPr>
          </w:p>
          <w:p w14:paraId="2F94C14E" w14:textId="77777777" w:rsidR="0014160B" w:rsidRPr="00672F96" w:rsidRDefault="00522617" w:rsidP="00672F96">
            <w:pPr>
              <w:rPr>
                <w:b/>
                <w:szCs w:val="22"/>
              </w:rPr>
            </w:pPr>
            <w:r w:rsidRPr="00672F96">
              <w:rPr>
                <w:b/>
                <w:szCs w:val="22"/>
              </w:rPr>
              <w:t>Not known</w:t>
            </w:r>
          </w:p>
          <w:p w14:paraId="2F94C14F" w14:textId="77777777" w:rsidR="0014160B" w:rsidRPr="00672F96" w:rsidRDefault="00522617" w:rsidP="00672F96">
            <w:pPr>
              <w:spacing w:line="240" w:lineRule="auto"/>
              <w:rPr>
                <w:b/>
                <w:szCs w:val="22"/>
              </w:rPr>
            </w:pPr>
            <w:r w:rsidRPr="00672F96">
              <w:rPr>
                <w:szCs w:val="22"/>
              </w:rPr>
              <w:t>Cardiac arrest, myocardial infarction</w:t>
            </w:r>
          </w:p>
        </w:tc>
      </w:tr>
      <w:tr w:rsidR="00937EA8" w14:paraId="2F94C15F" w14:textId="77777777" w:rsidTr="0014160B">
        <w:trPr>
          <w:cantSplit/>
        </w:trPr>
        <w:tc>
          <w:tcPr>
            <w:tcW w:w="2235" w:type="dxa"/>
          </w:tcPr>
          <w:p w14:paraId="2F94C151" w14:textId="77777777" w:rsidR="0014160B" w:rsidRPr="00672F96" w:rsidRDefault="00522617" w:rsidP="00672F96">
            <w:pPr>
              <w:spacing w:line="240" w:lineRule="auto"/>
              <w:rPr>
                <w:b/>
                <w:szCs w:val="22"/>
              </w:rPr>
            </w:pPr>
            <w:r w:rsidRPr="00672F96">
              <w:rPr>
                <w:b/>
                <w:szCs w:val="22"/>
              </w:rPr>
              <w:t>Vascular disorders</w:t>
            </w:r>
          </w:p>
        </w:tc>
        <w:tc>
          <w:tcPr>
            <w:tcW w:w="3543" w:type="dxa"/>
          </w:tcPr>
          <w:p w14:paraId="2F94C152" w14:textId="77777777" w:rsidR="0014160B" w:rsidRPr="00672F96" w:rsidRDefault="00522617" w:rsidP="00672F96">
            <w:pPr>
              <w:spacing w:line="240" w:lineRule="auto"/>
              <w:rPr>
                <w:b/>
                <w:szCs w:val="22"/>
              </w:rPr>
            </w:pPr>
            <w:r w:rsidRPr="00672F96">
              <w:rPr>
                <w:b/>
                <w:szCs w:val="22"/>
              </w:rPr>
              <w:t>Common</w:t>
            </w:r>
          </w:p>
          <w:p w14:paraId="2F94C153" w14:textId="7F65EA37" w:rsidR="0014160B" w:rsidRPr="00672F96" w:rsidRDefault="00522617" w:rsidP="00672F96">
            <w:pPr>
              <w:spacing w:line="240" w:lineRule="auto"/>
              <w:rPr>
                <w:szCs w:val="22"/>
              </w:rPr>
            </w:pPr>
            <w:r w:rsidRPr="00672F96">
              <w:rPr>
                <w:szCs w:val="22"/>
              </w:rPr>
              <w:t>Hypertension</w:t>
            </w:r>
            <w:r w:rsidR="00194022" w:rsidRPr="00672F96">
              <w:rPr>
                <w:szCs w:val="22"/>
              </w:rPr>
              <w:t>, hypotension</w:t>
            </w:r>
            <w:r w:rsidRPr="00672F96">
              <w:rPr>
                <w:szCs w:val="22"/>
              </w:rPr>
              <w:t>, flushing</w:t>
            </w:r>
          </w:p>
          <w:p w14:paraId="2F94C154" w14:textId="77777777" w:rsidR="0014160B" w:rsidRPr="00672F96" w:rsidRDefault="0014160B" w:rsidP="00672F96">
            <w:pPr>
              <w:spacing w:line="240" w:lineRule="auto"/>
              <w:rPr>
                <w:szCs w:val="22"/>
              </w:rPr>
            </w:pPr>
          </w:p>
          <w:p w14:paraId="2F94C155" w14:textId="77777777" w:rsidR="0014160B" w:rsidRPr="00672F96" w:rsidRDefault="00522617" w:rsidP="00672F96">
            <w:pPr>
              <w:spacing w:line="240" w:lineRule="auto"/>
              <w:rPr>
                <w:b/>
                <w:szCs w:val="22"/>
              </w:rPr>
            </w:pPr>
            <w:r w:rsidRPr="00672F96">
              <w:rPr>
                <w:b/>
                <w:szCs w:val="22"/>
              </w:rPr>
              <w:t>Uncommon</w:t>
            </w:r>
          </w:p>
          <w:p w14:paraId="2F94C156" w14:textId="5C58E323" w:rsidR="0014160B" w:rsidRPr="00672F96" w:rsidRDefault="00522617" w:rsidP="00672F96">
            <w:pPr>
              <w:spacing w:line="240" w:lineRule="auto"/>
              <w:rPr>
                <w:szCs w:val="22"/>
              </w:rPr>
            </w:pPr>
            <w:r w:rsidRPr="00672F96">
              <w:rPr>
                <w:szCs w:val="22"/>
              </w:rPr>
              <w:t>Haematoma</w:t>
            </w:r>
          </w:p>
          <w:p w14:paraId="2F94C157" w14:textId="77777777" w:rsidR="0014160B" w:rsidRPr="00672F96" w:rsidRDefault="0014160B" w:rsidP="00672F96">
            <w:pPr>
              <w:spacing w:line="240" w:lineRule="auto"/>
              <w:rPr>
                <w:szCs w:val="22"/>
              </w:rPr>
            </w:pPr>
          </w:p>
          <w:p w14:paraId="2F94C158" w14:textId="77777777" w:rsidR="0014160B" w:rsidRPr="00672F96" w:rsidRDefault="00522617" w:rsidP="00672F96">
            <w:pPr>
              <w:spacing w:line="240" w:lineRule="auto"/>
              <w:rPr>
                <w:b/>
                <w:szCs w:val="22"/>
              </w:rPr>
            </w:pPr>
            <w:r w:rsidRPr="00672F96">
              <w:rPr>
                <w:b/>
                <w:szCs w:val="22"/>
              </w:rPr>
              <w:t>Not known</w:t>
            </w:r>
          </w:p>
          <w:p w14:paraId="2F94C159" w14:textId="77777777" w:rsidR="0014160B" w:rsidRPr="00672F96" w:rsidRDefault="00522617" w:rsidP="00672F96">
            <w:pPr>
              <w:spacing w:line="240" w:lineRule="auto"/>
              <w:rPr>
                <w:szCs w:val="22"/>
              </w:rPr>
            </w:pPr>
            <w:r w:rsidRPr="00672F96">
              <w:rPr>
                <w:szCs w:val="22"/>
              </w:rPr>
              <w:t>Embolism, haemorrhage</w:t>
            </w:r>
          </w:p>
        </w:tc>
        <w:tc>
          <w:tcPr>
            <w:tcW w:w="3544" w:type="dxa"/>
          </w:tcPr>
          <w:p w14:paraId="2F94C15A" w14:textId="77777777" w:rsidR="00733B31" w:rsidRPr="00672F96" w:rsidRDefault="00522617" w:rsidP="00672F96">
            <w:pPr>
              <w:rPr>
                <w:b/>
                <w:szCs w:val="22"/>
              </w:rPr>
            </w:pPr>
            <w:r w:rsidRPr="00672F96">
              <w:rPr>
                <w:b/>
                <w:szCs w:val="22"/>
              </w:rPr>
              <w:t>Uncommon</w:t>
            </w:r>
          </w:p>
          <w:p w14:paraId="2F94C15B" w14:textId="77777777" w:rsidR="00733B31" w:rsidRPr="00672F96" w:rsidRDefault="00522617" w:rsidP="00672F96">
            <w:pPr>
              <w:rPr>
                <w:szCs w:val="22"/>
              </w:rPr>
            </w:pPr>
            <w:r w:rsidRPr="00672F96">
              <w:rPr>
                <w:szCs w:val="22"/>
              </w:rPr>
              <w:t>Hypertension</w:t>
            </w:r>
          </w:p>
          <w:p w14:paraId="2F94C15C" w14:textId="77777777" w:rsidR="00733B31" w:rsidRPr="00672F96" w:rsidRDefault="00733B31" w:rsidP="00672F96">
            <w:pPr>
              <w:rPr>
                <w:szCs w:val="22"/>
              </w:rPr>
            </w:pPr>
          </w:p>
          <w:p w14:paraId="2F94C15D" w14:textId="77777777" w:rsidR="00733B31" w:rsidRPr="00672F96" w:rsidRDefault="00522617" w:rsidP="00672F96">
            <w:pPr>
              <w:rPr>
                <w:b/>
                <w:szCs w:val="22"/>
              </w:rPr>
            </w:pPr>
            <w:r w:rsidRPr="00672F96">
              <w:rPr>
                <w:b/>
                <w:szCs w:val="22"/>
              </w:rPr>
              <w:t>Not known</w:t>
            </w:r>
          </w:p>
          <w:p w14:paraId="2F94C15E" w14:textId="77777777" w:rsidR="0014160B" w:rsidRPr="00672F96" w:rsidRDefault="00522617" w:rsidP="00672F96">
            <w:pPr>
              <w:spacing w:line="240" w:lineRule="auto"/>
              <w:rPr>
                <w:b/>
                <w:szCs w:val="22"/>
              </w:rPr>
            </w:pPr>
            <w:r w:rsidRPr="00672F96">
              <w:rPr>
                <w:szCs w:val="22"/>
              </w:rPr>
              <w:t>Embolism, haemorrhage</w:t>
            </w:r>
          </w:p>
        </w:tc>
      </w:tr>
      <w:tr w:rsidR="00937EA8" w14:paraId="2F94C171" w14:textId="77777777" w:rsidTr="0014160B">
        <w:trPr>
          <w:cantSplit/>
        </w:trPr>
        <w:tc>
          <w:tcPr>
            <w:tcW w:w="2235" w:type="dxa"/>
          </w:tcPr>
          <w:p w14:paraId="2F94C160" w14:textId="77777777" w:rsidR="0014160B" w:rsidRPr="00672F96" w:rsidRDefault="00522617" w:rsidP="00672F96">
            <w:pPr>
              <w:spacing w:line="240" w:lineRule="auto"/>
              <w:rPr>
                <w:b/>
                <w:szCs w:val="22"/>
              </w:rPr>
            </w:pPr>
            <w:r w:rsidRPr="00672F96">
              <w:rPr>
                <w:b/>
                <w:szCs w:val="22"/>
              </w:rPr>
              <w:lastRenderedPageBreak/>
              <w:t xml:space="preserve">Respiratory, </w:t>
            </w:r>
            <w:proofErr w:type="gramStart"/>
            <w:r w:rsidRPr="00672F96">
              <w:rPr>
                <w:b/>
                <w:szCs w:val="22"/>
              </w:rPr>
              <w:t>thoracic</w:t>
            </w:r>
            <w:proofErr w:type="gramEnd"/>
            <w:r w:rsidRPr="00672F96">
              <w:rPr>
                <w:b/>
                <w:szCs w:val="22"/>
              </w:rPr>
              <w:t xml:space="preserve"> and mediastinal disorders</w:t>
            </w:r>
          </w:p>
        </w:tc>
        <w:tc>
          <w:tcPr>
            <w:tcW w:w="3543" w:type="dxa"/>
          </w:tcPr>
          <w:p w14:paraId="2F94C161" w14:textId="77777777" w:rsidR="0014160B" w:rsidRPr="00672F96" w:rsidRDefault="00522617" w:rsidP="00672F96">
            <w:pPr>
              <w:spacing w:line="240" w:lineRule="auto"/>
              <w:rPr>
                <w:b/>
                <w:szCs w:val="22"/>
              </w:rPr>
            </w:pPr>
            <w:r w:rsidRPr="00672F96">
              <w:rPr>
                <w:b/>
                <w:szCs w:val="22"/>
              </w:rPr>
              <w:t>Common</w:t>
            </w:r>
          </w:p>
          <w:p w14:paraId="2F94C162" w14:textId="77777777" w:rsidR="0014160B" w:rsidRPr="00672F96" w:rsidRDefault="00522617" w:rsidP="00672F96">
            <w:pPr>
              <w:spacing w:line="240" w:lineRule="auto"/>
              <w:rPr>
                <w:szCs w:val="22"/>
              </w:rPr>
            </w:pPr>
            <w:r w:rsidRPr="00672F96">
              <w:rPr>
                <w:szCs w:val="22"/>
              </w:rPr>
              <w:t>Dyspnoea, epistaxis</w:t>
            </w:r>
          </w:p>
          <w:p w14:paraId="2F94C163" w14:textId="77777777" w:rsidR="0014160B" w:rsidRPr="00672F96" w:rsidRDefault="0014160B" w:rsidP="00672F96">
            <w:pPr>
              <w:spacing w:line="240" w:lineRule="auto"/>
              <w:rPr>
                <w:szCs w:val="22"/>
              </w:rPr>
            </w:pPr>
          </w:p>
          <w:p w14:paraId="2F94C164" w14:textId="77777777" w:rsidR="0014160B" w:rsidRPr="00672F96" w:rsidRDefault="00522617" w:rsidP="00672F96">
            <w:pPr>
              <w:spacing w:line="240" w:lineRule="auto"/>
              <w:rPr>
                <w:b/>
                <w:szCs w:val="22"/>
              </w:rPr>
            </w:pPr>
            <w:r w:rsidRPr="00672F96">
              <w:rPr>
                <w:b/>
                <w:szCs w:val="22"/>
              </w:rPr>
              <w:t>Uncommon</w:t>
            </w:r>
          </w:p>
          <w:p w14:paraId="2F94C165" w14:textId="03D73F5D" w:rsidR="0014160B" w:rsidRPr="00672F96" w:rsidRDefault="00522617" w:rsidP="00672F96">
            <w:pPr>
              <w:spacing w:line="240" w:lineRule="auto"/>
              <w:rPr>
                <w:szCs w:val="22"/>
              </w:rPr>
            </w:pPr>
            <w:r w:rsidRPr="00672F96">
              <w:rPr>
                <w:szCs w:val="22"/>
              </w:rPr>
              <w:t xml:space="preserve">Pneumonitis, pleural effusion, pharyngeal or laryngeal inflammation, cough, laryngeal </w:t>
            </w:r>
            <w:r w:rsidR="00194022">
              <w:rPr>
                <w:szCs w:val="22"/>
              </w:rPr>
              <w:t xml:space="preserve">or oropharyngeal </w:t>
            </w:r>
            <w:r w:rsidRPr="00672F96">
              <w:rPr>
                <w:szCs w:val="22"/>
              </w:rPr>
              <w:t>pain, hiccups</w:t>
            </w:r>
          </w:p>
          <w:p w14:paraId="2F94C166" w14:textId="77777777" w:rsidR="0014160B" w:rsidRPr="00672F96" w:rsidRDefault="0014160B" w:rsidP="00672F96">
            <w:pPr>
              <w:spacing w:line="240" w:lineRule="auto"/>
              <w:rPr>
                <w:szCs w:val="22"/>
              </w:rPr>
            </w:pPr>
          </w:p>
          <w:p w14:paraId="2F94C167" w14:textId="77777777" w:rsidR="0014160B" w:rsidRPr="00672F96" w:rsidRDefault="00522617" w:rsidP="00672F96">
            <w:pPr>
              <w:spacing w:line="240" w:lineRule="auto"/>
              <w:rPr>
                <w:b/>
                <w:szCs w:val="22"/>
              </w:rPr>
            </w:pPr>
            <w:r w:rsidRPr="00672F96">
              <w:rPr>
                <w:b/>
                <w:szCs w:val="22"/>
              </w:rPr>
              <w:t>Not known</w:t>
            </w:r>
          </w:p>
          <w:p w14:paraId="2F94C168" w14:textId="590E8A88" w:rsidR="0014160B" w:rsidRPr="00672F96" w:rsidRDefault="00194022" w:rsidP="00672F96">
            <w:pPr>
              <w:spacing w:line="240" w:lineRule="auto"/>
              <w:rPr>
                <w:szCs w:val="22"/>
              </w:rPr>
            </w:pPr>
            <w:r>
              <w:rPr>
                <w:szCs w:val="22"/>
              </w:rPr>
              <w:t>H</w:t>
            </w:r>
            <w:r w:rsidR="00522617" w:rsidRPr="00672F96">
              <w:rPr>
                <w:szCs w:val="22"/>
              </w:rPr>
              <w:t>ypoxia, dysphonia</w:t>
            </w:r>
          </w:p>
        </w:tc>
        <w:tc>
          <w:tcPr>
            <w:tcW w:w="3544" w:type="dxa"/>
          </w:tcPr>
          <w:p w14:paraId="2F94C169" w14:textId="77777777" w:rsidR="00733B31" w:rsidRPr="00672F96" w:rsidRDefault="00522617" w:rsidP="00672F96">
            <w:pPr>
              <w:rPr>
                <w:b/>
                <w:szCs w:val="22"/>
              </w:rPr>
            </w:pPr>
            <w:r w:rsidRPr="00672F96">
              <w:rPr>
                <w:b/>
                <w:szCs w:val="22"/>
              </w:rPr>
              <w:t>Uncommon</w:t>
            </w:r>
          </w:p>
          <w:p w14:paraId="5AE9E8A4" w14:textId="61A7222A" w:rsidR="00194022" w:rsidRDefault="00522617" w:rsidP="00672F96">
            <w:pPr>
              <w:rPr>
                <w:szCs w:val="22"/>
              </w:rPr>
            </w:pPr>
            <w:r w:rsidRPr="00672F96">
              <w:rPr>
                <w:szCs w:val="22"/>
              </w:rPr>
              <w:t xml:space="preserve">Dyspnoea  </w:t>
            </w:r>
          </w:p>
          <w:p w14:paraId="5A8ED290" w14:textId="77777777" w:rsidR="00194022" w:rsidRPr="00672F96" w:rsidRDefault="00194022" w:rsidP="00672F96">
            <w:pPr>
              <w:rPr>
                <w:szCs w:val="22"/>
              </w:rPr>
            </w:pPr>
          </w:p>
          <w:p w14:paraId="2F94C16F" w14:textId="77777777" w:rsidR="00733B31" w:rsidRPr="00672F96" w:rsidRDefault="00522617" w:rsidP="00672F96">
            <w:pPr>
              <w:rPr>
                <w:b/>
                <w:szCs w:val="22"/>
              </w:rPr>
            </w:pPr>
            <w:r w:rsidRPr="00672F96">
              <w:rPr>
                <w:b/>
                <w:szCs w:val="22"/>
              </w:rPr>
              <w:t>Not known</w:t>
            </w:r>
          </w:p>
          <w:p w14:paraId="2F94C170" w14:textId="63D6895C" w:rsidR="0014160B" w:rsidRPr="00672F96" w:rsidRDefault="002571CA" w:rsidP="002571CA">
            <w:pPr>
              <w:rPr>
                <w:b/>
                <w:szCs w:val="22"/>
              </w:rPr>
            </w:pPr>
            <w:r>
              <w:rPr>
                <w:szCs w:val="22"/>
              </w:rPr>
              <w:t>P</w:t>
            </w:r>
            <w:r w:rsidRPr="00672F96">
              <w:rPr>
                <w:szCs w:val="22"/>
              </w:rPr>
              <w:t>neumonitis</w:t>
            </w:r>
            <w:r>
              <w:rPr>
                <w:szCs w:val="22"/>
              </w:rPr>
              <w:t>,</w:t>
            </w:r>
            <w:r w:rsidRPr="00672F96">
              <w:rPr>
                <w:szCs w:val="22"/>
              </w:rPr>
              <w:t xml:space="preserve"> </w:t>
            </w:r>
            <w:r>
              <w:rPr>
                <w:szCs w:val="22"/>
              </w:rPr>
              <w:t>h</w:t>
            </w:r>
            <w:r w:rsidR="00522617" w:rsidRPr="00672F96">
              <w:rPr>
                <w:szCs w:val="22"/>
              </w:rPr>
              <w:t>ypoxia</w:t>
            </w:r>
            <w:r w:rsidR="00194022" w:rsidRPr="00672F96">
              <w:rPr>
                <w:szCs w:val="22"/>
              </w:rPr>
              <w:t>, pleural effusion, pharyngeal inflammation</w:t>
            </w:r>
            <w:r w:rsidR="00194022">
              <w:rPr>
                <w:szCs w:val="22"/>
              </w:rPr>
              <w:t>, epistaxis</w:t>
            </w:r>
          </w:p>
        </w:tc>
      </w:tr>
      <w:tr w:rsidR="00937EA8" w14:paraId="2F94C186" w14:textId="77777777" w:rsidTr="0014160B">
        <w:trPr>
          <w:cantSplit/>
        </w:trPr>
        <w:tc>
          <w:tcPr>
            <w:tcW w:w="2235" w:type="dxa"/>
          </w:tcPr>
          <w:p w14:paraId="2F94C172" w14:textId="77777777" w:rsidR="0014160B" w:rsidRPr="00672F96" w:rsidRDefault="00522617" w:rsidP="00672F96">
            <w:pPr>
              <w:spacing w:line="240" w:lineRule="auto"/>
              <w:rPr>
                <w:b/>
                <w:szCs w:val="22"/>
              </w:rPr>
            </w:pPr>
            <w:r w:rsidRPr="00672F96">
              <w:rPr>
                <w:b/>
                <w:szCs w:val="22"/>
              </w:rPr>
              <w:t>Gastrointestinal disorders*</w:t>
            </w:r>
          </w:p>
        </w:tc>
        <w:tc>
          <w:tcPr>
            <w:tcW w:w="3543" w:type="dxa"/>
          </w:tcPr>
          <w:p w14:paraId="2F94C173" w14:textId="77777777" w:rsidR="0014160B" w:rsidRPr="00672F96" w:rsidRDefault="00522617" w:rsidP="00672F96">
            <w:pPr>
              <w:spacing w:line="240" w:lineRule="auto"/>
              <w:rPr>
                <w:b/>
                <w:szCs w:val="22"/>
              </w:rPr>
            </w:pPr>
            <w:r w:rsidRPr="00672F96">
              <w:rPr>
                <w:b/>
                <w:szCs w:val="22"/>
              </w:rPr>
              <w:t>Very common</w:t>
            </w:r>
          </w:p>
          <w:p w14:paraId="2F94C174" w14:textId="77777777" w:rsidR="0014160B" w:rsidRPr="00672F96" w:rsidRDefault="00522617" w:rsidP="00672F96">
            <w:pPr>
              <w:spacing w:line="240" w:lineRule="auto"/>
              <w:rPr>
                <w:szCs w:val="22"/>
              </w:rPr>
            </w:pPr>
            <w:r w:rsidRPr="00672F96">
              <w:rPr>
                <w:szCs w:val="22"/>
              </w:rPr>
              <w:t>Stomatitis/mucositis, diarrhoea, nausea, vomiting, abdominal pain</w:t>
            </w:r>
          </w:p>
          <w:p w14:paraId="2F94C175" w14:textId="77777777" w:rsidR="0014160B" w:rsidRPr="00672F96" w:rsidRDefault="0014160B" w:rsidP="00672F96">
            <w:pPr>
              <w:spacing w:line="240" w:lineRule="auto"/>
              <w:rPr>
                <w:szCs w:val="22"/>
              </w:rPr>
            </w:pPr>
          </w:p>
          <w:p w14:paraId="2F94C176" w14:textId="77777777" w:rsidR="0014160B" w:rsidRPr="00672F96" w:rsidRDefault="00522617" w:rsidP="00672F96">
            <w:pPr>
              <w:spacing w:line="240" w:lineRule="auto"/>
              <w:rPr>
                <w:b/>
                <w:szCs w:val="22"/>
              </w:rPr>
            </w:pPr>
            <w:r w:rsidRPr="00672F96">
              <w:rPr>
                <w:b/>
                <w:szCs w:val="22"/>
              </w:rPr>
              <w:t>Common</w:t>
            </w:r>
          </w:p>
          <w:p w14:paraId="2F94C177" w14:textId="77777777" w:rsidR="0014160B" w:rsidRPr="00672F96" w:rsidRDefault="00522617" w:rsidP="00672F96">
            <w:pPr>
              <w:spacing w:line="240" w:lineRule="auto"/>
              <w:rPr>
                <w:szCs w:val="22"/>
              </w:rPr>
            </w:pPr>
            <w:r w:rsidRPr="00672F96">
              <w:rPr>
                <w:szCs w:val="22"/>
              </w:rPr>
              <w:t>Oral pain, gastritis, dyspepsia, constipation, dysphagia</w:t>
            </w:r>
          </w:p>
          <w:p w14:paraId="2F94C178" w14:textId="77777777" w:rsidR="0014160B" w:rsidRPr="00672F96" w:rsidRDefault="0014160B" w:rsidP="00672F96">
            <w:pPr>
              <w:spacing w:line="240" w:lineRule="auto"/>
              <w:rPr>
                <w:szCs w:val="22"/>
              </w:rPr>
            </w:pPr>
          </w:p>
          <w:p w14:paraId="2F94C179" w14:textId="77777777" w:rsidR="0014160B" w:rsidRPr="00672F96" w:rsidRDefault="00522617" w:rsidP="00672F96">
            <w:pPr>
              <w:spacing w:line="240" w:lineRule="auto"/>
              <w:rPr>
                <w:b/>
                <w:szCs w:val="22"/>
              </w:rPr>
            </w:pPr>
            <w:r w:rsidRPr="00672F96">
              <w:rPr>
                <w:b/>
                <w:szCs w:val="22"/>
              </w:rPr>
              <w:t>Uncommon</w:t>
            </w:r>
          </w:p>
          <w:p w14:paraId="2F94C17A" w14:textId="69697785" w:rsidR="0014160B" w:rsidRPr="00672F96" w:rsidRDefault="00194022" w:rsidP="00672F96">
            <w:pPr>
              <w:spacing w:line="240" w:lineRule="auto"/>
              <w:rPr>
                <w:szCs w:val="22"/>
              </w:rPr>
            </w:pPr>
            <w:r>
              <w:rPr>
                <w:szCs w:val="22"/>
              </w:rPr>
              <w:t>Gastrointestinal haemorrhage, m</w:t>
            </w:r>
            <w:r w:rsidR="00522617" w:rsidRPr="00672F96">
              <w:rPr>
                <w:szCs w:val="22"/>
              </w:rPr>
              <w:t>outh haemorrhage, abdominal distension, oesophageal pain, dry mouth</w:t>
            </w:r>
          </w:p>
          <w:p w14:paraId="2F94C17B" w14:textId="77777777" w:rsidR="0014160B" w:rsidRPr="00672F96" w:rsidRDefault="0014160B" w:rsidP="00672F96">
            <w:pPr>
              <w:spacing w:line="240" w:lineRule="auto"/>
              <w:rPr>
                <w:szCs w:val="22"/>
              </w:rPr>
            </w:pPr>
          </w:p>
          <w:p w14:paraId="2F94C17C" w14:textId="77777777" w:rsidR="0014160B" w:rsidRPr="00672F96" w:rsidRDefault="00522617" w:rsidP="00672F96">
            <w:pPr>
              <w:spacing w:line="240" w:lineRule="auto"/>
              <w:rPr>
                <w:b/>
                <w:szCs w:val="22"/>
              </w:rPr>
            </w:pPr>
            <w:r w:rsidRPr="00672F96">
              <w:rPr>
                <w:b/>
                <w:szCs w:val="22"/>
              </w:rPr>
              <w:t>Not known</w:t>
            </w:r>
          </w:p>
          <w:p w14:paraId="2F94C17D" w14:textId="434862A9" w:rsidR="0014160B" w:rsidRPr="00672F96" w:rsidRDefault="00522617" w:rsidP="00194022">
            <w:pPr>
              <w:spacing w:line="240" w:lineRule="auto"/>
              <w:rPr>
                <w:szCs w:val="22"/>
              </w:rPr>
            </w:pPr>
            <w:r w:rsidRPr="00672F96">
              <w:rPr>
                <w:szCs w:val="22"/>
              </w:rPr>
              <w:t>Gastrointestinal</w:t>
            </w:r>
            <w:r w:rsidR="00194022">
              <w:rPr>
                <w:szCs w:val="22"/>
              </w:rPr>
              <w:t xml:space="preserve"> pain, </w:t>
            </w:r>
            <w:r w:rsidRPr="00672F96">
              <w:rPr>
                <w:szCs w:val="22"/>
              </w:rPr>
              <w:t>neutropenic colitis, oesophagitis, anal inflammation</w:t>
            </w:r>
          </w:p>
        </w:tc>
        <w:tc>
          <w:tcPr>
            <w:tcW w:w="3544" w:type="dxa"/>
          </w:tcPr>
          <w:p w14:paraId="2F94C17E" w14:textId="77777777" w:rsidR="00733B31" w:rsidRPr="00672F96" w:rsidRDefault="00522617" w:rsidP="00672F96">
            <w:pPr>
              <w:rPr>
                <w:b/>
                <w:szCs w:val="22"/>
              </w:rPr>
            </w:pPr>
            <w:r w:rsidRPr="00672F96">
              <w:rPr>
                <w:b/>
                <w:szCs w:val="22"/>
              </w:rPr>
              <w:t>Common</w:t>
            </w:r>
          </w:p>
          <w:p w14:paraId="2F94C17F" w14:textId="77777777" w:rsidR="00733B31" w:rsidRPr="00672F96" w:rsidRDefault="00522617" w:rsidP="00672F96">
            <w:pPr>
              <w:rPr>
                <w:szCs w:val="22"/>
              </w:rPr>
            </w:pPr>
            <w:r w:rsidRPr="00672F96">
              <w:rPr>
                <w:szCs w:val="22"/>
              </w:rPr>
              <w:t>Stomatitis/mucositis, diarrhoea, nausea, abdominal pain</w:t>
            </w:r>
          </w:p>
          <w:p w14:paraId="2F94C180" w14:textId="77777777" w:rsidR="00733B31" w:rsidRPr="00672F96" w:rsidRDefault="00522617" w:rsidP="00672F96">
            <w:pPr>
              <w:rPr>
                <w:szCs w:val="22"/>
              </w:rPr>
            </w:pPr>
            <w:r w:rsidRPr="00672F96">
              <w:rPr>
                <w:szCs w:val="22"/>
              </w:rPr>
              <w:t xml:space="preserve"> </w:t>
            </w:r>
          </w:p>
          <w:p w14:paraId="2F94C181" w14:textId="77777777" w:rsidR="00733B31" w:rsidRPr="00672F96" w:rsidRDefault="00522617" w:rsidP="00672F96">
            <w:pPr>
              <w:rPr>
                <w:b/>
                <w:szCs w:val="22"/>
              </w:rPr>
            </w:pPr>
            <w:r w:rsidRPr="00672F96">
              <w:rPr>
                <w:b/>
                <w:szCs w:val="22"/>
              </w:rPr>
              <w:t>Uncommon</w:t>
            </w:r>
          </w:p>
          <w:p w14:paraId="2F94C182" w14:textId="4AFDC955" w:rsidR="00786745" w:rsidRPr="00672F96" w:rsidRDefault="00522617" w:rsidP="00672F96">
            <w:pPr>
              <w:rPr>
                <w:szCs w:val="22"/>
              </w:rPr>
            </w:pPr>
            <w:r w:rsidRPr="00672F96">
              <w:rPr>
                <w:szCs w:val="22"/>
              </w:rPr>
              <w:t>Vomiting, oral pain, dysphagia, oesophageal or gastrointestinal pain</w:t>
            </w:r>
          </w:p>
          <w:p w14:paraId="2F94C183" w14:textId="77777777" w:rsidR="00786745" w:rsidRPr="00672F96" w:rsidRDefault="00786745" w:rsidP="00672F96">
            <w:pPr>
              <w:rPr>
                <w:szCs w:val="22"/>
              </w:rPr>
            </w:pPr>
          </w:p>
          <w:p w14:paraId="2F94C184" w14:textId="77777777" w:rsidR="00733B31" w:rsidRPr="00672F96" w:rsidRDefault="00522617" w:rsidP="00672F96">
            <w:pPr>
              <w:rPr>
                <w:b/>
                <w:szCs w:val="22"/>
              </w:rPr>
            </w:pPr>
            <w:r w:rsidRPr="00672F96">
              <w:rPr>
                <w:b/>
                <w:szCs w:val="22"/>
              </w:rPr>
              <w:t>Not known</w:t>
            </w:r>
          </w:p>
          <w:p w14:paraId="2F94C185" w14:textId="26D93D91" w:rsidR="0014160B" w:rsidRPr="00672F96" w:rsidRDefault="00522617" w:rsidP="00672F96">
            <w:pPr>
              <w:spacing w:line="240" w:lineRule="auto"/>
              <w:rPr>
                <w:b/>
                <w:szCs w:val="22"/>
              </w:rPr>
            </w:pPr>
            <w:r w:rsidRPr="00672F96">
              <w:rPr>
                <w:szCs w:val="22"/>
              </w:rPr>
              <w:t xml:space="preserve">Gastrointestinal haemorrhage, </w:t>
            </w:r>
            <w:r w:rsidR="00194022">
              <w:rPr>
                <w:szCs w:val="22"/>
              </w:rPr>
              <w:t xml:space="preserve">mouth haemorrhage, </w:t>
            </w:r>
            <w:r w:rsidRPr="00672F96">
              <w:rPr>
                <w:szCs w:val="22"/>
              </w:rPr>
              <w:t>neutropenic colitis</w:t>
            </w:r>
          </w:p>
        </w:tc>
      </w:tr>
      <w:tr w:rsidR="00937EA8" w14:paraId="2F94C192" w14:textId="77777777" w:rsidTr="0014160B">
        <w:trPr>
          <w:cantSplit/>
        </w:trPr>
        <w:tc>
          <w:tcPr>
            <w:tcW w:w="2235" w:type="dxa"/>
          </w:tcPr>
          <w:p w14:paraId="2F94C187" w14:textId="77777777" w:rsidR="0014160B" w:rsidRPr="00672F96" w:rsidRDefault="00522617" w:rsidP="00672F96">
            <w:pPr>
              <w:spacing w:line="240" w:lineRule="auto"/>
              <w:rPr>
                <w:b/>
                <w:szCs w:val="22"/>
              </w:rPr>
            </w:pPr>
            <w:r w:rsidRPr="00672F96">
              <w:rPr>
                <w:b/>
                <w:szCs w:val="22"/>
              </w:rPr>
              <w:t>Hepatobiliary disorders*</w:t>
            </w:r>
          </w:p>
        </w:tc>
        <w:tc>
          <w:tcPr>
            <w:tcW w:w="3543" w:type="dxa"/>
          </w:tcPr>
          <w:p w14:paraId="2F94C188" w14:textId="77777777" w:rsidR="0014160B" w:rsidRPr="00BC2D97" w:rsidRDefault="00522617" w:rsidP="00672F96">
            <w:pPr>
              <w:spacing w:line="240" w:lineRule="auto"/>
              <w:rPr>
                <w:b/>
                <w:szCs w:val="22"/>
              </w:rPr>
            </w:pPr>
            <w:r w:rsidRPr="00BC2D97">
              <w:rPr>
                <w:b/>
                <w:szCs w:val="22"/>
              </w:rPr>
              <w:t>Uncommon</w:t>
            </w:r>
          </w:p>
          <w:p w14:paraId="2F94C189" w14:textId="77777777" w:rsidR="0014160B" w:rsidRPr="00BC2D97" w:rsidRDefault="00522617" w:rsidP="00672F96">
            <w:pPr>
              <w:spacing w:line="240" w:lineRule="auto"/>
              <w:rPr>
                <w:szCs w:val="22"/>
              </w:rPr>
            </w:pPr>
            <w:proofErr w:type="spellStart"/>
            <w:r w:rsidRPr="00BC2D97">
              <w:rPr>
                <w:szCs w:val="22"/>
              </w:rPr>
              <w:t>Veno</w:t>
            </w:r>
            <w:proofErr w:type="spellEnd"/>
            <w:r w:rsidR="004C1158" w:rsidRPr="00BC2D97">
              <w:rPr>
                <w:szCs w:val="22"/>
              </w:rPr>
              <w:noBreakHyphen/>
            </w:r>
            <w:r w:rsidRPr="00BC2D97">
              <w:rPr>
                <w:szCs w:val="22"/>
              </w:rPr>
              <w:t xml:space="preserve">occlusive liver disease, hepatotoxicity </w:t>
            </w:r>
          </w:p>
          <w:p w14:paraId="2F94C18A" w14:textId="77777777" w:rsidR="0014160B" w:rsidRPr="00BC2D97" w:rsidRDefault="0014160B" w:rsidP="00672F96">
            <w:pPr>
              <w:spacing w:line="240" w:lineRule="auto"/>
              <w:rPr>
                <w:szCs w:val="22"/>
              </w:rPr>
            </w:pPr>
          </w:p>
          <w:p w14:paraId="2F94C18B" w14:textId="77777777" w:rsidR="0014160B" w:rsidRPr="00BC2D97" w:rsidRDefault="00522617" w:rsidP="00672F96">
            <w:pPr>
              <w:spacing w:line="240" w:lineRule="auto"/>
              <w:rPr>
                <w:b/>
                <w:szCs w:val="22"/>
              </w:rPr>
            </w:pPr>
            <w:r w:rsidRPr="00BC2D97">
              <w:rPr>
                <w:b/>
                <w:szCs w:val="22"/>
              </w:rPr>
              <w:t>Not known</w:t>
            </w:r>
          </w:p>
          <w:p w14:paraId="2F94C18C" w14:textId="77777777" w:rsidR="0014160B" w:rsidRPr="00BC2D97" w:rsidRDefault="00522617" w:rsidP="00672F96">
            <w:pPr>
              <w:spacing w:line="240" w:lineRule="auto"/>
              <w:rPr>
                <w:szCs w:val="22"/>
              </w:rPr>
            </w:pPr>
            <w:r w:rsidRPr="00BC2D97">
              <w:rPr>
                <w:szCs w:val="22"/>
              </w:rPr>
              <w:t xml:space="preserve">Hepatic failure, hepatomegaly, hepatic pain </w:t>
            </w:r>
          </w:p>
        </w:tc>
        <w:tc>
          <w:tcPr>
            <w:tcW w:w="3544" w:type="dxa"/>
          </w:tcPr>
          <w:p w14:paraId="2F94C190" w14:textId="77777777" w:rsidR="00733B31" w:rsidRPr="00BC2D97" w:rsidRDefault="00522617" w:rsidP="00672F96">
            <w:pPr>
              <w:rPr>
                <w:b/>
                <w:szCs w:val="22"/>
              </w:rPr>
            </w:pPr>
            <w:r w:rsidRPr="00BC2D97">
              <w:rPr>
                <w:b/>
                <w:szCs w:val="22"/>
              </w:rPr>
              <w:t>Not known</w:t>
            </w:r>
          </w:p>
          <w:p w14:paraId="763809F9" w14:textId="769B7410" w:rsidR="00194022" w:rsidRPr="00BC2D97" w:rsidRDefault="00522617" w:rsidP="00194022">
            <w:pPr>
              <w:rPr>
                <w:szCs w:val="22"/>
              </w:rPr>
            </w:pPr>
            <w:r w:rsidRPr="00BC2D97">
              <w:rPr>
                <w:szCs w:val="22"/>
              </w:rPr>
              <w:t>Hepatic failure</w:t>
            </w:r>
            <w:r w:rsidR="00194022">
              <w:rPr>
                <w:szCs w:val="22"/>
              </w:rPr>
              <w:t xml:space="preserve">, </w:t>
            </w:r>
            <w:proofErr w:type="spellStart"/>
            <w:r w:rsidR="00194022">
              <w:rPr>
                <w:szCs w:val="22"/>
              </w:rPr>
              <w:t>v</w:t>
            </w:r>
            <w:r w:rsidR="00194022" w:rsidRPr="00BC2D97">
              <w:rPr>
                <w:szCs w:val="22"/>
              </w:rPr>
              <w:t>eno</w:t>
            </w:r>
            <w:proofErr w:type="spellEnd"/>
            <w:r w:rsidR="00194022" w:rsidRPr="00BC2D97">
              <w:rPr>
                <w:szCs w:val="22"/>
              </w:rPr>
              <w:noBreakHyphen/>
              <w:t>occlusive liver disease, hepatotoxicity</w:t>
            </w:r>
          </w:p>
          <w:p w14:paraId="2F94C191" w14:textId="77777777" w:rsidR="0014160B" w:rsidRPr="00BC2D97" w:rsidRDefault="0014160B" w:rsidP="00672F96">
            <w:pPr>
              <w:spacing w:line="240" w:lineRule="auto"/>
              <w:rPr>
                <w:b/>
                <w:szCs w:val="22"/>
              </w:rPr>
            </w:pPr>
          </w:p>
        </w:tc>
      </w:tr>
      <w:tr w:rsidR="00937EA8" w14:paraId="2F94C1A1" w14:textId="77777777" w:rsidTr="0014160B">
        <w:trPr>
          <w:cantSplit/>
        </w:trPr>
        <w:tc>
          <w:tcPr>
            <w:tcW w:w="2235" w:type="dxa"/>
          </w:tcPr>
          <w:p w14:paraId="2F94C193" w14:textId="77777777" w:rsidR="0014160B" w:rsidRPr="00672F96" w:rsidRDefault="00522617" w:rsidP="00672F96">
            <w:pPr>
              <w:spacing w:line="240" w:lineRule="auto"/>
              <w:rPr>
                <w:b/>
                <w:szCs w:val="22"/>
              </w:rPr>
            </w:pPr>
            <w:r w:rsidRPr="00672F96">
              <w:rPr>
                <w:b/>
                <w:szCs w:val="22"/>
              </w:rPr>
              <w:t>Skin and subcutaneous tissue disorders</w:t>
            </w:r>
          </w:p>
        </w:tc>
        <w:tc>
          <w:tcPr>
            <w:tcW w:w="3543" w:type="dxa"/>
          </w:tcPr>
          <w:p w14:paraId="2F94C194" w14:textId="77777777" w:rsidR="0014160B" w:rsidRPr="00BC2D97" w:rsidRDefault="00522617" w:rsidP="00672F96">
            <w:pPr>
              <w:spacing w:line="240" w:lineRule="auto"/>
              <w:rPr>
                <w:b/>
                <w:szCs w:val="22"/>
              </w:rPr>
            </w:pPr>
            <w:r w:rsidRPr="00BC2D97">
              <w:rPr>
                <w:b/>
                <w:szCs w:val="22"/>
              </w:rPr>
              <w:t>Common</w:t>
            </w:r>
          </w:p>
          <w:p w14:paraId="2F94C195" w14:textId="77777777" w:rsidR="0014160B" w:rsidRPr="00BC2D97" w:rsidRDefault="00522617" w:rsidP="00672F96">
            <w:pPr>
              <w:spacing w:line="240" w:lineRule="auto"/>
              <w:rPr>
                <w:szCs w:val="22"/>
              </w:rPr>
            </w:pPr>
            <w:r w:rsidRPr="00BC2D97">
              <w:rPr>
                <w:szCs w:val="22"/>
              </w:rPr>
              <w:t>Maculo</w:t>
            </w:r>
            <w:r w:rsidR="004C1158" w:rsidRPr="00BC2D97">
              <w:rPr>
                <w:szCs w:val="22"/>
              </w:rPr>
              <w:noBreakHyphen/>
            </w:r>
            <w:r w:rsidRPr="00BC2D97">
              <w:rPr>
                <w:szCs w:val="22"/>
              </w:rPr>
              <w:t>papular rash, purpura, erythema, palmar</w:t>
            </w:r>
            <w:r w:rsidR="004C1158" w:rsidRPr="00BC2D97">
              <w:rPr>
                <w:szCs w:val="22"/>
              </w:rPr>
              <w:noBreakHyphen/>
            </w:r>
            <w:r w:rsidRPr="00BC2D97">
              <w:rPr>
                <w:szCs w:val="22"/>
              </w:rPr>
              <w:t xml:space="preserve">plantar </w:t>
            </w:r>
            <w:proofErr w:type="spellStart"/>
            <w:r w:rsidRPr="00BC2D97">
              <w:rPr>
                <w:szCs w:val="22"/>
              </w:rPr>
              <w:t>erythrodysaesthesia</w:t>
            </w:r>
            <w:proofErr w:type="spellEnd"/>
            <w:r w:rsidRPr="00BC2D97">
              <w:rPr>
                <w:szCs w:val="22"/>
              </w:rPr>
              <w:t xml:space="preserve"> syndrome, pruritus, alopecia </w:t>
            </w:r>
          </w:p>
          <w:p w14:paraId="2F94C196" w14:textId="77777777" w:rsidR="0014160B" w:rsidRPr="00BC2D97" w:rsidRDefault="0014160B" w:rsidP="00672F96">
            <w:pPr>
              <w:spacing w:line="240" w:lineRule="auto"/>
              <w:rPr>
                <w:szCs w:val="22"/>
              </w:rPr>
            </w:pPr>
          </w:p>
          <w:p w14:paraId="2F94C197" w14:textId="77777777" w:rsidR="0014160B" w:rsidRPr="00BC2D97" w:rsidRDefault="00522617" w:rsidP="00672F96">
            <w:pPr>
              <w:spacing w:line="240" w:lineRule="auto"/>
              <w:rPr>
                <w:b/>
                <w:szCs w:val="22"/>
              </w:rPr>
            </w:pPr>
            <w:r w:rsidRPr="00BC2D97">
              <w:rPr>
                <w:b/>
                <w:szCs w:val="22"/>
              </w:rPr>
              <w:t>Uncommon</w:t>
            </w:r>
          </w:p>
          <w:p w14:paraId="2F94C198" w14:textId="78C0FDFE" w:rsidR="0014160B" w:rsidRPr="00BC2D97" w:rsidRDefault="00522617" w:rsidP="00672F96">
            <w:pPr>
              <w:spacing w:line="240" w:lineRule="auto"/>
              <w:rPr>
                <w:szCs w:val="22"/>
              </w:rPr>
            </w:pPr>
            <w:r w:rsidRPr="00BC2D97">
              <w:rPr>
                <w:szCs w:val="22"/>
              </w:rPr>
              <w:t>Erythema multiforme, dermatitis acneiform, rash, hyperhidrosis</w:t>
            </w:r>
            <w:r w:rsidR="00194022" w:rsidRPr="00BC2D97">
              <w:rPr>
                <w:szCs w:val="22"/>
              </w:rPr>
              <w:t>, dry skin</w:t>
            </w:r>
          </w:p>
          <w:p w14:paraId="2F94C199" w14:textId="77777777" w:rsidR="0014160B" w:rsidRPr="00BC2D97" w:rsidRDefault="0014160B" w:rsidP="00672F96">
            <w:pPr>
              <w:spacing w:line="240" w:lineRule="auto"/>
              <w:rPr>
                <w:szCs w:val="22"/>
              </w:rPr>
            </w:pPr>
          </w:p>
          <w:p w14:paraId="2F94C19A" w14:textId="77777777" w:rsidR="0014160B" w:rsidRPr="00BC2D97" w:rsidRDefault="00522617" w:rsidP="00672F96">
            <w:pPr>
              <w:spacing w:line="240" w:lineRule="auto"/>
              <w:rPr>
                <w:b/>
                <w:szCs w:val="22"/>
              </w:rPr>
            </w:pPr>
            <w:r w:rsidRPr="00BC2D97">
              <w:rPr>
                <w:b/>
                <w:szCs w:val="22"/>
              </w:rPr>
              <w:t>Not known</w:t>
            </w:r>
          </w:p>
          <w:p w14:paraId="2F94C19B" w14:textId="3A94C902" w:rsidR="0014160B" w:rsidRPr="00BC2D97" w:rsidRDefault="00522617" w:rsidP="00194022">
            <w:pPr>
              <w:spacing w:line="240" w:lineRule="auto"/>
              <w:rPr>
                <w:szCs w:val="22"/>
              </w:rPr>
            </w:pPr>
            <w:r w:rsidRPr="00BC2D97">
              <w:rPr>
                <w:szCs w:val="22"/>
              </w:rPr>
              <w:t xml:space="preserve">Generalised erythema, dermatitis, skin necrosis or ulcer, skin </w:t>
            </w:r>
            <w:proofErr w:type="spellStart"/>
            <w:r w:rsidRPr="00BC2D97">
              <w:rPr>
                <w:szCs w:val="22"/>
              </w:rPr>
              <w:t>hyperpigmentation</w:t>
            </w:r>
            <w:r w:rsidRPr="00BC2D97">
              <w:rPr>
                <w:szCs w:val="22"/>
                <w:vertAlign w:val="superscript"/>
              </w:rPr>
              <w:t>d</w:t>
            </w:r>
            <w:proofErr w:type="spellEnd"/>
          </w:p>
        </w:tc>
        <w:tc>
          <w:tcPr>
            <w:tcW w:w="3544" w:type="dxa"/>
          </w:tcPr>
          <w:p w14:paraId="2F94C19C" w14:textId="77777777" w:rsidR="00733B31" w:rsidRPr="00BC2D97" w:rsidRDefault="00522617" w:rsidP="00672F96">
            <w:pPr>
              <w:rPr>
                <w:b/>
                <w:szCs w:val="22"/>
              </w:rPr>
            </w:pPr>
            <w:r w:rsidRPr="00BC2D97">
              <w:rPr>
                <w:b/>
                <w:szCs w:val="22"/>
              </w:rPr>
              <w:t>Uncommon</w:t>
            </w:r>
          </w:p>
          <w:p w14:paraId="2F94C19D" w14:textId="78F0214C" w:rsidR="00786745" w:rsidRPr="00BC2D97" w:rsidRDefault="00522617" w:rsidP="00672F96">
            <w:pPr>
              <w:rPr>
                <w:szCs w:val="22"/>
              </w:rPr>
            </w:pPr>
            <w:r w:rsidRPr="00BC2D97">
              <w:rPr>
                <w:szCs w:val="22"/>
              </w:rPr>
              <w:t>Maculo</w:t>
            </w:r>
            <w:r w:rsidR="004C1158" w:rsidRPr="00BC2D97">
              <w:rPr>
                <w:szCs w:val="22"/>
              </w:rPr>
              <w:noBreakHyphen/>
            </w:r>
            <w:r w:rsidRPr="00BC2D97">
              <w:rPr>
                <w:szCs w:val="22"/>
              </w:rPr>
              <w:t>papular rash</w:t>
            </w:r>
          </w:p>
          <w:p w14:paraId="2F94C19E" w14:textId="77777777" w:rsidR="00786745" w:rsidRPr="00BC2D97" w:rsidRDefault="00786745" w:rsidP="00672F96">
            <w:pPr>
              <w:rPr>
                <w:szCs w:val="22"/>
              </w:rPr>
            </w:pPr>
          </w:p>
          <w:p w14:paraId="2F94C19F" w14:textId="77777777" w:rsidR="00733B31" w:rsidRPr="00BC2D97" w:rsidRDefault="00522617" w:rsidP="00672F96">
            <w:pPr>
              <w:rPr>
                <w:b/>
                <w:szCs w:val="22"/>
              </w:rPr>
            </w:pPr>
            <w:r w:rsidRPr="00BC2D97">
              <w:rPr>
                <w:b/>
                <w:szCs w:val="22"/>
              </w:rPr>
              <w:t>Not known</w:t>
            </w:r>
          </w:p>
          <w:p w14:paraId="2F94C1A0" w14:textId="3C538C5C" w:rsidR="0014160B" w:rsidRPr="00BC2D97" w:rsidRDefault="00522617" w:rsidP="00672F96">
            <w:pPr>
              <w:spacing w:line="240" w:lineRule="auto"/>
              <w:rPr>
                <w:b/>
                <w:szCs w:val="22"/>
              </w:rPr>
            </w:pPr>
            <w:r w:rsidRPr="00BC2D97">
              <w:rPr>
                <w:szCs w:val="22"/>
              </w:rPr>
              <w:t>Skin necrosis</w:t>
            </w:r>
            <w:r w:rsidR="00194022" w:rsidRPr="00BC2D97">
              <w:rPr>
                <w:szCs w:val="22"/>
              </w:rPr>
              <w:t>, purpura, erythema</w:t>
            </w:r>
          </w:p>
        </w:tc>
      </w:tr>
      <w:tr w:rsidR="00937EA8" w14:paraId="2F94C1AA" w14:textId="77777777" w:rsidTr="0014160B">
        <w:trPr>
          <w:cantSplit/>
        </w:trPr>
        <w:tc>
          <w:tcPr>
            <w:tcW w:w="2235" w:type="dxa"/>
          </w:tcPr>
          <w:p w14:paraId="2F94C1A2" w14:textId="77777777" w:rsidR="0014160B" w:rsidRPr="00672F96" w:rsidRDefault="00522617" w:rsidP="00672F96">
            <w:pPr>
              <w:spacing w:line="240" w:lineRule="auto"/>
              <w:rPr>
                <w:b/>
                <w:szCs w:val="22"/>
              </w:rPr>
            </w:pPr>
            <w:r w:rsidRPr="00672F96">
              <w:rPr>
                <w:b/>
                <w:szCs w:val="22"/>
              </w:rPr>
              <w:lastRenderedPageBreak/>
              <w:t>Musculoskeletal and connective tissue disorders</w:t>
            </w:r>
          </w:p>
        </w:tc>
        <w:tc>
          <w:tcPr>
            <w:tcW w:w="3543" w:type="dxa"/>
          </w:tcPr>
          <w:p w14:paraId="2F94C1A3" w14:textId="77777777" w:rsidR="0014160B" w:rsidRPr="00672F96" w:rsidRDefault="00522617" w:rsidP="00672F96">
            <w:pPr>
              <w:spacing w:line="240" w:lineRule="auto"/>
              <w:rPr>
                <w:b/>
                <w:szCs w:val="22"/>
              </w:rPr>
            </w:pPr>
            <w:r w:rsidRPr="00672F96">
              <w:rPr>
                <w:b/>
                <w:szCs w:val="22"/>
              </w:rPr>
              <w:t>Common</w:t>
            </w:r>
          </w:p>
          <w:p w14:paraId="2F94C1A4" w14:textId="2F3A5D11" w:rsidR="00786745" w:rsidRPr="00672F96" w:rsidRDefault="00522617" w:rsidP="00672F96">
            <w:pPr>
              <w:spacing w:line="240" w:lineRule="auto"/>
              <w:rPr>
                <w:szCs w:val="22"/>
              </w:rPr>
            </w:pPr>
            <w:r w:rsidRPr="00672F96">
              <w:rPr>
                <w:szCs w:val="22"/>
              </w:rPr>
              <w:t>Pain in extremit</w:t>
            </w:r>
            <w:r w:rsidR="001D0F1A">
              <w:rPr>
                <w:szCs w:val="22"/>
              </w:rPr>
              <w:t>y</w:t>
            </w:r>
            <w:r w:rsidRPr="00672F96">
              <w:rPr>
                <w:szCs w:val="22"/>
              </w:rPr>
              <w:t>, back pain, bone pain, arthralgia, myalgia</w:t>
            </w:r>
          </w:p>
          <w:p w14:paraId="2F94C1A5" w14:textId="77777777" w:rsidR="00786745" w:rsidRPr="00672F96" w:rsidRDefault="00786745" w:rsidP="00672F96">
            <w:pPr>
              <w:spacing w:line="240" w:lineRule="auto"/>
              <w:rPr>
                <w:szCs w:val="22"/>
              </w:rPr>
            </w:pPr>
          </w:p>
          <w:p w14:paraId="2F94C1A6" w14:textId="6D1123C6" w:rsidR="0014160B" w:rsidRPr="00672F96" w:rsidRDefault="001D0F1A" w:rsidP="00672F96">
            <w:pPr>
              <w:spacing w:line="240" w:lineRule="auto"/>
              <w:rPr>
                <w:szCs w:val="22"/>
              </w:rPr>
            </w:pPr>
            <w:r>
              <w:rPr>
                <w:b/>
                <w:szCs w:val="22"/>
              </w:rPr>
              <w:t>Uncommon</w:t>
            </w:r>
          </w:p>
          <w:p w14:paraId="2F94C1A7" w14:textId="77777777" w:rsidR="0014160B" w:rsidRPr="00672F96" w:rsidRDefault="00522617" w:rsidP="00672F96">
            <w:pPr>
              <w:spacing w:line="240" w:lineRule="auto"/>
              <w:rPr>
                <w:szCs w:val="22"/>
              </w:rPr>
            </w:pPr>
            <w:r w:rsidRPr="00672F96">
              <w:rPr>
                <w:szCs w:val="22"/>
              </w:rPr>
              <w:t>Muscular weakness</w:t>
            </w:r>
          </w:p>
        </w:tc>
        <w:tc>
          <w:tcPr>
            <w:tcW w:w="3544" w:type="dxa"/>
          </w:tcPr>
          <w:p w14:paraId="2F94C1A8" w14:textId="45965186" w:rsidR="00733B31" w:rsidRDefault="001D0F1A" w:rsidP="00672F96">
            <w:pPr>
              <w:rPr>
                <w:b/>
                <w:szCs w:val="22"/>
              </w:rPr>
            </w:pPr>
            <w:r>
              <w:rPr>
                <w:b/>
                <w:szCs w:val="22"/>
              </w:rPr>
              <w:t>Not known</w:t>
            </w:r>
          </w:p>
          <w:p w14:paraId="2F94C1A9" w14:textId="32C25F6B" w:rsidR="0014160B" w:rsidRPr="00672F96" w:rsidRDefault="00522617" w:rsidP="001D0F1A">
            <w:pPr>
              <w:spacing w:line="240" w:lineRule="auto"/>
              <w:rPr>
                <w:b/>
                <w:szCs w:val="22"/>
              </w:rPr>
            </w:pPr>
            <w:r w:rsidRPr="00672F96">
              <w:rPr>
                <w:szCs w:val="22"/>
              </w:rPr>
              <w:t>Pain in extremit</w:t>
            </w:r>
            <w:r w:rsidR="001D0F1A">
              <w:rPr>
                <w:szCs w:val="22"/>
              </w:rPr>
              <w:t>y</w:t>
            </w:r>
            <w:r w:rsidRPr="00672F96">
              <w:rPr>
                <w:szCs w:val="22"/>
              </w:rPr>
              <w:t>, bone pain</w:t>
            </w:r>
          </w:p>
        </w:tc>
      </w:tr>
      <w:tr w:rsidR="00937EA8" w14:paraId="2F94C1B3" w14:textId="77777777" w:rsidTr="0014160B">
        <w:trPr>
          <w:cantSplit/>
        </w:trPr>
        <w:tc>
          <w:tcPr>
            <w:tcW w:w="2235" w:type="dxa"/>
          </w:tcPr>
          <w:p w14:paraId="2F94C1AB" w14:textId="6ACEA14A" w:rsidR="0014160B" w:rsidRPr="00672F96" w:rsidRDefault="00522617" w:rsidP="00672F96">
            <w:pPr>
              <w:spacing w:line="240" w:lineRule="auto"/>
              <w:rPr>
                <w:b/>
                <w:szCs w:val="22"/>
              </w:rPr>
            </w:pPr>
            <w:r w:rsidRPr="00672F96">
              <w:rPr>
                <w:b/>
                <w:szCs w:val="22"/>
              </w:rPr>
              <w:t>Renal and urinary disorders</w:t>
            </w:r>
          </w:p>
        </w:tc>
        <w:tc>
          <w:tcPr>
            <w:tcW w:w="3543" w:type="dxa"/>
          </w:tcPr>
          <w:p w14:paraId="2F94C1AC" w14:textId="77777777" w:rsidR="0014160B" w:rsidRPr="00672F96" w:rsidRDefault="00522617" w:rsidP="00672F96">
            <w:pPr>
              <w:spacing w:line="240" w:lineRule="auto"/>
              <w:rPr>
                <w:b/>
                <w:szCs w:val="22"/>
              </w:rPr>
            </w:pPr>
            <w:r w:rsidRPr="00672F96">
              <w:rPr>
                <w:b/>
                <w:szCs w:val="22"/>
              </w:rPr>
              <w:t>Common</w:t>
            </w:r>
          </w:p>
          <w:p w14:paraId="2F94C1AD" w14:textId="77777777" w:rsidR="0014160B" w:rsidRPr="00672F96" w:rsidRDefault="00522617" w:rsidP="00672F96">
            <w:pPr>
              <w:spacing w:line="240" w:lineRule="auto"/>
              <w:rPr>
                <w:szCs w:val="22"/>
              </w:rPr>
            </w:pPr>
            <w:r w:rsidRPr="00672F96">
              <w:rPr>
                <w:szCs w:val="22"/>
              </w:rPr>
              <w:t>Acute kidney injury, haematuria</w:t>
            </w:r>
          </w:p>
          <w:p w14:paraId="2F94C1AE" w14:textId="77777777" w:rsidR="0014160B" w:rsidRDefault="0014160B" w:rsidP="00672F96">
            <w:pPr>
              <w:spacing w:line="240" w:lineRule="auto"/>
              <w:rPr>
                <w:szCs w:val="22"/>
              </w:rPr>
            </w:pPr>
          </w:p>
          <w:p w14:paraId="56E63E77" w14:textId="77777777" w:rsidR="001D0F1A" w:rsidRPr="001D0F1A" w:rsidRDefault="001D0F1A" w:rsidP="00672F96">
            <w:pPr>
              <w:spacing w:line="240" w:lineRule="auto"/>
              <w:rPr>
                <w:b/>
                <w:szCs w:val="22"/>
              </w:rPr>
            </w:pPr>
            <w:r w:rsidRPr="001D0F1A">
              <w:rPr>
                <w:b/>
                <w:szCs w:val="22"/>
              </w:rPr>
              <w:t>Uncommon</w:t>
            </w:r>
          </w:p>
          <w:p w14:paraId="59F7319F" w14:textId="77777777" w:rsidR="001D0F1A" w:rsidRDefault="001D0F1A" w:rsidP="00672F96">
            <w:pPr>
              <w:spacing w:line="240" w:lineRule="auto"/>
              <w:rPr>
                <w:szCs w:val="22"/>
              </w:rPr>
            </w:pPr>
            <w:r>
              <w:rPr>
                <w:szCs w:val="22"/>
              </w:rPr>
              <w:t xml:space="preserve">Urinary tract pain </w:t>
            </w:r>
          </w:p>
          <w:p w14:paraId="1CE27B0A" w14:textId="77777777" w:rsidR="001D0F1A" w:rsidRPr="00672F96" w:rsidRDefault="001D0F1A" w:rsidP="00672F96">
            <w:pPr>
              <w:spacing w:line="240" w:lineRule="auto"/>
              <w:rPr>
                <w:szCs w:val="22"/>
              </w:rPr>
            </w:pPr>
          </w:p>
          <w:p w14:paraId="2F94C1AF" w14:textId="77777777" w:rsidR="0014160B" w:rsidRPr="00672F96" w:rsidRDefault="00522617" w:rsidP="00672F96">
            <w:pPr>
              <w:spacing w:line="240" w:lineRule="auto"/>
              <w:rPr>
                <w:b/>
                <w:szCs w:val="22"/>
              </w:rPr>
            </w:pPr>
            <w:r w:rsidRPr="00672F96">
              <w:rPr>
                <w:b/>
                <w:szCs w:val="22"/>
              </w:rPr>
              <w:t>Not known</w:t>
            </w:r>
          </w:p>
          <w:p w14:paraId="2F94C1B0" w14:textId="33DD0D4B" w:rsidR="004150BB" w:rsidRPr="00672F96" w:rsidRDefault="00522617" w:rsidP="00672F96">
            <w:pPr>
              <w:spacing w:line="240" w:lineRule="auto"/>
              <w:rPr>
                <w:szCs w:val="22"/>
              </w:rPr>
            </w:pPr>
            <w:r w:rsidRPr="00672F96">
              <w:rPr>
                <w:szCs w:val="22"/>
              </w:rPr>
              <w:t xml:space="preserve">Renal failure, </w:t>
            </w:r>
            <w:r w:rsidR="001D0F1A">
              <w:rPr>
                <w:szCs w:val="22"/>
              </w:rPr>
              <w:t xml:space="preserve">haemorrhagic </w:t>
            </w:r>
            <w:proofErr w:type="spellStart"/>
            <w:r w:rsidRPr="00672F96">
              <w:rPr>
                <w:szCs w:val="22"/>
              </w:rPr>
              <w:t>cystitis</w:t>
            </w:r>
            <w:r w:rsidRPr="00672F96">
              <w:rPr>
                <w:szCs w:val="22"/>
                <w:vertAlign w:val="superscript"/>
              </w:rPr>
              <w:t>c</w:t>
            </w:r>
            <w:proofErr w:type="spellEnd"/>
            <w:r w:rsidRPr="00672F96">
              <w:rPr>
                <w:szCs w:val="22"/>
              </w:rPr>
              <w:t>, dysuria</w:t>
            </w:r>
          </w:p>
        </w:tc>
        <w:tc>
          <w:tcPr>
            <w:tcW w:w="3544" w:type="dxa"/>
          </w:tcPr>
          <w:p w14:paraId="2F94C1B1" w14:textId="65D34843" w:rsidR="00733B31" w:rsidRPr="00672F96" w:rsidRDefault="001D0F1A" w:rsidP="00672F96">
            <w:pPr>
              <w:rPr>
                <w:b/>
                <w:szCs w:val="22"/>
              </w:rPr>
            </w:pPr>
            <w:r>
              <w:rPr>
                <w:b/>
                <w:szCs w:val="22"/>
              </w:rPr>
              <w:t>Common</w:t>
            </w:r>
          </w:p>
          <w:p w14:paraId="2E5EED77" w14:textId="77777777" w:rsidR="001D0F1A" w:rsidRDefault="00522617" w:rsidP="00672F96">
            <w:pPr>
              <w:spacing w:line="240" w:lineRule="auto"/>
              <w:rPr>
                <w:szCs w:val="22"/>
              </w:rPr>
            </w:pPr>
            <w:r w:rsidRPr="00672F96">
              <w:rPr>
                <w:szCs w:val="22"/>
              </w:rPr>
              <w:t>Acute kidney injury</w:t>
            </w:r>
          </w:p>
          <w:p w14:paraId="537F4E69" w14:textId="77777777" w:rsidR="001D0F1A" w:rsidRDefault="001D0F1A" w:rsidP="00672F96">
            <w:pPr>
              <w:spacing w:line="240" w:lineRule="auto"/>
              <w:rPr>
                <w:szCs w:val="22"/>
              </w:rPr>
            </w:pPr>
          </w:p>
          <w:p w14:paraId="55EFE4DD" w14:textId="77777777" w:rsidR="001D0F1A" w:rsidRPr="001D0F1A" w:rsidRDefault="001D0F1A" w:rsidP="00672F96">
            <w:pPr>
              <w:spacing w:line="240" w:lineRule="auto"/>
              <w:rPr>
                <w:b/>
                <w:szCs w:val="22"/>
              </w:rPr>
            </w:pPr>
            <w:r w:rsidRPr="001D0F1A">
              <w:rPr>
                <w:b/>
                <w:szCs w:val="22"/>
              </w:rPr>
              <w:t>Not known</w:t>
            </w:r>
          </w:p>
          <w:p w14:paraId="2F94C1B2" w14:textId="75881B9C" w:rsidR="0014160B" w:rsidRPr="00672F96" w:rsidRDefault="001D0F1A" w:rsidP="001D0F1A">
            <w:pPr>
              <w:spacing w:line="240" w:lineRule="auto"/>
              <w:rPr>
                <w:b/>
                <w:szCs w:val="22"/>
              </w:rPr>
            </w:pPr>
            <w:r>
              <w:rPr>
                <w:szCs w:val="22"/>
              </w:rPr>
              <w:t>H</w:t>
            </w:r>
            <w:r w:rsidR="00522617" w:rsidRPr="00672F96">
              <w:rPr>
                <w:szCs w:val="22"/>
              </w:rPr>
              <w:t>aematuria</w:t>
            </w:r>
          </w:p>
        </w:tc>
      </w:tr>
      <w:tr w:rsidR="00937EA8" w:rsidRPr="001D0F1A" w14:paraId="2F94C1C5" w14:textId="77777777" w:rsidTr="0014160B">
        <w:trPr>
          <w:cantSplit/>
        </w:trPr>
        <w:tc>
          <w:tcPr>
            <w:tcW w:w="2235" w:type="dxa"/>
          </w:tcPr>
          <w:p w14:paraId="2F94C1B4" w14:textId="6F2BE081" w:rsidR="0014160B" w:rsidRPr="00672F96" w:rsidRDefault="00522617" w:rsidP="00672F96">
            <w:pPr>
              <w:spacing w:line="240" w:lineRule="auto"/>
              <w:rPr>
                <w:b/>
                <w:szCs w:val="22"/>
              </w:rPr>
            </w:pPr>
            <w:r w:rsidRPr="00672F96">
              <w:rPr>
                <w:b/>
                <w:szCs w:val="22"/>
              </w:rPr>
              <w:t>General disorders and administration site conditions</w:t>
            </w:r>
          </w:p>
        </w:tc>
        <w:tc>
          <w:tcPr>
            <w:tcW w:w="3543" w:type="dxa"/>
          </w:tcPr>
          <w:p w14:paraId="2F94C1B5" w14:textId="77777777" w:rsidR="0014160B" w:rsidRPr="00672F96" w:rsidRDefault="00522617" w:rsidP="00672F96">
            <w:pPr>
              <w:spacing w:line="240" w:lineRule="auto"/>
              <w:rPr>
                <w:b/>
                <w:szCs w:val="22"/>
              </w:rPr>
            </w:pPr>
            <w:r w:rsidRPr="00672F96">
              <w:rPr>
                <w:b/>
                <w:szCs w:val="22"/>
              </w:rPr>
              <w:t>Very common</w:t>
            </w:r>
          </w:p>
          <w:p w14:paraId="2F94C1B6" w14:textId="77777777" w:rsidR="0014160B" w:rsidRPr="00672F96" w:rsidRDefault="00522617" w:rsidP="00672F96">
            <w:pPr>
              <w:spacing w:line="240" w:lineRule="auto"/>
              <w:rPr>
                <w:szCs w:val="22"/>
              </w:rPr>
            </w:pPr>
            <w:r w:rsidRPr="00672F96">
              <w:rPr>
                <w:szCs w:val="22"/>
              </w:rPr>
              <w:t xml:space="preserve">Asthenic conditions (fatigue, asthenia, lethargy) </w:t>
            </w:r>
          </w:p>
          <w:p w14:paraId="2F94C1B7" w14:textId="77777777" w:rsidR="0014160B" w:rsidRPr="00672F96" w:rsidRDefault="0014160B" w:rsidP="00672F96">
            <w:pPr>
              <w:spacing w:line="240" w:lineRule="auto"/>
              <w:rPr>
                <w:b/>
                <w:szCs w:val="22"/>
              </w:rPr>
            </w:pPr>
          </w:p>
          <w:p w14:paraId="2F94C1B8" w14:textId="77777777" w:rsidR="0014160B" w:rsidRPr="00672F96" w:rsidRDefault="00522617" w:rsidP="00672F96">
            <w:pPr>
              <w:spacing w:line="240" w:lineRule="auto"/>
              <w:rPr>
                <w:b/>
                <w:szCs w:val="22"/>
              </w:rPr>
            </w:pPr>
            <w:r w:rsidRPr="00672F96">
              <w:rPr>
                <w:b/>
                <w:szCs w:val="22"/>
              </w:rPr>
              <w:t>Common</w:t>
            </w:r>
          </w:p>
          <w:p w14:paraId="2F94C1B9" w14:textId="77777777" w:rsidR="0014160B" w:rsidRPr="00672F96" w:rsidRDefault="00522617" w:rsidP="00672F96">
            <w:pPr>
              <w:spacing w:line="240" w:lineRule="auto"/>
              <w:rPr>
                <w:szCs w:val="22"/>
              </w:rPr>
            </w:pPr>
            <w:r w:rsidRPr="00672F96">
              <w:rPr>
                <w:szCs w:val="22"/>
              </w:rPr>
              <w:t xml:space="preserve">Oedema, </w:t>
            </w:r>
            <w:proofErr w:type="spellStart"/>
            <w:r w:rsidRPr="00672F96">
              <w:rPr>
                <w:szCs w:val="22"/>
              </w:rPr>
              <w:t>pyrexia</w:t>
            </w:r>
            <w:r w:rsidRPr="00672F96">
              <w:rPr>
                <w:szCs w:val="22"/>
                <w:vertAlign w:val="superscript"/>
              </w:rPr>
              <w:t>e</w:t>
            </w:r>
            <w:proofErr w:type="spellEnd"/>
            <w:r w:rsidRPr="00672F96">
              <w:rPr>
                <w:szCs w:val="22"/>
              </w:rPr>
              <w:t>,</w:t>
            </w:r>
            <w:r w:rsidRPr="00672F96">
              <w:rPr>
                <w:szCs w:val="22"/>
                <w:vertAlign w:val="superscript"/>
              </w:rPr>
              <w:t xml:space="preserve"> </w:t>
            </w:r>
            <w:r w:rsidRPr="00672F96">
              <w:rPr>
                <w:szCs w:val="22"/>
              </w:rPr>
              <w:t>chills</w:t>
            </w:r>
          </w:p>
          <w:p w14:paraId="2F94C1BA" w14:textId="77777777" w:rsidR="0014160B" w:rsidRPr="00672F96" w:rsidRDefault="0014160B" w:rsidP="00672F96">
            <w:pPr>
              <w:spacing w:line="240" w:lineRule="auto"/>
              <w:rPr>
                <w:szCs w:val="22"/>
              </w:rPr>
            </w:pPr>
          </w:p>
          <w:p w14:paraId="2F94C1BB" w14:textId="77777777" w:rsidR="0014160B" w:rsidRPr="00672F96" w:rsidRDefault="00522617" w:rsidP="00672F96">
            <w:pPr>
              <w:spacing w:line="240" w:lineRule="auto"/>
              <w:rPr>
                <w:b/>
                <w:szCs w:val="22"/>
              </w:rPr>
            </w:pPr>
            <w:r w:rsidRPr="00672F96">
              <w:rPr>
                <w:b/>
                <w:szCs w:val="22"/>
              </w:rPr>
              <w:t>Uncommon</w:t>
            </w:r>
          </w:p>
          <w:p w14:paraId="2F94C1BC" w14:textId="77777777" w:rsidR="00786745" w:rsidRPr="00672F96" w:rsidRDefault="00522617" w:rsidP="00672F96">
            <w:pPr>
              <w:spacing w:line="240" w:lineRule="auto"/>
              <w:rPr>
                <w:szCs w:val="22"/>
              </w:rPr>
            </w:pPr>
            <w:r w:rsidRPr="00BC2D97">
              <w:rPr>
                <w:szCs w:val="22"/>
              </w:rPr>
              <w:t>Non</w:t>
            </w:r>
            <w:r w:rsidR="004C1158" w:rsidRPr="00BC2D97">
              <w:rPr>
                <w:szCs w:val="22"/>
              </w:rPr>
              <w:noBreakHyphen/>
            </w:r>
            <w:r w:rsidRPr="00BC2D97">
              <w:rPr>
                <w:szCs w:val="22"/>
              </w:rPr>
              <w:t xml:space="preserve">cardiac </w:t>
            </w:r>
            <w:r w:rsidRPr="00672F96">
              <w:rPr>
                <w:szCs w:val="22"/>
              </w:rPr>
              <w:t>chest pain, pain</w:t>
            </w:r>
          </w:p>
          <w:p w14:paraId="2F94C1BD" w14:textId="77777777" w:rsidR="00786745" w:rsidRPr="00672F96" w:rsidRDefault="00786745" w:rsidP="00672F96">
            <w:pPr>
              <w:spacing w:line="240" w:lineRule="auto"/>
              <w:rPr>
                <w:szCs w:val="22"/>
              </w:rPr>
            </w:pPr>
          </w:p>
          <w:p w14:paraId="2F94C1BE" w14:textId="77777777" w:rsidR="0014160B" w:rsidRPr="00672F96" w:rsidRDefault="00522617" w:rsidP="00672F96">
            <w:pPr>
              <w:spacing w:line="240" w:lineRule="auto"/>
              <w:rPr>
                <w:b/>
                <w:szCs w:val="22"/>
              </w:rPr>
            </w:pPr>
            <w:r w:rsidRPr="00672F96">
              <w:rPr>
                <w:b/>
                <w:szCs w:val="22"/>
              </w:rPr>
              <w:t>Not known</w:t>
            </w:r>
          </w:p>
          <w:p w14:paraId="2F94C1BF" w14:textId="77777777" w:rsidR="0014160B" w:rsidRPr="00672F96" w:rsidRDefault="00522617" w:rsidP="00672F96">
            <w:pPr>
              <w:spacing w:line="240" w:lineRule="auto"/>
              <w:rPr>
                <w:szCs w:val="22"/>
              </w:rPr>
            </w:pPr>
            <w:r w:rsidRPr="00672F96">
              <w:rPr>
                <w:szCs w:val="22"/>
              </w:rPr>
              <w:t>Injection site reaction, feeling cold</w:t>
            </w:r>
          </w:p>
        </w:tc>
        <w:tc>
          <w:tcPr>
            <w:tcW w:w="3544" w:type="dxa"/>
          </w:tcPr>
          <w:p w14:paraId="2F94C1C0" w14:textId="77777777" w:rsidR="00733B31" w:rsidRPr="001B2CF7" w:rsidRDefault="00522617" w:rsidP="00672F96">
            <w:pPr>
              <w:spacing w:before="40" w:after="20" w:line="240" w:lineRule="auto"/>
              <w:rPr>
                <w:b/>
                <w:szCs w:val="22"/>
                <w:lang w:val="en-US"/>
              </w:rPr>
            </w:pPr>
            <w:r w:rsidRPr="001B2CF7">
              <w:rPr>
                <w:b/>
                <w:szCs w:val="22"/>
                <w:lang w:val="en-US"/>
              </w:rPr>
              <w:t>Common</w:t>
            </w:r>
          </w:p>
          <w:p w14:paraId="2F94C1C1" w14:textId="77777777" w:rsidR="00733B31" w:rsidRPr="001B2CF7" w:rsidRDefault="00522617" w:rsidP="00672F96">
            <w:pPr>
              <w:spacing w:before="40" w:after="20" w:line="240" w:lineRule="auto"/>
              <w:rPr>
                <w:szCs w:val="22"/>
                <w:lang w:val="en-US"/>
              </w:rPr>
            </w:pPr>
            <w:r w:rsidRPr="001B2CF7">
              <w:rPr>
                <w:szCs w:val="22"/>
                <w:lang w:val="en-US"/>
              </w:rPr>
              <w:t>Fatigue</w:t>
            </w:r>
          </w:p>
          <w:p w14:paraId="2F94C1C2" w14:textId="77777777" w:rsidR="00733B31" w:rsidRPr="001B2CF7" w:rsidRDefault="00733B31" w:rsidP="00672F96">
            <w:pPr>
              <w:spacing w:before="40" w:after="20" w:line="240" w:lineRule="auto"/>
              <w:rPr>
                <w:b/>
                <w:szCs w:val="22"/>
                <w:lang w:val="en-US"/>
              </w:rPr>
            </w:pPr>
          </w:p>
          <w:p w14:paraId="2F94C1C3" w14:textId="019837BF" w:rsidR="00733B31" w:rsidRPr="001B2CF7" w:rsidRDefault="001D0F1A" w:rsidP="00672F96">
            <w:pPr>
              <w:spacing w:before="40" w:after="20" w:line="240" w:lineRule="auto"/>
              <w:rPr>
                <w:b/>
                <w:szCs w:val="22"/>
                <w:lang w:val="en-US"/>
              </w:rPr>
            </w:pPr>
            <w:r w:rsidRPr="001B2CF7">
              <w:rPr>
                <w:b/>
                <w:szCs w:val="22"/>
                <w:lang w:val="en-US"/>
              </w:rPr>
              <w:t>Not known</w:t>
            </w:r>
          </w:p>
          <w:p w14:paraId="2F94C1C4" w14:textId="77777777" w:rsidR="0014160B" w:rsidRPr="001B2CF7" w:rsidRDefault="00522617" w:rsidP="00672F96">
            <w:pPr>
              <w:spacing w:line="240" w:lineRule="auto"/>
              <w:rPr>
                <w:b/>
                <w:szCs w:val="22"/>
                <w:lang w:val="en-US"/>
              </w:rPr>
            </w:pPr>
            <w:r w:rsidRPr="001B2CF7">
              <w:rPr>
                <w:szCs w:val="22"/>
                <w:lang w:val="en-US"/>
              </w:rPr>
              <w:t>Non</w:t>
            </w:r>
            <w:r w:rsidR="004C1158" w:rsidRPr="001B2CF7">
              <w:rPr>
                <w:szCs w:val="22"/>
                <w:lang w:val="en-US"/>
              </w:rPr>
              <w:noBreakHyphen/>
            </w:r>
            <w:r w:rsidRPr="001B2CF7">
              <w:rPr>
                <w:szCs w:val="22"/>
                <w:lang w:val="en-US"/>
              </w:rPr>
              <w:t>cardiac chest pain, oedema</w:t>
            </w:r>
            <w:r w:rsidR="004150BB" w:rsidRPr="001B2CF7">
              <w:rPr>
                <w:szCs w:val="22"/>
                <w:lang w:val="en-US"/>
              </w:rPr>
              <w:t xml:space="preserve"> </w:t>
            </w:r>
            <w:proofErr w:type="spellStart"/>
            <w:r w:rsidR="004150BB" w:rsidRPr="001B2CF7">
              <w:rPr>
                <w:szCs w:val="22"/>
                <w:lang w:val="en-US"/>
              </w:rPr>
              <w:t>pyrexia</w:t>
            </w:r>
            <w:r w:rsidR="004150BB" w:rsidRPr="001B2CF7">
              <w:rPr>
                <w:szCs w:val="22"/>
                <w:vertAlign w:val="superscript"/>
                <w:lang w:val="en-US"/>
              </w:rPr>
              <w:t>e</w:t>
            </w:r>
            <w:proofErr w:type="spellEnd"/>
          </w:p>
        </w:tc>
      </w:tr>
      <w:tr w:rsidR="00937EA8" w14:paraId="2F94C1D7" w14:textId="77777777" w:rsidTr="0014160B">
        <w:trPr>
          <w:cantSplit/>
          <w:trHeight w:val="1347"/>
        </w:trPr>
        <w:tc>
          <w:tcPr>
            <w:tcW w:w="2235" w:type="dxa"/>
          </w:tcPr>
          <w:p w14:paraId="2F94C1C6" w14:textId="77777777" w:rsidR="0014160B" w:rsidRPr="00672F96" w:rsidRDefault="00522617" w:rsidP="00672F96">
            <w:pPr>
              <w:spacing w:line="240" w:lineRule="auto"/>
              <w:rPr>
                <w:b/>
                <w:szCs w:val="22"/>
              </w:rPr>
            </w:pPr>
            <w:r w:rsidRPr="00672F96">
              <w:rPr>
                <w:b/>
                <w:szCs w:val="22"/>
              </w:rPr>
              <w:t>Investigations</w:t>
            </w:r>
          </w:p>
        </w:tc>
        <w:tc>
          <w:tcPr>
            <w:tcW w:w="3543" w:type="dxa"/>
          </w:tcPr>
          <w:p w14:paraId="2F94C1C7" w14:textId="77777777" w:rsidR="0014160B" w:rsidRPr="00672F96" w:rsidRDefault="00522617" w:rsidP="00672F96">
            <w:pPr>
              <w:spacing w:line="240" w:lineRule="auto"/>
              <w:rPr>
                <w:b/>
                <w:szCs w:val="22"/>
              </w:rPr>
            </w:pPr>
            <w:r w:rsidRPr="00672F96">
              <w:rPr>
                <w:b/>
                <w:szCs w:val="22"/>
              </w:rPr>
              <w:t>Very common</w:t>
            </w:r>
          </w:p>
          <w:p w14:paraId="2F94C1C8" w14:textId="23E9B35F" w:rsidR="0014160B" w:rsidRPr="00672F96" w:rsidRDefault="00522617" w:rsidP="00672F96">
            <w:pPr>
              <w:spacing w:line="240" w:lineRule="auto"/>
              <w:rPr>
                <w:szCs w:val="22"/>
              </w:rPr>
            </w:pPr>
            <w:r w:rsidRPr="00672F96">
              <w:rPr>
                <w:szCs w:val="22"/>
              </w:rPr>
              <w:t>B</w:t>
            </w:r>
            <w:r w:rsidR="001D0F1A">
              <w:rPr>
                <w:szCs w:val="22"/>
              </w:rPr>
              <w:t>lood b</w:t>
            </w:r>
            <w:r w:rsidRPr="00672F96">
              <w:rPr>
                <w:szCs w:val="22"/>
              </w:rPr>
              <w:t>ilirubin increased</w:t>
            </w:r>
          </w:p>
          <w:p w14:paraId="2F94C1C9" w14:textId="77777777" w:rsidR="0014160B" w:rsidRPr="00672F96" w:rsidRDefault="0014160B" w:rsidP="00672F96">
            <w:pPr>
              <w:spacing w:line="240" w:lineRule="auto"/>
              <w:rPr>
                <w:szCs w:val="22"/>
              </w:rPr>
            </w:pPr>
          </w:p>
          <w:p w14:paraId="2F94C1CA" w14:textId="77777777" w:rsidR="0014160B" w:rsidRPr="00672F96" w:rsidRDefault="00522617" w:rsidP="00672F96">
            <w:pPr>
              <w:spacing w:line="240" w:lineRule="auto"/>
              <w:rPr>
                <w:b/>
                <w:szCs w:val="22"/>
              </w:rPr>
            </w:pPr>
            <w:r w:rsidRPr="00672F96">
              <w:rPr>
                <w:b/>
                <w:szCs w:val="22"/>
              </w:rPr>
              <w:t>Common</w:t>
            </w:r>
          </w:p>
          <w:p w14:paraId="2F94C1CB" w14:textId="77777777" w:rsidR="0014160B" w:rsidRPr="00672F96" w:rsidRDefault="00522617" w:rsidP="00672F96">
            <w:pPr>
              <w:spacing w:line="240" w:lineRule="auto"/>
              <w:rPr>
                <w:szCs w:val="22"/>
              </w:rPr>
            </w:pPr>
            <w:r w:rsidRPr="00672F96">
              <w:rPr>
                <w:szCs w:val="22"/>
              </w:rPr>
              <w:t xml:space="preserve">Transaminases (ALT/AST) increased, </w:t>
            </w:r>
            <w:proofErr w:type="spellStart"/>
            <w:r w:rsidRPr="00672F96">
              <w:rPr>
                <w:szCs w:val="22"/>
              </w:rPr>
              <w:t>γGT</w:t>
            </w:r>
            <w:proofErr w:type="spellEnd"/>
            <w:r w:rsidRPr="00672F96">
              <w:rPr>
                <w:szCs w:val="22"/>
              </w:rPr>
              <w:t xml:space="preserve"> increased, blood alkaline phosphatase increased, C</w:t>
            </w:r>
            <w:r w:rsidR="00786745" w:rsidRPr="00672F96">
              <w:rPr>
                <w:szCs w:val="22"/>
              </w:rPr>
              <w:noBreakHyphen/>
            </w:r>
            <w:r w:rsidRPr="00672F96">
              <w:rPr>
                <w:szCs w:val="22"/>
              </w:rPr>
              <w:t>reactive protein increased, weight decreased, weight increased</w:t>
            </w:r>
          </w:p>
          <w:p w14:paraId="2F94C1CC" w14:textId="77777777" w:rsidR="0014160B" w:rsidRDefault="0014160B" w:rsidP="00672F96">
            <w:pPr>
              <w:spacing w:line="240" w:lineRule="auto"/>
              <w:rPr>
                <w:szCs w:val="22"/>
              </w:rPr>
            </w:pPr>
          </w:p>
          <w:p w14:paraId="3E6FFEAF" w14:textId="77777777" w:rsidR="001D0F1A" w:rsidRPr="001D0F1A" w:rsidRDefault="001D0F1A" w:rsidP="00672F96">
            <w:pPr>
              <w:spacing w:line="240" w:lineRule="auto"/>
              <w:rPr>
                <w:b/>
                <w:szCs w:val="22"/>
              </w:rPr>
            </w:pPr>
            <w:r w:rsidRPr="001D0F1A">
              <w:rPr>
                <w:b/>
                <w:szCs w:val="22"/>
              </w:rPr>
              <w:t xml:space="preserve">Uncommon </w:t>
            </w:r>
          </w:p>
          <w:p w14:paraId="698A4BC6" w14:textId="77777777" w:rsidR="001D0F1A" w:rsidRDefault="001D0F1A" w:rsidP="00672F96">
            <w:pPr>
              <w:spacing w:line="240" w:lineRule="auto"/>
              <w:rPr>
                <w:szCs w:val="22"/>
              </w:rPr>
            </w:pPr>
            <w:r>
              <w:rPr>
                <w:szCs w:val="22"/>
              </w:rPr>
              <w:t>Blood creatinine increased</w:t>
            </w:r>
          </w:p>
          <w:p w14:paraId="397EBB00" w14:textId="77777777" w:rsidR="001D0F1A" w:rsidRPr="00672F96" w:rsidRDefault="001D0F1A" w:rsidP="00672F96">
            <w:pPr>
              <w:spacing w:line="240" w:lineRule="auto"/>
              <w:rPr>
                <w:szCs w:val="22"/>
              </w:rPr>
            </w:pPr>
          </w:p>
          <w:p w14:paraId="2F94C1CD" w14:textId="77777777" w:rsidR="0014160B" w:rsidRPr="00672F96" w:rsidRDefault="00522617" w:rsidP="00672F96">
            <w:pPr>
              <w:spacing w:line="240" w:lineRule="auto"/>
              <w:rPr>
                <w:b/>
                <w:szCs w:val="22"/>
              </w:rPr>
            </w:pPr>
            <w:r w:rsidRPr="00672F96">
              <w:rPr>
                <w:b/>
                <w:szCs w:val="22"/>
              </w:rPr>
              <w:t>Not known</w:t>
            </w:r>
          </w:p>
          <w:p w14:paraId="2F94C1CE" w14:textId="479F4878" w:rsidR="0014160B" w:rsidRPr="00672F96" w:rsidRDefault="001D0F1A" w:rsidP="00672F96">
            <w:pPr>
              <w:spacing w:line="240" w:lineRule="auto"/>
              <w:rPr>
                <w:szCs w:val="22"/>
              </w:rPr>
            </w:pPr>
            <w:r>
              <w:rPr>
                <w:szCs w:val="22"/>
              </w:rPr>
              <w:t>B</w:t>
            </w:r>
            <w:r w:rsidR="00522617" w:rsidRPr="00672F96">
              <w:rPr>
                <w:szCs w:val="22"/>
              </w:rPr>
              <w:t xml:space="preserve">lood </w:t>
            </w:r>
            <w:r w:rsidR="00EB7856" w:rsidRPr="00672F96">
              <w:rPr>
                <w:szCs w:val="22"/>
              </w:rPr>
              <w:t>lactate dehydrogenase (</w:t>
            </w:r>
            <w:r w:rsidR="00522617" w:rsidRPr="00672F96">
              <w:rPr>
                <w:szCs w:val="22"/>
              </w:rPr>
              <w:t>LDH</w:t>
            </w:r>
            <w:r w:rsidR="00EB7856" w:rsidRPr="00672F96">
              <w:rPr>
                <w:szCs w:val="22"/>
              </w:rPr>
              <w:t>)</w:t>
            </w:r>
            <w:r w:rsidR="00522617" w:rsidRPr="00672F96">
              <w:rPr>
                <w:szCs w:val="22"/>
              </w:rPr>
              <w:t xml:space="preserve"> increased </w:t>
            </w:r>
          </w:p>
        </w:tc>
        <w:tc>
          <w:tcPr>
            <w:tcW w:w="3544" w:type="dxa"/>
          </w:tcPr>
          <w:p w14:paraId="2F94C1CF" w14:textId="77777777" w:rsidR="00733B31" w:rsidRPr="00672F96" w:rsidRDefault="00522617" w:rsidP="00672F96">
            <w:pPr>
              <w:rPr>
                <w:b/>
                <w:szCs w:val="22"/>
              </w:rPr>
            </w:pPr>
            <w:r w:rsidRPr="00672F96">
              <w:rPr>
                <w:b/>
                <w:szCs w:val="22"/>
              </w:rPr>
              <w:t>Common</w:t>
            </w:r>
          </w:p>
          <w:p w14:paraId="2F94C1D0" w14:textId="57930692" w:rsidR="00733B31" w:rsidRPr="00672F96" w:rsidRDefault="00522617" w:rsidP="00672F96">
            <w:pPr>
              <w:rPr>
                <w:szCs w:val="22"/>
              </w:rPr>
            </w:pPr>
            <w:r w:rsidRPr="00672F96">
              <w:rPr>
                <w:szCs w:val="22"/>
              </w:rPr>
              <w:t>B</w:t>
            </w:r>
            <w:r w:rsidR="001D0F1A">
              <w:rPr>
                <w:szCs w:val="22"/>
              </w:rPr>
              <w:t>lood b</w:t>
            </w:r>
            <w:r w:rsidRPr="00672F96">
              <w:rPr>
                <w:szCs w:val="22"/>
              </w:rPr>
              <w:t xml:space="preserve">ilirubin increased, transaminases (ALT/AST) increased, </w:t>
            </w:r>
            <w:proofErr w:type="spellStart"/>
            <w:r w:rsidRPr="00672F96">
              <w:rPr>
                <w:szCs w:val="22"/>
              </w:rPr>
              <w:t>γGT</w:t>
            </w:r>
            <w:proofErr w:type="spellEnd"/>
            <w:r w:rsidRPr="00672F96">
              <w:rPr>
                <w:szCs w:val="22"/>
              </w:rPr>
              <w:t xml:space="preserve"> increased</w:t>
            </w:r>
          </w:p>
          <w:p w14:paraId="2F94C1D1" w14:textId="77777777" w:rsidR="00733B31" w:rsidRPr="00672F96" w:rsidRDefault="00733B31" w:rsidP="00672F96">
            <w:pPr>
              <w:rPr>
                <w:szCs w:val="22"/>
              </w:rPr>
            </w:pPr>
          </w:p>
          <w:p w14:paraId="2F94C1D2" w14:textId="77777777" w:rsidR="00733B31" w:rsidRPr="00672F96" w:rsidRDefault="00522617" w:rsidP="00672F96">
            <w:pPr>
              <w:rPr>
                <w:b/>
                <w:szCs w:val="22"/>
              </w:rPr>
            </w:pPr>
            <w:r w:rsidRPr="00672F96">
              <w:rPr>
                <w:b/>
                <w:szCs w:val="22"/>
              </w:rPr>
              <w:t>Uncommon</w:t>
            </w:r>
          </w:p>
          <w:p w14:paraId="2F94C1D3" w14:textId="77777777" w:rsidR="00733B31" w:rsidRPr="00672F96" w:rsidRDefault="00522617" w:rsidP="00672F96">
            <w:pPr>
              <w:rPr>
                <w:szCs w:val="22"/>
              </w:rPr>
            </w:pPr>
            <w:r w:rsidRPr="00672F96">
              <w:rPr>
                <w:szCs w:val="22"/>
              </w:rPr>
              <w:t>Blood alkaline phosphatase increased, C</w:t>
            </w:r>
            <w:r w:rsidR="001B6C17" w:rsidRPr="00672F96">
              <w:rPr>
                <w:szCs w:val="22"/>
              </w:rPr>
              <w:noBreakHyphen/>
            </w:r>
            <w:r w:rsidRPr="00672F96">
              <w:rPr>
                <w:szCs w:val="22"/>
              </w:rPr>
              <w:t>reactive protein increased</w:t>
            </w:r>
          </w:p>
          <w:p w14:paraId="2F94C1D4" w14:textId="77777777" w:rsidR="00733B31" w:rsidRPr="00672F96" w:rsidRDefault="00733B31" w:rsidP="00672F96">
            <w:pPr>
              <w:rPr>
                <w:szCs w:val="22"/>
              </w:rPr>
            </w:pPr>
          </w:p>
          <w:p w14:paraId="2F94C1D5" w14:textId="77777777" w:rsidR="00733B31" w:rsidRPr="00672F96" w:rsidRDefault="00522617" w:rsidP="00672F96">
            <w:pPr>
              <w:rPr>
                <w:b/>
                <w:szCs w:val="22"/>
              </w:rPr>
            </w:pPr>
            <w:r w:rsidRPr="00672F96">
              <w:rPr>
                <w:b/>
                <w:szCs w:val="22"/>
              </w:rPr>
              <w:t>Not known</w:t>
            </w:r>
          </w:p>
          <w:p w14:paraId="2F94C1D6" w14:textId="77777777" w:rsidR="0014160B" w:rsidRPr="00672F96" w:rsidRDefault="00522617" w:rsidP="00672F96">
            <w:pPr>
              <w:rPr>
                <w:b/>
                <w:szCs w:val="22"/>
              </w:rPr>
            </w:pPr>
            <w:r w:rsidRPr="00672F96">
              <w:rPr>
                <w:szCs w:val="22"/>
              </w:rPr>
              <w:t>Blood LDH increased</w:t>
            </w:r>
          </w:p>
        </w:tc>
      </w:tr>
    </w:tbl>
    <w:p w14:paraId="2F94C1D8" w14:textId="4DD8C5D7" w:rsidR="00AE0267" w:rsidRPr="00672F96" w:rsidRDefault="00522617" w:rsidP="00672F96">
      <w:pPr>
        <w:tabs>
          <w:tab w:val="clear" w:pos="567"/>
          <w:tab w:val="left" w:pos="284"/>
        </w:tabs>
        <w:spacing w:line="240" w:lineRule="auto"/>
        <w:rPr>
          <w:szCs w:val="22"/>
        </w:rPr>
      </w:pPr>
      <w:r w:rsidRPr="00672F96">
        <w:rPr>
          <w:szCs w:val="22"/>
        </w:rPr>
        <w:t>*</w:t>
      </w:r>
      <w:r w:rsidRPr="00672F96">
        <w:rPr>
          <w:szCs w:val="22"/>
        </w:rPr>
        <w:tab/>
        <w:t>See detailed sections below</w:t>
      </w:r>
    </w:p>
    <w:p w14:paraId="2F94C1D9" w14:textId="77777777" w:rsidR="00AE0267" w:rsidRPr="00BC2D97" w:rsidRDefault="00522617" w:rsidP="00672F96">
      <w:pPr>
        <w:tabs>
          <w:tab w:val="clear" w:pos="567"/>
          <w:tab w:val="left" w:pos="284"/>
        </w:tabs>
        <w:spacing w:line="240" w:lineRule="auto"/>
        <w:ind w:left="284" w:hanging="284"/>
        <w:rPr>
          <w:szCs w:val="22"/>
        </w:rPr>
      </w:pPr>
      <w:r w:rsidRPr="00672F96">
        <w:rPr>
          <w:szCs w:val="22"/>
          <w:vertAlign w:val="superscript"/>
        </w:rPr>
        <w:t>a</w:t>
      </w:r>
      <w:r w:rsidRPr="00672F96">
        <w:rPr>
          <w:szCs w:val="22"/>
        </w:rPr>
        <w:tab/>
      </w:r>
      <w:r w:rsidR="00643392" w:rsidRPr="00672F96">
        <w:rPr>
          <w:szCs w:val="22"/>
        </w:rPr>
        <w:t>C</w:t>
      </w:r>
      <w:r w:rsidRPr="00672F96">
        <w:rPr>
          <w:szCs w:val="22"/>
        </w:rPr>
        <w:t>linically or microbiologically documented infection with grade</w:t>
      </w:r>
      <w:r w:rsidR="00BC4314" w:rsidRPr="00672F96">
        <w:rPr>
          <w:szCs w:val="22"/>
        </w:rPr>
        <w:t> </w:t>
      </w:r>
      <w:r w:rsidRPr="00672F96">
        <w:rPr>
          <w:szCs w:val="22"/>
        </w:rPr>
        <w:t>3 or</w:t>
      </w:r>
      <w:r w:rsidR="00BC4314" w:rsidRPr="00672F96">
        <w:rPr>
          <w:szCs w:val="22"/>
        </w:rPr>
        <w:t> </w:t>
      </w:r>
      <w:r w:rsidRPr="00672F96">
        <w:rPr>
          <w:szCs w:val="22"/>
        </w:rPr>
        <w:t>4 neutro</w:t>
      </w:r>
      <w:r w:rsidR="003E76AA" w:rsidRPr="00672F96">
        <w:rPr>
          <w:szCs w:val="22"/>
        </w:rPr>
        <w:t>penia</w:t>
      </w:r>
      <w:r w:rsidR="00294DBB" w:rsidRPr="00672F96">
        <w:rPr>
          <w:szCs w:val="22"/>
        </w:rPr>
        <w:t xml:space="preserve"> </w:t>
      </w:r>
      <w:r w:rsidR="00786745" w:rsidRPr="00672F96">
        <w:rPr>
          <w:szCs w:val="22"/>
        </w:rPr>
        <w:t>(</w:t>
      </w:r>
      <w:r w:rsidRPr="00672F96">
        <w:rPr>
          <w:szCs w:val="22"/>
        </w:rPr>
        <w:t xml:space="preserve">absolute neutrophil count </w:t>
      </w:r>
      <w:r w:rsidR="00786745" w:rsidRPr="00672F96">
        <w:rPr>
          <w:szCs w:val="22"/>
        </w:rPr>
        <w:t>[</w:t>
      </w:r>
      <w:r w:rsidRPr="00672F96">
        <w:rPr>
          <w:szCs w:val="22"/>
        </w:rPr>
        <w:t>ANC</w:t>
      </w:r>
      <w:r w:rsidR="00786745" w:rsidRPr="00672F96">
        <w:rPr>
          <w:szCs w:val="22"/>
        </w:rPr>
        <w:t>]</w:t>
      </w:r>
      <w:r w:rsidRPr="00672F96">
        <w:rPr>
          <w:szCs w:val="22"/>
        </w:rPr>
        <w:t xml:space="preserve"> &lt;</w:t>
      </w:r>
      <w:r w:rsidR="00251C18" w:rsidRPr="00672F96">
        <w:rPr>
          <w:szCs w:val="22"/>
        </w:rPr>
        <w:t> </w:t>
      </w:r>
      <w:r w:rsidRPr="00672F96">
        <w:rPr>
          <w:szCs w:val="22"/>
        </w:rPr>
        <w:t>1.0</w:t>
      </w:r>
      <w:r w:rsidR="003718EC" w:rsidRPr="00672F96">
        <w:rPr>
          <w:szCs w:val="22"/>
        </w:rPr>
        <w:t> </w:t>
      </w:r>
      <w:r w:rsidRPr="00672F96">
        <w:rPr>
          <w:szCs w:val="22"/>
        </w:rPr>
        <w:t>x</w:t>
      </w:r>
      <w:r w:rsidR="003718EC" w:rsidRPr="00672F96">
        <w:rPr>
          <w:szCs w:val="22"/>
        </w:rPr>
        <w:t> </w:t>
      </w:r>
      <w:r w:rsidRPr="00672F96">
        <w:rPr>
          <w:szCs w:val="22"/>
        </w:rPr>
        <w:t>10</w:t>
      </w:r>
      <w:r w:rsidRPr="00672F96">
        <w:rPr>
          <w:szCs w:val="22"/>
          <w:vertAlign w:val="superscript"/>
        </w:rPr>
        <w:t>9</w:t>
      </w:r>
      <w:r w:rsidRPr="00BC2D97">
        <w:rPr>
          <w:szCs w:val="22"/>
        </w:rPr>
        <w:t>/</w:t>
      </w:r>
      <w:r w:rsidR="0038429C" w:rsidRPr="00BC2D97">
        <w:rPr>
          <w:szCs w:val="22"/>
        </w:rPr>
        <w:t>L</w:t>
      </w:r>
      <w:r w:rsidR="00786745" w:rsidRPr="00BC2D97">
        <w:rPr>
          <w:szCs w:val="22"/>
        </w:rPr>
        <w:t>)</w:t>
      </w:r>
      <w:r w:rsidRPr="00BC2D97">
        <w:rPr>
          <w:szCs w:val="22"/>
        </w:rPr>
        <w:t xml:space="preserve"> and sepsis</w:t>
      </w:r>
    </w:p>
    <w:p w14:paraId="2F94C1DA" w14:textId="77777777" w:rsidR="00802CB6" w:rsidRPr="00BC2D97" w:rsidRDefault="00522617" w:rsidP="00672F96">
      <w:pPr>
        <w:tabs>
          <w:tab w:val="clear" w:pos="567"/>
          <w:tab w:val="left" w:pos="284"/>
        </w:tabs>
        <w:spacing w:line="240" w:lineRule="auto"/>
        <w:ind w:left="284" w:hanging="284"/>
        <w:rPr>
          <w:szCs w:val="22"/>
        </w:rPr>
      </w:pPr>
      <w:r w:rsidRPr="00BC2D97">
        <w:rPr>
          <w:szCs w:val="22"/>
          <w:vertAlign w:val="superscript"/>
        </w:rPr>
        <w:t>b</w:t>
      </w:r>
      <w:r w:rsidRPr="00BC2D97">
        <w:rPr>
          <w:szCs w:val="22"/>
        </w:rPr>
        <w:tab/>
        <w:t xml:space="preserve">Acidosis might be a consequence of the release of </w:t>
      </w:r>
      <w:proofErr w:type="spellStart"/>
      <w:r w:rsidRPr="00BC2D97">
        <w:rPr>
          <w:szCs w:val="22"/>
        </w:rPr>
        <w:t>methanesulfonic</w:t>
      </w:r>
      <w:proofErr w:type="spellEnd"/>
      <w:r w:rsidRPr="00BC2D97">
        <w:rPr>
          <w:szCs w:val="22"/>
        </w:rPr>
        <w:t xml:space="preserve"> acid through </w:t>
      </w:r>
      <w:proofErr w:type="spellStart"/>
      <w:r w:rsidRPr="00BC2D97">
        <w:rPr>
          <w:szCs w:val="22"/>
        </w:rPr>
        <w:t>treosulfan</w:t>
      </w:r>
      <w:proofErr w:type="spellEnd"/>
      <w:r w:rsidRPr="00BC2D97">
        <w:rPr>
          <w:szCs w:val="22"/>
        </w:rPr>
        <w:t xml:space="preserve"> activation/cleavage in the plasma</w:t>
      </w:r>
    </w:p>
    <w:p w14:paraId="2F94C1DB" w14:textId="77777777" w:rsidR="009D5A29" w:rsidRPr="00BC2D97" w:rsidRDefault="00522617" w:rsidP="00672F96">
      <w:pPr>
        <w:tabs>
          <w:tab w:val="clear" w:pos="567"/>
          <w:tab w:val="left" w:pos="284"/>
        </w:tabs>
        <w:spacing w:line="240" w:lineRule="auto"/>
        <w:ind w:left="567" w:hanging="567"/>
        <w:rPr>
          <w:szCs w:val="22"/>
        </w:rPr>
      </w:pPr>
      <w:r w:rsidRPr="00BC2D97">
        <w:rPr>
          <w:szCs w:val="22"/>
          <w:vertAlign w:val="superscript"/>
        </w:rPr>
        <w:t>c</w:t>
      </w:r>
      <w:r w:rsidRPr="00BC2D97">
        <w:rPr>
          <w:szCs w:val="22"/>
          <w:vertAlign w:val="superscript"/>
        </w:rPr>
        <w:tab/>
      </w:r>
      <w:r w:rsidRPr="00BC2D97">
        <w:rPr>
          <w:szCs w:val="22"/>
        </w:rPr>
        <w:t>Case reports (&gt;</w:t>
      </w:r>
      <w:r w:rsidR="008B36D0" w:rsidRPr="00BC2D97">
        <w:rPr>
          <w:szCs w:val="22"/>
        </w:rPr>
        <w:t> </w:t>
      </w:r>
      <w:r w:rsidRPr="00BC2D97">
        <w:rPr>
          <w:szCs w:val="22"/>
        </w:rPr>
        <w:t xml:space="preserve">2) </w:t>
      </w:r>
      <w:r w:rsidR="00BE19F0" w:rsidRPr="00BC2D97">
        <w:rPr>
          <w:szCs w:val="22"/>
        </w:rPr>
        <w:t>after</w:t>
      </w:r>
      <w:r w:rsidRPr="00BC2D97">
        <w:rPr>
          <w:szCs w:val="22"/>
        </w:rPr>
        <w:t xml:space="preserve"> </w:t>
      </w:r>
      <w:proofErr w:type="spellStart"/>
      <w:r w:rsidRPr="00BC2D97">
        <w:rPr>
          <w:szCs w:val="22"/>
        </w:rPr>
        <w:t>treosulfan</w:t>
      </w:r>
      <w:proofErr w:type="spellEnd"/>
      <w:r w:rsidR="004C1158" w:rsidRPr="00BC2D97">
        <w:rPr>
          <w:szCs w:val="22"/>
        </w:rPr>
        <w:noBreakHyphen/>
      </w:r>
      <w:r w:rsidRPr="00BC2D97">
        <w:rPr>
          <w:szCs w:val="22"/>
        </w:rPr>
        <w:t xml:space="preserve">based conditioning </w:t>
      </w:r>
      <w:r w:rsidR="00BE19F0" w:rsidRPr="00BC2D97">
        <w:rPr>
          <w:szCs w:val="22"/>
        </w:rPr>
        <w:t>obtained from other sources</w:t>
      </w:r>
    </w:p>
    <w:p w14:paraId="2F94C1DC" w14:textId="77777777" w:rsidR="00AE0267" w:rsidRPr="00BC2D97" w:rsidRDefault="00522617" w:rsidP="00672F96">
      <w:pPr>
        <w:tabs>
          <w:tab w:val="clear" w:pos="567"/>
          <w:tab w:val="left" w:pos="284"/>
          <w:tab w:val="left" w:pos="2510"/>
        </w:tabs>
        <w:spacing w:line="240" w:lineRule="auto"/>
        <w:rPr>
          <w:szCs w:val="22"/>
        </w:rPr>
      </w:pPr>
      <w:r w:rsidRPr="00BC2D97">
        <w:rPr>
          <w:szCs w:val="22"/>
          <w:vertAlign w:val="superscript"/>
        </w:rPr>
        <w:t>d</w:t>
      </w:r>
      <w:r w:rsidRPr="00BC2D97">
        <w:rPr>
          <w:szCs w:val="22"/>
          <w:vertAlign w:val="superscript"/>
        </w:rPr>
        <w:tab/>
      </w:r>
      <w:proofErr w:type="gramStart"/>
      <w:r w:rsidRPr="00BC2D97">
        <w:rPr>
          <w:szCs w:val="22"/>
        </w:rPr>
        <w:t>Bronze</w:t>
      </w:r>
      <w:proofErr w:type="gramEnd"/>
      <w:r w:rsidRPr="00BC2D97">
        <w:rPr>
          <w:szCs w:val="22"/>
        </w:rPr>
        <w:t xml:space="preserve"> pigmentation</w:t>
      </w:r>
    </w:p>
    <w:p w14:paraId="2F94C1DD" w14:textId="77777777" w:rsidR="00AE0267" w:rsidRPr="00672F96" w:rsidRDefault="00522617" w:rsidP="00672F96">
      <w:pPr>
        <w:tabs>
          <w:tab w:val="clear" w:pos="567"/>
          <w:tab w:val="left" w:pos="284"/>
        </w:tabs>
        <w:spacing w:line="240" w:lineRule="auto"/>
        <w:ind w:left="567" w:hanging="567"/>
        <w:rPr>
          <w:szCs w:val="22"/>
        </w:rPr>
      </w:pPr>
      <w:r w:rsidRPr="00BC2D97">
        <w:rPr>
          <w:szCs w:val="22"/>
          <w:vertAlign w:val="superscript"/>
        </w:rPr>
        <w:t>e</w:t>
      </w:r>
      <w:r w:rsidRPr="00BC2D97">
        <w:rPr>
          <w:szCs w:val="22"/>
        </w:rPr>
        <w:tab/>
      </w:r>
      <w:r w:rsidR="00A547BB" w:rsidRPr="00BC2D97">
        <w:rPr>
          <w:szCs w:val="22"/>
        </w:rPr>
        <w:t>F</w:t>
      </w:r>
      <w:r w:rsidRPr="00BC2D97">
        <w:rPr>
          <w:szCs w:val="22"/>
        </w:rPr>
        <w:t>ever in the absence of neutropenia where neutropenia is defined as ANC</w:t>
      </w:r>
      <w:r w:rsidR="00DF563B" w:rsidRPr="00BC2D97">
        <w:rPr>
          <w:szCs w:val="22"/>
        </w:rPr>
        <w:t> </w:t>
      </w:r>
      <w:r w:rsidRPr="00BC2D97">
        <w:rPr>
          <w:szCs w:val="22"/>
        </w:rPr>
        <w:t>&lt;</w:t>
      </w:r>
      <w:r w:rsidR="00181D8F" w:rsidRPr="00BC2D97">
        <w:rPr>
          <w:szCs w:val="22"/>
        </w:rPr>
        <w:t> </w:t>
      </w:r>
      <w:r w:rsidRPr="00BC2D97">
        <w:rPr>
          <w:szCs w:val="22"/>
        </w:rPr>
        <w:t>1.0</w:t>
      </w:r>
      <w:r w:rsidR="00181D8F" w:rsidRPr="00BC2D97">
        <w:rPr>
          <w:szCs w:val="22"/>
        </w:rPr>
        <w:t> </w:t>
      </w:r>
      <w:r w:rsidRPr="00BC2D97">
        <w:rPr>
          <w:szCs w:val="22"/>
        </w:rPr>
        <w:t>x</w:t>
      </w:r>
      <w:r w:rsidR="00181D8F" w:rsidRPr="00BC2D97">
        <w:rPr>
          <w:szCs w:val="22"/>
        </w:rPr>
        <w:t> </w:t>
      </w:r>
      <w:r w:rsidRPr="00BC2D97">
        <w:rPr>
          <w:szCs w:val="22"/>
        </w:rPr>
        <w:t>10</w:t>
      </w:r>
      <w:r w:rsidRPr="00BC2D97">
        <w:rPr>
          <w:szCs w:val="22"/>
          <w:vertAlign w:val="superscript"/>
        </w:rPr>
        <w:t>9</w:t>
      </w:r>
      <w:r w:rsidRPr="00BC2D97">
        <w:rPr>
          <w:szCs w:val="22"/>
        </w:rPr>
        <w:t>/</w:t>
      </w:r>
      <w:r w:rsidR="0038429C" w:rsidRPr="00BC2D97">
        <w:rPr>
          <w:szCs w:val="22"/>
        </w:rPr>
        <w:t>L</w:t>
      </w:r>
    </w:p>
    <w:p w14:paraId="2F94C1DE" w14:textId="77777777" w:rsidR="00613FF5" w:rsidRPr="00672F96" w:rsidRDefault="00613FF5" w:rsidP="00672F96">
      <w:pPr>
        <w:spacing w:line="240" w:lineRule="auto"/>
        <w:ind w:left="567" w:hanging="567"/>
        <w:rPr>
          <w:szCs w:val="22"/>
        </w:rPr>
      </w:pPr>
    </w:p>
    <w:p w14:paraId="2F94C1DF" w14:textId="77777777" w:rsidR="00AE0267" w:rsidRPr="004C1158" w:rsidRDefault="00522617" w:rsidP="00672F96">
      <w:pPr>
        <w:tabs>
          <w:tab w:val="clear" w:pos="567"/>
        </w:tabs>
        <w:spacing w:line="240" w:lineRule="auto"/>
        <w:rPr>
          <w:bCs/>
          <w:i/>
          <w:szCs w:val="22"/>
        </w:rPr>
      </w:pPr>
      <w:r w:rsidRPr="00BC2D97">
        <w:rPr>
          <w:bCs/>
          <w:i/>
          <w:szCs w:val="22"/>
        </w:rPr>
        <w:t>Description of selected adverse reactions</w:t>
      </w:r>
    </w:p>
    <w:p w14:paraId="2F94C1E0" w14:textId="77777777" w:rsidR="001043C8" w:rsidRPr="00672F96" w:rsidRDefault="001043C8" w:rsidP="00672F96">
      <w:pPr>
        <w:spacing w:line="240" w:lineRule="auto"/>
        <w:rPr>
          <w:i/>
          <w:szCs w:val="22"/>
        </w:rPr>
      </w:pPr>
    </w:p>
    <w:p w14:paraId="2F94C1E1" w14:textId="77777777" w:rsidR="00A9315C" w:rsidRDefault="00522617" w:rsidP="004C1158">
      <w:pPr>
        <w:keepNext/>
        <w:keepLines/>
        <w:spacing w:line="240" w:lineRule="auto"/>
        <w:rPr>
          <w:i/>
          <w:szCs w:val="22"/>
          <w:u w:val="single"/>
        </w:rPr>
      </w:pPr>
      <w:r w:rsidRPr="004C1158">
        <w:rPr>
          <w:i/>
          <w:szCs w:val="22"/>
          <w:u w:val="single"/>
        </w:rPr>
        <w:t>Infections</w:t>
      </w:r>
    </w:p>
    <w:p w14:paraId="2F94C1E2" w14:textId="77777777" w:rsidR="004C1158" w:rsidRPr="004C1158" w:rsidRDefault="004C1158" w:rsidP="004C1158">
      <w:pPr>
        <w:keepNext/>
        <w:keepLines/>
        <w:spacing w:line="240" w:lineRule="auto"/>
        <w:rPr>
          <w:i/>
          <w:szCs w:val="22"/>
          <w:u w:val="single"/>
        </w:rPr>
      </w:pPr>
    </w:p>
    <w:p w14:paraId="2F94C1E3" w14:textId="1EAF81D4" w:rsidR="00A9315C" w:rsidRPr="00672F96" w:rsidRDefault="00522617" w:rsidP="004C1158">
      <w:pPr>
        <w:keepNext/>
        <w:keepLines/>
        <w:spacing w:line="240" w:lineRule="auto"/>
        <w:rPr>
          <w:szCs w:val="22"/>
        </w:rPr>
      </w:pPr>
      <w:r w:rsidRPr="00672F96">
        <w:rPr>
          <w:szCs w:val="22"/>
        </w:rPr>
        <w:t>The overall incidence of infections was</w:t>
      </w:r>
      <w:r w:rsidR="00010B1C" w:rsidRPr="00672F96">
        <w:rPr>
          <w:szCs w:val="22"/>
        </w:rPr>
        <w:t xml:space="preserve"> </w:t>
      </w:r>
      <w:r w:rsidR="001D0F1A">
        <w:rPr>
          <w:szCs w:val="22"/>
        </w:rPr>
        <w:t>12.9</w:t>
      </w:r>
      <w:r w:rsidR="001D0F1A" w:rsidRPr="00672F96">
        <w:rPr>
          <w:szCs w:val="22"/>
        </w:rPr>
        <w:t>% (7</w:t>
      </w:r>
      <w:r w:rsidR="001D0F1A">
        <w:rPr>
          <w:szCs w:val="22"/>
        </w:rPr>
        <w:t>9</w:t>
      </w:r>
      <w:r w:rsidR="001D0F1A" w:rsidRPr="00672F96">
        <w:rPr>
          <w:szCs w:val="22"/>
        </w:rPr>
        <w:t>/</w:t>
      </w:r>
      <w:r w:rsidR="001D0F1A">
        <w:rPr>
          <w:szCs w:val="22"/>
        </w:rPr>
        <w:t>613</w:t>
      </w:r>
      <w:r w:rsidR="001D0F1A" w:rsidRPr="00672F96">
        <w:rPr>
          <w:szCs w:val="22"/>
        </w:rPr>
        <w:t>)</w:t>
      </w:r>
      <w:r w:rsidRPr="00672F96">
        <w:rPr>
          <w:szCs w:val="22"/>
        </w:rPr>
        <w:t xml:space="preserve">. The most frequent type was lung infection </w:t>
      </w:r>
      <w:r w:rsidR="001D0F1A" w:rsidRPr="00672F96">
        <w:rPr>
          <w:szCs w:val="22"/>
        </w:rPr>
        <w:t>(12/7</w:t>
      </w:r>
      <w:r w:rsidR="001D0F1A">
        <w:rPr>
          <w:szCs w:val="22"/>
        </w:rPr>
        <w:t>9</w:t>
      </w:r>
      <w:r w:rsidR="001D0F1A" w:rsidRPr="00672F96">
        <w:rPr>
          <w:szCs w:val="22"/>
        </w:rPr>
        <w:t xml:space="preserve"> [1</w:t>
      </w:r>
      <w:r w:rsidR="001D0F1A">
        <w:rPr>
          <w:szCs w:val="22"/>
        </w:rPr>
        <w:t>5</w:t>
      </w:r>
      <w:r w:rsidR="001D0F1A" w:rsidRPr="00672F96">
        <w:rPr>
          <w:szCs w:val="22"/>
        </w:rPr>
        <w:t>.2%])</w:t>
      </w:r>
      <w:r w:rsidRPr="00672F96">
        <w:rPr>
          <w:szCs w:val="22"/>
        </w:rPr>
        <w:t>. Pathogens included bacteria (</w:t>
      </w:r>
      <w:proofErr w:type="gramStart"/>
      <w:r w:rsidRPr="00672F96">
        <w:rPr>
          <w:szCs w:val="22"/>
        </w:rPr>
        <w:t>e.g.</w:t>
      </w:r>
      <w:proofErr w:type="gramEnd"/>
      <w:r w:rsidRPr="00672F96">
        <w:rPr>
          <w:szCs w:val="22"/>
        </w:rPr>
        <w:t xml:space="preserve"> </w:t>
      </w:r>
      <w:r w:rsidRPr="00672F96">
        <w:rPr>
          <w:i/>
          <w:szCs w:val="22"/>
        </w:rPr>
        <w:t>Staphylococcus</w:t>
      </w:r>
      <w:r w:rsidRPr="00672F96">
        <w:rPr>
          <w:szCs w:val="22"/>
        </w:rPr>
        <w:t xml:space="preserve">, </w:t>
      </w:r>
      <w:r w:rsidRPr="00672F96">
        <w:rPr>
          <w:i/>
          <w:szCs w:val="22"/>
        </w:rPr>
        <w:t>Enterococcus</w:t>
      </w:r>
      <w:r w:rsidRPr="00672F96">
        <w:rPr>
          <w:szCs w:val="22"/>
        </w:rPr>
        <w:t xml:space="preserve">, </w:t>
      </w:r>
      <w:r w:rsidRPr="00672F96">
        <w:rPr>
          <w:i/>
          <w:szCs w:val="22"/>
        </w:rPr>
        <w:t>Corynebacterium</w:t>
      </w:r>
      <w:r w:rsidRPr="00672F96">
        <w:rPr>
          <w:szCs w:val="22"/>
        </w:rPr>
        <w:t xml:space="preserve">), viruses (e.g. </w:t>
      </w:r>
      <w:r w:rsidR="009B2A66" w:rsidRPr="00672F96">
        <w:rPr>
          <w:szCs w:val="22"/>
        </w:rPr>
        <w:t>c</w:t>
      </w:r>
      <w:r w:rsidRPr="00672F96">
        <w:rPr>
          <w:szCs w:val="22"/>
        </w:rPr>
        <w:t xml:space="preserve">ytomegalovirus [CMV], Epstein-Barr virus [EBV], </w:t>
      </w:r>
      <w:r w:rsidR="009B2A66" w:rsidRPr="00672F96">
        <w:rPr>
          <w:szCs w:val="22"/>
        </w:rPr>
        <w:t>h</w:t>
      </w:r>
      <w:r w:rsidRPr="00672F96">
        <w:rPr>
          <w:szCs w:val="22"/>
        </w:rPr>
        <w:t xml:space="preserve">erpes) as well as fungi (e.g. </w:t>
      </w:r>
      <w:r w:rsidR="009B2A66" w:rsidRPr="00672F96">
        <w:rPr>
          <w:szCs w:val="22"/>
        </w:rPr>
        <w:t>c</w:t>
      </w:r>
      <w:r w:rsidRPr="00672F96">
        <w:rPr>
          <w:szCs w:val="22"/>
        </w:rPr>
        <w:t xml:space="preserve">andida). </w:t>
      </w:r>
      <w:r w:rsidR="0038429C" w:rsidRPr="00BC2D97">
        <w:rPr>
          <w:szCs w:val="22"/>
        </w:rPr>
        <w:t>The i</w:t>
      </w:r>
      <w:r w:rsidRPr="00BC2D97">
        <w:rPr>
          <w:szCs w:val="22"/>
        </w:rPr>
        <w:t>nfection</w:t>
      </w:r>
      <w:r w:rsidRPr="00672F96">
        <w:rPr>
          <w:szCs w:val="22"/>
        </w:rPr>
        <w:t xml:space="preserve"> rate was lowest in patients treated with the dose regimen of 10 g/m²</w:t>
      </w:r>
      <w:r w:rsidR="00C124A3" w:rsidRPr="00672F96">
        <w:rPr>
          <w:szCs w:val="22"/>
        </w:rPr>
        <w:t xml:space="preserve"> </w:t>
      </w:r>
      <w:r w:rsidR="0074733C" w:rsidRPr="00672F96">
        <w:rPr>
          <w:szCs w:val="22"/>
        </w:rPr>
        <w:t xml:space="preserve">of </w:t>
      </w:r>
      <w:proofErr w:type="spellStart"/>
      <w:r w:rsidR="0074733C" w:rsidRPr="00672F96">
        <w:rPr>
          <w:szCs w:val="22"/>
        </w:rPr>
        <w:t>treosulfan</w:t>
      </w:r>
      <w:proofErr w:type="spellEnd"/>
      <w:r w:rsidR="0074733C" w:rsidRPr="00672F96">
        <w:rPr>
          <w:szCs w:val="22"/>
        </w:rPr>
        <w:t xml:space="preserve"> </w:t>
      </w:r>
      <w:r w:rsidR="00C124A3" w:rsidRPr="00672F96">
        <w:rPr>
          <w:szCs w:val="22"/>
        </w:rPr>
        <w:t xml:space="preserve">per </w:t>
      </w:r>
      <w:r w:rsidR="00F72255" w:rsidRPr="00672F96">
        <w:rPr>
          <w:szCs w:val="22"/>
        </w:rPr>
        <w:t>d</w:t>
      </w:r>
      <w:r w:rsidR="009D79D7" w:rsidRPr="00672F96">
        <w:rPr>
          <w:szCs w:val="22"/>
        </w:rPr>
        <w:t>ay</w:t>
      </w:r>
      <w:r w:rsidRPr="00672F96">
        <w:rPr>
          <w:szCs w:val="22"/>
        </w:rPr>
        <w:t xml:space="preserve">, </w:t>
      </w:r>
      <w:r w:rsidR="0074733C" w:rsidRPr="00672F96">
        <w:rPr>
          <w:szCs w:val="22"/>
        </w:rPr>
        <w:t xml:space="preserve">from </w:t>
      </w:r>
      <w:r w:rsidR="009B2A66" w:rsidRPr="00672F96">
        <w:rPr>
          <w:szCs w:val="22"/>
        </w:rPr>
        <w:t>d</w:t>
      </w:r>
      <w:r w:rsidRPr="00672F96">
        <w:rPr>
          <w:szCs w:val="22"/>
        </w:rPr>
        <w:t>ay</w:t>
      </w:r>
      <w:r w:rsidR="009B2A66" w:rsidRPr="00672F96">
        <w:rPr>
          <w:szCs w:val="22"/>
        </w:rPr>
        <w:t> </w:t>
      </w:r>
      <w:r w:rsidRPr="00672F96">
        <w:rPr>
          <w:szCs w:val="22"/>
        </w:rPr>
        <w:noBreakHyphen/>
        <w:t xml:space="preserve">4 to </w:t>
      </w:r>
      <w:r w:rsidRPr="00672F96">
        <w:rPr>
          <w:szCs w:val="22"/>
        </w:rPr>
        <w:noBreakHyphen/>
        <w:t>2 (</w:t>
      </w:r>
      <w:r w:rsidR="001D0F1A">
        <w:rPr>
          <w:szCs w:val="22"/>
        </w:rPr>
        <w:t>8.1</w:t>
      </w:r>
      <w:r w:rsidRPr="00672F96">
        <w:rPr>
          <w:szCs w:val="22"/>
        </w:rPr>
        <w:t>%).</w:t>
      </w:r>
    </w:p>
    <w:p w14:paraId="2F94C1E4" w14:textId="77777777" w:rsidR="00A9315C" w:rsidRPr="00672F96" w:rsidRDefault="00A9315C" w:rsidP="00672F96">
      <w:pPr>
        <w:spacing w:line="240" w:lineRule="auto"/>
        <w:rPr>
          <w:i/>
          <w:szCs w:val="22"/>
        </w:rPr>
      </w:pPr>
    </w:p>
    <w:p w14:paraId="2F94C1E5" w14:textId="77777777" w:rsidR="00A9315C" w:rsidRPr="00BC2D97" w:rsidRDefault="00522617" w:rsidP="00672F96">
      <w:pPr>
        <w:spacing w:line="240" w:lineRule="auto"/>
        <w:rPr>
          <w:i/>
          <w:szCs w:val="22"/>
          <w:u w:val="single"/>
        </w:rPr>
      </w:pPr>
      <w:r w:rsidRPr="00BC2D97">
        <w:rPr>
          <w:i/>
          <w:szCs w:val="22"/>
          <w:u w:val="single"/>
        </w:rPr>
        <w:t xml:space="preserve">Neoplasms benign, </w:t>
      </w:r>
      <w:proofErr w:type="gramStart"/>
      <w:r w:rsidRPr="00BC2D97">
        <w:rPr>
          <w:i/>
          <w:szCs w:val="22"/>
          <w:u w:val="single"/>
        </w:rPr>
        <w:t>malignant</w:t>
      </w:r>
      <w:proofErr w:type="gramEnd"/>
      <w:r w:rsidRPr="00BC2D97">
        <w:rPr>
          <w:i/>
          <w:szCs w:val="22"/>
          <w:u w:val="single"/>
        </w:rPr>
        <w:t xml:space="preserve"> and unspecified (including cysts and polyps)</w:t>
      </w:r>
    </w:p>
    <w:p w14:paraId="2F94C1E6" w14:textId="77777777" w:rsidR="00716817" w:rsidRPr="00BC2D97" w:rsidRDefault="00716817" w:rsidP="00672F96">
      <w:pPr>
        <w:spacing w:line="240" w:lineRule="auto"/>
        <w:rPr>
          <w:i/>
          <w:szCs w:val="22"/>
        </w:rPr>
      </w:pPr>
    </w:p>
    <w:p w14:paraId="2F94C1E7" w14:textId="01C0DF2B" w:rsidR="00304290" w:rsidRPr="00672F96" w:rsidRDefault="00522617" w:rsidP="00672F96">
      <w:pPr>
        <w:spacing w:line="240" w:lineRule="auto"/>
        <w:rPr>
          <w:szCs w:val="22"/>
        </w:rPr>
      </w:pPr>
      <w:r w:rsidRPr="00BC2D97">
        <w:rPr>
          <w:szCs w:val="22"/>
        </w:rPr>
        <w:t xml:space="preserve">One of </w:t>
      </w:r>
      <w:r w:rsidR="001D0F1A">
        <w:rPr>
          <w:szCs w:val="22"/>
        </w:rPr>
        <w:t>613</w:t>
      </w:r>
      <w:r w:rsidR="001D0F1A" w:rsidRPr="00BC2D97">
        <w:rPr>
          <w:szCs w:val="22"/>
        </w:rPr>
        <w:t> </w:t>
      </w:r>
      <w:r w:rsidRPr="00BC2D97">
        <w:rPr>
          <w:szCs w:val="22"/>
        </w:rPr>
        <w:t>adult patients</w:t>
      </w:r>
      <w:r w:rsidR="0018143E" w:rsidRPr="00BC2D97">
        <w:rPr>
          <w:szCs w:val="22"/>
        </w:rPr>
        <w:t xml:space="preserve"> (0.2%)</w:t>
      </w:r>
      <w:r w:rsidRPr="00BC2D97">
        <w:rPr>
          <w:szCs w:val="22"/>
        </w:rPr>
        <w:t xml:space="preserve"> developed a second malignancy (breast cancer)</w:t>
      </w:r>
      <w:r w:rsidR="00650B72" w:rsidRPr="00BC2D97">
        <w:rPr>
          <w:szCs w:val="22"/>
        </w:rPr>
        <w:t xml:space="preserve">. </w:t>
      </w:r>
      <w:r w:rsidR="007D5E21" w:rsidRPr="00BC2D97">
        <w:rPr>
          <w:szCs w:val="22"/>
        </w:rPr>
        <w:t>A few further cases of second malignancies</w:t>
      </w:r>
      <w:r w:rsidR="00FB3CDF" w:rsidRPr="00BC2D97">
        <w:rPr>
          <w:szCs w:val="22"/>
        </w:rPr>
        <w:t xml:space="preserve"> after </w:t>
      </w:r>
      <w:proofErr w:type="spellStart"/>
      <w:r w:rsidR="00FB3CDF" w:rsidRPr="00BC2D97">
        <w:rPr>
          <w:szCs w:val="22"/>
        </w:rPr>
        <w:t>treosulfan</w:t>
      </w:r>
      <w:proofErr w:type="spellEnd"/>
      <w:r w:rsidR="00716817" w:rsidRPr="00BC2D97">
        <w:rPr>
          <w:szCs w:val="22"/>
        </w:rPr>
        <w:noBreakHyphen/>
      </w:r>
      <w:r w:rsidR="00FB3CDF" w:rsidRPr="00BC2D97">
        <w:rPr>
          <w:szCs w:val="22"/>
        </w:rPr>
        <w:t>based conditioning have been reported by other investigators.</w:t>
      </w:r>
      <w:r w:rsidR="009B2A66" w:rsidRPr="00BC2D97">
        <w:rPr>
          <w:szCs w:val="22"/>
        </w:rPr>
        <w:t xml:space="preserve"> </w:t>
      </w:r>
      <w:r w:rsidR="009E4832" w:rsidRPr="00BC2D97">
        <w:rPr>
          <w:szCs w:val="22"/>
        </w:rPr>
        <w:t>After</w:t>
      </w:r>
      <w:r w:rsidRPr="00BC2D97">
        <w:rPr>
          <w:szCs w:val="22"/>
        </w:rPr>
        <w:t xml:space="preserve"> long</w:t>
      </w:r>
      <w:r w:rsidR="00716817" w:rsidRPr="00BC2D97">
        <w:rPr>
          <w:szCs w:val="22"/>
        </w:rPr>
        <w:noBreakHyphen/>
      </w:r>
      <w:r w:rsidRPr="00BC2D97">
        <w:rPr>
          <w:szCs w:val="22"/>
        </w:rPr>
        <w:t>term therapy</w:t>
      </w:r>
      <w:r w:rsidRPr="00672F96">
        <w:rPr>
          <w:szCs w:val="22"/>
        </w:rPr>
        <w:t xml:space="preserve"> with conventional doses of oral </w:t>
      </w:r>
      <w:proofErr w:type="spellStart"/>
      <w:r w:rsidRPr="00672F96">
        <w:rPr>
          <w:szCs w:val="22"/>
        </w:rPr>
        <w:t>treosulfan</w:t>
      </w:r>
      <w:proofErr w:type="spellEnd"/>
      <w:r w:rsidRPr="00672F96">
        <w:rPr>
          <w:szCs w:val="22"/>
        </w:rPr>
        <w:t xml:space="preserve"> in patients with solid tumours acute </w:t>
      </w:r>
      <w:r w:rsidR="00EB7856" w:rsidRPr="00672F96">
        <w:rPr>
          <w:szCs w:val="22"/>
        </w:rPr>
        <w:t>myeloid</w:t>
      </w:r>
      <w:r w:rsidRPr="00672F96">
        <w:rPr>
          <w:szCs w:val="22"/>
        </w:rPr>
        <w:t xml:space="preserve"> leukaemia was observed in 1.4% of </w:t>
      </w:r>
      <w:r w:rsidR="00395B38" w:rsidRPr="00672F96">
        <w:rPr>
          <w:szCs w:val="22"/>
        </w:rPr>
        <w:t>553</w:t>
      </w:r>
      <w:r w:rsidR="009B2A66" w:rsidRPr="00672F96">
        <w:rPr>
          <w:szCs w:val="22"/>
        </w:rPr>
        <w:t> </w:t>
      </w:r>
      <w:r w:rsidRPr="00672F96">
        <w:rPr>
          <w:szCs w:val="22"/>
        </w:rPr>
        <w:t>patients.</w:t>
      </w:r>
    </w:p>
    <w:p w14:paraId="2F94C1E8" w14:textId="77777777" w:rsidR="00A9315C" w:rsidRPr="00672F96" w:rsidRDefault="00A9315C" w:rsidP="00672F96">
      <w:pPr>
        <w:spacing w:line="240" w:lineRule="auto"/>
        <w:rPr>
          <w:szCs w:val="22"/>
        </w:rPr>
      </w:pPr>
    </w:p>
    <w:p w14:paraId="2F94C1E9" w14:textId="77777777" w:rsidR="009B2A66" w:rsidRPr="00BC2D97" w:rsidRDefault="00522617" w:rsidP="00672F96">
      <w:pPr>
        <w:spacing w:line="240" w:lineRule="auto"/>
        <w:rPr>
          <w:i/>
          <w:szCs w:val="22"/>
          <w:u w:val="single"/>
        </w:rPr>
      </w:pPr>
      <w:r w:rsidRPr="00BC2D97">
        <w:rPr>
          <w:i/>
          <w:szCs w:val="22"/>
          <w:u w:val="single"/>
        </w:rPr>
        <w:t>Blood and lymphatic system disorders</w:t>
      </w:r>
    </w:p>
    <w:p w14:paraId="2F94C1EA" w14:textId="77777777" w:rsidR="00716817" w:rsidRPr="00BC2D97" w:rsidRDefault="00716817" w:rsidP="00672F96">
      <w:pPr>
        <w:spacing w:line="240" w:lineRule="auto"/>
        <w:rPr>
          <w:i/>
          <w:szCs w:val="22"/>
        </w:rPr>
      </w:pPr>
    </w:p>
    <w:p w14:paraId="2F94C1EB" w14:textId="7797BD6F" w:rsidR="009B2A66" w:rsidRPr="00BC2D97" w:rsidRDefault="00522617" w:rsidP="00672F96">
      <w:pPr>
        <w:spacing w:line="240" w:lineRule="auto"/>
        <w:rPr>
          <w:szCs w:val="22"/>
        </w:rPr>
      </w:pPr>
      <w:r w:rsidRPr="00BC2D97">
        <w:rPr>
          <w:szCs w:val="22"/>
        </w:rPr>
        <w:t>Blood disorders were observed in </w:t>
      </w:r>
      <w:r w:rsidR="001D0F1A">
        <w:rPr>
          <w:szCs w:val="22"/>
        </w:rPr>
        <w:t>70</w:t>
      </w:r>
      <w:r w:rsidR="001D0F1A" w:rsidRPr="00BC2D97">
        <w:rPr>
          <w:szCs w:val="22"/>
        </w:rPr>
        <w:t xml:space="preserve"> </w:t>
      </w:r>
      <w:r w:rsidRPr="00BC2D97">
        <w:rPr>
          <w:szCs w:val="22"/>
        </w:rPr>
        <w:t xml:space="preserve">of </w:t>
      </w:r>
      <w:r w:rsidR="001D0F1A">
        <w:rPr>
          <w:szCs w:val="22"/>
        </w:rPr>
        <w:t>613</w:t>
      </w:r>
      <w:r w:rsidRPr="00BC2D97">
        <w:rPr>
          <w:szCs w:val="22"/>
        </w:rPr>
        <w:t> adult patients (11.</w:t>
      </w:r>
      <w:r w:rsidR="001D0F1A">
        <w:rPr>
          <w:szCs w:val="22"/>
        </w:rPr>
        <w:t>4</w:t>
      </w:r>
      <w:r w:rsidRPr="00BC2D97">
        <w:rPr>
          <w:szCs w:val="22"/>
        </w:rPr>
        <w:t>%). The most frequent adverse reaction was febrile neutropenia (</w:t>
      </w:r>
      <w:r w:rsidR="001D0F1A">
        <w:rPr>
          <w:szCs w:val="22"/>
        </w:rPr>
        <w:t>10.9</w:t>
      </w:r>
      <w:r w:rsidRPr="00BC2D97">
        <w:rPr>
          <w:szCs w:val="22"/>
        </w:rPr>
        <w:t>%). The lowest incidence was noted with the dose regimen of 10 g/m²/d</w:t>
      </w:r>
      <w:r w:rsidR="0074733C" w:rsidRPr="00BC2D97">
        <w:rPr>
          <w:szCs w:val="22"/>
        </w:rPr>
        <w:t>ay</w:t>
      </w:r>
      <w:r w:rsidRPr="00BC2D97">
        <w:rPr>
          <w:szCs w:val="22"/>
        </w:rPr>
        <w:t>, day </w:t>
      </w:r>
      <w:r w:rsidRPr="00BC2D97">
        <w:rPr>
          <w:szCs w:val="22"/>
        </w:rPr>
        <w:noBreakHyphen/>
        <w:t xml:space="preserve">4 to </w:t>
      </w:r>
      <w:r w:rsidRPr="00BC2D97">
        <w:rPr>
          <w:szCs w:val="22"/>
        </w:rPr>
        <w:noBreakHyphen/>
        <w:t>2 (4.</w:t>
      </w:r>
      <w:r w:rsidR="001D0F1A">
        <w:rPr>
          <w:szCs w:val="22"/>
        </w:rPr>
        <w:t>4</w:t>
      </w:r>
      <w:r w:rsidRPr="00BC2D97">
        <w:rPr>
          <w:szCs w:val="22"/>
        </w:rPr>
        <w:t>%).</w:t>
      </w:r>
    </w:p>
    <w:p w14:paraId="2F94C1EC" w14:textId="77777777" w:rsidR="009B2A66" w:rsidRPr="00BC2D97" w:rsidRDefault="00522617" w:rsidP="00672F96">
      <w:pPr>
        <w:spacing w:line="240" w:lineRule="auto"/>
        <w:rPr>
          <w:szCs w:val="22"/>
        </w:rPr>
      </w:pPr>
      <w:r w:rsidRPr="00BC2D97">
        <w:rPr>
          <w:szCs w:val="22"/>
        </w:rPr>
        <w:t>The m</w:t>
      </w:r>
      <w:r w:rsidR="00DE6CCE" w:rsidRPr="00BC2D97">
        <w:rPr>
          <w:szCs w:val="22"/>
        </w:rPr>
        <w:t xml:space="preserve">edian (25%/75% percentiles) duration of neutropenia was 14 (12, 20) days with the 10 g/m² </w:t>
      </w:r>
      <w:proofErr w:type="spellStart"/>
      <w:r w:rsidR="00DE6CCE" w:rsidRPr="00BC2D97">
        <w:rPr>
          <w:szCs w:val="22"/>
        </w:rPr>
        <w:t>treosulfan</w:t>
      </w:r>
      <w:proofErr w:type="spellEnd"/>
      <w:r w:rsidR="00DE6CCE" w:rsidRPr="00BC2D97">
        <w:rPr>
          <w:szCs w:val="22"/>
        </w:rPr>
        <w:t xml:space="preserve"> dose and 17.5 (14, 21) days with the 14 g/m² </w:t>
      </w:r>
      <w:proofErr w:type="spellStart"/>
      <w:r w:rsidR="00DE6CCE" w:rsidRPr="00BC2D97">
        <w:rPr>
          <w:szCs w:val="22"/>
        </w:rPr>
        <w:t>treosulfan</w:t>
      </w:r>
      <w:proofErr w:type="spellEnd"/>
      <w:r w:rsidR="00DE6CCE" w:rsidRPr="00BC2D97">
        <w:rPr>
          <w:szCs w:val="22"/>
        </w:rPr>
        <w:t xml:space="preserve"> dose.</w:t>
      </w:r>
    </w:p>
    <w:p w14:paraId="2F94C1ED" w14:textId="77777777" w:rsidR="009B2A66" w:rsidRPr="00BC2D97" w:rsidRDefault="009B2A66" w:rsidP="00672F96">
      <w:pPr>
        <w:spacing w:line="240" w:lineRule="auto"/>
        <w:rPr>
          <w:szCs w:val="22"/>
        </w:rPr>
      </w:pPr>
    </w:p>
    <w:p w14:paraId="2F94C1EE" w14:textId="77777777" w:rsidR="009B2A66" w:rsidRDefault="00522617" w:rsidP="00672F96">
      <w:pPr>
        <w:spacing w:line="240" w:lineRule="auto"/>
        <w:rPr>
          <w:i/>
          <w:szCs w:val="22"/>
          <w:u w:val="single"/>
        </w:rPr>
      </w:pPr>
      <w:r w:rsidRPr="00BC2D97">
        <w:rPr>
          <w:i/>
          <w:szCs w:val="22"/>
          <w:u w:val="single"/>
        </w:rPr>
        <w:t>Cardiac disorders</w:t>
      </w:r>
    </w:p>
    <w:p w14:paraId="2F94C1EF" w14:textId="77777777" w:rsidR="00716817" w:rsidRPr="00716817" w:rsidRDefault="00716817" w:rsidP="00672F96">
      <w:pPr>
        <w:spacing w:line="240" w:lineRule="auto"/>
        <w:rPr>
          <w:i/>
          <w:szCs w:val="22"/>
          <w:u w:val="single"/>
        </w:rPr>
      </w:pPr>
    </w:p>
    <w:p w14:paraId="2F94C1F0" w14:textId="530CC876" w:rsidR="009B2A66" w:rsidRPr="00672F96" w:rsidRDefault="00522617" w:rsidP="00672F96">
      <w:pPr>
        <w:spacing w:line="240" w:lineRule="auto"/>
        <w:rPr>
          <w:szCs w:val="22"/>
          <w:u w:val="single"/>
        </w:rPr>
      </w:pPr>
      <w:r w:rsidRPr="00672F96">
        <w:rPr>
          <w:szCs w:val="22"/>
        </w:rPr>
        <w:t xml:space="preserve">Cardiac disorders were observed in </w:t>
      </w:r>
      <w:r w:rsidR="001D0F1A">
        <w:rPr>
          <w:szCs w:val="22"/>
        </w:rPr>
        <w:t>26</w:t>
      </w:r>
      <w:r w:rsidR="001D0F1A" w:rsidRPr="00672F96">
        <w:rPr>
          <w:szCs w:val="22"/>
        </w:rPr>
        <w:t> </w:t>
      </w:r>
      <w:r w:rsidRPr="00672F96">
        <w:rPr>
          <w:szCs w:val="22"/>
        </w:rPr>
        <w:t>patients (4.</w:t>
      </w:r>
      <w:r w:rsidR="001D0F1A">
        <w:rPr>
          <w:szCs w:val="22"/>
        </w:rPr>
        <w:t>2</w:t>
      </w:r>
      <w:r w:rsidRPr="00672F96">
        <w:rPr>
          <w:szCs w:val="22"/>
        </w:rPr>
        <w:t xml:space="preserve">%). </w:t>
      </w:r>
      <w:r w:rsidR="0038429C">
        <w:rPr>
          <w:szCs w:val="22"/>
        </w:rPr>
        <w:t>The m</w:t>
      </w:r>
      <w:r w:rsidRPr="00672F96">
        <w:rPr>
          <w:szCs w:val="22"/>
        </w:rPr>
        <w:t xml:space="preserve">ost frequent adverse reactions were cardiac arrhythmias, </w:t>
      </w:r>
      <w:proofErr w:type="gramStart"/>
      <w:r w:rsidRPr="00672F96">
        <w:rPr>
          <w:szCs w:val="22"/>
        </w:rPr>
        <w:t>e.g.</w:t>
      </w:r>
      <w:proofErr w:type="gramEnd"/>
      <w:r w:rsidRPr="00672F96">
        <w:rPr>
          <w:szCs w:val="22"/>
        </w:rPr>
        <w:t xml:space="preserve"> atrial fibrillation (1.</w:t>
      </w:r>
      <w:r w:rsidR="001D0F1A">
        <w:rPr>
          <w:szCs w:val="22"/>
        </w:rPr>
        <w:t>1</w:t>
      </w:r>
      <w:r w:rsidRPr="00672F96">
        <w:rPr>
          <w:szCs w:val="22"/>
        </w:rPr>
        <w:t>%), sinus tachycardia (</w:t>
      </w:r>
      <w:r w:rsidR="001D0F1A">
        <w:rPr>
          <w:szCs w:val="22"/>
        </w:rPr>
        <w:t>1.0</w:t>
      </w:r>
      <w:r w:rsidRPr="00672F96">
        <w:rPr>
          <w:szCs w:val="22"/>
        </w:rPr>
        <w:t xml:space="preserve">%), </w:t>
      </w:r>
      <w:r w:rsidR="001D0F1A">
        <w:rPr>
          <w:szCs w:val="22"/>
        </w:rPr>
        <w:t xml:space="preserve">pericardial effusion (0.3%), </w:t>
      </w:r>
      <w:r w:rsidRPr="00672F96">
        <w:rPr>
          <w:szCs w:val="22"/>
        </w:rPr>
        <w:t>supraventricular tachycardia (0.</w:t>
      </w:r>
      <w:r w:rsidR="001D0F1A">
        <w:rPr>
          <w:szCs w:val="22"/>
        </w:rPr>
        <w:t>3</w:t>
      </w:r>
      <w:r w:rsidRPr="00672F96">
        <w:rPr>
          <w:szCs w:val="22"/>
        </w:rPr>
        <w:t>%), and ventricular extrasystole (0.</w:t>
      </w:r>
      <w:r w:rsidR="001D0F1A">
        <w:rPr>
          <w:szCs w:val="22"/>
        </w:rPr>
        <w:t>3</w:t>
      </w:r>
      <w:r w:rsidRPr="00672F96">
        <w:rPr>
          <w:szCs w:val="22"/>
        </w:rPr>
        <w:t>%). Isolated cases of cardiac arrest, cardiac failure, and myocardial infarction occurred. The lowest frequency of cardiac disorders was seen with the dose regimen of 10 g/m²/d</w:t>
      </w:r>
      <w:r w:rsidR="008538F9" w:rsidRPr="00672F96">
        <w:rPr>
          <w:szCs w:val="22"/>
        </w:rPr>
        <w:t>ay</w:t>
      </w:r>
      <w:r w:rsidRPr="00672F96">
        <w:rPr>
          <w:szCs w:val="22"/>
        </w:rPr>
        <w:t>, day </w:t>
      </w:r>
      <w:r w:rsidRPr="00672F96">
        <w:rPr>
          <w:szCs w:val="22"/>
        </w:rPr>
        <w:noBreakHyphen/>
        <w:t xml:space="preserve">4 to </w:t>
      </w:r>
      <w:r w:rsidRPr="00672F96">
        <w:rPr>
          <w:szCs w:val="22"/>
        </w:rPr>
        <w:noBreakHyphen/>
        <w:t>2 (2.</w:t>
      </w:r>
      <w:r w:rsidR="001D0F1A">
        <w:rPr>
          <w:szCs w:val="22"/>
        </w:rPr>
        <w:t>6</w:t>
      </w:r>
      <w:r w:rsidRPr="00672F96">
        <w:rPr>
          <w:szCs w:val="22"/>
        </w:rPr>
        <w:t>%).</w:t>
      </w:r>
    </w:p>
    <w:p w14:paraId="2F94C1F1" w14:textId="77777777" w:rsidR="00AE0267" w:rsidRPr="00672F96" w:rsidRDefault="00AE0267" w:rsidP="00672F96">
      <w:pPr>
        <w:spacing w:line="240" w:lineRule="auto"/>
        <w:rPr>
          <w:szCs w:val="22"/>
          <w:u w:val="single"/>
        </w:rPr>
      </w:pPr>
    </w:p>
    <w:p w14:paraId="2F94C1F2" w14:textId="77777777" w:rsidR="009B2A66" w:rsidRPr="00BC2D97" w:rsidRDefault="00522617" w:rsidP="00672F96">
      <w:pPr>
        <w:spacing w:line="240" w:lineRule="auto"/>
        <w:rPr>
          <w:i/>
          <w:szCs w:val="22"/>
          <w:u w:val="single"/>
        </w:rPr>
      </w:pPr>
      <w:r w:rsidRPr="00BC2D97">
        <w:rPr>
          <w:i/>
          <w:szCs w:val="22"/>
          <w:u w:val="single"/>
        </w:rPr>
        <w:t>Gastrointestinal disorders</w:t>
      </w:r>
    </w:p>
    <w:p w14:paraId="2F94C1F3" w14:textId="77777777" w:rsidR="00716817" w:rsidRPr="00BC2D97" w:rsidRDefault="00716817" w:rsidP="00672F96">
      <w:pPr>
        <w:spacing w:line="240" w:lineRule="auto"/>
        <w:rPr>
          <w:szCs w:val="22"/>
          <w:u w:val="single"/>
        </w:rPr>
      </w:pPr>
    </w:p>
    <w:p w14:paraId="2F94C1F4" w14:textId="06016634" w:rsidR="009B2A66" w:rsidRPr="00BC2D97" w:rsidRDefault="00522617" w:rsidP="00672F96">
      <w:pPr>
        <w:spacing w:line="240" w:lineRule="auto"/>
        <w:rPr>
          <w:szCs w:val="22"/>
          <w:u w:val="single"/>
        </w:rPr>
      </w:pPr>
      <w:r w:rsidRPr="00BC2D97">
        <w:rPr>
          <w:szCs w:val="22"/>
        </w:rPr>
        <w:t xml:space="preserve">Gastrointestinal disorders were observed in </w:t>
      </w:r>
      <w:r w:rsidR="0000239E">
        <w:rPr>
          <w:szCs w:val="22"/>
        </w:rPr>
        <w:t>383</w:t>
      </w:r>
      <w:r w:rsidR="0000239E" w:rsidRPr="00BC2D97">
        <w:rPr>
          <w:szCs w:val="22"/>
        </w:rPr>
        <w:t> </w:t>
      </w:r>
      <w:r w:rsidRPr="00BC2D97">
        <w:rPr>
          <w:szCs w:val="22"/>
        </w:rPr>
        <w:t>patients (</w:t>
      </w:r>
      <w:r w:rsidR="0000239E">
        <w:rPr>
          <w:szCs w:val="22"/>
        </w:rPr>
        <w:t>62.5</w:t>
      </w:r>
      <w:r w:rsidRPr="00BC2D97">
        <w:rPr>
          <w:szCs w:val="22"/>
        </w:rPr>
        <w:t>%). The most frequent adverse reactions reported were nausea (</w:t>
      </w:r>
      <w:r w:rsidR="0000239E" w:rsidRPr="00BC2D97">
        <w:rPr>
          <w:szCs w:val="22"/>
        </w:rPr>
        <w:t>3</w:t>
      </w:r>
      <w:r w:rsidR="0000239E">
        <w:rPr>
          <w:szCs w:val="22"/>
        </w:rPr>
        <w:t>8</w:t>
      </w:r>
      <w:r w:rsidRPr="00BC2D97">
        <w:rPr>
          <w:szCs w:val="22"/>
        </w:rPr>
        <w:t>.5%), stomatitis (36</w:t>
      </w:r>
      <w:r w:rsidR="0000239E">
        <w:rPr>
          <w:szCs w:val="22"/>
        </w:rPr>
        <w:t>.4</w:t>
      </w:r>
      <w:r w:rsidRPr="00BC2D97">
        <w:rPr>
          <w:szCs w:val="22"/>
        </w:rPr>
        <w:t>%), vomiting (22.5%), diarrhoea (15.</w:t>
      </w:r>
      <w:r w:rsidR="0000239E">
        <w:rPr>
          <w:szCs w:val="22"/>
        </w:rPr>
        <w:t>2</w:t>
      </w:r>
      <w:r w:rsidRPr="00BC2D97">
        <w:rPr>
          <w:szCs w:val="22"/>
        </w:rPr>
        <w:t>%), and abdominal pain (10.</w:t>
      </w:r>
      <w:r w:rsidR="0000239E">
        <w:rPr>
          <w:szCs w:val="22"/>
        </w:rPr>
        <w:t>6</w:t>
      </w:r>
      <w:r w:rsidRPr="00BC2D97">
        <w:rPr>
          <w:szCs w:val="22"/>
        </w:rPr>
        <w:t>%). The lowest frequencies of these adverse reactions were seen with the dose regimen of 10 g/m²</w:t>
      </w:r>
      <w:r w:rsidR="00C124A3" w:rsidRPr="00BC2D97">
        <w:rPr>
          <w:szCs w:val="22"/>
        </w:rPr>
        <w:t xml:space="preserve"> per </w:t>
      </w:r>
      <w:r w:rsidRPr="00BC2D97">
        <w:rPr>
          <w:szCs w:val="22"/>
        </w:rPr>
        <w:t>d</w:t>
      </w:r>
      <w:r w:rsidR="009D79D7" w:rsidRPr="00BC2D97">
        <w:rPr>
          <w:szCs w:val="22"/>
        </w:rPr>
        <w:t>ay</w:t>
      </w:r>
      <w:r w:rsidRPr="00BC2D97">
        <w:rPr>
          <w:szCs w:val="22"/>
        </w:rPr>
        <w:t>, day </w:t>
      </w:r>
      <w:r w:rsidRPr="00BC2D97">
        <w:rPr>
          <w:szCs w:val="22"/>
        </w:rPr>
        <w:noBreakHyphen/>
        <w:t xml:space="preserve">4 to </w:t>
      </w:r>
      <w:r w:rsidRPr="00BC2D97">
        <w:rPr>
          <w:szCs w:val="22"/>
        </w:rPr>
        <w:noBreakHyphen/>
        <w:t>2 (</w:t>
      </w:r>
      <w:r w:rsidR="0000239E" w:rsidRPr="00BC2D97">
        <w:rPr>
          <w:szCs w:val="22"/>
        </w:rPr>
        <w:t>(</w:t>
      </w:r>
      <w:r w:rsidR="0000239E">
        <w:rPr>
          <w:szCs w:val="22"/>
        </w:rPr>
        <w:t>21.5</w:t>
      </w:r>
      <w:r w:rsidR="0000239E" w:rsidRPr="00BC2D97">
        <w:rPr>
          <w:szCs w:val="22"/>
        </w:rPr>
        <w:t xml:space="preserve">%, </w:t>
      </w:r>
      <w:r w:rsidR="0000239E">
        <w:rPr>
          <w:szCs w:val="22"/>
        </w:rPr>
        <w:t>32.2</w:t>
      </w:r>
      <w:r w:rsidR="0000239E" w:rsidRPr="00BC2D97">
        <w:rPr>
          <w:szCs w:val="22"/>
        </w:rPr>
        <w:t xml:space="preserve">%, </w:t>
      </w:r>
      <w:r w:rsidR="0000239E">
        <w:rPr>
          <w:szCs w:val="22"/>
        </w:rPr>
        <w:t>14.8</w:t>
      </w:r>
      <w:r w:rsidR="0000239E" w:rsidRPr="00BC2D97">
        <w:rPr>
          <w:szCs w:val="22"/>
        </w:rPr>
        <w:t>%, 5.</w:t>
      </w:r>
      <w:r w:rsidR="0000239E">
        <w:rPr>
          <w:szCs w:val="22"/>
        </w:rPr>
        <w:t>9</w:t>
      </w:r>
      <w:r w:rsidR="0000239E" w:rsidRPr="00BC2D97">
        <w:rPr>
          <w:szCs w:val="22"/>
        </w:rPr>
        <w:t xml:space="preserve">%, and </w:t>
      </w:r>
      <w:r w:rsidR="0000239E">
        <w:rPr>
          <w:szCs w:val="22"/>
        </w:rPr>
        <w:t>6.7</w:t>
      </w:r>
      <w:r w:rsidR="0000239E" w:rsidRPr="00BC2D97">
        <w:rPr>
          <w:szCs w:val="22"/>
        </w:rPr>
        <w:t>%</w:t>
      </w:r>
      <w:r w:rsidRPr="00BC2D97">
        <w:rPr>
          <w:szCs w:val="22"/>
        </w:rPr>
        <w:t xml:space="preserve"> respectively).</w:t>
      </w:r>
    </w:p>
    <w:p w14:paraId="2F94C1F5" w14:textId="77777777" w:rsidR="00B77F83" w:rsidRPr="00BC2D97" w:rsidRDefault="00B77F83" w:rsidP="00672F96">
      <w:pPr>
        <w:spacing w:line="240" w:lineRule="auto"/>
        <w:rPr>
          <w:szCs w:val="22"/>
          <w:u w:val="single"/>
        </w:rPr>
      </w:pPr>
    </w:p>
    <w:p w14:paraId="2F94C1F6" w14:textId="77777777" w:rsidR="009B2A66" w:rsidRDefault="00522617" w:rsidP="00672F96">
      <w:pPr>
        <w:spacing w:line="240" w:lineRule="auto"/>
        <w:rPr>
          <w:i/>
          <w:szCs w:val="22"/>
          <w:u w:val="single"/>
        </w:rPr>
      </w:pPr>
      <w:r w:rsidRPr="00BC2D97">
        <w:rPr>
          <w:i/>
          <w:szCs w:val="22"/>
          <w:u w:val="single"/>
        </w:rPr>
        <w:t>Hepatobiliary disorders</w:t>
      </w:r>
    </w:p>
    <w:p w14:paraId="2F94C1F7" w14:textId="77777777" w:rsidR="00716817" w:rsidRPr="00716817" w:rsidRDefault="00716817" w:rsidP="00672F96">
      <w:pPr>
        <w:spacing w:line="240" w:lineRule="auto"/>
        <w:rPr>
          <w:i/>
          <w:szCs w:val="22"/>
          <w:u w:val="single"/>
        </w:rPr>
      </w:pPr>
    </w:p>
    <w:p w14:paraId="2F94C1F8" w14:textId="561ABEA5" w:rsidR="00AE0267" w:rsidRPr="00672F96" w:rsidRDefault="00522617" w:rsidP="00672F96">
      <w:pPr>
        <w:spacing w:line="240" w:lineRule="auto"/>
        <w:rPr>
          <w:szCs w:val="22"/>
          <w:u w:val="single"/>
        </w:rPr>
      </w:pPr>
      <w:r w:rsidRPr="00672F96">
        <w:rPr>
          <w:szCs w:val="22"/>
        </w:rPr>
        <w:t>The o</w:t>
      </w:r>
      <w:r w:rsidR="00431181" w:rsidRPr="00672F96">
        <w:rPr>
          <w:szCs w:val="22"/>
        </w:rPr>
        <w:t xml:space="preserve">verall incidence of </w:t>
      </w:r>
      <w:proofErr w:type="spellStart"/>
      <w:r w:rsidR="00A2543F" w:rsidRPr="00672F96">
        <w:rPr>
          <w:szCs w:val="22"/>
        </w:rPr>
        <w:t>v</w:t>
      </w:r>
      <w:r w:rsidRPr="00672F96">
        <w:rPr>
          <w:szCs w:val="22"/>
        </w:rPr>
        <w:t>eno</w:t>
      </w:r>
      <w:proofErr w:type="spellEnd"/>
      <w:r w:rsidR="00716817">
        <w:rPr>
          <w:szCs w:val="22"/>
        </w:rPr>
        <w:noBreakHyphen/>
      </w:r>
      <w:r w:rsidRPr="00672F96">
        <w:rPr>
          <w:szCs w:val="22"/>
        </w:rPr>
        <w:t xml:space="preserve">occlusive liver disease (VOD) </w:t>
      </w:r>
      <w:r w:rsidR="00431181" w:rsidRPr="00672F96">
        <w:rPr>
          <w:szCs w:val="22"/>
        </w:rPr>
        <w:t>was 0.</w:t>
      </w:r>
      <w:r w:rsidR="0000239E">
        <w:rPr>
          <w:szCs w:val="22"/>
        </w:rPr>
        <w:t>8</w:t>
      </w:r>
      <w:r w:rsidRPr="00672F96">
        <w:rPr>
          <w:szCs w:val="22"/>
        </w:rPr>
        <w:t>% (5/</w:t>
      </w:r>
      <w:r w:rsidR="0000239E">
        <w:rPr>
          <w:szCs w:val="22"/>
        </w:rPr>
        <w:t>613</w:t>
      </w:r>
      <w:r w:rsidR="00431181" w:rsidRPr="00672F96">
        <w:rPr>
          <w:szCs w:val="22"/>
        </w:rPr>
        <w:t>)</w:t>
      </w:r>
      <w:r w:rsidRPr="00672F96">
        <w:rPr>
          <w:szCs w:val="22"/>
        </w:rPr>
        <w:t xml:space="preserve">. </w:t>
      </w:r>
      <w:r w:rsidR="006F3F4F" w:rsidRPr="00672F96">
        <w:rPr>
          <w:szCs w:val="22"/>
        </w:rPr>
        <w:t xml:space="preserve">VOD occurred only with the </w:t>
      </w:r>
      <w:r w:rsidR="005B4929" w:rsidRPr="00672F96">
        <w:rPr>
          <w:szCs w:val="22"/>
        </w:rPr>
        <w:t>dose regimen of 14 g/m²</w:t>
      </w:r>
      <w:r w:rsidR="00D6662F" w:rsidRPr="00672F96">
        <w:rPr>
          <w:szCs w:val="22"/>
        </w:rPr>
        <w:t>/d</w:t>
      </w:r>
      <w:r w:rsidR="008538F9" w:rsidRPr="00672F96">
        <w:rPr>
          <w:szCs w:val="22"/>
        </w:rPr>
        <w:t>ay</w:t>
      </w:r>
      <w:r w:rsidR="005B4929" w:rsidRPr="00672F96">
        <w:rPr>
          <w:szCs w:val="22"/>
        </w:rPr>
        <w:t xml:space="preserve"> </w:t>
      </w:r>
      <w:proofErr w:type="spellStart"/>
      <w:r w:rsidR="005B4929" w:rsidRPr="00672F96">
        <w:rPr>
          <w:szCs w:val="22"/>
        </w:rPr>
        <w:t>treosulfan</w:t>
      </w:r>
      <w:proofErr w:type="spellEnd"/>
      <w:r w:rsidR="005B4929" w:rsidRPr="00672F96">
        <w:rPr>
          <w:szCs w:val="22"/>
        </w:rPr>
        <w:t xml:space="preserve">. </w:t>
      </w:r>
      <w:r w:rsidR="001A1BF0" w:rsidRPr="00672F96">
        <w:rPr>
          <w:szCs w:val="22"/>
        </w:rPr>
        <w:t>None of these cases</w:t>
      </w:r>
      <w:r w:rsidRPr="00672F96">
        <w:rPr>
          <w:szCs w:val="22"/>
        </w:rPr>
        <w:t xml:space="preserve"> were fatal or life</w:t>
      </w:r>
      <w:r w:rsidR="00BC4314" w:rsidRPr="00672F96">
        <w:rPr>
          <w:szCs w:val="22"/>
        </w:rPr>
        <w:t>-</w:t>
      </w:r>
      <w:r w:rsidRPr="00672F96">
        <w:rPr>
          <w:szCs w:val="22"/>
        </w:rPr>
        <w:t xml:space="preserve">threatening. </w:t>
      </w:r>
    </w:p>
    <w:p w14:paraId="2F94C1F9" w14:textId="77777777" w:rsidR="00AE0267" w:rsidRPr="00672F96" w:rsidRDefault="00AE0267" w:rsidP="00672F96">
      <w:pPr>
        <w:spacing w:line="240" w:lineRule="auto"/>
        <w:rPr>
          <w:szCs w:val="22"/>
        </w:rPr>
      </w:pPr>
    </w:p>
    <w:p w14:paraId="2F94C1FA" w14:textId="77777777" w:rsidR="00F41027" w:rsidRPr="00672F96" w:rsidRDefault="00522617" w:rsidP="00672F96">
      <w:pPr>
        <w:spacing w:line="240" w:lineRule="auto"/>
        <w:rPr>
          <w:szCs w:val="22"/>
          <w:u w:val="single"/>
        </w:rPr>
      </w:pPr>
      <w:r w:rsidRPr="00672F96">
        <w:rPr>
          <w:szCs w:val="22"/>
          <w:u w:val="single"/>
        </w:rPr>
        <w:t>Paediatric population</w:t>
      </w:r>
    </w:p>
    <w:p w14:paraId="2F94C1FB" w14:textId="77777777" w:rsidR="009A1547" w:rsidRPr="00672F96" w:rsidRDefault="009A1547" w:rsidP="00672F96">
      <w:pPr>
        <w:spacing w:line="240" w:lineRule="auto"/>
        <w:rPr>
          <w:szCs w:val="22"/>
          <w:u w:val="single"/>
        </w:rPr>
      </w:pPr>
    </w:p>
    <w:p w14:paraId="2F94C1FC" w14:textId="77777777" w:rsidR="009A1547" w:rsidRPr="00716817" w:rsidRDefault="00522617" w:rsidP="00672F96">
      <w:pPr>
        <w:spacing w:line="240" w:lineRule="auto"/>
        <w:rPr>
          <w:i/>
          <w:szCs w:val="22"/>
        </w:rPr>
      </w:pPr>
      <w:r w:rsidRPr="00BC2D97">
        <w:rPr>
          <w:i/>
          <w:szCs w:val="22"/>
        </w:rPr>
        <w:t>Tabulated list of adverse reactions</w:t>
      </w:r>
    </w:p>
    <w:p w14:paraId="2F94C1FD" w14:textId="77777777" w:rsidR="009A1547" w:rsidRPr="00672F96" w:rsidRDefault="009A1547" w:rsidP="00672F96">
      <w:pPr>
        <w:spacing w:line="240" w:lineRule="auto"/>
        <w:rPr>
          <w:szCs w:val="22"/>
        </w:rPr>
      </w:pPr>
    </w:p>
    <w:p w14:paraId="2F94C1FE" w14:textId="4B9C04B1" w:rsidR="00F41027" w:rsidRPr="00672F96" w:rsidRDefault="00522617" w:rsidP="0038429C">
      <w:r w:rsidRPr="00672F96">
        <w:t xml:space="preserve">The adverse reactions reported in the table below are derived from </w:t>
      </w:r>
      <w:r w:rsidR="006C29CA" w:rsidRPr="00672F96">
        <w:t>two</w:t>
      </w:r>
      <w:r w:rsidRPr="00672F96">
        <w:t xml:space="preserve"> clinical trials (including a total of </w:t>
      </w:r>
      <w:r w:rsidR="00066F99">
        <w:t>115</w:t>
      </w:r>
      <w:r w:rsidR="00066F99" w:rsidRPr="00672F96">
        <w:t> </w:t>
      </w:r>
      <w:r w:rsidRPr="00672F96">
        <w:t>patients</w:t>
      </w:r>
      <w:r w:rsidR="00EB7856" w:rsidRPr="00672F96">
        <w:t xml:space="preserve">; </w:t>
      </w:r>
      <w:r w:rsidR="00EB7856" w:rsidRPr="00BC2D97">
        <w:t>me</w:t>
      </w:r>
      <w:r w:rsidR="008538F9" w:rsidRPr="00BC2D97">
        <w:t>di</w:t>
      </w:r>
      <w:r w:rsidR="00EB7856" w:rsidRPr="00BC2D97">
        <w:t xml:space="preserve">an age </w:t>
      </w:r>
      <w:r w:rsidR="00066F99">
        <w:t>7</w:t>
      </w:r>
      <w:r w:rsidR="00066F99" w:rsidRPr="00BC2D97">
        <w:t> </w:t>
      </w:r>
      <w:r w:rsidR="00EB7856" w:rsidRPr="00BC2D97">
        <w:t>years</w:t>
      </w:r>
      <w:r w:rsidR="008538F9" w:rsidRPr="00BC2D97">
        <w:t xml:space="preserve"> [range 0</w:t>
      </w:r>
      <w:r w:rsidR="0038429C" w:rsidRPr="00BC2D97">
        <w:t>–</w:t>
      </w:r>
      <w:r w:rsidR="008538F9" w:rsidRPr="00BC2D97">
        <w:t>17</w:t>
      </w:r>
      <w:r w:rsidR="0038429C" w:rsidRPr="00BC2D97">
        <w:t> </w:t>
      </w:r>
      <w:r w:rsidR="008538F9" w:rsidRPr="00BC2D97">
        <w:t>years]</w:t>
      </w:r>
      <w:r w:rsidRPr="00BC2D97">
        <w:t>)</w:t>
      </w:r>
      <w:r w:rsidRPr="00672F96">
        <w:t xml:space="preserve"> where </w:t>
      </w:r>
      <w:proofErr w:type="spellStart"/>
      <w:r w:rsidRPr="00672F96">
        <w:t>treosulfan</w:t>
      </w:r>
      <w:proofErr w:type="spellEnd"/>
      <w:r w:rsidRPr="00672F96">
        <w:t xml:space="preserve"> combined with fludarabine </w:t>
      </w:r>
      <w:r w:rsidR="006C29CA" w:rsidRPr="00672F96">
        <w:t xml:space="preserve">(and mostly with additional thiotepa) </w:t>
      </w:r>
      <w:r w:rsidRPr="00672F96">
        <w:t xml:space="preserve">was </w:t>
      </w:r>
      <w:r w:rsidR="009E4832" w:rsidRPr="00672F96">
        <w:t>administered</w:t>
      </w:r>
      <w:r w:rsidRPr="00672F96">
        <w:t xml:space="preserve"> as conditioning treatment prior to </w:t>
      </w:r>
      <w:proofErr w:type="spellStart"/>
      <w:r w:rsidRPr="00672F96">
        <w:t>alloHSCT</w:t>
      </w:r>
      <w:proofErr w:type="spellEnd"/>
      <w:r w:rsidRPr="00672F96">
        <w:t xml:space="preserve"> in </w:t>
      </w:r>
      <w:r w:rsidR="006C29CA" w:rsidRPr="00672F96">
        <w:lastRenderedPageBreak/>
        <w:t xml:space="preserve">paediatric </w:t>
      </w:r>
      <w:r w:rsidRPr="00672F96">
        <w:t>patients</w:t>
      </w:r>
      <w:r w:rsidR="006C29CA" w:rsidRPr="00672F96">
        <w:t xml:space="preserve"> with malignant or non-malignant diseases</w:t>
      </w:r>
      <w:r w:rsidRPr="00672F96">
        <w:t xml:space="preserve">. </w:t>
      </w:r>
      <w:proofErr w:type="spellStart"/>
      <w:r w:rsidRPr="00672F96">
        <w:t>Treosulfan</w:t>
      </w:r>
      <w:proofErr w:type="spellEnd"/>
      <w:r w:rsidRPr="00672F96">
        <w:t xml:space="preserve"> was administered in a dose range of </w:t>
      </w:r>
      <w:r w:rsidRPr="00BC2D97">
        <w:t>10</w:t>
      </w:r>
      <w:r w:rsidR="006C29CA" w:rsidRPr="00BC2D97">
        <w:noBreakHyphen/>
        <w:t>1</w:t>
      </w:r>
      <w:r w:rsidRPr="00BC2D97">
        <w:t>4</w:t>
      </w:r>
      <w:r w:rsidR="006C29CA" w:rsidRPr="00672F96">
        <w:t> </w:t>
      </w:r>
      <w:r w:rsidRPr="00672F96">
        <w:t xml:space="preserve">g/m² </w:t>
      </w:r>
      <w:r w:rsidR="006C29CA" w:rsidRPr="00672F96">
        <w:t>BSA</w:t>
      </w:r>
      <w:r w:rsidRPr="00672F96">
        <w:t xml:space="preserve"> on </w:t>
      </w:r>
      <w:r w:rsidR="006C29CA" w:rsidRPr="00672F96">
        <w:t xml:space="preserve">three </w:t>
      </w:r>
      <w:r w:rsidRPr="00672F96">
        <w:t>consecutive days.</w:t>
      </w:r>
    </w:p>
    <w:p w14:paraId="2F94C1FF" w14:textId="77777777" w:rsidR="00510FE7" w:rsidRPr="00672F96" w:rsidRDefault="00510FE7" w:rsidP="00672F96">
      <w:pPr>
        <w:spacing w:line="240" w:lineRule="auto"/>
        <w:rPr>
          <w:szCs w:val="22"/>
        </w:rPr>
      </w:pPr>
    </w:p>
    <w:p w14:paraId="2F94C200" w14:textId="77777777" w:rsidR="00F41027" w:rsidRPr="00672F96" w:rsidRDefault="00522617" w:rsidP="00672F96">
      <w:pPr>
        <w:spacing w:line="240" w:lineRule="auto"/>
        <w:rPr>
          <w:szCs w:val="22"/>
        </w:rPr>
      </w:pPr>
      <w:r w:rsidRPr="00672F96">
        <w:rPr>
          <w:szCs w:val="22"/>
        </w:rPr>
        <w:t>Adverse reactions are listed below, by system organ class and by frequency: very common (≥ 1/10), common (≥ 1/100 to &lt; 1/10), uncommon (≥ 1/1,000 to &lt; 1/100), rare (≥ 1/10,000 to &lt; 1/1,000), very rare (&lt; 1/10,000) and not known (cannot be estimated from the available data). Within each frequency group, undesirable effects are presented in order of decreasing seriousness.</w:t>
      </w:r>
    </w:p>
    <w:p w14:paraId="2F94C201" w14:textId="77777777" w:rsidR="00F41027" w:rsidRPr="00672F96" w:rsidRDefault="00F41027" w:rsidP="00672F96">
      <w:pPr>
        <w:spacing w:line="240" w:lineRule="auto"/>
        <w:rPr>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3107"/>
        <w:gridCol w:w="3108"/>
      </w:tblGrid>
      <w:tr w:rsidR="00937EA8" w14:paraId="2F94C205" w14:textId="77777777" w:rsidTr="009314BE">
        <w:trPr>
          <w:cantSplit/>
          <w:tblHeader/>
        </w:trPr>
        <w:tc>
          <w:tcPr>
            <w:tcW w:w="3107" w:type="dxa"/>
            <w:shd w:val="clear" w:color="auto" w:fill="E0E0E0"/>
          </w:tcPr>
          <w:p w14:paraId="2F94C202" w14:textId="77777777" w:rsidR="009314BE" w:rsidRPr="00672F96" w:rsidRDefault="00522617" w:rsidP="00672F96">
            <w:pPr>
              <w:spacing w:line="240" w:lineRule="auto"/>
              <w:rPr>
                <w:b/>
                <w:szCs w:val="22"/>
              </w:rPr>
            </w:pPr>
            <w:r w:rsidRPr="00672F96">
              <w:rPr>
                <w:b/>
                <w:szCs w:val="22"/>
              </w:rPr>
              <w:br w:type="page"/>
              <w:t>System Organ Class (SOC)</w:t>
            </w:r>
          </w:p>
        </w:tc>
        <w:tc>
          <w:tcPr>
            <w:tcW w:w="3107" w:type="dxa"/>
            <w:shd w:val="clear" w:color="auto" w:fill="E0E0E0"/>
          </w:tcPr>
          <w:p w14:paraId="2F94C203" w14:textId="77777777" w:rsidR="009314BE" w:rsidRPr="00672F96" w:rsidRDefault="00522617" w:rsidP="00625254">
            <w:pPr>
              <w:spacing w:line="240" w:lineRule="auto"/>
              <w:rPr>
                <w:b/>
                <w:szCs w:val="22"/>
              </w:rPr>
            </w:pPr>
            <w:r w:rsidRPr="00672F96">
              <w:rPr>
                <w:b/>
                <w:szCs w:val="22"/>
              </w:rPr>
              <w:t xml:space="preserve">All </w:t>
            </w:r>
            <w:r w:rsidR="00625254">
              <w:rPr>
                <w:b/>
                <w:szCs w:val="22"/>
              </w:rPr>
              <w:t>Adverse Reactions</w:t>
            </w:r>
            <w:r w:rsidR="00625254" w:rsidRPr="00672F96">
              <w:rPr>
                <w:b/>
                <w:szCs w:val="22"/>
              </w:rPr>
              <w:t xml:space="preserve"> </w:t>
            </w:r>
            <w:r w:rsidRPr="00672F96">
              <w:rPr>
                <w:b/>
                <w:szCs w:val="22"/>
              </w:rPr>
              <w:t>/ Frequency</w:t>
            </w:r>
          </w:p>
        </w:tc>
        <w:tc>
          <w:tcPr>
            <w:tcW w:w="3108" w:type="dxa"/>
            <w:shd w:val="clear" w:color="auto" w:fill="E0E0E0"/>
          </w:tcPr>
          <w:p w14:paraId="2F94C204" w14:textId="77777777" w:rsidR="009314BE" w:rsidRPr="00672F96" w:rsidRDefault="00522617" w:rsidP="00625254">
            <w:pPr>
              <w:spacing w:line="240" w:lineRule="auto"/>
              <w:rPr>
                <w:b/>
                <w:szCs w:val="22"/>
              </w:rPr>
            </w:pPr>
            <w:r w:rsidRPr="00672F96">
              <w:rPr>
                <w:b/>
                <w:szCs w:val="22"/>
              </w:rPr>
              <w:t>Grade</w:t>
            </w:r>
            <w:r w:rsidR="004A2432" w:rsidRPr="00672F96">
              <w:rPr>
                <w:b/>
                <w:szCs w:val="22"/>
              </w:rPr>
              <w:t> </w:t>
            </w:r>
            <w:r w:rsidRPr="00672F96">
              <w:rPr>
                <w:b/>
                <w:szCs w:val="22"/>
              </w:rPr>
              <w:t xml:space="preserve">3-4 </w:t>
            </w:r>
            <w:r w:rsidR="00625254">
              <w:rPr>
                <w:b/>
                <w:szCs w:val="22"/>
              </w:rPr>
              <w:t xml:space="preserve">Adverse Reactions </w:t>
            </w:r>
            <w:r w:rsidRPr="00672F96">
              <w:rPr>
                <w:b/>
                <w:szCs w:val="22"/>
              </w:rPr>
              <w:t>/ Frequency</w:t>
            </w:r>
          </w:p>
        </w:tc>
      </w:tr>
      <w:tr w:rsidR="00937EA8" w14:paraId="2F94C20B" w14:textId="77777777" w:rsidTr="009314BE">
        <w:trPr>
          <w:cantSplit/>
        </w:trPr>
        <w:tc>
          <w:tcPr>
            <w:tcW w:w="3107" w:type="dxa"/>
          </w:tcPr>
          <w:p w14:paraId="2F94C206" w14:textId="77777777" w:rsidR="009314BE" w:rsidRPr="00672F96" w:rsidRDefault="00522617" w:rsidP="00672F96">
            <w:pPr>
              <w:spacing w:line="240" w:lineRule="auto"/>
              <w:rPr>
                <w:b/>
                <w:szCs w:val="22"/>
              </w:rPr>
            </w:pPr>
            <w:r w:rsidRPr="00672F96">
              <w:rPr>
                <w:b/>
                <w:szCs w:val="22"/>
              </w:rPr>
              <w:t>Infections and infestations*</w:t>
            </w:r>
          </w:p>
        </w:tc>
        <w:tc>
          <w:tcPr>
            <w:tcW w:w="3107" w:type="dxa"/>
          </w:tcPr>
          <w:p w14:paraId="2F94C207" w14:textId="77777777" w:rsidR="009314BE" w:rsidRPr="00672F96" w:rsidRDefault="00522617" w:rsidP="00672F96">
            <w:pPr>
              <w:spacing w:line="240" w:lineRule="auto"/>
              <w:rPr>
                <w:b/>
                <w:szCs w:val="22"/>
              </w:rPr>
            </w:pPr>
            <w:r w:rsidRPr="00672F96">
              <w:rPr>
                <w:b/>
                <w:szCs w:val="22"/>
              </w:rPr>
              <w:t>Very common</w:t>
            </w:r>
          </w:p>
          <w:p w14:paraId="2F94C208" w14:textId="77777777" w:rsidR="009314BE" w:rsidRPr="00672F96" w:rsidRDefault="00522617" w:rsidP="00672F96">
            <w:pPr>
              <w:spacing w:line="240" w:lineRule="auto"/>
              <w:rPr>
                <w:szCs w:val="22"/>
              </w:rPr>
            </w:pPr>
            <w:r w:rsidRPr="00672F96">
              <w:rPr>
                <w:szCs w:val="22"/>
              </w:rPr>
              <w:t>Infections (bacterial, viral, fungal)</w:t>
            </w:r>
          </w:p>
        </w:tc>
        <w:tc>
          <w:tcPr>
            <w:tcW w:w="3108" w:type="dxa"/>
          </w:tcPr>
          <w:p w14:paraId="2F94C209" w14:textId="77777777" w:rsidR="00FF5232" w:rsidRPr="00672F96" w:rsidRDefault="00522617" w:rsidP="00672F96">
            <w:pPr>
              <w:rPr>
                <w:b/>
                <w:szCs w:val="22"/>
              </w:rPr>
            </w:pPr>
            <w:r w:rsidRPr="00672F96">
              <w:rPr>
                <w:b/>
                <w:szCs w:val="22"/>
              </w:rPr>
              <w:t>Common</w:t>
            </w:r>
          </w:p>
          <w:p w14:paraId="2F94C20A" w14:textId="77777777" w:rsidR="009314BE" w:rsidRPr="00672F96" w:rsidRDefault="00522617" w:rsidP="00672F96">
            <w:pPr>
              <w:spacing w:line="240" w:lineRule="auto"/>
              <w:rPr>
                <w:b/>
                <w:szCs w:val="22"/>
              </w:rPr>
            </w:pPr>
            <w:r w:rsidRPr="00672F96">
              <w:rPr>
                <w:szCs w:val="22"/>
              </w:rPr>
              <w:t>Infections (bacterial, viral, fungal)</w:t>
            </w:r>
          </w:p>
        </w:tc>
      </w:tr>
      <w:tr w:rsidR="00937EA8" w14:paraId="2F94C211" w14:textId="77777777" w:rsidTr="009314BE">
        <w:trPr>
          <w:cantSplit/>
        </w:trPr>
        <w:tc>
          <w:tcPr>
            <w:tcW w:w="3107" w:type="dxa"/>
          </w:tcPr>
          <w:p w14:paraId="2F94C20C" w14:textId="77777777" w:rsidR="009314BE" w:rsidRPr="00672F96" w:rsidRDefault="00522617" w:rsidP="00672F96">
            <w:pPr>
              <w:spacing w:line="240" w:lineRule="auto"/>
              <w:rPr>
                <w:b/>
                <w:szCs w:val="22"/>
              </w:rPr>
            </w:pPr>
            <w:r w:rsidRPr="00672F96">
              <w:rPr>
                <w:b/>
                <w:szCs w:val="22"/>
              </w:rPr>
              <w:t xml:space="preserve">Neoplasms benign, malignant and unspecified (including cysts and </w:t>
            </w:r>
            <w:proofErr w:type="gramStart"/>
            <w:r w:rsidRPr="00672F96">
              <w:rPr>
                <w:b/>
                <w:szCs w:val="22"/>
              </w:rPr>
              <w:t>polyps)*</w:t>
            </w:r>
            <w:proofErr w:type="gramEnd"/>
          </w:p>
        </w:tc>
        <w:tc>
          <w:tcPr>
            <w:tcW w:w="3107" w:type="dxa"/>
          </w:tcPr>
          <w:p w14:paraId="2F94C20D" w14:textId="77777777" w:rsidR="009314BE" w:rsidRPr="003F323C" w:rsidRDefault="00522617" w:rsidP="00672F96">
            <w:pPr>
              <w:spacing w:line="240" w:lineRule="auto"/>
              <w:rPr>
                <w:b/>
                <w:szCs w:val="22"/>
              </w:rPr>
            </w:pPr>
            <w:r w:rsidRPr="003F323C">
              <w:rPr>
                <w:b/>
                <w:szCs w:val="22"/>
              </w:rPr>
              <w:t>Not known</w:t>
            </w:r>
          </w:p>
          <w:p w14:paraId="2F94C20E" w14:textId="77777777" w:rsidR="009314BE" w:rsidRPr="003F323C" w:rsidRDefault="00522617" w:rsidP="00672F96">
            <w:pPr>
              <w:spacing w:line="240" w:lineRule="auto"/>
              <w:rPr>
                <w:szCs w:val="22"/>
              </w:rPr>
            </w:pPr>
            <w:r w:rsidRPr="003F323C">
              <w:rPr>
                <w:szCs w:val="22"/>
              </w:rPr>
              <w:t>Treatment</w:t>
            </w:r>
            <w:r w:rsidR="007001A1" w:rsidRPr="003F323C">
              <w:rPr>
                <w:szCs w:val="22"/>
              </w:rPr>
              <w:noBreakHyphen/>
            </w:r>
            <w:r w:rsidRPr="003F323C">
              <w:rPr>
                <w:szCs w:val="22"/>
              </w:rPr>
              <w:t xml:space="preserve">related second </w:t>
            </w:r>
            <w:proofErr w:type="spellStart"/>
            <w:r w:rsidRPr="003F323C">
              <w:rPr>
                <w:szCs w:val="22"/>
              </w:rPr>
              <w:t>malignancy</w:t>
            </w:r>
            <w:r w:rsidRPr="003F323C">
              <w:rPr>
                <w:szCs w:val="22"/>
                <w:vertAlign w:val="superscript"/>
              </w:rPr>
              <w:t>a</w:t>
            </w:r>
            <w:proofErr w:type="spellEnd"/>
            <w:r w:rsidRPr="003F323C">
              <w:rPr>
                <w:szCs w:val="22"/>
                <w:vertAlign w:val="superscript"/>
              </w:rPr>
              <w:t xml:space="preserve"> </w:t>
            </w:r>
          </w:p>
        </w:tc>
        <w:tc>
          <w:tcPr>
            <w:tcW w:w="3108" w:type="dxa"/>
          </w:tcPr>
          <w:p w14:paraId="2F94C20F" w14:textId="77777777" w:rsidR="00FF5232" w:rsidRPr="003F323C" w:rsidRDefault="00522617" w:rsidP="00672F96">
            <w:pPr>
              <w:rPr>
                <w:b/>
                <w:szCs w:val="22"/>
              </w:rPr>
            </w:pPr>
            <w:r w:rsidRPr="003F323C">
              <w:rPr>
                <w:b/>
                <w:szCs w:val="22"/>
              </w:rPr>
              <w:t>Not known</w:t>
            </w:r>
          </w:p>
          <w:p w14:paraId="2F94C210" w14:textId="77777777" w:rsidR="009314BE" w:rsidRPr="003F323C" w:rsidRDefault="00522617" w:rsidP="00672F96">
            <w:pPr>
              <w:spacing w:line="240" w:lineRule="auto"/>
              <w:rPr>
                <w:b/>
                <w:szCs w:val="22"/>
              </w:rPr>
            </w:pPr>
            <w:r w:rsidRPr="003F323C">
              <w:rPr>
                <w:szCs w:val="22"/>
              </w:rPr>
              <w:t>Treatment</w:t>
            </w:r>
            <w:r w:rsidR="007001A1" w:rsidRPr="003F323C">
              <w:rPr>
                <w:szCs w:val="22"/>
              </w:rPr>
              <w:noBreakHyphen/>
            </w:r>
            <w:r w:rsidRPr="003F323C">
              <w:rPr>
                <w:szCs w:val="22"/>
              </w:rPr>
              <w:t xml:space="preserve">related second </w:t>
            </w:r>
            <w:proofErr w:type="spellStart"/>
            <w:r w:rsidRPr="003F323C">
              <w:rPr>
                <w:szCs w:val="22"/>
              </w:rPr>
              <w:t>malignancy</w:t>
            </w:r>
            <w:r w:rsidRPr="003F323C">
              <w:rPr>
                <w:szCs w:val="22"/>
                <w:vertAlign w:val="superscript"/>
              </w:rPr>
              <w:t>a</w:t>
            </w:r>
            <w:proofErr w:type="spellEnd"/>
          </w:p>
        </w:tc>
      </w:tr>
      <w:tr w:rsidR="00937EA8" w14:paraId="2F94C21D" w14:textId="77777777" w:rsidTr="009314BE">
        <w:trPr>
          <w:cantSplit/>
        </w:trPr>
        <w:tc>
          <w:tcPr>
            <w:tcW w:w="3107" w:type="dxa"/>
          </w:tcPr>
          <w:p w14:paraId="2F94C212" w14:textId="77777777" w:rsidR="009314BE" w:rsidRPr="00672F96" w:rsidRDefault="00522617" w:rsidP="00672F96">
            <w:pPr>
              <w:spacing w:line="240" w:lineRule="auto"/>
              <w:rPr>
                <w:b/>
                <w:szCs w:val="22"/>
              </w:rPr>
            </w:pPr>
            <w:r w:rsidRPr="00672F96">
              <w:rPr>
                <w:b/>
                <w:szCs w:val="22"/>
              </w:rPr>
              <w:t>Blood and lymphatic system disorders*</w:t>
            </w:r>
          </w:p>
        </w:tc>
        <w:tc>
          <w:tcPr>
            <w:tcW w:w="3107" w:type="dxa"/>
          </w:tcPr>
          <w:p w14:paraId="2F94C213" w14:textId="77777777" w:rsidR="001B65D5" w:rsidRPr="00672F96" w:rsidRDefault="001B65D5" w:rsidP="001B65D5">
            <w:pPr>
              <w:rPr>
                <w:b/>
                <w:szCs w:val="22"/>
              </w:rPr>
            </w:pPr>
            <w:r w:rsidRPr="00672F96">
              <w:rPr>
                <w:b/>
                <w:szCs w:val="22"/>
              </w:rPr>
              <w:t>Very common</w:t>
            </w:r>
          </w:p>
          <w:p w14:paraId="2F94C214" w14:textId="77777777" w:rsidR="001B65D5" w:rsidRDefault="001B65D5" w:rsidP="001B65D5">
            <w:pPr>
              <w:spacing w:line="240" w:lineRule="auto"/>
              <w:rPr>
                <w:b/>
                <w:szCs w:val="22"/>
              </w:rPr>
            </w:pPr>
            <w:r>
              <w:rPr>
                <w:szCs w:val="22"/>
              </w:rPr>
              <w:t>Myelosuppression, pancytopenia</w:t>
            </w:r>
          </w:p>
          <w:p w14:paraId="2F94C215" w14:textId="77777777" w:rsidR="001B65D5" w:rsidRDefault="001B65D5" w:rsidP="00672F96">
            <w:pPr>
              <w:spacing w:line="240" w:lineRule="auto"/>
              <w:rPr>
                <w:b/>
                <w:szCs w:val="22"/>
              </w:rPr>
            </w:pPr>
          </w:p>
          <w:p w14:paraId="2F94C216" w14:textId="77777777" w:rsidR="009314BE" w:rsidRPr="00672F96" w:rsidRDefault="00522617" w:rsidP="00672F96">
            <w:pPr>
              <w:spacing w:line="240" w:lineRule="auto"/>
              <w:rPr>
                <w:b/>
                <w:szCs w:val="22"/>
              </w:rPr>
            </w:pPr>
            <w:r w:rsidRPr="00672F96">
              <w:rPr>
                <w:b/>
                <w:szCs w:val="22"/>
              </w:rPr>
              <w:t>Not known</w:t>
            </w:r>
          </w:p>
          <w:p w14:paraId="2F94C217" w14:textId="77777777" w:rsidR="009314BE" w:rsidRPr="00672F96" w:rsidRDefault="001B65D5" w:rsidP="00672F96">
            <w:pPr>
              <w:spacing w:line="240" w:lineRule="auto"/>
              <w:rPr>
                <w:szCs w:val="22"/>
              </w:rPr>
            </w:pPr>
            <w:r>
              <w:rPr>
                <w:szCs w:val="22"/>
              </w:rPr>
              <w:t>F</w:t>
            </w:r>
            <w:r w:rsidR="00DE6CCE" w:rsidRPr="00672F96">
              <w:rPr>
                <w:szCs w:val="22"/>
              </w:rPr>
              <w:t>ebrile neutropenia</w:t>
            </w:r>
          </w:p>
        </w:tc>
        <w:tc>
          <w:tcPr>
            <w:tcW w:w="3108" w:type="dxa"/>
          </w:tcPr>
          <w:p w14:paraId="2F94C218" w14:textId="77777777" w:rsidR="001B65D5" w:rsidRPr="00672F96" w:rsidRDefault="001B65D5" w:rsidP="001B65D5">
            <w:pPr>
              <w:rPr>
                <w:b/>
                <w:szCs w:val="22"/>
              </w:rPr>
            </w:pPr>
            <w:r w:rsidRPr="00672F96">
              <w:rPr>
                <w:b/>
                <w:szCs w:val="22"/>
              </w:rPr>
              <w:t>Very common</w:t>
            </w:r>
          </w:p>
          <w:p w14:paraId="2F94C219" w14:textId="77777777" w:rsidR="001B65D5" w:rsidRDefault="001B65D5" w:rsidP="00672F96">
            <w:pPr>
              <w:rPr>
                <w:szCs w:val="22"/>
              </w:rPr>
            </w:pPr>
            <w:r>
              <w:rPr>
                <w:szCs w:val="22"/>
              </w:rPr>
              <w:t>Myelosuppression, pancytopenia</w:t>
            </w:r>
          </w:p>
          <w:p w14:paraId="2F94C21A" w14:textId="77777777" w:rsidR="001B65D5" w:rsidRDefault="001B65D5" w:rsidP="00672F96">
            <w:pPr>
              <w:rPr>
                <w:b/>
                <w:szCs w:val="22"/>
              </w:rPr>
            </w:pPr>
          </w:p>
          <w:p w14:paraId="2F94C21B" w14:textId="77777777" w:rsidR="00FF5232" w:rsidRPr="00672F96" w:rsidRDefault="00522617" w:rsidP="00672F96">
            <w:pPr>
              <w:rPr>
                <w:b/>
                <w:szCs w:val="22"/>
              </w:rPr>
            </w:pPr>
            <w:r w:rsidRPr="00672F96">
              <w:rPr>
                <w:b/>
                <w:szCs w:val="22"/>
              </w:rPr>
              <w:t>Not known</w:t>
            </w:r>
          </w:p>
          <w:p w14:paraId="2F94C21C" w14:textId="77777777" w:rsidR="009314BE" w:rsidRPr="00672F96" w:rsidRDefault="001B65D5" w:rsidP="00672F96">
            <w:pPr>
              <w:spacing w:line="240" w:lineRule="auto"/>
              <w:rPr>
                <w:b/>
                <w:szCs w:val="22"/>
              </w:rPr>
            </w:pPr>
            <w:r>
              <w:rPr>
                <w:szCs w:val="22"/>
              </w:rPr>
              <w:t>F</w:t>
            </w:r>
            <w:r w:rsidR="00DE6CCE" w:rsidRPr="00672F96">
              <w:rPr>
                <w:szCs w:val="22"/>
              </w:rPr>
              <w:t>ebrile neutropenia</w:t>
            </w:r>
          </w:p>
        </w:tc>
      </w:tr>
      <w:tr w:rsidR="00937EA8" w14:paraId="2F94C223" w14:textId="77777777" w:rsidTr="009314BE">
        <w:trPr>
          <w:cantSplit/>
        </w:trPr>
        <w:tc>
          <w:tcPr>
            <w:tcW w:w="3107" w:type="dxa"/>
          </w:tcPr>
          <w:p w14:paraId="2F94C21E" w14:textId="77777777" w:rsidR="009314BE" w:rsidRPr="00672F96" w:rsidRDefault="00522617" w:rsidP="00672F96">
            <w:pPr>
              <w:spacing w:line="240" w:lineRule="auto"/>
              <w:rPr>
                <w:b/>
                <w:szCs w:val="22"/>
              </w:rPr>
            </w:pPr>
            <w:r w:rsidRPr="00672F96">
              <w:rPr>
                <w:b/>
                <w:szCs w:val="22"/>
              </w:rPr>
              <w:t>Metabolism and nutrition disorders</w:t>
            </w:r>
          </w:p>
        </w:tc>
        <w:tc>
          <w:tcPr>
            <w:tcW w:w="3107" w:type="dxa"/>
          </w:tcPr>
          <w:p w14:paraId="2F94C21F" w14:textId="77777777" w:rsidR="009314BE" w:rsidRPr="00672F96" w:rsidRDefault="00522617" w:rsidP="00672F96">
            <w:pPr>
              <w:spacing w:line="240" w:lineRule="auto"/>
              <w:rPr>
                <w:b/>
                <w:szCs w:val="22"/>
              </w:rPr>
            </w:pPr>
            <w:r w:rsidRPr="00672F96">
              <w:rPr>
                <w:b/>
                <w:szCs w:val="22"/>
              </w:rPr>
              <w:t>Not known</w:t>
            </w:r>
          </w:p>
          <w:p w14:paraId="2F94C220" w14:textId="3B6CD258" w:rsidR="009314BE" w:rsidRPr="00672F96" w:rsidRDefault="00066F99" w:rsidP="00066F99">
            <w:pPr>
              <w:spacing w:line="240" w:lineRule="auto"/>
              <w:rPr>
                <w:szCs w:val="22"/>
              </w:rPr>
            </w:pPr>
            <w:r>
              <w:rPr>
                <w:szCs w:val="22"/>
              </w:rPr>
              <w:t>Decreased appetite, a</w:t>
            </w:r>
            <w:r w:rsidR="00522617" w:rsidRPr="00672F96">
              <w:rPr>
                <w:szCs w:val="22"/>
              </w:rPr>
              <w:t>lkalosis, electrolyte imbalance, hypomagnesaemia</w:t>
            </w:r>
          </w:p>
        </w:tc>
        <w:tc>
          <w:tcPr>
            <w:tcW w:w="3108" w:type="dxa"/>
          </w:tcPr>
          <w:p w14:paraId="2F94C221" w14:textId="77777777" w:rsidR="00FF5232" w:rsidRPr="00672F96" w:rsidRDefault="00522617" w:rsidP="00672F96">
            <w:pPr>
              <w:rPr>
                <w:b/>
                <w:szCs w:val="22"/>
              </w:rPr>
            </w:pPr>
            <w:r w:rsidRPr="00672F96">
              <w:rPr>
                <w:b/>
                <w:szCs w:val="22"/>
              </w:rPr>
              <w:t>Not known</w:t>
            </w:r>
          </w:p>
          <w:p w14:paraId="2F94C222" w14:textId="77777777" w:rsidR="009314BE" w:rsidRPr="00672F96" w:rsidRDefault="00522617" w:rsidP="00672F96">
            <w:pPr>
              <w:spacing w:line="240" w:lineRule="auto"/>
              <w:rPr>
                <w:b/>
                <w:szCs w:val="22"/>
              </w:rPr>
            </w:pPr>
            <w:r w:rsidRPr="00672F96">
              <w:rPr>
                <w:szCs w:val="22"/>
              </w:rPr>
              <w:t>Alkalosis</w:t>
            </w:r>
          </w:p>
        </w:tc>
      </w:tr>
      <w:tr w:rsidR="00937EA8" w14:paraId="2F94C229" w14:textId="77777777" w:rsidTr="009314BE">
        <w:trPr>
          <w:cantSplit/>
        </w:trPr>
        <w:tc>
          <w:tcPr>
            <w:tcW w:w="3107" w:type="dxa"/>
          </w:tcPr>
          <w:p w14:paraId="2F94C224" w14:textId="77777777" w:rsidR="009314BE" w:rsidRPr="00672F96" w:rsidRDefault="00522617" w:rsidP="00672F96">
            <w:pPr>
              <w:spacing w:line="240" w:lineRule="auto"/>
              <w:rPr>
                <w:b/>
                <w:szCs w:val="22"/>
              </w:rPr>
            </w:pPr>
            <w:r w:rsidRPr="00672F96">
              <w:rPr>
                <w:b/>
                <w:szCs w:val="22"/>
              </w:rPr>
              <w:t>Nervous system disorders*</w:t>
            </w:r>
          </w:p>
        </w:tc>
        <w:tc>
          <w:tcPr>
            <w:tcW w:w="3107" w:type="dxa"/>
          </w:tcPr>
          <w:p w14:paraId="433A8965" w14:textId="77777777" w:rsidR="00066F99" w:rsidRDefault="00066F99" w:rsidP="00672F96">
            <w:pPr>
              <w:spacing w:line="240" w:lineRule="auto"/>
              <w:rPr>
                <w:b/>
                <w:szCs w:val="22"/>
              </w:rPr>
            </w:pPr>
            <w:r>
              <w:rPr>
                <w:b/>
                <w:szCs w:val="22"/>
              </w:rPr>
              <w:t>Common</w:t>
            </w:r>
          </w:p>
          <w:p w14:paraId="54ED97A2" w14:textId="5484854B" w:rsidR="00066F99" w:rsidRDefault="00066F99" w:rsidP="00672F96">
            <w:pPr>
              <w:spacing w:line="240" w:lineRule="auto"/>
              <w:rPr>
                <w:szCs w:val="22"/>
              </w:rPr>
            </w:pPr>
            <w:r w:rsidRPr="00672F96">
              <w:rPr>
                <w:szCs w:val="22"/>
              </w:rPr>
              <w:t>Headache</w:t>
            </w:r>
          </w:p>
          <w:p w14:paraId="7AFA715F" w14:textId="77777777" w:rsidR="00066F99" w:rsidRDefault="00066F99" w:rsidP="00672F96">
            <w:pPr>
              <w:spacing w:line="240" w:lineRule="auto"/>
              <w:rPr>
                <w:b/>
                <w:szCs w:val="22"/>
              </w:rPr>
            </w:pPr>
          </w:p>
          <w:p w14:paraId="2F94C225" w14:textId="77777777" w:rsidR="009314BE" w:rsidRPr="00672F96" w:rsidRDefault="00522617" w:rsidP="00672F96">
            <w:pPr>
              <w:spacing w:line="240" w:lineRule="auto"/>
              <w:rPr>
                <w:b/>
                <w:szCs w:val="22"/>
              </w:rPr>
            </w:pPr>
            <w:r w:rsidRPr="00672F96">
              <w:rPr>
                <w:b/>
                <w:szCs w:val="22"/>
              </w:rPr>
              <w:t>Not known</w:t>
            </w:r>
          </w:p>
          <w:p w14:paraId="2F94C226" w14:textId="58CE3DDA" w:rsidR="009314BE" w:rsidRPr="00672F96" w:rsidRDefault="00066F99" w:rsidP="00066F99">
            <w:pPr>
              <w:spacing w:line="240" w:lineRule="auto"/>
              <w:rPr>
                <w:szCs w:val="22"/>
              </w:rPr>
            </w:pPr>
            <w:r>
              <w:rPr>
                <w:szCs w:val="22"/>
              </w:rPr>
              <w:t>P</w:t>
            </w:r>
            <w:r w:rsidR="00522617" w:rsidRPr="00672F96">
              <w:rPr>
                <w:szCs w:val="22"/>
              </w:rPr>
              <w:t>araesthesia, seizure</w:t>
            </w:r>
          </w:p>
        </w:tc>
        <w:tc>
          <w:tcPr>
            <w:tcW w:w="3108" w:type="dxa"/>
          </w:tcPr>
          <w:p w14:paraId="2F94C227" w14:textId="77777777" w:rsidR="00FF5232" w:rsidRPr="00672F96" w:rsidRDefault="00522617" w:rsidP="00672F96">
            <w:pPr>
              <w:rPr>
                <w:b/>
                <w:szCs w:val="22"/>
              </w:rPr>
            </w:pPr>
            <w:r w:rsidRPr="00672F96">
              <w:rPr>
                <w:b/>
                <w:szCs w:val="22"/>
              </w:rPr>
              <w:t>Not known</w:t>
            </w:r>
          </w:p>
          <w:p w14:paraId="2F94C228" w14:textId="77777777" w:rsidR="009314BE" w:rsidRPr="00672F96" w:rsidRDefault="00522617" w:rsidP="00672F96">
            <w:pPr>
              <w:spacing w:line="240" w:lineRule="auto"/>
              <w:rPr>
                <w:b/>
                <w:szCs w:val="22"/>
              </w:rPr>
            </w:pPr>
            <w:r w:rsidRPr="00672F96">
              <w:rPr>
                <w:szCs w:val="22"/>
              </w:rPr>
              <w:t>Paraesthesia</w:t>
            </w:r>
          </w:p>
        </w:tc>
      </w:tr>
      <w:tr w:rsidR="00937EA8" w14:paraId="2F94C22E" w14:textId="77777777" w:rsidTr="009314BE">
        <w:trPr>
          <w:cantSplit/>
        </w:trPr>
        <w:tc>
          <w:tcPr>
            <w:tcW w:w="3107" w:type="dxa"/>
          </w:tcPr>
          <w:p w14:paraId="2F94C22A" w14:textId="37B5CFB1" w:rsidR="009314BE" w:rsidRPr="00672F96" w:rsidRDefault="00522617" w:rsidP="00672F96">
            <w:pPr>
              <w:spacing w:line="240" w:lineRule="auto"/>
              <w:rPr>
                <w:b/>
                <w:szCs w:val="22"/>
              </w:rPr>
            </w:pPr>
            <w:r w:rsidRPr="00672F96">
              <w:rPr>
                <w:b/>
                <w:szCs w:val="22"/>
              </w:rPr>
              <w:t>Eye disorders</w:t>
            </w:r>
          </w:p>
        </w:tc>
        <w:tc>
          <w:tcPr>
            <w:tcW w:w="3107" w:type="dxa"/>
          </w:tcPr>
          <w:p w14:paraId="2F94C22B" w14:textId="77777777" w:rsidR="009314BE" w:rsidRPr="00672F96" w:rsidRDefault="00522617" w:rsidP="00672F96">
            <w:pPr>
              <w:spacing w:line="240" w:lineRule="auto"/>
              <w:rPr>
                <w:b/>
                <w:szCs w:val="22"/>
              </w:rPr>
            </w:pPr>
            <w:r w:rsidRPr="00672F96">
              <w:rPr>
                <w:b/>
                <w:szCs w:val="22"/>
              </w:rPr>
              <w:t>Not known</w:t>
            </w:r>
          </w:p>
          <w:p w14:paraId="2F94C22C" w14:textId="77777777" w:rsidR="009314BE" w:rsidRPr="00672F96" w:rsidRDefault="00522617" w:rsidP="00672F96">
            <w:pPr>
              <w:spacing w:line="240" w:lineRule="auto"/>
              <w:rPr>
                <w:szCs w:val="22"/>
              </w:rPr>
            </w:pPr>
            <w:r w:rsidRPr="00672F96">
              <w:rPr>
                <w:szCs w:val="22"/>
              </w:rPr>
              <w:t>Conjunctival haemorrhage, dry eye</w:t>
            </w:r>
          </w:p>
        </w:tc>
        <w:tc>
          <w:tcPr>
            <w:tcW w:w="3108" w:type="dxa"/>
          </w:tcPr>
          <w:p w14:paraId="2F94C22D" w14:textId="77777777" w:rsidR="009314BE" w:rsidRPr="00672F96" w:rsidRDefault="009314BE" w:rsidP="00672F96">
            <w:pPr>
              <w:spacing w:line="240" w:lineRule="auto"/>
              <w:rPr>
                <w:b/>
                <w:szCs w:val="22"/>
              </w:rPr>
            </w:pPr>
          </w:p>
        </w:tc>
      </w:tr>
      <w:tr w:rsidR="00937EA8" w14:paraId="2F94C234" w14:textId="77777777" w:rsidTr="009314BE">
        <w:trPr>
          <w:cantSplit/>
        </w:trPr>
        <w:tc>
          <w:tcPr>
            <w:tcW w:w="3107" w:type="dxa"/>
          </w:tcPr>
          <w:p w14:paraId="2F94C22F" w14:textId="77777777" w:rsidR="009314BE" w:rsidRPr="00672F96" w:rsidRDefault="00522617" w:rsidP="00672F96">
            <w:pPr>
              <w:spacing w:line="240" w:lineRule="auto"/>
              <w:rPr>
                <w:b/>
                <w:szCs w:val="22"/>
              </w:rPr>
            </w:pPr>
            <w:r w:rsidRPr="00672F96">
              <w:rPr>
                <w:b/>
                <w:szCs w:val="22"/>
              </w:rPr>
              <w:t>Vascular disorders</w:t>
            </w:r>
          </w:p>
        </w:tc>
        <w:tc>
          <w:tcPr>
            <w:tcW w:w="3107" w:type="dxa"/>
          </w:tcPr>
          <w:p w14:paraId="2F94C230" w14:textId="77777777" w:rsidR="009314BE" w:rsidRPr="00672F96" w:rsidRDefault="00522617" w:rsidP="00672F96">
            <w:pPr>
              <w:spacing w:line="240" w:lineRule="auto"/>
              <w:rPr>
                <w:b/>
                <w:szCs w:val="22"/>
              </w:rPr>
            </w:pPr>
            <w:r w:rsidRPr="00672F96">
              <w:rPr>
                <w:b/>
                <w:szCs w:val="22"/>
              </w:rPr>
              <w:t>Not known</w:t>
            </w:r>
          </w:p>
          <w:p w14:paraId="2F94C231" w14:textId="77777777" w:rsidR="009314BE" w:rsidRPr="00672F96" w:rsidRDefault="00522617" w:rsidP="00672F96">
            <w:pPr>
              <w:spacing w:line="240" w:lineRule="auto"/>
              <w:rPr>
                <w:szCs w:val="22"/>
              </w:rPr>
            </w:pPr>
            <w:r w:rsidRPr="00672F96">
              <w:rPr>
                <w:szCs w:val="22"/>
              </w:rPr>
              <w:t>Capillary leak syndrome, hypertension, hypotension</w:t>
            </w:r>
          </w:p>
        </w:tc>
        <w:tc>
          <w:tcPr>
            <w:tcW w:w="3108" w:type="dxa"/>
          </w:tcPr>
          <w:p w14:paraId="2F94C232" w14:textId="77777777" w:rsidR="00FF5232" w:rsidRPr="00672F96" w:rsidRDefault="00522617" w:rsidP="00672F96">
            <w:pPr>
              <w:rPr>
                <w:b/>
                <w:szCs w:val="22"/>
              </w:rPr>
            </w:pPr>
            <w:r w:rsidRPr="00672F96">
              <w:rPr>
                <w:b/>
                <w:szCs w:val="22"/>
              </w:rPr>
              <w:t>Not known</w:t>
            </w:r>
          </w:p>
          <w:p w14:paraId="2F94C233" w14:textId="77777777" w:rsidR="009314BE" w:rsidRPr="00672F96" w:rsidRDefault="00522617" w:rsidP="00672F96">
            <w:pPr>
              <w:spacing w:line="240" w:lineRule="auto"/>
              <w:rPr>
                <w:b/>
                <w:szCs w:val="22"/>
              </w:rPr>
            </w:pPr>
            <w:r w:rsidRPr="00672F96">
              <w:rPr>
                <w:szCs w:val="22"/>
              </w:rPr>
              <w:t>Capillary leak syndrome, hypertension, hypotension</w:t>
            </w:r>
          </w:p>
        </w:tc>
      </w:tr>
      <w:tr w:rsidR="00937EA8" w14:paraId="2F94C23D" w14:textId="77777777" w:rsidTr="009314BE">
        <w:trPr>
          <w:cantSplit/>
        </w:trPr>
        <w:tc>
          <w:tcPr>
            <w:tcW w:w="3107" w:type="dxa"/>
          </w:tcPr>
          <w:p w14:paraId="2F94C235" w14:textId="77777777" w:rsidR="009314BE" w:rsidRPr="00672F96" w:rsidRDefault="00522617" w:rsidP="00672F96">
            <w:pPr>
              <w:spacing w:line="240" w:lineRule="auto"/>
              <w:rPr>
                <w:b/>
                <w:szCs w:val="22"/>
              </w:rPr>
            </w:pPr>
            <w:r w:rsidRPr="00672F96">
              <w:rPr>
                <w:b/>
                <w:szCs w:val="22"/>
              </w:rPr>
              <w:t xml:space="preserve">Respiratory, </w:t>
            </w:r>
            <w:proofErr w:type="gramStart"/>
            <w:r w:rsidRPr="00672F96">
              <w:rPr>
                <w:b/>
                <w:szCs w:val="22"/>
              </w:rPr>
              <w:t>thoracic</w:t>
            </w:r>
            <w:proofErr w:type="gramEnd"/>
            <w:r w:rsidRPr="00672F96">
              <w:rPr>
                <w:b/>
                <w:szCs w:val="22"/>
              </w:rPr>
              <w:t xml:space="preserve"> and mediastinal disorders</w:t>
            </w:r>
          </w:p>
        </w:tc>
        <w:tc>
          <w:tcPr>
            <w:tcW w:w="3107" w:type="dxa"/>
          </w:tcPr>
          <w:p w14:paraId="2F94C236" w14:textId="77777777" w:rsidR="009314BE" w:rsidRPr="00672F96" w:rsidRDefault="00522617" w:rsidP="00672F96">
            <w:pPr>
              <w:spacing w:line="240" w:lineRule="auto"/>
              <w:rPr>
                <w:b/>
                <w:szCs w:val="22"/>
              </w:rPr>
            </w:pPr>
            <w:r w:rsidRPr="00672F96">
              <w:rPr>
                <w:b/>
                <w:szCs w:val="22"/>
              </w:rPr>
              <w:t>Common</w:t>
            </w:r>
          </w:p>
          <w:p w14:paraId="2F94C237" w14:textId="77777777" w:rsidR="009314BE" w:rsidRPr="00672F96" w:rsidRDefault="00522617" w:rsidP="00672F96">
            <w:pPr>
              <w:spacing w:line="240" w:lineRule="auto"/>
              <w:rPr>
                <w:szCs w:val="22"/>
              </w:rPr>
            </w:pPr>
            <w:r w:rsidRPr="00672F96">
              <w:rPr>
                <w:szCs w:val="22"/>
              </w:rPr>
              <w:t>Oropharyngeal pain, epistaxis</w:t>
            </w:r>
          </w:p>
          <w:p w14:paraId="2F94C238" w14:textId="77777777" w:rsidR="009314BE" w:rsidRPr="00672F96" w:rsidRDefault="009314BE" w:rsidP="00672F96">
            <w:pPr>
              <w:spacing w:line="240" w:lineRule="auto"/>
              <w:rPr>
                <w:szCs w:val="22"/>
              </w:rPr>
            </w:pPr>
          </w:p>
          <w:p w14:paraId="2F94C239" w14:textId="77777777" w:rsidR="009314BE" w:rsidRPr="00672F96" w:rsidRDefault="00522617" w:rsidP="00672F96">
            <w:pPr>
              <w:spacing w:line="240" w:lineRule="auto"/>
              <w:rPr>
                <w:b/>
                <w:szCs w:val="22"/>
              </w:rPr>
            </w:pPr>
            <w:r w:rsidRPr="00672F96">
              <w:rPr>
                <w:b/>
                <w:szCs w:val="22"/>
              </w:rPr>
              <w:t>Not known</w:t>
            </w:r>
          </w:p>
          <w:p w14:paraId="2F94C23A" w14:textId="70614BA9" w:rsidR="009314BE" w:rsidRPr="00672F96" w:rsidRDefault="00522617" w:rsidP="00672F96">
            <w:pPr>
              <w:spacing w:line="240" w:lineRule="auto"/>
              <w:rPr>
                <w:szCs w:val="22"/>
              </w:rPr>
            </w:pPr>
            <w:r w:rsidRPr="00672F96">
              <w:rPr>
                <w:szCs w:val="22"/>
              </w:rPr>
              <w:t>Hypoxia</w:t>
            </w:r>
            <w:r w:rsidR="00066F99">
              <w:rPr>
                <w:szCs w:val="22"/>
              </w:rPr>
              <w:t>, cough</w:t>
            </w:r>
          </w:p>
        </w:tc>
        <w:tc>
          <w:tcPr>
            <w:tcW w:w="3108" w:type="dxa"/>
          </w:tcPr>
          <w:p w14:paraId="2F94C23B" w14:textId="77777777" w:rsidR="00FF5232" w:rsidRPr="00672F96" w:rsidRDefault="00522617" w:rsidP="00672F96">
            <w:pPr>
              <w:rPr>
                <w:b/>
                <w:szCs w:val="22"/>
              </w:rPr>
            </w:pPr>
            <w:r w:rsidRPr="00672F96">
              <w:rPr>
                <w:b/>
                <w:szCs w:val="22"/>
              </w:rPr>
              <w:t>Not known</w:t>
            </w:r>
          </w:p>
          <w:p w14:paraId="2F94C23C" w14:textId="77777777" w:rsidR="009314BE" w:rsidRPr="00672F96" w:rsidRDefault="00522617" w:rsidP="00672F96">
            <w:pPr>
              <w:spacing w:line="240" w:lineRule="auto"/>
              <w:rPr>
                <w:b/>
                <w:szCs w:val="22"/>
              </w:rPr>
            </w:pPr>
            <w:r w:rsidRPr="00672F96">
              <w:rPr>
                <w:szCs w:val="22"/>
              </w:rPr>
              <w:t>Hypoxia</w:t>
            </w:r>
          </w:p>
        </w:tc>
      </w:tr>
      <w:tr w:rsidR="00937EA8" w14:paraId="2F94C24F" w14:textId="77777777" w:rsidTr="009314BE">
        <w:trPr>
          <w:cantSplit/>
        </w:trPr>
        <w:tc>
          <w:tcPr>
            <w:tcW w:w="3107" w:type="dxa"/>
          </w:tcPr>
          <w:p w14:paraId="2F94C23E" w14:textId="77777777" w:rsidR="009314BE" w:rsidRPr="00672F96" w:rsidRDefault="00522617" w:rsidP="00672F96">
            <w:pPr>
              <w:spacing w:line="240" w:lineRule="auto"/>
              <w:rPr>
                <w:b/>
                <w:szCs w:val="22"/>
              </w:rPr>
            </w:pPr>
            <w:r w:rsidRPr="00672F96">
              <w:rPr>
                <w:b/>
                <w:szCs w:val="22"/>
              </w:rPr>
              <w:lastRenderedPageBreak/>
              <w:t>Gastrointestinal disorders*</w:t>
            </w:r>
          </w:p>
        </w:tc>
        <w:tc>
          <w:tcPr>
            <w:tcW w:w="3107" w:type="dxa"/>
          </w:tcPr>
          <w:p w14:paraId="2F94C23F" w14:textId="77777777" w:rsidR="009314BE" w:rsidRPr="00672F96" w:rsidRDefault="00522617" w:rsidP="00672F96">
            <w:pPr>
              <w:spacing w:line="240" w:lineRule="auto"/>
              <w:rPr>
                <w:b/>
                <w:szCs w:val="22"/>
              </w:rPr>
            </w:pPr>
            <w:r w:rsidRPr="00672F96">
              <w:rPr>
                <w:b/>
                <w:szCs w:val="22"/>
              </w:rPr>
              <w:t>Very common</w:t>
            </w:r>
          </w:p>
          <w:p w14:paraId="2F94C240" w14:textId="77777777" w:rsidR="009314BE" w:rsidRPr="00672F96" w:rsidRDefault="00522617" w:rsidP="00672F96">
            <w:pPr>
              <w:spacing w:line="240" w:lineRule="auto"/>
              <w:rPr>
                <w:szCs w:val="22"/>
              </w:rPr>
            </w:pPr>
            <w:r w:rsidRPr="00672F96">
              <w:rPr>
                <w:szCs w:val="22"/>
              </w:rPr>
              <w:t>Stomatitis/mucositis, diarrhoea, nausea, vomiting, abdominal pain</w:t>
            </w:r>
          </w:p>
          <w:p w14:paraId="2F94C241" w14:textId="77777777" w:rsidR="009314BE" w:rsidRPr="00672F96" w:rsidRDefault="009314BE" w:rsidP="00672F96">
            <w:pPr>
              <w:spacing w:line="240" w:lineRule="auto"/>
              <w:rPr>
                <w:szCs w:val="22"/>
              </w:rPr>
            </w:pPr>
          </w:p>
          <w:p w14:paraId="2F94C242" w14:textId="77777777" w:rsidR="009314BE" w:rsidRPr="00672F96" w:rsidRDefault="00522617" w:rsidP="00672F96">
            <w:pPr>
              <w:spacing w:line="240" w:lineRule="auto"/>
              <w:rPr>
                <w:b/>
                <w:szCs w:val="22"/>
              </w:rPr>
            </w:pPr>
            <w:r w:rsidRPr="00672F96">
              <w:rPr>
                <w:b/>
                <w:szCs w:val="22"/>
              </w:rPr>
              <w:t>Common</w:t>
            </w:r>
          </w:p>
          <w:p w14:paraId="2F94C243" w14:textId="4045A77B" w:rsidR="009314BE" w:rsidRPr="00672F96" w:rsidRDefault="00522617" w:rsidP="00672F96">
            <w:pPr>
              <w:spacing w:line="240" w:lineRule="auto"/>
              <w:rPr>
                <w:szCs w:val="22"/>
              </w:rPr>
            </w:pPr>
            <w:r w:rsidRPr="00672F96">
              <w:rPr>
                <w:szCs w:val="22"/>
              </w:rPr>
              <w:t>Dysphagia, oral pain</w:t>
            </w:r>
            <w:r w:rsidR="00066F99" w:rsidRPr="00672F96">
              <w:rPr>
                <w:szCs w:val="22"/>
              </w:rPr>
              <w:t>, anal inflammation</w:t>
            </w:r>
          </w:p>
          <w:p w14:paraId="2F94C244" w14:textId="77777777" w:rsidR="009314BE" w:rsidRPr="00672F96" w:rsidRDefault="009314BE" w:rsidP="00672F96">
            <w:pPr>
              <w:spacing w:line="240" w:lineRule="auto"/>
              <w:rPr>
                <w:szCs w:val="22"/>
              </w:rPr>
            </w:pPr>
          </w:p>
          <w:p w14:paraId="2F94C245" w14:textId="77777777" w:rsidR="009314BE" w:rsidRPr="00672F96" w:rsidRDefault="00522617" w:rsidP="00672F96">
            <w:pPr>
              <w:spacing w:line="240" w:lineRule="auto"/>
              <w:rPr>
                <w:b/>
                <w:szCs w:val="22"/>
              </w:rPr>
            </w:pPr>
            <w:r w:rsidRPr="00672F96">
              <w:rPr>
                <w:b/>
                <w:szCs w:val="22"/>
              </w:rPr>
              <w:t>Not known</w:t>
            </w:r>
          </w:p>
          <w:p w14:paraId="2F94C246" w14:textId="3F8DFB70" w:rsidR="009314BE" w:rsidRPr="00672F96" w:rsidRDefault="00522617" w:rsidP="00066F99">
            <w:pPr>
              <w:spacing w:line="240" w:lineRule="auto"/>
              <w:rPr>
                <w:szCs w:val="22"/>
              </w:rPr>
            </w:pPr>
            <w:r w:rsidRPr="00672F96">
              <w:rPr>
                <w:szCs w:val="22"/>
              </w:rPr>
              <w:t>Neutropenic colitis, dyspepsia, proctitis,</w:t>
            </w:r>
            <w:r w:rsidR="00066F99">
              <w:rPr>
                <w:szCs w:val="22"/>
              </w:rPr>
              <w:t xml:space="preserve"> gingival pain, oesophageal </w:t>
            </w:r>
            <w:proofErr w:type="gramStart"/>
            <w:r w:rsidR="00066F99">
              <w:rPr>
                <w:szCs w:val="22"/>
              </w:rPr>
              <w:t>pain,</w:t>
            </w:r>
            <w:r w:rsidRPr="00672F96">
              <w:rPr>
                <w:szCs w:val="22"/>
              </w:rPr>
              <w:t xml:space="preserve">  constipation</w:t>
            </w:r>
            <w:proofErr w:type="gramEnd"/>
          </w:p>
        </w:tc>
        <w:tc>
          <w:tcPr>
            <w:tcW w:w="3108" w:type="dxa"/>
          </w:tcPr>
          <w:p w14:paraId="2F94C247" w14:textId="77777777" w:rsidR="00FF5232" w:rsidRPr="00672F96" w:rsidRDefault="00522617" w:rsidP="00672F96">
            <w:pPr>
              <w:rPr>
                <w:b/>
                <w:szCs w:val="22"/>
              </w:rPr>
            </w:pPr>
            <w:r w:rsidRPr="00672F96">
              <w:rPr>
                <w:b/>
                <w:szCs w:val="22"/>
              </w:rPr>
              <w:t>Very common</w:t>
            </w:r>
          </w:p>
          <w:p w14:paraId="2F94C248" w14:textId="44F3CB3C" w:rsidR="00FF5232" w:rsidRPr="00672F96" w:rsidRDefault="00522617" w:rsidP="00672F96">
            <w:pPr>
              <w:rPr>
                <w:szCs w:val="22"/>
              </w:rPr>
            </w:pPr>
            <w:r w:rsidRPr="00672F96">
              <w:rPr>
                <w:szCs w:val="22"/>
              </w:rPr>
              <w:t xml:space="preserve">Stomatitis/mucositis </w:t>
            </w:r>
          </w:p>
          <w:p w14:paraId="2F94C249" w14:textId="77777777" w:rsidR="00FF5232" w:rsidRPr="00672F96" w:rsidRDefault="00FF5232" w:rsidP="00672F96">
            <w:pPr>
              <w:rPr>
                <w:szCs w:val="22"/>
              </w:rPr>
            </w:pPr>
          </w:p>
          <w:p w14:paraId="2F94C24A" w14:textId="77777777" w:rsidR="00FF5232" w:rsidRPr="00672F96" w:rsidRDefault="00522617" w:rsidP="00672F96">
            <w:pPr>
              <w:rPr>
                <w:b/>
                <w:szCs w:val="22"/>
              </w:rPr>
            </w:pPr>
            <w:r w:rsidRPr="00672F96">
              <w:rPr>
                <w:b/>
                <w:szCs w:val="22"/>
              </w:rPr>
              <w:t>Common</w:t>
            </w:r>
          </w:p>
          <w:p w14:paraId="2F94C24B" w14:textId="57C88494" w:rsidR="00FF5232" w:rsidRPr="00672F96" w:rsidRDefault="00522617" w:rsidP="00672F96">
            <w:pPr>
              <w:rPr>
                <w:szCs w:val="22"/>
              </w:rPr>
            </w:pPr>
            <w:r w:rsidRPr="00672F96">
              <w:rPr>
                <w:szCs w:val="22"/>
              </w:rPr>
              <w:t>Dysphagia, diarrhoea, vomiting</w:t>
            </w:r>
            <w:r w:rsidR="004A2432" w:rsidRPr="00672F96">
              <w:rPr>
                <w:szCs w:val="22"/>
              </w:rPr>
              <w:t xml:space="preserve">, </w:t>
            </w:r>
            <w:r w:rsidR="00066F99" w:rsidRPr="00672F96">
              <w:rPr>
                <w:szCs w:val="22"/>
              </w:rPr>
              <w:t>nausea</w:t>
            </w:r>
          </w:p>
          <w:p w14:paraId="2F94C24C" w14:textId="77777777" w:rsidR="00FF5232" w:rsidRPr="00672F96" w:rsidRDefault="00FF5232" w:rsidP="00672F96">
            <w:pPr>
              <w:rPr>
                <w:szCs w:val="22"/>
              </w:rPr>
            </w:pPr>
          </w:p>
          <w:p w14:paraId="2F94C24D" w14:textId="77777777" w:rsidR="00FF5232" w:rsidRPr="00672F96" w:rsidRDefault="00522617" w:rsidP="00672F96">
            <w:pPr>
              <w:rPr>
                <w:b/>
                <w:szCs w:val="22"/>
              </w:rPr>
            </w:pPr>
            <w:r w:rsidRPr="00672F96">
              <w:rPr>
                <w:b/>
                <w:szCs w:val="22"/>
              </w:rPr>
              <w:t>Not known</w:t>
            </w:r>
          </w:p>
          <w:p w14:paraId="2F94C24E" w14:textId="730B409A" w:rsidR="009314BE" w:rsidRPr="00672F96" w:rsidRDefault="00522617" w:rsidP="00672F96">
            <w:pPr>
              <w:spacing w:line="240" w:lineRule="auto"/>
              <w:rPr>
                <w:b/>
                <w:szCs w:val="22"/>
              </w:rPr>
            </w:pPr>
            <w:r w:rsidRPr="00672F96">
              <w:rPr>
                <w:szCs w:val="22"/>
              </w:rPr>
              <w:t>Neutropenic colitis</w:t>
            </w:r>
            <w:r w:rsidR="00066F99" w:rsidRPr="00672F96">
              <w:rPr>
                <w:szCs w:val="22"/>
              </w:rPr>
              <w:t xml:space="preserve"> abdominal pain,</w:t>
            </w:r>
            <w:r w:rsidR="00066F99">
              <w:rPr>
                <w:szCs w:val="22"/>
              </w:rPr>
              <w:t xml:space="preserve"> oesophageal pain</w:t>
            </w:r>
          </w:p>
        </w:tc>
      </w:tr>
      <w:tr w:rsidR="00937EA8" w14:paraId="2F94C255" w14:textId="77777777" w:rsidTr="009314BE">
        <w:trPr>
          <w:cantSplit/>
        </w:trPr>
        <w:tc>
          <w:tcPr>
            <w:tcW w:w="3107" w:type="dxa"/>
          </w:tcPr>
          <w:p w14:paraId="2F94C250" w14:textId="77777777" w:rsidR="009314BE" w:rsidRPr="00672F96" w:rsidRDefault="00522617" w:rsidP="00672F96">
            <w:pPr>
              <w:spacing w:line="240" w:lineRule="auto"/>
              <w:rPr>
                <w:b/>
                <w:szCs w:val="22"/>
              </w:rPr>
            </w:pPr>
            <w:r w:rsidRPr="00672F96">
              <w:rPr>
                <w:b/>
                <w:szCs w:val="22"/>
              </w:rPr>
              <w:t>Hepatobiliary disorders</w:t>
            </w:r>
          </w:p>
        </w:tc>
        <w:tc>
          <w:tcPr>
            <w:tcW w:w="3107" w:type="dxa"/>
          </w:tcPr>
          <w:p w14:paraId="30DF8E25" w14:textId="77777777" w:rsidR="00066F99" w:rsidRDefault="00066F99" w:rsidP="00672F96">
            <w:pPr>
              <w:spacing w:line="240" w:lineRule="auto"/>
              <w:rPr>
                <w:b/>
                <w:szCs w:val="22"/>
              </w:rPr>
            </w:pPr>
            <w:r>
              <w:rPr>
                <w:b/>
                <w:szCs w:val="22"/>
              </w:rPr>
              <w:t xml:space="preserve">Very common </w:t>
            </w:r>
          </w:p>
          <w:p w14:paraId="09BEE3B8" w14:textId="5430B043" w:rsidR="00066F99" w:rsidRDefault="00066F99" w:rsidP="00672F96">
            <w:pPr>
              <w:spacing w:line="240" w:lineRule="auto"/>
              <w:rPr>
                <w:szCs w:val="22"/>
              </w:rPr>
            </w:pPr>
            <w:r>
              <w:rPr>
                <w:szCs w:val="22"/>
              </w:rPr>
              <w:t>H</w:t>
            </w:r>
            <w:r w:rsidRPr="003F323C">
              <w:rPr>
                <w:szCs w:val="22"/>
              </w:rPr>
              <w:t>epatotoxicity</w:t>
            </w:r>
          </w:p>
          <w:p w14:paraId="6AE6D394" w14:textId="77777777" w:rsidR="00066F99" w:rsidRDefault="00066F99" w:rsidP="00672F96">
            <w:pPr>
              <w:spacing w:line="240" w:lineRule="auto"/>
              <w:rPr>
                <w:b/>
                <w:szCs w:val="22"/>
              </w:rPr>
            </w:pPr>
          </w:p>
          <w:p w14:paraId="2F94C251" w14:textId="11BA3DBF" w:rsidR="009314BE" w:rsidRPr="003F323C" w:rsidRDefault="00522617" w:rsidP="00672F96">
            <w:pPr>
              <w:spacing w:line="240" w:lineRule="auto"/>
              <w:rPr>
                <w:b/>
                <w:szCs w:val="22"/>
              </w:rPr>
            </w:pPr>
            <w:r w:rsidRPr="003F323C">
              <w:rPr>
                <w:b/>
                <w:szCs w:val="22"/>
              </w:rPr>
              <w:t>Not known</w:t>
            </w:r>
          </w:p>
          <w:p w14:paraId="2F94C252" w14:textId="4292FC0E" w:rsidR="009314BE" w:rsidRPr="003F323C" w:rsidRDefault="00522617" w:rsidP="00066F99">
            <w:pPr>
              <w:spacing w:line="240" w:lineRule="auto"/>
              <w:rPr>
                <w:szCs w:val="22"/>
              </w:rPr>
            </w:pPr>
            <w:proofErr w:type="spellStart"/>
            <w:r w:rsidRPr="003F323C">
              <w:rPr>
                <w:szCs w:val="22"/>
              </w:rPr>
              <w:t>Veno</w:t>
            </w:r>
            <w:proofErr w:type="spellEnd"/>
            <w:r w:rsidR="007001A1" w:rsidRPr="003F323C">
              <w:rPr>
                <w:szCs w:val="22"/>
              </w:rPr>
              <w:noBreakHyphen/>
            </w:r>
            <w:r w:rsidRPr="003F323C">
              <w:rPr>
                <w:szCs w:val="22"/>
              </w:rPr>
              <w:t xml:space="preserve">occlusive liver disease, hepatomegaly, </w:t>
            </w:r>
            <w:r w:rsidR="00066F99">
              <w:rPr>
                <w:szCs w:val="22"/>
              </w:rPr>
              <w:t xml:space="preserve">hepatic pain </w:t>
            </w:r>
          </w:p>
        </w:tc>
        <w:tc>
          <w:tcPr>
            <w:tcW w:w="3108" w:type="dxa"/>
          </w:tcPr>
          <w:p w14:paraId="2F94C254" w14:textId="0E34219C" w:rsidR="009314BE" w:rsidRPr="003F323C" w:rsidRDefault="009314BE" w:rsidP="00672F96">
            <w:pPr>
              <w:spacing w:line="240" w:lineRule="auto"/>
              <w:rPr>
                <w:b/>
                <w:szCs w:val="22"/>
              </w:rPr>
            </w:pPr>
          </w:p>
        </w:tc>
      </w:tr>
      <w:tr w:rsidR="00937EA8" w14:paraId="2F94C262" w14:textId="77777777" w:rsidTr="009314BE">
        <w:trPr>
          <w:cantSplit/>
        </w:trPr>
        <w:tc>
          <w:tcPr>
            <w:tcW w:w="3107" w:type="dxa"/>
          </w:tcPr>
          <w:p w14:paraId="2F94C256" w14:textId="0B5CFF68" w:rsidR="009314BE" w:rsidRPr="00672F96" w:rsidRDefault="00522617" w:rsidP="00672F96">
            <w:pPr>
              <w:spacing w:line="240" w:lineRule="auto"/>
              <w:rPr>
                <w:b/>
                <w:szCs w:val="22"/>
              </w:rPr>
            </w:pPr>
            <w:r w:rsidRPr="00672F96">
              <w:rPr>
                <w:b/>
                <w:szCs w:val="22"/>
              </w:rPr>
              <w:t>Skin and subcutaneous tissue disorders</w:t>
            </w:r>
          </w:p>
        </w:tc>
        <w:tc>
          <w:tcPr>
            <w:tcW w:w="3107" w:type="dxa"/>
          </w:tcPr>
          <w:p w14:paraId="2F94C257" w14:textId="77777777" w:rsidR="009314BE" w:rsidRPr="003F323C" w:rsidRDefault="00522617" w:rsidP="00672F96">
            <w:pPr>
              <w:spacing w:line="240" w:lineRule="auto"/>
              <w:rPr>
                <w:b/>
                <w:szCs w:val="22"/>
              </w:rPr>
            </w:pPr>
            <w:r w:rsidRPr="003F323C">
              <w:rPr>
                <w:b/>
                <w:szCs w:val="22"/>
              </w:rPr>
              <w:t>Very common</w:t>
            </w:r>
          </w:p>
          <w:p w14:paraId="2F94C258" w14:textId="4F807AEE" w:rsidR="009314BE" w:rsidRPr="003F323C" w:rsidRDefault="00522617" w:rsidP="00672F96">
            <w:pPr>
              <w:spacing w:line="240" w:lineRule="auto"/>
              <w:rPr>
                <w:szCs w:val="22"/>
              </w:rPr>
            </w:pPr>
            <w:r w:rsidRPr="003F323C">
              <w:rPr>
                <w:szCs w:val="22"/>
              </w:rPr>
              <w:t>Pruritus</w:t>
            </w:r>
            <w:r w:rsidR="00066F99" w:rsidRPr="003F323C">
              <w:rPr>
                <w:szCs w:val="22"/>
              </w:rPr>
              <w:t>, alopecia</w:t>
            </w:r>
            <w:r w:rsidRPr="003F323C">
              <w:rPr>
                <w:szCs w:val="22"/>
              </w:rPr>
              <w:t xml:space="preserve"> </w:t>
            </w:r>
          </w:p>
          <w:p w14:paraId="2F94C259" w14:textId="77777777" w:rsidR="009314BE" w:rsidRPr="003F323C" w:rsidRDefault="009314BE" w:rsidP="00672F96">
            <w:pPr>
              <w:spacing w:line="240" w:lineRule="auto"/>
              <w:rPr>
                <w:szCs w:val="22"/>
              </w:rPr>
            </w:pPr>
          </w:p>
          <w:p w14:paraId="2F94C25A" w14:textId="77777777" w:rsidR="009314BE" w:rsidRPr="003F323C" w:rsidRDefault="00522617" w:rsidP="00672F96">
            <w:pPr>
              <w:spacing w:line="240" w:lineRule="auto"/>
              <w:rPr>
                <w:b/>
                <w:szCs w:val="22"/>
              </w:rPr>
            </w:pPr>
            <w:r w:rsidRPr="003F323C">
              <w:rPr>
                <w:b/>
                <w:szCs w:val="22"/>
              </w:rPr>
              <w:t>Common</w:t>
            </w:r>
          </w:p>
          <w:p w14:paraId="2F94C25B" w14:textId="00FA08AF" w:rsidR="009314BE" w:rsidRPr="003F323C" w:rsidRDefault="00522617" w:rsidP="00672F96">
            <w:pPr>
              <w:spacing w:line="240" w:lineRule="auto"/>
              <w:rPr>
                <w:szCs w:val="22"/>
              </w:rPr>
            </w:pPr>
            <w:r w:rsidRPr="003F323C">
              <w:rPr>
                <w:szCs w:val="22"/>
              </w:rPr>
              <w:t>Dermatitis exfoliative, maculo</w:t>
            </w:r>
            <w:r w:rsidR="007001A1" w:rsidRPr="003F323C">
              <w:rPr>
                <w:szCs w:val="22"/>
              </w:rPr>
              <w:noBreakHyphen/>
            </w:r>
            <w:r w:rsidRPr="003F323C">
              <w:rPr>
                <w:szCs w:val="22"/>
              </w:rPr>
              <w:t>papular rash, rash, erythema</w:t>
            </w:r>
            <w:r w:rsidR="00066F99" w:rsidRPr="003F323C">
              <w:rPr>
                <w:szCs w:val="22"/>
              </w:rPr>
              <w:t>, urticaria</w:t>
            </w:r>
            <w:r w:rsidRPr="003F323C">
              <w:rPr>
                <w:szCs w:val="22"/>
              </w:rPr>
              <w:t xml:space="preserve">, pain of skin, skin </w:t>
            </w:r>
            <w:proofErr w:type="spellStart"/>
            <w:r w:rsidRPr="003F323C">
              <w:rPr>
                <w:szCs w:val="22"/>
              </w:rPr>
              <w:t>hyperpigmentation</w:t>
            </w:r>
            <w:r w:rsidRPr="003F323C">
              <w:rPr>
                <w:szCs w:val="22"/>
                <w:vertAlign w:val="superscript"/>
              </w:rPr>
              <w:t>b</w:t>
            </w:r>
            <w:proofErr w:type="spellEnd"/>
            <w:r w:rsidRPr="003F323C">
              <w:rPr>
                <w:szCs w:val="22"/>
              </w:rPr>
              <w:t xml:space="preserve"> </w:t>
            </w:r>
          </w:p>
          <w:p w14:paraId="2F94C25C" w14:textId="77777777" w:rsidR="009314BE" w:rsidRPr="003F323C" w:rsidRDefault="009314BE" w:rsidP="00672F96">
            <w:pPr>
              <w:spacing w:line="240" w:lineRule="auto"/>
              <w:rPr>
                <w:szCs w:val="22"/>
              </w:rPr>
            </w:pPr>
          </w:p>
          <w:p w14:paraId="2F94C25D" w14:textId="77777777" w:rsidR="009314BE" w:rsidRPr="003F323C" w:rsidRDefault="00522617" w:rsidP="00672F96">
            <w:pPr>
              <w:spacing w:line="240" w:lineRule="auto"/>
              <w:rPr>
                <w:b/>
                <w:szCs w:val="22"/>
              </w:rPr>
            </w:pPr>
            <w:r w:rsidRPr="003F323C">
              <w:rPr>
                <w:b/>
                <w:szCs w:val="22"/>
              </w:rPr>
              <w:t>Not known</w:t>
            </w:r>
          </w:p>
          <w:p w14:paraId="2F94C25E" w14:textId="132BDF18" w:rsidR="009314BE" w:rsidRPr="003F323C" w:rsidRDefault="00522617" w:rsidP="00066F99">
            <w:pPr>
              <w:spacing w:line="240" w:lineRule="auto"/>
              <w:rPr>
                <w:szCs w:val="22"/>
              </w:rPr>
            </w:pPr>
            <w:r w:rsidRPr="003F323C">
              <w:rPr>
                <w:szCs w:val="22"/>
              </w:rPr>
              <w:t>Skin ulcer, erythema multiforme, dermatitis bullous, dermatitis acneiform, palmar</w:t>
            </w:r>
            <w:r w:rsidR="007001A1" w:rsidRPr="003F323C">
              <w:rPr>
                <w:szCs w:val="22"/>
              </w:rPr>
              <w:noBreakHyphen/>
            </w:r>
            <w:r w:rsidRPr="003F323C">
              <w:rPr>
                <w:szCs w:val="22"/>
              </w:rPr>
              <w:t xml:space="preserve">plantar </w:t>
            </w:r>
            <w:proofErr w:type="spellStart"/>
            <w:r w:rsidRPr="003F323C">
              <w:rPr>
                <w:szCs w:val="22"/>
              </w:rPr>
              <w:t>erythrodysaesthesia</w:t>
            </w:r>
            <w:proofErr w:type="spellEnd"/>
            <w:r w:rsidRPr="003F323C">
              <w:rPr>
                <w:szCs w:val="22"/>
              </w:rPr>
              <w:t xml:space="preserve"> syndrome, dermatitis </w:t>
            </w:r>
            <w:proofErr w:type="spellStart"/>
            <w:r w:rsidRPr="003F323C">
              <w:rPr>
                <w:szCs w:val="22"/>
              </w:rPr>
              <w:t>diaper</w:t>
            </w:r>
            <w:r w:rsidRPr="003F323C">
              <w:rPr>
                <w:szCs w:val="22"/>
                <w:vertAlign w:val="superscript"/>
              </w:rPr>
              <w:t>a</w:t>
            </w:r>
            <w:proofErr w:type="spellEnd"/>
          </w:p>
        </w:tc>
        <w:tc>
          <w:tcPr>
            <w:tcW w:w="3108" w:type="dxa"/>
          </w:tcPr>
          <w:p w14:paraId="2F94C25F" w14:textId="77777777" w:rsidR="00FF5232" w:rsidRPr="003F323C" w:rsidRDefault="00522617" w:rsidP="00672F96">
            <w:pPr>
              <w:rPr>
                <w:b/>
                <w:szCs w:val="22"/>
              </w:rPr>
            </w:pPr>
            <w:r w:rsidRPr="003F323C">
              <w:rPr>
                <w:b/>
                <w:szCs w:val="22"/>
              </w:rPr>
              <w:t>Common</w:t>
            </w:r>
          </w:p>
          <w:p w14:paraId="2044526D" w14:textId="151A5412" w:rsidR="00066F99" w:rsidRDefault="00522617" w:rsidP="00672F96">
            <w:pPr>
              <w:rPr>
                <w:szCs w:val="22"/>
              </w:rPr>
            </w:pPr>
            <w:r w:rsidRPr="003F323C">
              <w:rPr>
                <w:szCs w:val="22"/>
              </w:rPr>
              <w:t>Dermatitis exfoliative</w:t>
            </w:r>
            <w:r w:rsidR="008A65C8" w:rsidRPr="003F323C">
              <w:rPr>
                <w:szCs w:val="22"/>
              </w:rPr>
              <w:t>, m</w:t>
            </w:r>
            <w:r w:rsidR="00D606A7" w:rsidRPr="003F323C">
              <w:rPr>
                <w:szCs w:val="22"/>
              </w:rPr>
              <w:t>aculo</w:t>
            </w:r>
            <w:r w:rsidR="007001A1" w:rsidRPr="003F323C">
              <w:rPr>
                <w:szCs w:val="22"/>
              </w:rPr>
              <w:noBreakHyphen/>
            </w:r>
            <w:r w:rsidR="00D606A7" w:rsidRPr="003F323C">
              <w:rPr>
                <w:szCs w:val="22"/>
              </w:rPr>
              <w:t xml:space="preserve">papular rash </w:t>
            </w:r>
          </w:p>
          <w:p w14:paraId="3ABF8361" w14:textId="77777777" w:rsidR="00066F99" w:rsidRDefault="00066F99" w:rsidP="00672F96">
            <w:pPr>
              <w:rPr>
                <w:szCs w:val="22"/>
              </w:rPr>
            </w:pPr>
          </w:p>
          <w:p w14:paraId="601FE34C" w14:textId="77777777" w:rsidR="00066F99" w:rsidRPr="00066F99" w:rsidRDefault="00066F99" w:rsidP="00672F96">
            <w:pPr>
              <w:rPr>
                <w:b/>
                <w:szCs w:val="22"/>
              </w:rPr>
            </w:pPr>
            <w:r w:rsidRPr="00066F99">
              <w:rPr>
                <w:b/>
                <w:szCs w:val="22"/>
              </w:rPr>
              <w:t>Not known</w:t>
            </w:r>
          </w:p>
          <w:p w14:paraId="2F94C260" w14:textId="2E17E5EF" w:rsidR="00FF5232" w:rsidRPr="003F323C" w:rsidRDefault="00066F99" w:rsidP="00672F96">
            <w:pPr>
              <w:rPr>
                <w:szCs w:val="22"/>
              </w:rPr>
            </w:pPr>
            <w:r>
              <w:rPr>
                <w:szCs w:val="22"/>
              </w:rPr>
              <w:t>E</w:t>
            </w:r>
            <w:r w:rsidR="00522617" w:rsidRPr="003F323C">
              <w:rPr>
                <w:szCs w:val="22"/>
              </w:rPr>
              <w:t xml:space="preserve">rythema </w:t>
            </w:r>
          </w:p>
          <w:p w14:paraId="2F94C261" w14:textId="77777777" w:rsidR="009314BE" w:rsidRPr="003F323C" w:rsidRDefault="009314BE" w:rsidP="00672F96">
            <w:pPr>
              <w:spacing w:line="240" w:lineRule="auto"/>
              <w:rPr>
                <w:b/>
                <w:szCs w:val="22"/>
              </w:rPr>
            </w:pPr>
          </w:p>
        </w:tc>
      </w:tr>
      <w:tr w:rsidR="00937EA8" w14:paraId="2F94C267" w14:textId="77777777" w:rsidTr="009314BE">
        <w:trPr>
          <w:cantSplit/>
        </w:trPr>
        <w:tc>
          <w:tcPr>
            <w:tcW w:w="3107" w:type="dxa"/>
          </w:tcPr>
          <w:p w14:paraId="2F94C263" w14:textId="425FCA41" w:rsidR="009314BE" w:rsidRPr="00672F96" w:rsidRDefault="00522617" w:rsidP="00672F96">
            <w:pPr>
              <w:spacing w:line="240" w:lineRule="auto"/>
              <w:rPr>
                <w:b/>
                <w:szCs w:val="22"/>
              </w:rPr>
            </w:pPr>
            <w:r w:rsidRPr="00672F96">
              <w:rPr>
                <w:b/>
                <w:szCs w:val="22"/>
              </w:rPr>
              <w:t>Musculoskeletal and connective tissue disorders</w:t>
            </w:r>
          </w:p>
        </w:tc>
        <w:tc>
          <w:tcPr>
            <w:tcW w:w="3107" w:type="dxa"/>
          </w:tcPr>
          <w:p w14:paraId="2F94C264" w14:textId="77777777" w:rsidR="009314BE" w:rsidRPr="00672F96" w:rsidRDefault="00522617" w:rsidP="00672F96">
            <w:pPr>
              <w:spacing w:line="240" w:lineRule="auto"/>
              <w:rPr>
                <w:b/>
                <w:szCs w:val="22"/>
              </w:rPr>
            </w:pPr>
            <w:r w:rsidRPr="00672F96">
              <w:rPr>
                <w:b/>
                <w:szCs w:val="22"/>
              </w:rPr>
              <w:t>Not known</w:t>
            </w:r>
          </w:p>
          <w:p w14:paraId="2F94C265" w14:textId="65DCC42C" w:rsidR="009314BE" w:rsidRPr="00672F96" w:rsidRDefault="00522617" w:rsidP="000C56E3">
            <w:pPr>
              <w:spacing w:line="240" w:lineRule="auto"/>
              <w:rPr>
                <w:szCs w:val="22"/>
              </w:rPr>
            </w:pPr>
            <w:r w:rsidRPr="00672F96">
              <w:rPr>
                <w:szCs w:val="22"/>
              </w:rPr>
              <w:t xml:space="preserve">Pain in </w:t>
            </w:r>
            <w:r w:rsidR="000C56E3" w:rsidRPr="00672F96">
              <w:rPr>
                <w:szCs w:val="22"/>
              </w:rPr>
              <w:t>extremit</w:t>
            </w:r>
            <w:r w:rsidR="000C56E3">
              <w:rPr>
                <w:szCs w:val="22"/>
              </w:rPr>
              <w:t>y</w:t>
            </w:r>
          </w:p>
        </w:tc>
        <w:tc>
          <w:tcPr>
            <w:tcW w:w="3108" w:type="dxa"/>
          </w:tcPr>
          <w:p w14:paraId="2F94C266" w14:textId="77777777" w:rsidR="009314BE" w:rsidRPr="00672F96" w:rsidRDefault="009314BE" w:rsidP="00672F96">
            <w:pPr>
              <w:spacing w:line="240" w:lineRule="auto"/>
              <w:rPr>
                <w:b/>
                <w:szCs w:val="22"/>
              </w:rPr>
            </w:pPr>
          </w:p>
        </w:tc>
      </w:tr>
      <w:tr w:rsidR="00937EA8" w14:paraId="2F94C26D" w14:textId="77777777" w:rsidTr="009314BE">
        <w:trPr>
          <w:cantSplit/>
        </w:trPr>
        <w:tc>
          <w:tcPr>
            <w:tcW w:w="3107" w:type="dxa"/>
          </w:tcPr>
          <w:p w14:paraId="2F94C268" w14:textId="77777777" w:rsidR="009314BE" w:rsidRPr="00672F96" w:rsidRDefault="00522617" w:rsidP="00672F96">
            <w:pPr>
              <w:spacing w:line="240" w:lineRule="auto"/>
              <w:rPr>
                <w:b/>
                <w:szCs w:val="22"/>
              </w:rPr>
            </w:pPr>
            <w:r w:rsidRPr="00672F96">
              <w:rPr>
                <w:b/>
                <w:szCs w:val="22"/>
              </w:rPr>
              <w:t>Renal and urinary disorders</w:t>
            </w:r>
          </w:p>
        </w:tc>
        <w:tc>
          <w:tcPr>
            <w:tcW w:w="3107" w:type="dxa"/>
          </w:tcPr>
          <w:p w14:paraId="2F94C269" w14:textId="77777777" w:rsidR="009314BE" w:rsidRPr="00672F96" w:rsidRDefault="00522617" w:rsidP="00672F96">
            <w:pPr>
              <w:spacing w:line="240" w:lineRule="auto"/>
              <w:rPr>
                <w:b/>
                <w:szCs w:val="22"/>
              </w:rPr>
            </w:pPr>
            <w:r w:rsidRPr="00672F96">
              <w:rPr>
                <w:b/>
                <w:szCs w:val="22"/>
              </w:rPr>
              <w:t>Not known</w:t>
            </w:r>
          </w:p>
          <w:p w14:paraId="2F94C26A" w14:textId="458DC4DA" w:rsidR="009314BE" w:rsidRPr="00672F96" w:rsidRDefault="00522617" w:rsidP="00672F96">
            <w:pPr>
              <w:spacing w:line="240" w:lineRule="auto"/>
              <w:rPr>
                <w:szCs w:val="22"/>
              </w:rPr>
            </w:pPr>
            <w:r w:rsidRPr="00672F96">
              <w:rPr>
                <w:szCs w:val="22"/>
              </w:rPr>
              <w:t>Acute kidney injury, renal failure, noninfective cystitis</w:t>
            </w:r>
            <w:r w:rsidR="00066F99">
              <w:rPr>
                <w:szCs w:val="22"/>
              </w:rPr>
              <w:t>, haematuria</w:t>
            </w:r>
            <w:r w:rsidRPr="00672F96">
              <w:rPr>
                <w:szCs w:val="22"/>
              </w:rPr>
              <w:t xml:space="preserve"> </w:t>
            </w:r>
          </w:p>
        </w:tc>
        <w:tc>
          <w:tcPr>
            <w:tcW w:w="3108" w:type="dxa"/>
          </w:tcPr>
          <w:p w14:paraId="2F94C26B" w14:textId="77777777" w:rsidR="00FF5232" w:rsidRPr="00672F96" w:rsidRDefault="00522617" w:rsidP="00672F96">
            <w:pPr>
              <w:rPr>
                <w:b/>
                <w:szCs w:val="22"/>
              </w:rPr>
            </w:pPr>
            <w:r w:rsidRPr="00672F96">
              <w:rPr>
                <w:b/>
                <w:szCs w:val="22"/>
              </w:rPr>
              <w:t>Not known</w:t>
            </w:r>
          </w:p>
          <w:p w14:paraId="2F94C26C" w14:textId="56098059" w:rsidR="009314BE" w:rsidRPr="00672F96" w:rsidRDefault="00522617" w:rsidP="00672F96">
            <w:pPr>
              <w:spacing w:line="240" w:lineRule="auto"/>
              <w:rPr>
                <w:b/>
                <w:szCs w:val="22"/>
              </w:rPr>
            </w:pPr>
            <w:r w:rsidRPr="00672F96">
              <w:rPr>
                <w:szCs w:val="22"/>
              </w:rPr>
              <w:t>Acute kidney injury, renal failure</w:t>
            </w:r>
            <w:r w:rsidR="00066F99">
              <w:rPr>
                <w:szCs w:val="22"/>
              </w:rPr>
              <w:t>, noninfective cystitis</w:t>
            </w:r>
          </w:p>
        </w:tc>
      </w:tr>
      <w:tr w:rsidR="00937EA8" w14:paraId="2F94C272" w14:textId="77777777" w:rsidTr="009314BE">
        <w:trPr>
          <w:cantSplit/>
        </w:trPr>
        <w:tc>
          <w:tcPr>
            <w:tcW w:w="3107" w:type="dxa"/>
          </w:tcPr>
          <w:p w14:paraId="2F94C26E" w14:textId="77777777" w:rsidR="009314BE" w:rsidRPr="00672F96" w:rsidRDefault="00522617" w:rsidP="00672F96">
            <w:pPr>
              <w:spacing w:line="240" w:lineRule="auto"/>
              <w:rPr>
                <w:b/>
                <w:szCs w:val="22"/>
              </w:rPr>
            </w:pPr>
            <w:r w:rsidRPr="00672F96">
              <w:rPr>
                <w:b/>
                <w:bCs/>
                <w:szCs w:val="22"/>
              </w:rPr>
              <w:t>Reproductive system and breast disorders</w:t>
            </w:r>
          </w:p>
        </w:tc>
        <w:tc>
          <w:tcPr>
            <w:tcW w:w="3107" w:type="dxa"/>
          </w:tcPr>
          <w:p w14:paraId="2F94C26F" w14:textId="77777777" w:rsidR="009314BE" w:rsidRPr="00672F96" w:rsidRDefault="00522617" w:rsidP="00672F96">
            <w:pPr>
              <w:spacing w:line="240" w:lineRule="auto"/>
              <w:rPr>
                <w:b/>
                <w:szCs w:val="22"/>
              </w:rPr>
            </w:pPr>
            <w:r w:rsidRPr="00672F96">
              <w:rPr>
                <w:b/>
                <w:szCs w:val="22"/>
              </w:rPr>
              <w:t>Not known</w:t>
            </w:r>
          </w:p>
          <w:p w14:paraId="2F94C270" w14:textId="6AC5B5F6" w:rsidR="009314BE" w:rsidRPr="00672F96" w:rsidRDefault="00522617" w:rsidP="00672F96">
            <w:pPr>
              <w:spacing w:line="240" w:lineRule="auto"/>
              <w:rPr>
                <w:b/>
                <w:szCs w:val="22"/>
              </w:rPr>
            </w:pPr>
            <w:r w:rsidRPr="00672F96">
              <w:rPr>
                <w:szCs w:val="22"/>
              </w:rPr>
              <w:t>Scrotal erythema</w:t>
            </w:r>
            <w:r w:rsidR="00066F99">
              <w:rPr>
                <w:szCs w:val="22"/>
              </w:rPr>
              <w:t>, penile pain</w:t>
            </w:r>
          </w:p>
        </w:tc>
        <w:tc>
          <w:tcPr>
            <w:tcW w:w="3108" w:type="dxa"/>
          </w:tcPr>
          <w:p w14:paraId="2F94C271" w14:textId="77777777" w:rsidR="009314BE" w:rsidRPr="00672F96" w:rsidRDefault="009314BE" w:rsidP="00672F96">
            <w:pPr>
              <w:spacing w:line="240" w:lineRule="auto"/>
              <w:rPr>
                <w:b/>
                <w:szCs w:val="22"/>
              </w:rPr>
            </w:pPr>
          </w:p>
        </w:tc>
      </w:tr>
      <w:tr w:rsidR="00937EA8" w14:paraId="2F94C27A" w14:textId="77777777" w:rsidTr="009314BE">
        <w:trPr>
          <w:cantSplit/>
        </w:trPr>
        <w:tc>
          <w:tcPr>
            <w:tcW w:w="3107" w:type="dxa"/>
          </w:tcPr>
          <w:p w14:paraId="2F94C273" w14:textId="77777777" w:rsidR="009314BE" w:rsidRPr="00672F96" w:rsidRDefault="00522617" w:rsidP="00672F96">
            <w:pPr>
              <w:spacing w:line="240" w:lineRule="auto"/>
              <w:rPr>
                <w:b/>
                <w:szCs w:val="22"/>
              </w:rPr>
            </w:pPr>
            <w:r w:rsidRPr="00672F96">
              <w:rPr>
                <w:b/>
                <w:szCs w:val="22"/>
              </w:rPr>
              <w:t>General disorders and administration site conditions</w:t>
            </w:r>
          </w:p>
        </w:tc>
        <w:tc>
          <w:tcPr>
            <w:tcW w:w="3107" w:type="dxa"/>
          </w:tcPr>
          <w:p w14:paraId="2F94C274" w14:textId="77777777" w:rsidR="009314BE" w:rsidRPr="00672F96" w:rsidRDefault="00522617" w:rsidP="00672F96">
            <w:pPr>
              <w:spacing w:line="240" w:lineRule="auto"/>
              <w:rPr>
                <w:b/>
                <w:szCs w:val="22"/>
              </w:rPr>
            </w:pPr>
            <w:r w:rsidRPr="00672F96">
              <w:rPr>
                <w:b/>
                <w:szCs w:val="22"/>
              </w:rPr>
              <w:t>Very common</w:t>
            </w:r>
          </w:p>
          <w:p w14:paraId="2F94C275" w14:textId="77777777" w:rsidR="009D79D7" w:rsidRPr="00672F96" w:rsidRDefault="00522617" w:rsidP="00672F96">
            <w:pPr>
              <w:spacing w:line="240" w:lineRule="auto"/>
              <w:rPr>
                <w:szCs w:val="22"/>
              </w:rPr>
            </w:pPr>
            <w:proofErr w:type="spellStart"/>
            <w:r w:rsidRPr="003F323C">
              <w:rPr>
                <w:szCs w:val="22"/>
              </w:rPr>
              <w:t>Pyrexia</w:t>
            </w:r>
            <w:r w:rsidRPr="003F323C">
              <w:rPr>
                <w:szCs w:val="22"/>
                <w:vertAlign w:val="superscript"/>
              </w:rPr>
              <w:t>c</w:t>
            </w:r>
            <w:proofErr w:type="spellEnd"/>
          </w:p>
          <w:p w14:paraId="2F94C276" w14:textId="77777777" w:rsidR="009314BE" w:rsidRDefault="009314BE" w:rsidP="00672F96">
            <w:pPr>
              <w:spacing w:line="240" w:lineRule="auto"/>
              <w:rPr>
                <w:b/>
                <w:szCs w:val="22"/>
              </w:rPr>
            </w:pPr>
          </w:p>
          <w:p w14:paraId="3DE2853F" w14:textId="77777777" w:rsidR="00066F99" w:rsidRDefault="00066F99" w:rsidP="00672F96">
            <w:pPr>
              <w:spacing w:line="240" w:lineRule="auto"/>
              <w:rPr>
                <w:b/>
                <w:szCs w:val="22"/>
              </w:rPr>
            </w:pPr>
            <w:r>
              <w:rPr>
                <w:b/>
                <w:szCs w:val="22"/>
              </w:rPr>
              <w:t>Common</w:t>
            </w:r>
          </w:p>
          <w:p w14:paraId="361E8480" w14:textId="77777777" w:rsidR="00066F99" w:rsidRPr="004F0657" w:rsidRDefault="00066F99" w:rsidP="00672F96">
            <w:pPr>
              <w:spacing w:line="240" w:lineRule="auto"/>
              <w:rPr>
                <w:bCs/>
                <w:szCs w:val="22"/>
              </w:rPr>
            </w:pPr>
            <w:r w:rsidRPr="00391E4A">
              <w:rPr>
                <w:bCs/>
                <w:szCs w:val="22"/>
              </w:rPr>
              <w:t>Chills</w:t>
            </w:r>
          </w:p>
          <w:p w14:paraId="3556E9CF" w14:textId="77777777" w:rsidR="00066F99" w:rsidRPr="00672F96" w:rsidRDefault="00066F99" w:rsidP="00672F96">
            <w:pPr>
              <w:spacing w:line="240" w:lineRule="auto"/>
              <w:rPr>
                <w:b/>
                <w:szCs w:val="22"/>
              </w:rPr>
            </w:pPr>
          </w:p>
          <w:p w14:paraId="2F94C277" w14:textId="77777777" w:rsidR="009314BE" w:rsidRPr="00672F96" w:rsidRDefault="00522617" w:rsidP="00672F96">
            <w:pPr>
              <w:spacing w:line="240" w:lineRule="auto"/>
              <w:rPr>
                <w:b/>
                <w:szCs w:val="22"/>
              </w:rPr>
            </w:pPr>
            <w:r w:rsidRPr="00672F96">
              <w:rPr>
                <w:b/>
                <w:szCs w:val="22"/>
              </w:rPr>
              <w:t>Not known</w:t>
            </w:r>
          </w:p>
          <w:p w14:paraId="2F94C278" w14:textId="615EB2F9" w:rsidR="009314BE" w:rsidRPr="00672F96" w:rsidRDefault="00066F99" w:rsidP="00672F96">
            <w:pPr>
              <w:spacing w:line="240" w:lineRule="auto"/>
              <w:rPr>
                <w:szCs w:val="22"/>
              </w:rPr>
            </w:pPr>
            <w:r>
              <w:rPr>
                <w:szCs w:val="22"/>
              </w:rPr>
              <w:t>F</w:t>
            </w:r>
            <w:r w:rsidR="00522617" w:rsidRPr="00672F96">
              <w:rPr>
                <w:szCs w:val="22"/>
              </w:rPr>
              <w:t>atigue, pain</w:t>
            </w:r>
          </w:p>
        </w:tc>
        <w:tc>
          <w:tcPr>
            <w:tcW w:w="3108" w:type="dxa"/>
          </w:tcPr>
          <w:p w14:paraId="2F94C279" w14:textId="77777777" w:rsidR="009314BE" w:rsidRPr="00672F96" w:rsidRDefault="009314BE" w:rsidP="00672F96">
            <w:pPr>
              <w:spacing w:line="240" w:lineRule="auto"/>
              <w:rPr>
                <w:b/>
                <w:szCs w:val="22"/>
              </w:rPr>
            </w:pPr>
          </w:p>
        </w:tc>
      </w:tr>
      <w:tr w:rsidR="00937EA8" w14:paraId="2F94C289" w14:textId="77777777" w:rsidTr="009314BE">
        <w:trPr>
          <w:cantSplit/>
          <w:trHeight w:val="1198"/>
        </w:trPr>
        <w:tc>
          <w:tcPr>
            <w:tcW w:w="3107" w:type="dxa"/>
          </w:tcPr>
          <w:p w14:paraId="2F94C27B" w14:textId="62547760" w:rsidR="009314BE" w:rsidRPr="00672F96" w:rsidRDefault="00522617" w:rsidP="00672F96">
            <w:pPr>
              <w:spacing w:line="240" w:lineRule="auto"/>
              <w:rPr>
                <w:b/>
                <w:szCs w:val="22"/>
              </w:rPr>
            </w:pPr>
            <w:r w:rsidRPr="00672F96">
              <w:rPr>
                <w:b/>
                <w:szCs w:val="22"/>
              </w:rPr>
              <w:lastRenderedPageBreak/>
              <w:t>Investigations</w:t>
            </w:r>
          </w:p>
        </w:tc>
        <w:tc>
          <w:tcPr>
            <w:tcW w:w="3107" w:type="dxa"/>
          </w:tcPr>
          <w:p w14:paraId="67D8AD87" w14:textId="77777777" w:rsidR="00066F99" w:rsidRDefault="00066F99" w:rsidP="00672F96">
            <w:pPr>
              <w:spacing w:line="240" w:lineRule="auto"/>
              <w:rPr>
                <w:b/>
                <w:szCs w:val="22"/>
              </w:rPr>
            </w:pPr>
            <w:r>
              <w:rPr>
                <w:b/>
                <w:szCs w:val="22"/>
              </w:rPr>
              <w:t xml:space="preserve">Very common </w:t>
            </w:r>
          </w:p>
          <w:p w14:paraId="73DB5F12" w14:textId="77777777" w:rsidR="00066F99" w:rsidRPr="00214DF0" w:rsidRDefault="00214DF0" w:rsidP="00672F96">
            <w:pPr>
              <w:spacing w:line="240" w:lineRule="auto"/>
              <w:rPr>
                <w:szCs w:val="22"/>
              </w:rPr>
            </w:pPr>
            <w:r w:rsidRPr="00214DF0">
              <w:rPr>
                <w:szCs w:val="22"/>
              </w:rPr>
              <w:t>ALT increased</w:t>
            </w:r>
          </w:p>
          <w:p w14:paraId="2410E6E5" w14:textId="77777777" w:rsidR="00214DF0" w:rsidRDefault="00214DF0" w:rsidP="00672F96">
            <w:pPr>
              <w:spacing w:line="240" w:lineRule="auto"/>
              <w:rPr>
                <w:b/>
                <w:szCs w:val="22"/>
              </w:rPr>
            </w:pPr>
          </w:p>
          <w:p w14:paraId="2F94C27C" w14:textId="77777777" w:rsidR="009314BE" w:rsidRPr="00672F96" w:rsidRDefault="00522617" w:rsidP="00672F96">
            <w:pPr>
              <w:spacing w:line="240" w:lineRule="auto"/>
              <w:rPr>
                <w:b/>
                <w:szCs w:val="22"/>
              </w:rPr>
            </w:pPr>
            <w:r w:rsidRPr="00672F96">
              <w:rPr>
                <w:b/>
                <w:szCs w:val="22"/>
              </w:rPr>
              <w:t>Common</w:t>
            </w:r>
          </w:p>
          <w:p w14:paraId="2F94C27D" w14:textId="1A458E4B" w:rsidR="009314BE" w:rsidRPr="00672F96" w:rsidRDefault="00522617" w:rsidP="00672F96">
            <w:pPr>
              <w:spacing w:line="240" w:lineRule="auto"/>
              <w:rPr>
                <w:szCs w:val="22"/>
              </w:rPr>
            </w:pPr>
            <w:r w:rsidRPr="00672F96">
              <w:rPr>
                <w:szCs w:val="22"/>
              </w:rPr>
              <w:t xml:space="preserve">AST </w:t>
            </w:r>
            <w:proofErr w:type="gramStart"/>
            <w:r w:rsidRPr="00672F96">
              <w:rPr>
                <w:szCs w:val="22"/>
              </w:rPr>
              <w:t>increased,</w:t>
            </w:r>
            <w:proofErr w:type="gramEnd"/>
            <w:r w:rsidRPr="00672F96">
              <w:rPr>
                <w:szCs w:val="22"/>
              </w:rPr>
              <w:t xml:space="preserve"> </w:t>
            </w:r>
            <w:r w:rsidR="00214DF0">
              <w:rPr>
                <w:szCs w:val="22"/>
              </w:rPr>
              <w:t xml:space="preserve">blood </w:t>
            </w:r>
            <w:r w:rsidRPr="00672F96">
              <w:rPr>
                <w:szCs w:val="22"/>
              </w:rPr>
              <w:t>bilirubin increased</w:t>
            </w:r>
          </w:p>
          <w:p w14:paraId="2F94C27E" w14:textId="77777777" w:rsidR="009314BE" w:rsidRPr="00672F96" w:rsidRDefault="009314BE" w:rsidP="00672F96">
            <w:pPr>
              <w:spacing w:line="240" w:lineRule="auto"/>
              <w:rPr>
                <w:szCs w:val="22"/>
              </w:rPr>
            </w:pPr>
          </w:p>
          <w:p w14:paraId="2F94C27F" w14:textId="77777777" w:rsidR="009314BE" w:rsidRPr="00672F96" w:rsidRDefault="00522617" w:rsidP="00672F96">
            <w:pPr>
              <w:spacing w:line="240" w:lineRule="auto"/>
              <w:rPr>
                <w:b/>
                <w:szCs w:val="22"/>
              </w:rPr>
            </w:pPr>
            <w:r w:rsidRPr="00672F96">
              <w:rPr>
                <w:b/>
                <w:szCs w:val="22"/>
              </w:rPr>
              <w:t>Not known</w:t>
            </w:r>
          </w:p>
          <w:p w14:paraId="2F94C280" w14:textId="4ED1B91F" w:rsidR="009314BE" w:rsidRPr="00672F96" w:rsidRDefault="00522617" w:rsidP="00672F96">
            <w:pPr>
              <w:spacing w:line="240" w:lineRule="auto"/>
              <w:rPr>
                <w:szCs w:val="22"/>
              </w:rPr>
            </w:pPr>
            <w:proofErr w:type="spellStart"/>
            <w:r w:rsidRPr="00672F96">
              <w:rPr>
                <w:szCs w:val="22"/>
              </w:rPr>
              <w:t>γGT</w:t>
            </w:r>
            <w:proofErr w:type="spellEnd"/>
            <w:r w:rsidRPr="00672F96">
              <w:rPr>
                <w:szCs w:val="22"/>
              </w:rPr>
              <w:t xml:space="preserve"> increased</w:t>
            </w:r>
            <w:r w:rsidR="00214DF0">
              <w:rPr>
                <w:szCs w:val="22"/>
              </w:rPr>
              <w:t>, C-reactive protein increased</w:t>
            </w:r>
          </w:p>
        </w:tc>
        <w:tc>
          <w:tcPr>
            <w:tcW w:w="3108" w:type="dxa"/>
          </w:tcPr>
          <w:p w14:paraId="2F94C281" w14:textId="77777777" w:rsidR="00FF5232" w:rsidRPr="00672F96" w:rsidRDefault="00522617" w:rsidP="00672F96">
            <w:pPr>
              <w:rPr>
                <w:b/>
                <w:szCs w:val="22"/>
              </w:rPr>
            </w:pPr>
            <w:r w:rsidRPr="00672F96">
              <w:rPr>
                <w:b/>
                <w:szCs w:val="22"/>
              </w:rPr>
              <w:t>Common</w:t>
            </w:r>
          </w:p>
          <w:p w14:paraId="2F94C282" w14:textId="49B00DAB" w:rsidR="00E17DA1" w:rsidRPr="00672F96" w:rsidRDefault="00522617" w:rsidP="00672F96">
            <w:pPr>
              <w:rPr>
                <w:szCs w:val="22"/>
              </w:rPr>
            </w:pPr>
            <w:r w:rsidRPr="00672F96">
              <w:rPr>
                <w:szCs w:val="22"/>
              </w:rPr>
              <w:t>B</w:t>
            </w:r>
            <w:r w:rsidR="00214DF0">
              <w:rPr>
                <w:szCs w:val="22"/>
              </w:rPr>
              <w:t>lood b</w:t>
            </w:r>
            <w:r w:rsidRPr="00672F96">
              <w:rPr>
                <w:szCs w:val="22"/>
              </w:rPr>
              <w:t xml:space="preserve">ilirubin </w:t>
            </w:r>
            <w:proofErr w:type="gramStart"/>
            <w:r w:rsidRPr="00672F96">
              <w:rPr>
                <w:szCs w:val="22"/>
              </w:rPr>
              <w:t>increased</w:t>
            </w:r>
            <w:r w:rsidR="00214DF0">
              <w:rPr>
                <w:szCs w:val="22"/>
              </w:rPr>
              <w:t>,</w:t>
            </w:r>
            <w:proofErr w:type="gramEnd"/>
            <w:r w:rsidR="00214DF0">
              <w:rPr>
                <w:szCs w:val="22"/>
              </w:rPr>
              <w:t xml:space="preserve"> ALT increased</w:t>
            </w:r>
          </w:p>
          <w:p w14:paraId="2F94C286" w14:textId="77777777" w:rsidR="004A2432" w:rsidRPr="00672F96" w:rsidRDefault="004A2432" w:rsidP="00672F96">
            <w:pPr>
              <w:rPr>
                <w:szCs w:val="22"/>
              </w:rPr>
            </w:pPr>
          </w:p>
          <w:p w14:paraId="2F94C287" w14:textId="77777777" w:rsidR="00FF5232" w:rsidRPr="00672F96" w:rsidRDefault="00522617" w:rsidP="00672F96">
            <w:pPr>
              <w:rPr>
                <w:b/>
                <w:szCs w:val="22"/>
              </w:rPr>
            </w:pPr>
            <w:r w:rsidRPr="00672F96">
              <w:rPr>
                <w:b/>
                <w:szCs w:val="22"/>
              </w:rPr>
              <w:t>Not known</w:t>
            </w:r>
          </w:p>
          <w:p w14:paraId="2F94C288" w14:textId="436535FA" w:rsidR="009314BE" w:rsidRPr="00672F96" w:rsidRDefault="00522617" w:rsidP="00672F96">
            <w:pPr>
              <w:spacing w:line="240" w:lineRule="auto"/>
              <w:rPr>
                <w:b/>
                <w:szCs w:val="22"/>
              </w:rPr>
            </w:pPr>
            <w:proofErr w:type="spellStart"/>
            <w:r w:rsidRPr="00672F96">
              <w:rPr>
                <w:szCs w:val="22"/>
              </w:rPr>
              <w:t>γGT</w:t>
            </w:r>
            <w:proofErr w:type="spellEnd"/>
            <w:r w:rsidRPr="00672F96">
              <w:rPr>
                <w:szCs w:val="22"/>
              </w:rPr>
              <w:t xml:space="preserve"> increased</w:t>
            </w:r>
            <w:r w:rsidR="00214DF0">
              <w:rPr>
                <w:szCs w:val="22"/>
              </w:rPr>
              <w:t>, AST increased, C-reactive protein increased</w:t>
            </w:r>
          </w:p>
        </w:tc>
      </w:tr>
    </w:tbl>
    <w:p w14:paraId="2F94C28A" w14:textId="37769B23" w:rsidR="00202472" w:rsidRPr="00672F96" w:rsidRDefault="00522617" w:rsidP="00672F96">
      <w:pPr>
        <w:tabs>
          <w:tab w:val="clear" w:pos="567"/>
          <w:tab w:val="left" w:pos="284"/>
        </w:tabs>
        <w:spacing w:line="240" w:lineRule="auto"/>
        <w:rPr>
          <w:szCs w:val="22"/>
        </w:rPr>
      </w:pPr>
      <w:r w:rsidRPr="00672F96">
        <w:rPr>
          <w:szCs w:val="22"/>
        </w:rPr>
        <w:t>*</w:t>
      </w:r>
      <w:r w:rsidRPr="00672F96">
        <w:rPr>
          <w:szCs w:val="22"/>
        </w:rPr>
        <w:tab/>
        <w:t>See detailed sections below</w:t>
      </w:r>
    </w:p>
    <w:p w14:paraId="2F94C28B" w14:textId="77777777" w:rsidR="00FB2A7B" w:rsidRPr="003F323C" w:rsidRDefault="00522617" w:rsidP="00672F96">
      <w:pPr>
        <w:tabs>
          <w:tab w:val="clear" w:pos="567"/>
          <w:tab w:val="left" w:pos="284"/>
        </w:tabs>
        <w:spacing w:line="240" w:lineRule="auto"/>
        <w:rPr>
          <w:szCs w:val="22"/>
        </w:rPr>
      </w:pPr>
      <w:r w:rsidRPr="00672F96">
        <w:rPr>
          <w:szCs w:val="22"/>
          <w:vertAlign w:val="superscript"/>
        </w:rPr>
        <w:t>a</w:t>
      </w:r>
      <w:r w:rsidR="00202472" w:rsidRPr="00672F96">
        <w:rPr>
          <w:szCs w:val="22"/>
          <w:vertAlign w:val="superscript"/>
        </w:rPr>
        <w:tab/>
      </w:r>
      <w:r w:rsidR="008C0B71" w:rsidRPr="00672F96">
        <w:rPr>
          <w:szCs w:val="22"/>
        </w:rPr>
        <w:t>Case reports (&gt;</w:t>
      </w:r>
      <w:r w:rsidR="009B2A66" w:rsidRPr="00672F96">
        <w:rPr>
          <w:szCs w:val="22"/>
        </w:rPr>
        <w:t> </w:t>
      </w:r>
      <w:r w:rsidR="008C0B71" w:rsidRPr="00672F96">
        <w:rPr>
          <w:szCs w:val="22"/>
        </w:rPr>
        <w:t xml:space="preserve">1) after </w:t>
      </w:r>
      <w:proofErr w:type="spellStart"/>
      <w:r w:rsidR="008C0B71" w:rsidRPr="003F323C">
        <w:rPr>
          <w:szCs w:val="22"/>
        </w:rPr>
        <w:t>treosulfan</w:t>
      </w:r>
      <w:proofErr w:type="spellEnd"/>
      <w:r w:rsidR="007001A1" w:rsidRPr="003F323C">
        <w:rPr>
          <w:szCs w:val="22"/>
        </w:rPr>
        <w:noBreakHyphen/>
      </w:r>
      <w:r w:rsidR="008C0B71" w:rsidRPr="003F323C">
        <w:rPr>
          <w:szCs w:val="22"/>
        </w:rPr>
        <w:t>based conditioning obtained from other sources</w:t>
      </w:r>
      <w:r w:rsidR="004751B0" w:rsidRPr="003F323C">
        <w:rPr>
          <w:szCs w:val="22"/>
        </w:rPr>
        <w:t xml:space="preserve"> </w:t>
      </w:r>
    </w:p>
    <w:p w14:paraId="2F94C28C" w14:textId="77777777" w:rsidR="00FB2A7B" w:rsidRPr="003F323C" w:rsidRDefault="00522617" w:rsidP="00672F96">
      <w:pPr>
        <w:tabs>
          <w:tab w:val="clear" w:pos="567"/>
          <w:tab w:val="left" w:pos="284"/>
        </w:tabs>
        <w:spacing w:line="240" w:lineRule="auto"/>
        <w:rPr>
          <w:szCs w:val="22"/>
        </w:rPr>
      </w:pPr>
      <w:r w:rsidRPr="003F323C">
        <w:rPr>
          <w:szCs w:val="22"/>
          <w:vertAlign w:val="superscript"/>
        </w:rPr>
        <w:t>b</w:t>
      </w:r>
      <w:r w:rsidR="00202472" w:rsidRPr="003F323C">
        <w:rPr>
          <w:szCs w:val="22"/>
          <w:vertAlign w:val="superscript"/>
        </w:rPr>
        <w:tab/>
      </w:r>
      <w:proofErr w:type="gramStart"/>
      <w:r w:rsidRPr="003F323C">
        <w:rPr>
          <w:szCs w:val="22"/>
        </w:rPr>
        <w:t>Bronze</w:t>
      </w:r>
      <w:proofErr w:type="gramEnd"/>
      <w:r w:rsidRPr="003F323C">
        <w:rPr>
          <w:szCs w:val="22"/>
        </w:rPr>
        <w:t xml:space="preserve"> pigmentation</w:t>
      </w:r>
    </w:p>
    <w:p w14:paraId="2F94C28D" w14:textId="77777777" w:rsidR="00202472" w:rsidRPr="00672F96" w:rsidRDefault="00522617" w:rsidP="00672F96">
      <w:pPr>
        <w:tabs>
          <w:tab w:val="clear" w:pos="567"/>
          <w:tab w:val="left" w:pos="284"/>
        </w:tabs>
        <w:spacing w:line="240" w:lineRule="auto"/>
        <w:ind w:left="567" w:hanging="567"/>
        <w:rPr>
          <w:szCs w:val="22"/>
        </w:rPr>
      </w:pPr>
      <w:r w:rsidRPr="003F323C">
        <w:rPr>
          <w:szCs w:val="22"/>
          <w:vertAlign w:val="superscript"/>
        </w:rPr>
        <w:t>c</w:t>
      </w:r>
      <w:r w:rsidRPr="003F323C">
        <w:rPr>
          <w:szCs w:val="22"/>
        </w:rPr>
        <w:tab/>
        <w:t>Fever in the absence of neutropenia where neutropenia is defined as ANC &lt; 1.0 x 10</w:t>
      </w:r>
      <w:r w:rsidRPr="003F323C">
        <w:rPr>
          <w:szCs w:val="22"/>
          <w:vertAlign w:val="superscript"/>
        </w:rPr>
        <w:t>9</w:t>
      </w:r>
      <w:r w:rsidRPr="003F323C">
        <w:rPr>
          <w:szCs w:val="22"/>
        </w:rPr>
        <w:t>/</w:t>
      </w:r>
      <w:r w:rsidR="0038429C" w:rsidRPr="003F323C">
        <w:rPr>
          <w:szCs w:val="22"/>
        </w:rPr>
        <w:t>L</w:t>
      </w:r>
    </w:p>
    <w:p w14:paraId="2F94C28E" w14:textId="77777777" w:rsidR="00F41027" w:rsidRPr="00672F96" w:rsidRDefault="00F41027" w:rsidP="00672F96">
      <w:pPr>
        <w:spacing w:line="240" w:lineRule="auto"/>
        <w:rPr>
          <w:szCs w:val="22"/>
        </w:rPr>
      </w:pPr>
    </w:p>
    <w:p w14:paraId="2F94C28F" w14:textId="77777777" w:rsidR="00F1388F" w:rsidRPr="003F323C" w:rsidRDefault="00522617" w:rsidP="00672F96">
      <w:pPr>
        <w:spacing w:line="240" w:lineRule="auto"/>
        <w:rPr>
          <w:bCs/>
          <w:i/>
          <w:szCs w:val="22"/>
        </w:rPr>
      </w:pPr>
      <w:r w:rsidRPr="003F323C">
        <w:rPr>
          <w:bCs/>
          <w:i/>
          <w:szCs w:val="22"/>
        </w:rPr>
        <w:t>Description of selected adverse reactions</w:t>
      </w:r>
    </w:p>
    <w:p w14:paraId="2F94C290" w14:textId="77777777" w:rsidR="00F1388F" w:rsidRPr="003F323C" w:rsidRDefault="00F1388F" w:rsidP="00672F96">
      <w:pPr>
        <w:spacing w:line="240" w:lineRule="auto"/>
        <w:rPr>
          <w:szCs w:val="22"/>
        </w:rPr>
      </w:pPr>
    </w:p>
    <w:p w14:paraId="2F94C291" w14:textId="77777777" w:rsidR="007001A1" w:rsidRPr="007001A1" w:rsidRDefault="00522617" w:rsidP="00672F96">
      <w:pPr>
        <w:spacing w:line="240" w:lineRule="auto"/>
        <w:rPr>
          <w:i/>
          <w:szCs w:val="22"/>
          <w:u w:val="single"/>
        </w:rPr>
      </w:pPr>
      <w:r w:rsidRPr="003F323C">
        <w:rPr>
          <w:i/>
          <w:szCs w:val="22"/>
          <w:u w:val="single"/>
        </w:rPr>
        <w:t>Infections</w:t>
      </w:r>
    </w:p>
    <w:p w14:paraId="2F94C292" w14:textId="77777777" w:rsidR="00F1388F" w:rsidRPr="00672F96" w:rsidRDefault="00F1388F" w:rsidP="00672F96">
      <w:pPr>
        <w:spacing w:line="240" w:lineRule="auto"/>
        <w:rPr>
          <w:i/>
          <w:szCs w:val="22"/>
        </w:rPr>
      </w:pPr>
    </w:p>
    <w:p w14:paraId="2F94C293" w14:textId="3B54D004" w:rsidR="00F1388F" w:rsidRPr="00672F96" w:rsidRDefault="00522617" w:rsidP="00672F96">
      <w:pPr>
        <w:spacing w:line="240" w:lineRule="auto"/>
        <w:rPr>
          <w:szCs w:val="22"/>
        </w:rPr>
      </w:pPr>
      <w:r w:rsidRPr="00672F96">
        <w:rPr>
          <w:szCs w:val="22"/>
        </w:rPr>
        <w:t xml:space="preserve">The overall incidence of infections in </w:t>
      </w:r>
      <w:r w:rsidR="00434E42">
        <w:rPr>
          <w:szCs w:val="22"/>
        </w:rPr>
        <w:t>115</w:t>
      </w:r>
      <w:r w:rsidR="00434E42" w:rsidRPr="00672F96">
        <w:rPr>
          <w:szCs w:val="22"/>
        </w:rPr>
        <w:t> </w:t>
      </w:r>
      <w:r w:rsidRPr="00672F96">
        <w:rPr>
          <w:szCs w:val="22"/>
        </w:rPr>
        <w:t xml:space="preserve">paediatric patients was </w:t>
      </w:r>
      <w:r w:rsidR="00434E42">
        <w:rPr>
          <w:szCs w:val="22"/>
        </w:rPr>
        <w:t>12.2</w:t>
      </w:r>
      <w:r w:rsidR="00434E42" w:rsidRPr="00672F96">
        <w:rPr>
          <w:szCs w:val="22"/>
        </w:rPr>
        <w:t>% (1</w:t>
      </w:r>
      <w:r w:rsidR="00434E42">
        <w:rPr>
          <w:szCs w:val="22"/>
        </w:rPr>
        <w:t>4</w:t>
      </w:r>
      <w:r w:rsidR="00434E42" w:rsidRPr="00672F96">
        <w:rPr>
          <w:szCs w:val="22"/>
        </w:rPr>
        <w:t>/</w:t>
      </w:r>
      <w:r w:rsidR="00434E42">
        <w:rPr>
          <w:szCs w:val="22"/>
        </w:rPr>
        <w:t>115</w:t>
      </w:r>
      <w:r w:rsidR="00434E42" w:rsidRPr="00672F96">
        <w:rPr>
          <w:szCs w:val="22"/>
        </w:rPr>
        <w:t xml:space="preserve">) </w:t>
      </w:r>
      <w:r w:rsidR="008926E7" w:rsidRPr="00672F96">
        <w:rPr>
          <w:szCs w:val="22"/>
        </w:rPr>
        <w:t xml:space="preserve">and thus </w:t>
      </w:r>
      <w:r w:rsidRPr="00672F96">
        <w:rPr>
          <w:szCs w:val="22"/>
        </w:rPr>
        <w:t>comparable to that seen in adults.</w:t>
      </w:r>
      <w:r w:rsidR="00E318B8" w:rsidRPr="00672F96">
        <w:rPr>
          <w:szCs w:val="22"/>
          <w:lang w:eastAsia="de-DE"/>
        </w:rPr>
        <w:t xml:space="preserve"> </w:t>
      </w:r>
      <w:r w:rsidR="0038429C" w:rsidRPr="003F323C">
        <w:rPr>
          <w:szCs w:val="22"/>
          <w:lang w:eastAsia="de-DE"/>
        </w:rPr>
        <w:t xml:space="preserve">The </w:t>
      </w:r>
      <w:r w:rsidR="0038429C" w:rsidRPr="003F323C">
        <w:rPr>
          <w:szCs w:val="22"/>
        </w:rPr>
        <w:t>f</w:t>
      </w:r>
      <w:r w:rsidR="00E318B8" w:rsidRPr="003F323C">
        <w:rPr>
          <w:szCs w:val="22"/>
        </w:rPr>
        <w:t>requency was higher in the paediatric age group 12</w:t>
      </w:r>
      <w:r w:rsidR="009B2A66" w:rsidRPr="003F323C">
        <w:rPr>
          <w:szCs w:val="22"/>
        </w:rPr>
        <w:t>–</w:t>
      </w:r>
      <w:r w:rsidR="00E318B8" w:rsidRPr="003F323C">
        <w:rPr>
          <w:szCs w:val="22"/>
        </w:rPr>
        <w:t>17</w:t>
      </w:r>
      <w:r w:rsidR="009B2A66" w:rsidRPr="003F323C">
        <w:rPr>
          <w:szCs w:val="22"/>
        </w:rPr>
        <w:t> </w:t>
      </w:r>
      <w:r w:rsidR="00E318B8" w:rsidRPr="003F323C">
        <w:rPr>
          <w:szCs w:val="22"/>
        </w:rPr>
        <w:t>years</w:t>
      </w:r>
      <w:r w:rsidR="00E318B8" w:rsidRPr="00672F96">
        <w:rPr>
          <w:szCs w:val="22"/>
        </w:rPr>
        <w:t xml:space="preserve"> </w:t>
      </w:r>
      <w:r w:rsidR="00434E42" w:rsidRPr="00672F96">
        <w:rPr>
          <w:szCs w:val="22"/>
        </w:rPr>
        <w:t>(6/3</w:t>
      </w:r>
      <w:r w:rsidR="00434E42">
        <w:rPr>
          <w:szCs w:val="22"/>
        </w:rPr>
        <w:t>9</w:t>
      </w:r>
      <w:r w:rsidR="00434E42" w:rsidRPr="00672F96">
        <w:rPr>
          <w:szCs w:val="22"/>
        </w:rPr>
        <w:t xml:space="preserve"> [</w:t>
      </w:r>
      <w:r w:rsidR="00434E42">
        <w:rPr>
          <w:szCs w:val="22"/>
        </w:rPr>
        <w:t>15.4</w:t>
      </w:r>
      <w:r w:rsidR="00434E42" w:rsidRPr="00672F96">
        <w:rPr>
          <w:szCs w:val="22"/>
        </w:rPr>
        <w:t>%])</w:t>
      </w:r>
      <w:r w:rsidR="00E318B8" w:rsidRPr="00672F96">
        <w:rPr>
          <w:szCs w:val="22"/>
        </w:rPr>
        <w:t xml:space="preserve"> compared to younger children </w:t>
      </w:r>
      <w:r w:rsidR="00434E42" w:rsidRPr="00672F96">
        <w:rPr>
          <w:szCs w:val="22"/>
        </w:rPr>
        <w:t>(</w:t>
      </w:r>
      <w:r w:rsidR="00434E42">
        <w:rPr>
          <w:szCs w:val="22"/>
        </w:rPr>
        <w:t>8</w:t>
      </w:r>
      <w:r w:rsidR="00434E42" w:rsidRPr="00672F96">
        <w:rPr>
          <w:szCs w:val="22"/>
        </w:rPr>
        <w:t>/</w:t>
      </w:r>
      <w:r w:rsidR="00434E42">
        <w:rPr>
          <w:szCs w:val="22"/>
        </w:rPr>
        <w:t>76</w:t>
      </w:r>
      <w:r w:rsidR="00434E42" w:rsidRPr="00672F96">
        <w:rPr>
          <w:szCs w:val="22"/>
        </w:rPr>
        <w:t xml:space="preserve"> [</w:t>
      </w:r>
      <w:r w:rsidR="00434E42">
        <w:rPr>
          <w:szCs w:val="22"/>
        </w:rPr>
        <w:t>10</w:t>
      </w:r>
      <w:r w:rsidR="00434E42" w:rsidRPr="00672F96">
        <w:rPr>
          <w:szCs w:val="22"/>
        </w:rPr>
        <w:t>.5%])</w:t>
      </w:r>
      <w:r w:rsidR="00E318B8" w:rsidRPr="00672F96">
        <w:rPr>
          <w:szCs w:val="22"/>
        </w:rPr>
        <w:t>.</w:t>
      </w:r>
    </w:p>
    <w:p w14:paraId="2F94C295" w14:textId="77777777" w:rsidR="00E318B8" w:rsidRPr="003F323C" w:rsidRDefault="00522617" w:rsidP="007001A1">
      <w:pPr>
        <w:keepNext/>
        <w:keepLines/>
        <w:spacing w:line="240" w:lineRule="auto"/>
        <w:rPr>
          <w:i/>
          <w:szCs w:val="22"/>
          <w:u w:val="single"/>
        </w:rPr>
      </w:pPr>
      <w:r w:rsidRPr="003F323C">
        <w:rPr>
          <w:i/>
          <w:szCs w:val="22"/>
          <w:u w:val="single"/>
        </w:rPr>
        <w:t xml:space="preserve">Neoplasms benign, </w:t>
      </w:r>
      <w:proofErr w:type="gramStart"/>
      <w:r w:rsidRPr="003F323C">
        <w:rPr>
          <w:i/>
          <w:szCs w:val="22"/>
          <w:u w:val="single"/>
        </w:rPr>
        <w:t>malignant</w:t>
      </w:r>
      <w:proofErr w:type="gramEnd"/>
      <w:r w:rsidRPr="003F323C">
        <w:rPr>
          <w:i/>
          <w:szCs w:val="22"/>
          <w:u w:val="single"/>
        </w:rPr>
        <w:t xml:space="preserve"> and unspecified (including cysts and polyps)</w:t>
      </w:r>
    </w:p>
    <w:p w14:paraId="2F94C296" w14:textId="77777777" w:rsidR="007001A1" w:rsidRPr="003F323C" w:rsidRDefault="007001A1" w:rsidP="007001A1">
      <w:pPr>
        <w:keepNext/>
        <w:keepLines/>
        <w:spacing w:line="240" w:lineRule="auto"/>
        <w:rPr>
          <w:i/>
          <w:szCs w:val="22"/>
        </w:rPr>
      </w:pPr>
    </w:p>
    <w:p w14:paraId="7670F891" w14:textId="77777777" w:rsidR="00434E42" w:rsidRDefault="00434E42" w:rsidP="00434E42">
      <w:pPr>
        <w:keepNext/>
        <w:keepLines/>
        <w:spacing w:line="240" w:lineRule="auto"/>
        <w:rPr>
          <w:szCs w:val="22"/>
        </w:rPr>
      </w:pPr>
      <w:r>
        <w:rPr>
          <w:szCs w:val="22"/>
        </w:rPr>
        <w:t xml:space="preserve">One case of a </w:t>
      </w:r>
      <w:r w:rsidRPr="00C24B59">
        <w:rPr>
          <w:szCs w:val="22"/>
        </w:rPr>
        <w:t>second malignancy</w:t>
      </w:r>
      <w:r>
        <w:rPr>
          <w:szCs w:val="22"/>
        </w:rPr>
        <w:t xml:space="preserve"> (</w:t>
      </w:r>
      <w:r w:rsidRPr="003F323C">
        <w:rPr>
          <w:szCs w:val="22"/>
        </w:rPr>
        <w:t>myelodysplastic syndrome</w:t>
      </w:r>
      <w:r>
        <w:rPr>
          <w:szCs w:val="22"/>
        </w:rPr>
        <w:t xml:space="preserve">) was reported in a child about 12 months after </w:t>
      </w:r>
      <w:proofErr w:type="spellStart"/>
      <w:r>
        <w:rPr>
          <w:szCs w:val="22"/>
        </w:rPr>
        <w:t>treosulfan</w:t>
      </w:r>
      <w:proofErr w:type="spellEnd"/>
      <w:r>
        <w:rPr>
          <w:szCs w:val="22"/>
        </w:rPr>
        <w:t>-based conditioning for sickle cell disease.</w:t>
      </w:r>
    </w:p>
    <w:p w14:paraId="2F94C297" w14:textId="77777777" w:rsidR="00E318B8" w:rsidRPr="003F323C" w:rsidRDefault="00522617" w:rsidP="007001A1">
      <w:pPr>
        <w:keepNext/>
        <w:keepLines/>
        <w:spacing w:line="240" w:lineRule="auto"/>
        <w:rPr>
          <w:szCs w:val="22"/>
        </w:rPr>
      </w:pPr>
      <w:r w:rsidRPr="003F323C">
        <w:rPr>
          <w:szCs w:val="22"/>
        </w:rPr>
        <w:t>Five cases of</w:t>
      </w:r>
      <w:r w:rsidR="009C70A4" w:rsidRPr="003F323C">
        <w:rPr>
          <w:szCs w:val="22"/>
        </w:rPr>
        <w:t xml:space="preserve"> a second malignancy</w:t>
      </w:r>
      <w:r w:rsidR="005D7DF5" w:rsidRPr="003F323C">
        <w:rPr>
          <w:szCs w:val="22"/>
        </w:rPr>
        <w:t xml:space="preserve"> (</w:t>
      </w:r>
      <w:r w:rsidR="00991935" w:rsidRPr="003F323C">
        <w:rPr>
          <w:szCs w:val="22"/>
        </w:rPr>
        <w:t>myelodysplastic syndrome</w:t>
      </w:r>
      <w:r w:rsidR="005D7DF5" w:rsidRPr="003F323C">
        <w:rPr>
          <w:szCs w:val="22"/>
        </w:rPr>
        <w:t>,</w:t>
      </w:r>
      <w:r w:rsidR="00991935" w:rsidRPr="003F323C">
        <w:rPr>
          <w:szCs w:val="22"/>
        </w:rPr>
        <w:t xml:space="preserve"> acute lymphoblastic leukaemia</w:t>
      </w:r>
      <w:r w:rsidR="005D7DF5" w:rsidRPr="003F323C">
        <w:rPr>
          <w:szCs w:val="22"/>
        </w:rPr>
        <w:t>, Ewing’s sarcoma)</w:t>
      </w:r>
      <w:r w:rsidR="009C70A4" w:rsidRPr="003F323C">
        <w:rPr>
          <w:szCs w:val="22"/>
        </w:rPr>
        <w:t xml:space="preserve"> were reported by other investigators after </w:t>
      </w:r>
      <w:proofErr w:type="spellStart"/>
      <w:r w:rsidR="009C70A4" w:rsidRPr="003F323C">
        <w:rPr>
          <w:szCs w:val="22"/>
        </w:rPr>
        <w:t>treosulfan</w:t>
      </w:r>
      <w:proofErr w:type="spellEnd"/>
      <w:r w:rsidR="007001A1" w:rsidRPr="003F323C">
        <w:rPr>
          <w:szCs w:val="22"/>
        </w:rPr>
        <w:noBreakHyphen/>
      </w:r>
      <w:r w:rsidR="009C70A4" w:rsidRPr="003F323C">
        <w:rPr>
          <w:szCs w:val="22"/>
        </w:rPr>
        <w:t>based conditioning</w:t>
      </w:r>
      <w:r w:rsidR="005D7DF5" w:rsidRPr="003F323C">
        <w:rPr>
          <w:szCs w:val="22"/>
        </w:rPr>
        <w:t xml:space="preserve">. All five </w:t>
      </w:r>
      <w:r w:rsidR="00357FA6" w:rsidRPr="003F323C">
        <w:rPr>
          <w:szCs w:val="22"/>
        </w:rPr>
        <w:t xml:space="preserve">paediatric </w:t>
      </w:r>
      <w:r w:rsidR="005D7DF5" w:rsidRPr="003F323C">
        <w:rPr>
          <w:szCs w:val="22"/>
        </w:rPr>
        <w:t xml:space="preserve">patients received </w:t>
      </w:r>
      <w:proofErr w:type="spellStart"/>
      <w:r w:rsidR="005D7DF5" w:rsidRPr="003F323C">
        <w:rPr>
          <w:szCs w:val="22"/>
        </w:rPr>
        <w:t>alloHSCT</w:t>
      </w:r>
      <w:proofErr w:type="spellEnd"/>
      <w:r w:rsidR="005D7DF5" w:rsidRPr="003F323C">
        <w:rPr>
          <w:szCs w:val="22"/>
        </w:rPr>
        <w:t xml:space="preserve"> for primary immunodeficiencies, </w:t>
      </w:r>
      <w:proofErr w:type="gramStart"/>
      <w:r w:rsidR="005D7DF5" w:rsidRPr="003F323C">
        <w:rPr>
          <w:szCs w:val="22"/>
        </w:rPr>
        <w:t>i.e.</w:t>
      </w:r>
      <w:proofErr w:type="gramEnd"/>
      <w:r w:rsidR="005D7DF5" w:rsidRPr="003F323C">
        <w:rPr>
          <w:szCs w:val="22"/>
        </w:rPr>
        <w:t xml:space="preserve"> diseases with an increased risk for </w:t>
      </w:r>
      <w:proofErr w:type="spellStart"/>
      <w:r w:rsidR="005D7DF5" w:rsidRPr="003F323C">
        <w:rPr>
          <w:szCs w:val="22"/>
        </w:rPr>
        <w:t>neoplasias</w:t>
      </w:r>
      <w:proofErr w:type="spellEnd"/>
      <w:r w:rsidR="005D7DF5" w:rsidRPr="003F323C">
        <w:rPr>
          <w:szCs w:val="22"/>
        </w:rPr>
        <w:t xml:space="preserve"> per se.</w:t>
      </w:r>
    </w:p>
    <w:p w14:paraId="2F94C298" w14:textId="77777777" w:rsidR="00E318B8" w:rsidRPr="003F323C" w:rsidRDefault="00E318B8" w:rsidP="00672F96">
      <w:pPr>
        <w:spacing w:line="240" w:lineRule="auto"/>
        <w:rPr>
          <w:szCs w:val="22"/>
        </w:rPr>
      </w:pPr>
    </w:p>
    <w:p w14:paraId="2F94C299" w14:textId="77777777" w:rsidR="009B2A66" w:rsidRPr="003F323C" w:rsidRDefault="00522617" w:rsidP="00672F96">
      <w:pPr>
        <w:spacing w:line="240" w:lineRule="auto"/>
        <w:rPr>
          <w:i/>
          <w:szCs w:val="22"/>
          <w:u w:val="single"/>
        </w:rPr>
      </w:pPr>
      <w:r w:rsidRPr="003F323C">
        <w:rPr>
          <w:i/>
          <w:szCs w:val="22"/>
          <w:u w:val="single"/>
        </w:rPr>
        <w:t>Blood and lymphatic system disorders</w:t>
      </w:r>
    </w:p>
    <w:p w14:paraId="2F94C29A" w14:textId="77777777" w:rsidR="007001A1" w:rsidRPr="003F323C" w:rsidRDefault="007001A1" w:rsidP="00672F96">
      <w:pPr>
        <w:spacing w:line="240" w:lineRule="auto"/>
        <w:rPr>
          <w:szCs w:val="22"/>
          <w:u w:val="single"/>
        </w:rPr>
      </w:pPr>
    </w:p>
    <w:p w14:paraId="2F94C29B" w14:textId="50D54A2F" w:rsidR="009B2A66" w:rsidRPr="003F323C" w:rsidRDefault="00522617" w:rsidP="00672F96">
      <w:pPr>
        <w:spacing w:line="240" w:lineRule="auto"/>
        <w:rPr>
          <w:szCs w:val="22"/>
        </w:rPr>
      </w:pPr>
      <w:r w:rsidRPr="003F323C">
        <w:rPr>
          <w:szCs w:val="22"/>
        </w:rPr>
        <w:t>The m</w:t>
      </w:r>
      <w:r w:rsidR="00DE6CCE" w:rsidRPr="003F323C">
        <w:rPr>
          <w:szCs w:val="22"/>
        </w:rPr>
        <w:t xml:space="preserve">edian (25%/75% percentiles) duration of neutropenia was </w:t>
      </w:r>
      <w:r w:rsidR="005C6ABD" w:rsidRPr="003F323C">
        <w:rPr>
          <w:szCs w:val="22"/>
        </w:rPr>
        <w:t>2</w:t>
      </w:r>
      <w:r w:rsidR="005C6ABD">
        <w:rPr>
          <w:szCs w:val="22"/>
        </w:rPr>
        <w:t>2</w:t>
      </w:r>
      <w:r w:rsidR="005C6ABD" w:rsidRPr="003F323C">
        <w:rPr>
          <w:szCs w:val="22"/>
        </w:rPr>
        <w:t xml:space="preserve"> (1</w:t>
      </w:r>
      <w:r w:rsidR="005C6ABD">
        <w:rPr>
          <w:szCs w:val="22"/>
        </w:rPr>
        <w:t>7</w:t>
      </w:r>
      <w:r w:rsidR="005C6ABD" w:rsidRPr="003F323C">
        <w:rPr>
          <w:szCs w:val="22"/>
        </w:rPr>
        <w:t>, 26</w:t>
      </w:r>
      <w:proofErr w:type="gramStart"/>
      <w:r w:rsidR="005C6ABD" w:rsidRPr="003F323C">
        <w:rPr>
          <w:szCs w:val="22"/>
        </w:rPr>
        <w:t>) </w:t>
      </w:r>
      <w:r w:rsidR="00DE6CCE" w:rsidRPr="003F323C">
        <w:rPr>
          <w:szCs w:val="22"/>
        </w:rPr>
        <w:t> days</w:t>
      </w:r>
      <w:proofErr w:type="gramEnd"/>
      <w:r w:rsidR="00DE6CCE" w:rsidRPr="003F323C">
        <w:rPr>
          <w:szCs w:val="22"/>
        </w:rPr>
        <w:t xml:space="preserve"> in paediatric patients with malignant diseases and </w:t>
      </w:r>
      <w:r w:rsidR="005C6ABD" w:rsidRPr="003F323C">
        <w:rPr>
          <w:szCs w:val="22"/>
        </w:rPr>
        <w:t>2</w:t>
      </w:r>
      <w:r w:rsidR="005C6ABD">
        <w:rPr>
          <w:szCs w:val="22"/>
        </w:rPr>
        <w:t>0</w:t>
      </w:r>
      <w:r w:rsidR="005C6ABD" w:rsidRPr="003F323C">
        <w:rPr>
          <w:szCs w:val="22"/>
        </w:rPr>
        <w:t xml:space="preserve"> (1</w:t>
      </w:r>
      <w:r w:rsidR="005C6ABD">
        <w:rPr>
          <w:szCs w:val="22"/>
        </w:rPr>
        <w:t>6</w:t>
      </w:r>
      <w:r w:rsidR="005C6ABD" w:rsidRPr="003F323C">
        <w:rPr>
          <w:szCs w:val="22"/>
        </w:rPr>
        <w:t>, 26) </w:t>
      </w:r>
      <w:r w:rsidR="00DE6CCE" w:rsidRPr="003F323C">
        <w:rPr>
          <w:szCs w:val="22"/>
        </w:rPr>
        <w:t> days in patients with non-malignant disorders.</w:t>
      </w:r>
    </w:p>
    <w:p w14:paraId="2F94C29C" w14:textId="77777777" w:rsidR="005A7B9A" w:rsidRPr="003F323C" w:rsidRDefault="005A7B9A" w:rsidP="00672F96">
      <w:pPr>
        <w:spacing w:line="240" w:lineRule="auto"/>
        <w:rPr>
          <w:szCs w:val="22"/>
        </w:rPr>
      </w:pPr>
    </w:p>
    <w:p w14:paraId="2F94C29D" w14:textId="77777777" w:rsidR="005A7B9A" w:rsidRPr="003F323C" w:rsidRDefault="00522617" w:rsidP="00672F96">
      <w:pPr>
        <w:spacing w:line="240" w:lineRule="auto"/>
        <w:rPr>
          <w:i/>
          <w:szCs w:val="22"/>
          <w:u w:val="single"/>
        </w:rPr>
      </w:pPr>
      <w:r w:rsidRPr="003F323C">
        <w:rPr>
          <w:i/>
          <w:szCs w:val="22"/>
          <w:u w:val="single"/>
        </w:rPr>
        <w:t>Nervous system disorders</w:t>
      </w:r>
    </w:p>
    <w:p w14:paraId="2F94C29E" w14:textId="77777777" w:rsidR="007001A1" w:rsidRPr="003F323C" w:rsidRDefault="007001A1" w:rsidP="00672F96">
      <w:pPr>
        <w:spacing w:line="240" w:lineRule="auto"/>
        <w:rPr>
          <w:i/>
          <w:szCs w:val="22"/>
          <w:u w:val="single"/>
        </w:rPr>
      </w:pPr>
    </w:p>
    <w:p w14:paraId="2F94C29F" w14:textId="218BDB5F" w:rsidR="001B34C5" w:rsidRPr="00672F96" w:rsidRDefault="00522617" w:rsidP="00672F96">
      <w:pPr>
        <w:spacing w:line="240" w:lineRule="auto"/>
        <w:rPr>
          <w:szCs w:val="22"/>
        </w:rPr>
      </w:pPr>
      <w:r w:rsidRPr="003F323C">
        <w:rPr>
          <w:szCs w:val="22"/>
        </w:rPr>
        <w:t xml:space="preserve">Seizure in the context of an encephalitis infection was reported in one of </w:t>
      </w:r>
      <w:r w:rsidR="005C6ABD">
        <w:rPr>
          <w:szCs w:val="22"/>
        </w:rPr>
        <w:t>115</w:t>
      </w:r>
      <w:r w:rsidR="005C6ABD" w:rsidRPr="003F323C">
        <w:rPr>
          <w:szCs w:val="22"/>
        </w:rPr>
        <w:t> </w:t>
      </w:r>
      <w:r w:rsidRPr="003F323C">
        <w:rPr>
          <w:szCs w:val="22"/>
        </w:rPr>
        <w:t xml:space="preserve">paediatric patients. A report from an investigator-initiated trial performed in children with primary immunodeficiencies lists four cases of seizures occurring after other </w:t>
      </w:r>
      <w:proofErr w:type="spellStart"/>
      <w:r w:rsidRPr="003F323C">
        <w:rPr>
          <w:szCs w:val="22"/>
        </w:rPr>
        <w:t>treosulfan</w:t>
      </w:r>
      <w:proofErr w:type="spellEnd"/>
      <w:r w:rsidR="007001A1" w:rsidRPr="003F323C">
        <w:rPr>
          <w:szCs w:val="22"/>
        </w:rPr>
        <w:noBreakHyphen/>
      </w:r>
      <w:r w:rsidRPr="003F323C">
        <w:rPr>
          <w:szCs w:val="22"/>
        </w:rPr>
        <w:t>based</w:t>
      </w:r>
      <w:r w:rsidRPr="00672F96">
        <w:rPr>
          <w:szCs w:val="22"/>
        </w:rPr>
        <w:t xml:space="preserve"> conditioning regimens (see section 4.4).</w:t>
      </w:r>
    </w:p>
    <w:p w14:paraId="3879E743" w14:textId="77777777" w:rsidR="001B2815" w:rsidRPr="00672F96" w:rsidRDefault="001B2815" w:rsidP="00672F96">
      <w:pPr>
        <w:spacing w:line="240" w:lineRule="auto"/>
        <w:rPr>
          <w:szCs w:val="22"/>
        </w:rPr>
      </w:pPr>
    </w:p>
    <w:p w14:paraId="2F94C2A1" w14:textId="0D6B8D61" w:rsidR="0050657C" w:rsidRDefault="00522617" w:rsidP="00672F96">
      <w:pPr>
        <w:autoSpaceDE w:val="0"/>
        <w:autoSpaceDN w:val="0"/>
        <w:adjustRightInd w:val="0"/>
        <w:spacing w:line="240" w:lineRule="auto"/>
        <w:rPr>
          <w:szCs w:val="22"/>
          <w:u w:val="single"/>
        </w:rPr>
      </w:pPr>
      <w:r w:rsidRPr="00672F96">
        <w:rPr>
          <w:szCs w:val="22"/>
          <w:u w:val="single"/>
        </w:rPr>
        <w:t xml:space="preserve">Reporting of suspected adverse </w:t>
      </w:r>
      <w:r w:rsidR="0019632A">
        <w:rPr>
          <w:szCs w:val="22"/>
          <w:u w:val="single"/>
        </w:rPr>
        <w:t>effects</w:t>
      </w:r>
    </w:p>
    <w:p w14:paraId="67BBA5AF" w14:textId="77777777" w:rsidR="0019632A" w:rsidRPr="00672F96" w:rsidRDefault="0019632A" w:rsidP="00672F96">
      <w:pPr>
        <w:autoSpaceDE w:val="0"/>
        <w:autoSpaceDN w:val="0"/>
        <w:adjustRightInd w:val="0"/>
        <w:spacing w:line="240" w:lineRule="auto"/>
        <w:rPr>
          <w:szCs w:val="22"/>
          <w:u w:val="single"/>
        </w:rPr>
      </w:pPr>
    </w:p>
    <w:p w14:paraId="6E32D6EF" w14:textId="45952583" w:rsidR="0019632A" w:rsidRDefault="0019632A" w:rsidP="00672F96">
      <w:pPr>
        <w:spacing w:line="240" w:lineRule="auto"/>
      </w:pPr>
      <w: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3" w:history="1">
        <w:r w:rsidRPr="006C6F24">
          <w:rPr>
            <w:rStyle w:val="Hyperlink"/>
          </w:rPr>
          <w:t>www.tga.gov.au/reportingproblems</w:t>
        </w:r>
      </w:hyperlink>
      <w:r>
        <w:t>.</w:t>
      </w:r>
    </w:p>
    <w:p w14:paraId="05CCFEB7" w14:textId="24546A14" w:rsidR="00F87F4E" w:rsidRDefault="00F87F4E" w:rsidP="00672F96">
      <w:pPr>
        <w:spacing w:line="240" w:lineRule="auto"/>
      </w:pPr>
    </w:p>
    <w:p w14:paraId="55765290" w14:textId="77777777" w:rsidR="00F87F4E" w:rsidRPr="00672F96" w:rsidRDefault="00F87F4E" w:rsidP="00672F96">
      <w:pPr>
        <w:spacing w:line="240" w:lineRule="auto"/>
        <w:rPr>
          <w:szCs w:val="22"/>
        </w:rPr>
      </w:pPr>
    </w:p>
    <w:p w14:paraId="2F94C2A3" w14:textId="77777777" w:rsidR="0050657C" w:rsidRPr="00672F96" w:rsidRDefault="0050657C" w:rsidP="00672F96">
      <w:pPr>
        <w:spacing w:line="240" w:lineRule="auto"/>
        <w:rPr>
          <w:szCs w:val="22"/>
        </w:rPr>
      </w:pPr>
    </w:p>
    <w:p w14:paraId="2F94C2A4" w14:textId="77777777" w:rsidR="00AE0267" w:rsidRPr="00672F96" w:rsidRDefault="00522617" w:rsidP="00672F96">
      <w:pPr>
        <w:pStyle w:val="Heading3"/>
        <w:rPr>
          <w:szCs w:val="22"/>
        </w:rPr>
      </w:pPr>
      <w:r w:rsidRPr="00672F96">
        <w:rPr>
          <w:szCs w:val="22"/>
        </w:rPr>
        <w:lastRenderedPageBreak/>
        <w:t>4.9</w:t>
      </w:r>
      <w:r w:rsidRPr="00672F96">
        <w:rPr>
          <w:szCs w:val="22"/>
        </w:rPr>
        <w:tab/>
        <w:t>Overdose</w:t>
      </w:r>
    </w:p>
    <w:p w14:paraId="2F94C2A5" w14:textId="77777777" w:rsidR="00AE0267" w:rsidRPr="00672F96" w:rsidRDefault="00AE0267" w:rsidP="00672F96">
      <w:pPr>
        <w:spacing w:line="240" w:lineRule="auto"/>
        <w:rPr>
          <w:szCs w:val="22"/>
        </w:rPr>
      </w:pPr>
    </w:p>
    <w:p w14:paraId="2F94C2A6" w14:textId="2C09642C" w:rsidR="00AE0267" w:rsidRDefault="00522617" w:rsidP="00672F96">
      <w:pPr>
        <w:spacing w:line="240" w:lineRule="auto"/>
        <w:rPr>
          <w:szCs w:val="22"/>
        </w:rPr>
      </w:pPr>
      <w:r w:rsidRPr="00672F96">
        <w:rPr>
          <w:szCs w:val="22"/>
        </w:rPr>
        <w:t>The princip</w:t>
      </w:r>
      <w:r w:rsidR="00C55C05" w:rsidRPr="00672F96">
        <w:rPr>
          <w:szCs w:val="22"/>
        </w:rPr>
        <w:t>a</w:t>
      </w:r>
      <w:r w:rsidRPr="00672F96">
        <w:rPr>
          <w:szCs w:val="22"/>
        </w:rPr>
        <w:t xml:space="preserve">l toxic effect of </w:t>
      </w:r>
      <w:proofErr w:type="spellStart"/>
      <w:r w:rsidRPr="00672F96">
        <w:rPr>
          <w:szCs w:val="22"/>
        </w:rPr>
        <w:t>treosulfan</w:t>
      </w:r>
      <w:proofErr w:type="spellEnd"/>
      <w:r w:rsidRPr="00672F96">
        <w:rPr>
          <w:szCs w:val="22"/>
        </w:rPr>
        <w:t xml:space="preserve"> is profound myeloablation and pancytopenia. In addition, acidosis, skin toxicity, nausea, vomiting and gastritis may occur. In the absence of haematopoietic stem cell transplantation, the recommended dose of </w:t>
      </w:r>
      <w:proofErr w:type="spellStart"/>
      <w:r w:rsidRPr="00672F96">
        <w:rPr>
          <w:szCs w:val="22"/>
        </w:rPr>
        <w:t>treosulfan</w:t>
      </w:r>
      <w:proofErr w:type="spellEnd"/>
      <w:r w:rsidRPr="00672F96">
        <w:rPr>
          <w:szCs w:val="22"/>
        </w:rPr>
        <w:t xml:space="preserve"> would constitute an overdose. No specific antidote of </w:t>
      </w:r>
      <w:proofErr w:type="spellStart"/>
      <w:r w:rsidRPr="00672F96">
        <w:rPr>
          <w:szCs w:val="22"/>
        </w:rPr>
        <w:t>treosulfan</w:t>
      </w:r>
      <w:proofErr w:type="spellEnd"/>
      <w:r w:rsidRPr="00672F96">
        <w:rPr>
          <w:szCs w:val="22"/>
        </w:rPr>
        <w:t xml:space="preserve"> overdose is known.</w:t>
      </w:r>
      <w:r w:rsidR="00056FC9" w:rsidRPr="00672F96">
        <w:rPr>
          <w:szCs w:val="22"/>
        </w:rPr>
        <w:t xml:space="preserve"> The haematologic status should be closely monitored and vigorous supportive measures instituted as medically indicated.</w:t>
      </w:r>
      <w:r w:rsidRPr="00672F96">
        <w:rPr>
          <w:szCs w:val="22"/>
        </w:rPr>
        <w:t xml:space="preserve"> </w:t>
      </w:r>
    </w:p>
    <w:p w14:paraId="7F54C572" w14:textId="7227A1F8" w:rsidR="00134AFD" w:rsidRDefault="00134AFD" w:rsidP="00672F96">
      <w:pPr>
        <w:spacing w:line="240" w:lineRule="auto"/>
        <w:rPr>
          <w:szCs w:val="22"/>
        </w:rPr>
      </w:pPr>
    </w:p>
    <w:p w14:paraId="757D9529" w14:textId="6B2C9D9F" w:rsidR="00134AFD" w:rsidRPr="00672F96" w:rsidRDefault="00134AFD" w:rsidP="00672F96">
      <w:pPr>
        <w:spacing w:line="240" w:lineRule="auto"/>
        <w:rPr>
          <w:szCs w:val="22"/>
        </w:rPr>
      </w:pPr>
      <w:r>
        <w:t>For information on the management of overdose, contact the Poisons Information Centre on 131126 (Australia).</w:t>
      </w:r>
    </w:p>
    <w:p w14:paraId="2F94C2A7" w14:textId="77777777" w:rsidR="00386BB8" w:rsidRPr="00672F96" w:rsidRDefault="00386BB8" w:rsidP="00672F96">
      <w:pPr>
        <w:tabs>
          <w:tab w:val="clear" w:pos="567"/>
        </w:tabs>
        <w:spacing w:line="240" w:lineRule="auto"/>
        <w:rPr>
          <w:b/>
          <w:szCs w:val="22"/>
        </w:rPr>
      </w:pPr>
    </w:p>
    <w:p w14:paraId="2F94C2A8" w14:textId="77777777" w:rsidR="001B34C5" w:rsidRPr="00672F96" w:rsidRDefault="001B34C5" w:rsidP="00672F96">
      <w:pPr>
        <w:tabs>
          <w:tab w:val="clear" w:pos="567"/>
        </w:tabs>
        <w:spacing w:line="240" w:lineRule="auto"/>
        <w:rPr>
          <w:b/>
          <w:szCs w:val="22"/>
        </w:rPr>
      </w:pPr>
    </w:p>
    <w:p w14:paraId="2F94C2A9" w14:textId="77777777" w:rsidR="00AE0267" w:rsidRPr="00672F96" w:rsidRDefault="00522617" w:rsidP="00672F96">
      <w:pPr>
        <w:pStyle w:val="Heading2"/>
        <w:rPr>
          <w:szCs w:val="22"/>
        </w:rPr>
      </w:pPr>
      <w:r w:rsidRPr="00672F96">
        <w:rPr>
          <w:szCs w:val="22"/>
        </w:rPr>
        <w:t>5.</w:t>
      </w:r>
      <w:r w:rsidRPr="00672F96">
        <w:rPr>
          <w:szCs w:val="22"/>
        </w:rPr>
        <w:tab/>
        <w:t>PHARMACOLOGICAL PROPERTIES</w:t>
      </w:r>
    </w:p>
    <w:p w14:paraId="2F94C2AA" w14:textId="77777777" w:rsidR="00AE0267" w:rsidRPr="00672F96" w:rsidRDefault="00AE0267" w:rsidP="00672F96">
      <w:pPr>
        <w:spacing w:line="240" w:lineRule="auto"/>
        <w:rPr>
          <w:szCs w:val="22"/>
        </w:rPr>
      </w:pPr>
    </w:p>
    <w:p w14:paraId="2F94C2AB" w14:textId="77777777" w:rsidR="00AE0267" w:rsidRPr="00672F96" w:rsidRDefault="00522617" w:rsidP="00672F96">
      <w:pPr>
        <w:pStyle w:val="Heading3"/>
        <w:rPr>
          <w:szCs w:val="22"/>
        </w:rPr>
      </w:pPr>
      <w:r w:rsidRPr="00672F96">
        <w:rPr>
          <w:szCs w:val="22"/>
        </w:rPr>
        <w:t>5.1</w:t>
      </w:r>
      <w:r w:rsidRPr="00672F96">
        <w:rPr>
          <w:szCs w:val="22"/>
        </w:rPr>
        <w:tab/>
        <w:t>Pharmacodynamic properties</w:t>
      </w:r>
    </w:p>
    <w:p w14:paraId="2F94C2AC" w14:textId="77777777" w:rsidR="00AE0267" w:rsidRPr="00672F96" w:rsidRDefault="00AE0267" w:rsidP="00672F96">
      <w:pPr>
        <w:spacing w:line="240" w:lineRule="auto"/>
        <w:rPr>
          <w:szCs w:val="22"/>
        </w:rPr>
      </w:pPr>
    </w:p>
    <w:p w14:paraId="2F94C2AD" w14:textId="77777777" w:rsidR="00747F10" w:rsidRPr="00672F96" w:rsidRDefault="00522617" w:rsidP="00672F96">
      <w:pPr>
        <w:spacing w:line="240" w:lineRule="auto"/>
        <w:rPr>
          <w:szCs w:val="22"/>
        </w:rPr>
      </w:pPr>
      <w:r w:rsidRPr="00672F96">
        <w:rPr>
          <w:szCs w:val="22"/>
        </w:rPr>
        <w:t xml:space="preserve">Pharmacotherapeutic group: </w:t>
      </w:r>
      <w:r w:rsidR="00F03F6D" w:rsidRPr="00672F96">
        <w:rPr>
          <w:szCs w:val="22"/>
        </w:rPr>
        <w:t>Antineoplastic agents, alkylating agents</w:t>
      </w:r>
      <w:r w:rsidRPr="00672F96">
        <w:rPr>
          <w:szCs w:val="22"/>
        </w:rPr>
        <w:t>, ATC</w:t>
      </w:r>
      <w:r w:rsidR="001B34C5" w:rsidRPr="00672F96">
        <w:rPr>
          <w:szCs w:val="22"/>
        </w:rPr>
        <w:t> </w:t>
      </w:r>
      <w:r w:rsidRPr="00672F96">
        <w:rPr>
          <w:szCs w:val="22"/>
        </w:rPr>
        <w:t xml:space="preserve">code: </w:t>
      </w:r>
      <w:r w:rsidR="00F03F6D" w:rsidRPr="00672F96">
        <w:rPr>
          <w:szCs w:val="22"/>
        </w:rPr>
        <w:t>L01AB02</w:t>
      </w:r>
    </w:p>
    <w:p w14:paraId="2F94C2AE" w14:textId="77777777" w:rsidR="00F03F6D" w:rsidRPr="00672F96" w:rsidRDefault="00F03F6D" w:rsidP="00672F96">
      <w:pPr>
        <w:spacing w:line="240" w:lineRule="auto"/>
        <w:rPr>
          <w:szCs w:val="22"/>
        </w:rPr>
      </w:pPr>
    </w:p>
    <w:p w14:paraId="2F94C2AF" w14:textId="77777777" w:rsidR="00E04F7F" w:rsidRPr="00672F96" w:rsidRDefault="00522617" w:rsidP="00672F96">
      <w:pPr>
        <w:spacing w:line="240" w:lineRule="auto"/>
        <w:rPr>
          <w:szCs w:val="22"/>
          <w:u w:val="single"/>
        </w:rPr>
      </w:pPr>
      <w:r w:rsidRPr="00672F96">
        <w:rPr>
          <w:szCs w:val="22"/>
          <w:u w:val="single"/>
        </w:rPr>
        <w:t>Mechanism of action</w:t>
      </w:r>
    </w:p>
    <w:p w14:paraId="2F94C2B0" w14:textId="77777777" w:rsidR="00C55C05" w:rsidRPr="00672F96" w:rsidRDefault="00C55C05" w:rsidP="00672F96">
      <w:pPr>
        <w:rPr>
          <w:szCs w:val="22"/>
        </w:rPr>
      </w:pPr>
    </w:p>
    <w:p w14:paraId="2F94C2B1" w14:textId="1B1A0445" w:rsidR="00AE0267" w:rsidRDefault="00522617" w:rsidP="00672F96">
      <w:pPr>
        <w:spacing w:line="240" w:lineRule="auto"/>
        <w:rPr>
          <w:szCs w:val="22"/>
        </w:rPr>
      </w:pPr>
      <w:proofErr w:type="spellStart"/>
      <w:r w:rsidRPr="00672F96">
        <w:rPr>
          <w:szCs w:val="22"/>
        </w:rPr>
        <w:t>Treosulfan</w:t>
      </w:r>
      <w:proofErr w:type="spellEnd"/>
      <w:r w:rsidRPr="00672F96">
        <w:rPr>
          <w:szCs w:val="22"/>
        </w:rPr>
        <w:t xml:space="preserve"> is a </w:t>
      </w:r>
      <w:r w:rsidR="00403F19" w:rsidRPr="00672F96">
        <w:rPr>
          <w:szCs w:val="22"/>
        </w:rPr>
        <w:t xml:space="preserve">prodrug of a </w:t>
      </w:r>
      <w:r w:rsidRPr="00672F96">
        <w:rPr>
          <w:szCs w:val="22"/>
        </w:rPr>
        <w:t xml:space="preserve">bifunctional alkylating agent </w:t>
      </w:r>
      <w:r w:rsidR="00403F19" w:rsidRPr="00672F96">
        <w:rPr>
          <w:szCs w:val="22"/>
        </w:rPr>
        <w:t xml:space="preserve">with </w:t>
      </w:r>
      <w:r w:rsidRPr="00672F96">
        <w:rPr>
          <w:szCs w:val="22"/>
        </w:rPr>
        <w:t xml:space="preserve">cytotoxic activity to haematopoietic precursor cells. The activity of </w:t>
      </w:r>
      <w:proofErr w:type="spellStart"/>
      <w:r w:rsidRPr="00672F96">
        <w:rPr>
          <w:szCs w:val="22"/>
        </w:rPr>
        <w:t>treosulfan</w:t>
      </w:r>
      <w:proofErr w:type="spellEnd"/>
      <w:r w:rsidRPr="00672F96">
        <w:rPr>
          <w:szCs w:val="22"/>
        </w:rPr>
        <w:t xml:space="preserve"> is due to the </w:t>
      </w:r>
      <w:r w:rsidR="00403F19" w:rsidRPr="00672F96">
        <w:rPr>
          <w:szCs w:val="22"/>
        </w:rPr>
        <w:t xml:space="preserve">spontaneous conversion </w:t>
      </w:r>
      <w:r w:rsidR="00403F19" w:rsidRPr="003F323C">
        <w:rPr>
          <w:szCs w:val="22"/>
        </w:rPr>
        <w:t>into a mono</w:t>
      </w:r>
      <w:r w:rsidR="007001A1" w:rsidRPr="003F323C">
        <w:rPr>
          <w:szCs w:val="22"/>
        </w:rPr>
        <w:noBreakHyphen/>
      </w:r>
      <w:r w:rsidR="00403F19" w:rsidRPr="003F323C">
        <w:rPr>
          <w:szCs w:val="22"/>
        </w:rPr>
        <w:t>epoxide intermediate and L</w:t>
      </w:r>
      <w:r w:rsidR="00665A29" w:rsidRPr="003F323C">
        <w:rPr>
          <w:szCs w:val="22"/>
        </w:rPr>
        <w:noBreakHyphen/>
      </w:r>
      <w:proofErr w:type="spellStart"/>
      <w:r w:rsidR="00403F19" w:rsidRPr="003F323C">
        <w:rPr>
          <w:szCs w:val="22"/>
        </w:rPr>
        <w:t>di</w:t>
      </w:r>
      <w:r w:rsidRPr="003F323C">
        <w:rPr>
          <w:szCs w:val="22"/>
        </w:rPr>
        <w:t>epox</w:t>
      </w:r>
      <w:r w:rsidR="00403F19" w:rsidRPr="003F323C">
        <w:rPr>
          <w:szCs w:val="22"/>
        </w:rPr>
        <w:t>ybutan</w:t>
      </w:r>
      <w:r w:rsidR="00ED2B1B">
        <w:rPr>
          <w:szCs w:val="22"/>
        </w:rPr>
        <w:t>e</w:t>
      </w:r>
      <w:proofErr w:type="spellEnd"/>
      <w:r w:rsidR="007316DA" w:rsidRPr="003F323C">
        <w:rPr>
          <w:szCs w:val="22"/>
        </w:rPr>
        <w:t xml:space="preserve"> (see </w:t>
      </w:r>
      <w:r w:rsidR="006B3F26" w:rsidRPr="003F323C">
        <w:rPr>
          <w:szCs w:val="22"/>
        </w:rPr>
        <w:t>s</w:t>
      </w:r>
      <w:r w:rsidR="007316DA" w:rsidRPr="003F323C">
        <w:rPr>
          <w:szCs w:val="22"/>
        </w:rPr>
        <w:t>ection</w:t>
      </w:r>
      <w:r w:rsidR="006B3F26" w:rsidRPr="003F323C">
        <w:rPr>
          <w:szCs w:val="22"/>
        </w:rPr>
        <w:t> </w:t>
      </w:r>
      <w:r w:rsidR="007316DA" w:rsidRPr="003F323C">
        <w:rPr>
          <w:szCs w:val="22"/>
        </w:rPr>
        <w:t>5.2)</w:t>
      </w:r>
      <w:r w:rsidRPr="003F323C">
        <w:rPr>
          <w:szCs w:val="22"/>
        </w:rPr>
        <w:t>.</w:t>
      </w:r>
    </w:p>
    <w:p w14:paraId="7B96F8FC" w14:textId="77777777" w:rsidR="00380F41" w:rsidRPr="003F323C" w:rsidRDefault="00380F41" w:rsidP="00672F96">
      <w:pPr>
        <w:spacing w:line="240" w:lineRule="auto"/>
        <w:rPr>
          <w:szCs w:val="22"/>
        </w:rPr>
      </w:pPr>
    </w:p>
    <w:p w14:paraId="2F94C2B2" w14:textId="77777777" w:rsidR="00AE0267" w:rsidRPr="003F323C" w:rsidRDefault="00522617" w:rsidP="00672F96">
      <w:pPr>
        <w:spacing w:line="240" w:lineRule="auto"/>
        <w:rPr>
          <w:szCs w:val="22"/>
        </w:rPr>
      </w:pPr>
      <w:r w:rsidRPr="003F323C">
        <w:rPr>
          <w:szCs w:val="22"/>
        </w:rPr>
        <w:t xml:space="preserve">The epoxides formed </w:t>
      </w:r>
      <w:r w:rsidR="00403F19" w:rsidRPr="003F323C">
        <w:rPr>
          <w:szCs w:val="22"/>
        </w:rPr>
        <w:t xml:space="preserve">alkylate </w:t>
      </w:r>
      <w:r w:rsidRPr="003F323C">
        <w:rPr>
          <w:szCs w:val="22"/>
        </w:rPr>
        <w:t xml:space="preserve">nucleophilic centres of deoxyribonucleic acid (DNA) and </w:t>
      </w:r>
      <w:proofErr w:type="gramStart"/>
      <w:r w:rsidRPr="003F323C">
        <w:rPr>
          <w:szCs w:val="22"/>
        </w:rPr>
        <w:t xml:space="preserve">are </w:t>
      </w:r>
      <w:r w:rsidR="00B00ACB" w:rsidRPr="003F323C">
        <w:rPr>
          <w:szCs w:val="22"/>
        </w:rPr>
        <w:t>able to</w:t>
      </w:r>
      <w:proofErr w:type="gramEnd"/>
      <w:r w:rsidR="00B00ACB" w:rsidRPr="003F323C">
        <w:rPr>
          <w:szCs w:val="22"/>
        </w:rPr>
        <w:t xml:space="preserve"> </w:t>
      </w:r>
      <w:r w:rsidR="00C77969" w:rsidRPr="003F323C">
        <w:rPr>
          <w:szCs w:val="22"/>
        </w:rPr>
        <w:t>induce</w:t>
      </w:r>
      <w:r w:rsidR="00B00ACB" w:rsidRPr="003F323C">
        <w:rPr>
          <w:szCs w:val="22"/>
        </w:rPr>
        <w:t xml:space="preserve"> DNA cross</w:t>
      </w:r>
      <w:r w:rsidR="007001A1" w:rsidRPr="003F323C">
        <w:rPr>
          <w:szCs w:val="22"/>
        </w:rPr>
        <w:noBreakHyphen/>
      </w:r>
      <w:r w:rsidR="00B00ACB" w:rsidRPr="003F323C">
        <w:rPr>
          <w:szCs w:val="22"/>
        </w:rPr>
        <w:t xml:space="preserve">links which are </w:t>
      </w:r>
      <w:r w:rsidRPr="003F323C">
        <w:rPr>
          <w:szCs w:val="22"/>
        </w:rPr>
        <w:t xml:space="preserve">considered responsible for the </w:t>
      </w:r>
      <w:r w:rsidR="00780A01" w:rsidRPr="003F323C">
        <w:rPr>
          <w:szCs w:val="22"/>
        </w:rPr>
        <w:t>stem</w:t>
      </w:r>
      <w:r w:rsidRPr="003F323C">
        <w:rPr>
          <w:szCs w:val="22"/>
        </w:rPr>
        <w:t xml:space="preserve"> cell depleting and antineoplastic effect</w:t>
      </w:r>
      <w:r w:rsidR="00B00ACB" w:rsidRPr="003F323C">
        <w:rPr>
          <w:szCs w:val="22"/>
        </w:rPr>
        <w:t>s</w:t>
      </w:r>
      <w:r w:rsidRPr="003F323C">
        <w:rPr>
          <w:szCs w:val="22"/>
        </w:rPr>
        <w:t xml:space="preserve">. </w:t>
      </w:r>
    </w:p>
    <w:p w14:paraId="2F94C2B3" w14:textId="7F0BFAE2" w:rsidR="00F52018" w:rsidRDefault="00F52018" w:rsidP="00672F96">
      <w:pPr>
        <w:spacing w:line="240" w:lineRule="auto"/>
        <w:rPr>
          <w:szCs w:val="22"/>
        </w:rPr>
      </w:pPr>
    </w:p>
    <w:p w14:paraId="09A4AF7C" w14:textId="62C95E3D" w:rsidR="006A3ED2" w:rsidRDefault="006A3ED2" w:rsidP="00672F96">
      <w:pPr>
        <w:spacing w:line="240" w:lineRule="auto"/>
        <w:rPr>
          <w:szCs w:val="22"/>
        </w:rPr>
      </w:pPr>
    </w:p>
    <w:p w14:paraId="2F94C2B4" w14:textId="77777777" w:rsidR="00F52018" w:rsidRDefault="00522617" w:rsidP="00672F96">
      <w:pPr>
        <w:spacing w:line="240" w:lineRule="auto"/>
        <w:rPr>
          <w:szCs w:val="22"/>
          <w:u w:val="single"/>
        </w:rPr>
      </w:pPr>
      <w:r w:rsidRPr="003F323C">
        <w:rPr>
          <w:szCs w:val="22"/>
          <w:u w:val="single"/>
        </w:rPr>
        <w:t xml:space="preserve">Pharmacodynamic </w:t>
      </w:r>
      <w:r w:rsidR="00991923" w:rsidRPr="003F323C">
        <w:rPr>
          <w:szCs w:val="22"/>
          <w:u w:val="single"/>
        </w:rPr>
        <w:t>e</w:t>
      </w:r>
      <w:r w:rsidRPr="003F323C">
        <w:rPr>
          <w:szCs w:val="22"/>
          <w:u w:val="single"/>
        </w:rPr>
        <w:t>ffects</w:t>
      </w:r>
    </w:p>
    <w:p w14:paraId="2F94C2B5" w14:textId="77777777" w:rsidR="007001A1" w:rsidRPr="00672F96" w:rsidRDefault="007001A1" w:rsidP="00672F96">
      <w:pPr>
        <w:spacing w:line="240" w:lineRule="auto"/>
        <w:rPr>
          <w:szCs w:val="22"/>
          <w:u w:val="single"/>
        </w:rPr>
      </w:pPr>
    </w:p>
    <w:p w14:paraId="2F94C2B6" w14:textId="7458B212" w:rsidR="00F52018" w:rsidRDefault="00522617" w:rsidP="00672F96">
      <w:pPr>
        <w:spacing w:line="240" w:lineRule="auto"/>
        <w:rPr>
          <w:szCs w:val="22"/>
        </w:rPr>
      </w:pPr>
      <w:proofErr w:type="spellStart"/>
      <w:r w:rsidRPr="00672F96">
        <w:rPr>
          <w:szCs w:val="22"/>
        </w:rPr>
        <w:t>Treosulfan</w:t>
      </w:r>
      <w:proofErr w:type="spellEnd"/>
      <w:r w:rsidRPr="00672F96">
        <w:rPr>
          <w:szCs w:val="22"/>
        </w:rPr>
        <w:t xml:space="preserve"> has a broad antineoplastic and </w:t>
      </w:r>
      <w:proofErr w:type="spellStart"/>
      <w:r w:rsidRPr="00672F96">
        <w:rPr>
          <w:szCs w:val="22"/>
        </w:rPr>
        <w:t>antileukaemic</w:t>
      </w:r>
      <w:proofErr w:type="spellEnd"/>
      <w:r w:rsidRPr="00672F96">
        <w:rPr>
          <w:szCs w:val="22"/>
        </w:rPr>
        <w:t xml:space="preserve"> activity. This was demonstrated against transplanted mouse and rat lymphomas/</w:t>
      </w:r>
      <w:proofErr w:type="spellStart"/>
      <w:r w:rsidRPr="00672F96">
        <w:rPr>
          <w:szCs w:val="22"/>
        </w:rPr>
        <w:t>leukaemias</w:t>
      </w:r>
      <w:proofErr w:type="spellEnd"/>
      <w:r w:rsidRPr="00672F96">
        <w:rPr>
          <w:szCs w:val="22"/>
        </w:rPr>
        <w:t>, sarcomas and hepatomas, human tumour xenografts, human tumour biopsies and cell lines.</w:t>
      </w:r>
    </w:p>
    <w:p w14:paraId="09B43FD3" w14:textId="77777777" w:rsidR="00380F41" w:rsidRPr="00672F96" w:rsidRDefault="00380F41" w:rsidP="00672F96">
      <w:pPr>
        <w:spacing w:line="240" w:lineRule="auto"/>
        <w:rPr>
          <w:szCs w:val="22"/>
        </w:rPr>
      </w:pPr>
    </w:p>
    <w:p w14:paraId="2F94C2B7" w14:textId="77777777" w:rsidR="00F52018" w:rsidRPr="00672F96" w:rsidRDefault="00522617" w:rsidP="00672F96">
      <w:pPr>
        <w:spacing w:line="240" w:lineRule="auto"/>
        <w:rPr>
          <w:szCs w:val="22"/>
        </w:rPr>
      </w:pPr>
      <w:r w:rsidRPr="00672F96">
        <w:rPr>
          <w:szCs w:val="22"/>
        </w:rPr>
        <w:t xml:space="preserve">The immunosuppressive effects of </w:t>
      </w:r>
      <w:proofErr w:type="spellStart"/>
      <w:r w:rsidRPr="00672F96">
        <w:rPr>
          <w:szCs w:val="22"/>
        </w:rPr>
        <w:t>treosulfan</w:t>
      </w:r>
      <w:proofErr w:type="spellEnd"/>
      <w:r w:rsidRPr="00672F96">
        <w:rPr>
          <w:szCs w:val="22"/>
        </w:rPr>
        <w:t xml:space="preserve"> are attributed to its toxicity against primitive and committed progenitor cells, T</w:t>
      </w:r>
      <w:r w:rsidR="006B3F26" w:rsidRPr="00672F96">
        <w:rPr>
          <w:szCs w:val="22"/>
        </w:rPr>
        <w:t> </w:t>
      </w:r>
      <w:r w:rsidRPr="00672F96">
        <w:rPr>
          <w:szCs w:val="22"/>
        </w:rPr>
        <w:t>and NK</w:t>
      </w:r>
      <w:r w:rsidR="006B3F26" w:rsidRPr="00672F96">
        <w:rPr>
          <w:szCs w:val="22"/>
        </w:rPr>
        <w:t> </w:t>
      </w:r>
      <w:r w:rsidRPr="00672F96">
        <w:rPr>
          <w:szCs w:val="22"/>
        </w:rPr>
        <w:t xml:space="preserve">cells, reduction of cellularity of primary and secondary lymphatic organs and a preclusive effect on the ‘cytokine storm’ that precedes the development of </w:t>
      </w:r>
      <w:r w:rsidR="007E1970" w:rsidRPr="00672F96">
        <w:rPr>
          <w:szCs w:val="22"/>
        </w:rPr>
        <w:t>Graft-versus-Host-Disease (</w:t>
      </w:r>
      <w:r w:rsidRPr="00672F96">
        <w:rPr>
          <w:szCs w:val="22"/>
        </w:rPr>
        <w:t>GvHD</w:t>
      </w:r>
      <w:r w:rsidR="007E1970">
        <w:rPr>
          <w:szCs w:val="22"/>
        </w:rPr>
        <w:t>)</w:t>
      </w:r>
      <w:r w:rsidRPr="00672F96">
        <w:rPr>
          <w:szCs w:val="22"/>
        </w:rPr>
        <w:t xml:space="preserve"> and is involved in the pathogenesis of </w:t>
      </w:r>
      <w:proofErr w:type="spellStart"/>
      <w:r w:rsidRPr="003F323C">
        <w:rPr>
          <w:szCs w:val="22"/>
        </w:rPr>
        <w:t>veno</w:t>
      </w:r>
      <w:proofErr w:type="spellEnd"/>
      <w:r w:rsidR="007001A1" w:rsidRPr="003F323C">
        <w:rPr>
          <w:szCs w:val="22"/>
        </w:rPr>
        <w:noBreakHyphen/>
      </w:r>
      <w:r w:rsidRPr="003F323C">
        <w:rPr>
          <w:szCs w:val="22"/>
        </w:rPr>
        <w:t>occlusive</w:t>
      </w:r>
      <w:r w:rsidRPr="00672F96">
        <w:rPr>
          <w:szCs w:val="22"/>
        </w:rPr>
        <w:t xml:space="preserve"> disease.</w:t>
      </w:r>
    </w:p>
    <w:p w14:paraId="2F94C2B8" w14:textId="77777777" w:rsidR="00157E2F" w:rsidRPr="00672F96" w:rsidRDefault="00157E2F" w:rsidP="00672F96">
      <w:pPr>
        <w:spacing w:line="240" w:lineRule="auto"/>
        <w:rPr>
          <w:szCs w:val="22"/>
        </w:rPr>
      </w:pPr>
    </w:p>
    <w:p w14:paraId="519980B8" w14:textId="68D2CCA1" w:rsidR="00134AFD" w:rsidRPr="00672F96" w:rsidRDefault="00522617" w:rsidP="00672F96">
      <w:pPr>
        <w:spacing w:line="240" w:lineRule="auto"/>
        <w:rPr>
          <w:szCs w:val="22"/>
          <w:u w:val="single"/>
        </w:rPr>
      </w:pPr>
      <w:r w:rsidRPr="00672F96">
        <w:rPr>
          <w:szCs w:val="22"/>
          <w:u w:val="single"/>
        </w:rPr>
        <w:t xml:space="preserve">Clinical </w:t>
      </w:r>
      <w:r w:rsidR="00134AFD">
        <w:rPr>
          <w:szCs w:val="22"/>
          <w:u w:val="single"/>
        </w:rPr>
        <w:t>trials</w:t>
      </w:r>
    </w:p>
    <w:p w14:paraId="2F94C2BA" w14:textId="77777777" w:rsidR="000E3C23" w:rsidRPr="00672F96" w:rsidRDefault="000E3C23" w:rsidP="00672F96">
      <w:pPr>
        <w:spacing w:line="240" w:lineRule="auto"/>
        <w:rPr>
          <w:szCs w:val="22"/>
        </w:rPr>
      </w:pPr>
    </w:p>
    <w:p w14:paraId="2F94C2BB" w14:textId="3B3C9E68" w:rsidR="00665A29" w:rsidRDefault="00522617" w:rsidP="00672F96">
      <w:pPr>
        <w:spacing w:line="240" w:lineRule="auto"/>
        <w:rPr>
          <w:szCs w:val="22"/>
        </w:rPr>
      </w:pPr>
      <w:r w:rsidRPr="00672F96">
        <w:rPr>
          <w:szCs w:val="22"/>
        </w:rPr>
        <w:t>In the pivotal phase III trial, adult patients with acute myeloid leukaemia (AML) or myelodysplastic syndrome (MDS) and increased risk for standard conditioning therapies because of higher age (≥ 50 years) or comorbidities (haematopoietic cell transplantation comorbidity index [HCT</w:t>
      </w:r>
      <w:r w:rsidRPr="00672F96">
        <w:rPr>
          <w:szCs w:val="22"/>
        </w:rPr>
        <w:noBreakHyphen/>
        <w:t xml:space="preserve">CI] score &gt; 2) were randomised to receive a conditioning regimen with 3 × 10 g/m² </w:t>
      </w:r>
      <w:proofErr w:type="spellStart"/>
      <w:r w:rsidRPr="00672F96">
        <w:rPr>
          <w:szCs w:val="22"/>
        </w:rPr>
        <w:t>treosulfan</w:t>
      </w:r>
      <w:proofErr w:type="spellEnd"/>
      <w:r w:rsidRPr="00672F96">
        <w:rPr>
          <w:szCs w:val="22"/>
        </w:rPr>
        <w:t xml:space="preserve"> combined with fludarabine (FT</w:t>
      </w:r>
      <w:r w:rsidRPr="00672F96">
        <w:rPr>
          <w:szCs w:val="22"/>
          <w:vertAlign w:val="subscript"/>
        </w:rPr>
        <w:t>10</w:t>
      </w:r>
      <w:r w:rsidRPr="00672F96">
        <w:rPr>
          <w:szCs w:val="22"/>
        </w:rPr>
        <w:t>; n = </w:t>
      </w:r>
      <w:r w:rsidR="007E2C43">
        <w:rPr>
          <w:szCs w:val="22"/>
        </w:rPr>
        <w:t>268</w:t>
      </w:r>
      <w:r w:rsidRPr="00672F96">
        <w:rPr>
          <w:szCs w:val="22"/>
        </w:rPr>
        <w:t>) or a regimen of intravenous busulfan (total dose 6.4 mg/kg) combined with fludarabine (FB2; n = </w:t>
      </w:r>
      <w:r w:rsidR="007E2C43">
        <w:rPr>
          <w:szCs w:val="22"/>
        </w:rPr>
        <w:t>283</w:t>
      </w:r>
      <w:r w:rsidRPr="00672F96">
        <w:rPr>
          <w:szCs w:val="22"/>
        </w:rPr>
        <w:t xml:space="preserve">), followed by </w:t>
      </w:r>
      <w:proofErr w:type="spellStart"/>
      <w:r w:rsidRPr="00672F96">
        <w:rPr>
          <w:szCs w:val="22"/>
        </w:rPr>
        <w:t>alloHSCT</w:t>
      </w:r>
      <w:proofErr w:type="spellEnd"/>
      <w:r w:rsidRPr="00672F96">
        <w:rPr>
          <w:szCs w:val="22"/>
        </w:rPr>
        <w:t>.</w:t>
      </w:r>
      <w:r w:rsidR="006816E4" w:rsidRPr="00672F96">
        <w:rPr>
          <w:szCs w:val="22"/>
        </w:rPr>
        <w:t xml:space="preserve"> 64% of patients had AML and 36% MDS. </w:t>
      </w:r>
      <w:r w:rsidR="007E1970">
        <w:rPr>
          <w:szCs w:val="22"/>
        </w:rPr>
        <w:t xml:space="preserve">The </w:t>
      </w:r>
      <w:r w:rsidR="007E1970" w:rsidRPr="003F323C">
        <w:rPr>
          <w:szCs w:val="22"/>
        </w:rPr>
        <w:t>m</w:t>
      </w:r>
      <w:r w:rsidR="006816E4" w:rsidRPr="003F323C">
        <w:rPr>
          <w:szCs w:val="22"/>
        </w:rPr>
        <w:t>edian age of patients was 60</w:t>
      </w:r>
      <w:r w:rsidR="00074CE7" w:rsidRPr="003F323C">
        <w:rPr>
          <w:szCs w:val="22"/>
        </w:rPr>
        <w:t> </w:t>
      </w:r>
      <w:r w:rsidR="006816E4" w:rsidRPr="003F323C">
        <w:rPr>
          <w:szCs w:val="22"/>
        </w:rPr>
        <w:t>years (range 31</w:t>
      </w:r>
      <w:r w:rsidR="00CA4DAD" w:rsidRPr="003F323C">
        <w:rPr>
          <w:szCs w:val="22"/>
        </w:rPr>
        <w:t>–</w:t>
      </w:r>
      <w:r w:rsidR="006816E4" w:rsidRPr="003F323C">
        <w:rPr>
          <w:szCs w:val="22"/>
        </w:rPr>
        <w:t>70</w:t>
      </w:r>
      <w:r w:rsidR="00CA4DAD" w:rsidRPr="003F323C">
        <w:rPr>
          <w:szCs w:val="22"/>
        </w:rPr>
        <w:t> </w:t>
      </w:r>
      <w:r w:rsidR="006816E4" w:rsidRPr="003F323C">
        <w:rPr>
          <w:szCs w:val="22"/>
        </w:rPr>
        <w:t>years</w:t>
      </w:r>
      <w:r w:rsidR="00085B57" w:rsidRPr="003F323C">
        <w:rPr>
          <w:szCs w:val="22"/>
        </w:rPr>
        <w:t>)</w:t>
      </w:r>
      <w:r w:rsidR="006816E4" w:rsidRPr="003F323C">
        <w:rPr>
          <w:szCs w:val="22"/>
        </w:rPr>
        <w:t>; 25% of patients were older than 65</w:t>
      </w:r>
      <w:r w:rsidR="00CA4DAD" w:rsidRPr="003F323C">
        <w:rPr>
          <w:szCs w:val="22"/>
        </w:rPr>
        <w:t> </w:t>
      </w:r>
      <w:r w:rsidR="006816E4" w:rsidRPr="003F323C">
        <w:rPr>
          <w:szCs w:val="22"/>
        </w:rPr>
        <w:t>years.</w:t>
      </w:r>
    </w:p>
    <w:p w14:paraId="1F95DDDD" w14:textId="77777777" w:rsidR="00380F41" w:rsidRPr="003F323C" w:rsidRDefault="00380F41" w:rsidP="00672F96">
      <w:pPr>
        <w:spacing w:line="240" w:lineRule="auto"/>
        <w:rPr>
          <w:szCs w:val="22"/>
        </w:rPr>
      </w:pPr>
    </w:p>
    <w:p w14:paraId="2F94C2BC" w14:textId="77777777" w:rsidR="008D2AF0" w:rsidRPr="003F323C" w:rsidRDefault="00522617" w:rsidP="00672F96">
      <w:pPr>
        <w:spacing w:line="240" w:lineRule="auto"/>
      </w:pPr>
      <w:r w:rsidRPr="003F323C">
        <w:rPr>
          <w:szCs w:val="22"/>
        </w:rPr>
        <w:t>The primary endpoint of this study was event</w:t>
      </w:r>
      <w:r w:rsidR="00C3527D" w:rsidRPr="003F323C">
        <w:rPr>
          <w:szCs w:val="22"/>
        </w:rPr>
        <w:noBreakHyphen/>
      </w:r>
      <w:r w:rsidRPr="003F323C">
        <w:rPr>
          <w:szCs w:val="22"/>
        </w:rPr>
        <w:t>free survival (EFS) after 2</w:t>
      </w:r>
      <w:r w:rsidR="00CA4DAD" w:rsidRPr="003F323C">
        <w:rPr>
          <w:szCs w:val="22"/>
        </w:rPr>
        <w:t> </w:t>
      </w:r>
      <w:r w:rsidRPr="003F323C">
        <w:rPr>
          <w:szCs w:val="22"/>
        </w:rPr>
        <w:t xml:space="preserve">years. Events were defined as relapse of disease, graft failure or death (whatever occurred first). </w:t>
      </w:r>
      <w:r w:rsidR="00665A29" w:rsidRPr="003F323C">
        <w:rPr>
          <w:szCs w:val="22"/>
        </w:rPr>
        <w:t>Non</w:t>
      </w:r>
      <w:r w:rsidR="00074CE7" w:rsidRPr="003F323C">
        <w:rPr>
          <w:szCs w:val="22"/>
        </w:rPr>
        <w:noBreakHyphen/>
      </w:r>
      <w:r w:rsidR="00665A29" w:rsidRPr="003F323C">
        <w:rPr>
          <w:szCs w:val="22"/>
        </w:rPr>
        <w:t>inferiority of FT</w:t>
      </w:r>
      <w:r w:rsidR="00665A29" w:rsidRPr="003F323C">
        <w:rPr>
          <w:szCs w:val="22"/>
          <w:vertAlign w:val="subscript"/>
        </w:rPr>
        <w:t>10</w:t>
      </w:r>
      <w:r w:rsidR="00665A29" w:rsidRPr="003F323C">
        <w:rPr>
          <w:szCs w:val="22"/>
        </w:rPr>
        <w:t xml:space="preserve"> </w:t>
      </w:r>
      <w:r w:rsidR="00665A29" w:rsidRPr="003F323C">
        <w:rPr>
          <w:i/>
          <w:iCs/>
          <w:szCs w:val="22"/>
        </w:rPr>
        <w:t xml:space="preserve">versus </w:t>
      </w:r>
      <w:r w:rsidR="00665A29" w:rsidRPr="003F323C">
        <w:rPr>
          <w:szCs w:val="22"/>
        </w:rPr>
        <w:t xml:space="preserve">the </w:t>
      </w:r>
      <w:r w:rsidR="00665A29" w:rsidRPr="003F323C">
        <w:t>reference FB2 was statistically proven</w:t>
      </w:r>
      <w:r w:rsidR="00F65C9B" w:rsidRPr="003F323C">
        <w:t xml:space="preserve"> (Figure</w:t>
      </w:r>
      <w:r w:rsidR="00CA4DAD" w:rsidRPr="003F323C">
        <w:t> </w:t>
      </w:r>
      <w:r w:rsidR="00F65C9B" w:rsidRPr="003F323C">
        <w:t>1)</w:t>
      </w:r>
      <w:r w:rsidR="00665A29" w:rsidRPr="003F323C">
        <w:t>.</w:t>
      </w:r>
    </w:p>
    <w:p w14:paraId="2F94C2BD" w14:textId="77777777" w:rsidR="00F65C9B" w:rsidRPr="003F323C" w:rsidRDefault="00F65C9B" w:rsidP="00672F96">
      <w:pPr>
        <w:tabs>
          <w:tab w:val="clear" w:pos="567"/>
        </w:tabs>
        <w:spacing w:line="240" w:lineRule="auto"/>
        <w:rPr>
          <w:i/>
        </w:rPr>
      </w:pPr>
    </w:p>
    <w:p w14:paraId="2F94C2BE" w14:textId="77777777" w:rsidR="008D2AF0" w:rsidRDefault="00522617" w:rsidP="00672F96">
      <w:pPr>
        <w:keepNext/>
        <w:keepLines/>
        <w:spacing w:line="240" w:lineRule="auto"/>
        <w:rPr>
          <w:i/>
        </w:rPr>
      </w:pPr>
      <w:r w:rsidRPr="003F323C">
        <w:rPr>
          <w:i/>
        </w:rPr>
        <w:t>Figure</w:t>
      </w:r>
      <w:r w:rsidR="00CA4DAD" w:rsidRPr="003F323C">
        <w:rPr>
          <w:i/>
        </w:rPr>
        <w:t> </w:t>
      </w:r>
      <w:r w:rsidRPr="003F323C">
        <w:rPr>
          <w:i/>
        </w:rPr>
        <w:t>1: Kaplan</w:t>
      </w:r>
      <w:r w:rsidRPr="003F323C">
        <w:rPr>
          <w:i/>
        </w:rPr>
        <w:noBreakHyphen/>
        <w:t>Meier estimates of event</w:t>
      </w:r>
      <w:r w:rsidR="00074CE7" w:rsidRPr="003F323C">
        <w:rPr>
          <w:i/>
        </w:rPr>
        <w:noBreakHyphen/>
      </w:r>
      <w:r w:rsidRPr="003F323C">
        <w:rPr>
          <w:i/>
        </w:rPr>
        <w:t>free survival (Full Analysis Set</w:t>
      </w:r>
      <w:r w:rsidR="00F65C9B" w:rsidRPr="003F323C">
        <w:rPr>
          <w:i/>
        </w:rPr>
        <w:t>)</w:t>
      </w:r>
    </w:p>
    <w:p w14:paraId="327EBDDB" w14:textId="43464C28" w:rsidR="00435CCE" w:rsidRPr="006062FA" w:rsidRDefault="00435CCE" w:rsidP="00672F96">
      <w:pPr>
        <w:keepNext/>
        <w:keepLines/>
        <w:spacing w:line="240" w:lineRule="auto"/>
        <w:rPr>
          <w:i/>
        </w:rPr>
      </w:pPr>
      <w:r w:rsidRPr="0074760E">
        <w:rPr>
          <w:noProof/>
          <w:szCs w:val="24"/>
          <w:lang w:eastAsia="en-GB"/>
        </w:rPr>
        <w:drawing>
          <wp:inline distT="0" distB="0" distL="0" distR="0" wp14:anchorId="7AE46CF3" wp14:editId="28349EFD">
            <wp:extent cx="4024429" cy="3286615"/>
            <wp:effectExtent l="0" t="0" r="0" b="9525"/>
            <wp:docPr id="4"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8837"/>
                    <a:stretch/>
                  </pic:blipFill>
                  <pic:spPr bwMode="auto">
                    <a:xfrm>
                      <a:off x="0" y="0"/>
                      <a:ext cx="4040254" cy="3299538"/>
                    </a:xfrm>
                    <a:prstGeom prst="rect">
                      <a:avLst/>
                    </a:prstGeom>
                    <a:noFill/>
                    <a:ln>
                      <a:noFill/>
                    </a:ln>
                    <a:extLst>
                      <a:ext uri="{53640926-AAD7-44D8-BBD7-CCE9431645EC}">
                        <a14:shadowObscured xmlns:a14="http://schemas.microsoft.com/office/drawing/2010/main"/>
                      </a:ext>
                    </a:extLst>
                  </pic:spPr>
                </pic:pic>
              </a:graphicData>
            </a:graphic>
          </wp:inline>
        </w:drawing>
      </w:r>
    </w:p>
    <w:p w14:paraId="2F94C2BF" w14:textId="6DBF9FEB" w:rsidR="008D2AF0" w:rsidRPr="006062FA" w:rsidRDefault="008D2AF0" w:rsidP="00672F96">
      <w:pPr>
        <w:keepNext/>
        <w:keepLines/>
        <w:spacing w:line="240" w:lineRule="auto"/>
      </w:pPr>
    </w:p>
    <w:p w14:paraId="2F94C2C0" w14:textId="77777777" w:rsidR="008D2AF0" w:rsidRPr="006062FA" w:rsidRDefault="00522617" w:rsidP="00672F96">
      <w:pPr>
        <w:keepNext/>
        <w:keepLines/>
        <w:spacing w:line="240" w:lineRule="auto"/>
        <w:rPr>
          <w:sz w:val="16"/>
          <w:szCs w:val="16"/>
        </w:rPr>
      </w:pPr>
      <w:proofErr w:type="spellStart"/>
      <w:proofErr w:type="gramStart"/>
      <w:r w:rsidRPr="006062FA">
        <w:rPr>
          <w:sz w:val="16"/>
          <w:szCs w:val="16"/>
          <w:vertAlign w:val="superscript"/>
        </w:rPr>
        <w:t>a</w:t>
      </w:r>
      <w:proofErr w:type="spellEnd"/>
      <w:proofErr w:type="gramEnd"/>
      <w:r w:rsidRPr="006062FA">
        <w:t xml:space="preserve"> </w:t>
      </w:r>
      <w:r w:rsidRPr="00074CE7">
        <w:rPr>
          <w:szCs w:val="22"/>
        </w:rPr>
        <w:t>Adjusted for donor type as factor, and risk group and centre as strata using Cox regression model.</w:t>
      </w:r>
    </w:p>
    <w:p w14:paraId="2F94C2C1" w14:textId="77777777" w:rsidR="008D2AF0" w:rsidRPr="00074CE7" w:rsidRDefault="00522617" w:rsidP="00672F96">
      <w:pPr>
        <w:keepNext/>
        <w:keepLines/>
        <w:spacing w:line="240" w:lineRule="auto"/>
        <w:rPr>
          <w:szCs w:val="22"/>
        </w:rPr>
      </w:pPr>
      <w:r w:rsidRPr="006062FA">
        <w:rPr>
          <w:sz w:val="16"/>
          <w:szCs w:val="16"/>
          <w:vertAlign w:val="superscript"/>
        </w:rPr>
        <w:t>b</w:t>
      </w:r>
      <w:r w:rsidRPr="006062FA">
        <w:rPr>
          <w:sz w:val="16"/>
          <w:szCs w:val="16"/>
        </w:rPr>
        <w:t xml:space="preserve"> </w:t>
      </w:r>
      <w:proofErr w:type="gramStart"/>
      <w:r w:rsidRPr="00074CE7">
        <w:rPr>
          <w:szCs w:val="22"/>
        </w:rPr>
        <w:t>For</w:t>
      </w:r>
      <w:proofErr w:type="gramEnd"/>
      <w:r w:rsidRPr="00074CE7">
        <w:rPr>
          <w:szCs w:val="22"/>
        </w:rPr>
        <w:t xml:space="preserve"> testing non-inferiority of </w:t>
      </w:r>
      <w:proofErr w:type="spellStart"/>
      <w:r w:rsidR="00CA4DAD" w:rsidRPr="00074CE7">
        <w:rPr>
          <w:szCs w:val="22"/>
        </w:rPr>
        <w:t>t</w:t>
      </w:r>
      <w:r w:rsidRPr="00074CE7">
        <w:rPr>
          <w:szCs w:val="22"/>
        </w:rPr>
        <w:t>reosulfan</w:t>
      </w:r>
      <w:proofErr w:type="spellEnd"/>
      <w:r w:rsidRPr="00074CE7">
        <w:rPr>
          <w:szCs w:val="22"/>
        </w:rPr>
        <w:t xml:space="preserve"> compared to </w:t>
      </w:r>
      <w:r w:rsidR="00CA4DAD" w:rsidRPr="00074CE7">
        <w:rPr>
          <w:szCs w:val="22"/>
        </w:rPr>
        <w:t>b</w:t>
      </w:r>
      <w:r w:rsidRPr="00074CE7">
        <w:rPr>
          <w:szCs w:val="22"/>
        </w:rPr>
        <w:t>usulfan.</w:t>
      </w:r>
    </w:p>
    <w:p w14:paraId="2F94C2C2" w14:textId="77777777" w:rsidR="008D2AF0" w:rsidRPr="00074CE7" w:rsidRDefault="00522617" w:rsidP="00672F96">
      <w:pPr>
        <w:keepNext/>
        <w:keepLines/>
        <w:spacing w:line="240" w:lineRule="auto"/>
        <w:rPr>
          <w:szCs w:val="22"/>
        </w:rPr>
      </w:pPr>
      <w:r w:rsidRPr="006062FA">
        <w:rPr>
          <w:sz w:val="16"/>
          <w:szCs w:val="16"/>
          <w:vertAlign w:val="superscript"/>
        </w:rPr>
        <w:t>c</w:t>
      </w:r>
      <w:r w:rsidRPr="006062FA">
        <w:rPr>
          <w:sz w:val="16"/>
          <w:szCs w:val="16"/>
        </w:rPr>
        <w:t xml:space="preserve"> </w:t>
      </w:r>
      <w:proofErr w:type="gramStart"/>
      <w:r w:rsidRPr="00074CE7">
        <w:rPr>
          <w:szCs w:val="22"/>
        </w:rPr>
        <w:t>For</w:t>
      </w:r>
      <w:proofErr w:type="gramEnd"/>
      <w:r w:rsidRPr="00074CE7">
        <w:rPr>
          <w:szCs w:val="22"/>
        </w:rPr>
        <w:t xml:space="preserve"> testing superiority of </w:t>
      </w:r>
      <w:proofErr w:type="spellStart"/>
      <w:r w:rsidR="00CA4DAD" w:rsidRPr="00074CE7">
        <w:rPr>
          <w:szCs w:val="22"/>
        </w:rPr>
        <w:t>t</w:t>
      </w:r>
      <w:r w:rsidRPr="00074CE7">
        <w:rPr>
          <w:szCs w:val="22"/>
        </w:rPr>
        <w:t>reosulfan</w:t>
      </w:r>
      <w:proofErr w:type="spellEnd"/>
      <w:r w:rsidRPr="00074CE7">
        <w:rPr>
          <w:szCs w:val="22"/>
        </w:rPr>
        <w:t xml:space="preserve"> compared to</w:t>
      </w:r>
      <w:r w:rsidR="00CA4DAD" w:rsidRPr="00074CE7">
        <w:rPr>
          <w:szCs w:val="22"/>
        </w:rPr>
        <w:t xml:space="preserve"> b</w:t>
      </w:r>
      <w:r w:rsidRPr="00074CE7">
        <w:rPr>
          <w:szCs w:val="22"/>
        </w:rPr>
        <w:t>usulfan.</w:t>
      </w:r>
    </w:p>
    <w:p w14:paraId="2F94C2C3" w14:textId="77777777" w:rsidR="008D2AF0" w:rsidRPr="006062FA" w:rsidRDefault="008D2AF0" w:rsidP="00672F96">
      <w:pPr>
        <w:spacing w:line="240" w:lineRule="auto"/>
      </w:pPr>
    </w:p>
    <w:p w14:paraId="2F94C2C4" w14:textId="6C2CF0EE" w:rsidR="00665A29" w:rsidRPr="00672F96" w:rsidRDefault="00522617" w:rsidP="00672F96">
      <w:pPr>
        <w:spacing w:line="240" w:lineRule="auto"/>
        <w:rPr>
          <w:szCs w:val="22"/>
        </w:rPr>
      </w:pPr>
      <w:r w:rsidRPr="00672F96">
        <w:rPr>
          <w:szCs w:val="22"/>
        </w:rPr>
        <w:t>A</w:t>
      </w:r>
      <w:r w:rsidR="00C33550" w:rsidRPr="00672F96">
        <w:rPr>
          <w:szCs w:val="22"/>
        </w:rPr>
        <w:t>nalyses</w:t>
      </w:r>
      <w:r w:rsidRPr="00672F96">
        <w:rPr>
          <w:szCs w:val="22"/>
        </w:rPr>
        <w:t xml:space="preserve"> of EFS at 2 years for various pre</w:t>
      </w:r>
      <w:r w:rsidR="00CA4DAD" w:rsidRPr="00672F96">
        <w:rPr>
          <w:szCs w:val="22"/>
        </w:rPr>
        <w:noBreakHyphen/>
      </w:r>
      <w:r w:rsidRPr="00672F96">
        <w:rPr>
          <w:szCs w:val="22"/>
        </w:rPr>
        <w:t>defined subgroups (donor type, risk group, disease, age group, HCT</w:t>
      </w:r>
      <w:r w:rsidRPr="00672F96">
        <w:rPr>
          <w:szCs w:val="22"/>
        </w:rPr>
        <w:noBreakHyphen/>
        <w:t xml:space="preserve">CI score, remission status at study entry, and various combinations of these parameters) </w:t>
      </w:r>
      <w:r w:rsidR="005D776C" w:rsidRPr="00672F96">
        <w:rPr>
          <w:szCs w:val="22"/>
        </w:rPr>
        <w:t xml:space="preserve">were </w:t>
      </w:r>
      <w:r w:rsidRPr="00672F96">
        <w:rPr>
          <w:szCs w:val="22"/>
        </w:rPr>
        <w:t xml:space="preserve">always in favour of the </w:t>
      </w:r>
      <w:proofErr w:type="spellStart"/>
      <w:r w:rsidRPr="00672F96">
        <w:rPr>
          <w:szCs w:val="22"/>
        </w:rPr>
        <w:t>treosulfan</w:t>
      </w:r>
      <w:proofErr w:type="spellEnd"/>
      <w:r w:rsidRPr="00672F96">
        <w:rPr>
          <w:szCs w:val="22"/>
        </w:rPr>
        <w:t xml:space="preserve"> regimen (hazard ratio [HR] of FT</w:t>
      </w:r>
      <w:r w:rsidRPr="00672F96">
        <w:rPr>
          <w:szCs w:val="22"/>
          <w:vertAlign w:val="subscript"/>
        </w:rPr>
        <w:t>10</w:t>
      </w:r>
      <w:r w:rsidRPr="00672F96">
        <w:rPr>
          <w:szCs w:val="22"/>
        </w:rPr>
        <w:t xml:space="preserve"> </w:t>
      </w:r>
      <w:r w:rsidRPr="00672F96">
        <w:rPr>
          <w:i/>
          <w:szCs w:val="22"/>
        </w:rPr>
        <w:t>vs</w:t>
      </w:r>
      <w:r w:rsidRPr="00672F96">
        <w:rPr>
          <w:szCs w:val="22"/>
        </w:rPr>
        <w:t>. FB2 &lt; 1), with only one exception (risk group I</w:t>
      </w:r>
      <w:r w:rsidR="00435CCE">
        <w:rPr>
          <w:szCs w:val="22"/>
        </w:rPr>
        <w:t>I</w:t>
      </w:r>
      <w:r w:rsidRPr="00672F96">
        <w:rPr>
          <w:szCs w:val="22"/>
        </w:rPr>
        <w:t xml:space="preserve"> of </w:t>
      </w:r>
      <w:r w:rsidR="00435CCE">
        <w:rPr>
          <w:szCs w:val="22"/>
        </w:rPr>
        <w:t>matched related donor [MRD]</w:t>
      </w:r>
      <w:r w:rsidRPr="00672F96">
        <w:rPr>
          <w:szCs w:val="22"/>
        </w:rPr>
        <w:t xml:space="preserve"> patients; HR 1.1</w:t>
      </w:r>
      <w:r w:rsidR="00435CCE">
        <w:rPr>
          <w:szCs w:val="22"/>
        </w:rPr>
        <w:t>8</w:t>
      </w:r>
      <w:r w:rsidRPr="00672F96">
        <w:rPr>
          <w:szCs w:val="22"/>
        </w:rPr>
        <w:t xml:space="preserve"> [95% CI 0.</w:t>
      </w:r>
      <w:r w:rsidR="00435CCE">
        <w:rPr>
          <w:szCs w:val="22"/>
        </w:rPr>
        <w:t>61</w:t>
      </w:r>
      <w:r w:rsidRPr="00672F96">
        <w:rPr>
          <w:szCs w:val="22"/>
        </w:rPr>
        <w:t>, 2.</w:t>
      </w:r>
      <w:r w:rsidR="00435CCE">
        <w:rPr>
          <w:szCs w:val="22"/>
        </w:rPr>
        <w:t>26</w:t>
      </w:r>
      <w:r w:rsidRPr="00672F96">
        <w:rPr>
          <w:szCs w:val="22"/>
        </w:rPr>
        <w:t>]).</w:t>
      </w:r>
    </w:p>
    <w:p w14:paraId="2F94C2C5" w14:textId="77777777" w:rsidR="005D776C" w:rsidRPr="00672F96" w:rsidRDefault="00522617" w:rsidP="00672F96">
      <w:pPr>
        <w:spacing w:line="240" w:lineRule="auto"/>
        <w:rPr>
          <w:szCs w:val="22"/>
        </w:rPr>
      </w:pPr>
      <w:r w:rsidRPr="00672F96">
        <w:rPr>
          <w:szCs w:val="22"/>
        </w:rPr>
        <w:t>Further results are shown in Table</w:t>
      </w:r>
      <w:r w:rsidR="00B71F13" w:rsidRPr="00672F96">
        <w:rPr>
          <w:szCs w:val="22"/>
        </w:rPr>
        <w:t> </w:t>
      </w:r>
      <w:r w:rsidRPr="00672F96">
        <w:rPr>
          <w:szCs w:val="22"/>
        </w:rPr>
        <w:t>1.</w:t>
      </w:r>
    </w:p>
    <w:p w14:paraId="2F94C2C6" w14:textId="77777777" w:rsidR="00B71F13" w:rsidRPr="00672F96" w:rsidRDefault="00B71F13" w:rsidP="00672F96">
      <w:pPr>
        <w:spacing w:line="240" w:lineRule="auto"/>
        <w:rPr>
          <w:szCs w:val="22"/>
        </w:rPr>
      </w:pPr>
    </w:p>
    <w:p w14:paraId="2F94C2C7" w14:textId="77777777" w:rsidR="005D776C" w:rsidRPr="00672F96" w:rsidRDefault="00522617" w:rsidP="00672F96">
      <w:pPr>
        <w:keepNext/>
        <w:keepLines/>
        <w:tabs>
          <w:tab w:val="clear" w:pos="567"/>
        </w:tabs>
        <w:spacing w:line="240" w:lineRule="auto"/>
        <w:rPr>
          <w:i/>
          <w:szCs w:val="22"/>
          <w:lang w:eastAsia="de-DE"/>
        </w:rPr>
      </w:pPr>
      <w:r w:rsidRPr="00672F96">
        <w:rPr>
          <w:i/>
          <w:szCs w:val="22"/>
          <w:lang w:eastAsia="de-DE"/>
        </w:rPr>
        <w:t>Table</w:t>
      </w:r>
      <w:r w:rsidR="00B71F13" w:rsidRPr="00672F96">
        <w:rPr>
          <w:i/>
          <w:szCs w:val="22"/>
          <w:lang w:eastAsia="de-DE"/>
        </w:rPr>
        <w:t> </w:t>
      </w:r>
      <w:r w:rsidRPr="00672F96">
        <w:rPr>
          <w:i/>
          <w:szCs w:val="22"/>
          <w:lang w:eastAsia="de-DE"/>
        </w:rPr>
        <w:t>1: Treatment results at 24</w:t>
      </w:r>
      <w:r w:rsidR="00B71F13" w:rsidRPr="00672F96">
        <w:rPr>
          <w:i/>
          <w:szCs w:val="22"/>
          <w:lang w:eastAsia="de-DE"/>
        </w:rPr>
        <w:t> </w:t>
      </w:r>
      <w:r w:rsidRPr="00672F96">
        <w:rPr>
          <w:i/>
          <w:szCs w:val="22"/>
          <w:lang w:eastAsia="de-DE"/>
        </w:rPr>
        <w:t>months (Full analysis set)</w:t>
      </w:r>
    </w:p>
    <w:tbl>
      <w:tblPr>
        <w:tblStyle w:val="Tabellenraster1"/>
        <w:tblW w:w="0" w:type="auto"/>
        <w:tblInd w:w="108" w:type="dxa"/>
        <w:tblLook w:val="04A0" w:firstRow="1" w:lastRow="0" w:firstColumn="1" w:lastColumn="0" w:noHBand="0" w:noVBand="1"/>
      </w:tblPr>
      <w:tblGrid>
        <w:gridCol w:w="3038"/>
        <w:gridCol w:w="1624"/>
        <w:gridCol w:w="1612"/>
        <w:gridCol w:w="1602"/>
        <w:gridCol w:w="1079"/>
      </w:tblGrid>
      <w:tr w:rsidR="00937EA8" w14:paraId="2F94C2CE" w14:textId="77777777" w:rsidTr="005D776C">
        <w:tc>
          <w:tcPr>
            <w:tcW w:w="3119" w:type="dxa"/>
          </w:tcPr>
          <w:p w14:paraId="2F94C2C8" w14:textId="77777777" w:rsidR="005D776C" w:rsidRPr="00672F96" w:rsidRDefault="00522617" w:rsidP="00672F96">
            <w:pPr>
              <w:keepNext/>
              <w:keepLines/>
              <w:tabs>
                <w:tab w:val="clear" w:pos="567"/>
              </w:tabs>
              <w:spacing w:before="40" w:after="20" w:line="240" w:lineRule="auto"/>
              <w:rPr>
                <w:b/>
                <w:szCs w:val="22"/>
                <w:lang w:eastAsia="de-DE"/>
              </w:rPr>
            </w:pPr>
            <w:r w:rsidRPr="00672F96">
              <w:rPr>
                <w:b/>
                <w:szCs w:val="22"/>
                <w:lang w:eastAsia="de-DE"/>
              </w:rPr>
              <w:t>Parameter</w:t>
            </w:r>
          </w:p>
        </w:tc>
        <w:tc>
          <w:tcPr>
            <w:tcW w:w="1653" w:type="dxa"/>
          </w:tcPr>
          <w:p w14:paraId="2F94C2C9" w14:textId="77777777" w:rsidR="005D776C" w:rsidRPr="00672F96" w:rsidRDefault="00522617" w:rsidP="00672F96">
            <w:pPr>
              <w:keepNext/>
              <w:keepLines/>
              <w:tabs>
                <w:tab w:val="clear" w:pos="567"/>
              </w:tabs>
              <w:spacing w:before="40" w:after="20" w:line="240" w:lineRule="auto"/>
              <w:rPr>
                <w:b/>
                <w:szCs w:val="22"/>
                <w:lang w:eastAsia="de-DE"/>
              </w:rPr>
            </w:pPr>
            <w:proofErr w:type="spellStart"/>
            <w:r w:rsidRPr="00672F96">
              <w:rPr>
                <w:b/>
                <w:szCs w:val="22"/>
                <w:lang w:eastAsia="de-DE"/>
              </w:rPr>
              <w:t>Treosulfan</w:t>
            </w:r>
            <w:proofErr w:type="spellEnd"/>
          </w:p>
        </w:tc>
        <w:tc>
          <w:tcPr>
            <w:tcW w:w="1654" w:type="dxa"/>
          </w:tcPr>
          <w:p w14:paraId="2F94C2CA" w14:textId="77777777" w:rsidR="005D776C" w:rsidRPr="00672F96" w:rsidRDefault="00522617" w:rsidP="00672F96">
            <w:pPr>
              <w:keepNext/>
              <w:keepLines/>
              <w:tabs>
                <w:tab w:val="clear" w:pos="567"/>
              </w:tabs>
              <w:spacing w:before="40" w:after="20" w:line="240" w:lineRule="auto"/>
              <w:rPr>
                <w:b/>
                <w:szCs w:val="22"/>
                <w:lang w:eastAsia="de-DE"/>
              </w:rPr>
            </w:pPr>
            <w:r w:rsidRPr="00672F96">
              <w:rPr>
                <w:b/>
                <w:szCs w:val="22"/>
                <w:lang w:eastAsia="de-DE"/>
              </w:rPr>
              <w:t>Busulfan</w:t>
            </w:r>
          </w:p>
        </w:tc>
        <w:tc>
          <w:tcPr>
            <w:tcW w:w="1654" w:type="dxa"/>
          </w:tcPr>
          <w:p w14:paraId="2F94C2CB" w14:textId="77777777" w:rsidR="005D776C" w:rsidRPr="00672F96" w:rsidRDefault="00522617" w:rsidP="00672F96">
            <w:pPr>
              <w:keepNext/>
              <w:keepLines/>
              <w:tabs>
                <w:tab w:val="clear" w:pos="567"/>
              </w:tabs>
              <w:spacing w:before="40" w:after="20" w:line="240" w:lineRule="auto"/>
              <w:rPr>
                <w:b/>
                <w:szCs w:val="22"/>
                <w:lang w:eastAsia="de-DE"/>
              </w:rPr>
            </w:pPr>
            <w:r w:rsidRPr="00672F96">
              <w:rPr>
                <w:b/>
                <w:szCs w:val="22"/>
                <w:lang w:eastAsia="de-DE"/>
              </w:rPr>
              <w:t xml:space="preserve">Hazard </w:t>
            </w:r>
            <w:proofErr w:type="spellStart"/>
            <w:r w:rsidRPr="00672F96">
              <w:rPr>
                <w:b/>
                <w:szCs w:val="22"/>
                <w:lang w:eastAsia="de-DE"/>
              </w:rPr>
              <w:t>ratio</w:t>
            </w:r>
            <w:r w:rsidRPr="00672F96">
              <w:rPr>
                <w:b/>
                <w:szCs w:val="22"/>
                <w:vertAlign w:val="superscript"/>
                <w:lang w:eastAsia="de-DE"/>
              </w:rPr>
              <w:t>b</w:t>
            </w:r>
            <w:proofErr w:type="spellEnd"/>
            <w:r w:rsidRPr="00672F96">
              <w:rPr>
                <w:b/>
                <w:szCs w:val="22"/>
                <w:lang w:eastAsia="de-DE"/>
              </w:rPr>
              <w:t xml:space="preserve"> </w:t>
            </w:r>
          </w:p>
          <w:p w14:paraId="2F94C2CC" w14:textId="77777777" w:rsidR="005D776C" w:rsidRPr="00672F96" w:rsidRDefault="00522617" w:rsidP="00672F96">
            <w:pPr>
              <w:keepNext/>
              <w:keepLines/>
              <w:tabs>
                <w:tab w:val="clear" w:pos="567"/>
              </w:tabs>
              <w:spacing w:before="40" w:after="20" w:line="240" w:lineRule="auto"/>
              <w:rPr>
                <w:b/>
                <w:szCs w:val="22"/>
                <w:lang w:eastAsia="de-DE"/>
              </w:rPr>
            </w:pPr>
            <w:r w:rsidRPr="00672F96">
              <w:rPr>
                <w:b/>
                <w:szCs w:val="22"/>
                <w:lang w:eastAsia="de-DE"/>
              </w:rPr>
              <w:t>(95% CI)</w:t>
            </w:r>
          </w:p>
        </w:tc>
        <w:tc>
          <w:tcPr>
            <w:tcW w:w="1099" w:type="dxa"/>
          </w:tcPr>
          <w:p w14:paraId="2F94C2CD" w14:textId="77777777" w:rsidR="005D776C" w:rsidRPr="00672F96" w:rsidRDefault="00522617" w:rsidP="00672F96">
            <w:pPr>
              <w:keepNext/>
              <w:keepLines/>
              <w:tabs>
                <w:tab w:val="clear" w:pos="567"/>
              </w:tabs>
              <w:spacing w:before="40" w:after="20" w:line="240" w:lineRule="auto"/>
              <w:rPr>
                <w:b/>
                <w:szCs w:val="22"/>
                <w:lang w:eastAsia="de-DE"/>
              </w:rPr>
            </w:pPr>
            <w:r w:rsidRPr="00672F96">
              <w:rPr>
                <w:b/>
                <w:szCs w:val="22"/>
                <w:lang w:eastAsia="de-DE"/>
              </w:rPr>
              <w:t xml:space="preserve">P </w:t>
            </w:r>
            <w:proofErr w:type="spellStart"/>
            <w:r w:rsidRPr="00672F96">
              <w:rPr>
                <w:b/>
                <w:szCs w:val="22"/>
                <w:lang w:eastAsia="de-DE"/>
              </w:rPr>
              <w:t>value</w:t>
            </w:r>
            <w:r w:rsidRPr="00672F96">
              <w:rPr>
                <w:b/>
                <w:szCs w:val="22"/>
                <w:vertAlign w:val="superscript"/>
                <w:lang w:eastAsia="de-DE"/>
              </w:rPr>
              <w:t>b</w:t>
            </w:r>
            <w:proofErr w:type="spellEnd"/>
          </w:p>
        </w:tc>
      </w:tr>
      <w:tr w:rsidR="00937EA8" w14:paraId="2F94C2D4" w14:textId="77777777" w:rsidTr="005D776C">
        <w:tc>
          <w:tcPr>
            <w:tcW w:w="3119" w:type="dxa"/>
          </w:tcPr>
          <w:p w14:paraId="2F94C2CF" w14:textId="77777777" w:rsidR="005D776C" w:rsidRPr="00672F96" w:rsidRDefault="00522617" w:rsidP="00672F96">
            <w:pPr>
              <w:keepNext/>
              <w:keepLines/>
              <w:tabs>
                <w:tab w:val="clear" w:pos="567"/>
              </w:tabs>
              <w:spacing w:before="40" w:after="20" w:line="240" w:lineRule="auto"/>
              <w:rPr>
                <w:szCs w:val="22"/>
                <w:lang w:eastAsia="de-DE"/>
              </w:rPr>
            </w:pPr>
            <w:r w:rsidRPr="00672F96">
              <w:rPr>
                <w:szCs w:val="22"/>
                <w:lang w:eastAsia="de-DE"/>
              </w:rPr>
              <w:t>Number of patients</w:t>
            </w:r>
          </w:p>
        </w:tc>
        <w:tc>
          <w:tcPr>
            <w:tcW w:w="1653" w:type="dxa"/>
          </w:tcPr>
          <w:p w14:paraId="2F94C2D0" w14:textId="1323DE6A" w:rsidR="005D776C" w:rsidRPr="00672F96" w:rsidRDefault="00F54B1E" w:rsidP="00672F96">
            <w:pPr>
              <w:keepNext/>
              <w:keepLines/>
              <w:tabs>
                <w:tab w:val="clear" w:pos="567"/>
              </w:tabs>
              <w:spacing w:before="40" w:after="20" w:line="240" w:lineRule="auto"/>
              <w:rPr>
                <w:szCs w:val="22"/>
                <w:lang w:eastAsia="de-DE"/>
              </w:rPr>
            </w:pPr>
            <w:r>
              <w:rPr>
                <w:szCs w:val="22"/>
                <w:lang w:eastAsia="de-DE"/>
              </w:rPr>
              <w:t>268</w:t>
            </w:r>
          </w:p>
        </w:tc>
        <w:tc>
          <w:tcPr>
            <w:tcW w:w="1654" w:type="dxa"/>
          </w:tcPr>
          <w:p w14:paraId="2F94C2D1" w14:textId="62183709" w:rsidR="005D776C" w:rsidRPr="00672F96" w:rsidRDefault="00F54B1E" w:rsidP="00672F96">
            <w:pPr>
              <w:keepNext/>
              <w:keepLines/>
              <w:tabs>
                <w:tab w:val="clear" w:pos="567"/>
              </w:tabs>
              <w:spacing w:before="40" w:after="20" w:line="240" w:lineRule="auto"/>
              <w:rPr>
                <w:szCs w:val="22"/>
                <w:lang w:eastAsia="de-DE"/>
              </w:rPr>
            </w:pPr>
            <w:r>
              <w:rPr>
                <w:szCs w:val="22"/>
                <w:lang w:eastAsia="de-DE"/>
              </w:rPr>
              <w:t>283</w:t>
            </w:r>
          </w:p>
        </w:tc>
        <w:tc>
          <w:tcPr>
            <w:tcW w:w="1654" w:type="dxa"/>
          </w:tcPr>
          <w:p w14:paraId="2F94C2D2" w14:textId="77777777" w:rsidR="005D776C" w:rsidRPr="00672F96" w:rsidRDefault="005D776C" w:rsidP="00672F96">
            <w:pPr>
              <w:keepNext/>
              <w:keepLines/>
              <w:tabs>
                <w:tab w:val="clear" w:pos="567"/>
              </w:tabs>
              <w:spacing w:before="40" w:after="20" w:line="240" w:lineRule="auto"/>
              <w:rPr>
                <w:szCs w:val="22"/>
                <w:lang w:eastAsia="de-DE"/>
              </w:rPr>
            </w:pPr>
          </w:p>
        </w:tc>
        <w:tc>
          <w:tcPr>
            <w:tcW w:w="1099" w:type="dxa"/>
          </w:tcPr>
          <w:p w14:paraId="2F94C2D3" w14:textId="77777777" w:rsidR="005D776C" w:rsidRPr="00672F96" w:rsidRDefault="005D776C" w:rsidP="00672F96">
            <w:pPr>
              <w:keepNext/>
              <w:keepLines/>
              <w:tabs>
                <w:tab w:val="clear" w:pos="567"/>
              </w:tabs>
              <w:spacing w:before="40" w:after="20" w:line="240" w:lineRule="auto"/>
              <w:rPr>
                <w:szCs w:val="22"/>
                <w:lang w:eastAsia="de-DE"/>
              </w:rPr>
            </w:pPr>
          </w:p>
        </w:tc>
      </w:tr>
      <w:tr w:rsidR="00937EA8" w14:paraId="2F94C2DA" w14:textId="77777777" w:rsidTr="005D776C">
        <w:tc>
          <w:tcPr>
            <w:tcW w:w="3119" w:type="dxa"/>
          </w:tcPr>
          <w:p w14:paraId="2F94C2D5" w14:textId="77777777" w:rsidR="005D776C" w:rsidRPr="00672F96" w:rsidRDefault="00522617" w:rsidP="00672F96">
            <w:pPr>
              <w:keepNext/>
              <w:keepLines/>
              <w:tabs>
                <w:tab w:val="clear" w:pos="567"/>
              </w:tabs>
              <w:spacing w:before="40" w:after="20" w:line="240" w:lineRule="auto"/>
              <w:rPr>
                <w:szCs w:val="22"/>
                <w:lang w:eastAsia="de-DE"/>
              </w:rPr>
            </w:pPr>
            <w:r w:rsidRPr="00672F96">
              <w:rPr>
                <w:szCs w:val="22"/>
                <w:lang w:eastAsia="de-DE"/>
              </w:rPr>
              <w:t xml:space="preserve">Overall </w:t>
            </w:r>
            <w:proofErr w:type="spellStart"/>
            <w:r w:rsidRPr="00672F96">
              <w:rPr>
                <w:szCs w:val="22"/>
                <w:lang w:eastAsia="de-DE"/>
              </w:rPr>
              <w:t>survival</w:t>
            </w:r>
            <w:r w:rsidRPr="00672F96">
              <w:rPr>
                <w:szCs w:val="22"/>
                <w:vertAlign w:val="superscript"/>
                <w:lang w:eastAsia="de-DE"/>
              </w:rPr>
              <w:t>a</w:t>
            </w:r>
            <w:proofErr w:type="spellEnd"/>
            <w:r w:rsidRPr="00672F96">
              <w:rPr>
                <w:szCs w:val="22"/>
                <w:lang w:eastAsia="de-DE"/>
              </w:rPr>
              <w:t>; % (95% CI)</w:t>
            </w:r>
          </w:p>
        </w:tc>
        <w:tc>
          <w:tcPr>
            <w:tcW w:w="1653" w:type="dxa"/>
          </w:tcPr>
          <w:p w14:paraId="2F94C2D6" w14:textId="56044CC1" w:rsidR="005D776C" w:rsidRPr="00672F96" w:rsidRDefault="00F54B1E" w:rsidP="00672F96">
            <w:pPr>
              <w:keepNext/>
              <w:keepLines/>
              <w:tabs>
                <w:tab w:val="clear" w:pos="567"/>
              </w:tabs>
              <w:spacing w:before="40" w:after="20" w:line="240" w:lineRule="auto"/>
              <w:rPr>
                <w:szCs w:val="22"/>
                <w:lang w:eastAsia="de-DE"/>
              </w:rPr>
            </w:pPr>
            <w:r w:rsidRPr="00051A26">
              <w:rPr>
                <w:szCs w:val="22"/>
              </w:rPr>
              <w:t>72.7 (66.8, 77.8)</w:t>
            </w:r>
          </w:p>
        </w:tc>
        <w:tc>
          <w:tcPr>
            <w:tcW w:w="1654" w:type="dxa"/>
          </w:tcPr>
          <w:p w14:paraId="2F94C2D7" w14:textId="7E0164F2" w:rsidR="005D776C" w:rsidRPr="00672F96" w:rsidRDefault="00F54B1E" w:rsidP="00672F96">
            <w:pPr>
              <w:keepNext/>
              <w:keepLines/>
              <w:tabs>
                <w:tab w:val="clear" w:pos="567"/>
              </w:tabs>
              <w:spacing w:before="40" w:after="20" w:line="240" w:lineRule="auto"/>
              <w:rPr>
                <w:szCs w:val="22"/>
                <w:lang w:eastAsia="de-DE"/>
              </w:rPr>
            </w:pPr>
            <w:r w:rsidRPr="00051A26">
              <w:rPr>
                <w:szCs w:val="22"/>
              </w:rPr>
              <w:t>60.2 (54.0, 65.8)</w:t>
            </w:r>
          </w:p>
        </w:tc>
        <w:tc>
          <w:tcPr>
            <w:tcW w:w="1654" w:type="dxa"/>
          </w:tcPr>
          <w:p w14:paraId="2F94C2D8" w14:textId="168A9A24" w:rsidR="005D776C" w:rsidRPr="00672F96" w:rsidRDefault="00F54B1E" w:rsidP="00672F96">
            <w:pPr>
              <w:keepNext/>
              <w:keepLines/>
              <w:tabs>
                <w:tab w:val="clear" w:pos="567"/>
              </w:tabs>
              <w:spacing w:before="40" w:after="20" w:line="240" w:lineRule="auto"/>
              <w:rPr>
                <w:szCs w:val="22"/>
                <w:lang w:eastAsia="de-DE"/>
              </w:rPr>
            </w:pPr>
            <w:r w:rsidRPr="00051A26">
              <w:rPr>
                <w:szCs w:val="22"/>
              </w:rPr>
              <w:t>0.64 (0.48, 0.87)</w:t>
            </w:r>
          </w:p>
        </w:tc>
        <w:tc>
          <w:tcPr>
            <w:tcW w:w="1099" w:type="dxa"/>
          </w:tcPr>
          <w:p w14:paraId="2F94C2D9" w14:textId="5E48253A" w:rsidR="005D776C" w:rsidRPr="00672F96" w:rsidRDefault="00F54B1E" w:rsidP="00672F96">
            <w:pPr>
              <w:keepNext/>
              <w:keepLines/>
              <w:tabs>
                <w:tab w:val="clear" w:pos="567"/>
              </w:tabs>
              <w:spacing w:before="40" w:after="20" w:line="240" w:lineRule="auto"/>
              <w:rPr>
                <w:szCs w:val="22"/>
                <w:lang w:eastAsia="de-DE"/>
              </w:rPr>
            </w:pPr>
            <w:r w:rsidRPr="00051A26">
              <w:rPr>
                <w:szCs w:val="22"/>
              </w:rPr>
              <w:t>0.0037</w:t>
            </w:r>
          </w:p>
        </w:tc>
      </w:tr>
      <w:tr w:rsidR="00937EA8" w14:paraId="2F94C2E0" w14:textId="77777777" w:rsidTr="005D776C">
        <w:tc>
          <w:tcPr>
            <w:tcW w:w="3119" w:type="dxa"/>
          </w:tcPr>
          <w:p w14:paraId="2F94C2DB" w14:textId="77777777" w:rsidR="005D776C" w:rsidRPr="00672F96" w:rsidRDefault="00522617" w:rsidP="00672F96">
            <w:pPr>
              <w:keepNext/>
              <w:keepLines/>
              <w:tabs>
                <w:tab w:val="clear" w:pos="567"/>
              </w:tabs>
              <w:spacing w:before="40" w:after="20" w:line="240" w:lineRule="auto"/>
              <w:rPr>
                <w:szCs w:val="22"/>
                <w:lang w:eastAsia="de-DE"/>
              </w:rPr>
            </w:pPr>
            <w:r w:rsidRPr="00672F96">
              <w:rPr>
                <w:szCs w:val="22"/>
                <w:lang w:eastAsia="de-DE"/>
              </w:rPr>
              <w:t>Cumulative incidence of relapse/progression; % (95% CI)</w:t>
            </w:r>
          </w:p>
        </w:tc>
        <w:tc>
          <w:tcPr>
            <w:tcW w:w="1653" w:type="dxa"/>
            <w:vAlign w:val="center"/>
          </w:tcPr>
          <w:p w14:paraId="2F94C2DC" w14:textId="10C90D39" w:rsidR="005D776C" w:rsidRPr="00672F96" w:rsidRDefault="00F54B1E" w:rsidP="00672F96">
            <w:pPr>
              <w:keepNext/>
              <w:keepLines/>
              <w:tabs>
                <w:tab w:val="clear" w:pos="567"/>
              </w:tabs>
              <w:spacing w:before="40" w:after="20" w:line="240" w:lineRule="auto"/>
              <w:rPr>
                <w:szCs w:val="22"/>
                <w:lang w:eastAsia="de-DE"/>
              </w:rPr>
            </w:pPr>
            <w:r w:rsidRPr="00051A26">
              <w:rPr>
                <w:szCs w:val="22"/>
              </w:rPr>
              <w:t>22.0 (16.9, 27.1)</w:t>
            </w:r>
          </w:p>
        </w:tc>
        <w:tc>
          <w:tcPr>
            <w:tcW w:w="1654" w:type="dxa"/>
            <w:vAlign w:val="center"/>
          </w:tcPr>
          <w:p w14:paraId="2F94C2DD" w14:textId="0C0CED72" w:rsidR="005D776C" w:rsidRPr="00672F96" w:rsidRDefault="00F54B1E" w:rsidP="00672F96">
            <w:pPr>
              <w:keepNext/>
              <w:keepLines/>
              <w:tabs>
                <w:tab w:val="clear" w:pos="567"/>
              </w:tabs>
              <w:spacing w:before="40" w:after="20" w:line="240" w:lineRule="auto"/>
              <w:rPr>
                <w:szCs w:val="22"/>
                <w:lang w:eastAsia="de-DE"/>
              </w:rPr>
            </w:pPr>
            <w:r w:rsidRPr="00051A26">
              <w:rPr>
                <w:szCs w:val="22"/>
              </w:rPr>
              <w:t>25.2 (20.0, 30.3)</w:t>
            </w:r>
          </w:p>
        </w:tc>
        <w:tc>
          <w:tcPr>
            <w:tcW w:w="1654" w:type="dxa"/>
            <w:vAlign w:val="center"/>
          </w:tcPr>
          <w:p w14:paraId="2F94C2DE" w14:textId="66FDE88E" w:rsidR="005D776C" w:rsidRPr="00672F96" w:rsidRDefault="00F54B1E" w:rsidP="00672F96">
            <w:pPr>
              <w:keepNext/>
              <w:keepLines/>
              <w:tabs>
                <w:tab w:val="clear" w:pos="567"/>
              </w:tabs>
              <w:spacing w:before="40" w:after="20" w:line="240" w:lineRule="auto"/>
              <w:rPr>
                <w:szCs w:val="22"/>
                <w:lang w:eastAsia="de-DE"/>
              </w:rPr>
            </w:pPr>
            <w:r w:rsidRPr="00051A26">
              <w:rPr>
                <w:szCs w:val="22"/>
              </w:rPr>
              <w:t>0.82 (0.59, 1.16)</w:t>
            </w:r>
          </w:p>
        </w:tc>
        <w:tc>
          <w:tcPr>
            <w:tcW w:w="1099" w:type="dxa"/>
            <w:vAlign w:val="center"/>
          </w:tcPr>
          <w:p w14:paraId="2F94C2DF" w14:textId="35CF8DFE" w:rsidR="005D776C" w:rsidRPr="00672F96" w:rsidRDefault="00F54B1E" w:rsidP="00672F96">
            <w:pPr>
              <w:keepNext/>
              <w:keepLines/>
              <w:tabs>
                <w:tab w:val="clear" w:pos="567"/>
              </w:tabs>
              <w:spacing w:before="40" w:after="20" w:line="240" w:lineRule="auto"/>
              <w:rPr>
                <w:szCs w:val="22"/>
                <w:lang w:eastAsia="de-DE"/>
              </w:rPr>
            </w:pPr>
            <w:r w:rsidRPr="00051A26">
              <w:rPr>
                <w:szCs w:val="22"/>
              </w:rPr>
              <w:t>0.2631</w:t>
            </w:r>
          </w:p>
        </w:tc>
      </w:tr>
      <w:tr w:rsidR="00937EA8" w14:paraId="2F94C2E6" w14:textId="77777777" w:rsidTr="005D776C">
        <w:tc>
          <w:tcPr>
            <w:tcW w:w="3119" w:type="dxa"/>
          </w:tcPr>
          <w:p w14:paraId="2F94C2E1" w14:textId="77777777" w:rsidR="005D776C" w:rsidRPr="00672F96" w:rsidRDefault="00522617" w:rsidP="00672F96">
            <w:pPr>
              <w:keepNext/>
              <w:keepLines/>
              <w:tabs>
                <w:tab w:val="clear" w:pos="567"/>
              </w:tabs>
              <w:spacing w:before="40" w:after="20" w:line="240" w:lineRule="auto"/>
              <w:rPr>
                <w:szCs w:val="22"/>
                <w:lang w:eastAsia="de-DE"/>
              </w:rPr>
            </w:pPr>
            <w:r w:rsidRPr="00672F96">
              <w:rPr>
                <w:szCs w:val="22"/>
                <w:lang w:eastAsia="de-DE"/>
              </w:rPr>
              <w:t>Cumulative incidence of transplant-related mortality; % (95% CI)</w:t>
            </w:r>
          </w:p>
        </w:tc>
        <w:tc>
          <w:tcPr>
            <w:tcW w:w="1653" w:type="dxa"/>
            <w:vAlign w:val="center"/>
          </w:tcPr>
          <w:p w14:paraId="2F94C2E2" w14:textId="76870D28" w:rsidR="005D776C" w:rsidRPr="00672F96" w:rsidRDefault="00F54B1E" w:rsidP="00672F96">
            <w:pPr>
              <w:keepNext/>
              <w:keepLines/>
              <w:tabs>
                <w:tab w:val="clear" w:pos="567"/>
              </w:tabs>
              <w:spacing w:before="40" w:after="20" w:line="240" w:lineRule="auto"/>
              <w:rPr>
                <w:szCs w:val="22"/>
                <w:lang w:eastAsia="de-DE"/>
              </w:rPr>
            </w:pPr>
            <w:r w:rsidRPr="00051A26">
              <w:rPr>
                <w:szCs w:val="22"/>
              </w:rPr>
              <w:t>12.8 (9.2, 17.7)</w:t>
            </w:r>
          </w:p>
        </w:tc>
        <w:tc>
          <w:tcPr>
            <w:tcW w:w="1654" w:type="dxa"/>
            <w:vAlign w:val="center"/>
          </w:tcPr>
          <w:p w14:paraId="2F94C2E3" w14:textId="3610A71A" w:rsidR="005D776C" w:rsidRPr="00672F96" w:rsidRDefault="00F54B1E" w:rsidP="00672F96">
            <w:pPr>
              <w:keepNext/>
              <w:keepLines/>
              <w:tabs>
                <w:tab w:val="clear" w:pos="567"/>
              </w:tabs>
              <w:spacing w:before="40" w:after="20" w:line="240" w:lineRule="auto"/>
              <w:rPr>
                <w:szCs w:val="22"/>
                <w:lang w:eastAsia="de-DE"/>
              </w:rPr>
            </w:pPr>
            <w:r w:rsidRPr="00051A26">
              <w:rPr>
                <w:szCs w:val="22"/>
              </w:rPr>
              <w:t>24.1 (19.1, 30.2)</w:t>
            </w:r>
          </w:p>
        </w:tc>
        <w:tc>
          <w:tcPr>
            <w:tcW w:w="1654" w:type="dxa"/>
            <w:vAlign w:val="center"/>
          </w:tcPr>
          <w:p w14:paraId="2F94C2E4" w14:textId="37E755C1" w:rsidR="005D776C" w:rsidRPr="00672F96" w:rsidRDefault="00F54B1E" w:rsidP="00672F96">
            <w:pPr>
              <w:keepNext/>
              <w:keepLines/>
              <w:tabs>
                <w:tab w:val="clear" w:pos="567"/>
              </w:tabs>
              <w:spacing w:before="40" w:after="20" w:line="240" w:lineRule="auto"/>
              <w:rPr>
                <w:szCs w:val="22"/>
                <w:lang w:eastAsia="de-DE"/>
              </w:rPr>
            </w:pPr>
            <w:r w:rsidRPr="00051A26">
              <w:rPr>
                <w:szCs w:val="22"/>
              </w:rPr>
              <w:t>0.52 (0.34, 0.82)</w:t>
            </w:r>
          </w:p>
        </w:tc>
        <w:tc>
          <w:tcPr>
            <w:tcW w:w="1099" w:type="dxa"/>
            <w:vAlign w:val="center"/>
          </w:tcPr>
          <w:p w14:paraId="2F94C2E5" w14:textId="40D1A7A0" w:rsidR="005D776C" w:rsidRPr="00672F96" w:rsidRDefault="00F54B1E" w:rsidP="00672F96">
            <w:pPr>
              <w:keepNext/>
              <w:keepLines/>
              <w:tabs>
                <w:tab w:val="clear" w:pos="567"/>
              </w:tabs>
              <w:spacing w:before="40" w:after="20" w:line="240" w:lineRule="auto"/>
              <w:rPr>
                <w:szCs w:val="22"/>
                <w:lang w:eastAsia="de-DE"/>
              </w:rPr>
            </w:pPr>
            <w:r w:rsidRPr="00051A26">
              <w:rPr>
                <w:szCs w:val="22"/>
              </w:rPr>
              <w:t>0.0043</w:t>
            </w:r>
          </w:p>
        </w:tc>
      </w:tr>
      <w:tr w:rsidR="00937EA8" w14:paraId="2F94C2E8" w14:textId="77777777" w:rsidTr="00F52018">
        <w:tc>
          <w:tcPr>
            <w:tcW w:w="9179" w:type="dxa"/>
            <w:gridSpan w:val="5"/>
          </w:tcPr>
          <w:p w14:paraId="2F94C2E7" w14:textId="77777777" w:rsidR="005D776C" w:rsidRPr="00672F96" w:rsidRDefault="00522617" w:rsidP="00672F96">
            <w:pPr>
              <w:keepNext/>
              <w:keepLines/>
              <w:tabs>
                <w:tab w:val="clear" w:pos="567"/>
              </w:tabs>
              <w:spacing w:before="40" w:after="20" w:line="240" w:lineRule="auto"/>
              <w:rPr>
                <w:szCs w:val="22"/>
                <w:lang w:eastAsia="de-DE"/>
              </w:rPr>
            </w:pPr>
            <w:r w:rsidRPr="00672F96">
              <w:rPr>
                <w:i/>
                <w:szCs w:val="22"/>
                <w:vertAlign w:val="superscript"/>
                <w:lang w:eastAsia="de-DE"/>
              </w:rPr>
              <w:t>a</w:t>
            </w:r>
            <w:r w:rsidRPr="00672F96">
              <w:rPr>
                <w:i/>
                <w:szCs w:val="22"/>
                <w:lang w:eastAsia="de-DE"/>
              </w:rPr>
              <w:t xml:space="preserve"> </w:t>
            </w:r>
            <w:proofErr w:type="gramStart"/>
            <w:r w:rsidRPr="00672F96">
              <w:rPr>
                <w:i/>
                <w:szCs w:val="22"/>
                <w:lang w:eastAsia="de-DE"/>
              </w:rPr>
              <w:t>Based on</w:t>
            </w:r>
            <w:proofErr w:type="gramEnd"/>
            <w:r w:rsidRPr="00672F96">
              <w:rPr>
                <w:i/>
                <w:szCs w:val="22"/>
                <w:lang w:eastAsia="de-DE"/>
              </w:rPr>
              <w:t xml:space="preserve"> Kaplan-Meier estimates; </w:t>
            </w:r>
            <w:r w:rsidRPr="00672F96">
              <w:rPr>
                <w:i/>
                <w:szCs w:val="22"/>
                <w:vertAlign w:val="superscript"/>
                <w:lang w:eastAsia="de-DE"/>
              </w:rPr>
              <w:t>b</w:t>
            </w:r>
            <w:r w:rsidRPr="00672F96">
              <w:rPr>
                <w:i/>
                <w:szCs w:val="22"/>
                <w:lang w:eastAsia="de-DE"/>
              </w:rPr>
              <w:t xml:space="preserve"> </w:t>
            </w:r>
            <w:r w:rsidR="00B71F13" w:rsidRPr="00672F96">
              <w:rPr>
                <w:i/>
                <w:szCs w:val="22"/>
                <w:lang w:eastAsia="de-DE"/>
              </w:rPr>
              <w:t>a</w:t>
            </w:r>
            <w:r w:rsidRPr="00672F96">
              <w:rPr>
                <w:i/>
                <w:szCs w:val="22"/>
                <w:lang w:eastAsia="de-DE"/>
              </w:rPr>
              <w:t xml:space="preserve">djusted for donor type, risk group and centre using Cox regression model </w:t>
            </w:r>
          </w:p>
        </w:tc>
      </w:tr>
    </w:tbl>
    <w:p w14:paraId="2F94C2E9" w14:textId="77777777" w:rsidR="005D776C" w:rsidRPr="00672F96" w:rsidRDefault="005D776C" w:rsidP="00672F96">
      <w:pPr>
        <w:keepNext/>
        <w:keepLines/>
        <w:spacing w:line="240" w:lineRule="auto"/>
        <w:rPr>
          <w:szCs w:val="22"/>
        </w:rPr>
      </w:pPr>
    </w:p>
    <w:p w14:paraId="2F94C2EA" w14:textId="77777777" w:rsidR="005D776C" w:rsidRPr="00672F96" w:rsidRDefault="00522617" w:rsidP="00672F96">
      <w:pPr>
        <w:keepLines/>
        <w:spacing w:line="240" w:lineRule="auto"/>
        <w:rPr>
          <w:szCs w:val="22"/>
        </w:rPr>
      </w:pPr>
      <w:r w:rsidRPr="00672F96">
        <w:rPr>
          <w:szCs w:val="22"/>
        </w:rPr>
        <w:t xml:space="preserve">Results </w:t>
      </w:r>
      <w:r w:rsidRPr="003F323C">
        <w:rPr>
          <w:szCs w:val="22"/>
        </w:rPr>
        <w:t>of GvHD</w:t>
      </w:r>
      <w:r w:rsidRPr="00672F96">
        <w:rPr>
          <w:szCs w:val="22"/>
        </w:rPr>
        <w:t xml:space="preserve"> are shown in Table</w:t>
      </w:r>
      <w:r w:rsidR="00B71F13" w:rsidRPr="00672F96">
        <w:rPr>
          <w:szCs w:val="22"/>
        </w:rPr>
        <w:t> </w:t>
      </w:r>
      <w:r w:rsidRPr="00672F96">
        <w:rPr>
          <w:szCs w:val="22"/>
        </w:rPr>
        <w:t>2.</w:t>
      </w:r>
    </w:p>
    <w:p w14:paraId="2F94C2EB" w14:textId="77777777" w:rsidR="00B71F13" w:rsidRPr="00672F96" w:rsidRDefault="00B71F13" w:rsidP="00672F96">
      <w:pPr>
        <w:keepLines/>
        <w:spacing w:line="240" w:lineRule="auto"/>
        <w:rPr>
          <w:szCs w:val="22"/>
        </w:rPr>
      </w:pPr>
    </w:p>
    <w:p w14:paraId="35CEDC8A" w14:textId="77777777" w:rsidR="00F87F4E" w:rsidRDefault="00F87F4E" w:rsidP="00672F96">
      <w:pPr>
        <w:keepLines/>
        <w:spacing w:line="240" w:lineRule="auto"/>
        <w:rPr>
          <w:i/>
          <w:szCs w:val="22"/>
        </w:rPr>
      </w:pPr>
    </w:p>
    <w:p w14:paraId="2F94C2EC" w14:textId="374A3B39" w:rsidR="005D776C" w:rsidRPr="00672F96" w:rsidRDefault="00522617" w:rsidP="00672F96">
      <w:pPr>
        <w:keepLines/>
        <w:spacing w:line="240" w:lineRule="auto"/>
        <w:rPr>
          <w:i/>
          <w:szCs w:val="22"/>
        </w:rPr>
      </w:pPr>
      <w:r w:rsidRPr="00672F96">
        <w:rPr>
          <w:i/>
          <w:szCs w:val="22"/>
        </w:rPr>
        <w:lastRenderedPageBreak/>
        <w:t>Table</w:t>
      </w:r>
      <w:r w:rsidR="00B71F13" w:rsidRPr="00672F96">
        <w:rPr>
          <w:i/>
          <w:szCs w:val="22"/>
        </w:rPr>
        <w:t> </w:t>
      </w:r>
      <w:r w:rsidRPr="00672F96">
        <w:rPr>
          <w:i/>
          <w:szCs w:val="22"/>
        </w:rPr>
        <w:t>2: Cumulative incidence of GvHD</w:t>
      </w:r>
      <w:r w:rsidR="00F65C9B" w:rsidRPr="00672F96">
        <w:rPr>
          <w:i/>
          <w:szCs w:val="22"/>
        </w:rPr>
        <w:t xml:space="preserve"> (Full analysis set)</w:t>
      </w:r>
    </w:p>
    <w:tbl>
      <w:tblPr>
        <w:tblStyle w:val="TableGrid"/>
        <w:tblW w:w="0" w:type="auto"/>
        <w:tblInd w:w="108" w:type="dxa"/>
        <w:tblLook w:val="04A0" w:firstRow="1" w:lastRow="0" w:firstColumn="1" w:lastColumn="0" w:noHBand="0" w:noVBand="1"/>
      </w:tblPr>
      <w:tblGrid>
        <w:gridCol w:w="3582"/>
        <w:gridCol w:w="1812"/>
        <w:gridCol w:w="1793"/>
        <w:gridCol w:w="1768"/>
      </w:tblGrid>
      <w:tr w:rsidR="00937EA8" w14:paraId="2F94C2F1" w14:textId="77777777" w:rsidTr="004F43AA">
        <w:tc>
          <w:tcPr>
            <w:tcW w:w="3692" w:type="dxa"/>
          </w:tcPr>
          <w:p w14:paraId="2F94C2ED" w14:textId="77777777" w:rsidR="005D776C" w:rsidRPr="00672F96" w:rsidRDefault="00522617" w:rsidP="00672F96">
            <w:pPr>
              <w:keepLines/>
              <w:rPr>
                <w:b/>
                <w:szCs w:val="22"/>
              </w:rPr>
            </w:pPr>
            <w:r w:rsidRPr="00672F96">
              <w:rPr>
                <w:b/>
                <w:szCs w:val="22"/>
              </w:rPr>
              <w:t>Parameter</w:t>
            </w:r>
          </w:p>
        </w:tc>
        <w:tc>
          <w:tcPr>
            <w:tcW w:w="1841" w:type="dxa"/>
          </w:tcPr>
          <w:p w14:paraId="2F94C2EE" w14:textId="77777777" w:rsidR="005D776C" w:rsidRPr="00672F96" w:rsidRDefault="00522617" w:rsidP="00672F96">
            <w:pPr>
              <w:keepLines/>
              <w:rPr>
                <w:b/>
                <w:szCs w:val="22"/>
              </w:rPr>
            </w:pPr>
            <w:proofErr w:type="spellStart"/>
            <w:r w:rsidRPr="00672F96">
              <w:rPr>
                <w:b/>
                <w:szCs w:val="22"/>
              </w:rPr>
              <w:t>Treosulfan</w:t>
            </w:r>
            <w:proofErr w:type="spellEnd"/>
          </w:p>
        </w:tc>
        <w:tc>
          <w:tcPr>
            <w:tcW w:w="1831" w:type="dxa"/>
          </w:tcPr>
          <w:p w14:paraId="2F94C2EF" w14:textId="77777777" w:rsidR="005D776C" w:rsidRPr="00672F96" w:rsidRDefault="00522617" w:rsidP="00672F96">
            <w:pPr>
              <w:keepLines/>
              <w:rPr>
                <w:b/>
                <w:szCs w:val="22"/>
              </w:rPr>
            </w:pPr>
            <w:r w:rsidRPr="00672F96">
              <w:rPr>
                <w:b/>
                <w:szCs w:val="22"/>
              </w:rPr>
              <w:t>Busulfan</w:t>
            </w:r>
          </w:p>
        </w:tc>
        <w:tc>
          <w:tcPr>
            <w:tcW w:w="1817" w:type="dxa"/>
          </w:tcPr>
          <w:p w14:paraId="2F94C2F0" w14:textId="77777777" w:rsidR="005D776C" w:rsidRPr="00672F96" w:rsidRDefault="00522617" w:rsidP="00672F96">
            <w:pPr>
              <w:keepLines/>
              <w:rPr>
                <w:b/>
                <w:szCs w:val="22"/>
              </w:rPr>
            </w:pPr>
            <w:r w:rsidRPr="00672F96">
              <w:rPr>
                <w:b/>
                <w:szCs w:val="22"/>
              </w:rPr>
              <w:t>P value</w:t>
            </w:r>
          </w:p>
        </w:tc>
      </w:tr>
      <w:tr w:rsidR="00937EA8" w14:paraId="2F94C2F6" w14:textId="77777777" w:rsidTr="004F43AA">
        <w:tc>
          <w:tcPr>
            <w:tcW w:w="3692" w:type="dxa"/>
          </w:tcPr>
          <w:p w14:paraId="2F94C2F2" w14:textId="77777777" w:rsidR="005D776C" w:rsidRPr="00672F96" w:rsidRDefault="00522617" w:rsidP="00672F96">
            <w:pPr>
              <w:keepLines/>
              <w:rPr>
                <w:szCs w:val="22"/>
              </w:rPr>
            </w:pPr>
            <w:r w:rsidRPr="00672F96">
              <w:rPr>
                <w:szCs w:val="22"/>
              </w:rPr>
              <w:t>Number of patients</w:t>
            </w:r>
          </w:p>
        </w:tc>
        <w:tc>
          <w:tcPr>
            <w:tcW w:w="1841" w:type="dxa"/>
          </w:tcPr>
          <w:p w14:paraId="2F94C2F3" w14:textId="46188F26" w:rsidR="005D776C" w:rsidRPr="00672F96" w:rsidRDefault="00F54B1E" w:rsidP="00672F96">
            <w:pPr>
              <w:keepLines/>
              <w:rPr>
                <w:szCs w:val="22"/>
              </w:rPr>
            </w:pPr>
            <w:r>
              <w:rPr>
                <w:szCs w:val="22"/>
              </w:rPr>
              <w:t>268</w:t>
            </w:r>
          </w:p>
        </w:tc>
        <w:tc>
          <w:tcPr>
            <w:tcW w:w="1831" w:type="dxa"/>
          </w:tcPr>
          <w:p w14:paraId="2F94C2F4" w14:textId="37387F78" w:rsidR="005D776C" w:rsidRPr="00672F96" w:rsidRDefault="00F54B1E" w:rsidP="00672F96">
            <w:pPr>
              <w:keepLines/>
              <w:rPr>
                <w:szCs w:val="22"/>
              </w:rPr>
            </w:pPr>
            <w:r>
              <w:rPr>
                <w:szCs w:val="22"/>
              </w:rPr>
              <w:t>283</w:t>
            </w:r>
          </w:p>
        </w:tc>
        <w:tc>
          <w:tcPr>
            <w:tcW w:w="1817" w:type="dxa"/>
          </w:tcPr>
          <w:p w14:paraId="2F94C2F5" w14:textId="77777777" w:rsidR="005D776C" w:rsidRPr="00672F96" w:rsidRDefault="005D776C" w:rsidP="00672F96">
            <w:pPr>
              <w:keepLines/>
              <w:rPr>
                <w:szCs w:val="22"/>
              </w:rPr>
            </w:pPr>
          </w:p>
        </w:tc>
      </w:tr>
      <w:tr w:rsidR="00937EA8" w14:paraId="2F94C2FB" w14:textId="77777777" w:rsidTr="004F43AA">
        <w:tc>
          <w:tcPr>
            <w:tcW w:w="3692" w:type="dxa"/>
          </w:tcPr>
          <w:p w14:paraId="2F94C2F7" w14:textId="77777777" w:rsidR="005D776C" w:rsidRPr="00672F96" w:rsidRDefault="00522617" w:rsidP="00672F96">
            <w:pPr>
              <w:keepLines/>
              <w:rPr>
                <w:szCs w:val="22"/>
              </w:rPr>
            </w:pPr>
            <w:r w:rsidRPr="00672F96">
              <w:rPr>
                <w:szCs w:val="22"/>
              </w:rPr>
              <w:t>Acute GvHD, all Grades; % (95% CI)</w:t>
            </w:r>
          </w:p>
        </w:tc>
        <w:tc>
          <w:tcPr>
            <w:tcW w:w="1841" w:type="dxa"/>
          </w:tcPr>
          <w:p w14:paraId="2F94C2F8" w14:textId="0D7EF032" w:rsidR="005D776C" w:rsidRPr="00672F96" w:rsidRDefault="000115C2" w:rsidP="00672F96">
            <w:pPr>
              <w:keepLines/>
              <w:rPr>
                <w:szCs w:val="22"/>
              </w:rPr>
            </w:pPr>
            <w:r w:rsidRPr="00817D17">
              <w:rPr>
                <w:szCs w:val="22"/>
              </w:rPr>
              <w:t>52.8 (46.8, 58.8)</w:t>
            </w:r>
          </w:p>
        </w:tc>
        <w:tc>
          <w:tcPr>
            <w:tcW w:w="1831" w:type="dxa"/>
          </w:tcPr>
          <w:p w14:paraId="2F94C2F9" w14:textId="59D15A38" w:rsidR="005D776C" w:rsidRPr="00672F96" w:rsidRDefault="000115C2" w:rsidP="00672F96">
            <w:pPr>
              <w:keepLines/>
              <w:rPr>
                <w:szCs w:val="22"/>
              </w:rPr>
            </w:pPr>
            <w:r w:rsidRPr="00817D17">
              <w:rPr>
                <w:szCs w:val="22"/>
              </w:rPr>
              <w:t>57.2 (51.5, 63.0)</w:t>
            </w:r>
          </w:p>
        </w:tc>
        <w:tc>
          <w:tcPr>
            <w:tcW w:w="1817" w:type="dxa"/>
          </w:tcPr>
          <w:p w14:paraId="2F94C2FA" w14:textId="4F7F0F0D" w:rsidR="005D776C" w:rsidRPr="00672F96" w:rsidRDefault="000115C2" w:rsidP="00672F96">
            <w:pPr>
              <w:keepLines/>
              <w:rPr>
                <w:szCs w:val="22"/>
              </w:rPr>
            </w:pPr>
            <w:r w:rsidRPr="00817D17">
              <w:rPr>
                <w:szCs w:val="22"/>
              </w:rPr>
              <w:t>0.2038</w:t>
            </w:r>
          </w:p>
        </w:tc>
      </w:tr>
      <w:tr w:rsidR="00937EA8" w14:paraId="2F94C300" w14:textId="77777777" w:rsidTr="004F43AA">
        <w:tc>
          <w:tcPr>
            <w:tcW w:w="3692" w:type="dxa"/>
          </w:tcPr>
          <w:p w14:paraId="2F94C2FC" w14:textId="77777777" w:rsidR="005D776C" w:rsidRPr="00672F96" w:rsidRDefault="00522617" w:rsidP="00672F96">
            <w:pPr>
              <w:keepLines/>
              <w:rPr>
                <w:szCs w:val="22"/>
                <w:lang w:val="fr-FR"/>
              </w:rPr>
            </w:pPr>
            <w:r w:rsidRPr="00672F96">
              <w:rPr>
                <w:szCs w:val="22"/>
                <w:lang w:val="fr-FR"/>
              </w:rPr>
              <w:t xml:space="preserve">Acute </w:t>
            </w:r>
            <w:proofErr w:type="spellStart"/>
            <w:r w:rsidRPr="00672F96">
              <w:rPr>
                <w:szCs w:val="22"/>
                <w:lang w:val="fr-FR"/>
              </w:rPr>
              <w:t>GvHD</w:t>
            </w:r>
            <w:proofErr w:type="spellEnd"/>
            <w:r w:rsidRPr="00672F96">
              <w:rPr>
                <w:szCs w:val="22"/>
                <w:lang w:val="fr-FR"/>
              </w:rPr>
              <w:t>, Grades</w:t>
            </w:r>
            <w:r w:rsidR="00B71F13" w:rsidRPr="00672F96">
              <w:rPr>
                <w:szCs w:val="22"/>
                <w:lang w:val="fr-FR"/>
              </w:rPr>
              <w:t> </w:t>
            </w:r>
            <w:r w:rsidRPr="00672F96">
              <w:rPr>
                <w:szCs w:val="22"/>
                <w:lang w:val="fr-FR"/>
              </w:rPr>
              <w:t>III/</w:t>
            </w:r>
            <w:proofErr w:type="gramStart"/>
            <w:r w:rsidRPr="00672F96">
              <w:rPr>
                <w:szCs w:val="22"/>
                <w:lang w:val="fr-FR"/>
              </w:rPr>
              <w:t>IV;</w:t>
            </w:r>
            <w:proofErr w:type="gramEnd"/>
            <w:r w:rsidRPr="00672F96">
              <w:rPr>
                <w:szCs w:val="22"/>
                <w:lang w:val="fr-FR"/>
              </w:rPr>
              <w:t xml:space="preserve"> % (95% CI)</w:t>
            </w:r>
          </w:p>
        </w:tc>
        <w:tc>
          <w:tcPr>
            <w:tcW w:w="1841" w:type="dxa"/>
            <w:vAlign w:val="center"/>
          </w:tcPr>
          <w:p w14:paraId="2F94C2FD" w14:textId="58715776" w:rsidR="005D776C" w:rsidRPr="00672F96" w:rsidRDefault="00522617" w:rsidP="00672F96">
            <w:pPr>
              <w:keepLines/>
              <w:rPr>
                <w:szCs w:val="22"/>
              </w:rPr>
            </w:pPr>
            <w:r w:rsidRPr="00672F96">
              <w:rPr>
                <w:szCs w:val="22"/>
              </w:rPr>
              <w:t xml:space="preserve">6.4 </w:t>
            </w:r>
            <w:r w:rsidR="000115C2" w:rsidRPr="00817D17">
              <w:rPr>
                <w:szCs w:val="22"/>
              </w:rPr>
              <w:t>(3.4, 9.3)</w:t>
            </w:r>
          </w:p>
        </w:tc>
        <w:tc>
          <w:tcPr>
            <w:tcW w:w="1831" w:type="dxa"/>
            <w:vAlign w:val="center"/>
          </w:tcPr>
          <w:p w14:paraId="2F94C2FE" w14:textId="0F353FBC" w:rsidR="005D776C" w:rsidRPr="00672F96" w:rsidRDefault="000115C2" w:rsidP="00672F96">
            <w:pPr>
              <w:keepLines/>
              <w:rPr>
                <w:szCs w:val="22"/>
              </w:rPr>
            </w:pPr>
            <w:r w:rsidRPr="00817D17">
              <w:rPr>
                <w:szCs w:val="22"/>
              </w:rPr>
              <w:t>8.1 (4.9, 11.3)</w:t>
            </w:r>
          </w:p>
        </w:tc>
        <w:tc>
          <w:tcPr>
            <w:tcW w:w="1817" w:type="dxa"/>
            <w:vAlign w:val="center"/>
          </w:tcPr>
          <w:p w14:paraId="2F94C2FF" w14:textId="08DAB810" w:rsidR="005D776C" w:rsidRPr="00672F96" w:rsidRDefault="000115C2" w:rsidP="00672F96">
            <w:pPr>
              <w:keepLines/>
              <w:rPr>
                <w:szCs w:val="22"/>
              </w:rPr>
            </w:pPr>
            <w:r w:rsidRPr="00817D17">
              <w:rPr>
                <w:szCs w:val="22"/>
              </w:rPr>
              <w:t>0.4267</w:t>
            </w:r>
          </w:p>
        </w:tc>
      </w:tr>
      <w:tr w:rsidR="00937EA8" w14:paraId="2F94C305" w14:textId="77777777" w:rsidTr="004F43AA">
        <w:tc>
          <w:tcPr>
            <w:tcW w:w="3692" w:type="dxa"/>
          </w:tcPr>
          <w:p w14:paraId="2F94C301" w14:textId="77777777" w:rsidR="005D776C" w:rsidRPr="00672F96" w:rsidRDefault="00522617" w:rsidP="00672F96">
            <w:pPr>
              <w:keepLines/>
              <w:rPr>
                <w:szCs w:val="22"/>
              </w:rPr>
            </w:pPr>
            <w:r w:rsidRPr="00672F96">
              <w:rPr>
                <w:szCs w:val="22"/>
              </w:rPr>
              <w:t xml:space="preserve">Chronic </w:t>
            </w:r>
            <w:proofErr w:type="spellStart"/>
            <w:r w:rsidRPr="00672F96">
              <w:rPr>
                <w:szCs w:val="22"/>
              </w:rPr>
              <w:t>GvHD</w:t>
            </w:r>
            <w:r w:rsidRPr="00672F96">
              <w:rPr>
                <w:szCs w:val="22"/>
                <w:vertAlign w:val="superscript"/>
              </w:rPr>
              <w:t>a</w:t>
            </w:r>
            <w:proofErr w:type="spellEnd"/>
            <w:r w:rsidRPr="00672F96">
              <w:rPr>
                <w:szCs w:val="22"/>
              </w:rPr>
              <w:t>; % (95% CI)</w:t>
            </w:r>
          </w:p>
        </w:tc>
        <w:tc>
          <w:tcPr>
            <w:tcW w:w="1841" w:type="dxa"/>
            <w:vAlign w:val="center"/>
          </w:tcPr>
          <w:p w14:paraId="2F94C302" w14:textId="49D3EA18" w:rsidR="005D776C" w:rsidRPr="00672F96" w:rsidRDefault="000115C2" w:rsidP="00672F96">
            <w:pPr>
              <w:keepLines/>
              <w:rPr>
                <w:szCs w:val="22"/>
              </w:rPr>
            </w:pPr>
            <w:r w:rsidRPr="00817D17">
              <w:rPr>
                <w:szCs w:val="22"/>
              </w:rPr>
              <w:t>61.7 (55.1, 68.3)</w:t>
            </w:r>
          </w:p>
        </w:tc>
        <w:tc>
          <w:tcPr>
            <w:tcW w:w="1831" w:type="dxa"/>
            <w:vAlign w:val="center"/>
          </w:tcPr>
          <w:p w14:paraId="2F94C303" w14:textId="61C881F8" w:rsidR="005D776C" w:rsidRPr="00672F96" w:rsidRDefault="000115C2" w:rsidP="00672F96">
            <w:pPr>
              <w:keepLines/>
              <w:rPr>
                <w:szCs w:val="22"/>
              </w:rPr>
            </w:pPr>
            <w:r w:rsidRPr="00817D17">
              <w:rPr>
                <w:szCs w:val="22"/>
              </w:rPr>
              <w:t>60.3 (53.8, 66.7)</w:t>
            </w:r>
          </w:p>
        </w:tc>
        <w:tc>
          <w:tcPr>
            <w:tcW w:w="1817" w:type="dxa"/>
            <w:vAlign w:val="center"/>
          </w:tcPr>
          <w:p w14:paraId="2F94C304" w14:textId="642EEC78" w:rsidR="005D776C" w:rsidRPr="00672F96" w:rsidRDefault="000115C2" w:rsidP="00672F96">
            <w:pPr>
              <w:keepLines/>
              <w:rPr>
                <w:szCs w:val="22"/>
              </w:rPr>
            </w:pPr>
            <w:r w:rsidRPr="00817D17">
              <w:rPr>
                <w:szCs w:val="22"/>
              </w:rPr>
              <w:t>0.9964</w:t>
            </w:r>
          </w:p>
        </w:tc>
      </w:tr>
      <w:tr w:rsidR="00937EA8" w14:paraId="2F94C30A" w14:textId="77777777" w:rsidTr="004F43AA">
        <w:tc>
          <w:tcPr>
            <w:tcW w:w="3692" w:type="dxa"/>
          </w:tcPr>
          <w:p w14:paraId="2F94C306" w14:textId="77777777" w:rsidR="005D776C" w:rsidRPr="00672F96" w:rsidRDefault="00522617" w:rsidP="00672F96">
            <w:pPr>
              <w:keepLines/>
              <w:rPr>
                <w:szCs w:val="22"/>
              </w:rPr>
            </w:pPr>
            <w:r w:rsidRPr="00672F96">
              <w:rPr>
                <w:szCs w:val="22"/>
              </w:rPr>
              <w:t xml:space="preserve">Extensive chronic </w:t>
            </w:r>
            <w:proofErr w:type="spellStart"/>
            <w:r w:rsidRPr="00672F96">
              <w:rPr>
                <w:szCs w:val="22"/>
              </w:rPr>
              <w:t>GvHD</w:t>
            </w:r>
            <w:r w:rsidRPr="00672F96">
              <w:rPr>
                <w:szCs w:val="22"/>
                <w:vertAlign w:val="superscript"/>
              </w:rPr>
              <w:t>a</w:t>
            </w:r>
            <w:proofErr w:type="spellEnd"/>
            <w:r w:rsidRPr="00672F96">
              <w:rPr>
                <w:szCs w:val="22"/>
              </w:rPr>
              <w:t>; % (95% CI)</w:t>
            </w:r>
          </w:p>
        </w:tc>
        <w:tc>
          <w:tcPr>
            <w:tcW w:w="1841" w:type="dxa"/>
            <w:vAlign w:val="center"/>
          </w:tcPr>
          <w:p w14:paraId="2F94C307" w14:textId="7732AE94" w:rsidR="005D776C" w:rsidRPr="00672F96" w:rsidRDefault="000115C2" w:rsidP="00672F96">
            <w:pPr>
              <w:keepLines/>
              <w:rPr>
                <w:szCs w:val="22"/>
              </w:rPr>
            </w:pPr>
            <w:r w:rsidRPr="00817D17">
              <w:rPr>
                <w:szCs w:val="22"/>
              </w:rPr>
              <w:t>19.8 (14.5, 25.1)</w:t>
            </w:r>
          </w:p>
        </w:tc>
        <w:tc>
          <w:tcPr>
            <w:tcW w:w="1831" w:type="dxa"/>
            <w:vAlign w:val="center"/>
          </w:tcPr>
          <w:p w14:paraId="2F94C308" w14:textId="6E604EB0" w:rsidR="005D776C" w:rsidRPr="00672F96" w:rsidRDefault="000115C2" w:rsidP="00672F96">
            <w:pPr>
              <w:keepLines/>
              <w:rPr>
                <w:szCs w:val="22"/>
              </w:rPr>
            </w:pPr>
            <w:r w:rsidRPr="00817D17">
              <w:rPr>
                <w:szCs w:val="22"/>
              </w:rPr>
              <w:t>28.6 (22.5, 34.7)</w:t>
            </w:r>
          </w:p>
        </w:tc>
        <w:tc>
          <w:tcPr>
            <w:tcW w:w="1817" w:type="dxa"/>
            <w:vAlign w:val="center"/>
          </w:tcPr>
          <w:p w14:paraId="2F94C309" w14:textId="7FB79791" w:rsidR="005D776C" w:rsidRPr="00672F96" w:rsidRDefault="000115C2" w:rsidP="00672F96">
            <w:pPr>
              <w:keepLines/>
              <w:rPr>
                <w:szCs w:val="22"/>
              </w:rPr>
            </w:pPr>
            <w:r w:rsidRPr="00817D17">
              <w:rPr>
                <w:szCs w:val="22"/>
              </w:rPr>
              <w:t>0.0750</w:t>
            </w:r>
          </w:p>
        </w:tc>
      </w:tr>
      <w:tr w:rsidR="00937EA8" w14:paraId="2F94C30C" w14:textId="77777777" w:rsidTr="004F43AA">
        <w:tc>
          <w:tcPr>
            <w:tcW w:w="9181" w:type="dxa"/>
            <w:gridSpan w:val="4"/>
          </w:tcPr>
          <w:p w14:paraId="2F94C30B" w14:textId="77777777" w:rsidR="005D776C" w:rsidRPr="00672F96" w:rsidRDefault="00522617" w:rsidP="00672F96">
            <w:pPr>
              <w:keepLines/>
              <w:rPr>
                <w:i/>
                <w:szCs w:val="22"/>
              </w:rPr>
            </w:pPr>
            <w:proofErr w:type="spellStart"/>
            <w:r w:rsidRPr="00672F96">
              <w:rPr>
                <w:i/>
                <w:szCs w:val="22"/>
                <w:vertAlign w:val="superscript"/>
              </w:rPr>
              <w:t>a</w:t>
            </w:r>
            <w:proofErr w:type="spellEnd"/>
            <w:r w:rsidRPr="00672F96">
              <w:rPr>
                <w:i/>
                <w:szCs w:val="22"/>
              </w:rPr>
              <w:t xml:space="preserve"> Up to 2</w:t>
            </w:r>
            <w:r w:rsidR="00DB61F1" w:rsidRPr="00672F96">
              <w:rPr>
                <w:i/>
                <w:szCs w:val="22"/>
              </w:rPr>
              <w:t> </w:t>
            </w:r>
            <w:r w:rsidRPr="00672F96">
              <w:rPr>
                <w:i/>
                <w:szCs w:val="22"/>
              </w:rPr>
              <w:t xml:space="preserve">years after </w:t>
            </w:r>
            <w:proofErr w:type="spellStart"/>
            <w:r w:rsidRPr="00672F96">
              <w:rPr>
                <w:i/>
                <w:szCs w:val="22"/>
              </w:rPr>
              <w:t>alloHSCT</w:t>
            </w:r>
            <w:proofErr w:type="spellEnd"/>
          </w:p>
        </w:tc>
      </w:tr>
    </w:tbl>
    <w:p w14:paraId="11D55C57" w14:textId="36A09415" w:rsidR="00A13770" w:rsidRPr="008A1224" w:rsidRDefault="00A13770" w:rsidP="00672F96">
      <w:pPr>
        <w:keepNext/>
        <w:keepLines/>
        <w:spacing w:line="240" w:lineRule="auto"/>
        <w:rPr>
          <w:szCs w:val="22"/>
        </w:rPr>
      </w:pPr>
    </w:p>
    <w:p w14:paraId="2F94C30E" w14:textId="77777777" w:rsidR="006B27EA" w:rsidRPr="00672F96" w:rsidRDefault="00522617" w:rsidP="00672F96">
      <w:pPr>
        <w:keepNext/>
        <w:keepLines/>
        <w:spacing w:line="240" w:lineRule="auto"/>
        <w:rPr>
          <w:szCs w:val="22"/>
          <w:u w:val="single"/>
        </w:rPr>
      </w:pPr>
      <w:r w:rsidRPr="00672F96">
        <w:rPr>
          <w:szCs w:val="22"/>
          <w:u w:val="single"/>
        </w:rPr>
        <w:t>Paediatric population</w:t>
      </w:r>
    </w:p>
    <w:p w14:paraId="2F94C30F" w14:textId="77777777" w:rsidR="001851FE" w:rsidRPr="00672F96" w:rsidRDefault="001851FE" w:rsidP="00672F96">
      <w:pPr>
        <w:keepNext/>
        <w:keepLines/>
        <w:spacing w:line="240" w:lineRule="auto"/>
        <w:rPr>
          <w:szCs w:val="22"/>
        </w:rPr>
      </w:pPr>
    </w:p>
    <w:p w14:paraId="2F94C310" w14:textId="77777777" w:rsidR="00D92F0B" w:rsidRPr="00672F96" w:rsidRDefault="00522617" w:rsidP="00672F96">
      <w:pPr>
        <w:keepNext/>
        <w:keepLines/>
        <w:spacing w:line="240" w:lineRule="auto"/>
        <w:rPr>
          <w:szCs w:val="22"/>
        </w:rPr>
      </w:pPr>
      <w:r w:rsidRPr="00672F96">
        <w:rPr>
          <w:szCs w:val="22"/>
        </w:rPr>
        <w:t xml:space="preserve">The efficacy and safety of </w:t>
      </w:r>
      <w:proofErr w:type="spellStart"/>
      <w:r w:rsidRPr="00672F96">
        <w:rPr>
          <w:szCs w:val="22"/>
        </w:rPr>
        <w:t>treosulfan</w:t>
      </w:r>
      <w:proofErr w:type="spellEnd"/>
      <w:r w:rsidRPr="00672F96">
        <w:rPr>
          <w:szCs w:val="22"/>
        </w:rPr>
        <w:t xml:space="preserve">-based conditioning was evaluated in </w:t>
      </w:r>
      <w:r w:rsidR="00665A29" w:rsidRPr="00672F96">
        <w:rPr>
          <w:szCs w:val="22"/>
        </w:rPr>
        <w:t>70 patients with acute lymphoblastic leukaemia (ALL), AML, MDS, or juvenile myelomonocytic leukaemia (JMML)</w:t>
      </w:r>
      <w:r w:rsidRPr="00672F96">
        <w:rPr>
          <w:szCs w:val="22"/>
        </w:rPr>
        <w:t xml:space="preserve"> who received a conditioning regimen with </w:t>
      </w:r>
      <w:proofErr w:type="spellStart"/>
      <w:r w:rsidRPr="00672F96">
        <w:rPr>
          <w:szCs w:val="22"/>
        </w:rPr>
        <w:t>treosulfan</w:t>
      </w:r>
      <w:proofErr w:type="spellEnd"/>
      <w:r w:rsidRPr="00672F96">
        <w:rPr>
          <w:szCs w:val="22"/>
        </w:rPr>
        <w:t xml:space="preserve"> and fludarabine with (n</w:t>
      </w:r>
      <w:r w:rsidR="00DB61F1" w:rsidRPr="00672F96">
        <w:rPr>
          <w:szCs w:val="22"/>
        </w:rPr>
        <w:t> </w:t>
      </w:r>
      <w:r w:rsidRPr="00672F96">
        <w:rPr>
          <w:szCs w:val="22"/>
        </w:rPr>
        <w:t>=</w:t>
      </w:r>
      <w:r w:rsidR="00DB61F1" w:rsidRPr="00672F96">
        <w:rPr>
          <w:szCs w:val="22"/>
        </w:rPr>
        <w:t> </w:t>
      </w:r>
      <w:r w:rsidRPr="00672F96">
        <w:rPr>
          <w:szCs w:val="22"/>
        </w:rPr>
        <w:t>65) or without (n</w:t>
      </w:r>
      <w:r w:rsidR="00DB61F1" w:rsidRPr="00672F96">
        <w:rPr>
          <w:szCs w:val="22"/>
        </w:rPr>
        <w:t> </w:t>
      </w:r>
      <w:r w:rsidRPr="00672F96">
        <w:rPr>
          <w:szCs w:val="22"/>
        </w:rPr>
        <w:t>=</w:t>
      </w:r>
      <w:r w:rsidR="00DB61F1" w:rsidRPr="00672F96">
        <w:rPr>
          <w:szCs w:val="22"/>
        </w:rPr>
        <w:t> </w:t>
      </w:r>
      <w:r w:rsidRPr="00672F96">
        <w:rPr>
          <w:szCs w:val="22"/>
        </w:rPr>
        <w:t xml:space="preserve">5) thiotepa (see </w:t>
      </w:r>
      <w:r w:rsidR="00DB61F1" w:rsidRPr="00672F96">
        <w:rPr>
          <w:szCs w:val="22"/>
        </w:rPr>
        <w:t>s</w:t>
      </w:r>
      <w:r w:rsidRPr="00672F96">
        <w:rPr>
          <w:szCs w:val="22"/>
        </w:rPr>
        <w:t>ection</w:t>
      </w:r>
      <w:r w:rsidR="00DB61F1" w:rsidRPr="00672F96">
        <w:rPr>
          <w:szCs w:val="22"/>
        </w:rPr>
        <w:t> </w:t>
      </w:r>
      <w:r w:rsidRPr="00672F96">
        <w:rPr>
          <w:szCs w:val="22"/>
        </w:rPr>
        <w:t>4.2)</w:t>
      </w:r>
      <w:r w:rsidR="00665A29" w:rsidRPr="00672F96">
        <w:rPr>
          <w:szCs w:val="22"/>
        </w:rPr>
        <w:t xml:space="preserve">. A total of </w:t>
      </w:r>
      <w:r w:rsidR="007536F2" w:rsidRPr="00672F96">
        <w:rPr>
          <w:szCs w:val="22"/>
        </w:rPr>
        <w:t>37 </w:t>
      </w:r>
      <w:r w:rsidR="00665A29" w:rsidRPr="00672F96">
        <w:rPr>
          <w:szCs w:val="22"/>
        </w:rPr>
        <w:t>patients (</w:t>
      </w:r>
      <w:r w:rsidR="007536F2" w:rsidRPr="00672F96">
        <w:rPr>
          <w:szCs w:val="22"/>
        </w:rPr>
        <w:t>52.9</w:t>
      </w:r>
      <w:r w:rsidR="00665A29" w:rsidRPr="00672F96">
        <w:rPr>
          <w:szCs w:val="22"/>
        </w:rPr>
        <w:t xml:space="preserve">%) were younger than </w:t>
      </w:r>
      <w:r w:rsidR="007536F2" w:rsidRPr="00672F96">
        <w:rPr>
          <w:szCs w:val="22"/>
        </w:rPr>
        <w:t>12 </w:t>
      </w:r>
      <w:r w:rsidR="00665A29" w:rsidRPr="00672F96">
        <w:rPr>
          <w:szCs w:val="22"/>
        </w:rPr>
        <w:t>years</w:t>
      </w:r>
      <w:r w:rsidR="00DB61F1" w:rsidRPr="00672F96">
        <w:rPr>
          <w:szCs w:val="22"/>
        </w:rPr>
        <w:t>.</w:t>
      </w:r>
    </w:p>
    <w:p w14:paraId="2F94C311" w14:textId="2540B374" w:rsidR="00605AB7" w:rsidRDefault="00522617" w:rsidP="00672F96">
      <w:pPr>
        <w:spacing w:line="240" w:lineRule="auto"/>
        <w:rPr>
          <w:szCs w:val="22"/>
        </w:rPr>
      </w:pPr>
      <w:r w:rsidRPr="00672F96">
        <w:rPr>
          <w:szCs w:val="22"/>
        </w:rPr>
        <w:t xml:space="preserve">No </w:t>
      </w:r>
      <w:r w:rsidR="000D4C4F" w:rsidRPr="00672F96">
        <w:rPr>
          <w:szCs w:val="22"/>
        </w:rPr>
        <w:t>patient</w:t>
      </w:r>
      <w:r w:rsidRPr="00672F96">
        <w:rPr>
          <w:szCs w:val="22"/>
        </w:rPr>
        <w:t xml:space="preserve"> experienced a primary graft failure </w:t>
      </w:r>
      <w:r w:rsidR="000D4C4F" w:rsidRPr="00672F96">
        <w:rPr>
          <w:szCs w:val="22"/>
        </w:rPr>
        <w:t>but</w:t>
      </w:r>
      <w:r w:rsidRPr="00672F96">
        <w:rPr>
          <w:szCs w:val="22"/>
        </w:rPr>
        <w:t xml:space="preserve"> </w:t>
      </w:r>
      <w:r w:rsidR="000D4C4F" w:rsidRPr="00672F96">
        <w:rPr>
          <w:szCs w:val="22"/>
        </w:rPr>
        <w:t>one</w:t>
      </w:r>
      <w:r w:rsidRPr="00672F96">
        <w:rPr>
          <w:szCs w:val="22"/>
        </w:rPr>
        <w:t xml:space="preserve"> </w:t>
      </w:r>
      <w:r w:rsidR="000D4C4F" w:rsidRPr="00672F96">
        <w:rPr>
          <w:szCs w:val="22"/>
        </w:rPr>
        <w:t>patient</w:t>
      </w:r>
      <w:r w:rsidRPr="00672F96">
        <w:rPr>
          <w:szCs w:val="22"/>
        </w:rPr>
        <w:t xml:space="preserve"> with ALL experienced a secondary</w:t>
      </w:r>
      <w:r w:rsidR="00DB61F1" w:rsidRPr="00672F96">
        <w:rPr>
          <w:szCs w:val="22"/>
        </w:rPr>
        <w:t xml:space="preserve"> </w:t>
      </w:r>
      <w:r w:rsidRPr="00672F96">
        <w:rPr>
          <w:szCs w:val="22"/>
        </w:rPr>
        <w:t>graft failure.</w:t>
      </w:r>
      <w:r w:rsidR="00665A29" w:rsidRPr="00672F96">
        <w:rPr>
          <w:szCs w:val="22"/>
        </w:rPr>
        <w:t xml:space="preserve"> </w:t>
      </w:r>
      <w:r w:rsidR="00665A29" w:rsidRPr="003F323C">
        <w:rPr>
          <w:szCs w:val="22"/>
        </w:rPr>
        <w:t>The incidence of complete donor</w:t>
      </w:r>
      <w:r w:rsidR="00EA5C4E" w:rsidRPr="003F323C">
        <w:rPr>
          <w:szCs w:val="22"/>
        </w:rPr>
        <w:noBreakHyphen/>
      </w:r>
      <w:r w:rsidR="00665A29" w:rsidRPr="003F323C">
        <w:rPr>
          <w:szCs w:val="22"/>
        </w:rPr>
        <w:t>type chimerism was 94.2% (90% CI 87.2</w:t>
      </w:r>
      <w:r w:rsidR="00665A29" w:rsidRPr="003F323C">
        <w:rPr>
          <w:szCs w:val="22"/>
        </w:rPr>
        <w:noBreakHyphen/>
        <w:t>98.0%) at day +28 visit, 91.3% (90% CI 83.6</w:t>
      </w:r>
      <w:r w:rsidR="00665A29" w:rsidRPr="003F323C">
        <w:rPr>
          <w:szCs w:val="22"/>
        </w:rPr>
        <w:noBreakHyphen/>
        <w:t xml:space="preserve">96.1%) at day +100 visit and </w:t>
      </w:r>
      <w:r w:rsidRPr="003F323C">
        <w:rPr>
          <w:szCs w:val="22"/>
        </w:rPr>
        <w:t>91.2</w:t>
      </w:r>
      <w:r w:rsidR="00665A29" w:rsidRPr="003F323C">
        <w:rPr>
          <w:szCs w:val="22"/>
        </w:rPr>
        <w:t xml:space="preserve">% (90% CI </w:t>
      </w:r>
      <w:r w:rsidRPr="003F323C">
        <w:rPr>
          <w:szCs w:val="22"/>
        </w:rPr>
        <w:t>82.4</w:t>
      </w:r>
      <w:r w:rsidR="00665A29" w:rsidRPr="003F323C">
        <w:rPr>
          <w:szCs w:val="22"/>
        </w:rPr>
        <w:noBreakHyphen/>
      </w:r>
      <w:r w:rsidRPr="003F323C">
        <w:rPr>
          <w:szCs w:val="22"/>
        </w:rPr>
        <w:t>96.5</w:t>
      </w:r>
      <w:r w:rsidR="00665A29" w:rsidRPr="003F323C">
        <w:rPr>
          <w:szCs w:val="22"/>
        </w:rPr>
        <w:t>%) at month 12 visit.</w:t>
      </w:r>
      <w:r w:rsidRPr="003F323C">
        <w:rPr>
          <w:szCs w:val="22"/>
        </w:rPr>
        <w:t xml:space="preserve"> </w:t>
      </w:r>
    </w:p>
    <w:p w14:paraId="3E312083" w14:textId="77777777" w:rsidR="00380F41" w:rsidRPr="003F323C" w:rsidRDefault="00380F41" w:rsidP="00672F96">
      <w:pPr>
        <w:spacing w:line="240" w:lineRule="auto"/>
        <w:rPr>
          <w:szCs w:val="22"/>
        </w:rPr>
      </w:pPr>
    </w:p>
    <w:p w14:paraId="2F94C312" w14:textId="1BF483CE" w:rsidR="00605AB7" w:rsidRPr="00672F96" w:rsidRDefault="00522617" w:rsidP="00672F96">
      <w:pPr>
        <w:spacing w:line="240" w:lineRule="auto"/>
        <w:rPr>
          <w:szCs w:val="22"/>
        </w:rPr>
      </w:pPr>
      <w:r w:rsidRPr="003F323C">
        <w:rPr>
          <w:szCs w:val="22"/>
        </w:rPr>
        <w:t xml:space="preserve">The overall survival at </w:t>
      </w:r>
      <w:r w:rsidR="003A17A0">
        <w:rPr>
          <w:szCs w:val="22"/>
        </w:rPr>
        <w:t>24</w:t>
      </w:r>
      <w:r w:rsidR="003A17A0" w:rsidRPr="003F323C">
        <w:rPr>
          <w:szCs w:val="22"/>
        </w:rPr>
        <w:t> </w:t>
      </w:r>
      <w:r w:rsidRPr="003F323C">
        <w:rPr>
          <w:szCs w:val="22"/>
        </w:rPr>
        <w:t>month</w:t>
      </w:r>
      <w:r w:rsidR="00DB61F1" w:rsidRPr="003F323C">
        <w:rPr>
          <w:szCs w:val="22"/>
        </w:rPr>
        <w:t>s</w:t>
      </w:r>
      <w:r w:rsidRPr="003F323C">
        <w:rPr>
          <w:szCs w:val="22"/>
        </w:rPr>
        <w:t xml:space="preserve"> is </w:t>
      </w:r>
      <w:r w:rsidR="003A17A0">
        <w:rPr>
          <w:szCs w:val="22"/>
        </w:rPr>
        <w:t>85.7</w:t>
      </w:r>
      <w:r w:rsidRPr="003F323C">
        <w:rPr>
          <w:szCs w:val="22"/>
        </w:rPr>
        <w:t xml:space="preserve">% (90% CI </w:t>
      </w:r>
      <w:r w:rsidR="00EB3F6F">
        <w:rPr>
          <w:szCs w:val="22"/>
        </w:rPr>
        <w:t>77.1</w:t>
      </w:r>
      <w:r w:rsidRPr="003F323C">
        <w:rPr>
          <w:szCs w:val="22"/>
        </w:rPr>
        <w:noBreakHyphen/>
      </w:r>
      <w:r w:rsidR="00EB3F6F">
        <w:rPr>
          <w:szCs w:val="22"/>
        </w:rPr>
        <w:t>91.2</w:t>
      </w:r>
      <w:r w:rsidRPr="003F323C">
        <w:rPr>
          <w:szCs w:val="22"/>
        </w:rPr>
        <w:t xml:space="preserve">%). </w:t>
      </w:r>
      <w:r w:rsidR="002426EE" w:rsidRPr="003F323C">
        <w:rPr>
          <w:szCs w:val="22"/>
        </w:rPr>
        <w:t>A total of </w:t>
      </w:r>
      <w:r w:rsidR="00EB3F6F">
        <w:rPr>
          <w:szCs w:val="22"/>
        </w:rPr>
        <w:t>12</w:t>
      </w:r>
      <w:r w:rsidR="00EB3F6F" w:rsidRPr="003F323C">
        <w:rPr>
          <w:szCs w:val="22"/>
        </w:rPr>
        <w:t xml:space="preserve"> </w:t>
      </w:r>
      <w:r w:rsidR="002426EE" w:rsidRPr="003F323C">
        <w:rPr>
          <w:szCs w:val="22"/>
        </w:rPr>
        <w:t>of the 70 patients (</w:t>
      </w:r>
      <w:r w:rsidR="00EB3F6F">
        <w:rPr>
          <w:szCs w:val="22"/>
        </w:rPr>
        <w:t>17.1</w:t>
      </w:r>
      <w:r w:rsidR="002426EE" w:rsidRPr="003F323C">
        <w:rPr>
          <w:szCs w:val="22"/>
        </w:rPr>
        <w:t>%) died</w:t>
      </w:r>
      <w:r w:rsidR="00806970" w:rsidRPr="003F323C">
        <w:rPr>
          <w:szCs w:val="22"/>
        </w:rPr>
        <w:t xml:space="preserve">, </w:t>
      </w:r>
      <w:r w:rsidR="00EB3F6F">
        <w:rPr>
          <w:szCs w:val="22"/>
        </w:rPr>
        <w:t>8</w:t>
      </w:r>
      <w:r w:rsidR="00EB3F6F" w:rsidRPr="003F323C">
        <w:rPr>
          <w:szCs w:val="22"/>
        </w:rPr>
        <w:t xml:space="preserve"> </w:t>
      </w:r>
      <w:r w:rsidR="00806970" w:rsidRPr="003F323C">
        <w:rPr>
          <w:szCs w:val="22"/>
        </w:rPr>
        <w:t>patients because of relapse/progression</w:t>
      </w:r>
      <w:r w:rsidR="009719A0">
        <w:rPr>
          <w:szCs w:val="22"/>
        </w:rPr>
        <w:t xml:space="preserve"> and</w:t>
      </w:r>
      <w:r w:rsidR="009719A0" w:rsidRPr="003F323C">
        <w:rPr>
          <w:szCs w:val="22"/>
        </w:rPr>
        <w:t xml:space="preserve"> </w:t>
      </w:r>
      <w:r w:rsidR="009719A0">
        <w:rPr>
          <w:szCs w:val="22"/>
        </w:rPr>
        <w:t>4</w:t>
      </w:r>
      <w:r w:rsidR="009719A0" w:rsidRPr="003F323C">
        <w:rPr>
          <w:szCs w:val="22"/>
        </w:rPr>
        <w:t xml:space="preserve"> </w:t>
      </w:r>
      <w:r w:rsidR="00806970" w:rsidRPr="003F323C">
        <w:rPr>
          <w:szCs w:val="22"/>
        </w:rPr>
        <w:t>patients transplant</w:t>
      </w:r>
      <w:r w:rsidR="00EA5C4E" w:rsidRPr="003F323C">
        <w:rPr>
          <w:szCs w:val="22"/>
        </w:rPr>
        <w:noBreakHyphen/>
      </w:r>
      <w:r w:rsidR="00806970" w:rsidRPr="003F323C">
        <w:rPr>
          <w:szCs w:val="22"/>
        </w:rPr>
        <w:t>related</w:t>
      </w:r>
      <w:r w:rsidR="002426EE" w:rsidRPr="003F323C">
        <w:rPr>
          <w:szCs w:val="22"/>
        </w:rPr>
        <w:t xml:space="preserve">. </w:t>
      </w:r>
      <w:r w:rsidRPr="003F323C">
        <w:rPr>
          <w:szCs w:val="22"/>
        </w:rPr>
        <w:t>The freedom from transplant</w:t>
      </w:r>
      <w:r w:rsidR="00EA5C4E" w:rsidRPr="003F323C">
        <w:rPr>
          <w:szCs w:val="22"/>
        </w:rPr>
        <w:noBreakHyphen/>
      </w:r>
      <w:r w:rsidRPr="003F323C">
        <w:rPr>
          <w:szCs w:val="22"/>
        </w:rPr>
        <w:t xml:space="preserve">related mortality until day +100 after HSCT (primary endpoint) is 98.6% (90% CI </w:t>
      </w:r>
      <w:r w:rsidR="00806970" w:rsidRPr="003F323C">
        <w:rPr>
          <w:szCs w:val="22"/>
        </w:rPr>
        <w:t>93.4</w:t>
      </w:r>
      <w:r w:rsidRPr="003F323C">
        <w:rPr>
          <w:szCs w:val="22"/>
        </w:rPr>
        <w:t>–99.</w:t>
      </w:r>
      <w:r w:rsidR="009719A0">
        <w:rPr>
          <w:szCs w:val="22"/>
        </w:rPr>
        <w:t>9</w:t>
      </w:r>
      <w:r w:rsidRPr="003F323C">
        <w:rPr>
          <w:szCs w:val="22"/>
        </w:rPr>
        <w:t>%) because one of the 70 patients died due to transplantation/treatment</w:t>
      </w:r>
      <w:r w:rsidR="00EA5C4E" w:rsidRPr="003F323C">
        <w:rPr>
          <w:szCs w:val="22"/>
        </w:rPr>
        <w:noBreakHyphen/>
      </w:r>
      <w:r w:rsidRPr="003F323C">
        <w:rPr>
          <w:szCs w:val="22"/>
        </w:rPr>
        <w:t>related cause until day +100 after HSCT. Transplant</w:t>
      </w:r>
      <w:r w:rsidR="00EA5C4E" w:rsidRPr="003F323C">
        <w:rPr>
          <w:szCs w:val="22"/>
        </w:rPr>
        <w:noBreakHyphen/>
      </w:r>
      <w:r w:rsidRPr="003F323C">
        <w:rPr>
          <w:szCs w:val="22"/>
        </w:rPr>
        <w:t xml:space="preserve">related mortality at </w:t>
      </w:r>
      <w:r w:rsidR="009719A0">
        <w:rPr>
          <w:szCs w:val="22"/>
        </w:rPr>
        <w:t>24</w:t>
      </w:r>
      <w:r w:rsidR="009719A0" w:rsidRPr="003F323C">
        <w:rPr>
          <w:szCs w:val="22"/>
        </w:rPr>
        <w:t> </w:t>
      </w:r>
      <w:r w:rsidRPr="003F323C">
        <w:rPr>
          <w:szCs w:val="22"/>
        </w:rPr>
        <w:t xml:space="preserve">months is </w:t>
      </w:r>
      <w:r w:rsidR="009719A0">
        <w:rPr>
          <w:szCs w:val="22"/>
        </w:rPr>
        <w:t>4.6</w:t>
      </w:r>
      <w:r w:rsidRPr="003F323C">
        <w:rPr>
          <w:szCs w:val="22"/>
        </w:rPr>
        <w:t>% (90% CI </w:t>
      </w:r>
      <w:r w:rsidR="009719A0">
        <w:rPr>
          <w:szCs w:val="22"/>
        </w:rPr>
        <w:t>1.8</w:t>
      </w:r>
      <w:r w:rsidRPr="003F323C">
        <w:rPr>
          <w:szCs w:val="22"/>
        </w:rPr>
        <w:t xml:space="preserve"> – </w:t>
      </w:r>
      <w:r w:rsidR="009719A0">
        <w:rPr>
          <w:szCs w:val="22"/>
        </w:rPr>
        <w:t>11.4</w:t>
      </w:r>
      <w:r w:rsidRPr="003F323C">
        <w:rPr>
          <w:szCs w:val="22"/>
        </w:rPr>
        <w:t xml:space="preserve">%). </w:t>
      </w:r>
      <w:r w:rsidR="009719A0">
        <w:rPr>
          <w:szCs w:val="22"/>
        </w:rPr>
        <w:t>Sixteen</w:t>
      </w:r>
      <w:r w:rsidR="009719A0" w:rsidRPr="003F323C">
        <w:rPr>
          <w:szCs w:val="22"/>
        </w:rPr>
        <w:t xml:space="preserve"> </w:t>
      </w:r>
      <w:r w:rsidRPr="003F323C">
        <w:rPr>
          <w:szCs w:val="22"/>
        </w:rPr>
        <w:t xml:space="preserve">patients had a relapse/progression. The cumulative incidence of relapse/progression is </w:t>
      </w:r>
      <w:r w:rsidR="009719A0">
        <w:rPr>
          <w:szCs w:val="22"/>
        </w:rPr>
        <w:t>23.0</w:t>
      </w:r>
      <w:r w:rsidRPr="003F323C">
        <w:rPr>
          <w:szCs w:val="22"/>
        </w:rPr>
        <w:t xml:space="preserve">% (90% CI </w:t>
      </w:r>
      <w:r w:rsidR="009719A0">
        <w:rPr>
          <w:szCs w:val="22"/>
        </w:rPr>
        <w:t>14.7</w:t>
      </w:r>
      <w:r w:rsidRPr="003F323C">
        <w:rPr>
          <w:szCs w:val="22"/>
        </w:rPr>
        <w:noBreakHyphen/>
      </w:r>
      <w:r w:rsidR="009719A0">
        <w:rPr>
          <w:szCs w:val="22"/>
        </w:rPr>
        <w:t>31.3</w:t>
      </w:r>
      <w:r w:rsidRPr="003F323C">
        <w:rPr>
          <w:szCs w:val="22"/>
        </w:rPr>
        <w:t>%) at month +</w:t>
      </w:r>
      <w:r w:rsidR="009719A0">
        <w:rPr>
          <w:szCs w:val="22"/>
        </w:rPr>
        <w:t>24</w:t>
      </w:r>
      <w:r w:rsidRPr="003F323C">
        <w:rPr>
          <w:szCs w:val="22"/>
        </w:rPr>
        <w:t>.</w:t>
      </w:r>
    </w:p>
    <w:p w14:paraId="7D56F398" w14:textId="2B42D9F4" w:rsidR="00363879" w:rsidRDefault="00363879" w:rsidP="004A41AA">
      <w:pPr>
        <w:spacing w:line="240" w:lineRule="auto"/>
        <w:rPr>
          <w:rFonts w:eastAsia="SimSun"/>
          <w:szCs w:val="22"/>
          <w:lang w:val="en-AU" w:eastAsia="de-DE"/>
        </w:rPr>
      </w:pPr>
    </w:p>
    <w:p w14:paraId="347D2D64" w14:textId="77777777" w:rsidR="007D40E3" w:rsidRDefault="007D40E3" w:rsidP="004A41AA">
      <w:pPr>
        <w:spacing w:line="240" w:lineRule="auto"/>
        <w:rPr>
          <w:rFonts w:eastAsia="SimSun"/>
          <w:szCs w:val="22"/>
          <w:lang w:val="en-AU" w:eastAsia="de-DE"/>
        </w:rPr>
      </w:pPr>
      <w:r w:rsidRPr="007D40E3">
        <w:rPr>
          <w:rFonts w:eastAsia="SimSun"/>
          <w:szCs w:val="22"/>
          <w:lang w:val="en-AU" w:eastAsia="de-DE"/>
        </w:rPr>
        <w:t xml:space="preserve">The efficacy and safety of </w:t>
      </w:r>
      <w:proofErr w:type="spellStart"/>
      <w:r w:rsidRPr="007D40E3">
        <w:rPr>
          <w:rFonts w:eastAsia="SimSun"/>
          <w:szCs w:val="22"/>
          <w:lang w:val="en-AU" w:eastAsia="de-DE"/>
        </w:rPr>
        <w:t>treosulfan</w:t>
      </w:r>
      <w:proofErr w:type="spellEnd"/>
      <w:r w:rsidRPr="007D40E3">
        <w:rPr>
          <w:rFonts w:eastAsia="SimSun"/>
          <w:szCs w:val="22"/>
          <w:lang w:val="en-AU" w:eastAsia="de-DE"/>
        </w:rPr>
        <w:t>/fludarabine ± thiotepa-based conditioning was further ev</w:t>
      </w:r>
      <w:r>
        <w:rPr>
          <w:rFonts w:eastAsia="SimSun"/>
          <w:szCs w:val="22"/>
          <w:lang w:val="en-AU" w:eastAsia="de-DE"/>
        </w:rPr>
        <w:t>aluated in 51 patients with non-</w:t>
      </w:r>
      <w:r w:rsidRPr="007D40E3">
        <w:rPr>
          <w:rFonts w:eastAsia="SimSun"/>
          <w:szCs w:val="22"/>
          <w:lang w:val="en-AU" w:eastAsia="de-DE"/>
        </w:rPr>
        <w:t xml:space="preserve">malignant diseases (primary immunodeficiency, haemoglobinopathy, inborn error of metabolism and bone marrow failure syndromes). </w:t>
      </w:r>
      <w:proofErr w:type="spellStart"/>
      <w:r w:rsidRPr="007D40E3">
        <w:rPr>
          <w:rFonts w:eastAsia="SimSun"/>
          <w:szCs w:val="22"/>
          <w:lang w:val="en-AU" w:eastAsia="de-DE"/>
        </w:rPr>
        <w:t>Treosulfan</w:t>
      </w:r>
      <w:proofErr w:type="spellEnd"/>
      <w:r w:rsidRPr="007D40E3">
        <w:rPr>
          <w:rFonts w:eastAsia="SimSun"/>
          <w:szCs w:val="22"/>
          <w:lang w:val="en-AU" w:eastAsia="de-DE"/>
        </w:rPr>
        <w:t xml:space="preserve"> dose was adapted to the patient’s BSA and 10, 12, or 14 g/m² body surface area per day was administered as a two-hour intravenous infusion on day -6, -5, and -4 prior to stem cell infusion (day 0). Fifty evaluable patients treated with the reference conditioning regimen busulfan/fludarabine ± thiotepa served as active control group. Busulfan dose was adapted to the patient’s body weight and 3.2 to 4.8 mg/kg/day were administered on </w:t>
      </w:r>
      <w:proofErr w:type="gramStart"/>
      <w:r w:rsidRPr="007D40E3">
        <w:rPr>
          <w:rFonts w:eastAsia="SimSun"/>
          <w:szCs w:val="22"/>
          <w:lang w:val="en-AU" w:eastAsia="de-DE"/>
        </w:rPr>
        <w:t>days  7</w:t>
      </w:r>
      <w:proofErr w:type="gramEnd"/>
      <w:r w:rsidRPr="007D40E3">
        <w:rPr>
          <w:rFonts w:eastAsia="SimSun"/>
          <w:szCs w:val="22"/>
          <w:lang w:val="en-AU" w:eastAsia="de-DE"/>
        </w:rPr>
        <w:t xml:space="preserve">,  6,  5, and  4. </w:t>
      </w:r>
    </w:p>
    <w:p w14:paraId="2908B6C8" w14:textId="77777777" w:rsidR="007D40E3" w:rsidRDefault="007D40E3" w:rsidP="004A41AA">
      <w:pPr>
        <w:spacing w:line="240" w:lineRule="auto"/>
        <w:rPr>
          <w:rFonts w:eastAsia="SimSun"/>
          <w:szCs w:val="22"/>
          <w:lang w:val="en-AU" w:eastAsia="de-DE"/>
        </w:rPr>
      </w:pPr>
    </w:p>
    <w:p w14:paraId="38852B2F" w14:textId="77777777" w:rsidR="007D40E3" w:rsidRDefault="007D40E3" w:rsidP="004A41AA">
      <w:pPr>
        <w:spacing w:line="240" w:lineRule="auto"/>
        <w:rPr>
          <w:rFonts w:eastAsia="SimSun"/>
          <w:szCs w:val="22"/>
          <w:lang w:val="en-AU" w:eastAsia="de-DE"/>
        </w:rPr>
      </w:pPr>
      <w:r w:rsidRPr="007D40E3">
        <w:rPr>
          <w:rFonts w:eastAsia="SimSun"/>
          <w:szCs w:val="22"/>
          <w:lang w:val="en-AU" w:eastAsia="de-DE"/>
        </w:rPr>
        <w:t xml:space="preserve">Most trial subjects (84% in both arms) received the intensified regimen with thiotepa given in 2 single doses of 5 mg/kg/body weight on day -2. Most patients were 28 days to 11 years of age (88.2% in the </w:t>
      </w:r>
      <w:proofErr w:type="spellStart"/>
      <w:r w:rsidRPr="007D40E3">
        <w:rPr>
          <w:rFonts w:eastAsia="SimSun"/>
          <w:szCs w:val="22"/>
          <w:lang w:val="en-AU" w:eastAsia="de-DE"/>
        </w:rPr>
        <w:t>treosulfan</w:t>
      </w:r>
      <w:proofErr w:type="spellEnd"/>
      <w:r w:rsidRPr="007D40E3">
        <w:rPr>
          <w:rFonts w:eastAsia="SimSun"/>
          <w:szCs w:val="22"/>
          <w:lang w:val="en-AU" w:eastAsia="de-DE"/>
        </w:rPr>
        <w:t xml:space="preserve"> arm and 80% in the busulfan arm). </w:t>
      </w:r>
    </w:p>
    <w:p w14:paraId="4E58D033" w14:textId="77777777" w:rsidR="007D40E3" w:rsidRDefault="007D40E3" w:rsidP="004A41AA">
      <w:pPr>
        <w:spacing w:line="240" w:lineRule="auto"/>
        <w:rPr>
          <w:rFonts w:eastAsia="SimSun"/>
          <w:szCs w:val="22"/>
          <w:lang w:val="en-AU" w:eastAsia="de-DE"/>
        </w:rPr>
      </w:pPr>
    </w:p>
    <w:p w14:paraId="11EDB80A" w14:textId="67D6730D" w:rsidR="007D40E3" w:rsidRPr="004A41AA" w:rsidRDefault="007D40E3" w:rsidP="004A41AA">
      <w:pPr>
        <w:spacing w:line="240" w:lineRule="auto"/>
        <w:rPr>
          <w:rFonts w:eastAsia="SimSun"/>
          <w:szCs w:val="22"/>
          <w:lang w:val="en-AU" w:eastAsia="de-DE"/>
        </w:rPr>
      </w:pPr>
      <w:r w:rsidRPr="007D40E3">
        <w:rPr>
          <w:rFonts w:eastAsia="SimSun"/>
          <w:szCs w:val="22"/>
          <w:lang w:val="en-AU" w:eastAsia="de-DE"/>
        </w:rPr>
        <w:t xml:space="preserve">The incidence of freedom from transplantation (treatment) related mortality until day +100 (primary endpoint) was 100.0% (90% CI 94.3%-100.0%) in the </w:t>
      </w:r>
      <w:proofErr w:type="spellStart"/>
      <w:r w:rsidRPr="007D40E3">
        <w:rPr>
          <w:rFonts w:eastAsia="SimSun"/>
          <w:szCs w:val="22"/>
          <w:lang w:val="en-AU" w:eastAsia="de-DE"/>
        </w:rPr>
        <w:t>treosulfan</w:t>
      </w:r>
      <w:proofErr w:type="spellEnd"/>
      <w:r w:rsidRPr="007D40E3">
        <w:rPr>
          <w:rFonts w:eastAsia="SimSun"/>
          <w:szCs w:val="22"/>
          <w:lang w:val="en-AU" w:eastAsia="de-DE"/>
        </w:rPr>
        <w:t xml:space="preserve"> arm and 90.0% (90% CI 80.1%-96.0%) in the busulfan arm. Overall survival at 1 year was 96.1% (90% CI 88.0%-98.8%) with </w:t>
      </w:r>
      <w:proofErr w:type="spellStart"/>
      <w:r w:rsidRPr="007D40E3">
        <w:rPr>
          <w:rFonts w:eastAsia="SimSun"/>
          <w:szCs w:val="22"/>
          <w:lang w:val="en-AU" w:eastAsia="de-DE"/>
        </w:rPr>
        <w:t>treosulfan</w:t>
      </w:r>
      <w:proofErr w:type="spellEnd"/>
      <w:r w:rsidRPr="007D40E3">
        <w:rPr>
          <w:rFonts w:eastAsia="SimSun"/>
          <w:szCs w:val="22"/>
          <w:lang w:val="en-AU" w:eastAsia="de-DE"/>
        </w:rPr>
        <w:t xml:space="preserve"> and 88.0% with busulfan (90% CI 77.9%-93.7%); HR 0.29 (90% CI 0.08-1.09).</w:t>
      </w:r>
    </w:p>
    <w:p w14:paraId="560E9AB8" w14:textId="77777777" w:rsidR="004A41AA" w:rsidRPr="00672F96" w:rsidRDefault="004A41AA" w:rsidP="00672F96">
      <w:pPr>
        <w:spacing w:line="240" w:lineRule="auto"/>
        <w:rPr>
          <w:b/>
          <w:szCs w:val="22"/>
        </w:rPr>
      </w:pPr>
    </w:p>
    <w:p w14:paraId="2F94C316" w14:textId="77777777" w:rsidR="00AE0267" w:rsidRPr="00672F96" w:rsidRDefault="00522617" w:rsidP="00672F96">
      <w:pPr>
        <w:pStyle w:val="Heading3"/>
        <w:rPr>
          <w:szCs w:val="22"/>
        </w:rPr>
      </w:pPr>
      <w:r w:rsidRPr="00672F96">
        <w:rPr>
          <w:szCs w:val="22"/>
        </w:rPr>
        <w:t>5.2</w:t>
      </w:r>
      <w:r w:rsidRPr="00672F96">
        <w:rPr>
          <w:szCs w:val="22"/>
        </w:rPr>
        <w:tab/>
        <w:t>Pharmacokinetic properties</w:t>
      </w:r>
    </w:p>
    <w:p w14:paraId="2F94C317" w14:textId="77777777" w:rsidR="00AE0267" w:rsidRPr="00672F96" w:rsidRDefault="00AE0267" w:rsidP="00672F96">
      <w:pPr>
        <w:spacing w:line="240" w:lineRule="auto"/>
        <w:rPr>
          <w:szCs w:val="22"/>
        </w:rPr>
      </w:pPr>
    </w:p>
    <w:p w14:paraId="2F94C318" w14:textId="77777777" w:rsidR="00BF55D1" w:rsidRPr="003F323C" w:rsidRDefault="00522617" w:rsidP="00672F96">
      <w:pPr>
        <w:spacing w:line="240" w:lineRule="auto"/>
        <w:rPr>
          <w:szCs w:val="22"/>
        </w:rPr>
      </w:pPr>
      <w:proofErr w:type="spellStart"/>
      <w:r w:rsidRPr="00672F96">
        <w:rPr>
          <w:szCs w:val="22"/>
        </w:rPr>
        <w:t>Treosulfan</w:t>
      </w:r>
      <w:proofErr w:type="spellEnd"/>
      <w:r w:rsidRPr="00672F96">
        <w:rPr>
          <w:szCs w:val="22"/>
        </w:rPr>
        <w:t xml:space="preserve"> is a prodrug that is spontaneously converted under physiological conditions (pH 7.4; 37 °C) </w:t>
      </w:r>
      <w:r w:rsidR="005B0B45" w:rsidRPr="00672F96">
        <w:rPr>
          <w:szCs w:val="22"/>
        </w:rPr>
        <w:t>into</w:t>
      </w:r>
      <w:r w:rsidRPr="00672F96">
        <w:rPr>
          <w:szCs w:val="22"/>
        </w:rPr>
        <w:t xml:space="preserve"> a monoepoxide intermediate </w:t>
      </w:r>
      <w:r w:rsidR="005B0B45" w:rsidRPr="00672F96">
        <w:rPr>
          <w:szCs w:val="22"/>
        </w:rPr>
        <w:t>and</w:t>
      </w:r>
      <w:r w:rsidRPr="00672F96">
        <w:rPr>
          <w:szCs w:val="22"/>
        </w:rPr>
        <w:t xml:space="preserve"> L</w:t>
      </w:r>
      <w:r w:rsidRPr="00672F96">
        <w:rPr>
          <w:szCs w:val="22"/>
        </w:rPr>
        <w:noBreakHyphen/>
      </w:r>
      <w:proofErr w:type="spellStart"/>
      <w:r w:rsidRPr="00672F96">
        <w:rPr>
          <w:szCs w:val="22"/>
        </w:rPr>
        <w:t>diepoxybutane</w:t>
      </w:r>
      <w:proofErr w:type="spellEnd"/>
      <w:r w:rsidRPr="00672F96">
        <w:rPr>
          <w:szCs w:val="22"/>
        </w:rPr>
        <w:t xml:space="preserve"> with </w:t>
      </w:r>
      <w:r w:rsidRPr="003F323C">
        <w:rPr>
          <w:szCs w:val="22"/>
        </w:rPr>
        <w:t>a half</w:t>
      </w:r>
      <w:r w:rsidR="000F5860" w:rsidRPr="003F323C">
        <w:rPr>
          <w:szCs w:val="22"/>
        </w:rPr>
        <w:noBreakHyphen/>
      </w:r>
      <w:r w:rsidRPr="003F323C">
        <w:rPr>
          <w:szCs w:val="22"/>
        </w:rPr>
        <w:t>life of 2.2 h</w:t>
      </w:r>
      <w:r w:rsidR="00AE68CD" w:rsidRPr="003F323C">
        <w:rPr>
          <w:szCs w:val="22"/>
        </w:rPr>
        <w:t>ours</w:t>
      </w:r>
      <w:r w:rsidRPr="003F323C">
        <w:rPr>
          <w:szCs w:val="22"/>
        </w:rPr>
        <w:t>.</w:t>
      </w:r>
    </w:p>
    <w:p w14:paraId="56A695B5" w14:textId="77777777" w:rsidR="006A3ED2" w:rsidRPr="003F323C" w:rsidRDefault="006A3ED2" w:rsidP="00672F96">
      <w:pPr>
        <w:spacing w:line="240" w:lineRule="auto"/>
        <w:rPr>
          <w:szCs w:val="22"/>
        </w:rPr>
      </w:pPr>
    </w:p>
    <w:p w14:paraId="2F94C31A" w14:textId="77777777" w:rsidR="00B87703" w:rsidRPr="003F323C" w:rsidRDefault="00522617" w:rsidP="00672F96">
      <w:pPr>
        <w:spacing w:line="240" w:lineRule="auto"/>
        <w:rPr>
          <w:szCs w:val="22"/>
          <w:u w:val="single"/>
        </w:rPr>
      </w:pPr>
      <w:r w:rsidRPr="003F323C">
        <w:rPr>
          <w:szCs w:val="22"/>
          <w:u w:val="single"/>
        </w:rPr>
        <w:lastRenderedPageBreak/>
        <w:t>Absorption</w:t>
      </w:r>
    </w:p>
    <w:p w14:paraId="2F94C31B" w14:textId="77777777" w:rsidR="00551DAD" w:rsidRPr="003F323C" w:rsidRDefault="00551DAD" w:rsidP="00672F96">
      <w:pPr>
        <w:spacing w:line="240" w:lineRule="auto"/>
        <w:rPr>
          <w:szCs w:val="22"/>
          <w:u w:val="single"/>
        </w:rPr>
      </w:pPr>
    </w:p>
    <w:p w14:paraId="2F94C31C" w14:textId="60BE91A2" w:rsidR="00762ACB" w:rsidRDefault="00522617" w:rsidP="00672F96">
      <w:pPr>
        <w:spacing w:line="240" w:lineRule="auto"/>
        <w:rPr>
          <w:szCs w:val="22"/>
        </w:rPr>
      </w:pPr>
      <w:r w:rsidRPr="003F323C">
        <w:rPr>
          <w:szCs w:val="22"/>
        </w:rPr>
        <w:t xml:space="preserve">After intravenous administration, peak plasma levels are reached at the end of the infusion time. Maximum plasma levels (mean ± SD) in adult patients after </w:t>
      </w:r>
      <w:r w:rsidR="007E1970" w:rsidRPr="003F323C">
        <w:rPr>
          <w:szCs w:val="22"/>
        </w:rPr>
        <w:t xml:space="preserve">a </w:t>
      </w:r>
      <w:r w:rsidRPr="003F323C">
        <w:rPr>
          <w:szCs w:val="22"/>
        </w:rPr>
        <w:t>2</w:t>
      </w:r>
      <w:r w:rsidR="007E1970" w:rsidRPr="003F323C">
        <w:rPr>
          <w:szCs w:val="22"/>
        </w:rPr>
        <w:noBreakHyphen/>
      </w:r>
      <w:r w:rsidRPr="003F323C">
        <w:rPr>
          <w:szCs w:val="22"/>
        </w:rPr>
        <w:t>hour intravenous infusion of</w:t>
      </w:r>
      <w:r w:rsidR="00A41FDE" w:rsidRPr="003F323C">
        <w:rPr>
          <w:szCs w:val="22"/>
        </w:rPr>
        <w:t> </w:t>
      </w:r>
      <w:r w:rsidRPr="003F323C">
        <w:rPr>
          <w:szCs w:val="22"/>
        </w:rPr>
        <w:t>10</w:t>
      </w:r>
      <w:r w:rsidR="00F067DF" w:rsidRPr="003F323C">
        <w:rPr>
          <w:szCs w:val="22"/>
        </w:rPr>
        <w:t>, 12, or 14</w:t>
      </w:r>
      <w:r w:rsidRPr="003F323C">
        <w:rPr>
          <w:szCs w:val="22"/>
        </w:rPr>
        <w:t xml:space="preserve"> g/m² </w:t>
      </w:r>
      <w:proofErr w:type="spellStart"/>
      <w:r w:rsidRPr="003F323C">
        <w:rPr>
          <w:szCs w:val="22"/>
        </w:rPr>
        <w:t>treosulfan</w:t>
      </w:r>
      <w:proofErr w:type="spellEnd"/>
      <w:r w:rsidRPr="003F323C">
        <w:rPr>
          <w:szCs w:val="22"/>
        </w:rPr>
        <w:t xml:space="preserve"> were 306 ± 94 µg/m</w:t>
      </w:r>
      <w:r w:rsidR="00FA0F55" w:rsidRPr="003F323C">
        <w:rPr>
          <w:szCs w:val="22"/>
        </w:rPr>
        <w:t>L</w:t>
      </w:r>
      <w:r w:rsidR="00F067DF" w:rsidRPr="003F323C">
        <w:rPr>
          <w:szCs w:val="22"/>
        </w:rPr>
        <w:t>, 461 ± 102 µg/m</w:t>
      </w:r>
      <w:r w:rsidR="00FA0F55" w:rsidRPr="003F323C">
        <w:rPr>
          <w:szCs w:val="22"/>
        </w:rPr>
        <w:t>L</w:t>
      </w:r>
      <w:r w:rsidR="00F067DF" w:rsidRPr="003F323C">
        <w:rPr>
          <w:szCs w:val="22"/>
        </w:rPr>
        <w:t>, and 494 ± 126 µg/m</w:t>
      </w:r>
      <w:r w:rsidR="00FA0F55" w:rsidRPr="003F323C">
        <w:rPr>
          <w:szCs w:val="22"/>
        </w:rPr>
        <w:t>L</w:t>
      </w:r>
      <w:r w:rsidR="00F067DF" w:rsidRPr="003F323C">
        <w:rPr>
          <w:szCs w:val="22"/>
        </w:rPr>
        <w:t>, respectively</w:t>
      </w:r>
      <w:r w:rsidRPr="003F323C">
        <w:rPr>
          <w:szCs w:val="22"/>
        </w:rPr>
        <w:t>.</w:t>
      </w:r>
    </w:p>
    <w:p w14:paraId="09E5EE96" w14:textId="77777777" w:rsidR="00B03EF1" w:rsidRPr="003F323C" w:rsidRDefault="00B03EF1" w:rsidP="00672F96">
      <w:pPr>
        <w:spacing w:line="240" w:lineRule="auto"/>
        <w:rPr>
          <w:szCs w:val="22"/>
        </w:rPr>
      </w:pPr>
    </w:p>
    <w:p w14:paraId="2F94C31E" w14:textId="77777777" w:rsidR="00925A2E" w:rsidRPr="003F323C" w:rsidRDefault="00522617" w:rsidP="00672F96">
      <w:pPr>
        <w:spacing w:line="240" w:lineRule="auto"/>
        <w:rPr>
          <w:szCs w:val="22"/>
          <w:u w:val="single"/>
        </w:rPr>
      </w:pPr>
      <w:r w:rsidRPr="003F323C">
        <w:rPr>
          <w:szCs w:val="22"/>
          <w:u w:val="single"/>
        </w:rPr>
        <w:t>Distribution</w:t>
      </w:r>
    </w:p>
    <w:p w14:paraId="2F94C31F" w14:textId="77777777" w:rsidR="00925A2E" w:rsidRPr="003F323C" w:rsidRDefault="00925A2E" w:rsidP="00672F96">
      <w:pPr>
        <w:spacing w:line="240" w:lineRule="auto"/>
        <w:rPr>
          <w:szCs w:val="22"/>
        </w:rPr>
      </w:pPr>
    </w:p>
    <w:p w14:paraId="2F94C321" w14:textId="07F5DB5E" w:rsidR="00762ACB" w:rsidRPr="00672F96" w:rsidRDefault="00522617" w:rsidP="00672F96">
      <w:pPr>
        <w:spacing w:line="240" w:lineRule="auto"/>
        <w:rPr>
          <w:szCs w:val="22"/>
        </w:rPr>
      </w:pPr>
      <w:proofErr w:type="spellStart"/>
      <w:r w:rsidRPr="003F323C">
        <w:rPr>
          <w:szCs w:val="22"/>
        </w:rPr>
        <w:t>Treosulfan</w:t>
      </w:r>
      <w:proofErr w:type="spellEnd"/>
      <w:r w:rsidRPr="003F323C">
        <w:rPr>
          <w:szCs w:val="22"/>
        </w:rPr>
        <w:t xml:space="preserve"> is rapidly distributed in the body.</w:t>
      </w:r>
      <w:r w:rsidR="00B03EF1">
        <w:rPr>
          <w:szCs w:val="22"/>
        </w:rPr>
        <w:t xml:space="preserve"> A very low penetration of blood-brain-barrier by </w:t>
      </w:r>
      <w:proofErr w:type="spellStart"/>
      <w:r w:rsidR="00B03EF1">
        <w:rPr>
          <w:szCs w:val="22"/>
        </w:rPr>
        <w:t>treosulfan</w:t>
      </w:r>
      <w:proofErr w:type="spellEnd"/>
      <w:r w:rsidR="00B03EF1">
        <w:rPr>
          <w:szCs w:val="22"/>
        </w:rPr>
        <w:t xml:space="preserve"> was observed in rats. The </w:t>
      </w:r>
      <w:proofErr w:type="spellStart"/>
      <w:r w:rsidR="00B03EF1">
        <w:rPr>
          <w:szCs w:val="22"/>
        </w:rPr>
        <w:t>treosulfan</w:t>
      </w:r>
      <w:proofErr w:type="spellEnd"/>
      <w:r w:rsidR="00B03EF1">
        <w:rPr>
          <w:szCs w:val="22"/>
        </w:rPr>
        <w:t xml:space="preserve"> concentrations in brain tissue were 95%–98% lower than in plasma. However, an approximately 3-fold higher exposure in brain tissue of juvenile rats in comparison to young adults was found.</w:t>
      </w:r>
      <w:r w:rsidRPr="003F323C">
        <w:rPr>
          <w:szCs w:val="22"/>
        </w:rPr>
        <w:t xml:space="preserve"> </w:t>
      </w:r>
      <w:r w:rsidR="00762ACB" w:rsidRPr="003F323C">
        <w:rPr>
          <w:szCs w:val="22"/>
        </w:rPr>
        <w:t>The volume of distribution in adult patients is about 20</w:t>
      </w:r>
      <w:r w:rsidR="00A41FDE" w:rsidRPr="003F323C">
        <w:rPr>
          <w:szCs w:val="22"/>
        </w:rPr>
        <w:t>–</w:t>
      </w:r>
      <w:r w:rsidR="00762ACB" w:rsidRPr="003F323C">
        <w:rPr>
          <w:szCs w:val="22"/>
        </w:rPr>
        <w:t>30 litres.</w:t>
      </w:r>
      <w:r w:rsidR="00762ACB" w:rsidRPr="003F323C">
        <w:rPr>
          <w:szCs w:val="22"/>
          <w:lang w:eastAsia="de-DE"/>
        </w:rPr>
        <w:t xml:space="preserve"> </w:t>
      </w:r>
      <w:r w:rsidR="00762ACB" w:rsidRPr="003F323C">
        <w:rPr>
          <w:szCs w:val="22"/>
        </w:rPr>
        <w:t xml:space="preserve">No dose accumulation with the </w:t>
      </w:r>
      <w:r w:rsidR="00405BD5" w:rsidRPr="003F323C">
        <w:rPr>
          <w:szCs w:val="22"/>
        </w:rPr>
        <w:t>recommended daily treatment on three consecutive days</w:t>
      </w:r>
      <w:r w:rsidR="00762ACB" w:rsidRPr="003F323C">
        <w:rPr>
          <w:szCs w:val="22"/>
        </w:rPr>
        <w:t xml:space="preserve"> was</w:t>
      </w:r>
      <w:r w:rsidR="00762ACB" w:rsidRPr="00672F96">
        <w:rPr>
          <w:szCs w:val="22"/>
        </w:rPr>
        <w:t xml:space="preserve"> observed.</w:t>
      </w:r>
      <w:r w:rsidR="00146151">
        <w:rPr>
          <w:szCs w:val="22"/>
        </w:rPr>
        <w:t xml:space="preserve"> </w:t>
      </w:r>
      <w:proofErr w:type="spellStart"/>
      <w:r w:rsidRPr="00672F96">
        <w:rPr>
          <w:szCs w:val="22"/>
        </w:rPr>
        <w:t>Treosulfan</w:t>
      </w:r>
      <w:proofErr w:type="spellEnd"/>
      <w:r w:rsidRPr="00672F96">
        <w:rPr>
          <w:szCs w:val="22"/>
        </w:rPr>
        <w:t xml:space="preserve"> does not bind to plasma proteins.</w:t>
      </w:r>
    </w:p>
    <w:p w14:paraId="2F94C322" w14:textId="77777777" w:rsidR="00762ACB" w:rsidRPr="00672F96" w:rsidRDefault="00762ACB" w:rsidP="00672F96">
      <w:pPr>
        <w:spacing w:line="240" w:lineRule="auto"/>
        <w:rPr>
          <w:szCs w:val="22"/>
        </w:rPr>
      </w:pPr>
    </w:p>
    <w:p w14:paraId="2F94C323" w14:textId="7DED4CA2" w:rsidR="00B87703" w:rsidRPr="00672F96" w:rsidRDefault="00146151" w:rsidP="00672F96">
      <w:pPr>
        <w:spacing w:line="240" w:lineRule="auto"/>
        <w:rPr>
          <w:szCs w:val="22"/>
          <w:u w:val="single"/>
        </w:rPr>
      </w:pPr>
      <w:r>
        <w:rPr>
          <w:szCs w:val="22"/>
          <w:u w:val="single"/>
        </w:rPr>
        <w:t>Metabolism</w:t>
      </w:r>
    </w:p>
    <w:p w14:paraId="2F94C324" w14:textId="77777777" w:rsidR="00A41FDE" w:rsidRPr="00672F96" w:rsidRDefault="00A41FDE" w:rsidP="00672F96">
      <w:pPr>
        <w:spacing w:line="240" w:lineRule="auto"/>
        <w:rPr>
          <w:szCs w:val="22"/>
          <w:u w:val="single"/>
        </w:rPr>
      </w:pPr>
    </w:p>
    <w:p w14:paraId="2F94C325" w14:textId="77777777" w:rsidR="00A41FDE" w:rsidRPr="00672F96" w:rsidRDefault="00522617" w:rsidP="00672F96">
      <w:pPr>
        <w:spacing w:line="240" w:lineRule="auto"/>
        <w:rPr>
          <w:szCs w:val="22"/>
        </w:rPr>
      </w:pPr>
      <w:r w:rsidRPr="00672F96">
        <w:rPr>
          <w:szCs w:val="22"/>
        </w:rPr>
        <w:t xml:space="preserve">Under physiological conditions (pH 7.4, temperature 37 °C), the pharmacologically inactive </w:t>
      </w:r>
      <w:proofErr w:type="spellStart"/>
      <w:r w:rsidRPr="00672F96">
        <w:rPr>
          <w:szCs w:val="22"/>
        </w:rPr>
        <w:t>treosulfan</w:t>
      </w:r>
      <w:proofErr w:type="spellEnd"/>
      <w:r w:rsidRPr="00672F96">
        <w:rPr>
          <w:szCs w:val="22"/>
        </w:rPr>
        <w:t xml:space="preserve"> is converted spontaneously (non</w:t>
      </w:r>
      <w:r w:rsidR="00551DAD" w:rsidRPr="00672F96">
        <w:rPr>
          <w:szCs w:val="22"/>
        </w:rPr>
        <w:noBreakHyphen/>
      </w:r>
      <w:r w:rsidRPr="00672F96">
        <w:rPr>
          <w:szCs w:val="22"/>
        </w:rPr>
        <w:t>enzymatically) into the active monoepoxide intermediate (</w:t>
      </w:r>
      <w:proofErr w:type="gramStart"/>
      <w:r w:rsidRPr="00672F96">
        <w:rPr>
          <w:szCs w:val="22"/>
        </w:rPr>
        <w:t>S,S</w:t>
      </w:r>
      <w:proofErr w:type="gramEnd"/>
      <w:r w:rsidRPr="00672F96">
        <w:rPr>
          <w:szCs w:val="22"/>
        </w:rPr>
        <w:noBreakHyphen/>
        <w:t>EBDM = (2S,3S)</w:t>
      </w:r>
      <w:r w:rsidRPr="00672F96">
        <w:rPr>
          <w:szCs w:val="22"/>
        </w:rPr>
        <w:noBreakHyphen/>
        <w:t>1,2</w:t>
      </w:r>
      <w:r w:rsidRPr="00672F96">
        <w:rPr>
          <w:szCs w:val="22"/>
        </w:rPr>
        <w:noBreakHyphen/>
        <w:t>epoxybutane</w:t>
      </w:r>
      <w:r w:rsidRPr="00672F96">
        <w:rPr>
          <w:szCs w:val="22"/>
        </w:rPr>
        <w:noBreakHyphen/>
        <w:t>3,4</w:t>
      </w:r>
      <w:r w:rsidRPr="00672F96">
        <w:rPr>
          <w:szCs w:val="22"/>
        </w:rPr>
        <w:noBreakHyphen/>
        <w:t>diol</w:t>
      </w:r>
      <w:r w:rsidRPr="00672F96">
        <w:rPr>
          <w:szCs w:val="22"/>
        </w:rPr>
        <w:noBreakHyphen/>
        <w:t>4</w:t>
      </w:r>
      <w:r w:rsidRPr="00672F96">
        <w:rPr>
          <w:szCs w:val="22"/>
        </w:rPr>
        <w:noBreakHyphen/>
        <w:t>methanesulfonate) and finally to L</w:t>
      </w:r>
      <w:r w:rsidRPr="00672F96">
        <w:rPr>
          <w:szCs w:val="22"/>
        </w:rPr>
        <w:noBreakHyphen/>
      </w:r>
      <w:proofErr w:type="spellStart"/>
      <w:r w:rsidRPr="00672F96">
        <w:rPr>
          <w:szCs w:val="22"/>
        </w:rPr>
        <w:t>diepoxibutane</w:t>
      </w:r>
      <w:proofErr w:type="spellEnd"/>
      <w:r w:rsidRPr="00672F96">
        <w:rPr>
          <w:szCs w:val="22"/>
        </w:rPr>
        <w:t xml:space="preserve"> (S,S</w:t>
      </w:r>
      <w:r w:rsidRPr="00672F96">
        <w:rPr>
          <w:szCs w:val="22"/>
        </w:rPr>
        <w:noBreakHyphen/>
        <w:t>DEB = (2S,3S)</w:t>
      </w:r>
      <w:r w:rsidRPr="00672F96">
        <w:rPr>
          <w:szCs w:val="22"/>
        </w:rPr>
        <w:noBreakHyphen/>
        <w:t>1,2:3,4</w:t>
      </w:r>
      <w:r w:rsidRPr="00672F96">
        <w:rPr>
          <w:szCs w:val="22"/>
        </w:rPr>
        <w:noBreakHyphen/>
        <w:t>diepoxybutane).</w:t>
      </w:r>
    </w:p>
    <w:p w14:paraId="02C57DC1" w14:textId="44C09201" w:rsidR="00146151" w:rsidRDefault="00146151" w:rsidP="00672F96">
      <w:pPr>
        <w:spacing w:line="240" w:lineRule="auto"/>
        <w:rPr>
          <w:lang w:val="en-US"/>
        </w:rPr>
      </w:pPr>
      <w:r>
        <w:rPr>
          <w:lang w:val="en-US"/>
        </w:rPr>
        <w:t xml:space="preserve"> </w:t>
      </w:r>
    </w:p>
    <w:p w14:paraId="58F99685" w14:textId="4B651E7E" w:rsidR="00146151" w:rsidRPr="00672F96" w:rsidRDefault="00146151" w:rsidP="00672F96">
      <w:pPr>
        <w:spacing w:line="240" w:lineRule="auto"/>
        <w:rPr>
          <w:szCs w:val="22"/>
        </w:rPr>
      </w:pPr>
      <w:r w:rsidRPr="00146151">
        <w:rPr>
          <w:i/>
          <w:iCs/>
          <w:lang w:val="en-US"/>
        </w:rPr>
        <w:t>In vitro</w:t>
      </w:r>
      <w:r>
        <w:rPr>
          <w:lang w:val="en-US"/>
        </w:rPr>
        <w:t xml:space="preserve"> data </w:t>
      </w:r>
      <w:r>
        <w:rPr>
          <w:szCs w:val="22"/>
        </w:rPr>
        <w:t xml:space="preserve">indicates that </w:t>
      </w:r>
      <w:proofErr w:type="spellStart"/>
      <w:r>
        <w:rPr>
          <w:szCs w:val="22"/>
        </w:rPr>
        <w:t>treosulfan</w:t>
      </w:r>
      <w:proofErr w:type="spellEnd"/>
      <w:r>
        <w:rPr>
          <w:szCs w:val="22"/>
        </w:rPr>
        <w:t xml:space="preserve"> is weakly metabolised by CYP2D6.</w:t>
      </w:r>
    </w:p>
    <w:p w14:paraId="2F94C327" w14:textId="77777777" w:rsidR="00AE0267" w:rsidRPr="00672F96" w:rsidRDefault="00AE0267" w:rsidP="00672F96">
      <w:pPr>
        <w:spacing w:line="240" w:lineRule="auto"/>
        <w:rPr>
          <w:szCs w:val="22"/>
        </w:rPr>
      </w:pPr>
    </w:p>
    <w:p w14:paraId="2F94C328" w14:textId="2AAE15AB" w:rsidR="00E04F7F" w:rsidRPr="00672F96" w:rsidRDefault="00146151" w:rsidP="00672F96">
      <w:pPr>
        <w:spacing w:line="240" w:lineRule="auto"/>
        <w:rPr>
          <w:szCs w:val="22"/>
          <w:u w:val="single"/>
        </w:rPr>
      </w:pPr>
      <w:r>
        <w:rPr>
          <w:szCs w:val="22"/>
          <w:u w:val="single"/>
        </w:rPr>
        <w:t>Excretion</w:t>
      </w:r>
    </w:p>
    <w:p w14:paraId="2F94C329" w14:textId="77777777" w:rsidR="00A41FDE" w:rsidRPr="00672F96" w:rsidRDefault="00A41FDE" w:rsidP="00672F96">
      <w:pPr>
        <w:spacing w:line="240" w:lineRule="auto"/>
        <w:rPr>
          <w:szCs w:val="22"/>
          <w:u w:val="single"/>
        </w:rPr>
      </w:pPr>
    </w:p>
    <w:p w14:paraId="2F94C32A" w14:textId="77777777" w:rsidR="00A94C7C" w:rsidRPr="003F323C" w:rsidRDefault="00522617" w:rsidP="00672F96">
      <w:pPr>
        <w:spacing w:line="240" w:lineRule="auto"/>
        <w:rPr>
          <w:szCs w:val="22"/>
        </w:rPr>
      </w:pPr>
      <w:r w:rsidRPr="00672F96">
        <w:rPr>
          <w:szCs w:val="22"/>
        </w:rPr>
        <w:t xml:space="preserve">Plasma </w:t>
      </w:r>
      <w:r w:rsidRPr="003F323C">
        <w:rPr>
          <w:szCs w:val="22"/>
        </w:rPr>
        <w:t xml:space="preserve">concentrations of </w:t>
      </w:r>
      <w:proofErr w:type="spellStart"/>
      <w:r w:rsidR="006008F5" w:rsidRPr="003F323C">
        <w:rPr>
          <w:szCs w:val="22"/>
        </w:rPr>
        <w:t>treosulfan</w:t>
      </w:r>
      <w:proofErr w:type="spellEnd"/>
      <w:r w:rsidRPr="003F323C">
        <w:rPr>
          <w:szCs w:val="22"/>
        </w:rPr>
        <w:t xml:space="preserve"> decline exponentially and are best described by a first order elimination process fitted by a two</w:t>
      </w:r>
      <w:r w:rsidR="00BB6EAF" w:rsidRPr="003F323C">
        <w:rPr>
          <w:szCs w:val="22"/>
        </w:rPr>
        <w:noBreakHyphen/>
      </w:r>
      <w:r w:rsidRPr="003F323C">
        <w:rPr>
          <w:szCs w:val="22"/>
        </w:rPr>
        <w:t xml:space="preserve">compartment model. </w:t>
      </w:r>
    </w:p>
    <w:p w14:paraId="2F94C32B" w14:textId="77777777" w:rsidR="00AE0267" w:rsidRPr="003F323C" w:rsidRDefault="00522617" w:rsidP="00672F96">
      <w:pPr>
        <w:spacing w:line="240" w:lineRule="auto"/>
        <w:rPr>
          <w:szCs w:val="22"/>
        </w:rPr>
      </w:pPr>
      <w:r w:rsidRPr="003F323C">
        <w:rPr>
          <w:szCs w:val="22"/>
        </w:rPr>
        <w:t>The terminal half</w:t>
      </w:r>
      <w:r w:rsidR="00BB6EAF" w:rsidRPr="003F323C">
        <w:rPr>
          <w:szCs w:val="22"/>
        </w:rPr>
        <w:noBreakHyphen/>
      </w:r>
      <w:r w:rsidRPr="003F323C">
        <w:rPr>
          <w:szCs w:val="22"/>
        </w:rPr>
        <w:t>life (T</w:t>
      </w:r>
      <w:r w:rsidRPr="003F323C">
        <w:rPr>
          <w:szCs w:val="22"/>
          <w:vertAlign w:val="subscript"/>
        </w:rPr>
        <w:t>1/2ß</w:t>
      </w:r>
      <w:r w:rsidRPr="003F323C">
        <w:rPr>
          <w:szCs w:val="22"/>
        </w:rPr>
        <w:t xml:space="preserve">) of intravenously administered </w:t>
      </w:r>
      <w:proofErr w:type="spellStart"/>
      <w:r w:rsidRPr="003F323C">
        <w:rPr>
          <w:szCs w:val="22"/>
        </w:rPr>
        <w:t>treosulfan</w:t>
      </w:r>
      <w:proofErr w:type="spellEnd"/>
      <w:r w:rsidRPr="003F323C">
        <w:rPr>
          <w:szCs w:val="22"/>
        </w:rPr>
        <w:t xml:space="preserve"> (up to 47 g/m²) is approximately 2 hours</w:t>
      </w:r>
      <w:r w:rsidR="00F94B00" w:rsidRPr="003F323C">
        <w:rPr>
          <w:szCs w:val="22"/>
        </w:rPr>
        <w:t xml:space="preserve">. </w:t>
      </w:r>
      <w:r w:rsidRPr="003F323C">
        <w:rPr>
          <w:szCs w:val="22"/>
        </w:rPr>
        <w:t xml:space="preserve">Approximately </w:t>
      </w:r>
      <w:r w:rsidR="00F94B00" w:rsidRPr="003F323C">
        <w:rPr>
          <w:szCs w:val="22"/>
        </w:rPr>
        <w:t>25</w:t>
      </w:r>
      <w:r w:rsidRPr="003F323C">
        <w:rPr>
          <w:szCs w:val="22"/>
        </w:rPr>
        <w:t xml:space="preserve">–40% of the </w:t>
      </w:r>
      <w:proofErr w:type="spellStart"/>
      <w:r w:rsidR="00FE6789" w:rsidRPr="003F323C">
        <w:rPr>
          <w:szCs w:val="22"/>
        </w:rPr>
        <w:t>treosulfan</w:t>
      </w:r>
      <w:proofErr w:type="spellEnd"/>
      <w:r w:rsidR="00FE6789" w:rsidRPr="003F323C">
        <w:rPr>
          <w:szCs w:val="22"/>
        </w:rPr>
        <w:t xml:space="preserve"> dose </w:t>
      </w:r>
      <w:r w:rsidR="00152299" w:rsidRPr="003F323C">
        <w:rPr>
          <w:szCs w:val="22"/>
        </w:rPr>
        <w:t>is</w:t>
      </w:r>
      <w:r w:rsidRPr="003F323C">
        <w:rPr>
          <w:szCs w:val="22"/>
        </w:rPr>
        <w:t xml:space="preserve"> excreted unchanged with the urine within 24</w:t>
      </w:r>
      <w:r w:rsidR="00E04F7F" w:rsidRPr="003F323C">
        <w:rPr>
          <w:szCs w:val="22"/>
        </w:rPr>
        <w:t> </w:t>
      </w:r>
      <w:r w:rsidRPr="003F323C">
        <w:rPr>
          <w:szCs w:val="22"/>
        </w:rPr>
        <w:t>h</w:t>
      </w:r>
      <w:r w:rsidR="00F94B00" w:rsidRPr="003F323C">
        <w:rPr>
          <w:szCs w:val="22"/>
        </w:rPr>
        <w:t>ours</w:t>
      </w:r>
      <w:r w:rsidRPr="003F323C">
        <w:rPr>
          <w:szCs w:val="22"/>
        </w:rPr>
        <w:t>, nearly 90% of which within the first 6</w:t>
      </w:r>
      <w:r w:rsidR="00E04F7F" w:rsidRPr="003F323C">
        <w:rPr>
          <w:szCs w:val="22"/>
        </w:rPr>
        <w:t> </w:t>
      </w:r>
      <w:r w:rsidRPr="003F323C">
        <w:rPr>
          <w:szCs w:val="22"/>
        </w:rPr>
        <w:t>h</w:t>
      </w:r>
      <w:r w:rsidR="00F94B00" w:rsidRPr="003F323C">
        <w:rPr>
          <w:szCs w:val="22"/>
        </w:rPr>
        <w:t>ours</w:t>
      </w:r>
      <w:r w:rsidRPr="003F323C">
        <w:rPr>
          <w:szCs w:val="22"/>
        </w:rPr>
        <w:t xml:space="preserve"> after administration.</w:t>
      </w:r>
    </w:p>
    <w:p w14:paraId="2F94C32C" w14:textId="77777777" w:rsidR="00F94B00" w:rsidRPr="003F323C" w:rsidRDefault="00F94B00" w:rsidP="00672F96">
      <w:pPr>
        <w:spacing w:line="240" w:lineRule="auto"/>
        <w:rPr>
          <w:szCs w:val="22"/>
          <w:u w:val="single"/>
        </w:rPr>
      </w:pPr>
    </w:p>
    <w:p w14:paraId="2F94C32D" w14:textId="77777777" w:rsidR="00B87703" w:rsidRPr="00672F96" w:rsidRDefault="00522617" w:rsidP="00672F96">
      <w:pPr>
        <w:spacing w:line="240" w:lineRule="auto"/>
        <w:rPr>
          <w:szCs w:val="22"/>
          <w:u w:val="single"/>
        </w:rPr>
      </w:pPr>
      <w:r w:rsidRPr="003F323C">
        <w:rPr>
          <w:szCs w:val="22"/>
          <w:u w:val="single"/>
        </w:rPr>
        <w:t>Linearity</w:t>
      </w:r>
      <w:r w:rsidR="008804D1" w:rsidRPr="003F323C">
        <w:rPr>
          <w:szCs w:val="22"/>
          <w:u w:val="single"/>
        </w:rPr>
        <w:t>/non</w:t>
      </w:r>
      <w:r w:rsidR="00BB6EAF" w:rsidRPr="003F323C">
        <w:rPr>
          <w:szCs w:val="22"/>
          <w:u w:val="single"/>
        </w:rPr>
        <w:noBreakHyphen/>
      </w:r>
      <w:r w:rsidR="008804D1" w:rsidRPr="003F323C">
        <w:rPr>
          <w:szCs w:val="22"/>
          <w:u w:val="single"/>
        </w:rPr>
        <w:t>linearity</w:t>
      </w:r>
    </w:p>
    <w:p w14:paraId="2F94C32E" w14:textId="77777777" w:rsidR="00A41FDE" w:rsidRPr="00672F96" w:rsidRDefault="00A41FDE" w:rsidP="00672F96">
      <w:pPr>
        <w:spacing w:line="240" w:lineRule="auto"/>
        <w:rPr>
          <w:szCs w:val="22"/>
          <w:u w:val="single"/>
        </w:rPr>
      </w:pPr>
    </w:p>
    <w:p w14:paraId="2F94C32F" w14:textId="3649E255" w:rsidR="00B87703" w:rsidRDefault="00522617" w:rsidP="00672F96">
      <w:pPr>
        <w:spacing w:line="240" w:lineRule="auto"/>
        <w:rPr>
          <w:szCs w:val="22"/>
        </w:rPr>
      </w:pPr>
      <w:r w:rsidRPr="00672F96">
        <w:rPr>
          <w:szCs w:val="22"/>
        </w:rPr>
        <w:t>Regression analysis of the area under the curve (</w:t>
      </w:r>
      <w:r w:rsidRPr="00F072EF">
        <w:rPr>
          <w:szCs w:val="22"/>
        </w:rPr>
        <w:t>AUC</w:t>
      </w:r>
      <w:r w:rsidRPr="00F072EF">
        <w:rPr>
          <w:szCs w:val="22"/>
          <w:vertAlign w:val="subscript"/>
        </w:rPr>
        <w:t>0-∞</w:t>
      </w:r>
      <w:r w:rsidRPr="00F072EF">
        <w:rPr>
          <w:szCs w:val="22"/>
        </w:rPr>
        <w:t xml:space="preserve">) </w:t>
      </w:r>
      <w:r w:rsidRPr="00F072EF">
        <w:rPr>
          <w:i/>
          <w:szCs w:val="22"/>
        </w:rPr>
        <w:t>versus</w:t>
      </w:r>
      <w:r w:rsidRPr="00F072EF">
        <w:rPr>
          <w:i/>
          <w:iCs/>
          <w:szCs w:val="22"/>
        </w:rPr>
        <w:t xml:space="preserve"> </w:t>
      </w:r>
      <w:proofErr w:type="spellStart"/>
      <w:r w:rsidRPr="00F072EF">
        <w:rPr>
          <w:szCs w:val="22"/>
        </w:rPr>
        <w:t>treosulfan</w:t>
      </w:r>
      <w:proofErr w:type="spellEnd"/>
      <w:r w:rsidRPr="00F072EF">
        <w:rPr>
          <w:szCs w:val="22"/>
        </w:rPr>
        <w:t xml:space="preserve"> dose indicated a linear correlation.</w:t>
      </w:r>
    </w:p>
    <w:p w14:paraId="4B7CA361" w14:textId="77777777" w:rsidR="00391E4A" w:rsidRPr="00F072EF" w:rsidRDefault="00391E4A" w:rsidP="00672F96">
      <w:pPr>
        <w:spacing w:line="240" w:lineRule="auto"/>
        <w:rPr>
          <w:szCs w:val="22"/>
        </w:rPr>
      </w:pPr>
    </w:p>
    <w:p w14:paraId="2F94C330" w14:textId="77777777" w:rsidR="000E3C23" w:rsidRPr="00F072EF" w:rsidRDefault="000E3C23" w:rsidP="00672F96">
      <w:pPr>
        <w:tabs>
          <w:tab w:val="clear" w:pos="567"/>
        </w:tabs>
        <w:spacing w:line="240" w:lineRule="auto"/>
        <w:rPr>
          <w:szCs w:val="22"/>
          <w:u w:val="single"/>
        </w:rPr>
      </w:pPr>
    </w:p>
    <w:p w14:paraId="2F94C331" w14:textId="77777777" w:rsidR="009D0315" w:rsidRPr="00F072EF" w:rsidRDefault="00522617" w:rsidP="00672F96">
      <w:pPr>
        <w:spacing w:line="240" w:lineRule="auto"/>
        <w:rPr>
          <w:szCs w:val="22"/>
          <w:u w:val="single"/>
        </w:rPr>
      </w:pPr>
      <w:r w:rsidRPr="00F072EF">
        <w:rPr>
          <w:szCs w:val="22"/>
          <w:u w:val="single"/>
        </w:rPr>
        <w:t>Renal and hepatic impairment</w:t>
      </w:r>
    </w:p>
    <w:p w14:paraId="2F94C332" w14:textId="77777777" w:rsidR="009D0315" w:rsidRPr="00F072EF" w:rsidRDefault="009D0315" w:rsidP="00672F96">
      <w:pPr>
        <w:spacing w:line="240" w:lineRule="auto"/>
        <w:rPr>
          <w:szCs w:val="22"/>
        </w:rPr>
      </w:pPr>
    </w:p>
    <w:p w14:paraId="2F94C333" w14:textId="77777777" w:rsidR="009D0315" w:rsidRPr="00672F96" w:rsidRDefault="00522617" w:rsidP="00672F96">
      <w:pPr>
        <w:spacing w:line="240" w:lineRule="auto"/>
        <w:rPr>
          <w:szCs w:val="22"/>
        </w:rPr>
      </w:pPr>
      <w:r w:rsidRPr="00F072EF">
        <w:rPr>
          <w:szCs w:val="22"/>
        </w:rPr>
        <w:t xml:space="preserve">No pharmacokinetic studies with </w:t>
      </w:r>
      <w:proofErr w:type="spellStart"/>
      <w:r w:rsidRPr="00F072EF">
        <w:rPr>
          <w:szCs w:val="22"/>
        </w:rPr>
        <w:t>treosulfan</w:t>
      </w:r>
      <w:proofErr w:type="spellEnd"/>
      <w:r w:rsidRPr="00F072EF">
        <w:rPr>
          <w:szCs w:val="22"/>
        </w:rPr>
        <w:t xml:space="preserve"> were done in patients with </w:t>
      </w:r>
      <w:r w:rsidR="00405BD5" w:rsidRPr="00F072EF">
        <w:rPr>
          <w:szCs w:val="22"/>
        </w:rPr>
        <w:t xml:space="preserve">severe </w:t>
      </w:r>
      <w:r w:rsidRPr="00F072EF">
        <w:rPr>
          <w:szCs w:val="22"/>
        </w:rPr>
        <w:t xml:space="preserve">renal </w:t>
      </w:r>
      <w:r w:rsidR="00405BD5" w:rsidRPr="00F072EF">
        <w:rPr>
          <w:szCs w:val="22"/>
        </w:rPr>
        <w:t>or</w:t>
      </w:r>
      <w:r w:rsidRPr="00F072EF">
        <w:rPr>
          <w:szCs w:val="22"/>
        </w:rPr>
        <w:t xml:space="preserve"> hepatic </w:t>
      </w:r>
      <w:proofErr w:type="gramStart"/>
      <w:r w:rsidRPr="00F072EF">
        <w:rPr>
          <w:szCs w:val="22"/>
        </w:rPr>
        <w:t>impairment</w:t>
      </w:r>
      <w:r w:rsidR="00405BD5" w:rsidRPr="00F072EF">
        <w:rPr>
          <w:szCs w:val="22"/>
        </w:rPr>
        <w:t>, because</w:t>
      </w:r>
      <w:proofErr w:type="gramEnd"/>
      <w:r w:rsidR="00405BD5" w:rsidRPr="00F072EF">
        <w:rPr>
          <w:szCs w:val="22"/>
        </w:rPr>
        <w:t xml:space="preserve"> such</w:t>
      </w:r>
      <w:r w:rsidRPr="00F072EF">
        <w:rPr>
          <w:szCs w:val="22"/>
        </w:rPr>
        <w:t xml:space="preserve"> patients </w:t>
      </w:r>
      <w:r w:rsidR="00405BD5" w:rsidRPr="00F072EF">
        <w:rPr>
          <w:szCs w:val="22"/>
        </w:rPr>
        <w:t>are generally</w:t>
      </w:r>
      <w:r w:rsidRPr="00F072EF">
        <w:rPr>
          <w:szCs w:val="22"/>
        </w:rPr>
        <w:t xml:space="preserve"> excluded from </w:t>
      </w:r>
      <w:proofErr w:type="spellStart"/>
      <w:r w:rsidR="00405BD5" w:rsidRPr="00F072EF">
        <w:rPr>
          <w:szCs w:val="22"/>
        </w:rPr>
        <w:t>alloHSCT</w:t>
      </w:r>
      <w:proofErr w:type="spellEnd"/>
      <w:r w:rsidR="00405BD5" w:rsidRPr="00F072EF">
        <w:rPr>
          <w:szCs w:val="22"/>
        </w:rPr>
        <w:t>.</w:t>
      </w:r>
      <w:r w:rsidRPr="00F072EF">
        <w:rPr>
          <w:szCs w:val="22"/>
        </w:rPr>
        <w:t xml:space="preserve"> About 25</w:t>
      </w:r>
      <w:r w:rsidR="00A41FDE" w:rsidRPr="00F072EF">
        <w:rPr>
          <w:szCs w:val="22"/>
        </w:rPr>
        <w:t>–</w:t>
      </w:r>
      <w:r w:rsidRPr="00F072EF">
        <w:rPr>
          <w:szCs w:val="22"/>
        </w:rPr>
        <w:t>40% of</w:t>
      </w:r>
      <w:r w:rsidRPr="00672F96">
        <w:rPr>
          <w:szCs w:val="22"/>
        </w:rPr>
        <w:t xml:space="preserve"> </w:t>
      </w:r>
      <w:proofErr w:type="spellStart"/>
      <w:r w:rsidR="00A41FDE" w:rsidRPr="00672F96">
        <w:rPr>
          <w:szCs w:val="22"/>
        </w:rPr>
        <w:t>treosulfan</w:t>
      </w:r>
      <w:proofErr w:type="spellEnd"/>
      <w:r w:rsidR="00A41FDE" w:rsidRPr="00672F96">
        <w:rPr>
          <w:szCs w:val="22"/>
        </w:rPr>
        <w:t xml:space="preserve"> </w:t>
      </w:r>
      <w:r w:rsidRPr="00672F96">
        <w:rPr>
          <w:szCs w:val="22"/>
        </w:rPr>
        <w:t xml:space="preserve">is excreted in urine; however, an influence of renal function on renal clearance of </w:t>
      </w:r>
      <w:proofErr w:type="spellStart"/>
      <w:r w:rsidRPr="00672F96">
        <w:rPr>
          <w:szCs w:val="22"/>
        </w:rPr>
        <w:t>treosulfan</w:t>
      </w:r>
      <w:proofErr w:type="spellEnd"/>
      <w:r w:rsidRPr="00672F96">
        <w:rPr>
          <w:szCs w:val="22"/>
        </w:rPr>
        <w:t xml:space="preserve"> was not observed.</w:t>
      </w:r>
    </w:p>
    <w:p w14:paraId="2F94C334" w14:textId="77777777" w:rsidR="009D0315" w:rsidRPr="00672F96" w:rsidRDefault="009D0315" w:rsidP="00672F96">
      <w:pPr>
        <w:spacing w:line="240" w:lineRule="auto"/>
        <w:rPr>
          <w:szCs w:val="22"/>
        </w:rPr>
      </w:pPr>
    </w:p>
    <w:p w14:paraId="2F94C335" w14:textId="77777777" w:rsidR="009D0315" w:rsidRPr="00672F96" w:rsidRDefault="00522617" w:rsidP="00672F96">
      <w:pPr>
        <w:spacing w:line="240" w:lineRule="auto"/>
        <w:rPr>
          <w:szCs w:val="22"/>
          <w:u w:val="single"/>
        </w:rPr>
      </w:pPr>
      <w:r w:rsidRPr="00672F96">
        <w:rPr>
          <w:szCs w:val="22"/>
          <w:u w:val="single"/>
        </w:rPr>
        <w:t>Paediatric population</w:t>
      </w:r>
    </w:p>
    <w:p w14:paraId="2F94C336" w14:textId="77777777" w:rsidR="00A41FDE" w:rsidRPr="00672F96" w:rsidRDefault="00A41FDE" w:rsidP="00672F96">
      <w:pPr>
        <w:spacing w:line="240" w:lineRule="auto"/>
        <w:rPr>
          <w:szCs w:val="22"/>
          <w:u w:val="single"/>
        </w:rPr>
      </w:pPr>
    </w:p>
    <w:p w14:paraId="2F94C337" w14:textId="77777777" w:rsidR="00157E2F" w:rsidRPr="00672F96" w:rsidRDefault="00522617" w:rsidP="00672F96">
      <w:pPr>
        <w:spacing w:line="240" w:lineRule="auto"/>
        <w:rPr>
          <w:szCs w:val="22"/>
        </w:rPr>
      </w:pPr>
      <w:r w:rsidRPr="00672F96">
        <w:rPr>
          <w:szCs w:val="22"/>
        </w:rPr>
        <w:t xml:space="preserve">Conventional </w:t>
      </w:r>
      <w:r w:rsidR="00867806" w:rsidRPr="00672F96">
        <w:rPr>
          <w:szCs w:val="22"/>
        </w:rPr>
        <w:t>dose calculation</w:t>
      </w:r>
      <w:r w:rsidRPr="00672F96">
        <w:rPr>
          <w:szCs w:val="22"/>
        </w:rPr>
        <w:t xml:space="preserve"> simply based on BSA results in a significantly higher exposure (</w:t>
      </w:r>
      <w:r w:rsidR="00867806" w:rsidRPr="00672F96">
        <w:rPr>
          <w:szCs w:val="22"/>
        </w:rPr>
        <w:t>AUC</w:t>
      </w:r>
      <w:r w:rsidRPr="00672F96">
        <w:rPr>
          <w:szCs w:val="22"/>
        </w:rPr>
        <w:t>) of smaller children and infants with low BSA compared to adolescents or adults.</w:t>
      </w:r>
      <w:r w:rsidR="008D178A" w:rsidRPr="00672F96">
        <w:rPr>
          <w:szCs w:val="22"/>
        </w:rPr>
        <w:t xml:space="preserve"> Therefore, dosing of </w:t>
      </w:r>
      <w:proofErr w:type="spellStart"/>
      <w:r w:rsidR="008D178A" w:rsidRPr="00672F96">
        <w:rPr>
          <w:szCs w:val="22"/>
        </w:rPr>
        <w:t>treosulfan</w:t>
      </w:r>
      <w:proofErr w:type="spellEnd"/>
      <w:r w:rsidR="008D178A" w:rsidRPr="00672F96">
        <w:rPr>
          <w:szCs w:val="22"/>
        </w:rPr>
        <w:t xml:space="preserve"> in paediatric patients </w:t>
      </w:r>
      <w:proofErr w:type="gramStart"/>
      <w:r w:rsidR="008D178A" w:rsidRPr="00672F96">
        <w:rPr>
          <w:szCs w:val="22"/>
        </w:rPr>
        <w:t>h</w:t>
      </w:r>
      <w:r w:rsidR="00551DAD" w:rsidRPr="00672F96">
        <w:rPr>
          <w:szCs w:val="22"/>
        </w:rPr>
        <w:t>as</w:t>
      </w:r>
      <w:r w:rsidR="008D178A" w:rsidRPr="00672F96">
        <w:rPr>
          <w:szCs w:val="22"/>
        </w:rPr>
        <w:t xml:space="preserve"> to</w:t>
      </w:r>
      <w:proofErr w:type="gramEnd"/>
      <w:r w:rsidR="008D178A" w:rsidRPr="00672F96">
        <w:rPr>
          <w:szCs w:val="22"/>
        </w:rPr>
        <w:t xml:space="preserve"> be adapted to the BSA (see section 4.2).</w:t>
      </w:r>
    </w:p>
    <w:p w14:paraId="2F94C338" w14:textId="77777777" w:rsidR="008D178A" w:rsidRPr="00F072EF" w:rsidRDefault="00522617" w:rsidP="00672F96">
      <w:pPr>
        <w:spacing w:line="240" w:lineRule="auto"/>
        <w:rPr>
          <w:szCs w:val="22"/>
        </w:rPr>
      </w:pPr>
      <w:r w:rsidRPr="00672F96">
        <w:rPr>
          <w:szCs w:val="22"/>
        </w:rPr>
        <w:t xml:space="preserve">Mean apparent terminal </w:t>
      </w:r>
      <w:r w:rsidRPr="00F072EF">
        <w:rPr>
          <w:szCs w:val="22"/>
        </w:rPr>
        <w:t>half</w:t>
      </w:r>
      <w:r w:rsidR="00BB6EAF" w:rsidRPr="00F072EF">
        <w:rPr>
          <w:szCs w:val="22"/>
        </w:rPr>
        <w:noBreakHyphen/>
      </w:r>
      <w:r w:rsidRPr="00F072EF">
        <w:rPr>
          <w:szCs w:val="22"/>
        </w:rPr>
        <w:t xml:space="preserve">life </w:t>
      </w:r>
      <w:r w:rsidR="00D23AA6" w:rsidRPr="00F072EF">
        <w:rPr>
          <w:szCs w:val="22"/>
        </w:rPr>
        <w:t xml:space="preserve">of </w:t>
      </w:r>
      <w:proofErr w:type="spellStart"/>
      <w:r w:rsidR="00D23AA6" w:rsidRPr="00F072EF">
        <w:rPr>
          <w:szCs w:val="22"/>
        </w:rPr>
        <w:t>treosulfan</w:t>
      </w:r>
      <w:proofErr w:type="spellEnd"/>
      <w:r w:rsidR="00D23AA6" w:rsidRPr="00F072EF">
        <w:rPr>
          <w:szCs w:val="22"/>
        </w:rPr>
        <w:t xml:space="preserve"> </w:t>
      </w:r>
      <w:r w:rsidRPr="00F072EF">
        <w:rPr>
          <w:szCs w:val="22"/>
        </w:rPr>
        <w:t>was comparable between the different age groups and ranged between 1.3</w:t>
      </w:r>
      <w:r w:rsidR="00A41FDE" w:rsidRPr="00F072EF">
        <w:rPr>
          <w:szCs w:val="22"/>
        </w:rPr>
        <w:t> </w:t>
      </w:r>
      <w:r w:rsidRPr="00F072EF">
        <w:rPr>
          <w:szCs w:val="22"/>
        </w:rPr>
        <w:t>and 1.6 h</w:t>
      </w:r>
      <w:r w:rsidR="00D23AA6" w:rsidRPr="00F072EF">
        <w:rPr>
          <w:szCs w:val="22"/>
        </w:rPr>
        <w:t>ours</w:t>
      </w:r>
      <w:r w:rsidRPr="00F072EF">
        <w:rPr>
          <w:szCs w:val="22"/>
        </w:rPr>
        <w:t>.</w:t>
      </w:r>
    </w:p>
    <w:p w14:paraId="2F94C339" w14:textId="4E7F8F06" w:rsidR="009D0315" w:rsidRDefault="009D0315" w:rsidP="00672F96">
      <w:pPr>
        <w:spacing w:line="240" w:lineRule="auto"/>
        <w:rPr>
          <w:szCs w:val="22"/>
        </w:rPr>
      </w:pPr>
    </w:p>
    <w:p w14:paraId="0E9EB1C0" w14:textId="5BFED11B" w:rsidR="006A3ED2" w:rsidRDefault="006A3ED2" w:rsidP="00672F96">
      <w:pPr>
        <w:spacing w:line="240" w:lineRule="auto"/>
        <w:rPr>
          <w:szCs w:val="22"/>
        </w:rPr>
      </w:pPr>
    </w:p>
    <w:p w14:paraId="2F94C33A" w14:textId="77777777" w:rsidR="00AE0267" w:rsidRDefault="00522617" w:rsidP="00672F96">
      <w:pPr>
        <w:pStyle w:val="Heading3"/>
        <w:rPr>
          <w:szCs w:val="22"/>
        </w:rPr>
      </w:pPr>
      <w:r w:rsidRPr="00F072EF">
        <w:rPr>
          <w:szCs w:val="22"/>
        </w:rPr>
        <w:t>5.3</w:t>
      </w:r>
      <w:r w:rsidRPr="00F072EF">
        <w:rPr>
          <w:szCs w:val="22"/>
        </w:rPr>
        <w:tab/>
        <w:t>Preclinical safety data</w:t>
      </w:r>
    </w:p>
    <w:p w14:paraId="2B8530BC" w14:textId="77777777" w:rsidR="00C56E45" w:rsidRDefault="00C56E45" w:rsidP="00C56E45"/>
    <w:p w14:paraId="75B462B1" w14:textId="2C7E577B" w:rsidR="003106FF" w:rsidRPr="003106FF" w:rsidRDefault="003106FF" w:rsidP="00672F96">
      <w:pPr>
        <w:spacing w:line="240" w:lineRule="auto"/>
        <w:rPr>
          <w:szCs w:val="22"/>
          <w:u w:val="single"/>
        </w:rPr>
      </w:pPr>
      <w:r w:rsidRPr="003106FF">
        <w:rPr>
          <w:szCs w:val="22"/>
          <w:u w:val="single"/>
        </w:rPr>
        <w:t xml:space="preserve">Genotoxicity </w:t>
      </w:r>
    </w:p>
    <w:p w14:paraId="093E5EED" w14:textId="77777777" w:rsidR="003106FF" w:rsidRDefault="003106FF" w:rsidP="00672F96">
      <w:pPr>
        <w:spacing w:line="240" w:lineRule="auto"/>
        <w:rPr>
          <w:szCs w:val="22"/>
        </w:rPr>
      </w:pPr>
    </w:p>
    <w:p w14:paraId="1BAA982E" w14:textId="68FE762C" w:rsidR="00406F63" w:rsidRDefault="00522617" w:rsidP="00672F96">
      <w:pPr>
        <w:spacing w:line="240" w:lineRule="auto"/>
        <w:rPr>
          <w:szCs w:val="22"/>
        </w:rPr>
      </w:pPr>
      <w:r w:rsidRPr="00F072EF">
        <w:rPr>
          <w:szCs w:val="22"/>
        </w:rPr>
        <w:t xml:space="preserve">Due to its alkylating mechanism of action </w:t>
      </w:r>
      <w:proofErr w:type="spellStart"/>
      <w:r w:rsidRPr="00F072EF">
        <w:rPr>
          <w:szCs w:val="22"/>
        </w:rPr>
        <w:t>treosulfan</w:t>
      </w:r>
      <w:proofErr w:type="spellEnd"/>
      <w:r w:rsidRPr="00F072EF">
        <w:rPr>
          <w:szCs w:val="22"/>
        </w:rPr>
        <w:t xml:space="preserve"> is characterised as a genotoxic compound with carcinogenic potential. </w:t>
      </w:r>
      <w:r w:rsidR="00146151">
        <w:rPr>
          <w:szCs w:val="22"/>
        </w:rPr>
        <w:t xml:space="preserve">Reports from the published literature indicated that </w:t>
      </w:r>
      <w:proofErr w:type="spellStart"/>
      <w:r w:rsidR="00146151">
        <w:rPr>
          <w:szCs w:val="22"/>
        </w:rPr>
        <w:t>treosulfan</w:t>
      </w:r>
      <w:proofErr w:type="spellEnd"/>
      <w:r w:rsidR="00146151">
        <w:rPr>
          <w:szCs w:val="22"/>
        </w:rPr>
        <w:t xml:space="preserve"> and its active moieties were mutagenic in bacterial and mammalian assays and clastogenic </w:t>
      </w:r>
      <w:r w:rsidR="00146151">
        <w:rPr>
          <w:i/>
          <w:iCs/>
          <w:szCs w:val="22"/>
        </w:rPr>
        <w:t xml:space="preserve">in vitro </w:t>
      </w:r>
      <w:r w:rsidR="00146151">
        <w:rPr>
          <w:szCs w:val="22"/>
        </w:rPr>
        <w:t xml:space="preserve">and </w:t>
      </w:r>
      <w:r w:rsidR="00146151">
        <w:rPr>
          <w:i/>
          <w:iCs/>
          <w:szCs w:val="22"/>
        </w:rPr>
        <w:t>in vivo</w:t>
      </w:r>
      <w:r w:rsidR="00146151">
        <w:rPr>
          <w:szCs w:val="22"/>
        </w:rPr>
        <w:t>.</w:t>
      </w:r>
    </w:p>
    <w:p w14:paraId="3393974A" w14:textId="401FD011" w:rsidR="00406F63" w:rsidRDefault="00406F63" w:rsidP="00672F96">
      <w:pPr>
        <w:spacing w:line="240" w:lineRule="auto"/>
        <w:rPr>
          <w:szCs w:val="22"/>
        </w:rPr>
      </w:pPr>
    </w:p>
    <w:p w14:paraId="1F7E0261" w14:textId="174CE294" w:rsidR="00406F63" w:rsidRPr="00406F63" w:rsidRDefault="00406F63" w:rsidP="00672F96">
      <w:pPr>
        <w:spacing w:line="240" w:lineRule="auto"/>
        <w:rPr>
          <w:szCs w:val="22"/>
          <w:u w:val="single"/>
        </w:rPr>
      </w:pPr>
      <w:r w:rsidRPr="00406F63">
        <w:rPr>
          <w:szCs w:val="22"/>
          <w:u w:val="single"/>
        </w:rPr>
        <w:t xml:space="preserve">Carcinogenicity </w:t>
      </w:r>
    </w:p>
    <w:p w14:paraId="7B9D04FB" w14:textId="51D4FA62" w:rsidR="00406F63" w:rsidRDefault="00406F63" w:rsidP="00672F96">
      <w:pPr>
        <w:spacing w:line="240" w:lineRule="auto"/>
        <w:rPr>
          <w:szCs w:val="22"/>
        </w:rPr>
      </w:pPr>
    </w:p>
    <w:p w14:paraId="5C49CEFB" w14:textId="03ED5562" w:rsidR="00406F63" w:rsidRDefault="00406F63" w:rsidP="00406F63">
      <w:pPr>
        <w:spacing w:line="240" w:lineRule="auto"/>
        <w:rPr>
          <w:szCs w:val="22"/>
        </w:rPr>
      </w:pPr>
      <w:r w:rsidRPr="00F072EF">
        <w:rPr>
          <w:szCs w:val="22"/>
        </w:rPr>
        <w:t xml:space="preserve">Due to its alkylating mechanism of action </w:t>
      </w:r>
      <w:proofErr w:type="spellStart"/>
      <w:r w:rsidRPr="00F072EF">
        <w:rPr>
          <w:szCs w:val="22"/>
        </w:rPr>
        <w:t>treosulfan</w:t>
      </w:r>
      <w:proofErr w:type="spellEnd"/>
      <w:r w:rsidRPr="00F072EF">
        <w:rPr>
          <w:szCs w:val="22"/>
        </w:rPr>
        <w:t xml:space="preserve"> is characterised as a genotoxic compound with carcinogenic potential. </w:t>
      </w:r>
      <w:proofErr w:type="spellStart"/>
      <w:r w:rsidR="00146151">
        <w:rPr>
          <w:szCs w:val="22"/>
        </w:rPr>
        <w:t>Treosulfan</w:t>
      </w:r>
      <w:proofErr w:type="spellEnd"/>
      <w:r w:rsidR="00146151">
        <w:rPr>
          <w:szCs w:val="22"/>
        </w:rPr>
        <w:t xml:space="preserve"> has been classifie</w:t>
      </w:r>
      <w:bookmarkStart w:id="0" w:name="os_autosavelastposition4504065"/>
      <w:bookmarkEnd w:id="0"/>
      <w:r w:rsidR="00146151">
        <w:rPr>
          <w:szCs w:val="22"/>
        </w:rPr>
        <w:t>d by the International Agency for Research on Cancer (IARC) as a human carcinogen.</w:t>
      </w:r>
    </w:p>
    <w:p w14:paraId="2F94C342" w14:textId="77777777" w:rsidR="00253519" w:rsidRPr="00672F96" w:rsidRDefault="00253519" w:rsidP="00672F96">
      <w:pPr>
        <w:spacing w:line="240" w:lineRule="auto"/>
        <w:rPr>
          <w:szCs w:val="22"/>
        </w:rPr>
      </w:pPr>
    </w:p>
    <w:p w14:paraId="2F94C343" w14:textId="77777777" w:rsidR="003177A0" w:rsidRPr="00672F96" w:rsidRDefault="003177A0" w:rsidP="00672F96">
      <w:pPr>
        <w:spacing w:line="240" w:lineRule="auto"/>
        <w:rPr>
          <w:szCs w:val="22"/>
        </w:rPr>
      </w:pPr>
    </w:p>
    <w:p w14:paraId="2F94C344" w14:textId="77777777" w:rsidR="00AE0267" w:rsidRPr="00672F96" w:rsidRDefault="00522617" w:rsidP="00672F96">
      <w:pPr>
        <w:pStyle w:val="Heading2"/>
        <w:rPr>
          <w:szCs w:val="22"/>
        </w:rPr>
      </w:pPr>
      <w:r w:rsidRPr="00672F96">
        <w:rPr>
          <w:szCs w:val="22"/>
        </w:rPr>
        <w:t>6.</w:t>
      </w:r>
      <w:r w:rsidRPr="00672F96">
        <w:rPr>
          <w:szCs w:val="22"/>
        </w:rPr>
        <w:tab/>
        <w:t>PHARMACEUTICAL PARTICULARS</w:t>
      </w:r>
    </w:p>
    <w:p w14:paraId="2F94C345" w14:textId="77777777" w:rsidR="00AE0267" w:rsidRPr="00672F96" w:rsidRDefault="00AE0267" w:rsidP="00672F96">
      <w:pPr>
        <w:spacing w:line="240" w:lineRule="auto"/>
        <w:rPr>
          <w:szCs w:val="22"/>
        </w:rPr>
      </w:pPr>
    </w:p>
    <w:p w14:paraId="2F94C346" w14:textId="77777777" w:rsidR="00AE0267" w:rsidRPr="00672F96" w:rsidRDefault="00522617" w:rsidP="00672F96">
      <w:pPr>
        <w:pStyle w:val="Heading3"/>
        <w:rPr>
          <w:szCs w:val="22"/>
        </w:rPr>
      </w:pPr>
      <w:r w:rsidRPr="00672F96">
        <w:rPr>
          <w:szCs w:val="22"/>
        </w:rPr>
        <w:t>6.1</w:t>
      </w:r>
      <w:r w:rsidRPr="00672F96">
        <w:rPr>
          <w:szCs w:val="22"/>
        </w:rPr>
        <w:tab/>
        <w:t>List of excipients</w:t>
      </w:r>
    </w:p>
    <w:p w14:paraId="2F94C347" w14:textId="77777777" w:rsidR="00AE0267" w:rsidRPr="00672F96" w:rsidRDefault="00AE0267" w:rsidP="00672F96">
      <w:pPr>
        <w:spacing w:line="240" w:lineRule="auto"/>
        <w:rPr>
          <w:szCs w:val="22"/>
        </w:rPr>
      </w:pPr>
    </w:p>
    <w:p w14:paraId="2F94C348" w14:textId="77777777" w:rsidR="00AE0267" w:rsidRPr="00672F96" w:rsidRDefault="00522617" w:rsidP="00672F96">
      <w:pPr>
        <w:spacing w:line="240" w:lineRule="auto"/>
        <w:rPr>
          <w:szCs w:val="22"/>
        </w:rPr>
      </w:pPr>
      <w:r w:rsidRPr="00672F96">
        <w:rPr>
          <w:szCs w:val="22"/>
        </w:rPr>
        <w:t>None</w:t>
      </w:r>
      <w:r w:rsidR="003177A0" w:rsidRPr="00672F96">
        <w:rPr>
          <w:szCs w:val="22"/>
        </w:rPr>
        <w:t>.</w:t>
      </w:r>
    </w:p>
    <w:p w14:paraId="2F94C349" w14:textId="77777777" w:rsidR="00AE0267" w:rsidRPr="00672F96" w:rsidRDefault="00AE0267" w:rsidP="00672F96">
      <w:pPr>
        <w:spacing w:line="240" w:lineRule="auto"/>
        <w:rPr>
          <w:szCs w:val="22"/>
        </w:rPr>
      </w:pPr>
    </w:p>
    <w:p w14:paraId="2F94C34A" w14:textId="77777777" w:rsidR="00AE0267" w:rsidRPr="00672F96" w:rsidRDefault="00522617" w:rsidP="00672F96">
      <w:pPr>
        <w:pStyle w:val="Heading3"/>
        <w:rPr>
          <w:szCs w:val="22"/>
        </w:rPr>
      </w:pPr>
      <w:r w:rsidRPr="00672F96">
        <w:rPr>
          <w:szCs w:val="22"/>
        </w:rPr>
        <w:t>6.2</w:t>
      </w:r>
      <w:r w:rsidRPr="00672F96">
        <w:rPr>
          <w:szCs w:val="22"/>
        </w:rPr>
        <w:tab/>
        <w:t>Incompatibilities</w:t>
      </w:r>
    </w:p>
    <w:p w14:paraId="2F94C34B" w14:textId="77777777" w:rsidR="00AE0267" w:rsidRPr="00672F96" w:rsidRDefault="00AE0267" w:rsidP="00672F96">
      <w:pPr>
        <w:spacing w:line="240" w:lineRule="auto"/>
        <w:rPr>
          <w:szCs w:val="22"/>
        </w:rPr>
      </w:pPr>
    </w:p>
    <w:p w14:paraId="2F94C34C" w14:textId="77777777" w:rsidR="00AE0267" w:rsidRPr="00672F96" w:rsidRDefault="00522617" w:rsidP="00672F96">
      <w:pPr>
        <w:spacing w:line="240" w:lineRule="auto"/>
        <w:rPr>
          <w:szCs w:val="22"/>
        </w:rPr>
      </w:pPr>
      <w:r w:rsidRPr="00672F96">
        <w:rPr>
          <w:szCs w:val="22"/>
        </w:rPr>
        <w:t>In the absence of compatibility studies, this medicinal product must not be mixed with other medicinal products.</w:t>
      </w:r>
    </w:p>
    <w:p w14:paraId="2F94C34D" w14:textId="77777777" w:rsidR="00AE0267" w:rsidRPr="00672F96" w:rsidRDefault="00AE0267" w:rsidP="00672F96">
      <w:pPr>
        <w:spacing w:line="240" w:lineRule="auto"/>
        <w:rPr>
          <w:szCs w:val="22"/>
        </w:rPr>
      </w:pPr>
    </w:p>
    <w:p w14:paraId="2F94C34E" w14:textId="77777777" w:rsidR="00AE0267" w:rsidRPr="00672F96" w:rsidRDefault="00522617" w:rsidP="00672F96">
      <w:pPr>
        <w:pStyle w:val="Heading3"/>
        <w:rPr>
          <w:szCs w:val="22"/>
        </w:rPr>
      </w:pPr>
      <w:r w:rsidRPr="00672F96">
        <w:rPr>
          <w:szCs w:val="22"/>
        </w:rPr>
        <w:t>6.3</w:t>
      </w:r>
      <w:r w:rsidRPr="00672F96">
        <w:rPr>
          <w:szCs w:val="22"/>
        </w:rPr>
        <w:tab/>
        <w:t>Shelf life</w:t>
      </w:r>
    </w:p>
    <w:p w14:paraId="2F94C34F" w14:textId="77777777" w:rsidR="00AE0267" w:rsidRPr="00672F96" w:rsidRDefault="00AE0267" w:rsidP="00672F96">
      <w:pPr>
        <w:spacing w:line="240" w:lineRule="auto"/>
        <w:rPr>
          <w:szCs w:val="22"/>
        </w:rPr>
      </w:pPr>
    </w:p>
    <w:p w14:paraId="2F94C350" w14:textId="77777777" w:rsidR="00343BF8" w:rsidRPr="00672F96" w:rsidRDefault="00522617" w:rsidP="00672F96">
      <w:pPr>
        <w:spacing w:line="240" w:lineRule="auto"/>
        <w:rPr>
          <w:szCs w:val="22"/>
          <w:u w:val="single"/>
        </w:rPr>
      </w:pPr>
      <w:r w:rsidRPr="00672F96">
        <w:rPr>
          <w:szCs w:val="22"/>
          <w:u w:val="single"/>
        </w:rPr>
        <w:t>Unopened vial</w:t>
      </w:r>
    </w:p>
    <w:p w14:paraId="2F94C351" w14:textId="62C96554" w:rsidR="00AE0267" w:rsidRPr="00672F96" w:rsidRDefault="00BF33CA" w:rsidP="00BF33CA">
      <w:pPr>
        <w:spacing w:line="240" w:lineRule="auto"/>
        <w:rPr>
          <w:szCs w:val="22"/>
        </w:rPr>
      </w:pPr>
      <w:r w:rsidRPr="00BF33CA">
        <w:rPr>
          <w:szCs w:val="22"/>
        </w:rPr>
        <w:t>In Australia, information on the shelf life can be found on the public summary of the Australian</w:t>
      </w:r>
      <w:r>
        <w:rPr>
          <w:szCs w:val="22"/>
        </w:rPr>
        <w:t xml:space="preserve"> </w:t>
      </w:r>
      <w:r w:rsidRPr="00BF33CA">
        <w:rPr>
          <w:szCs w:val="22"/>
        </w:rPr>
        <w:t>Register of Therapeutic Goods (ARTG). The expiry date can be found on the packaging.”</w:t>
      </w:r>
    </w:p>
    <w:p w14:paraId="2F94C352" w14:textId="77777777" w:rsidR="003177A0" w:rsidRPr="00672F96" w:rsidRDefault="003177A0" w:rsidP="00672F96">
      <w:pPr>
        <w:spacing w:line="240" w:lineRule="auto"/>
        <w:rPr>
          <w:szCs w:val="22"/>
        </w:rPr>
      </w:pPr>
    </w:p>
    <w:p w14:paraId="2F94C353" w14:textId="77777777" w:rsidR="005A047A" w:rsidRPr="00672F96" w:rsidRDefault="00522617" w:rsidP="00672F96">
      <w:pPr>
        <w:spacing w:line="240" w:lineRule="auto"/>
        <w:rPr>
          <w:szCs w:val="22"/>
          <w:u w:val="single"/>
        </w:rPr>
      </w:pPr>
      <w:r w:rsidRPr="00672F96">
        <w:rPr>
          <w:szCs w:val="22"/>
          <w:u w:val="single"/>
        </w:rPr>
        <w:t xml:space="preserve">Reconstituted solution for </w:t>
      </w:r>
      <w:r w:rsidR="00C17E31" w:rsidRPr="00672F96">
        <w:rPr>
          <w:szCs w:val="22"/>
          <w:u w:val="single"/>
        </w:rPr>
        <w:t>infusion</w:t>
      </w:r>
    </w:p>
    <w:p w14:paraId="2F94C354" w14:textId="402621CD" w:rsidR="005A047A" w:rsidRPr="00672F96" w:rsidRDefault="00522617" w:rsidP="00672F96">
      <w:pPr>
        <w:spacing w:line="240" w:lineRule="auto"/>
        <w:rPr>
          <w:szCs w:val="22"/>
        </w:rPr>
      </w:pPr>
      <w:r w:rsidRPr="00672F96">
        <w:rPr>
          <w:szCs w:val="22"/>
        </w:rPr>
        <w:t xml:space="preserve">After reconstitution with </w:t>
      </w:r>
      <w:r w:rsidRPr="00F072EF">
        <w:rPr>
          <w:szCs w:val="22"/>
        </w:rPr>
        <w:t xml:space="preserve">sodium chloride </w:t>
      </w:r>
      <w:r w:rsidR="00612BFF" w:rsidRPr="00F072EF">
        <w:rPr>
          <w:szCs w:val="22"/>
        </w:rPr>
        <w:t>4.5</w:t>
      </w:r>
      <w:r w:rsidR="003D54E1" w:rsidRPr="00F072EF">
        <w:rPr>
          <w:szCs w:val="22"/>
        </w:rPr>
        <w:t> </w:t>
      </w:r>
      <w:r w:rsidR="00612BFF" w:rsidRPr="00F072EF">
        <w:rPr>
          <w:szCs w:val="22"/>
        </w:rPr>
        <w:t>mg/m</w:t>
      </w:r>
      <w:r w:rsidR="00FA0F55" w:rsidRPr="00F072EF">
        <w:rPr>
          <w:szCs w:val="22"/>
        </w:rPr>
        <w:t>L</w:t>
      </w:r>
      <w:r w:rsidR="00612BFF" w:rsidRPr="00F072EF">
        <w:rPr>
          <w:szCs w:val="22"/>
        </w:rPr>
        <w:t xml:space="preserve"> (0.45%)</w:t>
      </w:r>
      <w:r w:rsidR="00612BFF" w:rsidRPr="00672F96">
        <w:rPr>
          <w:szCs w:val="22"/>
        </w:rPr>
        <w:t xml:space="preserve"> </w:t>
      </w:r>
      <w:r w:rsidRPr="00672F96">
        <w:rPr>
          <w:szCs w:val="22"/>
        </w:rPr>
        <w:t xml:space="preserve">solution, chemical and physical stability has been demonstrated for </w:t>
      </w:r>
      <w:r w:rsidR="00090C47">
        <w:rPr>
          <w:szCs w:val="22"/>
        </w:rPr>
        <w:t>1 day (24 hours)</w:t>
      </w:r>
      <w:r w:rsidRPr="00672F96">
        <w:rPr>
          <w:szCs w:val="22"/>
        </w:rPr>
        <w:t xml:space="preserve"> at </w:t>
      </w:r>
      <w:r w:rsidR="00E65A9D" w:rsidRPr="00672F96">
        <w:rPr>
          <w:szCs w:val="22"/>
        </w:rPr>
        <w:t>25 °C.</w:t>
      </w:r>
    </w:p>
    <w:p w14:paraId="2F94C355" w14:textId="27B831DD" w:rsidR="005A047A" w:rsidRPr="00672F96" w:rsidRDefault="005A047A" w:rsidP="00672F96">
      <w:pPr>
        <w:spacing w:line="240" w:lineRule="auto"/>
        <w:rPr>
          <w:szCs w:val="22"/>
        </w:rPr>
      </w:pPr>
    </w:p>
    <w:p w14:paraId="2F94C356" w14:textId="69E34BF2" w:rsidR="00AE0267" w:rsidRDefault="00522617" w:rsidP="00672F96">
      <w:pPr>
        <w:spacing w:line="240" w:lineRule="auto"/>
        <w:rPr>
          <w:szCs w:val="22"/>
        </w:rPr>
      </w:pPr>
      <w:r w:rsidRPr="00672F96">
        <w:rPr>
          <w:szCs w:val="22"/>
        </w:rPr>
        <w:t xml:space="preserve">From a microbiological point of view, </w:t>
      </w:r>
      <w:r w:rsidR="00554D64" w:rsidRPr="00672F96">
        <w:rPr>
          <w:szCs w:val="22"/>
        </w:rPr>
        <w:t xml:space="preserve">unless the method of reconstitution precludes </w:t>
      </w:r>
      <w:r w:rsidR="00554D64" w:rsidRPr="00F072EF">
        <w:rPr>
          <w:szCs w:val="22"/>
        </w:rPr>
        <w:t xml:space="preserve">the risk of microbial contamination, </w:t>
      </w:r>
      <w:r w:rsidRPr="00F072EF">
        <w:rPr>
          <w:szCs w:val="22"/>
        </w:rPr>
        <w:t>the product should be used immediately. If not used immediately, in</w:t>
      </w:r>
      <w:r w:rsidR="00BB6EAF" w:rsidRPr="00F072EF">
        <w:rPr>
          <w:szCs w:val="22"/>
        </w:rPr>
        <w:noBreakHyphen/>
      </w:r>
      <w:r w:rsidRPr="00F072EF">
        <w:rPr>
          <w:szCs w:val="22"/>
        </w:rPr>
        <w:t xml:space="preserve">use storage times and conditions are the responsibility of the user. </w:t>
      </w:r>
    </w:p>
    <w:p w14:paraId="4FE57A33" w14:textId="77777777" w:rsidR="00380F41" w:rsidRPr="00F072EF" w:rsidRDefault="00380F41" w:rsidP="00672F96">
      <w:pPr>
        <w:spacing w:line="240" w:lineRule="auto"/>
        <w:rPr>
          <w:szCs w:val="22"/>
        </w:rPr>
      </w:pPr>
    </w:p>
    <w:p w14:paraId="6C535781" w14:textId="11EB8427" w:rsidR="006A3ED2" w:rsidRPr="00672F96" w:rsidRDefault="00522617" w:rsidP="00BF33CA">
      <w:pPr>
        <w:spacing w:line="240" w:lineRule="auto"/>
        <w:rPr>
          <w:szCs w:val="22"/>
        </w:rPr>
      </w:pPr>
      <w:r w:rsidRPr="00F072EF">
        <w:rPr>
          <w:szCs w:val="22"/>
        </w:rPr>
        <w:t>Do not store in a refrigerator (2</w:t>
      </w:r>
      <w:r w:rsidR="00832161" w:rsidRPr="00F072EF">
        <w:rPr>
          <w:szCs w:val="22"/>
        </w:rPr>
        <w:t> °C</w:t>
      </w:r>
      <w:r w:rsidRPr="00F072EF">
        <w:rPr>
          <w:szCs w:val="22"/>
        </w:rPr>
        <w:noBreakHyphen/>
        <w:t>8 °C) as this might cause precipitation.</w:t>
      </w:r>
    </w:p>
    <w:p w14:paraId="2F94C358" w14:textId="77777777" w:rsidR="005A047A" w:rsidRPr="00672F96" w:rsidRDefault="005A047A" w:rsidP="00672F96">
      <w:pPr>
        <w:spacing w:line="240" w:lineRule="auto"/>
        <w:rPr>
          <w:szCs w:val="22"/>
        </w:rPr>
      </w:pPr>
    </w:p>
    <w:p w14:paraId="2F94C359" w14:textId="77777777" w:rsidR="00AE0267" w:rsidRPr="00672F96" w:rsidRDefault="00522617" w:rsidP="00672F96">
      <w:pPr>
        <w:pStyle w:val="Heading3"/>
        <w:rPr>
          <w:szCs w:val="22"/>
        </w:rPr>
      </w:pPr>
      <w:r w:rsidRPr="00672F96">
        <w:rPr>
          <w:szCs w:val="22"/>
        </w:rPr>
        <w:t>6.4</w:t>
      </w:r>
      <w:r w:rsidRPr="00672F96">
        <w:rPr>
          <w:szCs w:val="22"/>
        </w:rPr>
        <w:tab/>
        <w:t>Special precautions for storage</w:t>
      </w:r>
    </w:p>
    <w:p w14:paraId="2F94C35A" w14:textId="77777777" w:rsidR="00AE0267" w:rsidRPr="00672F96" w:rsidRDefault="00AE0267" w:rsidP="00672F96">
      <w:pPr>
        <w:spacing w:line="240" w:lineRule="auto"/>
        <w:rPr>
          <w:szCs w:val="22"/>
        </w:rPr>
      </w:pPr>
    </w:p>
    <w:p w14:paraId="1361336F" w14:textId="1C103B2C" w:rsidR="00406F63" w:rsidRDefault="00406F63" w:rsidP="00672F96">
      <w:pPr>
        <w:spacing w:line="240" w:lineRule="auto"/>
        <w:rPr>
          <w:szCs w:val="22"/>
        </w:rPr>
      </w:pPr>
      <w:r>
        <w:rPr>
          <w:szCs w:val="22"/>
        </w:rPr>
        <w:t>Store below 25</w:t>
      </w:r>
      <w:r>
        <w:rPr>
          <w:szCs w:val="22"/>
        </w:rPr>
        <w:sym w:font="Symbol" w:char="F0B0"/>
      </w:r>
      <w:r>
        <w:rPr>
          <w:szCs w:val="22"/>
        </w:rPr>
        <w:t xml:space="preserve">C. </w:t>
      </w:r>
    </w:p>
    <w:p w14:paraId="2F94C35C" w14:textId="77777777" w:rsidR="001C541A" w:rsidRPr="00672F96" w:rsidRDefault="001C541A" w:rsidP="00672F96">
      <w:pPr>
        <w:spacing w:line="240" w:lineRule="auto"/>
        <w:rPr>
          <w:szCs w:val="22"/>
        </w:rPr>
      </w:pPr>
    </w:p>
    <w:p w14:paraId="2F94C35D" w14:textId="77777777" w:rsidR="009A298D" w:rsidRPr="00672F96" w:rsidRDefault="00522617" w:rsidP="00672F96">
      <w:pPr>
        <w:spacing w:line="240" w:lineRule="auto"/>
        <w:rPr>
          <w:szCs w:val="22"/>
        </w:rPr>
      </w:pPr>
      <w:r w:rsidRPr="00672F96">
        <w:rPr>
          <w:szCs w:val="22"/>
        </w:rPr>
        <w:t>For storage conditions after reconstitution of the medicinal product, see section</w:t>
      </w:r>
      <w:r w:rsidR="00E20026" w:rsidRPr="00672F96">
        <w:rPr>
          <w:szCs w:val="22"/>
        </w:rPr>
        <w:t> </w:t>
      </w:r>
      <w:r w:rsidRPr="00672F96">
        <w:rPr>
          <w:szCs w:val="22"/>
        </w:rPr>
        <w:t xml:space="preserve">6.3. </w:t>
      </w:r>
    </w:p>
    <w:p w14:paraId="2F94C35E" w14:textId="77777777" w:rsidR="00AE0267" w:rsidRPr="00672F96" w:rsidRDefault="00AE0267" w:rsidP="00672F96">
      <w:pPr>
        <w:spacing w:line="240" w:lineRule="auto"/>
        <w:rPr>
          <w:szCs w:val="22"/>
        </w:rPr>
      </w:pPr>
    </w:p>
    <w:p w14:paraId="2F94C35F" w14:textId="77777777" w:rsidR="00AE0267" w:rsidRPr="00672F96" w:rsidRDefault="00522617" w:rsidP="00672F96">
      <w:pPr>
        <w:pStyle w:val="Heading3"/>
        <w:rPr>
          <w:szCs w:val="22"/>
        </w:rPr>
      </w:pPr>
      <w:r w:rsidRPr="00672F96">
        <w:rPr>
          <w:szCs w:val="22"/>
        </w:rPr>
        <w:t>6.5</w:t>
      </w:r>
      <w:r w:rsidRPr="00672F96">
        <w:rPr>
          <w:szCs w:val="22"/>
        </w:rPr>
        <w:tab/>
        <w:t>Nature and contents of container</w:t>
      </w:r>
    </w:p>
    <w:p w14:paraId="2F94C360" w14:textId="77777777" w:rsidR="00AE0267" w:rsidRPr="00672F96" w:rsidRDefault="00AE0267" w:rsidP="00672F96">
      <w:pPr>
        <w:spacing w:line="240" w:lineRule="auto"/>
        <w:rPr>
          <w:szCs w:val="22"/>
        </w:rPr>
      </w:pPr>
    </w:p>
    <w:p w14:paraId="2F94C361" w14:textId="77777777" w:rsidR="00BB6EAF" w:rsidRPr="00F072EF" w:rsidRDefault="00522617" w:rsidP="00672F96">
      <w:pPr>
        <w:spacing w:line="240" w:lineRule="auto"/>
        <w:rPr>
          <w:szCs w:val="22"/>
          <w:u w:val="single"/>
        </w:rPr>
      </w:pPr>
      <w:proofErr w:type="spellStart"/>
      <w:r w:rsidRPr="00F072EF">
        <w:rPr>
          <w:szCs w:val="22"/>
          <w:u w:val="single"/>
        </w:rPr>
        <w:t>Trecondi</w:t>
      </w:r>
      <w:proofErr w:type="spellEnd"/>
      <w:r w:rsidRPr="00F072EF">
        <w:rPr>
          <w:szCs w:val="22"/>
          <w:u w:val="single"/>
        </w:rPr>
        <w:t xml:space="preserve"> 1 g</w:t>
      </w:r>
      <w:r w:rsidR="0033799E" w:rsidRPr="00F072EF">
        <w:rPr>
          <w:szCs w:val="22"/>
          <w:u w:val="single"/>
        </w:rPr>
        <w:t xml:space="preserve"> powder for solution for infusion</w:t>
      </w:r>
    </w:p>
    <w:p w14:paraId="2F94C362" w14:textId="6F33A3A1" w:rsidR="00E156FC" w:rsidRPr="00F072EF" w:rsidRDefault="00522617" w:rsidP="00672F96">
      <w:pPr>
        <w:spacing w:line="240" w:lineRule="auto"/>
        <w:rPr>
          <w:szCs w:val="22"/>
        </w:rPr>
      </w:pPr>
      <w:r w:rsidRPr="00F072EF">
        <w:rPr>
          <w:szCs w:val="22"/>
        </w:rPr>
        <w:t>C</w:t>
      </w:r>
      <w:r w:rsidR="00AE0267" w:rsidRPr="00F072EF">
        <w:rPr>
          <w:szCs w:val="22"/>
        </w:rPr>
        <w:t xml:space="preserve">olourless </w:t>
      </w:r>
      <w:r w:rsidR="00BB6EAF" w:rsidRPr="00F072EF">
        <w:rPr>
          <w:szCs w:val="22"/>
        </w:rPr>
        <w:t>t</w:t>
      </w:r>
      <w:r w:rsidR="0074733C" w:rsidRPr="00F072EF">
        <w:rPr>
          <w:szCs w:val="22"/>
        </w:rPr>
        <w:t>ype</w:t>
      </w:r>
      <w:r w:rsidR="00BB6EAF" w:rsidRPr="00F072EF">
        <w:rPr>
          <w:szCs w:val="22"/>
        </w:rPr>
        <w:t> </w:t>
      </w:r>
      <w:r w:rsidR="0074733C" w:rsidRPr="00F072EF">
        <w:rPr>
          <w:szCs w:val="22"/>
        </w:rPr>
        <w:t xml:space="preserve">I </w:t>
      </w:r>
      <w:r w:rsidR="00AE0267" w:rsidRPr="00F072EF">
        <w:rPr>
          <w:szCs w:val="22"/>
        </w:rPr>
        <w:t>glass vial</w:t>
      </w:r>
      <w:r w:rsidR="00EB0D10" w:rsidRPr="00F072EF">
        <w:rPr>
          <w:szCs w:val="22"/>
        </w:rPr>
        <w:t xml:space="preserve">, </w:t>
      </w:r>
      <w:r w:rsidR="00AE0267" w:rsidRPr="00F072EF">
        <w:rPr>
          <w:szCs w:val="22"/>
        </w:rPr>
        <w:t xml:space="preserve">with rubber stopper and aluminium </w:t>
      </w:r>
      <w:r w:rsidRPr="00F072EF">
        <w:rPr>
          <w:szCs w:val="22"/>
        </w:rPr>
        <w:t xml:space="preserve">cap containing </w:t>
      </w:r>
      <w:r w:rsidR="00AE0267" w:rsidRPr="00F072EF">
        <w:rPr>
          <w:szCs w:val="22"/>
        </w:rPr>
        <w:t>1</w:t>
      </w:r>
      <w:r w:rsidR="00D94BBC" w:rsidRPr="00F072EF">
        <w:rPr>
          <w:szCs w:val="22"/>
        </w:rPr>
        <w:t> </w:t>
      </w:r>
      <w:r w:rsidR="00AE0267" w:rsidRPr="00F072EF">
        <w:rPr>
          <w:szCs w:val="22"/>
        </w:rPr>
        <w:t xml:space="preserve">g </w:t>
      </w:r>
      <w:r w:rsidRPr="00F072EF">
        <w:rPr>
          <w:szCs w:val="22"/>
        </w:rPr>
        <w:t xml:space="preserve">of </w:t>
      </w:r>
      <w:proofErr w:type="spellStart"/>
      <w:r w:rsidR="00AE0267" w:rsidRPr="00F072EF">
        <w:rPr>
          <w:szCs w:val="22"/>
        </w:rPr>
        <w:t>treosulfan</w:t>
      </w:r>
      <w:proofErr w:type="spellEnd"/>
      <w:r w:rsidRPr="00F072EF">
        <w:rPr>
          <w:szCs w:val="22"/>
        </w:rPr>
        <w:t>.</w:t>
      </w:r>
    </w:p>
    <w:p w14:paraId="2F94C363" w14:textId="77777777" w:rsidR="00BB6EAF" w:rsidRPr="00F072EF" w:rsidRDefault="00BB6EAF" w:rsidP="00672F96">
      <w:pPr>
        <w:spacing w:line="240" w:lineRule="auto"/>
        <w:rPr>
          <w:szCs w:val="22"/>
        </w:rPr>
      </w:pPr>
    </w:p>
    <w:p w14:paraId="2F94C364" w14:textId="77777777" w:rsidR="00BB6EAF" w:rsidRPr="00F072EF" w:rsidRDefault="00522617" w:rsidP="00BB6EAF">
      <w:pPr>
        <w:spacing w:line="240" w:lineRule="auto"/>
        <w:rPr>
          <w:szCs w:val="22"/>
          <w:u w:val="single"/>
        </w:rPr>
      </w:pPr>
      <w:proofErr w:type="spellStart"/>
      <w:r w:rsidRPr="00F072EF">
        <w:rPr>
          <w:szCs w:val="22"/>
          <w:u w:val="single"/>
        </w:rPr>
        <w:t>Trecondi</w:t>
      </w:r>
      <w:proofErr w:type="spellEnd"/>
      <w:r w:rsidRPr="00F072EF">
        <w:rPr>
          <w:szCs w:val="22"/>
          <w:u w:val="single"/>
        </w:rPr>
        <w:t xml:space="preserve"> 5 g</w:t>
      </w:r>
      <w:r w:rsidR="0033799E" w:rsidRPr="00F072EF">
        <w:rPr>
          <w:szCs w:val="22"/>
          <w:u w:val="single"/>
        </w:rPr>
        <w:t xml:space="preserve"> powder for solution for infusion</w:t>
      </w:r>
    </w:p>
    <w:p w14:paraId="2F94C365" w14:textId="2B194077" w:rsidR="00BB6EAF" w:rsidRPr="00F072EF" w:rsidRDefault="00522617" w:rsidP="00BB6EAF">
      <w:pPr>
        <w:spacing w:line="240" w:lineRule="auto"/>
        <w:rPr>
          <w:szCs w:val="22"/>
        </w:rPr>
      </w:pPr>
      <w:r w:rsidRPr="00F072EF">
        <w:rPr>
          <w:szCs w:val="22"/>
        </w:rPr>
        <w:t xml:space="preserve">Colourless type I glass vial, with rubber stopper and aluminium cap containing 5 g of </w:t>
      </w:r>
      <w:proofErr w:type="spellStart"/>
      <w:r w:rsidRPr="00F072EF">
        <w:rPr>
          <w:szCs w:val="22"/>
        </w:rPr>
        <w:t>treosulfan</w:t>
      </w:r>
      <w:proofErr w:type="spellEnd"/>
      <w:r w:rsidRPr="00F072EF">
        <w:rPr>
          <w:szCs w:val="22"/>
        </w:rPr>
        <w:t>.</w:t>
      </w:r>
    </w:p>
    <w:p w14:paraId="2F94C366" w14:textId="77777777" w:rsidR="0074733C" w:rsidRPr="00F072EF" w:rsidRDefault="0074733C" w:rsidP="00672F96">
      <w:pPr>
        <w:spacing w:line="240" w:lineRule="auto"/>
        <w:rPr>
          <w:szCs w:val="22"/>
        </w:rPr>
      </w:pPr>
    </w:p>
    <w:p w14:paraId="2F94C367" w14:textId="77777777" w:rsidR="00481142" w:rsidRPr="00672F96" w:rsidRDefault="00522617" w:rsidP="00672F96">
      <w:pPr>
        <w:spacing w:line="240" w:lineRule="auto"/>
        <w:rPr>
          <w:szCs w:val="22"/>
        </w:rPr>
      </w:pPr>
      <w:proofErr w:type="spellStart"/>
      <w:r w:rsidRPr="00F072EF">
        <w:rPr>
          <w:szCs w:val="22"/>
        </w:rPr>
        <w:t>Trecondi</w:t>
      </w:r>
      <w:proofErr w:type="spellEnd"/>
      <w:r w:rsidRPr="00F072EF">
        <w:rPr>
          <w:szCs w:val="22"/>
        </w:rPr>
        <w:t xml:space="preserve"> is available in p</w:t>
      </w:r>
      <w:r w:rsidR="00DE6CCE" w:rsidRPr="00F072EF">
        <w:rPr>
          <w:szCs w:val="22"/>
        </w:rPr>
        <w:t>ack</w:t>
      </w:r>
      <w:r w:rsidRPr="00F072EF">
        <w:rPr>
          <w:szCs w:val="22"/>
        </w:rPr>
        <w:t>s</w:t>
      </w:r>
      <w:r w:rsidR="00DE6CCE" w:rsidRPr="00F072EF">
        <w:rPr>
          <w:szCs w:val="22"/>
        </w:rPr>
        <w:t xml:space="preserve"> of</w:t>
      </w:r>
      <w:r w:rsidR="00A41FDE" w:rsidRPr="00F072EF">
        <w:rPr>
          <w:szCs w:val="22"/>
        </w:rPr>
        <w:t> </w:t>
      </w:r>
      <w:r w:rsidR="00DE6CCE" w:rsidRPr="00F072EF">
        <w:rPr>
          <w:szCs w:val="22"/>
        </w:rPr>
        <w:t>1 or 5</w:t>
      </w:r>
      <w:r w:rsidR="00A41FDE" w:rsidRPr="00F072EF">
        <w:rPr>
          <w:szCs w:val="22"/>
        </w:rPr>
        <w:t> </w:t>
      </w:r>
      <w:r w:rsidR="00DE6CCE" w:rsidRPr="00F072EF">
        <w:rPr>
          <w:szCs w:val="22"/>
        </w:rPr>
        <w:t>vials</w:t>
      </w:r>
      <w:r w:rsidR="00F87AEB" w:rsidRPr="00F072EF">
        <w:rPr>
          <w:szCs w:val="22"/>
        </w:rPr>
        <w:t>.</w:t>
      </w:r>
    </w:p>
    <w:p w14:paraId="2F94C368" w14:textId="77777777" w:rsidR="00AE0267" w:rsidRPr="00672F96" w:rsidRDefault="00AE0267" w:rsidP="00672F96">
      <w:pPr>
        <w:spacing w:line="240" w:lineRule="auto"/>
        <w:rPr>
          <w:szCs w:val="22"/>
        </w:rPr>
      </w:pPr>
    </w:p>
    <w:p w14:paraId="2F94C369" w14:textId="77777777" w:rsidR="001C541A" w:rsidRPr="00672F96" w:rsidRDefault="00522617" w:rsidP="00672F96">
      <w:pPr>
        <w:spacing w:line="240" w:lineRule="auto"/>
        <w:rPr>
          <w:szCs w:val="22"/>
        </w:rPr>
      </w:pPr>
      <w:r w:rsidRPr="00672F96">
        <w:rPr>
          <w:szCs w:val="22"/>
        </w:rPr>
        <w:t>Not all pack sizes may be marketed.</w:t>
      </w:r>
    </w:p>
    <w:p w14:paraId="2F94C36A" w14:textId="77777777" w:rsidR="00AE0267" w:rsidRPr="00672F96" w:rsidRDefault="00AE0267" w:rsidP="00672F96">
      <w:pPr>
        <w:spacing w:line="240" w:lineRule="auto"/>
        <w:rPr>
          <w:szCs w:val="22"/>
        </w:rPr>
      </w:pPr>
    </w:p>
    <w:p w14:paraId="2F94C36B" w14:textId="35BABFDB" w:rsidR="00AE0267" w:rsidRDefault="00522617" w:rsidP="00672F96">
      <w:pPr>
        <w:pStyle w:val="Heading3"/>
        <w:rPr>
          <w:szCs w:val="22"/>
        </w:rPr>
      </w:pPr>
      <w:r w:rsidRPr="00672F96">
        <w:rPr>
          <w:szCs w:val="22"/>
        </w:rPr>
        <w:t>6.6</w:t>
      </w:r>
      <w:r w:rsidRPr="00672F96">
        <w:rPr>
          <w:szCs w:val="22"/>
        </w:rPr>
        <w:tab/>
      </w:r>
      <w:r w:rsidR="004B7FB0" w:rsidRPr="00672F96">
        <w:rPr>
          <w:szCs w:val="22"/>
        </w:rPr>
        <w:t xml:space="preserve">Special precautions for disposal </w:t>
      </w:r>
    </w:p>
    <w:p w14:paraId="4FC85FA8" w14:textId="77777777" w:rsidR="006076E8" w:rsidRDefault="006076E8" w:rsidP="006076E8">
      <w:pPr>
        <w:spacing w:line="240" w:lineRule="auto"/>
        <w:rPr>
          <w:szCs w:val="22"/>
        </w:rPr>
      </w:pPr>
    </w:p>
    <w:p w14:paraId="6541CE61" w14:textId="553024DB" w:rsidR="006076E8" w:rsidRPr="00672F96" w:rsidRDefault="006076E8" w:rsidP="006076E8">
      <w:pPr>
        <w:spacing w:line="240" w:lineRule="auto"/>
        <w:rPr>
          <w:szCs w:val="22"/>
        </w:rPr>
      </w:pPr>
      <w:r w:rsidRPr="00672F96">
        <w:rPr>
          <w:szCs w:val="22"/>
        </w:rPr>
        <w:t xml:space="preserve">As with all cytotoxic substances, appropriate precautions should be taken when handling </w:t>
      </w:r>
      <w:proofErr w:type="spellStart"/>
      <w:r w:rsidRPr="00672F96">
        <w:rPr>
          <w:szCs w:val="22"/>
        </w:rPr>
        <w:t>treosulfan</w:t>
      </w:r>
      <w:proofErr w:type="spellEnd"/>
      <w:r w:rsidR="008617B9">
        <w:rPr>
          <w:szCs w:val="22"/>
        </w:rPr>
        <w:t xml:space="preserve"> (see section 4.2)</w:t>
      </w:r>
      <w:r w:rsidRPr="00672F96">
        <w:rPr>
          <w:szCs w:val="22"/>
        </w:rPr>
        <w:t>.</w:t>
      </w:r>
    </w:p>
    <w:p w14:paraId="086D5425" w14:textId="77777777" w:rsidR="006076E8" w:rsidRPr="006076E8" w:rsidRDefault="006076E8" w:rsidP="006076E8"/>
    <w:p w14:paraId="2F94C37D" w14:textId="4B200D83" w:rsidR="00AE0267" w:rsidRPr="00672F96" w:rsidRDefault="00522617" w:rsidP="00672F96">
      <w:pPr>
        <w:spacing w:line="240" w:lineRule="auto"/>
        <w:rPr>
          <w:szCs w:val="22"/>
        </w:rPr>
      </w:pPr>
      <w:proofErr w:type="spellStart"/>
      <w:r w:rsidRPr="00672F96">
        <w:rPr>
          <w:szCs w:val="22"/>
        </w:rPr>
        <w:t>Treosulfan</w:t>
      </w:r>
      <w:proofErr w:type="spellEnd"/>
      <w:r w:rsidRPr="00672F96">
        <w:rPr>
          <w:szCs w:val="22"/>
        </w:rPr>
        <w:t xml:space="preserve"> has mutagenic and carcinogenic potential. Remnants of the medicinal product as well as all materials that have been used for reconstitution and administration must be destroyed according to standard procedures applicable to antineoplastic agents</w:t>
      </w:r>
      <w:r w:rsidR="00F026C3">
        <w:rPr>
          <w:szCs w:val="22"/>
        </w:rPr>
        <w:t xml:space="preserve">. </w:t>
      </w:r>
    </w:p>
    <w:p w14:paraId="2F94C37E" w14:textId="3CAE5096" w:rsidR="00AE0267" w:rsidRDefault="00AE0267" w:rsidP="00672F96">
      <w:pPr>
        <w:spacing w:line="240" w:lineRule="auto"/>
        <w:rPr>
          <w:noProof/>
          <w:szCs w:val="22"/>
        </w:rPr>
      </w:pPr>
    </w:p>
    <w:p w14:paraId="06567199" w14:textId="1A892403" w:rsidR="00F026C3" w:rsidRDefault="00F026C3" w:rsidP="00672F96">
      <w:pPr>
        <w:spacing w:line="240" w:lineRule="auto"/>
        <w:rPr>
          <w:szCs w:val="22"/>
        </w:rPr>
      </w:pPr>
      <w:r>
        <w:rPr>
          <w:szCs w:val="22"/>
        </w:rPr>
        <w:t>I</w:t>
      </w:r>
      <w:r w:rsidRPr="00F026C3">
        <w:rPr>
          <w:szCs w:val="22"/>
        </w:rPr>
        <w:t>n Australia, any unused medicine or waste material should be disposed of in accordance with local requirements.</w:t>
      </w:r>
    </w:p>
    <w:p w14:paraId="1A374EA6" w14:textId="56D0FBB0" w:rsidR="00406F63" w:rsidRDefault="00406F63" w:rsidP="00672F96">
      <w:pPr>
        <w:spacing w:line="240" w:lineRule="auto"/>
        <w:rPr>
          <w:szCs w:val="22"/>
        </w:rPr>
      </w:pPr>
    </w:p>
    <w:p w14:paraId="2A54706C" w14:textId="00E7A9C8" w:rsidR="00406F63" w:rsidRDefault="00406F63" w:rsidP="00406F63">
      <w:pPr>
        <w:pStyle w:val="Heading3"/>
        <w:rPr>
          <w:szCs w:val="22"/>
        </w:rPr>
      </w:pPr>
      <w:r>
        <w:rPr>
          <w:szCs w:val="22"/>
        </w:rPr>
        <w:t xml:space="preserve">6.7 </w:t>
      </w:r>
      <w:r>
        <w:rPr>
          <w:szCs w:val="22"/>
        </w:rPr>
        <w:tab/>
        <w:t xml:space="preserve">Physicochemical properties </w:t>
      </w:r>
    </w:p>
    <w:p w14:paraId="2DA378EC" w14:textId="7362B75E" w:rsidR="00406F63" w:rsidRDefault="00406F63" w:rsidP="00406F63"/>
    <w:p w14:paraId="2D2195D9" w14:textId="79D8DBDF" w:rsidR="00406F63" w:rsidRPr="00406F63" w:rsidRDefault="00406F63" w:rsidP="00406F63">
      <w:pPr>
        <w:rPr>
          <w:u w:val="single"/>
        </w:rPr>
      </w:pPr>
      <w:r w:rsidRPr="00406F63">
        <w:rPr>
          <w:u w:val="single"/>
        </w:rPr>
        <w:t xml:space="preserve">Chemical structure </w:t>
      </w:r>
    </w:p>
    <w:p w14:paraId="031674F1" w14:textId="0F90F913" w:rsidR="00406F63" w:rsidRDefault="00406F63" w:rsidP="00672F96">
      <w:pPr>
        <w:spacing w:line="240" w:lineRule="auto"/>
        <w:rPr>
          <w:szCs w:val="22"/>
        </w:rPr>
      </w:pPr>
    </w:p>
    <w:p w14:paraId="47B0183C" w14:textId="7867BC15" w:rsidR="00406F63" w:rsidRPr="00672F96" w:rsidRDefault="00406F63" w:rsidP="00672F96">
      <w:pPr>
        <w:spacing w:line="240" w:lineRule="auto"/>
        <w:rPr>
          <w:szCs w:val="22"/>
        </w:rPr>
      </w:pPr>
      <w:r>
        <w:rPr>
          <w:noProof/>
          <w:lang w:eastAsia="en-GB"/>
        </w:rPr>
        <w:drawing>
          <wp:inline distT="0" distB="0" distL="0" distR="0" wp14:anchorId="3EA77641" wp14:editId="6B21DB25">
            <wp:extent cx="4738254" cy="176150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46437" cy="1764547"/>
                    </a:xfrm>
                    <a:prstGeom prst="rect">
                      <a:avLst/>
                    </a:prstGeom>
                  </pic:spPr>
                </pic:pic>
              </a:graphicData>
            </a:graphic>
          </wp:inline>
        </w:drawing>
      </w:r>
    </w:p>
    <w:p w14:paraId="2F94C37F" w14:textId="39E8DC36" w:rsidR="00A41FDE" w:rsidRPr="00134AFD" w:rsidRDefault="00134AFD" w:rsidP="00672F96">
      <w:pPr>
        <w:spacing w:line="240" w:lineRule="auto"/>
        <w:rPr>
          <w:noProof/>
          <w:szCs w:val="22"/>
          <w:u w:val="single"/>
        </w:rPr>
      </w:pPr>
      <w:r w:rsidRPr="00134AFD">
        <w:rPr>
          <w:noProof/>
          <w:szCs w:val="22"/>
          <w:u w:val="single"/>
        </w:rPr>
        <w:t>CAS number</w:t>
      </w:r>
    </w:p>
    <w:p w14:paraId="3554C8A1" w14:textId="10A18722" w:rsidR="00134AFD" w:rsidRPr="006A3ED2" w:rsidRDefault="00134AFD" w:rsidP="00672F96">
      <w:pPr>
        <w:spacing w:line="240" w:lineRule="auto"/>
        <w:rPr>
          <w:noProof/>
          <w:szCs w:val="22"/>
        </w:rPr>
      </w:pPr>
      <w:r w:rsidRPr="006A3ED2">
        <w:rPr>
          <w:rFonts w:eastAsia="SimSun"/>
          <w:szCs w:val="22"/>
          <w:lang w:val="en-AU" w:eastAsia="de-DE"/>
        </w:rPr>
        <w:t>299-75-2</w:t>
      </w:r>
    </w:p>
    <w:p w14:paraId="7C21F3BF" w14:textId="5947CCDE" w:rsidR="00134AFD" w:rsidRDefault="00134AFD" w:rsidP="00672F96">
      <w:pPr>
        <w:spacing w:line="240" w:lineRule="auto"/>
        <w:rPr>
          <w:noProof/>
          <w:szCs w:val="22"/>
        </w:rPr>
      </w:pPr>
    </w:p>
    <w:p w14:paraId="7BD6B5FF" w14:textId="77777777" w:rsidR="00134AFD" w:rsidRPr="00672F96" w:rsidRDefault="00134AFD" w:rsidP="00672F96">
      <w:pPr>
        <w:spacing w:line="240" w:lineRule="auto"/>
        <w:rPr>
          <w:noProof/>
          <w:szCs w:val="22"/>
        </w:rPr>
      </w:pPr>
    </w:p>
    <w:p w14:paraId="2F94C380" w14:textId="3C040740" w:rsidR="00812D16" w:rsidRPr="008617B9" w:rsidRDefault="00522617" w:rsidP="00672F96">
      <w:pPr>
        <w:pStyle w:val="Heading2"/>
        <w:rPr>
          <w:noProof/>
          <w:szCs w:val="22"/>
          <w:lang w:val="en-US"/>
        </w:rPr>
      </w:pPr>
      <w:r w:rsidRPr="008617B9">
        <w:rPr>
          <w:noProof/>
          <w:szCs w:val="22"/>
          <w:lang w:val="en-US"/>
        </w:rPr>
        <w:t>7.</w:t>
      </w:r>
      <w:r w:rsidRPr="008617B9">
        <w:rPr>
          <w:noProof/>
          <w:szCs w:val="22"/>
          <w:lang w:val="en-US"/>
        </w:rPr>
        <w:tab/>
      </w:r>
      <w:r w:rsidR="00406F63" w:rsidRPr="008617B9">
        <w:rPr>
          <w:noProof/>
          <w:szCs w:val="22"/>
          <w:lang w:val="en-US"/>
        </w:rPr>
        <w:t>MEDICINE SCHEDULE (POISONS STANDARD)</w:t>
      </w:r>
    </w:p>
    <w:p w14:paraId="2F94C381" w14:textId="77777777" w:rsidR="00812D16" w:rsidRPr="008617B9" w:rsidRDefault="00812D16" w:rsidP="00672F96">
      <w:pPr>
        <w:spacing w:line="240" w:lineRule="auto"/>
        <w:rPr>
          <w:noProof/>
          <w:szCs w:val="22"/>
          <w:lang w:val="en-US"/>
        </w:rPr>
      </w:pPr>
    </w:p>
    <w:p w14:paraId="49C3EF54" w14:textId="77777777" w:rsidR="00134AFD" w:rsidRPr="00A361DF" w:rsidRDefault="00134AFD" w:rsidP="00134AFD">
      <w:pPr>
        <w:spacing w:line="240" w:lineRule="auto"/>
      </w:pPr>
      <w:r w:rsidRPr="00A361DF">
        <w:t xml:space="preserve">S4 – Prescription Only Medicine </w:t>
      </w:r>
    </w:p>
    <w:p w14:paraId="2F94C387" w14:textId="77777777" w:rsidR="00812D16" w:rsidRPr="00672F96" w:rsidRDefault="00812D16" w:rsidP="00672F96">
      <w:pPr>
        <w:spacing w:line="240" w:lineRule="auto"/>
        <w:rPr>
          <w:noProof/>
          <w:szCs w:val="22"/>
        </w:rPr>
      </w:pPr>
    </w:p>
    <w:p w14:paraId="2F94C388" w14:textId="77777777" w:rsidR="00812D16" w:rsidRPr="00672F96" w:rsidRDefault="00812D16" w:rsidP="00672F96">
      <w:pPr>
        <w:spacing w:line="240" w:lineRule="auto"/>
        <w:rPr>
          <w:noProof/>
          <w:szCs w:val="22"/>
        </w:rPr>
      </w:pPr>
    </w:p>
    <w:p w14:paraId="2F94C389" w14:textId="49B238BB" w:rsidR="00812D16" w:rsidRPr="00672F96" w:rsidRDefault="00522617" w:rsidP="00672F96">
      <w:pPr>
        <w:pStyle w:val="Heading2"/>
        <w:rPr>
          <w:noProof/>
          <w:szCs w:val="22"/>
        </w:rPr>
      </w:pPr>
      <w:r w:rsidRPr="00672F96">
        <w:rPr>
          <w:noProof/>
          <w:szCs w:val="22"/>
        </w:rPr>
        <w:t>8.</w:t>
      </w:r>
      <w:r w:rsidRPr="00672F96">
        <w:rPr>
          <w:noProof/>
          <w:szCs w:val="22"/>
        </w:rPr>
        <w:tab/>
      </w:r>
      <w:r w:rsidR="00134AFD">
        <w:rPr>
          <w:noProof/>
          <w:szCs w:val="22"/>
        </w:rPr>
        <w:t xml:space="preserve">SPONSOR </w:t>
      </w:r>
    </w:p>
    <w:p w14:paraId="2F94C38A" w14:textId="77777777" w:rsidR="00812D16" w:rsidRPr="00672F96" w:rsidRDefault="00812D16" w:rsidP="00672F96">
      <w:pPr>
        <w:spacing w:line="240" w:lineRule="auto"/>
        <w:rPr>
          <w:noProof/>
          <w:szCs w:val="22"/>
        </w:rPr>
      </w:pPr>
    </w:p>
    <w:p w14:paraId="5E663AE6" w14:textId="3774A3E2" w:rsidR="00262C40" w:rsidRDefault="00134AFD" w:rsidP="00262C40">
      <w:pPr>
        <w:spacing w:line="240" w:lineRule="auto"/>
        <w:rPr>
          <w:noProof/>
          <w:szCs w:val="22"/>
        </w:rPr>
      </w:pPr>
      <w:r>
        <w:rPr>
          <w:noProof/>
          <w:szCs w:val="22"/>
        </w:rPr>
        <w:t>Link Medical Products Pty Ltd</w:t>
      </w:r>
    </w:p>
    <w:p w14:paraId="1CAB6083" w14:textId="0DDB7909" w:rsidR="00134AFD" w:rsidRDefault="00134AFD" w:rsidP="00262C40">
      <w:pPr>
        <w:spacing w:line="240" w:lineRule="auto"/>
        <w:rPr>
          <w:noProof/>
          <w:szCs w:val="22"/>
        </w:rPr>
      </w:pPr>
      <w:r>
        <w:rPr>
          <w:noProof/>
          <w:szCs w:val="22"/>
        </w:rPr>
        <w:t>5 Apollo Street</w:t>
      </w:r>
    </w:p>
    <w:p w14:paraId="37BF1394" w14:textId="349731E1" w:rsidR="00134AFD" w:rsidRDefault="00134AFD" w:rsidP="00262C40">
      <w:pPr>
        <w:spacing w:line="240" w:lineRule="auto"/>
        <w:rPr>
          <w:noProof/>
          <w:szCs w:val="22"/>
        </w:rPr>
      </w:pPr>
      <w:r>
        <w:rPr>
          <w:noProof/>
          <w:szCs w:val="22"/>
        </w:rPr>
        <w:t>Warriewood NSW 2102</w:t>
      </w:r>
    </w:p>
    <w:p w14:paraId="1297ACD9" w14:textId="77777777" w:rsidR="00934E3C" w:rsidRPr="00934E3C" w:rsidRDefault="00934E3C" w:rsidP="00934E3C">
      <w:pPr>
        <w:spacing w:line="240" w:lineRule="auto"/>
        <w:rPr>
          <w:noProof/>
          <w:szCs w:val="22"/>
        </w:rPr>
      </w:pPr>
      <w:r w:rsidRPr="00934E3C">
        <w:rPr>
          <w:noProof/>
          <w:szCs w:val="22"/>
        </w:rPr>
        <w:t xml:space="preserve">Ph: 1800 181 060 </w:t>
      </w:r>
    </w:p>
    <w:p w14:paraId="7CEB1EB5" w14:textId="5FCEB9ED" w:rsidR="00934E3C" w:rsidRPr="00036E7A" w:rsidRDefault="00934E3C" w:rsidP="00934E3C">
      <w:pPr>
        <w:spacing w:line="240" w:lineRule="auto"/>
        <w:rPr>
          <w:noProof/>
          <w:szCs w:val="22"/>
        </w:rPr>
      </w:pPr>
      <w:r w:rsidRPr="00934E3C">
        <w:rPr>
          <w:noProof/>
          <w:szCs w:val="22"/>
        </w:rPr>
        <w:t>linkhealthcare.com.au</w:t>
      </w:r>
    </w:p>
    <w:p w14:paraId="0745F9E5" w14:textId="77777777" w:rsidR="00262C40" w:rsidRPr="00036E7A" w:rsidRDefault="00262C40" w:rsidP="00672F96">
      <w:pPr>
        <w:spacing w:line="240" w:lineRule="auto"/>
        <w:rPr>
          <w:noProof/>
          <w:szCs w:val="22"/>
        </w:rPr>
      </w:pPr>
    </w:p>
    <w:p w14:paraId="2F94C38C" w14:textId="77777777" w:rsidR="00812D16" w:rsidRPr="00036E7A" w:rsidRDefault="00812D16" w:rsidP="00672F96">
      <w:pPr>
        <w:spacing w:line="240" w:lineRule="auto"/>
        <w:rPr>
          <w:noProof/>
          <w:szCs w:val="22"/>
        </w:rPr>
      </w:pPr>
    </w:p>
    <w:p w14:paraId="2F94C38D" w14:textId="10BFE846" w:rsidR="00812D16" w:rsidRPr="00672F96" w:rsidRDefault="00522617" w:rsidP="00672F96">
      <w:pPr>
        <w:pStyle w:val="Heading2"/>
        <w:rPr>
          <w:noProof/>
          <w:szCs w:val="22"/>
        </w:rPr>
      </w:pPr>
      <w:r w:rsidRPr="00672F96">
        <w:rPr>
          <w:noProof/>
          <w:szCs w:val="22"/>
        </w:rPr>
        <w:lastRenderedPageBreak/>
        <w:t>9.</w:t>
      </w:r>
      <w:r w:rsidRPr="00672F96">
        <w:rPr>
          <w:noProof/>
          <w:szCs w:val="22"/>
        </w:rPr>
        <w:tab/>
        <w:t>DATE OF FIRST</w:t>
      </w:r>
      <w:r w:rsidR="00134AFD">
        <w:rPr>
          <w:noProof/>
          <w:szCs w:val="22"/>
        </w:rPr>
        <w:t xml:space="preserve"> APPROVAL</w:t>
      </w:r>
    </w:p>
    <w:p w14:paraId="2F94C38E" w14:textId="77777777" w:rsidR="00812D16" w:rsidRPr="00672F96" w:rsidRDefault="00812D16" w:rsidP="00672F96">
      <w:pPr>
        <w:spacing w:line="240" w:lineRule="auto"/>
        <w:rPr>
          <w:i/>
          <w:noProof/>
          <w:szCs w:val="22"/>
        </w:rPr>
      </w:pPr>
    </w:p>
    <w:p w14:paraId="2F94C5BA" w14:textId="3931C5AE" w:rsidR="009F352C" w:rsidRPr="00672F96" w:rsidRDefault="00D93426" w:rsidP="00134AFD">
      <w:pPr>
        <w:numPr>
          <w:ilvl w:val="12"/>
          <w:numId w:val="0"/>
        </w:numPr>
        <w:tabs>
          <w:tab w:val="clear" w:pos="567"/>
          <w:tab w:val="left" w:pos="1004"/>
        </w:tabs>
        <w:spacing w:line="240" w:lineRule="auto"/>
        <w:ind w:right="-2"/>
        <w:rPr>
          <w:szCs w:val="22"/>
        </w:rPr>
      </w:pPr>
      <w:r>
        <w:rPr>
          <w:noProof/>
          <w:szCs w:val="22"/>
        </w:rPr>
        <w:t>23 September 2022</w:t>
      </w:r>
    </w:p>
    <w:sectPr w:rsidR="009F352C" w:rsidRPr="00672F96" w:rsidSect="00672F96">
      <w:headerReference w:type="default" r:id="rId16"/>
      <w:footerReference w:type="default" r:id="rId17"/>
      <w:headerReference w:type="first" r:id="rId18"/>
      <w:footerReference w:type="first" r:id="rId19"/>
      <w:endnotePr>
        <w:numFmt w:val="decimal"/>
      </w:endnotePr>
      <w:pgSz w:w="11907" w:h="16840" w:code="9"/>
      <w:pgMar w:top="1417"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63126" w14:textId="77777777" w:rsidR="007703F5" w:rsidRDefault="007703F5">
      <w:pPr>
        <w:spacing w:line="240" w:lineRule="auto"/>
      </w:pPr>
      <w:r>
        <w:separator/>
      </w:r>
    </w:p>
  </w:endnote>
  <w:endnote w:type="continuationSeparator" w:id="0">
    <w:p w14:paraId="7024A1C9" w14:textId="77777777" w:rsidR="007703F5" w:rsidRDefault="007703F5">
      <w:pPr>
        <w:spacing w:line="240" w:lineRule="auto"/>
      </w:pPr>
      <w:r>
        <w:continuationSeparator/>
      </w:r>
    </w:p>
  </w:endnote>
  <w:endnote w:type="continuationNotice" w:id="1">
    <w:p w14:paraId="130535FB" w14:textId="77777777" w:rsidR="007703F5" w:rsidRDefault="007703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C5C4" w14:textId="3EA879FA" w:rsidR="001A675E" w:rsidRDefault="00111263" w:rsidP="00111263">
    <w:pPr>
      <w:pStyle w:val="Footer"/>
      <w:tabs>
        <w:tab w:val="right" w:pos="8931"/>
      </w:tabs>
      <w:ind w:right="96"/>
    </w:pPr>
    <w:r>
      <w:t>TRECONDI PI V1</w:t>
    </w:r>
    <w:r>
      <w:tab/>
    </w:r>
    <w:r>
      <w:tab/>
    </w:r>
    <w:r>
      <w:tab/>
    </w:r>
    <w:r w:rsidR="001A675E">
      <w:fldChar w:fldCharType="begin"/>
    </w:r>
    <w:r w:rsidR="001A675E">
      <w:instrText xml:space="preserve"> EQ </w:instrText>
    </w:r>
    <w:r w:rsidR="001A675E">
      <w:fldChar w:fldCharType="end"/>
    </w:r>
    <w:r w:rsidR="001A675E">
      <w:rPr>
        <w:rStyle w:val="PageNumber"/>
        <w:rFonts w:cs="Arial"/>
      </w:rPr>
      <w:fldChar w:fldCharType="begin"/>
    </w:r>
    <w:r w:rsidR="001A675E">
      <w:rPr>
        <w:rStyle w:val="PageNumber"/>
        <w:rFonts w:cs="Arial"/>
      </w:rPr>
      <w:instrText xml:space="preserve">PAGE  </w:instrText>
    </w:r>
    <w:r w:rsidR="001A675E">
      <w:rPr>
        <w:rStyle w:val="PageNumber"/>
        <w:rFonts w:cs="Arial"/>
      </w:rPr>
      <w:fldChar w:fldCharType="separate"/>
    </w:r>
    <w:r w:rsidR="007D40E3">
      <w:rPr>
        <w:rStyle w:val="PageNumber"/>
        <w:rFonts w:cs="Arial"/>
      </w:rPr>
      <w:t>23</w:t>
    </w:r>
    <w:r w:rsidR="001A675E">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C5C5" w14:textId="77777777" w:rsidR="001A675E" w:rsidRDefault="001A675E">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D40E3">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D6D6" w14:textId="77777777" w:rsidR="007703F5" w:rsidRDefault="007703F5">
      <w:pPr>
        <w:spacing w:line="240" w:lineRule="auto"/>
      </w:pPr>
      <w:r>
        <w:separator/>
      </w:r>
    </w:p>
  </w:footnote>
  <w:footnote w:type="continuationSeparator" w:id="0">
    <w:p w14:paraId="5E4B3A10" w14:textId="77777777" w:rsidR="007703F5" w:rsidRDefault="007703F5">
      <w:pPr>
        <w:spacing w:line="240" w:lineRule="auto"/>
      </w:pPr>
      <w:r>
        <w:continuationSeparator/>
      </w:r>
    </w:p>
  </w:footnote>
  <w:footnote w:type="continuationNotice" w:id="1">
    <w:p w14:paraId="0D1A17C4" w14:textId="77777777" w:rsidR="007703F5" w:rsidRDefault="007703F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39"/>
    </w:tblGrid>
    <w:tr w:rsidR="00F87F4E" w:rsidRPr="000B2145" w14:paraId="075B9A2B" w14:textId="77777777" w:rsidTr="00D63F03">
      <w:trPr>
        <w:trHeight w:val="1012"/>
      </w:trPr>
      <w:tc>
        <w:tcPr>
          <w:tcW w:w="9039" w:type="dxa"/>
          <w:shd w:val="clear" w:color="auto" w:fill="E4F2E0"/>
        </w:tcPr>
        <w:p w14:paraId="3E0600DB" w14:textId="77777777" w:rsidR="00F87F4E" w:rsidRPr="000E4791" w:rsidRDefault="00F87F4E" w:rsidP="00F87F4E">
          <w:pPr>
            <w:pStyle w:val="Footer"/>
            <w:rPr>
              <w:b/>
              <w:sz w:val="18"/>
              <w:szCs w:val="18"/>
            </w:rPr>
          </w:pPr>
          <w:r w:rsidRPr="007745AA">
            <w:rPr>
              <w:b/>
              <w:sz w:val="18"/>
              <w:szCs w:val="18"/>
            </w:rPr>
            <w:t>AusPAR - Trecondi - treosulfan - Link Medical Products Pty Ltd - PM-2021-02707-1-6</w:t>
          </w:r>
          <w:r>
            <w:rPr>
              <w:b/>
              <w:sz w:val="18"/>
              <w:szCs w:val="18"/>
            </w:rPr>
            <w:t xml:space="preserve"> </w:t>
          </w:r>
          <w:r w:rsidRPr="007745AA">
            <w:rPr>
              <w:b/>
              <w:sz w:val="18"/>
              <w:szCs w:val="18"/>
            </w:rPr>
            <w:t>Final 29 June 2023</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rFonts w:eastAsia="Verdana"/>
                <w:b/>
              </w:rPr>
              <w:t>https://www.tga.gov.au/product-information-pi</w:t>
            </w:r>
          </w:hyperlink>
          <w:r w:rsidRPr="000E4791">
            <w:rPr>
              <w:b/>
              <w:sz w:val="18"/>
              <w:szCs w:val="18"/>
              <w:u w:val="single"/>
            </w:rPr>
            <w:t>&gt;</w:t>
          </w:r>
        </w:p>
      </w:tc>
    </w:tr>
  </w:tbl>
  <w:p w14:paraId="2F94C5C3" w14:textId="77777777" w:rsidR="001A675E" w:rsidRDefault="001A6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39"/>
    </w:tblGrid>
    <w:tr w:rsidR="00F87F4E" w:rsidRPr="000B2145" w14:paraId="16FF4BF8" w14:textId="77777777" w:rsidTr="00D63F03">
      <w:trPr>
        <w:trHeight w:val="1012"/>
      </w:trPr>
      <w:tc>
        <w:tcPr>
          <w:tcW w:w="9039" w:type="dxa"/>
          <w:shd w:val="clear" w:color="auto" w:fill="E4F2E0"/>
        </w:tcPr>
        <w:p w14:paraId="1AC1C716" w14:textId="77777777" w:rsidR="00F87F4E" w:rsidRPr="000E4791" w:rsidRDefault="00F87F4E" w:rsidP="00F87F4E">
          <w:pPr>
            <w:pStyle w:val="Footer"/>
            <w:rPr>
              <w:b/>
              <w:sz w:val="18"/>
              <w:szCs w:val="18"/>
            </w:rPr>
          </w:pPr>
          <w:bookmarkStart w:id="1" w:name="_Hlk109054010"/>
          <w:r w:rsidRPr="007745AA">
            <w:rPr>
              <w:b/>
              <w:sz w:val="18"/>
              <w:szCs w:val="18"/>
            </w:rPr>
            <w:t>AusPAR - Trecondi - treosulfan - Link Medical Products Pty Ltd - PM-2021-02707-1-6</w:t>
          </w:r>
          <w:r>
            <w:rPr>
              <w:b/>
              <w:sz w:val="18"/>
              <w:szCs w:val="18"/>
            </w:rPr>
            <w:t xml:space="preserve"> </w:t>
          </w:r>
          <w:r w:rsidRPr="007745AA">
            <w:rPr>
              <w:b/>
              <w:sz w:val="18"/>
              <w:szCs w:val="18"/>
            </w:rPr>
            <w:t>Final 29 June 2023</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rFonts w:eastAsia="Verdana"/>
                <w:b/>
              </w:rPr>
              <w:t>https://www.tga.gov.au/product-information-pi</w:t>
            </w:r>
          </w:hyperlink>
          <w:r w:rsidRPr="000E4791">
            <w:rPr>
              <w:b/>
              <w:sz w:val="18"/>
              <w:szCs w:val="18"/>
              <w:u w:val="single"/>
            </w:rPr>
            <w:t>&gt;</w:t>
          </w:r>
        </w:p>
      </w:tc>
    </w:tr>
    <w:bookmarkEnd w:id="1"/>
  </w:tbl>
  <w:p w14:paraId="07F718E8" w14:textId="77777777" w:rsidR="00111263" w:rsidRDefault="00111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3E31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DA3C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C2DC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B4A6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923B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D471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CACB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D220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D6A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525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900ED"/>
    <w:multiLevelType w:val="hybridMultilevel"/>
    <w:tmpl w:val="3D08C984"/>
    <w:lvl w:ilvl="0" w:tplc="554EE9C4">
      <w:start w:val="1"/>
      <w:numFmt w:val="bullet"/>
      <w:lvlText w:val=""/>
      <w:lvlJc w:val="left"/>
      <w:pPr>
        <w:tabs>
          <w:tab w:val="num" w:pos="360"/>
        </w:tabs>
        <w:ind w:left="360" w:hanging="360"/>
      </w:pPr>
      <w:rPr>
        <w:rFonts w:ascii="Symbol" w:hAnsi="Symbol" w:hint="default"/>
      </w:rPr>
    </w:lvl>
    <w:lvl w:ilvl="1" w:tplc="92CC0024" w:tentative="1">
      <w:start w:val="1"/>
      <w:numFmt w:val="bullet"/>
      <w:lvlText w:val="o"/>
      <w:lvlJc w:val="left"/>
      <w:pPr>
        <w:tabs>
          <w:tab w:val="num" w:pos="1080"/>
        </w:tabs>
        <w:ind w:left="1080" w:hanging="360"/>
      </w:pPr>
      <w:rPr>
        <w:rFonts w:ascii="Courier New" w:hAnsi="Courier New" w:cs="Courier New" w:hint="default"/>
      </w:rPr>
    </w:lvl>
    <w:lvl w:ilvl="2" w:tplc="DCD0D4AC" w:tentative="1">
      <w:start w:val="1"/>
      <w:numFmt w:val="bullet"/>
      <w:lvlText w:val=""/>
      <w:lvlJc w:val="left"/>
      <w:pPr>
        <w:tabs>
          <w:tab w:val="num" w:pos="1800"/>
        </w:tabs>
        <w:ind w:left="1800" w:hanging="360"/>
      </w:pPr>
      <w:rPr>
        <w:rFonts w:ascii="Wingdings" w:hAnsi="Wingdings" w:hint="default"/>
      </w:rPr>
    </w:lvl>
    <w:lvl w:ilvl="3" w:tplc="42E0FB04" w:tentative="1">
      <w:start w:val="1"/>
      <w:numFmt w:val="bullet"/>
      <w:lvlText w:val=""/>
      <w:lvlJc w:val="left"/>
      <w:pPr>
        <w:tabs>
          <w:tab w:val="num" w:pos="2520"/>
        </w:tabs>
        <w:ind w:left="2520" w:hanging="360"/>
      </w:pPr>
      <w:rPr>
        <w:rFonts w:ascii="Symbol" w:hAnsi="Symbol" w:hint="default"/>
      </w:rPr>
    </w:lvl>
    <w:lvl w:ilvl="4" w:tplc="717C20CA" w:tentative="1">
      <w:start w:val="1"/>
      <w:numFmt w:val="bullet"/>
      <w:lvlText w:val="o"/>
      <w:lvlJc w:val="left"/>
      <w:pPr>
        <w:tabs>
          <w:tab w:val="num" w:pos="3240"/>
        </w:tabs>
        <w:ind w:left="3240" w:hanging="360"/>
      </w:pPr>
      <w:rPr>
        <w:rFonts w:ascii="Courier New" w:hAnsi="Courier New" w:cs="Courier New" w:hint="default"/>
      </w:rPr>
    </w:lvl>
    <w:lvl w:ilvl="5" w:tplc="5D9A7862" w:tentative="1">
      <w:start w:val="1"/>
      <w:numFmt w:val="bullet"/>
      <w:lvlText w:val=""/>
      <w:lvlJc w:val="left"/>
      <w:pPr>
        <w:tabs>
          <w:tab w:val="num" w:pos="3960"/>
        </w:tabs>
        <w:ind w:left="3960" w:hanging="360"/>
      </w:pPr>
      <w:rPr>
        <w:rFonts w:ascii="Wingdings" w:hAnsi="Wingdings" w:hint="default"/>
      </w:rPr>
    </w:lvl>
    <w:lvl w:ilvl="6" w:tplc="E604DAAC" w:tentative="1">
      <w:start w:val="1"/>
      <w:numFmt w:val="bullet"/>
      <w:lvlText w:val=""/>
      <w:lvlJc w:val="left"/>
      <w:pPr>
        <w:tabs>
          <w:tab w:val="num" w:pos="4680"/>
        </w:tabs>
        <w:ind w:left="4680" w:hanging="360"/>
      </w:pPr>
      <w:rPr>
        <w:rFonts w:ascii="Symbol" w:hAnsi="Symbol" w:hint="default"/>
      </w:rPr>
    </w:lvl>
    <w:lvl w:ilvl="7" w:tplc="89667E18" w:tentative="1">
      <w:start w:val="1"/>
      <w:numFmt w:val="bullet"/>
      <w:lvlText w:val="o"/>
      <w:lvlJc w:val="left"/>
      <w:pPr>
        <w:tabs>
          <w:tab w:val="num" w:pos="5400"/>
        </w:tabs>
        <w:ind w:left="5400" w:hanging="360"/>
      </w:pPr>
      <w:rPr>
        <w:rFonts w:ascii="Courier New" w:hAnsi="Courier New" w:cs="Courier New" w:hint="default"/>
      </w:rPr>
    </w:lvl>
    <w:lvl w:ilvl="8" w:tplc="D5466F2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3" w15:restartNumberingAfterBreak="0">
    <w:nsid w:val="09C44CC1"/>
    <w:multiLevelType w:val="hybridMultilevel"/>
    <w:tmpl w:val="7FF2C56E"/>
    <w:lvl w:ilvl="0" w:tplc="54AEF942">
      <w:start w:val="1"/>
      <w:numFmt w:val="bullet"/>
      <w:lvlText w:val=""/>
      <w:lvlJc w:val="left"/>
      <w:pPr>
        <w:tabs>
          <w:tab w:val="num" w:pos="720"/>
        </w:tabs>
        <w:ind w:left="720" w:hanging="360"/>
      </w:pPr>
      <w:rPr>
        <w:rFonts w:ascii="Symbol" w:hAnsi="Symbol" w:hint="default"/>
      </w:rPr>
    </w:lvl>
    <w:lvl w:ilvl="1" w:tplc="048A87F0" w:tentative="1">
      <w:start w:val="1"/>
      <w:numFmt w:val="bullet"/>
      <w:lvlText w:val="o"/>
      <w:lvlJc w:val="left"/>
      <w:pPr>
        <w:tabs>
          <w:tab w:val="num" w:pos="1440"/>
        </w:tabs>
        <w:ind w:left="1440" w:hanging="360"/>
      </w:pPr>
      <w:rPr>
        <w:rFonts w:ascii="Courier New" w:hAnsi="Courier New" w:cs="Courier New" w:hint="default"/>
      </w:rPr>
    </w:lvl>
    <w:lvl w:ilvl="2" w:tplc="6E0636D8" w:tentative="1">
      <w:start w:val="1"/>
      <w:numFmt w:val="bullet"/>
      <w:lvlText w:val=""/>
      <w:lvlJc w:val="left"/>
      <w:pPr>
        <w:tabs>
          <w:tab w:val="num" w:pos="2160"/>
        </w:tabs>
        <w:ind w:left="2160" w:hanging="360"/>
      </w:pPr>
      <w:rPr>
        <w:rFonts w:ascii="Wingdings" w:hAnsi="Wingdings" w:hint="default"/>
      </w:rPr>
    </w:lvl>
    <w:lvl w:ilvl="3" w:tplc="87AC7428" w:tentative="1">
      <w:start w:val="1"/>
      <w:numFmt w:val="bullet"/>
      <w:lvlText w:val=""/>
      <w:lvlJc w:val="left"/>
      <w:pPr>
        <w:tabs>
          <w:tab w:val="num" w:pos="2880"/>
        </w:tabs>
        <w:ind w:left="2880" w:hanging="360"/>
      </w:pPr>
      <w:rPr>
        <w:rFonts w:ascii="Symbol" w:hAnsi="Symbol" w:hint="default"/>
      </w:rPr>
    </w:lvl>
    <w:lvl w:ilvl="4" w:tplc="C44C269E" w:tentative="1">
      <w:start w:val="1"/>
      <w:numFmt w:val="bullet"/>
      <w:lvlText w:val="o"/>
      <w:lvlJc w:val="left"/>
      <w:pPr>
        <w:tabs>
          <w:tab w:val="num" w:pos="3600"/>
        </w:tabs>
        <w:ind w:left="3600" w:hanging="360"/>
      </w:pPr>
      <w:rPr>
        <w:rFonts w:ascii="Courier New" w:hAnsi="Courier New" w:cs="Courier New" w:hint="default"/>
      </w:rPr>
    </w:lvl>
    <w:lvl w:ilvl="5" w:tplc="F82E84FC" w:tentative="1">
      <w:start w:val="1"/>
      <w:numFmt w:val="bullet"/>
      <w:lvlText w:val=""/>
      <w:lvlJc w:val="left"/>
      <w:pPr>
        <w:tabs>
          <w:tab w:val="num" w:pos="4320"/>
        </w:tabs>
        <w:ind w:left="4320" w:hanging="360"/>
      </w:pPr>
      <w:rPr>
        <w:rFonts w:ascii="Wingdings" w:hAnsi="Wingdings" w:hint="default"/>
      </w:rPr>
    </w:lvl>
    <w:lvl w:ilvl="6" w:tplc="222C77AE" w:tentative="1">
      <w:start w:val="1"/>
      <w:numFmt w:val="bullet"/>
      <w:lvlText w:val=""/>
      <w:lvlJc w:val="left"/>
      <w:pPr>
        <w:tabs>
          <w:tab w:val="num" w:pos="5040"/>
        </w:tabs>
        <w:ind w:left="5040" w:hanging="360"/>
      </w:pPr>
      <w:rPr>
        <w:rFonts w:ascii="Symbol" w:hAnsi="Symbol" w:hint="default"/>
      </w:rPr>
    </w:lvl>
    <w:lvl w:ilvl="7" w:tplc="BA74903E" w:tentative="1">
      <w:start w:val="1"/>
      <w:numFmt w:val="bullet"/>
      <w:lvlText w:val="o"/>
      <w:lvlJc w:val="left"/>
      <w:pPr>
        <w:tabs>
          <w:tab w:val="num" w:pos="5760"/>
        </w:tabs>
        <w:ind w:left="5760" w:hanging="360"/>
      </w:pPr>
      <w:rPr>
        <w:rFonts w:ascii="Courier New" w:hAnsi="Courier New" w:cs="Courier New" w:hint="default"/>
      </w:rPr>
    </w:lvl>
    <w:lvl w:ilvl="8" w:tplc="0414F4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E81309"/>
    <w:multiLevelType w:val="hybridMultilevel"/>
    <w:tmpl w:val="D85CF896"/>
    <w:lvl w:ilvl="0" w:tplc="02D4E32E">
      <w:start w:val="1"/>
      <w:numFmt w:val="upperLetter"/>
      <w:lvlText w:val="%1."/>
      <w:lvlJc w:val="left"/>
      <w:pPr>
        <w:ind w:left="577" w:hanging="450"/>
      </w:pPr>
      <w:rPr>
        <w:rFonts w:hint="default"/>
      </w:rPr>
    </w:lvl>
    <w:lvl w:ilvl="1" w:tplc="04070019" w:tentative="1">
      <w:start w:val="1"/>
      <w:numFmt w:val="lowerLetter"/>
      <w:lvlText w:val="%2."/>
      <w:lvlJc w:val="left"/>
      <w:pPr>
        <w:ind w:left="1207" w:hanging="360"/>
      </w:pPr>
    </w:lvl>
    <w:lvl w:ilvl="2" w:tplc="0407001B" w:tentative="1">
      <w:start w:val="1"/>
      <w:numFmt w:val="lowerRoman"/>
      <w:lvlText w:val="%3."/>
      <w:lvlJc w:val="right"/>
      <w:pPr>
        <w:ind w:left="1927" w:hanging="180"/>
      </w:pPr>
    </w:lvl>
    <w:lvl w:ilvl="3" w:tplc="0407000F" w:tentative="1">
      <w:start w:val="1"/>
      <w:numFmt w:val="decimal"/>
      <w:lvlText w:val="%4."/>
      <w:lvlJc w:val="left"/>
      <w:pPr>
        <w:ind w:left="2647" w:hanging="360"/>
      </w:pPr>
    </w:lvl>
    <w:lvl w:ilvl="4" w:tplc="04070019" w:tentative="1">
      <w:start w:val="1"/>
      <w:numFmt w:val="lowerLetter"/>
      <w:lvlText w:val="%5."/>
      <w:lvlJc w:val="left"/>
      <w:pPr>
        <w:ind w:left="3367" w:hanging="360"/>
      </w:pPr>
    </w:lvl>
    <w:lvl w:ilvl="5" w:tplc="0407001B" w:tentative="1">
      <w:start w:val="1"/>
      <w:numFmt w:val="lowerRoman"/>
      <w:lvlText w:val="%6."/>
      <w:lvlJc w:val="right"/>
      <w:pPr>
        <w:ind w:left="4087" w:hanging="180"/>
      </w:pPr>
    </w:lvl>
    <w:lvl w:ilvl="6" w:tplc="0407000F" w:tentative="1">
      <w:start w:val="1"/>
      <w:numFmt w:val="decimal"/>
      <w:lvlText w:val="%7."/>
      <w:lvlJc w:val="left"/>
      <w:pPr>
        <w:ind w:left="4807" w:hanging="360"/>
      </w:pPr>
    </w:lvl>
    <w:lvl w:ilvl="7" w:tplc="04070019" w:tentative="1">
      <w:start w:val="1"/>
      <w:numFmt w:val="lowerLetter"/>
      <w:lvlText w:val="%8."/>
      <w:lvlJc w:val="left"/>
      <w:pPr>
        <w:ind w:left="5527" w:hanging="360"/>
      </w:pPr>
    </w:lvl>
    <w:lvl w:ilvl="8" w:tplc="0407001B" w:tentative="1">
      <w:start w:val="1"/>
      <w:numFmt w:val="lowerRoman"/>
      <w:lvlText w:val="%9."/>
      <w:lvlJc w:val="right"/>
      <w:pPr>
        <w:ind w:left="6247" w:hanging="180"/>
      </w:pPr>
    </w:lvl>
  </w:abstractNum>
  <w:abstractNum w:abstractNumId="15" w15:restartNumberingAfterBreak="0">
    <w:nsid w:val="147053CF"/>
    <w:multiLevelType w:val="hybridMultilevel"/>
    <w:tmpl w:val="CA6AFDDA"/>
    <w:lvl w:ilvl="0" w:tplc="36781CE6">
      <w:start w:val="1"/>
      <w:numFmt w:val="bullet"/>
      <w:lvlText w:val=""/>
      <w:lvlJc w:val="left"/>
      <w:pPr>
        <w:ind w:left="720" w:hanging="360"/>
      </w:pPr>
      <w:rPr>
        <w:rFonts w:ascii="Symbol" w:hAnsi="Symbol" w:hint="default"/>
      </w:rPr>
    </w:lvl>
    <w:lvl w:ilvl="1" w:tplc="03786658" w:tentative="1">
      <w:start w:val="1"/>
      <w:numFmt w:val="bullet"/>
      <w:lvlText w:val="o"/>
      <w:lvlJc w:val="left"/>
      <w:pPr>
        <w:ind w:left="1440" w:hanging="360"/>
      </w:pPr>
      <w:rPr>
        <w:rFonts w:ascii="Courier New" w:hAnsi="Courier New" w:cs="Courier New" w:hint="default"/>
      </w:rPr>
    </w:lvl>
    <w:lvl w:ilvl="2" w:tplc="C4268802" w:tentative="1">
      <w:start w:val="1"/>
      <w:numFmt w:val="bullet"/>
      <w:lvlText w:val=""/>
      <w:lvlJc w:val="left"/>
      <w:pPr>
        <w:ind w:left="2160" w:hanging="360"/>
      </w:pPr>
      <w:rPr>
        <w:rFonts w:ascii="Wingdings" w:hAnsi="Wingdings" w:hint="default"/>
      </w:rPr>
    </w:lvl>
    <w:lvl w:ilvl="3" w:tplc="466AD97C" w:tentative="1">
      <w:start w:val="1"/>
      <w:numFmt w:val="bullet"/>
      <w:lvlText w:val=""/>
      <w:lvlJc w:val="left"/>
      <w:pPr>
        <w:ind w:left="2880" w:hanging="360"/>
      </w:pPr>
      <w:rPr>
        <w:rFonts w:ascii="Symbol" w:hAnsi="Symbol" w:hint="default"/>
      </w:rPr>
    </w:lvl>
    <w:lvl w:ilvl="4" w:tplc="F8C89DE0" w:tentative="1">
      <w:start w:val="1"/>
      <w:numFmt w:val="bullet"/>
      <w:lvlText w:val="o"/>
      <w:lvlJc w:val="left"/>
      <w:pPr>
        <w:ind w:left="3600" w:hanging="360"/>
      </w:pPr>
      <w:rPr>
        <w:rFonts w:ascii="Courier New" w:hAnsi="Courier New" w:cs="Courier New" w:hint="default"/>
      </w:rPr>
    </w:lvl>
    <w:lvl w:ilvl="5" w:tplc="2F564B72" w:tentative="1">
      <w:start w:val="1"/>
      <w:numFmt w:val="bullet"/>
      <w:lvlText w:val=""/>
      <w:lvlJc w:val="left"/>
      <w:pPr>
        <w:ind w:left="4320" w:hanging="360"/>
      </w:pPr>
      <w:rPr>
        <w:rFonts w:ascii="Wingdings" w:hAnsi="Wingdings" w:hint="default"/>
      </w:rPr>
    </w:lvl>
    <w:lvl w:ilvl="6" w:tplc="CDDE6988" w:tentative="1">
      <w:start w:val="1"/>
      <w:numFmt w:val="bullet"/>
      <w:lvlText w:val=""/>
      <w:lvlJc w:val="left"/>
      <w:pPr>
        <w:ind w:left="5040" w:hanging="360"/>
      </w:pPr>
      <w:rPr>
        <w:rFonts w:ascii="Symbol" w:hAnsi="Symbol" w:hint="default"/>
      </w:rPr>
    </w:lvl>
    <w:lvl w:ilvl="7" w:tplc="02246D6C" w:tentative="1">
      <w:start w:val="1"/>
      <w:numFmt w:val="bullet"/>
      <w:lvlText w:val="o"/>
      <w:lvlJc w:val="left"/>
      <w:pPr>
        <w:ind w:left="5760" w:hanging="360"/>
      </w:pPr>
      <w:rPr>
        <w:rFonts w:ascii="Courier New" w:hAnsi="Courier New" w:cs="Courier New" w:hint="default"/>
      </w:rPr>
    </w:lvl>
    <w:lvl w:ilvl="8" w:tplc="39804AF6" w:tentative="1">
      <w:start w:val="1"/>
      <w:numFmt w:val="bullet"/>
      <w:lvlText w:val=""/>
      <w:lvlJc w:val="left"/>
      <w:pPr>
        <w:ind w:left="6480" w:hanging="360"/>
      </w:pPr>
      <w:rPr>
        <w:rFonts w:ascii="Wingdings" w:hAnsi="Wingdings" w:hint="default"/>
      </w:rPr>
    </w:lvl>
  </w:abstractNum>
  <w:abstractNum w:abstractNumId="16" w15:restartNumberingAfterBreak="0">
    <w:nsid w:val="167133A9"/>
    <w:multiLevelType w:val="hybridMultilevel"/>
    <w:tmpl w:val="17CE987E"/>
    <w:lvl w:ilvl="0" w:tplc="A2842F28">
      <w:start w:val="1"/>
      <w:numFmt w:val="bullet"/>
      <w:lvlText w:val="•"/>
      <w:lvlJc w:val="left"/>
      <w:pPr>
        <w:tabs>
          <w:tab w:val="num" w:pos="567"/>
        </w:tabs>
        <w:ind w:left="567" w:hanging="567"/>
      </w:pPr>
      <w:rPr>
        <w:rFonts w:ascii="Times New Roman" w:hAnsi="Times New Roman" w:cs="Times New Roman" w:hint="default"/>
      </w:rPr>
    </w:lvl>
    <w:lvl w:ilvl="1" w:tplc="64A0D7C0" w:tentative="1">
      <w:start w:val="1"/>
      <w:numFmt w:val="bullet"/>
      <w:lvlText w:val="o"/>
      <w:lvlJc w:val="left"/>
      <w:pPr>
        <w:tabs>
          <w:tab w:val="num" w:pos="1440"/>
        </w:tabs>
        <w:ind w:left="1440" w:hanging="360"/>
      </w:pPr>
      <w:rPr>
        <w:rFonts w:ascii="Courier New" w:hAnsi="Courier New" w:hint="default"/>
      </w:rPr>
    </w:lvl>
    <w:lvl w:ilvl="2" w:tplc="8556DE4A" w:tentative="1">
      <w:start w:val="1"/>
      <w:numFmt w:val="bullet"/>
      <w:lvlText w:val=""/>
      <w:lvlJc w:val="left"/>
      <w:pPr>
        <w:tabs>
          <w:tab w:val="num" w:pos="2160"/>
        </w:tabs>
        <w:ind w:left="2160" w:hanging="360"/>
      </w:pPr>
      <w:rPr>
        <w:rFonts w:ascii="Wingdings" w:hAnsi="Wingdings" w:hint="default"/>
      </w:rPr>
    </w:lvl>
    <w:lvl w:ilvl="3" w:tplc="6E0419D8" w:tentative="1">
      <w:start w:val="1"/>
      <w:numFmt w:val="bullet"/>
      <w:lvlText w:val=""/>
      <w:lvlJc w:val="left"/>
      <w:pPr>
        <w:tabs>
          <w:tab w:val="num" w:pos="2880"/>
        </w:tabs>
        <w:ind w:left="2880" w:hanging="360"/>
      </w:pPr>
      <w:rPr>
        <w:rFonts w:ascii="Symbol" w:hAnsi="Symbol" w:hint="default"/>
      </w:rPr>
    </w:lvl>
    <w:lvl w:ilvl="4" w:tplc="B29465D6" w:tentative="1">
      <w:start w:val="1"/>
      <w:numFmt w:val="bullet"/>
      <w:lvlText w:val="o"/>
      <w:lvlJc w:val="left"/>
      <w:pPr>
        <w:tabs>
          <w:tab w:val="num" w:pos="3600"/>
        </w:tabs>
        <w:ind w:left="3600" w:hanging="360"/>
      </w:pPr>
      <w:rPr>
        <w:rFonts w:ascii="Courier New" w:hAnsi="Courier New" w:hint="default"/>
      </w:rPr>
    </w:lvl>
    <w:lvl w:ilvl="5" w:tplc="2D7EBB60" w:tentative="1">
      <w:start w:val="1"/>
      <w:numFmt w:val="bullet"/>
      <w:lvlText w:val=""/>
      <w:lvlJc w:val="left"/>
      <w:pPr>
        <w:tabs>
          <w:tab w:val="num" w:pos="4320"/>
        </w:tabs>
        <w:ind w:left="4320" w:hanging="360"/>
      </w:pPr>
      <w:rPr>
        <w:rFonts w:ascii="Wingdings" w:hAnsi="Wingdings" w:hint="default"/>
      </w:rPr>
    </w:lvl>
    <w:lvl w:ilvl="6" w:tplc="EDF68A9E" w:tentative="1">
      <w:start w:val="1"/>
      <w:numFmt w:val="bullet"/>
      <w:lvlText w:val=""/>
      <w:lvlJc w:val="left"/>
      <w:pPr>
        <w:tabs>
          <w:tab w:val="num" w:pos="5040"/>
        </w:tabs>
        <w:ind w:left="5040" w:hanging="360"/>
      </w:pPr>
      <w:rPr>
        <w:rFonts w:ascii="Symbol" w:hAnsi="Symbol" w:hint="default"/>
      </w:rPr>
    </w:lvl>
    <w:lvl w:ilvl="7" w:tplc="5074DE82" w:tentative="1">
      <w:start w:val="1"/>
      <w:numFmt w:val="bullet"/>
      <w:lvlText w:val="o"/>
      <w:lvlJc w:val="left"/>
      <w:pPr>
        <w:tabs>
          <w:tab w:val="num" w:pos="5760"/>
        </w:tabs>
        <w:ind w:left="5760" w:hanging="360"/>
      </w:pPr>
      <w:rPr>
        <w:rFonts w:ascii="Courier New" w:hAnsi="Courier New" w:hint="default"/>
      </w:rPr>
    </w:lvl>
    <w:lvl w:ilvl="8" w:tplc="C60668F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E135BD9"/>
    <w:multiLevelType w:val="hybridMultilevel"/>
    <w:tmpl w:val="DAD6C0E0"/>
    <w:lvl w:ilvl="0" w:tplc="8962FCB2">
      <w:start w:val="1"/>
      <w:numFmt w:val="bullet"/>
      <w:lvlText w:val=""/>
      <w:lvlJc w:val="left"/>
      <w:pPr>
        <w:tabs>
          <w:tab w:val="num" w:pos="397"/>
        </w:tabs>
        <w:ind w:left="397" w:hanging="397"/>
      </w:pPr>
      <w:rPr>
        <w:rFonts w:ascii="Symbol" w:hAnsi="Symbol" w:hint="default"/>
      </w:rPr>
    </w:lvl>
    <w:lvl w:ilvl="1" w:tplc="C7B030F2" w:tentative="1">
      <w:start w:val="1"/>
      <w:numFmt w:val="bullet"/>
      <w:lvlText w:val="o"/>
      <w:lvlJc w:val="left"/>
      <w:pPr>
        <w:tabs>
          <w:tab w:val="num" w:pos="1440"/>
        </w:tabs>
        <w:ind w:left="1440" w:hanging="360"/>
      </w:pPr>
      <w:rPr>
        <w:rFonts w:ascii="Courier New" w:hAnsi="Courier New" w:cs="Courier New" w:hint="default"/>
      </w:rPr>
    </w:lvl>
    <w:lvl w:ilvl="2" w:tplc="2FF2DE4C" w:tentative="1">
      <w:start w:val="1"/>
      <w:numFmt w:val="bullet"/>
      <w:lvlText w:val=""/>
      <w:lvlJc w:val="left"/>
      <w:pPr>
        <w:tabs>
          <w:tab w:val="num" w:pos="2160"/>
        </w:tabs>
        <w:ind w:left="2160" w:hanging="360"/>
      </w:pPr>
      <w:rPr>
        <w:rFonts w:ascii="Wingdings" w:hAnsi="Wingdings" w:hint="default"/>
      </w:rPr>
    </w:lvl>
    <w:lvl w:ilvl="3" w:tplc="B4B877C6" w:tentative="1">
      <w:start w:val="1"/>
      <w:numFmt w:val="bullet"/>
      <w:lvlText w:val=""/>
      <w:lvlJc w:val="left"/>
      <w:pPr>
        <w:tabs>
          <w:tab w:val="num" w:pos="2880"/>
        </w:tabs>
        <w:ind w:left="2880" w:hanging="360"/>
      </w:pPr>
      <w:rPr>
        <w:rFonts w:ascii="Symbol" w:hAnsi="Symbol" w:hint="default"/>
      </w:rPr>
    </w:lvl>
    <w:lvl w:ilvl="4" w:tplc="48F68B5C" w:tentative="1">
      <w:start w:val="1"/>
      <w:numFmt w:val="bullet"/>
      <w:lvlText w:val="o"/>
      <w:lvlJc w:val="left"/>
      <w:pPr>
        <w:tabs>
          <w:tab w:val="num" w:pos="3600"/>
        </w:tabs>
        <w:ind w:left="3600" w:hanging="360"/>
      </w:pPr>
      <w:rPr>
        <w:rFonts w:ascii="Courier New" w:hAnsi="Courier New" w:cs="Courier New" w:hint="default"/>
      </w:rPr>
    </w:lvl>
    <w:lvl w:ilvl="5" w:tplc="D8329156" w:tentative="1">
      <w:start w:val="1"/>
      <w:numFmt w:val="bullet"/>
      <w:lvlText w:val=""/>
      <w:lvlJc w:val="left"/>
      <w:pPr>
        <w:tabs>
          <w:tab w:val="num" w:pos="4320"/>
        </w:tabs>
        <w:ind w:left="4320" w:hanging="360"/>
      </w:pPr>
      <w:rPr>
        <w:rFonts w:ascii="Wingdings" w:hAnsi="Wingdings" w:hint="default"/>
      </w:rPr>
    </w:lvl>
    <w:lvl w:ilvl="6" w:tplc="FF1A3BF8" w:tentative="1">
      <w:start w:val="1"/>
      <w:numFmt w:val="bullet"/>
      <w:lvlText w:val=""/>
      <w:lvlJc w:val="left"/>
      <w:pPr>
        <w:tabs>
          <w:tab w:val="num" w:pos="5040"/>
        </w:tabs>
        <w:ind w:left="5040" w:hanging="360"/>
      </w:pPr>
      <w:rPr>
        <w:rFonts w:ascii="Symbol" w:hAnsi="Symbol" w:hint="default"/>
      </w:rPr>
    </w:lvl>
    <w:lvl w:ilvl="7" w:tplc="F0989578" w:tentative="1">
      <w:start w:val="1"/>
      <w:numFmt w:val="bullet"/>
      <w:lvlText w:val="o"/>
      <w:lvlJc w:val="left"/>
      <w:pPr>
        <w:tabs>
          <w:tab w:val="num" w:pos="5760"/>
        </w:tabs>
        <w:ind w:left="5760" w:hanging="360"/>
      </w:pPr>
      <w:rPr>
        <w:rFonts w:ascii="Courier New" w:hAnsi="Courier New" w:cs="Courier New" w:hint="default"/>
      </w:rPr>
    </w:lvl>
    <w:lvl w:ilvl="8" w:tplc="BD52901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541609"/>
    <w:multiLevelType w:val="hybridMultilevel"/>
    <w:tmpl w:val="1E5AABE8"/>
    <w:lvl w:ilvl="0" w:tplc="EE50FC00">
      <w:start w:val="1"/>
      <w:numFmt w:val="decimal"/>
      <w:lvlText w:val="%1."/>
      <w:lvlJc w:val="left"/>
      <w:pPr>
        <w:tabs>
          <w:tab w:val="num" w:pos="570"/>
        </w:tabs>
        <w:ind w:left="570" w:hanging="570"/>
      </w:pPr>
      <w:rPr>
        <w:rFonts w:hint="default"/>
      </w:rPr>
    </w:lvl>
    <w:lvl w:ilvl="1" w:tplc="2F88F152" w:tentative="1">
      <w:start w:val="1"/>
      <w:numFmt w:val="lowerLetter"/>
      <w:lvlText w:val="%2."/>
      <w:lvlJc w:val="left"/>
      <w:pPr>
        <w:tabs>
          <w:tab w:val="num" w:pos="1080"/>
        </w:tabs>
        <w:ind w:left="1080" w:hanging="360"/>
      </w:pPr>
    </w:lvl>
    <w:lvl w:ilvl="2" w:tplc="59E4FF80" w:tentative="1">
      <w:start w:val="1"/>
      <w:numFmt w:val="lowerRoman"/>
      <w:lvlText w:val="%3."/>
      <w:lvlJc w:val="right"/>
      <w:pPr>
        <w:tabs>
          <w:tab w:val="num" w:pos="1800"/>
        </w:tabs>
        <w:ind w:left="1800" w:hanging="180"/>
      </w:pPr>
    </w:lvl>
    <w:lvl w:ilvl="3" w:tplc="87F09A52" w:tentative="1">
      <w:start w:val="1"/>
      <w:numFmt w:val="decimal"/>
      <w:lvlText w:val="%4."/>
      <w:lvlJc w:val="left"/>
      <w:pPr>
        <w:tabs>
          <w:tab w:val="num" w:pos="2520"/>
        </w:tabs>
        <w:ind w:left="2520" w:hanging="360"/>
      </w:pPr>
    </w:lvl>
    <w:lvl w:ilvl="4" w:tplc="DA06BFE6" w:tentative="1">
      <w:start w:val="1"/>
      <w:numFmt w:val="lowerLetter"/>
      <w:lvlText w:val="%5."/>
      <w:lvlJc w:val="left"/>
      <w:pPr>
        <w:tabs>
          <w:tab w:val="num" w:pos="3240"/>
        </w:tabs>
        <w:ind w:left="3240" w:hanging="360"/>
      </w:pPr>
    </w:lvl>
    <w:lvl w:ilvl="5" w:tplc="54F6CB60" w:tentative="1">
      <w:start w:val="1"/>
      <w:numFmt w:val="lowerRoman"/>
      <w:lvlText w:val="%6."/>
      <w:lvlJc w:val="right"/>
      <w:pPr>
        <w:tabs>
          <w:tab w:val="num" w:pos="3960"/>
        </w:tabs>
        <w:ind w:left="3960" w:hanging="180"/>
      </w:pPr>
    </w:lvl>
    <w:lvl w:ilvl="6" w:tplc="BD16AD8A" w:tentative="1">
      <w:start w:val="1"/>
      <w:numFmt w:val="decimal"/>
      <w:lvlText w:val="%7."/>
      <w:lvlJc w:val="left"/>
      <w:pPr>
        <w:tabs>
          <w:tab w:val="num" w:pos="4680"/>
        </w:tabs>
        <w:ind w:left="4680" w:hanging="360"/>
      </w:pPr>
    </w:lvl>
    <w:lvl w:ilvl="7" w:tplc="FE34D390" w:tentative="1">
      <w:start w:val="1"/>
      <w:numFmt w:val="lowerLetter"/>
      <w:lvlText w:val="%8."/>
      <w:lvlJc w:val="left"/>
      <w:pPr>
        <w:tabs>
          <w:tab w:val="num" w:pos="5400"/>
        </w:tabs>
        <w:ind w:left="5400" w:hanging="360"/>
      </w:pPr>
    </w:lvl>
    <w:lvl w:ilvl="8" w:tplc="FD4E1CB4" w:tentative="1">
      <w:start w:val="1"/>
      <w:numFmt w:val="lowerRoman"/>
      <w:lvlText w:val="%9."/>
      <w:lvlJc w:val="right"/>
      <w:pPr>
        <w:tabs>
          <w:tab w:val="num" w:pos="6120"/>
        </w:tabs>
        <w:ind w:left="6120" w:hanging="180"/>
      </w:pPr>
    </w:lvl>
  </w:abstractNum>
  <w:abstractNum w:abstractNumId="20" w15:restartNumberingAfterBreak="0">
    <w:nsid w:val="2F2C5CA1"/>
    <w:multiLevelType w:val="hybridMultilevel"/>
    <w:tmpl w:val="BD5C1018"/>
    <w:lvl w:ilvl="0" w:tplc="557C0610">
      <w:start w:val="1"/>
      <w:numFmt w:val="bullet"/>
      <w:lvlText w:val=""/>
      <w:lvlJc w:val="left"/>
      <w:pPr>
        <w:ind w:left="720" w:hanging="360"/>
      </w:pPr>
      <w:rPr>
        <w:rFonts w:ascii="Symbol" w:hAnsi="Symbol" w:hint="default"/>
      </w:rPr>
    </w:lvl>
    <w:lvl w:ilvl="1" w:tplc="F506AAC0" w:tentative="1">
      <w:start w:val="1"/>
      <w:numFmt w:val="bullet"/>
      <w:lvlText w:val="o"/>
      <w:lvlJc w:val="left"/>
      <w:pPr>
        <w:ind w:left="1440" w:hanging="360"/>
      </w:pPr>
      <w:rPr>
        <w:rFonts w:ascii="Courier New" w:hAnsi="Courier New" w:cs="Courier New" w:hint="default"/>
      </w:rPr>
    </w:lvl>
    <w:lvl w:ilvl="2" w:tplc="152CABAE" w:tentative="1">
      <w:start w:val="1"/>
      <w:numFmt w:val="bullet"/>
      <w:lvlText w:val=""/>
      <w:lvlJc w:val="left"/>
      <w:pPr>
        <w:ind w:left="2160" w:hanging="360"/>
      </w:pPr>
      <w:rPr>
        <w:rFonts w:ascii="Wingdings" w:hAnsi="Wingdings" w:hint="default"/>
      </w:rPr>
    </w:lvl>
    <w:lvl w:ilvl="3" w:tplc="B8DE946A" w:tentative="1">
      <w:start w:val="1"/>
      <w:numFmt w:val="bullet"/>
      <w:lvlText w:val=""/>
      <w:lvlJc w:val="left"/>
      <w:pPr>
        <w:ind w:left="2880" w:hanging="360"/>
      </w:pPr>
      <w:rPr>
        <w:rFonts w:ascii="Symbol" w:hAnsi="Symbol" w:hint="default"/>
      </w:rPr>
    </w:lvl>
    <w:lvl w:ilvl="4" w:tplc="47DAEC54" w:tentative="1">
      <w:start w:val="1"/>
      <w:numFmt w:val="bullet"/>
      <w:lvlText w:val="o"/>
      <w:lvlJc w:val="left"/>
      <w:pPr>
        <w:ind w:left="3600" w:hanging="360"/>
      </w:pPr>
      <w:rPr>
        <w:rFonts w:ascii="Courier New" w:hAnsi="Courier New" w:cs="Courier New" w:hint="default"/>
      </w:rPr>
    </w:lvl>
    <w:lvl w:ilvl="5" w:tplc="E37E1036" w:tentative="1">
      <w:start w:val="1"/>
      <w:numFmt w:val="bullet"/>
      <w:lvlText w:val=""/>
      <w:lvlJc w:val="left"/>
      <w:pPr>
        <w:ind w:left="4320" w:hanging="360"/>
      </w:pPr>
      <w:rPr>
        <w:rFonts w:ascii="Wingdings" w:hAnsi="Wingdings" w:hint="default"/>
      </w:rPr>
    </w:lvl>
    <w:lvl w:ilvl="6" w:tplc="3E68A08A" w:tentative="1">
      <w:start w:val="1"/>
      <w:numFmt w:val="bullet"/>
      <w:lvlText w:val=""/>
      <w:lvlJc w:val="left"/>
      <w:pPr>
        <w:ind w:left="5040" w:hanging="360"/>
      </w:pPr>
      <w:rPr>
        <w:rFonts w:ascii="Symbol" w:hAnsi="Symbol" w:hint="default"/>
      </w:rPr>
    </w:lvl>
    <w:lvl w:ilvl="7" w:tplc="3FFE7BAA" w:tentative="1">
      <w:start w:val="1"/>
      <w:numFmt w:val="bullet"/>
      <w:lvlText w:val="o"/>
      <w:lvlJc w:val="left"/>
      <w:pPr>
        <w:ind w:left="5760" w:hanging="360"/>
      </w:pPr>
      <w:rPr>
        <w:rFonts w:ascii="Courier New" w:hAnsi="Courier New" w:cs="Courier New" w:hint="default"/>
      </w:rPr>
    </w:lvl>
    <w:lvl w:ilvl="8" w:tplc="A1DE49F8" w:tentative="1">
      <w:start w:val="1"/>
      <w:numFmt w:val="bullet"/>
      <w:lvlText w:val=""/>
      <w:lvlJc w:val="left"/>
      <w:pPr>
        <w:ind w:left="6480" w:hanging="360"/>
      </w:pPr>
      <w:rPr>
        <w:rFonts w:ascii="Wingdings" w:hAnsi="Wingdings" w:hint="default"/>
      </w:rPr>
    </w:lvl>
  </w:abstractNum>
  <w:abstractNum w:abstractNumId="21" w15:restartNumberingAfterBreak="0">
    <w:nsid w:val="348B7058"/>
    <w:multiLevelType w:val="hybridMultilevel"/>
    <w:tmpl w:val="570858A0"/>
    <w:lvl w:ilvl="0" w:tplc="5A62C9C6">
      <w:start w:val="1"/>
      <w:numFmt w:val="bullet"/>
      <w:lvlText w:val="•"/>
      <w:lvlJc w:val="left"/>
      <w:pPr>
        <w:ind w:left="360" w:hanging="360"/>
      </w:pPr>
      <w:rPr>
        <w:rFonts w:ascii="Times New Roman" w:hAnsi="Times New Roman" w:cs="Times New Roman" w:hint="default"/>
      </w:rPr>
    </w:lvl>
    <w:lvl w:ilvl="1" w:tplc="5F42F3B4">
      <w:numFmt w:val="bullet"/>
      <w:lvlText w:val="-"/>
      <w:lvlJc w:val="left"/>
      <w:pPr>
        <w:ind w:left="1080" w:hanging="360"/>
      </w:pPr>
      <w:rPr>
        <w:rFonts w:ascii="Times New Roman" w:eastAsia="Times New Roman" w:hAnsi="Times New Roman" w:cs="Times New Roman" w:hint="default"/>
      </w:rPr>
    </w:lvl>
    <w:lvl w:ilvl="2" w:tplc="EF1A368C" w:tentative="1">
      <w:start w:val="1"/>
      <w:numFmt w:val="bullet"/>
      <w:lvlText w:val=""/>
      <w:lvlJc w:val="left"/>
      <w:pPr>
        <w:ind w:left="1800" w:hanging="360"/>
      </w:pPr>
      <w:rPr>
        <w:rFonts w:ascii="Wingdings" w:hAnsi="Wingdings" w:hint="default"/>
      </w:rPr>
    </w:lvl>
    <w:lvl w:ilvl="3" w:tplc="21A4EB86" w:tentative="1">
      <w:start w:val="1"/>
      <w:numFmt w:val="bullet"/>
      <w:lvlText w:val=""/>
      <w:lvlJc w:val="left"/>
      <w:pPr>
        <w:ind w:left="2520" w:hanging="360"/>
      </w:pPr>
      <w:rPr>
        <w:rFonts w:ascii="Symbol" w:hAnsi="Symbol" w:hint="default"/>
      </w:rPr>
    </w:lvl>
    <w:lvl w:ilvl="4" w:tplc="22A6A804" w:tentative="1">
      <w:start w:val="1"/>
      <w:numFmt w:val="bullet"/>
      <w:lvlText w:val="o"/>
      <w:lvlJc w:val="left"/>
      <w:pPr>
        <w:ind w:left="3240" w:hanging="360"/>
      </w:pPr>
      <w:rPr>
        <w:rFonts w:ascii="Courier New" w:hAnsi="Courier New" w:cs="Courier New" w:hint="default"/>
      </w:rPr>
    </w:lvl>
    <w:lvl w:ilvl="5" w:tplc="369208D2" w:tentative="1">
      <w:start w:val="1"/>
      <w:numFmt w:val="bullet"/>
      <w:lvlText w:val=""/>
      <w:lvlJc w:val="left"/>
      <w:pPr>
        <w:ind w:left="3960" w:hanging="360"/>
      </w:pPr>
      <w:rPr>
        <w:rFonts w:ascii="Wingdings" w:hAnsi="Wingdings" w:hint="default"/>
      </w:rPr>
    </w:lvl>
    <w:lvl w:ilvl="6" w:tplc="9A402A00" w:tentative="1">
      <w:start w:val="1"/>
      <w:numFmt w:val="bullet"/>
      <w:lvlText w:val=""/>
      <w:lvlJc w:val="left"/>
      <w:pPr>
        <w:ind w:left="4680" w:hanging="360"/>
      </w:pPr>
      <w:rPr>
        <w:rFonts w:ascii="Symbol" w:hAnsi="Symbol" w:hint="default"/>
      </w:rPr>
    </w:lvl>
    <w:lvl w:ilvl="7" w:tplc="8736C8C8" w:tentative="1">
      <w:start w:val="1"/>
      <w:numFmt w:val="bullet"/>
      <w:lvlText w:val="o"/>
      <w:lvlJc w:val="left"/>
      <w:pPr>
        <w:ind w:left="5400" w:hanging="360"/>
      </w:pPr>
      <w:rPr>
        <w:rFonts w:ascii="Courier New" w:hAnsi="Courier New" w:cs="Courier New" w:hint="default"/>
      </w:rPr>
    </w:lvl>
    <w:lvl w:ilvl="8" w:tplc="418AD08C" w:tentative="1">
      <w:start w:val="1"/>
      <w:numFmt w:val="bullet"/>
      <w:lvlText w:val=""/>
      <w:lvlJc w:val="left"/>
      <w:pPr>
        <w:ind w:left="6120" w:hanging="360"/>
      </w:pPr>
      <w:rPr>
        <w:rFonts w:ascii="Wingdings" w:hAnsi="Wingdings" w:hint="default"/>
      </w:rPr>
    </w:lvl>
  </w:abstractNum>
  <w:abstractNum w:abstractNumId="22"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4" w15:restartNumberingAfterBreak="0">
    <w:nsid w:val="42521020"/>
    <w:multiLevelType w:val="hybridMultilevel"/>
    <w:tmpl w:val="95126692"/>
    <w:lvl w:ilvl="0" w:tplc="48AE924C">
      <w:start w:val="1"/>
      <w:numFmt w:val="bullet"/>
      <w:lvlText w:val="•"/>
      <w:lvlJc w:val="left"/>
      <w:pPr>
        <w:tabs>
          <w:tab w:val="num" w:pos="567"/>
        </w:tabs>
        <w:ind w:left="567" w:hanging="567"/>
      </w:pPr>
      <w:rPr>
        <w:rFonts w:ascii="Times New Roman" w:hAnsi="Times New Roman" w:cs="Times New Roman" w:hint="default"/>
      </w:rPr>
    </w:lvl>
    <w:lvl w:ilvl="1" w:tplc="10444B6A" w:tentative="1">
      <w:start w:val="1"/>
      <w:numFmt w:val="bullet"/>
      <w:lvlText w:val="o"/>
      <w:lvlJc w:val="left"/>
      <w:pPr>
        <w:tabs>
          <w:tab w:val="num" w:pos="1440"/>
        </w:tabs>
        <w:ind w:left="1440" w:hanging="360"/>
      </w:pPr>
      <w:rPr>
        <w:rFonts w:ascii="Courier New" w:hAnsi="Courier New" w:hint="default"/>
      </w:rPr>
    </w:lvl>
    <w:lvl w:ilvl="2" w:tplc="701A0F88" w:tentative="1">
      <w:start w:val="1"/>
      <w:numFmt w:val="bullet"/>
      <w:lvlText w:val=""/>
      <w:lvlJc w:val="left"/>
      <w:pPr>
        <w:tabs>
          <w:tab w:val="num" w:pos="2160"/>
        </w:tabs>
        <w:ind w:left="2160" w:hanging="360"/>
      </w:pPr>
      <w:rPr>
        <w:rFonts w:ascii="Wingdings" w:hAnsi="Wingdings" w:hint="default"/>
      </w:rPr>
    </w:lvl>
    <w:lvl w:ilvl="3" w:tplc="41385F66" w:tentative="1">
      <w:start w:val="1"/>
      <w:numFmt w:val="bullet"/>
      <w:lvlText w:val=""/>
      <w:lvlJc w:val="left"/>
      <w:pPr>
        <w:tabs>
          <w:tab w:val="num" w:pos="2880"/>
        </w:tabs>
        <w:ind w:left="2880" w:hanging="360"/>
      </w:pPr>
      <w:rPr>
        <w:rFonts w:ascii="Symbol" w:hAnsi="Symbol" w:hint="default"/>
      </w:rPr>
    </w:lvl>
    <w:lvl w:ilvl="4" w:tplc="4A90E57C" w:tentative="1">
      <w:start w:val="1"/>
      <w:numFmt w:val="bullet"/>
      <w:lvlText w:val="o"/>
      <w:lvlJc w:val="left"/>
      <w:pPr>
        <w:tabs>
          <w:tab w:val="num" w:pos="3600"/>
        </w:tabs>
        <w:ind w:left="3600" w:hanging="360"/>
      </w:pPr>
      <w:rPr>
        <w:rFonts w:ascii="Courier New" w:hAnsi="Courier New" w:hint="default"/>
      </w:rPr>
    </w:lvl>
    <w:lvl w:ilvl="5" w:tplc="4372E4BA" w:tentative="1">
      <w:start w:val="1"/>
      <w:numFmt w:val="bullet"/>
      <w:lvlText w:val=""/>
      <w:lvlJc w:val="left"/>
      <w:pPr>
        <w:tabs>
          <w:tab w:val="num" w:pos="4320"/>
        </w:tabs>
        <w:ind w:left="4320" w:hanging="360"/>
      </w:pPr>
      <w:rPr>
        <w:rFonts w:ascii="Wingdings" w:hAnsi="Wingdings" w:hint="default"/>
      </w:rPr>
    </w:lvl>
    <w:lvl w:ilvl="6" w:tplc="61BCF3E8" w:tentative="1">
      <w:start w:val="1"/>
      <w:numFmt w:val="bullet"/>
      <w:lvlText w:val=""/>
      <w:lvlJc w:val="left"/>
      <w:pPr>
        <w:tabs>
          <w:tab w:val="num" w:pos="5040"/>
        </w:tabs>
        <w:ind w:left="5040" w:hanging="360"/>
      </w:pPr>
      <w:rPr>
        <w:rFonts w:ascii="Symbol" w:hAnsi="Symbol" w:hint="default"/>
      </w:rPr>
    </w:lvl>
    <w:lvl w:ilvl="7" w:tplc="A0904120" w:tentative="1">
      <w:start w:val="1"/>
      <w:numFmt w:val="bullet"/>
      <w:lvlText w:val="o"/>
      <w:lvlJc w:val="left"/>
      <w:pPr>
        <w:tabs>
          <w:tab w:val="num" w:pos="5760"/>
        </w:tabs>
        <w:ind w:left="5760" w:hanging="360"/>
      </w:pPr>
      <w:rPr>
        <w:rFonts w:ascii="Courier New" w:hAnsi="Courier New" w:hint="default"/>
      </w:rPr>
    </w:lvl>
    <w:lvl w:ilvl="8" w:tplc="FD900C3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0334EB"/>
    <w:multiLevelType w:val="hybridMultilevel"/>
    <w:tmpl w:val="13DC2148"/>
    <w:lvl w:ilvl="0" w:tplc="4134DCC8">
      <w:start w:val="1"/>
      <w:numFmt w:val="bullet"/>
      <w:lvlText w:val=""/>
      <w:lvlJc w:val="left"/>
      <w:pPr>
        <w:tabs>
          <w:tab w:val="num" w:pos="567"/>
        </w:tabs>
        <w:ind w:left="567" w:hanging="567"/>
      </w:pPr>
      <w:rPr>
        <w:rFonts w:ascii="Wingdings" w:hAnsi="Wingdings" w:hint="default"/>
      </w:rPr>
    </w:lvl>
    <w:lvl w:ilvl="1" w:tplc="97CE445C" w:tentative="1">
      <w:start w:val="1"/>
      <w:numFmt w:val="bullet"/>
      <w:lvlText w:val="o"/>
      <w:lvlJc w:val="left"/>
      <w:pPr>
        <w:tabs>
          <w:tab w:val="num" w:pos="1440"/>
        </w:tabs>
        <w:ind w:left="1440" w:hanging="360"/>
      </w:pPr>
      <w:rPr>
        <w:rFonts w:ascii="Courier New" w:hAnsi="Courier New" w:hint="default"/>
      </w:rPr>
    </w:lvl>
    <w:lvl w:ilvl="2" w:tplc="E7EA84E0" w:tentative="1">
      <w:start w:val="1"/>
      <w:numFmt w:val="bullet"/>
      <w:lvlText w:val=""/>
      <w:lvlJc w:val="left"/>
      <w:pPr>
        <w:tabs>
          <w:tab w:val="num" w:pos="2160"/>
        </w:tabs>
        <w:ind w:left="2160" w:hanging="360"/>
      </w:pPr>
      <w:rPr>
        <w:rFonts w:ascii="Wingdings" w:hAnsi="Wingdings" w:hint="default"/>
      </w:rPr>
    </w:lvl>
    <w:lvl w:ilvl="3" w:tplc="E99A7F5A" w:tentative="1">
      <w:start w:val="1"/>
      <w:numFmt w:val="bullet"/>
      <w:lvlText w:val=""/>
      <w:lvlJc w:val="left"/>
      <w:pPr>
        <w:tabs>
          <w:tab w:val="num" w:pos="2880"/>
        </w:tabs>
        <w:ind w:left="2880" w:hanging="360"/>
      </w:pPr>
      <w:rPr>
        <w:rFonts w:ascii="Symbol" w:hAnsi="Symbol" w:hint="default"/>
      </w:rPr>
    </w:lvl>
    <w:lvl w:ilvl="4" w:tplc="297009E6" w:tentative="1">
      <w:start w:val="1"/>
      <w:numFmt w:val="bullet"/>
      <w:lvlText w:val="o"/>
      <w:lvlJc w:val="left"/>
      <w:pPr>
        <w:tabs>
          <w:tab w:val="num" w:pos="3600"/>
        </w:tabs>
        <w:ind w:left="3600" w:hanging="360"/>
      </w:pPr>
      <w:rPr>
        <w:rFonts w:ascii="Courier New" w:hAnsi="Courier New" w:hint="default"/>
      </w:rPr>
    </w:lvl>
    <w:lvl w:ilvl="5" w:tplc="3F588ADA" w:tentative="1">
      <w:start w:val="1"/>
      <w:numFmt w:val="bullet"/>
      <w:lvlText w:val=""/>
      <w:lvlJc w:val="left"/>
      <w:pPr>
        <w:tabs>
          <w:tab w:val="num" w:pos="4320"/>
        </w:tabs>
        <w:ind w:left="4320" w:hanging="360"/>
      </w:pPr>
      <w:rPr>
        <w:rFonts w:ascii="Wingdings" w:hAnsi="Wingdings" w:hint="default"/>
      </w:rPr>
    </w:lvl>
    <w:lvl w:ilvl="6" w:tplc="6430EF84" w:tentative="1">
      <w:start w:val="1"/>
      <w:numFmt w:val="bullet"/>
      <w:lvlText w:val=""/>
      <w:lvlJc w:val="left"/>
      <w:pPr>
        <w:tabs>
          <w:tab w:val="num" w:pos="5040"/>
        </w:tabs>
        <w:ind w:left="5040" w:hanging="360"/>
      </w:pPr>
      <w:rPr>
        <w:rFonts w:ascii="Symbol" w:hAnsi="Symbol" w:hint="default"/>
      </w:rPr>
    </w:lvl>
    <w:lvl w:ilvl="7" w:tplc="62C821F6" w:tentative="1">
      <w:start w:val="1"/>
      <w:numFmt w:val="bullet"/>
      <w:lvlText w:val="o"/>
      <w:lvlJc w:val="left"/>
      <w:pPr>
        <w:tabs>
          <w:tab w:val="num" w:pos="5760"/>
        </w:tabs>
        <w:ind w:left="5760" w:hanging="360"/>
      </w:pPr>
      <w:rPr>
        <w:rFonts w:ascii="Courier New" w:hAnsi="Courier New" w:hint="default"/>
      </w:rPr>
    </w:lvl>
    <w:lvl w:ilvl="8" w:tplc="3FB68FF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42B2D93"/>
    <w:multiLevelType w:val="hybridMultilevel"/>
    <w:tmpl w:val="C9B8271E"/>
    <w:lvl w:ilvl="0" w:tplc="0DEEA456">
      <w:start w:val="1"/>
      <w:numFmt w:val="decimal"/>
      <w:lvlText w:val="%1."/>
      <w:lvlJc w:val="left"/>
      <w:pPr>
        <w:ind w:left="720" w:hanging="360"/>
      </w:pPr>
      <w:rPr>
        <w:rFonts w:hint="default"/>
      </w:rPr>
    </w:lvl>
    <w:lvl w:ilvl="1" w:tplc="034819B8" w:tentative="1">
      <w:start w:val="1"/>
      <w:numFmt w:val="lowerLetter"/>
      <w:lvlText w:val="%2."/>
      <w:lvlJc w:val="left"/>
      <w:pPr>
        <w:ind w:left="1440" w:hanging="360"/>
      </w:pPr>
    </w:lvl>
    <w:lvl w:ilvl="2" w:tplc="164010FC" w:tentative="1">
      <w:start w:val="1"/>
      <w:numFmt w:val="lowerRoman"/>
      <w:lvlText w:val="%3."/>
      <w:lvlJc w:val="right"/>
      <w:pPr>
        <w:ind w:left="2160" w:hanging="180"/>
      </w:pPr>
    </w:lvl>
    <w:lvl w:ilvl="3" w:tplc="00BCA6AA" w:tentative="1">
      <w:start w:val="1"/>
      <w:numFmt w:val="decimal"/>
      <w:lvlText w:val="%4."/>
      <w:lvlJc w:val="left"/>
      <w:pPr>
        <w:ind w:left="2880" w:hanging="360"/>
      </w:pPr>
    </w:lvl>
    <w:lvl w:ilvl="4" w:tplc="390E5850" w:tentative="1">
      <w:start w:val="1"/>
      <w:numFmt w:val="lowerLetter"/>
      <w:lvlText w:val="%5."/>
      <w:lvlJc w:val="left"/>
      <w:pPr>
        <w:ind w:left="3600" w:hanging="360"/>
      </w:pPr>
    </w:lvl>
    <w:lvl w:ilvl="5" w:tplc="6C2C5768" w:tentative="1">
      <w:start w:val="1"/>
      <w:numFmt w:val="lowerRoman"/>
      <w:lvlText w:val="%6."/>
      <w:lvlJc w:val="right"/>
      <w:pPr>
        <w:ind w:left="4320" w:hanging="180"/>
      </w:pPr>
    </w:lvl>
    <w:lvl w:ilvl="6" w:tplc="82FEC7B4" w:tentative="1">
      <w:start w:val="1"/>
      <w:numFmt w:val="decimal"/>
      <w:lvlText w:val="%7."/>
      <w:lvlJc w:val="left"/>
      <w:pPr>
        <w:ind w:left="5040" w:hanging="360"/>
      </w:pPr>
    </w:lvl>
    <w:lvl w:ilvl="7" w:tplc="D0F4B33A" w:tentative="1">
      <w:start w:val="1"/>
      <w:numFmt w:val="lowerLetter"/>
      <w:lvlText w:val="%8."/>
      <w:lvlJc w:val="left"/>
      <w:pPr>
        <w:ind w:left="5760" w:hanging="360"/>
      </w:pPr>
    </w:lvl>
    <w:lvl w:ilvl="8" w:tplc="36744BAA" w:tentative="1">
      <w:start w:val="1"/>
      <w:numFmt w:val="lowerRoman"/>
      <w:lvlText w:val="%9."/>
      <w:lvlJc w:val="right"/>
      <w:pPr>
        <w:ind w:left="6480" w:hanging="180"/>
      </w:pPr>
    </w:lvl>
  </w:abstractNum>
  <w:abstractNum w:abstractNumId="2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9" w15:restartNumberingAfterBreak="0">
    <w:nsid w:val="58B56C73"/>
    <w:multiLevelType w:val="hybridMultilevel"/>
    <w:tmpl w:val="5BA42128"/>
    <w:lvl w:ilvl="0" w:tplc="AF8C3274">
      <w:start w:val="2"/>
      <w:numFmt w:val="decimal"/>
      <w:lvlText w:val="%1."/>
      <w:lvlJc w:val="left"/>
      <w:pPr>
        <w:tabs>
          <w:tab w:val="num" w:pos="570"/>
        </w:tabs>
        <w:ind w:left="570" w:hanging="570"/>
      </w:pPr>
      <w:rPr>
        <w:rFonts w:hint="default"/>
      </w:rPr>
    </w:lvl>
    <w:lvl w:ilvl="1" w:tplc="E1BCA7C4" w:tentative="1">
      <w:start w:val="1"/>
      <w:numFmt w:val="lowerLetter"/>
      <w:lvlText w:val="%2."/>
      <w:lvlJc w:val="left"/>
      <w:pPr>
        <w:tabs>
          <w:tab w:val="num" w:pos="1080"/>
        </w:tabs>
        <w:ind w:left="1080" w:hanging="360"/>
      </w:pPr>
    </w:lvl>
    <w:lvl w:ilvl="2" w:tplc="7E4A7A2E" w:tentative="1">
      <w:start w:val="1"/>
      <w:numFmt w:val="lowerRoman"/>
      <w:lvlText w:val="%3."/>
      <w:lvlJc w:val="right"/>
      <w:pPr>
        <w:tabs>
          <w:tab w:val="num" w:pos="1800"/>
        </w:tabs>
        <w:ind w:left="1800" w:hanging="180"/>
      </w:pPr>
    </w:lvl>
    <w:lvl w:ilvl="3" w:tplc="A5EE0D76" w:tentative="1">
      <w:start w:val="1"/>
      <w:numFmt w:val="decimal"/>
      <w:lvlText w:val="%4."/>
      <w:lvlJc w:val="left"/>
      <w:pPr>
        <w:tabs>
          <w:tab w:val="num" w:pos="2520"/>
        </w:tabs>
        <w:ind w:left="2520" w:hanging="360"/>
      </w:pPr>
    </w:lvl>
    <w:lvl w:ilvl="4" w:tplc="D88CF2E8" w:tentative="1">
      <w:start w:val="1"/>
      <w:numFmt w:val="lowerLetter"/>
      <w:lvlText w:val="%5."/>
      <w:lvlJc w:val="left"/>
      <w:pPr>
        <w:tabs>
          <w:tab w:val="num" w:pos="3240"/>
        </w:tabs>
        <w:ind w:left="3240" w:hanging="360"/>
      </w:pPr>
    </w:lvl>
    <w:lvl w:ilvl="5" w:tplc="52948AF0" w:tentative="1">
      <w:start w:val="1"/>
      <w:numFmt w:val="lowerRoman"/>
      <w:lvlText w:val="%6."/>
      <w:lvlJc w:val="right"/>
      <w:pPr>
        <w:tabs>
          <w:tab w:val="num" w:pos="3960"/>
        </w:tabs>
        <w:ind w:left="3960" w:hanging="180"/>
      </w:pPr>
    </w:lvl>
    <w:lvl w:ilvl="6" w:tplc="A418BCCC" w:tentative="1">
      <w:start w:val="1"/>
      <w:numFmt w:val="decimal"/>
      <w:lvlText w:val="%7."/>
      <w:lvlJc w:val="left"/>
      <w:pPr>
        <w:tabs>
          <w:tab w:val="num" w:pos="4680"/>
        </w:tabs>
        <w:ind w:left="4680" w:hanging="360"/>
      </w:pPr>
    </w:lvl>
    <w:lvl w:ilvl="7" w:tplc="5066D9A0" w:tentative="1">
      <w:start w:val="1"/>
      <w:numFmt w:val="lowerLetter"/>
      <w:lvlText w:val="%8."/>
      <w:lvlJc w:val="left"/>
      <w:pPr>
        <w:tabs>
          <w:tab w:val="num" w:pos="5400"/>
        </w:tabs>
        <w:ind w:left="5400" w:hanging="360"/>
      </w:pPr>
    </w:lvl>
    <w:lvl w:ilvl="8" w:tplc="77E4C9A6" w:tentative="1">
      <w:start w:val="1"/>
      <w:numFmt w:val="lowerRoman"/>
      <w:lvlText w:val="%9."/>
      <w:lvlJc w:val="right"/>
      <w:pPr>
        <w:tabs>
          <w:tab w:val="num" w:pos="6120"/>
        </w:tabs>
        <w:ind w:left="6120" w:hanging="180"/>
      </w:pPr>
    </w:lvl>
  </w:abstractNum>
  <w:abstractNum w:abstractNumId="30" w15:restartNumberingAfterBreak="0">
    <w:nsid w:val="62C9126C"/>
    <w:multiLevelType w:val="hybridMultilevel"/>
    <w:tmpl w:val="E9B455C8"/>
    <w:lvl w:ilvl="0" w:tplc="0EBA5760">
      <w:start w:val="1"/>
      <w:numFmt w:val="bullet"/>
      <w:lvlText w:val=""/>
      <w:lvlJc w:val="left"/>
      <w:pPr>
        <w:ind w:left="720" w:hanging="360"/>
      </w:pPr>
      <w:rPr>
        <w:rFonts w:ascii="Symbol" w:hAnsi="Symbol" w:hint="default"/>
      </w:rPr>
    </w:lvl>
    <w:lvl w:ilvl="1" w:tplc="8B32A132" w:tentative="1">
      <w:start w:val="1"/>
      <w:numFmt w:val="bullet"/>
      <w:lvlText w:val="o"/>
      <w:lvlJc w:val="left"/>
      <w:pPr>
        <w:ind w:left="1440" w:hanging="360"/>
      </w:pPr>
      <w:rPr>
        <w:rFonts w:ascii="Courier New" w:hAnsi="Courier New" w:cs="Courier New" w:hint="default"/>
      </w:rPr>
    </w:lvl>
    <w:lvl w:ilvl="2" w:tplc="6B0C0E2E" w:tentative="1">
      <w:start w:val="1"/>
      <w:numFmt w:val="bullet"/>
      <w:lvlText w:val=""/>
      <w:lvlJc w:val="left"/>
      <w:pPr>
        <w:ind w:left="2160" w:hanging="360"/>
      </w:pPr>
      <w:rPr>
        <w:rFonts w:ascii="Wingdings" w:hAnsi="Wingdings" w:hint="default"/>
      </w:rPr>
    </w:lvl>
    <w:lvl w:ilvl="3" w:tplc="58BED67C" w:tentative="1">
      <w:start w:val="1"/>
      <w:numFmt w:val="bullet"/>
      <w:lvlText w:val=""/>
      <w:lvlJc w:val="left"/>
      <w:pPr>
        <w:ind w:left="2880" w:hanging="360"/>
      </w:pPr>
      <w:rPr>
        <w:rFonts w:ascii="Symbol" w:hAnsi="Symbol" w:hint="default"/>
      </w:rPr>
    </w:lvl>
    <w:lvl w:ilvl="4" w:tplc="DE54BC7E" w:tentative="1">
      <w:start w:val="1"/>
      <w:numFmt w:val="bullet"/>
      <w:lvlText w:val="o"/>
      <w:lvlJc w:val="left"/>
      <w:pPr>
        <w:ind w:left="3600" w:hanging="360"/>
      </w:pPr>
      <w:rPr>
        <w:rFonts w:ascii="Courier New" w:hAnsi="Courier New" w:cs="Courier New" w:hint="default"/>
      </w:rPr>
    </w:lvl>
    <w:lvl w:ilvl="5" w:tplc="C786FE16" w:tentative="1">
      <w:start w:val="1"/>
      <w:numFmt w:val="bullet"/>
      <w:lvlText w:val=""/>
      <w:lvlJc w:val="left"/>
      <w:pPr>
        <w:ind w:left="4320" w:hanging="360"/>
      </w:pPr>
      <w:rPr>
        <w:rFonts w:ascii="Wingdings" w:hAnsi="Wingdings" w:hint="default"/>
      </w:rPr>
    </w:lvl>
    <w:lvl w:ilvl="6" w:tplc="4A368010" w:tentative="1">
      <w:start w:val="1"/>
      <w:numFmt w:val="bullet"/>
      <w:lvlText w:val=""/>
      <w:lvlJc w:val="left"/>
      <w:pPr>
        <w:ind w:left="5040" w:hanging="360"/>
      </w:pPr>
      <w:rPr>
        <w:rFonts w:ascii="Symbol" w:hAnsi="Symbol" w:hint="default"/>
      </w:rPr>
    </w:lvl>
    <w:lvl w:ilvl="7" w:tplc="4A3A2418" w:tentative="1">
      <w:start w:val="1"/>
      <w:numFmt w:val="bullet"/>
      <w:lvlText w:val="o"/>
      <w:lvlJc w:val="left"/>
      <w:pPr>
        <w:ind w:left="5760" w:hanging="360"/>
      </w:pPr>
      <w:rPr>
        <w:rFonts w:ascii="Courier New" w:hAnsi="Courier New" w:cs="Courier New" w:hint="default"/>
      </w:rPr>
    </w:lvl>
    <w:lvl w:ilvl="8" w:tplc="F566F7EE" w:tentative="1">
      <w:start w:val="1"/>
      <w:numFmt w:val="bullet"/>
      <w:lvlText w:val=""/>
      <w:lvlJc w:val="left"/>
      <w:pPr>
        <w:ind w:left="6480" w:hanging="360"/>
      </w:pPr>
      <w:rPr>
        <w:rFonts w:ascii="Wingdings" w:hAnsi="Wingdings" w:hint="default"/>
      </w:rPr>
    </w:lvl>
  </w:abstractNum>
  <w:abstractNum w:abstractNumId="31"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9E95A54"/>
    <w:multiLevelType w:val="hybridMultilevel"/>
    <w:tmpl w:val="3C18EFB0"/>
    <w:lvl w:ilvl="0" w:tplc="CA744278">
      <w:start w:val="1"/>
      <w:numFmt w:val="bullet"/>
      <w:lvlText w:val=""/>
      <w:lvlJc w:val="left"/>
      <w:pPr>
        <w:tabs>
          <w:tab w:val="num" w:pos="397"/>
        </w:tabs>
        <w:ind w:left="397" w:hanging="397"/>
      </w:pPr>
      <w:rPr>
        <w:rFonts w:ascii="Symbol" w:hAnsi="Symbol" w:hint="default"/>
      </w:rPr>
    </w:lvl>
    <w:lvl w:ilvl="1" w:tplc="7528EFD2" w:tentative="1">
      <w:start w:val="1"/>
      <w:numFmt w:val="bullet"/>
      <w:lvlText w:val="o"/>
      <w:lvlJc w:val="left"/>
      <w:pPr>
        <w:tabs>
          <w:tab w:val="num" w:pos="1440"/>
        </w:tabs>
        <w:ind w:left="1440" w:hanging="360"/>
      </w:pPr>
      <w:rPr>
        <w:rFonts w:ascii="Courier New" w:hAnsi="Courier New" w:cs="Courier New" w:hint="default"/>
      </w:rPr>
    </w:lvl>
    <w:lvl w:ilvl="2" w:tplc="F5FC5304" w:tentative="1">
      <w:start w:val="1"/>
      <w:numFmt w:val="bullet"/>
      <w:lvlText w:val=""/>
      <w:lvlJc w:val="left"/>
      <w:pPr>
        <w:tabs>
          <w:tab w:val="num" w:pos="2160"/>
        </w:tabs>
        <w:ind w:left="2160" w:hanging="360"/>
      </w:pPr>
      <w:rPr>
        <w:rFonts w:ascii="Wingdings" w:hAnsi="Wingdings" w:hint="default"/>
      </w:rPr>
    </w:lvl>
    <w:lvl w:ilvl="3" w:tplc="13086262" w:tentative="1">
      <w:start w:val="1"/>
      <w:numFmt w:val="bullet"/>
      <w:lvlText w:val=""/>
      <w:lvlJc w:val="left"/>
      <w:pPr>
        <w:tabs>
          <w:tab w:val="num" w:pos="2880"/>
        </w:tabs>
        <w:ind w:left="2880" w:hanging="360"/>
      </w:pPr>
      <w:rPr>
        <w:rFonts w:ascii="Symbol" w:hAnsi="Symbol" w:hint="default"/>
      </w:rPr>
    </w:lvl>
    <w:lvl w:ilvl="4" w:tplc="A1F4B128" w:tentative="1">
      <w:start w:val="1"/>
      <w:numFmt w:val="bullet"/>
      <w:lvlText w:val="o"/>
      <w:lvlJc w:val="left"/>
      <w:pPr>
        <w:tabs>
          <w:tab w:val="num" w:pos="3600"/>
        </w:tabs>
        <w:ind w:left="3600" w:hanging="360"/>
      </w:pPr>
      <w:rPr>
        <w:rFonts w:ascii="Courier New" w:hAnsi="Courier New" w:cs="Courier New" w:hint="default"/>
      </w:rPr>
    </w:lvl>
    <w:lvl w:ilvl="5" w:tplc="FF4A441E" w:tentative="1">
      <w:start w:val="1"/>
      <w:numFmt w:val="bullet"/>
      <w:lvlText w:val=""/>
      <w:lvlJc w:val="left"/>
      <w:pPr>
        <w:tabs>
          <w:tab w:val="num" w:pos="4320"/>
        </w:tabs>
        <w:ind w:left="4320" w:hanging="360"/>
      </w:pPr>
      <w:rPr>
        <w:rFonts w:ascii="Wingdings" w:hAnsi="Wingdings" w:hint="default"/>
      </w:rPr>
    </w:lvl>
    <w:lvl w:ilvl="6" w:tplc="A740F29E" w:tentative="1">
      <w:start w:val="1"/>
      <w:numFmt w:val="bullet"/>
      <w:lvlText w:val=""/>
      <w:lvlJc w:val="left"/>
      <w:pPr>
        <w:tabs>
          <w:tab w:val="num" w:pos="5040"/>
        </w:tabs>
        <w:ind w:left="5040" w:hanging="360"/>
      </w:pPr>
      <w:rPr>
        <w:rFonts w:ascii="Symbol" w:hAnsi="Symbol" w:hint="default"/>
      </w:rPr>
    </w:lvl>
    <w:lvl w:ilvl="7" w:tplc="5DDAF066" w:tentative="1">
      <w:start w:val="1"/>
      <w:numFmt w:val="bullet"/>
      <w:lvlText w:val="o"/>
      <w:lvlJc w:val="left"/>
      <w:pPr>
        <w:tabs>
          <w:tab w:val="num" w:pos="5760"/>
        </w:tabs>
        <w:ind w:left="5760" w:hanging="360"/>
      </w:pPr>
      <w:rPr>
        <w:rFonts w:ascii="Courier New" w:hAnsi="Courier New" w:cs="Courier New" w:hint="default"/>
      </w:rPr>
    </w:lvl>
    <w:lvl w:ilvl="8" w:tplc="1478C0B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6F9337D0"/>
    <w:multiLevelType w:val="hybridMultilevel"/>
    <w:tmpl w:val="B6C885E6"/>
    <w:lvl w:ilvl="0" w:tplc="BD061CBA">
      <w:start w:val="1"/>
      <w:numFmt w:val="bullet"/>
      <w:lvlText w:val=""/>
      <w:lvlJc w:val="left"/>
      <w:pPr>
        <w:tabs>
          <w:tab w:val="num" w:pos="720"/>
        </w:tabs>
        <w:ind w:left="720" w:hanging="360"/>
      </w:pPr>
      <w:rPr>
        <w:rFonts w:ascii="Symbol" w:hAnsi="Symbol" w:hint="default"/>
      </w:rPr>
    </w:lvl>
    <w:lvl w:ilvl="1" w:tplc="7D04958C" w:tentative="1">
      <w:start w:val="1"/>
      <w:numFmt w:val="bullet"/>
      <w:lvlText w:val="o"/>
      <w:lvlJc w:val="left"/>
      <w:pPr>
        <w:tabs>
          <w:tab w:val="num" w:pos="1440"/>
        </w:tabs>
        <w:ind w:left="1440" w:hanging="360"/>
      </w:pPr>
      <w:rPr>
        <w:rFonts w:ascii="Courier New" w:hAnsi="Courier New" w:cs="Courier New" w:hint="default"/>
      </w:rPr>
    </w:lvl>
    <w:lvl w:ilvl="2" w:tplc="C3EA8014" w:tentative="1">
      <w:start w:val="1"/>
      <w:numFmt w:val="bullet"/>
      <w:lvlText w:val=""/>
      <w:lvlJc w:val="left"/>
      <w:pPr>
        <w:tabs>
          <w:tab w:val="num" w:pos="2160"/>
        </w:tabs>
        <w:ind w:left="2160" w:hanging="360"/>
      </w:pPr>
      <w:rPr>
        <w:rFonts w:ascii="Wingdings" w:hAnsi="Wingdings" w:hint="default"/>
      </w:rPr>
    </w:lvl>
    <w:lvl w:ilvl="3" w:tplc="22045E4A" w:tentative="1">
      <w:start w:val="1"/>
      <w:numFmt w:val="bullet"/>
      <w:lvlText w:val=""/>
      <w:lvlJc w:val="left"/>
      <w:pPr>
        <w:tabs>
          <w:tab w:val="num" w:pos="2880"/>
        </w:tabs>
        <w:ind w:left="2880" w:hanging="360"/>
      </w:pPr>
      <w:rPr>
        <w:rFonts w:ascii="Symbol" w:hAnsi="Symbol" w:hint="default"/>
      </w:rPr>
    </w:lvl>
    <w:lvl w:ilvl="4" w:tplc="CA06EC78" w:tentative="1">
      <w:start w:val="1"/>
      <w:numFmt w:val="bullet"/>
      <w:lvlText w:val="o"/>
      <w:lvlJc w:val="left"/>
      <w:pPr>
        <w:tabs>
          <w:tab w:val="num" w:pos="3600"/>
        </w:tabs>
        <w:ind w:left="3600" w:hanging="360"/>
      </w:pPr>
      <w:rPr>
        <w:rFonts w:ascii="Courier New" w:hAnsi="Courier New" w:cs="Courier New" w:hint="default"/>
      </w:rPr>
    </w:lvl>
    <w:lvl w:ilvl="5" w:tplc="6FBE61F8" w:tentative="1">
      <w:start w:val="1"/>
      <w:numFmt w:val="bullet"/>
      <w:lvlText w:val=""/>
      <w:lvlJc w:val="left"/>
      <w:pPr>
        <w:tabs>
          <w:tab w:val="num" w:pos="4320"/>
        </w:tabs>
        <w:ind w:left="4320" w:hanging="360"/>
      </w:pPr>
      <w:rPr>
        <w:rFonts w:ascii="Wingdings" w:hAnsi="Wingdings" w:hint="default"/>
      </w:rPr>
    </w:lvl>
    <w:lvl w:ilvl="6" w:tplc="F676D070" w:tentative="1">
      <w:start w:val="1"/>
      <w:numFmt w:val="bullet"/>
      <w:lvlText w:val=""/>
      <w:lvlJc w:val="left"/>
      <w:pPr>
        <w:tabs>
          <w:tab w:val="num" w:pos="5040"/>
        </w:tabs>
        <w:ind w:left="5040" w:hanging="360"/>
      </w:pPr>
      <w:rPr>
        <w:rFonts w:ascii="Symbol" w:hAnsi="Symbol" w:hint="default"/>
      </w:rPr>
    </w:lvl>
    <w:lvl w:ilvl="7" w:tplc="083AD3A0" w:tentative="1">
      <w:start w:val="1"/>
      <w:numFmt w:val="bullet"/>
      <w:lvlText w:val="o"/>
      <w:lvlJc w:val="left"/>
      <w:pPr>
        <w:tabs>
          <w:tab w:val="num" w:pos="5760"/>
        </w:tabs>
        <w:ind w:left="5760" w:hanging="360"/>
      </w:pPr>
      <w:rPr>
        <w:rFonts w:ascii="Courier New" w:hAnsi="Courier New" w:cs="Courier New" w:hint="default"/>
      </w:rPr>
    </w:lvl>
    <w:lvl w:ilvl="8" w:tplc="5526F5F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B50F1"/>
    <w:multiLevelType w:val="hybridMultilevel"/>
    <w:tmpl w:val="64CEA6CC"/>
    <w:lvl w:ilvl="0" w:tplc="C7886386">
      <w:start w:val="1"/>
      <w:numFmt w:val="decimal"/>
      <w:lvlText w:val="%1)"/>
      <w:lvlJc w:val="left"/>
      <w:pPr>
        <w:ind w:left="720" w:hanging="360"/>
      </w:pPr>
      <w:rPr>
        <w:rFonts w:hint="default"/>
      </w:rPr>
    </w:lvl>
    <w:lvl w:ilvl="1" w:tplc="A8F41806" w:tentative="1">
      <w:start w:val="1"/>
      <w:numFmt w:val="lowerLetter"/>
      <w:lvlText w:val="%2."/>
      <w:lvlJc w:val="left"/>
      <w:pPr>
        <w:ind w:left="1440" w:hanging="360"/>
      </w:pPr>
    </w:lvl>
    <w:lvl w:ilvl="2" w:tplc="151E94C4" w:tentative="1">
      <w:start w:val="1"/>
      <w:numFmt w:val="lowerRoman"/>
      <w:lvlText w:val="%3."/>
      <w:lvlJc w:val="right"/>
      <w:pPr>
        <w:ind w:left="2160" w:hanging="180"/>
      </w:pPr>
    </w:lvl>
    <w:lvl w:ilvl="3" w:tplc="BC5217C4" w:tentative="1">
      <w:start w:val="1"/>
      <w:numFmt w:val="decimal"/>
      <w:lvlText w:val="%4."/>
      <w:lvlJc w:val="left"/>
      <w:pPr>
        <w:ind w:left="2880" w:hanging="360"/>
      </w:pPr>
    </w:lvl>
    <w:lvl w:ilvl="4" w:tplc="17EAE3B8" w:tentative="1">
      <w:start w:val="1"/>
      <w:numFmt w:val="lowerLetter"/>
      <w:lvlText w:val="%5."/>
      <w:lvlJc w:val="left"/>
      <w:pPr>
        <w:ind w:left="3600" w:hanging="360"/>
      </w:pPr>
    </w:lvl>
    <w:lvl w:ilvl="5" w:tplc="8A067AB6" w:tentative="1">
      <w:start w:val="1"/>
      <w:numFmt w:val="lowerRoman"/>
      <w:lvlText w:val="%6."/>
      <w:lvlJc w:val="right"/>
      <w:pPr>
        <w:ind w:left="4320" w:hanging="180"/>
      </w:pPr>
    </w:lvl>
    <w:lvl w:ilvl="6" w:tplc="070EEE2A" w:tentative="1">
      <w:start w:val="1"/>
      <w:numFmt w:val="decimal"/>
      <w:lvlText w:val="%7."/>
      <w:lvlJc w:val="left"/>
      <w:pPr>
        <w:ind w:left="5040" w:hanging="360"/>
      </w:pPr>
    </w:lvl>
    <w:lvl w:ilvl="7" w:tplc="77AA1964" w:tentative="1">
      <w:start w:val="1"/>
      <w:numFmt w:val="lowerLetter"/>
      <w:lvlText w:val="%8."/>
      <w:lvlJc w:val="left"/>
      <w:pPr>
        <w:ind w:left="5760" w:hanging="360"/>
      </w:pPr>
    </w:lvl>
    <w:lvl w:ilvl="8" w:tplc="67A6C35E" w:tentative="1">
      <w:start w:val="1"/>
      <w:numFmt w:val="lowerRoman"/>
      <w:lvlText w:val="%9."/>
      <w:lvlJc w:val="right"/>
      <w:pPr>
        <w:ind w:left="6480" w:hanging="180"/>
      </w:pPr>
    </w:lvl>
  </w:abstractNum>
  <w:abstractNum w:abstractNumId="39"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CC446E0"/>
    <w:multiLevelType w:val="hybridMultilevel"/>
    <w:tmpl w:val="3BD0F890"/>
    <w:lvl w:ilvl="0" w:tplc="9B021CAC">
      <w:start w:val="1"/>
      <w:numFmt w:val="upperLetter"/>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32"/>
  </w:num>
  <w:num w:numId="3">
    <w:abstractNumId w:val="10"/>
    <w:lvlOverride w:ilvl="0">
      <w:lvl w:ilvl="0">
        <w:start w:val="1"/>
        <w:numFmt w:val="bullet"/>
        <w:lvlText w:val="-"/>
        <w:legacy w:legacy="1" w:legacySpace="0" w:legacyIndent="360"/>
        <w:lvlJc w:val="left"/>
        <w:pPr>
          <w:ind w:left="360" w:hanging="360"/>
        </w:pPr>
      </w:lvl>
    </w:lvlOverride>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3"/>
  </w:num>
  <w:num w:numId="6">
    <w:abstractNumId w:val="29"/>
  </w:num>
  <w:num w:numId="7">
    <w:abstractNumId w:val="19"/>
  </w:num>
  <w:num w:numId="8">
    <w:abstractNumId w:val="23"/>
  </w:num>
  <w:num w:numId="9">
    <w:abstractNumId w:val="38"/>
  </w:num>
  <w:num w:numId="10">
    <w:abstractNumId w:val="11"/>
  </w:num>
  <w:num w:numId="11">
    <w:abstractNumId w:val="35"/>
  </w:num>
  <w:num w:numId="12">
    <w:abstractNumId w:val="22"/>
  </w:num>
  <w:num w:numId="13">
    <w:abstractNumId w:val="17"/>
  </w:num>
  <w:num w:numId="14">
    <w:abstractNumId w:val="13"/>
  </w:num>
  <w:num w:numId="15">
    <w:abstractNumId w:val="10"/>
    <w:lvlOverride w:ilvl="0">
      <w:lvl w:ilvl="0">
        <w:start w:val="1"/>
        <w:numFmt w:val="bullet"/>
        <w:lvlText w:val="-"/>
        <w:legacy w:legacy="1" w:legacySpace="0" w:legacyIndent="360"/>
        <w:lvlJc w:val="left"/>
        <w:pPr>
          <w:ind w:left="360" w:hanging="360"/>
        </w:pPr>
      </w:lvl>
    </w:lvlOverride>
  </w:num>
  <w:num w:numId="16">
    <w:abstractNumId w:val="36"/>
  </w:num>
  <w:num w:numId="17">
    <w:abstractNumId w:val="26"/>
  </w:num>
  <w:num w:numId="18">
    <w:abstractNumId w:val="28"/>
  </w:num>
  <w:num w:numId="19">
    <w:abstractNumId w:val="39"/>
  </w:num>
  <w:num w:numId="20">
    <w:abstractNumId w:val="31"/>
  </w:num>
  <w:num w:numId="21">
    <w:abstractNumId w:val="37"/>
  </w:num>
  <w:num w:numId="22">
    <w:abstractNumId w:val="34"/>
  </w:num>
  <w:num w:numId="23">
    <w:abstractNumId w:val="18"/>
  </w:num>
  <w:num w:numId="24">
    <w:abstractNumId w:val="37"/>
  </w:num>
  <w:num w:numId="25">
    <w:abstractNumId w:val="13"/>
  </w:num>
  <w:num w:numId="26">
    <w:abstractNumId w:val="25"/>
  </w:num>
  <w:num w:numId="27">
    <w:abstractNumId w:val="16"/>
  </w:num>
  <w:num w:numId="28">
    <w:abstractNumId w:val="24"/>
  </w:num>
  <w:num w:numId="29">
    <w:abstractNumId w:val="15"/>
  </w:num>
  <w:num w:numId="30">
    <w:abstractNumId w:val="21"/>
  </w:num>
  <w:num w:numId="31">
    <w:abstractNumId w:val="27"/>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30"/>
  </w:num>
  <w:num w:numId="43">
    <w:abstractNumId w:val="20"/>
  </w:num>
  <w:num w:numId="44">
    <w:abstractNumId w:val="40"/>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_autosavelastposition4504065" w:val="44984"/>
    <w:docVar w:name="Registered" w:val="-1"/>
    <w:docVar w:name="Version" w:val="0"/>
  </w:docVars>
  <w:rsids>
    <w:rsidRoot w:val="00812D16"/>
    <w:rsid w:val="00000423"/>
    <w:rsid w:val="00000D62"/>
    <w:rsid w:val="00001587"/>
    <w:rsid w:val="00001794"/>
    <w:rsid w:val="0000239E"/>
    <w:rsid w:val="0000362A"/>
    <w:rsid w:val="00003AEF"/>
    <w:rsid w:val="00004496"/>
    <w:rsid w:val="00005701"/>
    <w:rsid w:val="00007528"/>
    <w:rsid w:val="000076A6"/>
    <w:rsid w:val="00010B1C"/>
    <w:rsid w:val="000115C2"/>
    <w:rsid w:val="0001164F"/>
    <w:rsid w:val="00011BC5"/>
    <w:rsid w:val="000132E6"/>
    <w:rsid w:val="00013D49"/>
    <w:rsid w:val="00014869"/>
    <w:rsid w:val="000150D3"/>
    <w:rsid w:val="000166C1"/>
    <w:rsid w:val="0002006B"/>
    <w:rsid w:val="00020AE8"/>
    <w:rsid w:val="000212BB"/>
    <w:rsid w:val="000232E2"/>
    <w:rsid w:val="00023A2C"/>
    <w:rsid w:val="00023E6E"/>
    <w:rsid w:val="00023F2E"/>
    <w:rsid w:val="000247E3"/>
    <w:rsid w:val="00024C97"/>
    <w:rsid w:val="00025671"/>
    <w:rsid w:val="00025A68"/>
    <w:rsid w:val="00025EBE"/>
    <w:rsid w:val="00026BF2"/>
    <w:rsid w:val="000271F6"/>
    <w:rsid w:val="00030445"/>
    <w:rsid w:val="000318C7"/>
    <w:rsid w:val="000320F1"/>
    <w:rsid w:val="000328AA"/>
    <w:rsid w:val="00033315"/>
    <w:rsid w:val="00033D26"/>
    <w:rsid w:val="00033FDB"/>
    <w:rsid w:val="000344F6"/>
    <w:rsid w:val="000355AD"/>
    <w:rsid w:val="00036E7A"/>
    <w:rsid w:val="00042263"/>
    <w:rsid w:val="00042B0C"/>
    <w:rsid w:val="00043505"/>
    <w:rsid w:val="00043C70"/>
    <w:rsid w:val="00043E88"/>
    <w:rsid w:val="00044042"/>
    <w:rsid w:val="00046196"/>
    <w:rsid w:val="00046B43"/>
    <w:rsid w:val="00046DB2"/>
    <w:rsid w:val="000474D2"/>
    <w:rsid w:val="00047924"/>
    <w:rsid w:val="000479C5"/>
    <w:rsid w:val="00050DFD"/>
    <w:rsid w:val="00051644"/>
    <w:rsid w:val="00053809"/>
    <w:rsid w:val="00053914"/>
    <w:rsid w:val="00054756"/>
    <w:rsid w:val="00054F80"/>
    <w:rsid w:val="000556C8"/>
    <w:rsid w:val="00055D8A"/>
    <w:rsid w:val="000560C5"/>
    <w:rsid w:val="00056C49"/>
    <w:rsid w:val="00056FC9"/>
    <w:rsid w:val="00056FE0"/>
    <w:rsid w:val="00057BE1"/>
    <w:rsid w:val="00060090"/>
    <w:rsid w:val="000603C8"/>
    <w:rsid w:val="000608A4"/>
    <w:rsid w:val="00060AA1"/>
    <w:rsid w:val="00061FEE"/>
    <w:rsid w:val="00062E85"/>
    <w:rsid w:val="0006312A"/>
    <w:rsid w:val="000631FD"/>
    <w:rsid w:val="00063BB2"/>
    <w:rsid w:val="000643D3"/>
    <w:rsid w:val="00064AFD"/>
    <w:rsid w:val="0006559A"/>
    <w:rsid w:val="00066F99"/>
    <w:rsid w:val="000675E7"/>
    <w:rsid w:val="00067B16"/>
    <w:rsid w:val="00070922"/>
    <w:rsid w:val="0007185B"/>
    <w:rsid w:val="00071CF9"/>
    <w:rsid w:val="00071F8A"/>
    <w:rsid w:val="00073981"/>
    <w:rsid w:val="00073E04"/>
    <w:rsid w:val="0007401B"/>
    <w:rsid w:val="00074CE7"/>
    <w:rsid w:val="000755F8"/>
    <w:rsid w:val="000757B2"/>
    <w:rsid w:val="00075D15"/>
    <w:rsid w:val="0007628D"/>
    <w:rsid w:val="0008033C"/>
    <w:rsid w:val="00080795"/>
    <w:rsid w:val="00080BA4"/>
    <w:rsid w:val="0008172A"/>
    <w:rsid w:val="00081958"/>
    <w:rsid w:val="00081DAB"/>
    <w:rsid w:val="00082500"/>
    <w:rsid w:val="000830AE"/>
    <w:rsid w:val="000848DB"/>
    <w:rsid w:val="00085662"/>
    <w:rsid w:val="00085900"/>
    <w:rsid w:val="00085B57"/>
    <w:rsid w:val="00085D60"/>
    <w:rsid w:val="00087F5E"/>
    <w:rsid w:val="000907D2"/>
    <w:rsid w:val="00090C05"/>
    <w:rsid w:val="00090C47"/>
    <w:rsid w:val="00091BAF"/>
    <w:rsid w:val="00092829"/>
    <w:rsid w:val="00092B09"/>
    <w:rsid w:val="00092DEB"/>
    <w:rsid w:val="0009351E"/>
    <w:rsid w:val="00093BA8"/>
    <w:rsid w:val="00094232"/>
    <w:rsid w:val="0009479A"/>
    <w:rsid w:val="00094AD6"/>
    <w:rsid w:val="00095BA2"/>
    <w:rsid w:val="00095D61"/>
    <w:rsid w:val="00095E44"/>
    <w:rsid w:val="00096D8D"/>
    <w:rsid w:val="0009755A"/>
    <w:rsid w:val="000A010D"/>
    <w:rsid w:val="000A0D72"/>
    <w:rsid w:val="000A1232"/>
    <w:rsid w:val="000A29FE"/>
    <w:rsid w:val="000A30E5"/>
    <w:rsid w:val="000A3AE8"/>
    <w:rsid w:val="000A40D0"/>
    <w:rsid w:val="000A4169"/>
    <w:rsid w:val="000A4FA9"/>
    <w:rsid w:val="000A6830"/>
    <w:rsid w:val="000A77F4"/>
    <w:rsid w:val="000B0097"/>
    <w:rsid w:val="000B0735"/>
    <w:rsid w:val="000B101F"/>
    <w:rsid w:val="000B1F4B"/>
    <w:rsid w:val="000B2F27"/>
    <w:rsid w:val="000B2F58"/>
    <w:rsid w:val="000B37A8"/>
    <w:rsid w:val="000B502A"/>
    <w:rsid w:val="000B51D9"/>
    <w:rsid w:val="000B5B0E"/>
    <w:rsid w:val="000B63A0"/>
    <w:rsid w:val="000B73B7"/>
    <w:rsid w:val="000B799C"/>
    <w:rsid w:val="000C03FB"/>
    <w:rsid w:val="000C0D2F"/>
    <w:rsid w:val="000C308F"/>
    <w:rsid w:val="000C56E3"/>
    <w:rsid w:val="000C5A4E"/>
    <w:rsid w:val="000C61A9"/>
    <w:rsid w:val="000C635D"/>
    <w:rsid w:val="000C7F49"/>
    <w:rsid w:val="000D0998"/>
    <w:rsid w:val="000D0BB2"/>
    <w:rsid w:val="000D1AEE"/>
    <w:rsid w:val="000D1D61"/>
    <w:rsid w:val="000D1EC6"/>
    <w:rsid w:val="000D1F4F"/>
    <w:rsid w:val="000D2851"/>
    <w:rsid w:val="000D3195"/>
    <w:rsid w:val="000D4C4F"/>
    <w:rsid w:val="000D4D07"/>
    <w:rsid w:val="000D5D18"/>
    <w:rsid w:val="000D6EEC"/>
    <w:rsid w:val="000D7535"/>
    <w:rsid w:val="000D7B9F"/>
    <w:rsid w:val="000E165D"/>
    <w:rsid w:val="000E1BAF"/>
    <w:rsid w:val="000E223E"/>
    <w:rsid w:val="000E2491"/>
    <w:rsid w:val="000E2EA9"/>
    <w:rsid w:val="000E3C23"/>
    <w:rsid w:val="000E4146"/>
    <w:rsid w:val="000E46A3"/>
    <w:rsid w:val="000E4D70"/>
    <w:rsid w:val="000E4E41"/>
    <w:rsid w:val="000E4E88"/>
    <w:rsid w:val="000E5726"/>
    <w:rsid w:val="000E67D3"/>
    <w:rsid w:val="000E68F9"/>
    <w:rsid w:val="000E6AE3"/>
    <w:rsid w:val="000E6C94"/>
    <w:rsid w:val="000F12B1"/>
    <w:rsid w:val="000F1BB2"/>
    <w:rsid w:val="000F217A"/>
    <w:rsid w:val="000F3F94"/>
    <w:rsid w:val="000F5235"/>
    <w:rsid w:val="000F56C7"/>
    <w:rsid w:val="000F5860"/>
    <w:rsid w:val="000F5B21"/>
    <w:rsid w:val="000F5BCF"/>
    <w:rsid w:val="000F719C"/>
    <w:rsid w:val="00100260"/>
    <w:rsid w:val="00102703"/>
    <w:rsid w:val="00103501"/>
    <w:rsid w:val="00103953"/>
    <w:rsid w:val="00103B2D"/>
    <w:rsid w:val="00103CD2"/>
    <w:rsid w:val="00104061"/>
    <w:rsid w:val="001043C8"/>
    <w:rsid w:val="0010525E"/>
    <w:rsid w:val="001056A8"/>
    <w:rsid w:val="001058DB"/>
    <w:rsid w:val="00106915"/>
    <w:rsid w:val="00106B27"/>
    <w:rsid w:val="00107025"/>
    <w:rsid w:val="00107186"/>
    <w:rsid w:val="00107236"/>
    <w:rsid w:val="001074B3"/>
    <w:rsid w:val="001101A2"/>
    <w:rsid w:val="001106F7"/>
    <w:rsid w:val="001108A9"/>
    <w:rsid w:val="001111B2"/>
    <w:rsid w:val="00111263"/>
    <w:rsid w:val="00112EDA"/>
    <w:rsid w:val="00114174"/>
    <w:rsid w:val="0011672C"/>
    <w:rsid w:val="00117B4A"/>
    <w:rsid w:val="00117C1D"/>
    <w:rsid w:val="0012013C"/>
    <w:rsid w:val="0012262D"/>
    <w:rsid w:val="00123688"/>
    <w:rsid w:val="00125E18"/>
    <w:rsid w:val="0012666D"/>
    <w:rsid w:val="00127F47"/>
    <w:rsid w:val="00130393"/>
    <w:rsid w:val="001303D8"/>
    <w:rsid w:val="001314DC"/>
    <w:rsid w:val="00131D38"/>
    <w:rsid w:val="00132B94"/>
    <w:rsid w:val="00132ECD"/>
    <w:rsid w:val="001332BE"/>
    <w:rsid w:val="00133572"/>
    <w:rsid w:val="001337A8"/>
    <w:rsid w:val="00134284"/>
    <w:rsid w:val="00134AFD"/>
    <w:rsid w:val="00134E4A"/>
    <w:rsid w:val="001364FB"/>
    <w:rsid w:val="001365F2"/>
    <w:rsid w:val="00136971"/>
    <w:rsid w:val="00136C26"/>
    <w:rsid w:val="00136D7A"/>
    <w:rsid w:val="00137174"/>
    <w:rsid w:val="001374C5"/>
    <w:rsid w:val="00141470"/>
    <w:rsid w:val="00141540"/>
    <w:rsid w:val="0014160B"/>
    <w:rsid w:val="001449DF"/>
    <w:rsid w:val="001451F4"/>
    <w:rsid w:val="0014569B"/>
    <w:rsid w:val="001456BA"/>
    <w:rsid w:val="00146151"/>
    <w:rsid w:val="0014704A"/>
    <w:rsid w:val="001470E0"/>
    <w:rsid w:val="00147176"/>
    <w:rsid w:val="001472D5"/>
    <w:rsid w:val="0014745F"/>
    <w:rsid w:val="00150060"/>
    <w:rsid w:val="00151EB3"/>
    <w:rsid w:val="00152299"/>
    <w:rsid w:val="001528D1"/>
    <w:rsid w:val="00153AD6"/>
    <w:rsid w:val="00153C61"/>
    <w:rsid w:val="00153D63"/>
    <w:rsid w:val="00154C69"/>
    <w:rsid w:val="00155574"/>
    <w:rsid w:val="00156B97"/>
    <w:rsid w:val="0015704C"/>
    <w:rsid w:val="0015755A"/>
    <w:rsid w:val="0015768D"/>
    <w:rsid w:val="00157895"/>
    <w:rsid w:val="00157E2F"/>
    <w:rsid w:val="0016132A"/>
    <w:rsid w:val="001613C5"/>
    <w:rsid w:val="00161701"/>
    <w:rsid w:val="00161E87"/>
    <w:rsid w:val="001626C0"/>
    <w:rsid w:val="0016301E"/>
    <w:rsid w:val="00163346"/>
    <w:rsid w:val="00163FE4"/>
    <w:rsid w:val="0016566C"/>
    <w:rsid w:val="00166E5E"/>
    <w:rsid w:val="00170538"/>
    <w:rsid w:val="001722CE"/>
    <w:rsid w:val="001727F0"/>
    <w:rsid w:val="0017291B"/>
    <w:rsid w:val="00172B06"/>
    <w:rsid w:val="001730DD"/>
    <w:rsid w:val="0017347E"/>
    <w:rsid w:val="00173EA9"/>
    <w:rsid w:val="00175033"/>
    <w:rsid w:val="001752D8"/>
    <w:rsid w:val="00175639"/>
    <w:rsid w:val="00175931"/>
    <w:rsid w:val="00175AAE"/>
    <w:rsid w:val="00176116"/>
    <w:rsid w:val="001765FD"/>
    <w:rsid w:val="00176B25"/>
    <w:rsid w:val="0017702D"/>
    <w:rsid w:val="00177600"/>
    <w:rsid w:val="00177D83"/>
    <w:rsid w:val="00181158"/>
    <w:rsid w:val="0018143E"/>
    <w:rsid w:val="00181D8F"/>
    <w:rsid w:val="00181DC3"/>
    <w:rsid w:val="0018238B"/>
    <w:rsid w:val="00183419"/>
    <w:rsid w:val="0018394A"/>
    <w:rsid w:val="001848D8"/>
    <w:rsid w:val="00184DCC"/>
    <w:rsid w:val="001851FE"/>
    <w:rsid w:val="00185CFC"/>
    <w:rsid w:val="00186A9D"/>
    <w:rsid w:val="001874A6"/>
    <w:rsid w:val="0018765B"/>
    <w:rsid w:val="001904AE"/>
    <w:rsid w:val="00190913"/>
    <w:rsid w:val="00192140"/>
    <w:rsid w:val="0019236A"/>
    <w:rsid w:val="00193B21"/>
    <w:rsid w:val="00193DD3"/>
    <w:rsid w:val="00194022"/>
    <w:rsid w:val="001948AA"/>
    <w:rsid w:val="001951D7"/>
    <w:rsid w:val="0019540E"/>
    <w:rsid w:val="00195F65"/>
    <w:rsid w:val="0019632A"/>
    <w:rsid w:val="001A07E2"/>
    <w:rsid w:val="001A0A5D"/>
    <w:rsid w:val="001A1BF0"/>
    <w:rsid w:val="001A2018"/>
    <w:rsid w:val="001A2C4C"/>
    <w:rsid w:val="001A56F1"/>
    <w:rsid w:val="001A5D0E"/>
    <w:rsid w:val="001A675E"/>
    <w:rsid w:val="001A6846"/>
    <w:rsid w:val="001B01C8"/>
    <w:rsid w:val="001B0718"/>
    <w:rsid w:val="001B0B52"/>
    <w:rsid w:val="001B13F6"/>
    <w:rsid w:val="001B1747"/>
    <w:rsid w:val="001B1B45"/>
    <w:rsid w:val="001B1DBF"/>
    <w:rsid w:val="001B2815"/>
    <w:rsid w:val="001B2CF7"/>
    <w:rsid w:val="001B2D44"/>
    <w:rsid w:val="001B3043"/>
    <w:rsid w:val="001B34C5"/>
    <w:rsid w:val="001B65D5"/>
    <w:rsid w:val="001B6C17"/>
    <w:rsid w:val="001B73D2"/>
    <w:rsid w:val="001B752A"/>
    <w:rsid w:val="001B7913"/>
    <w:rsid w:val="001C0ECE"/>
    <w:rsid w:val="001C12FB"/>
    <w:rsid w:val="001C1754"/>
    <w:rsid w:val="001C2DB4"/>
    <w:rsid w:val="001C3228"/>
    <w:rsid w:val="001C35E9"/>
    <w:rsid w:val="001C36BD"/>
    <w:rsid w:val="001C3733"/>
    <w:rsid w:val="001C49B3"/>
    <w:rsid w:val="001C541A"/>
    <w:rsid w:val="001C5893"/>
    <w:rsid w:val="001C5B30"/>
    <w:rsid w:val="001C68D5"/>
    <w:rsid w:val="001D0DD3"/>
    <w:rsid w:val="001D0F1A"/>
    <w:rsid w:val="001D133F"/>
    <w:rsid w:val="001D14FC"/>
    <w:rsid w:val="001D1DE1"/>
    <w:rsid w:val="001D2953"/>
    <w:rsid w:val="001D3C05"/>
    <w:rsid w:val="001D4408"/>
    <w:rsid w:val="001D4FB1"/>
    <w:rsid w:val="001D629A"/>
    <w:rsid w:val="001D6AF4"/>
    <w:rsid w:val="001D7358"/>
    <w:rsid w:val="001D7542"/>
    <w:rsid w:val="001E07DC"/>
    <w:rsid w:val="001E0CC1"/>
    <w:rsid w:val="001E1C10"/>
    <w:rsid w:val="001E25B4"/>
    <w:rsid w:val="001E3406"/>
    <w:rsid w:val="001E3CC0"/>
    <w:rsid w:val="001E4EF5"/>
    <w:rsid w:val="001E77C3"/>
    <w:rsid w:val="001E7981"/>
    <w:rsid w:val="001F065C"/>
    <w:rsid w:val="001F090B"/>
    <w:rsid w:val="001F0F84"/>
    <w:rsid w:val="001F180A"/>
    <w:rsid w:val="001F1A28"/>
    <w:rsid w:val="001F1AD0"/>
    <w:rsid w:val="001F25B8"/>
    <w:rsid w:val="001F35E8"/>
    <w:rsid w:val="001F4014"/>
    <w:rsid w:val="001F445E"/>
    <w:rsid w:val="001F49AE"/>
    <w:rsid w:val="001F49EC"/>
    <w:rsid w:val="001F4FF4"/>
    <w:rsid w:val="001F5343"/>
    <w:rsid w:val="001F579E"/>
    <w:rsid w:val="001F5BAC"/>
    <w:rsid w:val="001F6423"/>
    <w:rsid w:val="001F6B14"/>
    <w:rsid w:val="001F7EFF"/>
    <w:rsid w:val="00201213"/>
    <w:rsid w:val="0020165E"/>
    <w:rsid w:val="00202472"/>
    <w:rsid w:val="0020272E"/>
    <w:rsid w:val="002029B0"/>
    <w:rsid w:val="00202E50"/>
    <w:rsid w:val="00203FBA"/>
    <w:rsid w:val="00204AAB"/>
    <w:rsid w:val="00204F28"/>
    <w:rsid w:val="00205180"/>
    <w:rsid w:val="00207F81"/>
    <w:rsid w:val="002109F4"/>
    <w:rsid w:val="00211FDA"/>
    <w:rsid w:val="00213418"/>
    <w:rsid w:val="00214DF0"/>
    <w:rsid w:val="00215DC7"/>
    <w:rsid w:val="00215FDA"/>
    <w:rsid w:val="002160C2"/>
    <w:rsid w:val="00216B0E"/>
    <w:rsid w:val="00220D4D"/>
    <w:rsid w:val="00222BB9"/>
    <w:rsid w:val="0022508D"/>
    <w:rsid w:val="00225328"/>
    <w:rsid w:val="002258D6"/>
    <w:rsid w:val="002274FB"/>
    <w:rsid w:val="00230394"/>
    <w:rsid w:val="002309D2"/>
    <w:rsid w:val="00231B61"/>
    <w:rsid w:val="0023315B"/>
    <w:rsid w:val="00233209"/>
    <w:rsid w:val="002347FE"/>
    <w:rsid w:val="002360D3"/>
    <w:rsid w:val="00236CF6"/>
    <w:rsid w:val="0024178D"/>
    <w:rsid w:val="002426EE"/>
    <w:rsid w:val="0024392B"/>
    <w:rsid w:val="002450C6"/>
    <w:rsid w:val="002451A7"/>
    <w:rsid w:val="00245798"/>
    <w:rsid w:val="00245C67"/>
    <w:rsid w:val="00245DCF"/>
    <w:rsid w:val="002463FA"/>
    <w:rsid w:val="002464D6"/>
    <w:rsid w:val="00246C65"/>
    <w:rsid w:val="00246EF4"/>
    <w:rsid w:val="0024721F"/>
    <w:rsid w:val="00250749"/>
    <w:rsid w:val="002513C2"/>
    <w:rsid w:val="00251A10"/>
    <w:rsid w:val="00251C18"/>
    <w:rsid w:val="00251DCC"/>
    <w:rsid w:val="00252BFF"/>
    <w:rsid w:val="00253519"/>
    <w:rsid w:val="00253732"/>
    <w:rsid w:val="00253FB6"/>
    <w:rsid w:val="002542A8"/>
    <w:rsid w:val="00255175"/>
    <w:rsid w:val="002571CA"/>
    <w:rsid w:val="00257977"/>
    <w:rsid w:val="002603D0"/>
    <w:rsid w:val="00260A11"/>
    <w:rsid w:val="0026169A"/>
    <w:rsid w:val="002617A4"/>
    <w:rsid w:val="00262763"/>
    <w:rsid w:val="00262C40"/>
    <w:rsid w:val="00263BFD"/>
    <w:rsid w:val="00264BEA"/>
    <w:rsid w:val="002650BE"/>
    <w:rsid w:val="0026607E"/>
    <w:rsid w:val="002676AC"/>
    <w:rsid w:val="00267850"/>
    <w:rsid w:val="00271032"/>
    <w:rsid w:val="0027162F"/>
    <w:rsid w:val="002728B2"/>
    <w:rsid w:val="00272D8D"/>
    <w:rsid w:val="002733CF"/>
    <w:rsid w:val="00273794"/>
    <w:rsid w:val="00273E3E"/>
    <w:rsid w:val="00274079"/>
    <w:rsid w:val="00274147"/>
    <w:rsid w:val="00274E3D"/>
    <w:rsid w:val="00275189"/>
    <w:rsid w:val="002755AB"/>
    <w:rsid w:val="002756DC"/>
    <w:rsid w:val="00276412"/>
    <w:rsid w:val="00276437"/>
    <w:rsid w:val="00276E48"/>
    <w:rsid w:val="00277F12"/>
    <w:rsid w:val="00280053"/>
    <w:rsid w:val="0028006A"/>
    <w:rsid w:val="0028050E"/>
    <w:rsid w:val="0028063F"/>
    <w:rsid w:val="00280740"/>
    <w:rsid w:val="00280B75"/>
    <w:rsid w:val="00280F9E"/>
    <w:rsid w:val="002817AC"/>
    <w:rsid w:val="00283035"/>
    <w:rsid w:val="00283B02"/>
    <w:rsid w:val="00283C5D"/>
    <w:rsid w:val="002844B0"/>
    <w:rsid w:val="00285F8A"/>
    <w:rsid w:val="00286322"/>
    <w:rsid w:val="00290821"/>
    <w:rsid w:val="00291CC7"/>
    <w:rsid w:val="002934E5"/>
    <w:rsid w:val="00293A10"/>
    <w:rsid w:val="00294DBB"/>
    <w:rsid w:val="00295D21"/>
    <w:rsid w:val="002967B8"/>
    <w:rsid w:val="00296B03"/>
    <w:rsid w:val="00296C1F"/>
    <w:rsid w:val="002974B1"/>
    <w:rsid w:val="00297586"/>
    <w:rsid w:val="002978C7"/>
    <w:rsid w:val="00297AF9"/>
    <w:rsid w:val="00297FE9"/>
    <w:rsid w:val="002A02EE"/>
    <w:rsid w:val="002A3020"/>
    <w:rsid w:val="002A41E6"/>
    <w:rsid w:val="002A44C8"/>
    <w:rsid w:val="002A545A"/>
    <w:rsid w:val="002A5967"/>
    <w:rsid w:val="002A5E48"/>
    <w:rsid w:val="002A72D3"/>
    <w:rsid w:val="002B0059"/>
    <w:rsid w:val="002B0455"/>
    <w:rsid w:val="002B261C"/>
    <w:rsid w:val="002B2BE0"/>
    <w:rsid w:val="002B2BEE"/>
    <w:rsid w:val="002B3149"/>
    <w:rsid w:val="002B35C5"/>
    <w:rsid w:val="002B3935"/>
    <w:rsid w:val="002B3DF0"/>
    <w:rsid w:val="002B406A"/>
    <w:rsid w:val="002B41D4"/>
    <w:rsid w:val="002B47EB"/>
    <w:rsid w:val="002B543F"/>
    <w:rsid w:val="002B6165"/>
    <w:rsid w:val="002B71B3"/>
    <w:rsid w:val="002B7D73"/>
    <w:rsid w:val="002C06E3"/>
    <w:rsid w:val="002C0801"/>
    <w:rsid w:val="002C145F"/>
    <w:rsid w:val="002C33B3"/>
    <w:rsid w:val="002C44B0"/>
    <w:rsid w:val="002C4E07"/>
    <w:rsid w:val="002C4F58"/>
    <w:rsid w:val="002C5DA9"/>
    <w:rsid w:val="002C6A59"/>
    <w:rsid w:val="002C6D08"/>
    <w:rsid w:val="002D0586"/>
    <w:rsid w:val="002D0AA1"/>
    <w:rsid w:val="002D1023"/>
    <w:rsid w:val="002D1459"/>
    <w:rsid w:val="002D1470"/>
    <w:rsid w:val="002D21CF"/>
    <w:rsid w:val="002D3DB7"/>
    <w:rsid w:val="002D4705"/>
    <w:rsid w:val="002D5B65"/>
    <w:rsid w:val="002D6396"/>
    <w:rsid w:val="002D6CE0"/>
    <w:rsid w:val="002D6CFC"/>
    <w:rsid w:val="002D7A5E"/>
    <w:rsid w:val="002D7E5E"/>
    <w:rsid w:val="002E07BA"/>
    <w:rsid w:val="002E07EF"/>
    <w:rsid w:val="002E0881"/>
    <w:rsid w:val="002E0D06"/>
    <w:rsid w:val="002E1334"/>
    <w:rsid w:val="002E1810"/>
    <w:rsid w:val="002E23D2"/>
    <w:rsid w:val="002E348D"/>
    <w:rsid w:val="002E4E94"/>
    <w:rsid w:val="002E6781"/>
    <w:rsid w:val="002F1F28"/>
    <w:rsid w:val="002F36F1"/>
    <w:rsid w:val="002F3FB5"/>
    <w:rsid w:val="002F40A8"/>
    <w:rsid w:val="002F43CA"/>
    <w:rsid w:val="002F57AA"/>
    <w:rsid w:val="002F6685"/>
    <w:rsid w:val="002F6C2F"/>
    <w:rsid w:val="002F6EF7"/>
    <w:rsid w:val="002F714C"/>
    <w:rsid w:val="002F77BF"/>
    <w:rsid w:val="002F7E1C"/>
    <w:rsid w:val="003004A2"/>
    <w:rsid w:val="00301BED"/>
    <w:rsid w:val="0030204B"/>
    <w:rsid w:val="00303DD5"/>
    <w:rsid w:val="00304290"/>
    <w:rsid w:val="00304AD6"/>
    <w:rsid w:val="00304CE2"/>
    <w:rsid w:val="003077E5"/>
    <w:rsid w:val="00307B74"/>
    <w:rsid w:val="003106FF"/>
    <w:rsid w:val="00310764"/>
    <w:rsid w:val="00311A21"/>
    <w:rsid w:val="00311BFD"/>
    <w:rsid w:val="00312EDF"/>
    <w:rsid w:val="00313F8C"/>
    <w:rsid w:val="00314718"/>
    <w:rsid w:val="0031488A"/>
    <w:rsid w:val="00315A35"/>
    <w:rsid w:val="00315F19"/>
    <w:rsid w:val="00316205"/>
    <w:rsid w:val="003175E1"/>
    <w:rsid w:val="003177A0"/>
    <w:rsid w:val="00320203"/>
    <w:rsid w:val="00322002"/>
    <w:rsid w:val="003247B0"/>
    <w:rsid w:val="00325CE8"/>
    <w:rsid w:val="00325E81"/>
    <w:rsid w:val="00326948"/>
    <w:rsid w:val="00327052"/>
    <w:rsid w:val="0032779D"/>
    <w:rsid w:val="00327BB4"/>
    <w:rsid w:val="00332557"/>
    <w:rsid w:val="003343B8"/>
    <w:rsid w:val="0033486D"/>
    <w:rsid w:val="00335228"/>
    <w:rsid w:val="00335F01"/>
    <w:rsid w:val="003367C4"/>
    <w:rsid w:val="00336D8E"/>
    <w:rsid w:val="003371AA"/>
    <w:rsid w:val="0033747D"/>
    <w:rsid w:val="003376B3"/>
    <w:rsid w:val="0033799E"/>
    <w:rsid w:val="00340AF1"/>
    <w:rsid w:val="00342DBA"/>
    <w:rsid w:val="00343B57"/>
    <w:rsid w:val="00343BC8"/>
    <w:rsid w:val="00343BF8"/>
    <w:rsid w:val="00345F9C"/>
    <w:rsid w:val="00346792"/>
    <w:rsid w:val="00346B66"/>
    <w:rsid w:val="00347180"/>
    <w:rsid w:val="00347189"/>
    <w:rsid w:val="00347776"/>
    <w:rsid w:val="00351A91"/>
    <w:rsid w:val="0035201F"/>
    <w:rsid w:val="003520C4"/>
    <w:rsid w:val="003533AE"/>
    <w:rsid w:val="00354B79"/>
    <w:rsid w:val="00355E14"/>
    <w:rsid w:val="00356537"/>
    <w:rsid w:val="00357C5E"/>
    <w:rsid w:val="00357FA6"/>
    <w:rsid w:val="00360833"/>
    <w:rsid w:val="003608BD"/>
    <w:rsid w:val="00360AE2"/>
    <w:rsid w:val="00361280"/>
    <w:rsid w:val="003615F1"/>
    <w:rsid w:val="00361A6E"/>
    <w:rsid w:val="003626AF"/>
    <w:rsid w:val="00363879"/>
    <w:rsid w:val="00363D7F"/>
    <w:rsid w:val="00365474"/>
    <w:rsid w:val="003656C5"/>
    <w:rsid w:val="0036655E"/>
    <w:rsid w:val="003673F5"/>
    <w:rsid w:val="003678BA"/>
    <w:rsid w:val="00367C66"/>
    <w:rsid w:val="003700B2"/>
    <w:rsid w:val="003718EC"/>
    <w:rsid w:val="0037233D"/>
    <w:rsid w:val="003736EF"/>
    <w:rsid w:val="003737E3"/>
    <w:rsid w:val="00375672"/>
    <w:rsid w:val="0037724F"/>
    <w:rsid w:val="0037737D"/>
    <w:rsid w:val="00380374"/>
    <w:rsid w:val="00380A1A"/>
    <w:rsid w:val="00380D80"/>
    <w:rsid w:val="00380F41"/>
    <w:rsid w:val="00382E32"/>
    <w:rsid w:val="00383809"/>
    <w:rsid w:val="0038429C"/>
    <w:rsid w:val="003846B1"/>
    <w:rsid w:val="0038500E"/>
    <w:rsid w:val="003867DE"/>
    <w:rsid w:val="00386BB8"/>
    <w:rsid w:val="0038761D"/>
    <w:rsid w:val="00387971"/>
    <w:rsid w:val="003906F8"/>
    <w:rsid w:val="00390FAB"/>
    <w:rsid w:val="00391E4A"/>
    <w:rsid w:val="003927C9"/>
    <w:rsid w:val="00392900"/>
    <w:rsid w:val="00392C10"/>
    <w:rsid w:val="00392CF4"/>
    <w:rsid w:val="003935EE"/>
    <w:rsid w:val="00393EE9"/>
    <w:rsid w:val="0039408A"/>
    <w:rsid w:val="003945F5"/>
    <w:rsid w:val="00394A51"/>
    <w:rsid w:val="003953A5"/>
    <w:rsid w:val="003959A3"/>
    <w:rsid w:val="00395B38"/>
    <w:rsid w:val="0039673D"/>
    <w:rsid w:val="003975DA"/>
    <w:rsid w:val="00397802"/>
    <w:rsid w:val="00397893"/>
    <w:rsid w:val="00397C36"/>
    <w:rsid w:val="003A17A0"/>
    <w:rsid w:val="003A2407"/>
    <w:rsid w:val="003A24F2"/>
    <w:rsid w:val="003A2CF0"/>
    <w:rsid w:val="003A2F51"/>
    <w:rsid w:val="003A33D3"/>
    <w:rsid w:val="003A3880"/>
    <w:rsid w:val="003A4B52"/>
    <w:rsid w:val="003A5BC5"/>
    <w:rsid w:val="003A5D55"/>
    <w:rsid w:val="003A6087"/>
    <w:rsid w:val="003A75E6"/>
    <w:rsid w:val="003B192D"/>
    <w:rsid w:val="003B255B"/>
    <w:rsid w:val="003B25EC"/>
    <w:rsid w:val="003B3317"/>
    <w:rsid w:val="003B3962"/>
    <w:rsid w:val="003B4A1B"/>
    <w:rsid w:val="003B4B2F"/>
    <w:rsid w:val="003B4C50"/>
    <w:rsid w:val="003B52D4"/>
    <w:rsid w:val="003C02D2"/>
    <w:rsid w:val="003C0836"/>
    <w:rsid w:val="003C0D5B"/>
    <w:rsid w:val="003C121C"/>
    <w:rsid w:val="003C18EE"/>
    <w:rsid w:val="003C1CA5"/>
    <w:rsid w:val="003C1EC7"/>
    <w:rsid w:val="003C2151"/>
    <w:rsid w:val="003C3D8E"/>
    <w:rsid w:val="003C4374"/>
    <w:rsid w:val="003C5E61"/>
    <w:rsid w:val="003C6085"/>
    <w:rsid w:val="003C64A0"/>
    <w:rsid w:val="003C6F0B"/>
    <w:rsid w:val="003C7BA3"/>
    <w:rsid w:val="003D0671"/>
    <w:rsid w:val="003D0779"/>
    <w:rsid w:val="003D0C35"/>
    <w:rsid w:val="003D205D"/>
    <w:rsid w:val="003D2E4C"/>
    <w:rsid w:val="003D3642"/>
    <w:rsid w:val="003D3BAD"/>
    <w:rsid w:val="003D3D3D"/>
    <w:rsid w:val="003D40A4"/>
    <w:rsid w:val="003D4E16"/>
    <w:rsid w:val="003D4E9C"/>
    <w:rsid w:val="003D54E1"/>
    <w:rsid w:val="003D5EE8"/>
    <w:rsid w:val="003D6E05"/>
    <w:rsid w:val="003E0D78"/>
    <w:rsid w:val="003E1626"/>
    <w:rsid w:val="003E1ACE"/>
    <w:rsid w:val="003E1CB1"/>
    <w:rsid w:val="003E3A1D"/>
    <w:rsid w:val="003E42A7"/>
    <w:rsid w:val="003E6CA0"/>
    <w:rsid w:val="003E76AA"/>
    <w:rsid w:val="003F1704"/>
    <w:rsid w:val="003F1F41"/>
    <w:rsid w:val="003F2560"/>
    <w:rsid w:val="003F2FDE"/>
    <w:rsid w:val="003F323C"/>
    <w:rsid w:val="003F327B"/>
    <w:rsid w:val="003F330B"/>
    <w:rsid w:val="003F67D0"/>
    <w:rsid w:val="003F6FDF"/>
    <w:rsid w:val="00400A2C"/>
    <w:rsid w:val="004016F5"/>
    <w:rsid w:val="00403391"/>
    <w:rsid w:val="00403F19"/>
    <w:rsid w:val="004045AA"/>
    <w:rsid w:val="00405327"/>
    <w:rsid w:val="0040549A"/>
    <w:rsid w:val="00405BD5"/>
    <w:rsid w:val="00405CC9"/>
    <w:rsid w:val="00406619"/>
    <w:rsid w:val="00406F63"/>
    <w:rsid w:val="00406FA5"/>
    <w:rsid w:val="0040711E"/>
    <w:rsid w:val="00407D67"/>
    <w:rsid w:val="00407F24"/>
    <w:rsid w:val="00410FF5"/>
    <w:rsid w:val="004113C0"/>
    <w:rsid w:val="004114AC"/>
    <w:rsid w:val="00412148"/>
    <w:rsid w:val="00412450"/>
    <w:rsid w:val="004138DE"/>
    <w:rsid w:val="00413B39"/>
    <w:rsid w:val="00413B74"/>
    <w:rsid w:val="00413E4E"/>
    <w:rsid w:val="00414B2F"/>
    <w:rsid w:val="004150BB"/>
    <w:rsid w:val="00415E58"/>
    <w:rsid w:val="00416231"/>
    <w:rsid w:val="004173C5"/>
    <w:rsid w:val="004179B3"/>
    <w:rsid w:val="00417E0D"/>
    <w:rsid w:val="004203DD"/>
    <w:rsid w:val="004208AB"/>
    <w:rsid w:val="004219EF"/>
    <w:rsid w:val="00421A72"/>
    <w:rsid w:val="004223D4"/>
    <w:rsid w:val="0042328A"/>
    <w:rsid w:val="00423D03"/>
    <w:rsid w:val="00424348"/>
    <w:rsid w:val="00426CD9"/>
    <w:rsid w:val="00430166"/>
    <w:rsid w:val="00430FEB"/>
    <w:rsid w:val="004310EE"/>
    <w:rsid w:val="00431181"/>
    <w:rsid w:val="0043202E"/>
    <w:rsid w:val="00433607"/>
    <w:rsid w:val="00433677"/>
    <w:rsid w:val="004340D5"/>
    <w:rsid w:val="00434309"/>
    <w:rsid w:val="00434880"/>
    <w:rsid w:val="00434A21"/>
    <w:rsid w:val="00434E42"/>
    <w:rsid w:val="0043526D"/>
    <w:rsid w:val="00435707"/>
    <w:rsid w:val="00435CCE"/>
    <w:rsid w:val="004368F1"/>
    <w:rsid w:val="00436BA6"/>
    <w:rsid w:val="00436CAD"/>
    <w:rsid w:val="004404E9"/>
    <w:rsid w:val="00440DEF"/>
    <w:rsid w:val="00441E23"/>
    <w:rsid w:val="00442B11"/>
    <w:rsid w:val="004451CA"/>
    <w:rsid w:val="00445AE5"/>
    <w:rsid w:val="004460E9"/>
    <w:rsid w:val="00447124"/>
    <w:rsid w:val="0044757B"/>
    <w:rsid w:val="00447B6F"/>
    <w:rsid w:val="00450077"/>
    <w:rsid w:val="0045098D"/>
    <w:rsid w:val="00451295"/>
    <w:rsid w:val="00453623"/>
    <w:rsid w:val="00453AAF"/>
    <w:rsid w:val="00453C11"/>
    <w:rsid w:val="004557B0"/>
    <w:rsid w:val="00457946"/>
    <w:rsid w:val="00457D8B"/>
    <w:rsid w:val="0046004B"/>
    <w:rsid w:val="0046004C"/>
    <w:rsid w:val="00460A17"/>
    <w:rsid w:val="0046120A"/>
    <w:rsid w:val="004618F0"/>
    <w:rsid w:val="00462F79"/>
    <w:rsid w:val="00463438"/>
    <w:rsid w:val="004635B2"/>
    <w:rsid w:val="00463ECE"/>
    <w:rsid w:val="00465388"/>
    <w:rsid w:val="00466575"/>
    <w:rsid w:val="0046663A"/>
    <w:rsid w:val="004677C9"/>
    <w:rsid w:val="00470BEB"/>
    <w:rsid w:val="00470CB5"/>
    <w:rsid w:val="00471EAB"/>
    <w:rsid w:val="004723EE"/>
    <w:rsid w:val="004751B0"/>
    <w:rsid w:val="00475A92"/>
    <w:rsid w:val="0047633A"/>
    <w:rsid w:val="004767ED"/>
    <w:rsid w:val="0047699A"/>
    <w:rsid w:val="00477B83"/>
    <w:rsid w:val="00477BB9"/>
    <w:rsid w:val="00477D6C"/>
    <w:rsid w:val="00477F3F"/>
    <w:rsid w:val="004808A8"/>
    <w:rsid w:val="00481142"/>
    <w:rsid w:val="00484755"/>
    <w:rsid w:val="004859EE"/>
    <w:rsid w:val="00486356"/>
    <w:rsid w:val="004868BD"/>
    <w:rsid w:val="00487366"/>
    <w:rsid w:val="004873E4"/>
    <w:rsid w:val="0049072C"/>
    <w:rsid w:val="00490B98"/>
    <w:rsid w:val="00490FD1"/>
    <w:rsid w:val="00491AD2"/>
    <w:rsid w:val="004920C2"/>
    <w:rsid w:val="004921C6"/>
    <w:rsid w:val="0049227E"/>
    <w:rsid w:val="004935C0"/>
    <w:rsid w:val="00493B43"/>
    <w:rsid w:val="00494EB1"/>
    <w:rsid w:val="00495198"/>
    <w:rsid w:val="00496414"/>
    <w:rsid w:val="00496D2A"/>
    <w:rsid w:val="00497A38"/>
    <w:rsid w:val="004A2432"/>
    <w:rsid w:val="004A2821"/>
    <w:rsid w:val="004A2C40"/>
    <w:rsid w:val="004A3AC4"/>
    <w:rsid w:val="004A41AA"/>
    <w:rsid w:val="004A45BD"/>
    <w:rsid w:val="004A4656"/>
    <w:rsid w:val="004A62D4"/>
    <w:rsid w:val="004A77B0"/>
    <w:rsid w:val="004B01AB"/>
    <w:rsid w:val="004B08A9"/>
    <w:rsid w:val="004B1CED"/>
    <w:rsid w:val="004B34A7"/>
    <w:rsid w:val="004B3B06"/>
    <w:rsid w:val="004B3ED5"/>
    <w:rsid w:val="004B4643"/>
    <w:rsid w:val="004B55F4"/>
    <w:rsid w:val="004B736D"/>
    <w:rsid w:val="004B7662"/>
    <w:rsid w:val="004B7F67"/>
    <w:rsid w:val="004B7FB0"/>
    <w:rsid w:val="004C06BE"/>
    <w:rsid w:val="004C0938"/>
    <w:rsid w:val="004C1158"/>
    <w:rsid w:val="004C1994"/>
    <w:rsid w:val="004C1A1E"/>
    <w:rsid w:val="004C1C79"/>
    <w:rsid w:val="004C20D2"/>
    <w:rsid w:val="004C296A"/>
    <w:rsid w:val="004C391C"/>
    <w:rsid w:val="004C4A81"/>
    <w:rsid w:val="004C50E3"/>
    <w:rsid w:val="004C70FC"/>
    <w:rsid w:val="004D022C"/>
    <w:rsid w:val="004D1747"/>
    <w:rsid w:val="004D2195"/>
    <w:rsid w:val="004D2675"/>
    <w:rsid w:val="004D3604"/>
    <w:rsid w:val="004D3B13"/>
    <w:rsid w:val="004D3D17"/>
    <w:rsid w:val="004D4080"/>
    <w:rsid w:val="004D57B1"/>
    <w:rsid w:val="004D5842"/>
    <w:rsid w:val="004D5D25"/>
    <w:rsid w:val="004D6723"/>
    <w:rsid w:val="004E05FD"/>
    <w:rsid w:val="004E08A3"/>
    <w:rsid w:val="004E1A0D"/>
    <w:rsid w:val="004E23F5"/>
    <w:rsid w:val="004E38AD"/>
    <w:rsid w:val="004E4557"/>
    <w:rsid w:val="004E5418"/>
    <w:rsid w:val="004E5807"/>
    <w:rsid w:val="004E5B2A"/>
    <w:rsid w:val="004E63E5"/>
    <w:rsid w:val="004E663D"/>
    <w:rsid w:val="004E6A47"/>
    <w:rsid w:val="004E6B76"/>
    <w:rsid w:val="004E6D3E"/>
    <w:rsid w:val="004E738C"/>
    <w:rsid w:val="004E7E93"/>
    <w:rsid w:val="004F012A"/>
    <w:rsid w:val="004F0657"/>
    <w:rsid w:val="004F1437"/>
    <w:rsid w:val="004F180D"/>
    <w:rsid w:val="004F1A29"/>
    <w:rsid w:val="004F2434"/>
    <w:rsid w:val="004F3540"/>
    <w:rsid w:val="004F3886"/>
    <w:rsid w:val="004F43AA"/>
    <w:rsid w:val="004F4B58"/>
    <w:rsid w:val="004F4E78"/>
    <w:rsid w:val="004F5295"/>
    <w:rsid w:val="004F52DB"/>
    <w:rsid w:val="004F5624"/>
    <w:rsid w:val="004F5DA4"/>
    <w:rsid w:val="004F5DF9"/>
    <w:rsid w:val="004F62B2"/>
    <w:rsid w:val="004F6424"/>
    <w:rsid w:val="0050281F"/>
    <w:rsid w:val="005040CD"/>
    <w:rsid w:val="00504229"/>
    <w:rsid w:val="00504BD8"/>
    <w:rsid w:val="00505229"/>
    <w:rsid w:val="0050657C"/>
    <w:rsid w:val="0050703D"/>
    <w:rsid w:val="005070A0"/>
    <w:rsid w:val="00507479"/>
    <w:rsid w:val="00507F98"/>
    <w:rsid w:val="005108A3"/>
    <w:rsid w:val="00510DB5"/>
    <w:rsid w:val="00510F6E"/>
    <w:rsid w:val="00510FE7"/>
    <w:rsid w:val="00511422"/>
    <w:rsid w:val="005118AE"/>
    <w:rsid w:val="0051212F"/>
    <w:rsid w:val="005130D0"/>
    <w:rsid w:val="00514493"/>
    <w:rsid w:val="0051587A"/>
    <w:rsid w:val="005158FA"/>
    <w:rsid w:val="005169AD"/>
    <w:rsid w:val="00520011"/>
    <w:rsid w:val="005208B9"/>
    <w:rsid w:val="00520F18"/>
    <w:rsid w:val="005212FF"/>
    <w:rsid w:val="0052172D"/>
    <w:rsid w:val="005221F0"/>
    <w:rsid w:val="00522329"/>
    <w:rsid w:val="005224A9"/>
    <w:rsid w:val="00522617"/>
    <w:rsid w:val="005232E5"/>
    <w:rsid w:val="005234AC"/>
    <w:rsid w:val="00524018"/>
    <w:rsid w:val="0052421D"/>
    <w:rsid w:val="00524807"/>
    <w:rsid w:val="005252FE"/>
    <w:rsid w:val="005257A1"/>
    <w:rsid w:val="00525FF9"/>
    <w:rsid w:val="005275EC"/>
    <w:rsid w:val="00531D65"/>
    <w:rsid w:val="00532C41"/>
    <w:rsid w:val="00532D3F"/>
    <w:rsid w:val="0053386D"/>
    <w:rsid w:val="00534458"/>
    <w:rsid w:val="00534700"/>
    <w:rsid w:val="00536A3F"/>
    <w:rsid w:val="00536C81"/>
    <w:rsid w:val="0053791F"/>
    <w:rsid w:val="005405F4"/>
    <w:rsid w:val="00541497"/>
    <w:rsid w:val="005416BA"/>
    <w:rsid w:val="0054243E"/>
    <w:rsid w:val="00542F13"/>
    <w:rsid w:val="005449AD"/>
    <w:rsid w:val="00545E95"/>
    <w:rsid w:val="005465D7"/>
    <w:rsid w:val="00546622"/>
    <w:rsid w:val="00547055"/>
    <w:rsid w:val="00547538"/>
    <w:rsid w:val="00550573"/>
    <w:rsid w:val="005505AA"/>
    <w:rsid w:val="00550706"/>
    <w:rsid w:val="00551DAD"/>
    <w:rsid w:val="005520AA"/>
    <w:rsid w:val="00552170"/>
    <w:rsid w:val="005533B5"/>
    <w:rsid w:val="00553BFA"/>
    <w:rsid w:val="00554956"/>
    <w:rsid w:val="005549D9"/>
    <w:rsid w:val="00554D05"/>
    <w:rsid w:val="00554D64"/>
    <w:rsid w:val="005555F1"/>
    <w:rsid w:val="0055596B"/>
    <w:rsid w:val="005574AA"/>
    <w:rsid w:val="00557877"/>
    <w:rsid w:val="00557951"/>
    <w:rsid w:val="005600EE"/>
    <w:rsid w:val="005601CB"/>
    <w:rsid w:val="0056077E"/>
    <w:rsid w:val="005607F8"/>
    <w:rsid w:val="00560EDA"/>
    <w:rsid w:val="00561AFE"/>
    <w:rsid w:val="005627A1"/>
    <w:rsid w:val="005629EE"/>
    <w:rsid w:val="005648FA"/>
    <w:rsid w:val="00564D50"/>
    <w:rsid w:val="0056538D"/>
    <w:rsid w:val="00566EA2"/>
    <w:rsid w:val="00567346"/>
    <w:rsid w:val="00571D1F"/>
    <w:rsid w:val="005727DC"/>
    <w:rsid w:val="00572B66"/>
    <w:rsid w:val="005736C3"/>
    <w:rsid w:val="0057371B"/>
    <w:rsid w:val="005739AB"/>
    <w:rsid w:val="00573CBF"/>
    <w:rsid w:val="00575B33"/>
    <w:rsid w:val="00575EB8"/>
    <w:rsid w:val="0057613A"/>
    <w:rsid w:val="00581442"/>
    <w:rsid w:val="00582A9B"/>
    <w:rsid w:val="00582D76"/>
    <w:rsid w:val="005832AB"/>
    <w:rsid w:val="005837FE"/>
    <w:rsid w:val="0058437C"/>
    <w:rsid w:val="00584D05"/>
    <w:rsid w:val="00585738"/>
    <w:rsid w:val="00586C84"/>
    <w:rsid w:val="00587546"/>
    <w:rsid w:val="005879C5"/>
    <w:rsid w:val="00590039"/>
    <w:rsid w:val="00590236"/>
    <w:rsid w:val="00590FC3"/>
    <w:rsid w:val="00591FA3"/>
    <w:rsid w:val="005935F4"/>
    <w:rsid w:val="00593E0A"/>
    <w:rsid w:val="00594A80"/>
    <w:rsid w:val="00595DB2"/>
    <w:rsid w:val="005974C5"/>
    <w:rsid w:val="005A047A"/>
    <w:rsid w:val="005A167F"/>
    <w:rsid w:val="005A1CD2"/>
    <w:rsid w:val="005A2166"/>
    <w:rsid w:val="005A346E"/>
    <w:rsid w:val="005A3AC9"/>
    <w:rsid w:val="005A3EF1"/>
    <w:rsid w:val="005A69E1"/>
    <w:rsid w:val="005A6A79"/>
    <w:rsid w:val="005A73CF"/>
    <w:rsid w:val="005A73E3"/>
    <w:rsid w:val="005A7B9A"/>
    <w:rsid w:val="005B08B3"/>
    <w:rsid w:val="005B0AFD"/>
    <w:rsid w:val="005B0B45"/>
    <w:rsid w:val="005B3EB1"/>
    <w:rsid w:val="005B3F6F"/>
    <w:rsid w:val="005B4929"/>
    <w:rsid w:val="005B6A75"/>
    <w:rsid w:val="005B72FE"/>
    <w:rsid w:val="005B798B"/>
    <w:rsid w:val="005B7A93"/>
    <w:rsid w:val="005C10E0"/>
    <w:rsid w:val="005C125C"/>
    <w:rsid w:val="005C1FAE"/>
    <w:rsid w:val="005C21F4"/>
    <w:rsid w:val="005C2E8F"/>
    <w:rsid w:val="005C39E8"/>
    <w:rsid w:val="005C3E6C"/>
    <w:rsid w:val="005C5660"/>
    <w:rsid w:val="005C6ABD"/>
    <w:rsid w:val="005C71E4"/>
    <w:rsid w:val="005C72E3"/>
    <w:rsid w:val="005D11B2"/>
    <w:rsid w:val="005D2CA9"/>
    <w:rsid w:val="005D4B68"/>
    <w:rsid w:val="005D68B2"/>
    <w:rsid w:val="005D68DD"/>
    <w:rsid w:val="005D776C"/>
    <w:rsid w:val="005D7DF5"/>
    <w:rsid w:val="005E06D9"/>
    <w:rsid w:val="005E0BC8"/>
    <w:rsid w:val="005E11C1"/>
    <w:rsid w:val="005E16D9"/>
    <w:rsid w:val="005E2563"/>
    <w:rsid w:val="005E3311"/>
    <w:rsid w:val="005E394C"/>
    <w:rsid w:val="005E42BF"/>
    <w:rsid w:val="005E4E70"/>
    <w:rsid w:val="005E65BB"/>
    <w:rsid w:val="005E7666"/>
    <w:rsid w:val="005F076B"/>
    <w:rsid w:val="005F0BD6"/>
    <w:rsid w:val="005F0DA0"/>
    <w:rsid w:val="005F1148"/>
    <w:rsid w:val="005F1363"/>
    <w:rsid w:val="005F2210"/>
    <w:rsid w:val="005F225F"/>
    <w:rsid w:val="005F2430"/>
    <w:rsid w:val="005F2767"/>
    <w:rsid w:val="005F282C"/>
    <w:rsid w:val="005F4790"/>
    <w:rsid w:val="005F4914"/>
    <w:rsid w:val="005F4FCE"/>
    <w:rsid w:val="005F54EB"/>
    <w:rsid w:val="005F62B7"/>
    <w:rsid w:val="005F67FC"/>
    <w:rsid w:val="005F6869"/>
    <w:rsid w:val="005F6BB9"/>
    <w:rsid w:val="0060087F"/>
    <w:rsid w:val="006008F5"/>
    <w:rsid w:val="00601B68"/>
    <w:rsid w:val="00601BB1"/>
    <w:rsid w:val="00602110"/>
    <w:rsid w:val="00603148"/>
    <w:rsid w:val="00605AB7"/>
    <w:rsid w:val="00605E3E"/>
    <w:rsid w:val="006062FA"/>
    <w:rsid w:val="00606FC7"/>
    <w:rsid w:val="006076E8"/>
    <w:rsid w:val="00610456"/>
    <w:rsid w:val="00610613"/>
    <w:rsid w:val="00611473"/>
    <w:rsid w:val="00611B36"/>
    <w:rsid w:val="00612BFF"/>
    <w:rsid w:val="006135C5"/>
    <w:rsid w:val="00613A34"/>
    <w:rsid w:val="00613FF5"/>
    <w:rsid w:val="006156EA"/>
    <w:rsid w:val="00615ADA"/>
    <w:rsid w:val="00617B31"/>
    <w:rsid w:val="006216A3"/>
    <w:rsid w:val="006218DA"/>
    <w:rsid w:val="006221CD"/>
    <w:rsid w:val="00622220"/>
    <w:rsid w:val="00624B0F"/>
    <w:rsid w:val="00625254"/>
    <w:rsid w:val="00626086"/>
    <w:rsid w:val="006266A9"/>
    <w:rsid w:val="00627036"/>
    <w:rsid w:val="006277D9"/>
    <w:rsid w:val="00627999"/>
    <w:rsid w:val="00630426"/>
    <w:rsid w:val="00630C06"/>
    <w:rsid w:val="006316C1"/>
    <w:rsid w:val="00631ED4"/>
    <w:rsid w:val="00632840"/>
    <w:rsid w:val="00633BC7"/>
    <w:rsid w:val="006348AF"/>
    <w:rsid w:val="00635111"/>
    <w:rsid w:val="0063592A"/>
    <w:rsid w:val="00635AC7"/>
    <w:rsid w:val="00635C46"/>
    <w:rsid w:val="00635E9C"/>
    <w:rsid w:val="00636CD8"/>
    <w:rsid w:val="0063753F"/>
    <w:rsid w:val="0063799C"/>
    <w:rsid w:val="00637B41"/>
    <w:rsid w:val="006401D4"/>
    <w:rsid w:val="006414EE"/>
    <w:rsid w:val="00642524"/>
    <w:rsid w:val="0064287C"/>
    <w:rsid w:val="00642961"/>
    <w:rsid w:val="00642D0A"/>
    <w:rsid w:val="00643392"/>
    <w:rsid w:val="00643454"/>
    <w:rsid w:val="0064566D"/>
    <w:rsid w:val="00645DF6"/>
    <w:rsid w:val="0064630E"/>
    <w:rsid w:val="00646FE1"/>
    <w:rsid w:val="00647075"/>
    <w:rsid w:val="0064747B"/>
    <w:rsid w:val="006501F2"/>
    <w:rsid w:val="00650B72"/>
    <w:rsid w:val="00651475"/>
    <w:rsid w:val="0065581D"/>
    <w:rsid w:val="00655C2F"/>
    <w:rsid w:val="00657CFA"/>
    <w:rsid w:val="00660403"/>
    <w:rsid w:val="006607ED"/>
    <w:rsid w:val="00660F01"/>
    <w:rsid w:val="00661140"/>
    <w:rsid w:val="00661165"/>
    <w:rsid w:val="006652DD"/>
    <w:rsid w:val="00665A29"/>
    <w:rsid w:val="00666F8B"/>
    <w:rsid w:val="006710DD"/>
    <w:rsid w:val="006718AF"/>
    <w:rsid w:val="00671FC9"/>
    <w:rsid w:val="00672F96"/>
    <w:rsid w:val="00673200"/>
    <w:rsid w:val="0067501E"/>
    <w:rsid w:val="006752A4"/>
    <w:rsid w:val="006771D8"/>
    <w:rsid w:val="006773D2"/>
    <w:rsid w:val="00680581"/>
    <w:rsid w:val="00680A56"/>
    <w:rsid w:val="006816E4"/>
    <w:rsid w:val="00681A41"/>
    <w:rsid w:val="00681B76"/>
    <w:rsid w:val="006821B2"/>
    <w:rsid w:val="00682BF8"/>
    <w:rsid w:val="00683787"/>
    <w:rsid w:val="006838C0"/>
    <w:rsid w:val="00684183"/>
    <w:rsid w:val="00684B96"/>
    <w:rsid w:val="00685856"/>
    <w:rsid w:val="00685901"/>
    <w:rsid w:val="00685BB9"/>
    <w:rsid w:val="0068791D"/>
    <w:rsid w:val="00687E06"/>
    <w:rsid w:val="00690127"/>
    <w:rsid w:val="00691BFF"/>
    <w:rsid w:val="00693DFE"/>
    <w:rsid w:val="006942AE"/>
    <w:rsid w:val="006953C1"/>
    <w:rsid w:val="00696704"/>
    <w:rsid w:val="00696EB2"/>
    <w:rsid w:val="006971E4"/>
    <w:rsid w:val="0069741A"/>
    <w:rsid w:val="006A0DEA"/>
    <w:rsid w:val="006A16E9"/>
    <w:rsid w:val="006A1B00"/>
    <w:rsid w:val="006A30F2"/>
    <w:rsid w:val="006A3ED2"/>
    <w:rsid w:val="006A5450"/>
    <w:rsid w:val="006A57FB"/>
    <w:rsid w:val="006A5A5A"/>
    <w:rsid w:val="006A5C5C"/>
    <w:rsid w:val="006A5E29"/>
    <w:rsid w:val="006A61A4"/>
    <w:rsid w:val="006A6365"/>
    <w:rsid w:val="006A79A4"/>
    <w:rsid w:val="006B0199"/>
    <w:rsid w:val="006B0A32"/>
    <w:rsid w:val="006B0BD8"/>
    <w:rsid w:val="006B0F32"/>
    <w:rsid w:val="006B24F4"/>
    <w:rsid w:val="006B279A"/>
    <w:rsid w:val="006B27EA"/>
    <w:rsid w:val="006B3928"/>
    <w:rsid w:val="006B3F26"/>
    <w:rsid w:val="006B40E7"/>
    <w:rsid w:val="006B4557"/>
    <w:rsid w:val="006B5325"/>
    <w:rsid w:val="006C0251"/>
    <w:rsid w:val="006C0320"/>
    <w:rsid w:val="006C29CA"/>
    <w:rsid w:val="006C29EB"/>
    <w:rsid w:val="006C2B9A"/>
    <w:rsid w:val="006C30DB"/>
    <w:rsid w:val="006C39BB"/>
    <w:rsid w:val="006C4059"/>
    <w:rsid w:val="006C4502"/>
    <w:rsid w:val="006C50BD"/>
    <w:rsid w:val="006C6114"/>
    <w:rsid w:val="006D0635"/>
    <w:rsid w:val="006D2276"/>
    <w:rsid w:val="006D2288"/>
    <w:rsid w:val="006D3212"/>
    <w:rsid w:val="006D43D7"/>
    <w:rsid w:val="006D4464"/>
    <w:rsid w:val="006D4945"/>
    <w:rsid w:val="006D4C1F"/>
    <w:rsid w:val="006D5469"/>
    <w:rsid w:val="006D5B15"/>
    <w:rsid w:val="006D5C33"/>
    <w:rsid w:val="006D5E91"/>
    <w:rsid w:val="006D636A"/>
    <w:rsid w:val="006D6E05"/>
    <w:rsid w:val="006D7685"/>
    <w:rsid w:val="006D7E87"/>
    <w:rsid w:val="006E14E6"/>
    <w:rsid w:val="006E1AEE"/>
    <w:rsid w:val="006E207C"/>
    <w:rsid w:val="006E2F52"/>
    <w:rsid w:val="006E32A9"/>
    <w:rsid w:val="006E3B9C"/>
    <w:rsid w:val="006E51A2"/>
    <w:rsid w:val="006E6A43"/>
    <w:rsid w:val="006F0DE2"/>
    <w:rsid w:val="006F11BD"/>
    <w:rsid w:val="006F1337"/>
    <w:rsid w:val="006F192D"/>
    <w:rsid w:val="006F25B4"/>
    <w:rsid w:val="006F32C7"/>
    <w:rsid w:val="006F3392"/>
    <w:rsid w:val="006F3495"/>
    <w:rsid w:val="006F3F4F"/>
    <w:rsid w:val="006F417D"/>
    <w:rsid w:val="006F4B53"/>
    <w:rsid w:val="006F4D5A"/>
    <w:rsid w:val="006F5C83"/>
    <w:rsid w:val="006F67CC"/>
    <w:rsid w:val="006F6B89"/>
    <w:rsid w:val="006F6BAB"/>
    <w:rsid w:val="006F7845"/>
    <w:rsid w:val="007001A1"/>
    <w:rsid w:val="00701935"/>
    <w:rsid w:val="00701C2D"/>
    <w:rsid w:val="00702162"/>
    <w:rsid w:val="007024D0"/>
    <w:rsid w:val="00702CA3"/>
    <w:rsid w:val="00703930"/>
    <w:rsid w:val="00703B0B"/>
    <w:rsid w:val="007054E5"/>
    <w:rsid w:val="0070610E"/>
    <w:rsid w:val="0070672B"/>
    <w:rsid w:val="00707759"/>
    <w:rsid w:val="007078A7"/>
    <w:rsid w:val="00707E6F"/>
    <w:rsid w:val="00710081"/>
    <w:rsid w:val="00710B0D"/>
    <w:rsid w:val="00710C4E"/>
    <w:rsid w:val="00711DE3"/>
    <w:rsid w:val="00713CB5"/>
    <w:rsid w:val="00714049"/>
    <w:rsid w:val="00714E3F"/>
    <w:rsid w:val="007150B5"/>
    <w:rsid w:val="0071558B"/>
    <w:rsid w:val="0071669F"/>
    <w:rsid w:val="00716817"/>
    <w:rsid w:val="0071776A"/>
    <w:rsid w:val="00717CD9"/>
    <w:rsid w:val="00721189"/>
    <w:rsid w:val="007220A3"/>
    <w:rsid w:val="007221C3"/>
    <w:rsid w:val="007227E4"/>
    <w:rsid w:val="00722CEE"/>
    <w:rsid w:val="00722F2C"/>
    <w:rsid w:val="00723ED6"/>
    <w:rsid w:val="00724CB6"/>
    <w:rsid w:val="007254D1"/>
    <w:rsid w:val="00725B32"/>
    <w:rsid w:val="00725B3C"/>
    <w:rsid w:val="00726F9E"/>
    <w:rsid w:val="0072702F"/>
    <w:rsid w:val="00730DB1"/>
    <w:rsid w:val="00731382"/>
    <w:rsid w:val="007315A9"/>
    <w:rsid w:val="007316DA"/>
    <w:rsid w:val="0073289E"/>
    <w:rsid w:val="0073321A"/>
    <w:rsid w:val="00733B31"/>
    <w:rsid w:val="00733D54"/>
    <w:rsid w:val="00734CEE"/>
    <w:rsid w:val="00736A4F"/>
    <w:rsid w:val="00737753"/>
    <w:rsid w:val="00737768"/>
    <w:rsid w:val="00737FFA"/>
    <w:rsid w:val="007402EE"/>
    <w:rsid w:val="00740B1C"/>
    <w:rsid w:val="00740BB8"/>
    <w:rsid w:val="00740CE9"/>
    <w:rsid w:val="007428E3"/>
    <w:rsid w:val="0074394E"/>
    <w:rsid w:val="00743CE1"/>
    <w:rsid w:val="0074422D"/>
    <w:rsid w:val="0074466C"/>
    <w:rsid w:val="007470E4"/>
    <w:rsid w:val="0074733C"/>
    <w:rsid w:val="007477D5"/>
    <w:rsid w:val="00747DD9"/>
    <w:rsid w:val="00747F10"/>
    <w:rsid w:val="007504C9"/>
    <w:rsid w:val="00750D0A"/>
    <w:rsid w:val="00751D93"/>
    <w:rsid w:val="00752300"/>
    <w:rsid w:val="00752B40"/>
    <w:rsid w:val="00752C82"/>
    <w:rsid w:val="0075309C"/>
    <w:rsid w:val="007536F2"/>
    <w:rsid w:val="00753BF5"/>
    <w:rsid w:val="007546F8"/>
    <w:rsid w:val="007552DE"/>
    <w:rsid w:val="0075579B"/>
    <w:rsid w:val="00755BAB"/>
    <w:rsid w:val="00757283"/>
    <w:rsid w:val="00757745"/>
    <w:rsid w:val="0076080E"/>
    <w:rsid w:val="00760BEA"/>
    <w:rsid w:val="00761069"/>
    <w:rsid w:val="00762ACB"/>
    <w:rsid w:val="0076411D"/>
    <w:rsid w:val="007670F8"/>
    <w:rsid w:val="007671D4"/>
    <w:rsid w:val="007703F5"/>
    <w:rsid w:val="00770A85"/>
    <w:rsid w:val="00770EBC"/>
    <w:rsid w:val="00771741"/>
    <w:rsid w:val="00771A85"/>
    <w:rsid w:val="00772366"/>
    <w:rsid w:val="00773DC9"/>
    <w:rsid w:val="0077572E"/>
    <w:rsid w:val="00775D69"/>
    <w:rsid w:val="00777009"/>
    <w:rsid w:val="0077787F"/>
    <w:rsid w:val="00777BE4"/>
    <w:rsid w:val="00777D9D"/>
    <w:rsid w:val="0078031B"/>
    <w:rsid w:val="007803AA"/>
    <w:rsid w:val="00780A01"/>
    <w:rsid w:val="00782EF2"/>
    <w:rsid w:val="007845F2"/>
    <w:rsid w:val="00784F44"/>
    <w:rsid w:val="00784FC7"/>
    <w:rsid w:val="00785931"/>
    <w:rsid w:val="00785A9A"/>
    <w:rsid w:val="00785FD0"/>
    <w:rsid w:val="00786672"/>
    <w:rsid w:val="00786745"/>
    <w:rsid w:val="007870BF"/>
    <w:rsid w:val="007870D0"/>
    <w:rsid w:val="007872CF"/>
    <w:rsid w:val="00787F5A"/>
    <w:rsid w:val="007917AA"/>
    <w:rsid w:val="0079201C"/>
    <w:rsid w:val="0079307F"/>
    <w:rsid w:val="00793B64"/>
    <w:rsid w:val="007940C5"/>
    <w:rsid w:val="007947C4"/>
    <w:rsid w:val="00795812"/>
    <w:rsid w:val="00795CE1"/>
    <w:rsid w:val="00796EFA"/>
    <w:rsid w:val="00796F96"/>
    <w:rsid w:val="007A0646"/>
    <w:rsid w:val="007A06AC"/>
    <w:rsid w:val="007A0B36"/>
    <w:rsid w:val="007A0BD3"/>
    <w:rsid w:val="007A1B2F"/>
    <w:rsid w:val="007A43AE"/>
    <w:rsid w:val="007A4636"/>
    <w:rsid w:val="007A5719"/>
    <w:rsid w:val="007A59FF"/>
    <w:rsid w:val="007A5A6C"/>
    <w:rsid w:val="007A7377"/>
    <w:rsid w:val="007B1014"/>
    <w:rsid w:val="007B103F"/>
    <w:rsid w:val="007B1484"/>
    <w:rsid w:val="007B1A10"/>
    <w:rsid w:val="007B1C37"/>
    <w:rsid w:val="007B31AB"/>
    <w:rsid w:val="007B3268"/>
    <w:rsid w:val="007B35E5"/>
    <w:rsid w:val="007B37F1"/>
    <w:rsid w:val="007B3BAE"/>
    <w:rsid w:val="007B42D3"/>
    <w:rsid w:val="007B46D9"/>
    <w:rsid w:val="007B5A4C"/>
    <w:rsid w:val="007B6659"/>
    <w:rsid w:val="007B6C39"/>
    <w:rsid w:val="007B76AB"/>
    <w:rsid w:val="007B7C23"/>
    <w:rsid w:val="007B7DBD"/>
    <w:rsid w:val="007C09EA"/>
    <w:rsid w:val="007C264B"/>
    <w:rsid w:val="007C2782"/>
    <w:rsid w:val="007C3E5E"/>
    <w:rsid w:val="007C45D3"/>
    <w:rsid w:val="007C4CE7"/>
    <w:rsid w:val="007C4D8B"/>
    <w:rsid w:val="007C597B"/>
    <w:rsid w:val="007C668C"/>
    <w:rsid w:val="007C760C"/>
    <w:rsid w:val="007D08FD"/>
    <w:rsid w:val="007D1584"/>
    <w:rsid w:val="007D1A35"/>
    <w:rsid w:val="007D2044"/>
    <w:rsid w:val="007D40E3"/>
    <w:rsid w:val="007D4F33"/>
    <w:rsid w:val="007D554B"/>
    <w:rsid w:val="007D5C5D"/>
    <w:rsid w:val="007D5E21"/>
    <w:rsid w:val="007D60AB"/>
    <w:rsid w:val="007D65C7"/>
    <w:rsid w:val="007D74D2"/>
    <w:rsid w:val="007D79B5"/>
    <w:rsid w:val="007E0058"/>
    <w:rsid w:val="007E06A3"/>
    <w:rsid w:val="007E176F"/>
    <w:rsid w:val="007E1970"/>
    <w:rsid w:val="007E2334"/>
    <w:rsid w:val="007E23CE"/>
    <w:rsid w:val="007E2C43"/>
    <w:rsid w:val="007E2CE7"/>
    <w:rsid w:val="007E32E8"/>
    <w:rsid w:val="007E3DE4"/>
    <w:rsid w:val="007E43D0"/>
    <w:rsid w:val="007E4F00"/>
    <w:rsid w:val="007E54F8"/>
    <w:rsid w:val="007E5987"/>
    <w:rsid w:val="007E5BD8"/>
    <w:rsid w:val="007E6C23"/>
    <w:rsid w:val="007E6FEF"/>
    <w:rsid w:val="007E7BF9"/>
    <w:rsid w:val="007F02BC"/>
    <w:rsid w:val="007F1CC8"/>
    <w:rsid w:val="007F1D17"/>
    <w:rsid w:val="007F1E14"/>
    <w:rsid w:val="007F20D7"/>
    <w:rsid w:val="007F2E65"/>
    <w:rsid w:val="007F43BA"/>
    <w:rsid w:val="007F45D1"/>
    <w:rsid w:val="007F4B03"/>
    <w:rsid w:val="007F5315"/>
    <w:rsid w:val="007F64BE"/>
    <w:rsid w:val="007F6DC3"/>
    <w:rsid w:val="008005DA"/>
    <w:rsid w:val="008006B4"/>
    <w:rsid w:val="008015B6"/>
    <w:rsid w:val="008022EA"/>
    <w:rsid w:val="00802CB6"/>
    <w:rsid w:val="0080313B"/>
    <w:rsid w:val="00803FD4"/>
    <w:rsid w:val="008040AC"/>
    <w:rsid w:val="0080481C"/>
    <w:rsid w:val="00804C54"/>
    <w:rsid w:val="008053A6"/>
    <w:rsid w:val="008056DD"/>
    <w:rsid w:val="00805B44"/>
    <w:rsid w:val="00806970"/>
    <w:rsid w:val="00807087"/>
    <w:rsid w:val="0081104C"/>
    <w:rsid w:val="008115D9"/>
    <w:rsid w:val="008121F2"/>
    <w:rsid w:val="0081250D"/>
    <w:rsid w:val="00812D16"/>
    <w:rsid w:val="00813E54"/>
    <w:rsid w:val="00814ACF"/>
    <w:rsid w:val="00816766"/>
    <w:rsid w:val="00816C51"/>
    <w:rsid w:val="0082110A"/>
    <w:rsid w:val="00821865"/>
    <w:rsid w:val="008225EB"/>
    <w:rsid w:val="0082327D"/>
    <w:rsid w:val="00823E74"/>
    <w:rsid w:val="0082433D"/>
    <w:rsid w:val="008248F4"/>
    <w:rsid w:val="00826509"/>
    <w:rsid w:val="00830BA2"/>
    <w:rsid w:val="00830CF2"/>
    <w:rsid w:val="008312FE"/>
    <w:rsid w:val="00832049"/>
    <w:rsid w:val="00832161"/>
    <w:rsid w:val="00832F11"/>
    <w:rsid w:val="0083354D"/>
    <w:rsid w:val="0083561B"/>
    <w:rsid w:val="0083577C"/>
    <w:rsid w:val="00837D78"/>
    <w:rsid w:val="00840D79"/>
    <w:rsid w:val="00840F09"/>
    <w:rsid w:val="0084180F"/>
    <w:rsid w:val="008428CC"/>
    <w:rsid w:val="00842A21"/>
    <w:rsid w:val="00842D9D"/>
    <w:rsid w:val="00843A60"/>
    <w:rsid w:val="00845DAD"/>
    <w:rsid w:val="00847CD7"/>
    <w:rsid w:val="008501ED"/>
    <w:rsid w:val="00850CAB"/>
    <w:rsid w:val="00851377"/>
    <w:rsid w:val="00852C12"/>
    <w:rsid w:val="008538F9"/>
    <w:rsid w:val="0085437C"/>
    <w:rsid w:val="00854B2F"/>
    <w:rsid w:val="00855481"/>
    <w:rsid w:val="0085606D"/>
    <w:rsid w:val="0085624A"/>
    <w:rsid w:val="00856331"/>
    <w:rsid w:val="00856354"/>
    <w:rsid w:val="0085651A"/>
    <w:rsid w:val="00856857"/>
    <w:rsid w:val="008568E1"/>
    <w:rsid w:val="00856BE9"/>
    <w:rsid w:val="0085730A"/>
    <w:rsid w:val="008578F8"/>
    <w:rsid w:val="00860566"/>
    <w:rsid w:val="0086129A"/>
    <w:rsid w:val="0086165C"/>
    <w:rsid w:val="008617B9"/>
    <w:rsid w:val="00861B26"/>
    <w:rsid w:val="008623FC"/>
    <w:rsid w:val="00862EED"/>
    <w:rsid w:val="008643FC"/>
    <w:rsid w:val="008649B9"/>
    <w:rsid w:val="00864B52"/>
    <w:rsid w:val="00864FDB"/>
    <w:rsid w:val="00865409"/>
    <w:rsid w:val="008665BD"/>
    <w:rsid w:val="00867806"/>
    <w:rsid w:val="0086784F"/>
    <w:rsid w:val="00867D3F"/>
    <w:rsid w:val="008702AD"/>
    <w:rsid w:val="00870394"/>
    <w:rsid w:val="008706B2"/>
    <w:rsid w:val="0087073B"/>
    <w:rsid w:val="00871029"/>
    <w:rsid w:val="00872E76"/>
    <w:rsid w:val="00873967"/>
    <w:rsid w:val="00873D1F"/>
    <w:rsid w:val="008743BB"/>
    <w:rsid w:val="00876497"/>
    <w:rsid w:val="008770D4"/>
    <w:rsid w:val="008800E5"/>
    <w:rsid w:val="008804D1"/>
    <w:rsid w:val="008808DC"/>
    <w:rsid w:val="0088127F"/>
    <w:rsid w:val="008815EF"/>
    <w:rsid w:val="008822F2"/>
    <w:rsid w:val="008837C7"/>
    <w:rsid w:val="00883ED5"/>
    <w:rsid w:val="00884C14"/>
    <w:rsid w:val="00885273"/>
    <w:rsid w:val="00885F2C"/>
    <w:rsid w:val="00886386"/>
    <w:rsid w:val="00886FB0"/>
    <w:rsid w:val="0088701C"/>
    <w:rsid w:val="00892459"/>
    <w:rsid w:val="008926E7"/>
    <w:rsid w:val="00892931"/>
    <w:rsid w:val="008929AA"/>
    <w:rsid w:val="00892AA5"/>
    <w:rsid w:val="0089440A"/>
    <w:rsid w:val="0089499B"/>
    <w:rsid w:val="00894ACA"/>
    <w:rsid w:val="00894C4D"/>
    <w:rsid w:val="00894EC5"/>
    <w:rsid w:val="0089584F"/>
    <w:rsid w:val="00896658"/>
    <w:rsid w:val="008967B5"/>
    <w:rsid w:val="0089721F"/>
    <w:rsid w:val="0089747D"/>
    <w:rsid w:val="00897C37"/>
    <w:rsid w:val="008A03AC"/>
    <w:rsid w:val="008A1008"/>
    <w:rsid w:val="008A1224"/>
    <w:rsid w:val="008A305C"/>
    <w:rsid w:val="008A33F1"/>
    <w:rsid w:val="008A345A"/>
    <w:rsid w:val="008A3AD5"/>
    <w:rsid w:val="008A3DB9"/>
    <w:rsid w:val="008A470E"/>
    <w:rsid w:val="008A637F"/>
    <w:rsid w:val="008A65C8"/>
    <w:rsid w:val="008A6A5C"/>
    <w:rsid w:val="008A7316"/>
    <w:rsid w:val="008A7AC8"/>
    <w:rsid w:val="008B22BA"/>
    <w:rsid w:val="008B287B"/>
    <w:rsid w:val="008B36D0"/>
    <w:rsid w:val="008B4A1C"/>
    <w:rsid w:val="008B500A"/>
    <w:rsid w:val="008B578D"/>
    <w:rsid w:val="008C090B"/>
    <w:rsid w:val="008C0B71"/>
    <w:rsid w:val="008C1610"/>
    <w:rsid w:val="008C27F4"/>
    <w:rsid w:val="008C2F1E"/>
    <w:rsid w:val="008C30E5"/>
    <w:rsid w:val="008C3A62"/>
    <w:rsid w:val="008C3B5B"/>
    <w:rsid w:val="008C409F"/>
    <w:rsid w:val="008C46B4"/>
    <w:rsid w:val="008C491C"/>
    <w:rsid w:val="008C49FD"/>
    <w:rsid w:val="008C4C09"/>
    <w:rsid w:val="008C55B4"/>
    <w:rsid w:val="008C602D"/>
    <w:rsid w:val="008C6BCC"/>
    <w:rsid w:val="008D08D8"/>
    <w:rsid w:val="008D098D"/>
    <w:rsid w:val="008D0BC6"/>
    <w:rsid w:val="008D135A"/>
    <w:rsid w:val="008D178A"/>
    <w:rsid w:val="008D2113"/>
    <w:rsid w:val="008D2205"/>
    <w:rsid w:val="008D2331"/>
    <w:rsid w:val="008D23A2"/>
    <w:rsid w:val="008D2AF0"/>
    <w:rsid w:val="008D347F"/>
    <w:rsid w:val="008D35AD"/>
    <w:rsid w:val="008D36CD"/>
    <w:rsid w:val="008D4380"/>
    <w:rsid w:val="008D48D1"/>
    <w:rsid w:val="008D5366"/>
    <w:rsid w:val="008D56CE"/>
    <w:rsid w:val="008D66E6"/>
    <w:rsid w:val="008D6BE8"/>
    <w:rsid w:val="008E05C3"/>
    <w:rsid w:val="008E13DD"/>
    <w:rsid w:val="008E2293"/>
    <w:rsid w:val="008E27E9"/>
    <w:rsid w:val="008E42DE"/>
    <w:rsid w:val="008E68D5"/>
    <w:rsid w:val="008E76E9"/>
    <w:rsid w:val="008E7BB6"/>
    <w:rsid w:val="008F05CA"/>
    <w:rsid w:val="008F2C49"/>
    <w:rsid w:val="008F36F0"/>
    <w:rsid w:val="008F3B83"/>
    <w:rsid w:val="008F3CFC"/>
    <w:rsid w:val="008F66BC"/>
    <w:rsid w:val="008F7CFF"/>
    <w:rsid w:val="008F7ED1"/>
    <w:rsid w:val="009002DA"/>
    <w:rsid w:val="009003C8"/>
    <w:rsid w:val="009006E2"/>
    <w:rsid w:val="00901C8D"/>
    <w:rsid w:val="0090287C"/>
    <w:rsid w:val="00904A4D"/>
    <w:rsid w:val="00905643"/>
    <w:rsid w:val="00905EE9"/>
    <w:rsid w:val="009065F4"/>
    <w:rsid w:val="009075A7"/>
    <w:rsid w:val="00907DFB"/>
    <w:rsid w:val="0091004E"/>
    <w:rsid w:val="00910624"/>
    <w:rsid w:val="00910FBA"/>
    <w:rsid w:val="00911D39"/>
    <w:rsid w:val="00912B9F"/>
    <w:rsid w:val="00914067"/>
    <w:rsid w:val="00915DD3"/>
    <w:rsid w:val="009161DB"/>
    <w:rsid w:val="00916401"/>
    <w:rsid w:val="00917248"/>
    <w:rsid w:val="00917C0F"/>
    <w:rsid w:val="0092040E"/>
    <w:rsid w:val="009206A3"/>
    <w:rsid w:val="00920C6C"/>
    <w:rsid w:val="009213EB"/>
    <w:rsid w:val="00921530"/>
    <w:rsid w:val="009215C4"/>
    <w:rsid w:val="00921897"/>
    <w:rsid w:val="00921974"/>
    <w:rsid w:val="00921C6D"/>
    <w:rsid w:val="009227D9"/>
    <w:rsid w:val="009235A2"/>
    <w:rsid w:val="00923BB1"/>
    <w:rsid w:val="00923C44"/>
    <w:rsid w:val="009257A3"/>
    <w:rsid w:val="00925A2E"/>
    <w:rsid w:val="0092629F"/>
    <w:rsid w:val="00927791"/>
    <w:rsid w:val="00927E7B"/>
    <w:rsid w:val="00930607"/>
    <w:rsid w:val="0093086F"/>
    <w:rsid w:val="00930D0A"/>
    <w:rsid w:val="00931417"/>
    <w:rsid w:val="009314BE"/>
    <w:rsid w:val="00931CB5"/>
    <w:rsid w:val="009329BA"/>
    <w:rsid w:val="00932F17"/>
    <w:rsid w:val="0093304D"/>
    <w:rsid w:val="00933101"/>
    <w:rsid w:val="00933E12"/>
    <w:rsid w:val="00934E3C"/>
    <w:rsid w:val="00934E99"/>
    <w:rsid w:val="009359A0"/>
    <w:rsid w:val="00935B1A"/>
    <w:rsid w:val="0093607E"/>
    <w:rsid w:val="00936939"/>
    <w:rsid w:val="00937EA8"/>
    <w:rsid w:val="0094053B"/>
    <w:rsid w:val="00940FCB"/>
    <w:rsid w:val="00941B04"/>
    <w:rsid w:val="00942040"/>
    <w:rsid w:val="00942524"/>
    <w:rsid w:val="00942C9F"/>
    <w:rsid w:val="00943F98"/>
    <w:rsid w:val="0094502B"/>
    <w:rsid w:val="00945631"/>
    <w:rsid w:val="00946815"/>
    <w:rsid w:val="00947549"/>
    <w:rsid w:val="00947CF3"/>
    <w:rsid w:val="00950C3F"/>
    <w:rsid w:val="009511F1"/>
    <w:rsid w:val="009517DF"/>
    <w:rsid w:val="00952149"/>
    <w:rsid w:val="00955B12"/>
    <w:rsid w:val="0095793C"/>
    <w:rsid w:val="00960D77"/>
    <w:rsid w:val="0096111E"/>
    <w:rsid w:val="00961125"/>
    <w:rsid w:val="00961FF6"/>
    <w:rsid w:val="009623D8"/>
    <w:rsid w:val="00963362"/>
    <w:rsid w:val="00963BD1"/>
    <w:rsid w:val="0096458F"/>
    <w:rsid w:val="0096569D"/>
    <w:rsid w:val="00966135"/>
    <w:rsid w:val="00966B1F"/>
    <w:rsid w:val="00966F16"/>
    <w:rsid w:val="00970A7E"/>
    <w:rsid w:val="0097116E"/>
    <w:rsid w:val="009719A0"/>
    <w:rsid w:val="00972B20"/>
    <w:rsid w:val="00972BFE"/>
    <w:rsid w:val="0097441B"/>
    <w:rsid w:val="00974518"/>
    <w:rsid w:val="00976BA7"/>
    <w:rsid w:val="00977475"/>
    <w:rsid w:val="00980FE0"/>
    <w:rsid w:val="009833BC"/>
    <w:rsid w:val="00985042"/>
    <w:rsid w:val="0098579C"/>
    <w:rsid w:val="009857A4"/>
    <w:rsid w:val="00985F8B"/>
    <w:rsid w:val="00987D1A"/>
    <w:rsid w:val="00990B70"/>
    <w:rsid w:val="00990C3B"/>
    <w:rsid w:val="00991681"/>
    <w:rsid w:val="00991923"/>
    <w:rsid w:val="00991935"/>
    <w:rsid w:val="00991C84"/>
    <w:rsid w:val="00991CBD"/>
    <w:rsid w:val="009921E6"/>
    <w:rsid w:val="00992430"/>
    <w:rsid w:val="00992507"/>
    <w:rsid w:val="009928B7"/>
    <w:rsid w:val="0099321A"/>
    <w:rsid w:val="009947E8"/>
    <w:rsid w:val="009960B7"/>
    <w:rsid w:val="00996F08"/>
    <w:rsid w:val="00997144"/>
    <w:rsid w:val="009972FE"/>
    <w:rsid w:val="00997AF8"/>
    <w:rsid w:val="009A09C5"/>
    <w:rsid w:val="009A1547"/>
    <w:rsid w:val="009A298D"/>
    <w:rsid w:val="009A2E0D"/>
    <w:rsid w:val="009A51BF"/>
    <w:rsid w:val="009A7A6D"/>
    <w:rsid w:val="009A7CA9"/>
    <w:rsid w:val="009B1C78"/>
    <w:rsid w:val="009B2429"/>
    <w:rsid w:val="009B2A66"/>
    <w:rsid w:val="009B31EF"/>
    <w:rsid w:val="009B380A"/>
    <w:rsid w:val="009B39C2"/>
    <w:rsid w:val="009B43C1"/>
    <w:rsid w:val="009B536C"/>
    <w:rsid w:val="009B5B2E"/>
    <w:rsid w:val="009B5C19"/>
    <w:rsid w:val="009B5E8B"/>
    <w:rsid w:val="009B6496"/>
    <w:rsid w:val="009B6B91"/>
    <w:rsid w:val="009B75C3"/>
    <w:rsid w:val="009C01DA"/>
    <w:rsid w:val="009C1528"/>
    <w:rsid w:val="009C20CC"/>
    <w:rsid w:val="009C2714"/>
    <w:rsid w:val="009C2BDF"/>
    <w:rsid w:val="009C3558"/>
    <w:rsid w:val="009C5400"/>
    <w:rsid w:val="009C562E"/>
    <w:rsid w:val="009C5E44"/>
    <w:rsid w:val="009C70A4"/>
    <w:rsid w:val="009C7531"/>
    <w:rsid w:val="009D0315"/>
    <w:rsid w:val="009D220C"/>
    <w:rsid w:val="009D221F"/>
    <w:rsid w:val="009D5A29"/>
    <w:rsid w:val="009D6731"/>
    <w:rsid w:val="009D69B7"/>
    <w:rsid w:val="009D6E94"/>
    <w:rsid w:val="009D79D7"/>
    <w:rsid w:val="009E09F0"/>
    <w:rsid w:val="009E19E8"/>
    <w:rsid w:val="009E2083"/>
    <w:rsid w:val="009E2884"/>
    <w:rsid w:val="009E33F7"/>
    <w:rsid w:val="009E377C"/>
    <w:rsid w:val="009E411C"/>
    <w:rsid w:val="009E458A"/>
    <w:rsid w:val="009E4832"/>
    <w:rsid w:val="009E5316"/>
    <w:rsid w:val="009E5D7C"/>
    <w:rsid w:val="009E5DFC"/>
    <w:rsid w:val="009E6CE0"/>
    <w:rsid w:val="009E7916"/>
    <w:rsid w:val="009E7A95"/>
    <w:rsid w:val="009F0B5E"/>
    <w:rsid w:val="009F1789"/>
    <w:rsid w:val="009F2E3B"/>
    <w:rsid w:val="009F352C"/>
    <w:rsid w:val="009F36D2"/>
    <w:rsid w:val="009F39E9"/>
    <w:rsid w:val="009F3B6B"/>
    <w:rsid w:val="009F4504"/>
    <w:rsid w:val="009F502C"/>
    <w:rsid w:val="009F603B"/>
    <w:rsid w:val="009F60D8"/>
    <w:rsid w:val="009F6987"/>
    <w:rsid w:val="009F720F"/>
    <w:rsid w:val="009F761A"/>
    <w:rsid w:val="00A010E7"/>
    <w:rsid w:val="00A017C4"/>
    <w:rsid w:val="00A01A17"/>
    <w:rsid w:val="00A01A60"/>
    <w:rsid w:val="00A01EBE"/>
    <w:rsid w:val="00A020AF"/>
    <w:rsid w:val="00A021F3"/>
    <w:rsid w:val="00A0374B"/>
    <w:rsid w:val="00A03CA6"/>
    <w:rsid w:val="00A03D43"/>
    <w:rsid w:val="00A0660F"/>
    <w:rsid w:val="00A06D62"/>
    <w:rsid w:val="00A06E31"/>
    <w:rsid w:val="00A06E6E"/>
    <w:rsid w:val="00A076F9"/>
    <w:rsid w:val="00A07997"/>
    <w:rsid w:val="00A07F87"/>
    <w:rsid w:val="00A11C7D"/>
    <w:rsid w:val="00A13659"/>
    <w:rsid w:val="00A13770"/>
    <w:rsid w:val="00A14542"/>
    <w:rsid w:val="00A147D3"/>
    <w:rsid w:val="00A14D4B"/>
    <w:rsid w:val="00A1532A"/>
    <w:rsid w:val="00A1637F"/>
    <w:rsid w:val="00A16820"/>
    <w:rsid w:val="00A206ED"/>
    <w:rsid w:val="00A20806"/>
    <w:rsid w:val="00A20C7F"/>
    <w:rsid w:val="00A20D52"/>
    <w:rsid w:val="00A21AC5"/>
    <w:rsid w:val="00A21D41"/>
    <w:rsid w:val="00A22DBA"/>
    <w:rsid w:val="00A23196"/>
    <w:rsid w:val="00A2329D"/>
    <w:rsid w:val="00A2490E"/>
    <w:rsid w:val="00A24A6C"/>
    <w:rsid w:val="00A2543F"/>
    <w:rsid w:val="00A25442"/>
    <w:rsid w:val="00A25539"/>
    <w:rsid w:val="00A25BFF"/>
    <w:rsid w:val="00A25EF4"/>
    <w:rsid w:val="00A26648"/>
    <w:rsid w:val="00A26F79"/>
    <w:rsid w:val="00A27522"/>
    <w:rsid w:val="00A277A7"/>
    <w:rsid w:val="00A308D6"/>
    <w:rsid w:val="00A3136F"/>
    <w:rsid w:val="00A33694"/>
    <w:rsid w:val="00A34651"/>
    <w:rsid w:val="00A34D0C"/>
    <w:rsid w:val="00A34D76"/>
    <w:rsid w:val="00A34EF8"/>
    <w:rsid w:val="00A35125"/>
    <w:rsid w:val="00A365D0"/>
    <w:rsid w:val="00A402B8"/>
    <w:rsid w:val="00A4043E"/>
    <w:rsid w:val="00A41397"/>
    <w:rsid w:val="00A41FDE"/>
    <w:rsid w:val="00A435D9"/>
    <w:rsid w:val="00A437D9"/>
    <w:rsid w:val="00A43C16"/>
    <w:rsid w:val="00A443A6"/>
    <w:rsid w:val="00A4560B"/>
    <w:rsid w:val="00A45A1A"/>
    <w:rsid w:val="00A45E61"/>
    <w:rsid w:val="00A47F32"/>
    <w:rsid w:val="00A52018"/>
    <w:rsid w:val="00A53220"/>
    <w:rsid w:val="00A538E6"/>
    <w:rsid w:val="00A53B70"/>
    <w:rsid w:val="00A54514"/>
    <w:rsid w:val="00A547BB"/>
    <w:rsid w:val="00A56102"/>
    <w:rsid w:val="00A56800"/>
    <w:rsid w:val="00A56D7E"/>
    <w:rsid w:val="00A57404"/>
    <w:rsid w:val="00A575BD"/>
    <w:rsid w:val="00A60EEC"/>
    <w:rsid w:val="00A6132C"/>
    <w:rsid w:val="00A61DEE"/>
    <w:rsid w:val="00A630BA"/>
    <w:rsid w:val="00A63629"/>
    <w:rsid w:val="00A6362A"/>
    <w:rsid w:val="00A63B83"/>
    <w:rsid w:val="00A643C6"/>
    <w:rsid w:val="00A64B0A"/>
    <w:rsid w:val="00A6533B"/>
    <w:rsid w:val="00A65BD9"/>
    <w:rsid w:val="00A66718"/>
    <w:rsid w:val="00A669D5"/>
    <w:rsid w:val="00A671EF"/>
    <w:rsid w:val="00A67CCF"/>
    <w:rsid w:val="00A70A15"/>
    <w:rsid w:val="00A70B31"/>
    <w:rsid w:val="00A73A74"/>
    <w:rsid w:val="00A759FE"/>
    <w:rsid w:val="00A75CF1"/>
    <w:rsid w:val="00A75FE1"/>
    <w:rsid w:val="00A765F4"/>
    <w:rsid w:val="00A76D67"/>
    <w:rsid w:val="00A77562"/>
    <w:rsid w:val="00A776B8"/>
    <w:rsid w:val="00A7780E"/>
    <w:rsid w:val="00A8051C"/>
    <w:rsid w:val="00A81107"/>
    <w:rsid w:val="00A81717"/>
    <w:rsid w:val="00A81EB6"/>
    <w:rsid w:val="00A82D62"/>
    <w:rsid w:val="00A82DE9"/>
    <w:rsid w:val="00A82FB3"/>
    <w:rsid w:val="00A834A1"/>
    <w:rsid w:val="00A837FE"/>
    <w:rsid w:val="00A846AA"/>
    <w:rsid w:val="00A85357"/>
    <w:rsid w:val="00A856B8"/>
    <w:rsid w:val="00A85F7E"/>
    <w:rsid w:val="00A86A99"/>
    <w:rsid w:val="00A871E5"/>
    <w:rsid w:val="00A902DD"/>
    <w:rsid w:val="00A9082D"/>
    <w:rsid w:val="00A91617"/>
    <w:rsid w:val="00A9315C"/>
    <w:rsid w:val="00A933D3"/>
    <w:rsid w:val="00A93C1C"/>
    <w:rsid w:val="00A94108"/>
    <w:rsid w:val="00A94885"/>
    <w:rsid w:val="00A94C7C"/>
    <w:rsid w:val="00A9564E"/>
    <w:rsid w:val="00A9589F"/>
    <w:rsid w:val="00A9666E"/>
    <w:rsid w:val="00A96FA8"/>
    <w:rsid w:val="00A9770A"/>
    <w:rsid w:val="00AA0A43"/>
    <w:rsid w:val="00AA0BBB"/>
    <w:rsid w:val="00AA0DD3"/>
    <w:rsid w:val="00AA1C07"/>
    <w:rsid w:val="00AA2ED1"/>
    <w:rsid w:val="00AA3688"/>
    <w:rsid w:val="00AA4006"/>
    <w:rsid w:val="00AA4B25"/>
    <w:rsid w:val="00AA5887"/>
    <w:rsid w:val="00AA5F19"/>
    <w:rsid w:val="00AB19F8"/>
    <w:rsid w:val="00AB24C2"/>
    <w:rsid w:val="00AB2A61"/>
    <w:rsid w:val="00AB3A12"/>
    <w:rsid w:val="00AB4B23"/>
    <w:rsid w:val="00AB5A8D"/>
    <w:rsid w:val="00AB6642"/>
    <w:rsid w:val="00AB7737"/>
    <w:rsid w:val="00AC1079"/>
    <w:rsid w:val="00AC1CC4"/>
    <w:rsid w:val="00AC26A9"/>
    <w:rsid w:val="00AC2EFE"/>
    <w:rsid w:val="00AC3266"/>
    <w:rsid w:val="00AC3930"/>
    <w:rsid w:val="00AC3AB1"/>
    <w:rsid w:val="00AC4C01"/>
    <w:rsid w:val="00AC5963"/>
    <w:rsid w:val="00AC5B11"/>
    <w:rsid w:val="00AC68C6"/>
    <w:rsid w:val="00AC6C0A"/>
    <w:rsid w:val="00AC7612"/>
    <w:rsid w:val="00AC784D"/>
    <w:rsid w:val="00AC79C1"/>
    <w:rsid w:val="00AC7CA4"/>
    <w:rsid w:val="00AD24B8"/>
    <w:rsid w:val="00AD29A3"/>
    <w:rsid w:val="00AD3053"/>
    <w:rsid w:val="00AD3CE3"/>
    <w:rsid w:val="00AD493B"/>
    <w:rsid w:val="00AD4A64"/>
    <w:rsid w:val="00AD4D4E"/>
    <w:rsid w:val="00AD598F"/>
    <w:rsid w:val="00AD6D09"/>
    <w:rsid w:val="00AD6EB1"/>
    <w:rsid w:val="00AE0267"/>
    <w:rsid w:val="00AE07DA"/>
    <w:rsid w:val="00AE098E"/>
    <w:rsid w:val="00AE0BA4"/>
    <w:rsid w:val="00AE0BBA"/>
    <w:rsid w:val="00AE1BEC"/>
    <w:rsid w:val="00AE2291"/>
    <w:rsid w:val="00AE25C8"/>
    <w:rsid w:val="00AE2BE9"/>
    <w:rsid w:val="00AE3FB4"/>
    <w:rsid w:val="00AE4003"/>
    <w:rsid w:val="00AE4113"/>
    <w:rsid w:val="00AE4380"/>
    <w:rsid w:val="00AE496D"/>
    <w:rsid w:val="00AE4FAC"/>
    <w:rsid w:val="00AE5525"/>
    <w:rsid w:val="00AE6200"/>
    <w:rsid w:val="00AE6381"/>
    <w:rsid w:val="00AE656F"/>
    <w:rsid w:val="00AE6822"/>
    <w:rsid w:val="00AE68CD"/>
    <w:rsid w:val="00AE761E"/>
    <w:rsid w:val="00AE7D78"/>
    <w:rsid w:val="00AF05EB"/>
    <w:rsid w:val="00AF0B66"/>
    <w:rsid w:val="00AF29C6"/>
    <w:rsid w:val="00AF33A3"/>
    <w:rsid w:val="00AF41F6"/>
    <w:rsid w:val="00AF438E"/>
    <w:rsid w:val="00AF4514"/>
    <w:rsid w:val="00AF45CA"/>
    <w:rsid w:val="00AF5CEE"/>
    <w:rsid w:val="00AF63AE"/>
    <w:rsid w:val="00AF7506"/>
    <w:rsid w:val="00B007DD"/>
    <w:rsid w:val="00B0098A"/>
    <w:rsid w:val="00B00ACB"/>
    <w:rsid w:val="00B01016"/>
    <w:rsid w:val="00B0146E"/>
    <w:rsid w:val="00B02160"/>
    <w:rsid w:val="00B0271A"/>
    <w:rsid w:val="00B027CB"/>
    <w:rsid w:val="00B0352B"/>
    <w:rsid w:val="00B03958"/>
    <w:rsid w:val="00B03EF1"/>
    <w:rsid w:val="00B05A65"/>
    <w:rsid w:val="00B05A87"/>
    <w:rsid w:val="00B06FCE"/>
    <w:rsid w:val="00B073E6"/>
    <w:rsid w:val="00B074F8"/>
    <w:rsid w:val="00B10ED3"/>
    <w:rsid w:val="00B11A3D"/>
    <w:rsid w:val="00B121B0"/>
    <w:rsid w:val="00B13B87"/>
    <w:rsid w:val="00B1574F"/>
    <w:rsid w:val="00B15A0E"/>
    <w:rsid w:val="00B16479"/>
    <w:rsid w:val="00B17FAB"/>
    <w:rsid w:val="00B21BE7"/>
    <w:rsid w:val="00B22C5F"/>
    <w:rsid w:val="00B235F4"/>
    <w:rsid w:val="00B23687"/>
    <w:rsid w:val="00B242A3"/>
    <w:rsid w:val="00B256ED"/>
    <w:rsid w:val="00B25710"/>
    <w:rsid w:val="00B26163"/>
    <w:rsid w:val="00B27B03"/>
    <w:rsid w:val="00B30361"/>
    <w:rsid w:val="00B31379"/>
    <w:rsid w:val="00B31B62"/>
    <w:rsid w:val="00B3208E"/>
    <w:rsid w:val="00B32645"/>
    <w:rsid w:val="00B32E12"/>
    <w:rsid w:val="00B3328B"/>
    <w:rsid w:val="00B33711"/>
    <w:rsid w:val="00B3381C"/>
    <w:rsid w:val="00B34880"/>
    <w:rsid w:val="00B34889"/>
    <w:rsid w:val="00B34F2E"/>
    <w:rsid w:val="00B36A6B"/>
    <w:rsid w:val="00B36E67"/>
    <w:rsid w:val="00B37550"/>
    <w:rsid w:val="00B3779E"/>
    <w:rsid w:val="00B402C6"/>
    <w:rsid w:val="00B404CB"/>
    <w:rsid w:val="00B40A2D"/>
    <w:rsid w:val="00B41DC1"/>
    <w:rsid w:val="00B42F69"/>
    <w:rsid w:val="00B435B4"/>
    <w:rsid w:val="00B44585"/>
    <w:rsid w:val="00B46245"/>
    <w:rsid w:val="00B46EC7"/>
    <w:rsid w:val="00B47D9D"/>
    <w:rsid w:val="00B50A91"/>
    <w:rsid w:val="00B50EC0"/>
    <w:rsid w:val="00B5160B"/>
    <w:rsid w:val="00B51761"/>
    <w:rsid w:val="00B51871"/>
    <w:rsid w:val="00B51C19"/>
    <w:rsid w:val="00B52022"/>
    <w:rsid w:val="00B52187"/>
    <w:rsid w:val="00B54691"/>
    <w:rsid w:val="00B5549F"/>
    <w:rsid w:val="00B56395"/>
    <w:rsid w:val="00B56C4F"/>
    <w:rsid w:val="00B56E16"/>
    <w:rsid w:val="00B60CCD"/>
    <w:rsid w:val="00B620FC"/>
    <w:rsid w:val="00B62854"/>
    <w:rsid w:val="00B62EF1"/>
    <w:rsid w:val="00B63719"/>
    <w:rsid w:val="00B63F2D"/>
    <w:rsid w:val="00B640CC"/>
    <w:rsid w:val="00B645B6"/>
    <w:rsid w:val="00B64B2F"/>
    <w:rsid w:val="00B65AA6"/>
    <w:rsid w:val="00B667BF"/>
    <w:rsid w:val="00B6720F"/>
    <w:rsid w:val="00B674D6"/>
    <w:rsid w:val="00B67692"/>
    <w:rsid w:val="00B6797D"/>
    <w:rsid w:val="00B701BD"/>
    <w:rsid w:val="00B71F13"/>
    <w:rsid w:val="00B7245B"/>
    <w:rsid w:val="00B728CB"/>
    <w:rsid w:val="00B735B8"/>
    <w:rsid w:val="00B73F56"/>
    <w:rsid w:val="00B74793"/>
    <w:rsid w:val="00B74858"/>
    <w:rsid w:val="00B752EB"/>
    <w:rsid w:val="00B7726F"/>
    <w:rsid w:val="00B77BE4"/>
    <w:rsid w:val="00B77F83"/>
    <w:rsid w:val="00B812BE"/>
    <w:rsid w:val="00B813D5"/>
    <w:rsid w:val="00B82563"/>
    <w:rsid w:val="00B8258D"/>
    <w:rsid w:val="00B825B4"/>
    <w:rsid w:val="00B84DDC"/>
    <w:rsid w:val="00B84E7E"/>
    <w:rsid w:val="00B86608"/>
    <w:rsid w:val="00B87703"/>
    <w:rsid w:val="00B87847"/>
    <w:rsid w:val="00B90477"/>
    <w:rsid w:val="00B914A5"/>
    <w:rsid w:val="00B92AA5"/>
    <w:rsid w:val="00B9339C"/>
    <w:rsid w:val="00B93904"/>
    <w:rsid w:val="00B93B93"/>
    <w:rsid w:val="00B94004"/>
    <w:rsid w:val="00B944A3"/>
    <w:rsid w:val="00B948FD"/>
    <w:rsid w:val="00B955FE"/>
    <w:rsid w:val="00B95695"/>
    <w:rsid w:val="00B9590E"/>
    <w:rsid w:val="00B96744"/>
    <w:rsid w:val="00B96E46"/>
    <w:rsid w:val="00BA084C"/>
    <w:rsid w:val="00BA0B9F"/>
    <w:rsid w:val="00BA12BA"/>
    <w:rsid w:val="00BA147C"/>
    <w:rsid w:val="00BA1536"/>
    <w:rsid w:val="00BA2699"/>
    <w:rsid w:val="00BA2F1E"/>
    <w:rsid w:val="00BA3287"/>
    <w:rsid w:val="00BA4FEC"/>
    <w:rsid w:val="00BA5EEA"/>
    <w:rsid w:val="00BA6419"/>
    <w:rsid w:val="00BA6550"/>
    <w:rsid w:val="00BA6577"/>
    <w:rsid w:val="00BA65A9"/>
    <w:rsid w:val="00BA6F78"/>
    <w:rsid w:val="00BB027E"/>
    <w:rsid w:val="00BB118A"/>
    <w:rsid w:val="00BB2C8D"/>
    <w:rsid w:val="00BB308E"/>
    <w:rsid w:val="00BB3642"/>
    <w:rsid w:val="00BB4158"/>
    <w:rsid w:val="00BB4A3B"/>
    <w:rsid w:val="00BB4C03"/>
    <w:rsid w:val="00BB59F6"/>
    <w:rsid w:val="00BB5EF0"/>
    <w:rsid w:val="00BB66AB"/>
    <w:rsid w:val="00BB6EAF"/>
    <w:rsid w:val="00BB7BBA"/>
    <w:rsid w:val="00BB7C75"/>
    <w:rsid w:val="00BB7D26"/>
    <w:rsid w:val="00BC060E"/>
    <w:rsid w:val="00BC09CF"/>
    <w:rsid w:val="00BC0AD6"/>
    <w:rsid w:val="00BC122E"/>
    <w:rsid w:val="00BC21A2"/>
    <w:rsid w:val="00BC2D97"/>
    <w:rsid w:val="00BC3584"/>
    <w:rsid w:val="00BC4314"/>
    <w:rsid w:val="00BC5838"/>
    <w:rsid w:val="00BC6DC2"/>
    <w:rsid w:val="00BC7463"/>
    <w:rsid w:val="00BC78B7"/>
    <w:rsid w:val="00BD0E2E"/>
    <w:rsid w:val="00BD1782"/>
    <w:rsid w:val="00BD23D5"/>
    <w:rsid w:val="00BD4C35"/>
    <w:rsid w:val="00BD5164"/>
    <w:rsid w:val="00BD7A7C"/>
    <w:rsid w:val="00BD7F38"/>
    <w:rsid w:val="00BE07AA"/>
    <w:rsid w:val="00BE0960"/>
    <w:rsid w:val="00BE0D97"/>
    <w:rsid w:val="00BE1305"/>
    <w:rsid w:val="00BE18B9"/>
    <w:rsid w:val="00BE19F0"/>
    <w:rsid w:val="00BE1EC2"/>
    <w:rsid w:val="00BE252C"/>
    <w:rsid w:val="00BE442D"/>
    <w:rsid w:val="00BE4DDA"/>
    <w:rsid w:val="00BE4ED6"/>
    <w:rsid w:val="00BE54F3"/>
    <w:rsid w:val="00BE5F67"/>
    <w:rsid w:val="00BE7287"/>
    <w:rsid w:val="00BE7920"/>
    <w:rsid w:val="00BF1B4D"/>
    <w:rsid w:val="00BF1E46"/>
    <w:rsid w:val="00BF2A3A"/>
    <w:rsid w:val="00BF2CD1"/>
    <w:rsid w:val="00BF33CA"/>
    <w:rsid w:val="00BF4B6A"/>
    <w:rsid w:val="00BF4F8A"/>
    <w:rsid w:val="00BF5135"/>
    <w:rsid w:val="00BF55D1"/>
    <w:rsid w:val="00C00312"/>
    <w:rsid w:val="00C00828"/>
    <w:rsid w:val="00C009F5"/>
    <w:rsid w:val="00C01129"/>
    <w:rsid w:val="00C01DD9"/>
    <w:rsid w:val="00C02239"/>
    <w:rsid w:val="00C022E1"/>
    <w:rsid w:val="00C0398D"/>
    <w:rsid w:val="00C03B97"/>
    <w:rsid w:val="00C03F96"/>
    <w:rsid w:val="00C0504D"/>
    <w:rsid w:val="00C05C3D"/>
    <w:rsid w:val="00C071AC"/>
    <w:rsid w:val="00C0740A"/>
    <w:rsid w:val="00C07436"/>
    <w:rsid w:val="00C07D35"/>
    <w:rsid w:val="00C106E1"/>
    <w:rsid w:val="00C109A2"/>
    <w:rsid w:val="00C11707"/>
    <w:rsid w:val="00C11E4C"/>
    <w:rsid w:val="00C120C8"/>
    <w:rsid w:val="00C124A3"/>
    <w:rsid w:val="00C12FD9"/>
    <w:rsid w:val="00C14954"/>
    <w:rsid w:val="00C14E0C"/>
    <w:rsid w:val="00C15820"/>
    <w:rsid w:val="00C174C1"/>
    <w:rsid w:val="00C179B0"/>
    <w:rsid w:val="00C17E31"/>
    <w:rsid w:val="00C17FD6"/>
    <w:rsid w:val="00C17FEC"/>
    <w:rsid w:val="00C20245"/>
    <w:rsid w:val="00C20CA6"/>
    <w:rsid w:val="00C21AD6"/>
    <w:rsid w:val="00C226F9"/>
    <w:rsid w:val="00C23398"/>
    <w:rsid w:val="00C23B23"/>
    <w:rsid w:val="00C240AC"/>
    <w:rsid w:val="00C2428B"/>
    <w:rsid w:val="00C24886"/>
    <w:rsid w:val="00C24BE7"/>
    <w:rsid w:val="00C25508"/>
    <w:rsid w:val="00C26C22"/>
    <w:rsid w:val="00C2706E"/>
    <w:rsid w:val="00C27292"/>
    <w:rsid w:val="00C27B03"/>
    <w:rsid w:val="00C3021D"/>
    <w:rsid w:val="00C3089B"/>
    <w:rsid w:val="00C32062"/>
    <w:rsid w:val="00C32893"/>
    <w:rsid w:val="00C3325F"/>
    <w:rsid w:val="00C33550"/>
    <w:rsid w:val="00C33B79"/>
    <w:rsid w:val="00C34B40"/>
    <w:rsid w:val="00C3527D"/>
    <w:rsid w:val="00C35836"/>
    <w:rsid w:val="00C40F0F"/>
    <w:rsid w:val="00C40F75"/>
    <w:rsid w:val="00C41B28"/>
    <w:rsid w:val="00C41CD3"/>
    <w:rsid w:val="00C41F19"/>
    <w:rsid w:val="00C43438"/>
    <w:rsid w:val="00C43ED7"/>
    <w:rsid w:val="00C44264"/>
    <w:rsid w:val="00C449C3"/>
    <w:rsid w:val="00C44F2E"/>
    <w:rsid w:val="00C46251"/>
    <w:rsid w:val="00C46412"/>
    <w:rsid w:val="00C4790F"/>
    <w:rsid w:val="00C47FC0"/>
    <w:rsid w:val="00C515B9"/>
    <w:rsid w:val="00C5189F"/>
    <w:rsid w:val="00C51DEE"/>
    <w:rsid w:val="00C522B4"/>
    <w:rsid w:val="00C528CC"/>
    <w:rsid w:val="00C53ABD"/>
    <w:rsid w:val="00C53AD3"/>
    <w:rsid w:val="00C53C94"/>
    <w:rsid w:val="00C54C09"/>
    <w:rsid w:val="00C55C05"/>
    <w:rsid w:val="00C55FED"/>
    <w:rsid w:val="00C56E45"/>
    <w:rsid w:val="00C5757C"/>
    <w:rsid w:val="00C57741"/>
    <w:rsid w:val="00C6074F"/>
    <w:rsid w:val="00C62568"/>
    <w:rsid w:val="00C6296C"/>
    <w:rsid w:val="00C62EB2"/>
    <w:rsid w:val="00C64143"/>
    <w:rsid w:val="00C6434D"/>
    <w:rsid w:val="00C64D3F"/>
    <w:rsid w:val="00C65141"/>
    <w:rsid w:val="00C652C2"/>
    <w:rsid w:val="00C652E5"/>
    <w:rsid w:val="00C65B4E"/>
    <w:rsid w:val="00C665FC"/>
    <w:rsid w:val="00C67446"/>
    <w:rsid w:val="00C6755F"/>
    <w:rsid w:val="00C70962"/>
    <w:rsid w:val="00C71178"/>
    <w:rsid w:val="00C71674"/>
    <w:rsid w:val="00C72B36"/>
    <w:rsid w:val="00C733F7"/>
    <w:rsid w:val="00C75FFA"/>
    <w:rsid w:val="00C7697F"/>
    <w:rsid w:val="00C76D77"/>
    <w:rsid w:val="00C776D6"/>
    <w:rsid w:val="00C77969"/>
    <w:rsid w:val="00C77C40"/>
    <w:rsid w:val="00C8136C"/>
    <w:rsid w:val="00C81B10"/>
    <w:rsid w:val="00C81BB6"/>
    <w:rsid w:val="00C82FAC"/>
    <w:rsid w:val="00C82FFA"/>
    <w:rsid w:val="00C84032"/>
    <w:rsid w:val="00C84A1B"/>
    <w:rsid w:val="00C85521"/>
    <w:rsid w:val="00C856C0"/>
    <w:rsid w:val="00C863EE"/>
    <w:rsid w:val="00C90C06"/>
    <w:rsid w:val="00C90D31"/>
    <w:rsid w:val="00C90F74"/>
    <w:rsid w:val="00C91CCF"/>
    <w:rsid w:val="00C92646"/>
    <w:rsid w:val="00C9284A"/>
    <w:rsid w:val="00C9316A"/>
    <w:rsid w:val="00C93473"/>
    <w:rsid w:val="00C93B5E"/>
    <w:rsid w:val="00C944FA"/>
    <w:rsid w:val="00C947B7"/>
    <w:rsid w:val="00C94975"/>
    <w:rsid w:val="00C94BCC"/>
    <w:rsid w:val="00C95D8D"/>
    <w:rsid w:val="00C97C7F"/>
    <w:rsid w:val="00C97E1B"/>
    <w:rsid w:val="00CA0F92"/>
    <w:rsid w:val="00CA1258"/>
    <w:rsid w:val="00CA2283"/>
    <w:rsid w:val="00CA2AEF"/>
    <w:rsid w:val="00CA2CA3"/>
    <w:rsid w:val="00CA325F"/>
    <w:rsid w:val="00CA33B8"/>
    <w:rsid w:val="00CA466D"/>
    <w:rsid w:val="00CA4DAD"/>
    <w:rsid w:val="00CA6DBE"/>
    <w:rsid w:val="00CA6DD8"/>
    <w:rsid w:val="00CA74C2"/>
    <w:rsid w:val="00CA7562"/>
    <w:rsid w:val="00CA777C"/>
    <w:rsid w:val="00CB0736"/>
    <w:rsid w:val="00CB1582"/>
    <w:rsid w:val="00CB176D"/>
    <w:rsid w:val="00CB1B18"/>
    <w:rsid w:val="00CB22B7"/>
    <w:rsid w:val="00CB31DA"/>
    <w:rsid w:val="00CB5014"/>
    <w:rsid w:val="00CB5032"/>
    <w:rsid w:val="00CB7DF6"/>
    <w:rsid w:val="00CC0332"/>
    <w:rsid w:val="00CC303F"/>
    <w:rsid w:val="00CC3C96"/>
    <w:rsid w:val="00CC41A8"/>
    <w:rsid w:val="00CC7637"/>
    <w:rsid w:val="00CD077C"/>
    <w:rsid w:val="00CD1DBC"/>
    <w:rsid w:val="00CD2C1B"/>
    <w:rsid w:val="00CD2EA4"/>
    <w:rsid w:val="00CD342A"/>
    <w:rsid w:val="00CD3940"/>
    <w:rsid w:val="00CD6BB7"/>
    <w:rsid w:val="00CD7BFE"/>
    <w:rsid w:val="00CD7EB0"/>
    <w:rsid w:val="00CE1B9B"/>
    <w:rsid w:val="00CE2F14"/>
    <w:rsid w:val="00CE45C9"/>
    <w:rsid w:val="00CE48EA"/>
    <w:rsid w:val="00CE492B"/>
    <w:rsid w:val="00CE52B8"/>
    <w:rsid w:val="00CE6A0B"/>
    <w:rsid w:val="00CE7161"/>
    <w:rsid w:val="00CE7BF6"/>
    <w:rsid w:val="00CF0307"/>
    <w:rsid w:val="00CF0950"/>
    <w:rsid w:val="00CF0E5E"/>
    <w:rsid w:val="00CF361E"/>
    <w:rsid w:val="00CF3B07"/>
    <w:rsid w:val="00CF4B2D"/>
    <w:rsid w:val="00CF4C13"/>
    <w:rsid w:val="00CF54E9"/>
    <w:rsid w:val="00CF6087"/>
    <w:rsid w:val="00CF62E0"/>
    <w:rsid w:val="00CF6384"/>
    <w:rsid w:val="00CF6902"/>
    <w:rsid w:val="00CF7CA5"/>
    <w:rsid w:val="00D0037F"/>
    <w:rsid w:val="00D02B8F"/>
    <w:rsid w:val="00D03297"/>
    <w:rsid w:val="00D0401F"/>
    <w:rsid w:val="00D06D14"/>
    <w:rsid w:val="00D06E88"/>
    <w:rsid w:val="00D1016C"/>
    <w:rsid w:val="00D11F90"/>
    <w:rsid w:val="00D13527"/>
    <w:rsid w:val="00D13762"/>
    <w:rsid w:val="00D1386C"/>
    <w:rsid w:val="00D13908"/>
    <w:rsid w:val="00D13CE6"/>
    <w:rsid w:val="00D14CAC"/>
    <w:rsid w:val="00D15A2A"/>
    <w:rsid w:val="00D15E4E"/>
    <w:rsid w:val="00D16079"/>
    <w:rsid w:val="00D16EAB"/>
    <w:rsid w:val="00D17601"/>
    <w:rsid w:val="00D2089E"/>
    <w:rsid w:val="00D209B2"/>
    <w:rsid w:val="00D20D6E"/>
    <w:rsid w:val="00D20FBD"/>
    <w:rsid w:val="00D21300"/>
    <w:rsid w:val="00D22F7B"/>
    <w:rsid w:val="00D230DC"/>
    <w:rsid w:val="00D23AA6"/>
    <w:rsid w:val="00D24EAD"/>
    <w:rsid w:val="00D24F9B"/>
    <w:rsid w:val="00D25AFC"/>
    <w:rsid w:val="00D25B86"/>
    <w:rsid w:val="00D26C9A"/>
    <w:rsid w:val="00D27840"/>
    <w:rsid w:val="00D2786C"/>
    <w:rsid w:val="00D303E8"/>
    <w:rsid w:val="00D31BA6"/>
    <w:rsid w:val="00D32788"/>
    <w:rsid w:val="00D335E1"/>
    <w:rsid w:val="00D3545E"/>
    <w:rsid w:val="00D35FEA"/>
    <w:rsid w:val="00D366E4"/>
    <w:rsid w:val="00D37319"/>
    <w:rsid w:val="00D37E3F"/>
    <w:rsid w:val="00D4161B"/>
    <w:rsid w:val="00D423AC"/>
    <w:rsid w:val="00D44004"/>
    <w:rsid w:val="00D44363"/>
    <w:rsid w:val="00D446F3"/>
    <w:rsid w:val="00D44B15"/>
    <w:rsid w:val="00D44DC6"/>
    <w:rsid w:val="00D4704D"/>
    <w:rsid w:val="00D476EA"/>
    <w:rsid w:val="00D514E5"/>
    <w:rsid w:val="00D52A4C"/>
    <w:rsid w:val="00D53589"/>
    <w:rsid w:val="00D539D5"/>
    <w:rsid w:val="00D544D5"/>
    <w:rsid w:val="00D54882"/>
    <w:rsid w:val="00D55086"/>
    <w:rsid w:val="00D576E9"/>
    <w:rsid w:val="00D57897"/>
    <w:rsid w:val="00D57942"/>
    <w:rsid w:val="00D60129"/>
    <w:rsid w:val="00D6025A"/>
    <w:rsid w:val="00D602DE"/>
    <w:rsid w:val="00D606A7"/>
    <w:rsid w:val="00D6096A"/>
    <w:rsid w:val="00D60ABE"/>
    <w:rsid w:val="00D60CE5"/>
    <w:rsid w:val="00D61811"/>
    <w:rsid w:val="00D625D9"/>
    <w:rsid w:val="00D63D7B"/>
    <w:rsid w:val="00D63F9F"/>
    <w:rsid w:val="00D646D3"/>
    <w:rsid w:val="00D648C2"/>
    <w:rsid w:val="00D64C18"/>
    <w:rsid w:val="00D6509E"/>
    <w:rsid w:val="00D660B7"/>
    <w:rsid w:val="00D662F2"/>
    <w:rsid w:val="00D665F1"/>
    <w:rsid w:val="00D6662F"/>
    <w:rsid w:val="00D668AA"/>
    <w:rsid w:val="00D66AC0"/>
    <w:rsid w:val="00D6711E"/>
    <w:rsid w:val="00D67C0E"/>
    <w:rsid w:val="00D7069B"/>
    <w:rsid w:val="00D730D4"/>
    <w:rsid w:val="00D73B08"/>
    <w:rsid w:val="00D75852"/>
    <w:rsid w:val="00D76773"/>
    <w:rsid w:val="00D7782A"/>
    <w:rsid w:val="00D779FF"/>
    <w:rsid w:val="00D80127"/>
    <w:rsid w:val="00D804E2"/>
    <w:rsid w:val="00D805D1"/>
    <w:rsid w:val="00D8094D"/>
    <w:rsid w:val="00D81FB3"/>
    <w:rsid w:val="00D82FD7"/>
    <w:rsid w:val="00D83370"/>
    <w:rsid w:val="00D84FA6"/>
    <w:rsid w:val="00D85C5F"/>
    <w:rsid w:val="00D85ECC"/>
    <w:rsid w:val="00D864C7"/>
    <w:rsid w:val="00D8659E"/>
    <w:rsid w:val="00D86EB7"/>
    <w:rsid w:val="00D86FE9"/>
    <w:rsid w:val="00D90732"/>
    <w:rsid w:val="00D91464"/>
    <w:rsid w:val="00D91A38"/>
    <w:rsid w:val="00D91E9F"/>
    <w:rsid w:val="00D92025"/>
    <w:rsid w:val="00D9204D"/>
    <w:rsid w:val="00D92238"/>
    <w:rsid w:val="00D929FE"/>
    <w:rsid w:val="00D92B5E"/>
    <w:rsid w:val="00D92F0B"/>
    <w:rsid w:val="00D931CB"/>
    <w:rsid w:val="00D93388"/>
    <w:rsid w:val="00D93426"/>
    <w:rsid w:val="00D93CFF"/>
    <w:rsid w:val="00D94BBC"/>
    <w:rsid w:val="00D95457"/>
    <w:rsid w:val="00D9657E"/>
    <w:rsid w:val="00D975B5"/>
    <w:rsid w:val="00D978FC"/>
    <w:rsid w:val="00D97A7B"/>
    <w:rsid w:val="00D97C2B"/>
    <w:rsid w:val="00DA020F"/>
    <w:rsid w:val="00DA0655"/>
    <w:rsid w:val="00DA1259"/>
    <w:rsid w:val="00DA1AAD"/>
    <w:rsid w:val="00DA1E08"/>
    <w:rsid w:val="00DA4A52"/>
    <w:rsid w:val="00DA4FBC"/>
    <w:rsid w:val="00DA57E3"/>
    <w:rsid w:val="00DA5D16"/>
    <w:rsid w:val="00DA61B9"/>
    <w:rsid w:val="00DA6856"/>
    <w:rsid w:val="00DA7457"/>
    <w:rsid w:val="00DB0B92"/>
    <w:rsid w:val="00DB1083"/>
    <w:rsid w:val="00DB112F"/>
    <w:rsid w:val="00DB1B31"/>
    <w:rsid w:val="00DB2995"/>
    <w:rsid w:val="00DB2ED0"/>
    <w:rsid w:val="00DB38F0"/>
    <w:rsid w:val="00DB3C14"/>
    <w:rsid w:val="00DB3EE8"/>
    <w:rsid w:val="00DB4701"/>
    <w:rsid w:val="00DB4E76"/>
    <w:rsid w:val="00DB51A4"/>
    <w:rsid w:val="00DB538F"/>
    <w:rsid w:val="00DB59C0"/>
    <w:rsid w:val="00DB61F1"/>
    <w:rsid w:val="00DB6DA2"/>
    <w:rsid w:val="00DC0146"/>
    <w:rsid w:val="00DC03EE"/>
    <w:rsid w:val="00DC0BF8"/>
    <w:rsid w:val="00DC36B8"/>
    <w:rsid w:val="00DC53F2"/>
    <w:rsid w:val="00DC5C66"/>
    <w:rsid w:val="00DC6B01"/>
    <w:rsid w:val="00DC7797"/>
    <w:rsid w:val="00DC79D9"/>
    <w:rsid w:val="00DC7E53"/>
    <w:rsid w:val="00DD05FE"/>
    <w:rsid w:val="00DD078A"/>
    <w:rsid w:val="00DD093A"/>
    <w:rsid w:val="00DD16E1"/>
    <w:rsid w:val="00DD1737"/>
    <w:rsid w:val="00DD258D"/>
    <w:rsid w:val="00DD2A2E"/>
    <w:rsid w:val="00DD34E1"/>
    <w:rsid w:val="00DD42E5"/>
    <w:rsid w:val="00DD45E7"/>
    <w:rsid w:val="00DD591C"/>
    <w:rsid w:val="00DD71F6"/>
    <w:rsid w:val="00DD7667"/>
    <w:rsid w:val="00DD777C"/>
    <w:rsid w:val="00DE0D2F"/>
    <w:rsid w:val="00DE0D75"/>
    <w:rsid w:val="00DE19EB"/>
    <w:rsid w:val="00DE298A"/>
    <w:rsid w:val="00DE5B0F"/>
    <w:rsid w:val="00DE6CCE"/>
    <w:rsid w:val="00DE7635"/>
    <w:rsid w:val="00DF0FE3"/>
    <w:rsid w:val="00DF25D8"/>
    <w:rsid w:val="00DF2CB1"/>
    <w:rsid w:val="00DF3700"/>
    <w:rsid w:val="00DF4130"/>
    <w:rsid w:val="00DF48A5"/>
    <w:rsid w:val="00DF563B"/>
    <w:rsid w:val="00DF5D21"/>
    <w:rsid w:val="00DF69F9"/>
    <w:rsid w:val="00DF6B8B"/>
    <w:rsid w:val="00E010DC"/>
    <w:rsid w:val="00E01771"/>
    <w:rsid w:val="00E02446"/>
    <w:rsid w:val="00E02579"/>
    <w:rsid w:val="00E02813"/>
    <w:rsid w:val="00E02B50"/>
    <w:rsid w:val="00E036D3"/>
    <w:rsid w:val="00E03E9C"/>
    <w:rsid w:val="00E04A17"/>
    <w:rsid w:val="00E04B00"/>
    <w:rsid w:val="00E04B3F"/>
    <w:rsid w:val="00E04F7F"/>
    <w:rsid w:val="00E060C1"/>
    <w:rsid w:val="00E06B1E"/>
    <w:rsid w:val="00E07787"/>
    <w:rsid w:val="00E105B0"/>
    <w:rsid w:val="00E10AAF"/>
    <w:rsid w:val="00E11D49"/>
    <w:rsid w:val="00E128B9"/>
    <w:rsid w:val="00E1358F"/>
    <w:rsid w:val="00E13DDA"/>
    <w:rsid w:val="00E14182"/>
    <w:rsid w:val="00E147D5"/>
    <w:rsid w:val="00E14C0E"/>
    <w:rsid w:val="00E156FC"/>
    <w:rsid w:val="00E16642"/>
    <w:rsid w:val="00E1787C"/>
    <w:rsid w:val="00E17C74"/>
    <w:rsid w:val="00E17DA1"/>
    <w:rsid w:val="00E20026"/>
    <w:rsid w:val="00E20B9F"/>
    <w:rsid w:val="00E2249E"/>
    <w:rsid w:val="00E22B76"/>
    <w:rsid w:val="00E234F1"/>
    <w:rsid w:val="00E23761"/>
    <w:rsid w:val="00E241ED"/>
    <w:rsid w:val="00E247F9"/>
    <w:rsid w:val="00E24A86"/>
    <w:rsid w:val="00E24E3A"/>
    <w:rsid w:val="00E25AF8"/>
    <w:rsid w:val="00E26C55"/>
    <w:rsid w:val="00E26F6C"/>
    <w:rsid w:val="00E303A7"/>
    <w:rsid w:val="00E30517"/>
    <w:rsid w:val="00E318B8"/>
    <w:rsid w:val="00E31BD0"/>
    <w:rsid w:val="00E338AB"/>
    <w:rsid w:val="00E33A4B"/>
    <w:rsid w:val="00E33D13"/>
    <w:rsid w:val="00E34CA3"/>
    <w:rsid w:val="00E3556F"/>
    <w:rsid w:val="00E35C4A"/>
    <w:rsid w:val="00E365BA"/>
    <w:rsid w:val="00E3785C"/>
    <w:rsid w:val="00E37A0F"/>
    <w:rsid w:val="00E37C42"/>
    <w:rsid w:val="00E37DA6"/>
    <w:rsid w:val="00E37FE3"/>
    <w:rsid w:val="00E40EB7"/>
    <w:rsid w:val="00E419D7"/>
    <w:rsid w:val="00E43AAA"/>
    <w:rsid w:val="00E448DC"/>
    <w:rsid w:val="00E44C62"/>
    <w:rsid w:val="00E4540F"/>
    <w:rsid w:val="00E45C63"/>
    <w:rsid w:val="00E4660E"/>
    <w:rsid w:val="00E46C4E"/>
    <w:rsid w:val="00E46DD4"/>
    <w:rsid w:val="00E50D00"/>
    <w:rsid w:val="00E5387C"/>
    <w:rsid w:val="00E53E44"/>
    <w:rsid w:val="00E54094"/>
    <w:rsid w:val="00E54D54"/>
    <w:rsid w:val="00E54EF2"/>
    <w:rsid w:val="00E55476"/>
    <w:rsid w:val="00E55EA8"/>
    <w:rsid w:val="00E56707"/>
    <w:rsid w:val="00E57155"/>
    <w:rsid w:val="00E574AF"/>
    <w:rsid w:val="00E60DC5"/>
    <w:rsid w:val="00E61093"/>
    <w:rsid w:val="00E61EB0"/>
    <w:rsid w:val="00E63559"/>
    <w:rsid w:val="00E65602"/>
    <w:rsid w:val="00E65A9D"/>
    <w:rsid w:val="00E66647"/>
    <w:rsid w:val="00E66A8A"/>
    <w:rsid w:val="00E67180"/>
    <w:rsid w:val="00E674D2"/>
    <w:rsid w:val="00E676E2"/>
    <w:rsid w:val="00E706D5"/>
    <w:rsid w:val="00E70AD5"/>
    <w:rsid w:val="00E73130"/>
    <w:rsid w:val="00E73556"/>
    <w:rsid w:val="00E74FA5"/>
    <w:rsid w:val="00E756A8"/>
    <w:rsid w:val="00E76032"/>
    <w:rsid w:val="00E768F2"/>
    <w:rsid w:val="00E777CA"/>
    <w:rsid w:val="00E77AC4"/>
    <w:rsid w:val="00E77E9E"/>
    <w:rsid w:val="00E806D8"/>
    <w:rsid w:val="00E808C9"/>
    <w:rsid w:val="00E81DED"/>
    <w:rsid w:val="00E82093"/>
    <w:rsid w:val="00E82316"/>
    <w:rsid w:val="00E825B3"/>
    <w:rsid w:val="00E83730"/>
    <w:rsid w:val="00E849DE"/>
    <w:rsid w:val="00E85948"/>
    <w:rsid w:val="00E86536"/>
    <w:rsid w:val="00E86B09"/>
    <w:rsid w:val="00E8750F"/>
    <w:rsid w:val="00E91152"/>
    <w:rsid w:val="00E9167E"/>
    <w:rsid w:val="00E922A4"/>
    <w:rsid w:val="00E925AA"/>
    <w:rsid w:val="00E925CE"/>
    <w:rsid w:val="00E92B8B"/>
    <w:rsid w:val="00E93F3F"/>
    <w:rsid w:val="00E967CB"/>
    <w:rsid w:val="00E96A89"/>
    <w:rsid w:val="00E97043"/>
    <w:rsid w:val="00EA05D9"/>
    <w:rsid w:val="00EA1104"/>
    <w:rsid w:val="00EA1206"/>
    <w:rsid w:val="00EA297F"/>
    <w:rsid w:val="00EA2CAE"/>
    <w:rsid w:val="00EA5257"/>
    <w:rsid w:val="00EA59B6"/>
    <w:rsid w:val="00EA5B5F"/>
    <w:rsid w:val="00EA5C4E"/>
    <w:rsid w:val="00EA7095"/>
    <w:rsid w:val="00EA7415"/>
    <w:rsid w:val="00EA75A3"/>
    <w:rsid w:val="00EB0433"/>
    <w:rsid w:val="00EB0D10"/>
    <w:rsid w:val="00EB1B8B"/>
    <w:rsid w:val="00EB1CF5"/>
    <w:rsid w:val="00EB24EC"/>
    <w:rsid w:val="00EB3C54"/>
    <w:rsid w:val="00EB3F6F"/>
    <w:rsid w:val="00EB42E1"/>
    <w:rsid w:val="00EB47B3"/>
    <w:rsid w:val="00EB4951"/>
    <w:rsid w:val="00EB53D1"/>
    <w:rsid w:val="00EB577C"/>
    <w:rsid w:val="00EB595B"/>
    <w:rsid w:val="00EB644A"/>
    <w:rsid w:val="00EB784F"/>
    <w:rsid w:val="00EB7856"/>
    <w:rsid w:val="00EB7B73"/>
    <w:rsid w:val="00EC098E"/>
    <w:rsid w:val="00EC0BCB"/>
    <w:rsid w:val="00EC0E71"/>
    <w:rsid w:val="00EC1199"/>
    <w:rsid w:val="00EC1930"/>
    <w:rsid w:val="00EC3052"/>
    <w:rsid w:val="00EC38A8"/>
    <w:rsid w:val="00EC5B61"/>
    <w:rsid w:val="00ED0007"/>
    <w:rsid w:val="00ED0664"/>
    <w:rsid w:val="00ED233D"/>
    <w:rsid w:val="00ED2B1B"/>
    <w:rsid w:val="00ED37FA"/>
    <w:rsid w:val="00ED4A4F"/>
    <w:rsid w:val="00ED613A"/>
    <w:rsid w:val="00ED6CFA"/>
    <w:rsid w:val="00ED6D53"/>
    <w:rsid w:val="00ED789A"/>
    <w:rsid w:val="00EE00A7"/>
    <w:rsid w:val="00EE08AC"/>
    <w:rsid w:val="00EE1855"/>
    <w:rsid w:val="00EE1E1F"/>
    <w:rsid w:val="00EE22D8"/>
    <w:rsid w:val="00EE2A4B"/>
    <w:rsid w:val="00EE2B68"/>
    <w:rsid w:val="00EE359F"/>
    <w:rsid w:val="00EE3733"/>
    <w:rsid w:val="00EE395E"/>
    <w:rsid w:val="00EE3EEF"/>
    <w:rsid w:val="00EE5B87"/>
    <w:rsid w:val="00EE5F3F"/>
    <w:rsid w:val="00EE6B02"/>
    <w:rsid w:val="00EE6D70"/>
    <w:rsid w:val="00EE79A4"/>
    <w:rsid w:val="00EE79D9"/>
    <w:rsid w:val="00EF1386"/>
    <w:rsid w:val="00EF2491"/>
    <w:rsid w:val="00EF256B"/>
    <w:rsid w:val="00EF42AC"/>
    <w:rsid w:val="00EF463D"/>
    <w:rsid w:val="00EF5277"/>
    <w:rsid w:val="00EF5CAD"/>
    <w:rsid w:val="00EF611F"/>
    <w:rsid w:val="00EF76E1"/>
    <w:rsid w:val="00F013BA"/>
    <w:rsid w:val="00F01911"/>
    <w:rsid w:val="00F026C3"/>
    <w:rsid w:val="00F028CE"/>
    <w:rsid w:val="00F029AF"/>
    <w:rsid w:val="00F02FBB"/>
    <w:rsid w:val="00F03586"/>
    <w:rsid w:val="00F0366A"/>
    <w:rsid w:val="00F03F6D"/>
    <w:rsid w:val="00F04099"/>
    <w:rsid w:val="00F05B66"/>
    <w:rsid w:val="00F067DF"/>
    <w:rsid w:val="00F072EF"/>
    <w:rsid w:val="00F1030E"/>
    <w:rsid w:val="00F10925"/>
    <w:rsid w:val="00F10A5C"/>
    <w:rsid w:val="00F12F6C"/>
    <w:rsid w:val="00F1313C"/>
    <w:rsid w:val="00F1388F"/>
    <w:rsid w:val="00F13DAE"/>
    <w:rsid w:val="00F14547"/>
    <w:rsid w:val="00F157D8"/>
    <w:rsid w:val="00F15B9C"/>
    <w:rsid w:val="00F165AA"/>
    <w:rsid w:val="00F16A9A"/>
    <w:rsid w:val="00F201AD"/>
    <w:rsid w:val="00F2147B"/>
    <w:rsid w:val="00F21481"/>
    <w:rsid w:val="00F21B21"/>
    <w:rsid w:val="00F222BB"/>
    <w:rsid w:val="00F22DB3"/>
    <w:rsid w:val="00F22F2F"/>
    <w:rsid w:val="00F2491A"/>
    <w:rsid w:val="00F24EF6"/>
    <w:rsid w:val="00F254E4"/>
    <w:rsid w:val="00F26AAB"/>
    <w:rsid w:val="00F26F5D"/>
    <w:rsid w:val="00F3381E"/>
    <w:rsid w:val="00F346F8"/>
    <w:rsid w:val="00F34C2E"/>
    <w:rsid w:val="00F34C92"/>
    <w:rsid w:val="00F34FBD"/>
    <w:rsid w:val="00F35391"/>
    <w:rsid w:val="00F35D19"/>
    <w:rsid w:val="00F377AE"/>
    <w:rsid w:val="00F379DF"/>
    <w:rsid w:val="00F41027"/>
    <w:rsid w:val="00F41269"/>
    <w:rsid w:val="00F4127E"/>
    <w:rsid w:val="00F41319"/>
    <w:rsid w:val="00F4385F"/>
    <w:rsid w:val="00F44B13"/>
    <w:rsid w:val="00F45BE7"/>
    <w:rsid w:val="00F45E6D"/>
    <w:rsid w:val="00F45F37"/>
    <w:rsid w:val="00F463D7"/>
    <w:rsid w:val="00F47836"/>
    <w:rsid w:val="00F50163"/>
    <w:rsid w:val="00F510E2"/>
    <w:rsid w:val="00F515F1"/>
    <w:rsid w:val="00F51E28"/>
    <w:rsid w:val="00F52018"/>
    <w:rsid w:val="00F5273A"/>
    <w:rsid w:val="00F52D6B"/>
    <w:rsid w:val="00F52E18"/>
    <w:rsid w:val="00F535E2"/>
    <w:rsid w:val="00F54516"/>
    <w:rsid w:val="00F546FB"/>
    <w:rsid w:val="00F54B1E"/>
    <w:rsid w:val="00F55335"/>
    <w:rsid w:val="00F55926"/>
    <w:rsid w:val="00F55CF7"/>
    <w:rsid w:val="00F56210"/>
    <w:rsid w:val="00F5707C"/>
    <w:rsid w:val="00F574BC"/>
    <w:rsid w:val="00F57D1C"/>
    <w:rsid w:val="00F6077A"/>
    <w:rsid w:val="00F6086A"/>
    <w:rsid w:val="00F6169B"/>
    <w:rsid w:val="00F61A68"/>
    <w:rsid w:val="00F61F07"/>
    <w:rsid w:val="00F62824"/>
    <w:rsid w:val="00F62952"/>
    <w:rsid w:val="00F62D0B"/>
    <w:rsid w:val="00F62D7C"/>
    <w:rsid w:val="00F634C8"/>
    <w:rsid w:val="00F63E81"/>
    <w:rsid w:val="00F64AE3"/>
    <w:rsid w:val="00F65C9B"/>
    <w:rsid w:val="00F66B8E"/>
    <w:rsid w:val="00F67032"/>
    <w:rsid w:val="00F67155"/>
    <w:rsid w:val="00F67A8E"/>
    <w:rsid w:val="00F70576"/>
    <w:rsid w:val="00F7058F"/>
    <w:rsid w:val="00F70B41"/>
    <w:rsid w:val="00F70D21"/>
    <w:rsid w:val="00F70E11"/>
    <w:rsid w:val="00F70FEF"/>
    <w:rsid w:val="00F71F93"/>
    <w:rsid w:val="00F72255"/>
    <w:rsid w:val="00F725F7"/>
    <w:rsid w:val="00F7299D"/>
    <w:rsid w:val="00F736B2"/>
    <w:rsid w:val="00F73F06"/>
    <w:rsid w:val="00F74F3A"/>
    <w:rsid w:val="00F755FC"/>
    <w:rsid w:val="00F75C02"/>
    <w:rsid w:val="00F75C11"/>
    <w:rsid w:val="00F75F1F"/>
    <w:rsid w:val="00F76286"/>
    <w:rsid w:val="00F77ECB"/>
    <w:rsid w:val="00F80519"/>
    <w:rsid w:val="00F80602"/>
    <w:rsid w:val="00F81936"/>
    <w:rsid w:val="00F81BF8"/>
    <w:rsid w:val="00F81E47"/>
    <w:rsid w:val="00F82247"/>
    <w:rsid w:val="00F824EF"/>
    <w:rsid w:val="00F84408"/>
    <w:rsid w:val="00F848D2"/>
    <w:rsid w:val="00F86474"/>
    <w:rsid w:val="00F868B4"/>
    <w:rsid w:val="00F86D2E"/>
    <w:rsid w:val="00F8730A"/>
    <w:rsid w:val="00F87AEB"/>
    <w:rsid w:val="00F87E9F"/>
    <w:rsid w:val="00F87F4E"/>
    <w:rsid w:val="00F9016F"/>
    <w:rsid w:val="00F90601"/>
    <w:rsid w:val="00F90BC8"/>
    <w:rsid w:val="00F90C50"/>
    <w:rsid w:val="00F91A10"/>
    <w:rsid w:val="00F92882"/>
    <w:rsid w:val="00F92EF6"/>
    <w:rsid w:val="00F93703"/>
    <w:rsid w:val="00F938EE"/>
    <w:rsid w:val="00F94B00"/>
    <w:rsid w:val="00F94C09"/>
    <w:rsid w:val="00F962FE"/>
    <w:rsid w:val="00F97231"/>
    <w:rsid w:val="00F9729F"/>
    <w:rsid w:val="00F97548"/>
    <w:rsid w:val="00F97EBC"/>
    <w:rsid w:val="00FA0F55"/>
    <w:rsid w:val="00FA3452"/>
    <w:rsid w:val="00FA3DAC"/>
    <w:rsid w:val="00FA5EA3"/>
    <w:rsid w:val="00FA6311"/>
    <w:rsid w:val="00FA78FD"/>
    <w:rsid w:val="00FB11BE"/>
    <w:rsid w:val="00FB1357"/>
    <w:rsid w:val="00FB168E"/>
    <w:rsid w:val="00FB1799"/>
    <w:rsid w:val="00FB1B56"/>
    <w:rsid w:val="00FB1B6F"/>
    <w:rsid w:val="00FB251E"/>
    <w:rsid w:val="00FB2548"/>
    <w:rsid w:val="00FB27F1"/>
    <w:rsid w:val="00FB2A7B"/>
    <w:rsid w:val="00FB2E6F"/>
    <w:rsid w:val="00FB31DF"/>
    <w:rsid w:val="00FB3CDF"/>
    <w:rsid w:val="00FB4C6F"/>
    <w:rsid w:val="00FB705A"/>
    <w:rsid w:val="00FC00C0"/>
    <w:rsid w:val="00FC0993"/>
    <w:rsid w:val="00FC0AB6"/>
    <w:rsid w:val="00FC50E5"/>
    <w:rsid w:val="00FC5E76"/>
    <w:rsid w:val="00FC69CF"/>
    <w:rsid w:val="00FC7214"/>
    <w:rsid w:val="00FC7FB3"/>
    <w:rsid w:val="00FD058F"/>
    <w:rsid w:val="00FD0B70"/>
    <w:rsid w:val="00FD11B8"/>
    <w:rsid w:val="00FD1440"/>
    <w:rsid w:val="00FD1489"/>
    <w:rsid w:val="00FD17D7"/>
    <w:rsid w:val="00FD2842"/>
    <w:rsid w:val="00FD2DA9"/>
    <w:rsid w:val="00FD2F05"/>
    <w:rsid w:val="00FD35FA"/>
    <w:rsid w:val="00FD4FAB"/>
    <w:rsid w:val="00FD59F1"/>
    <w:rsid w:val="00FD66A4"/>
    <w:rsid w:val="00FD6FE2"/>
    <w:rsid w:val="00FD74CB"/>
    <w:rsid w:val="00FD7543"/>
    <w:rsid w:val="00FD7BF5"/>
    <w:rsid w:val="00FD7F25"/>
    <w:rsid w:val="00FE09BB"/>
    <w:rsid w:val="00FE0EF1"/>
    <w:rsid w:val="00FE184A"/>
    <w:rsid w:val="00FE185C"/>
    <w:rsid w:val="00FE3C5F"/>
    <w:rsid w:val="00FE401B"/>
    <w:rsid w:val="00FE4705"/>
    <w:rsid w:val="00FE50A5"/>
    <w:rsid w:val="00FE557C"/>
    <w:rsid w:val="00FE56AE"/>
    <w:rsid w:val="00FE6789"/>
    <w:rsid w:val="00FE7A63"/>
    <w:rsid w:val="00FF0397"/>
    <w:rsid w:val="00FF03DF"/>
    <w:rsid w:val="00FF099C"/>
    <w:rsid w:val="00FF0E85"/>
    <w:rsid w:val="00FF1248"/>
    <w:rsid w:val="00FF202F"/>
    <w:rsid w:val="00FF4C3A"/>
    <w:rsid w:val="00FF5232"/>
    <w:rsid w:val="00FF5B8A"/>
    <w:rsid w:val="00FF62F4"/>
    <w:rsid w:val="00FF6519"/>
    <w:rsid w:val="00FF79E2"/>
  </w:rsids>
  <m:mathPr>
    <m:mathFont m:val="Cambria Math"/>
    <m:brkBin m:val="before"/>
    <m:brkBinSub m:val="--"/>
    <m:smallFrac m:val="0"/>
    <m:dispDef/>
    <m:lMargin m:val="0"/>
    <m:rMargin m:val="0"/>
    <m:defJc m:val="centerGroup"/>
    <m:wrapIndent m:val="1440"/>
    <m:intLim m:val="subSup"/>
    <m:naryLim m:val="undOvr"/>
  </m:mathPr>
  <w:themeFontLang w:val="de-DE"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4C00D"/>
  <w15:docId w15:val="{8C62DB80-8301-46E9-BB67-321B93A5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89E"/>
    <w:pPr>
      <w:tabs>
        <w:tab w:val="left" w:pos="567"/>
      </w:tabs>
      <w:spacing w:line="260" w:lineRule="exact"/>
    </w:pPr>
    <w:rPr>
      <w:rFonts w:eastAsia="Times New Roman"/>
      <w:sz w:val="22"/>
      <w:lang w:val="en-GB" w:eastAsia="en-US"/>
    </w:rPr>
  </w:style>
  <w:style w:type="paragraph" w:styleId="Heading1">
    <w:name w:val="heading 1"/>
    <w:basedOn w:val="Normal"/>
    <w:next w:val="Normal"/>
    <w:link w:val="Heading1Char"/>
    <w:qFormat/>
    <w:rsid w:val="00C65B4E"/>
    <w:pPr>
      <w:spacing w:line="240" w:lineRule="auto"/>
      <w:jc w:val="center"/>
      <w:outlineLvl w:val="0"/>
    </w:pPr>
    <w:rPr>
      <w:b/>
    </w:rPr>
  </w:style>
  <w:style w:type="paragraph" w:styleId="Heading2">
    <w:name w:val="heading 2"/>
    <w:basedOn w:val="Normal"/>
    <w:next w:val="Normal"/>
    <w:link w:val="Heading2Char"/>
    <w:unhideWhenUsed/>
    <w:qFormat/>
    <w:rsid w:val="0073289E"/>
    <w:pPr>
      <w:spacing w:line="240" w:lineRule="auto"/>
      <w:outlineLvl w:val="1"/>
    </w:pPr>
    <w:rPr>
      <w:b/>
    </w:rPr>
  </w:style>
  <w:style w:type="paragraph" w:styleId="Heading3">
    <w:name w:val="heading 3"/>
    <w:basedOn w:val="Normal"/>
    <w:next w:val="Normal"/>
    <w:link w:val="Heading3Char"/>
    <w:unhideWhenUsed/>
    <w:qFormat/>
    <w:rsid w:val="0073289E"/>
    <w:pPr>
      <w:spacing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rPr>
  </w:style>
  <w:style w:type="paragraph" w:styleId="CommentText">
    <w:name w:val="annotation text"/>
    <w:aliases w:val="Comment Text Char Char Char,Comment Text Char1,Comment Text Char1 Char"/>
    <w:basedOn w:val="Normal"/>
    <w:link w:val="CommentTextChar"/>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ahoma" w:hAnsi="Tahom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Comment Text Char Char Char Char,Comment Text Char1 Char1,Comment Text Char1 Char Char"/>
    <w:link w:val="CommentTex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val="en-GB" w:eastAsia="en-US"/>
    </w:rPr>
  </w:style>
  <w:style w:type="paragraph" w:customStyle="1" w:styleId="Default">
    <w:name w:val="Default"/>
    <w:rsid w:val="002B71B3"/>
    <w:pPr>
      <w:autoSpaceDE w:val="0"/>
      <w:autoSpaceDN w:val="0"/>
      <w:adjustRightInd w:val="0"/>
    </w:pPr>
    <w:rPr>
      <w:color w:val="000000"/>
      <w:sz w:val="24"/>
      <w:szCs w:val="24"/>
    </w:rPr>
  </w:style>
  <w:style w:type="paragraph" w:styleId="ListParagraph">
    <w:name w:val="List Paragraph"/>
    <w:basedOn w:val="Normal"/>
    <w:uiPriority w:val="34"/>
    <w:qFormat/>
    <w:rsid w:val="00514493"/>
    <w:pPr>
      <w:ind w:left="720"/>
      <w:contextualSpacing/>
    </w:pPr>
  </w:style>
  <w:style w:type="character" w:styleId="FollowedHyperlink">
    <w:name w:val="FollowedHyperlink"/>
    <w:basedOn w:val="DefaultParagraphFont"/>
    <w:rsid w:val="006A1B00"/>
    <w:rPr>
      <w:color w:val="800080" w:themeColor="followedHyperlink"/>
      <w:u w:val="single"/>
    </w:rPr>
  </w:style>
  <w:style w:type="table" w:styleId="TableGrid">
    <w:name w:val="Table Grid"/>
    <w:basedOn w:val="TableNormal"/>
    <w:uiPriority w:val="59"/>
    <w:rsid w:val="003D2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rsid w:val="005D776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65B4E"/>
    <w:rPr>
      <w:rFonts w:eastAsia="Times New Roman"/>
      <w:b/>
      <w:sz w:val="22"/>
      <w:lang w:val="en-GB" w:eastAsia="en-US"/>
    </w:rPr>
  </w:style>
  <w:style w:type="character" w:customStyle="1" w:styleId="Heading2Char">
    <w:name w:val="Heading 2 Char"/>
    <w:basedOn w:val="DefaultParagraphFont"/>
    <w:link w:val="Heading2"/>
    <w:rsid w:val="0073289E"/>
    <w:rPr>
      <w:rFonts w:eastAsia="Times New Roman"/>
      <w:b/>
      <w:sz w:val="22"/>
      <w:lang w:val="en-GB" w:eastAsia="en-US"/>
    </w:rPr>
  </w:style>
  <w:style w:type="character" w:customStyle="1" w:styleId="BodyTextChar">
    <w:name w:val="Body Text Char"/>
    <w:basedOn w:val="DefaultParagraphFont"/>
    <w:link w:val="BodyText"/>
    <w:rsid w:val="0073289E"/>
    <w:rPr>
      <w:rFonts w:eastAsia="Times New Roman"/>
      <w:i/>
      <w:color w:val="008000"/>
      <w:sz w:val="22"/>
      <w:lang w:val="en-GB" w:eastAsia="en-US"/>
    </w:rPr>
  </w:style>
  <w:style w:type="character" w:customStyle="1" w:styleId="Heading3Char">
    <w:name w:val="Heading 3 Char"/>
    <w:basedOn w:val="DefaultParagraphFont"/>
    <w:link w:val="Heading3"/>
    <w:rsid w:val="0073289E"/>
    <w:rPr>
      <w:rFonts w:eastAsia="Times New Roman"/>
      <w:b/>
      <w:sz w:val="22"/>
      <w:lang w:val="en-GB" w:eastAsia="en-US"/>
    </w:rPr>
  </w:style>
  <w:style w:type="paragraph" w:customStyle="1" w:styleId="Title1">
    <w:name w:val="Title 1"/>
    <w:basedOn w:val="Heading1"/>
    <w:link w:val="Title1Zchn"/>
    <w:qFormat/>
    <w:rsid w:val="00651475"/>
    <w:rPr>
      <w:noProof/>
      <w:szCs w:val="22"/>
    </w:rPr>
  </w:style>
  <w:style w:type="paragraph" w:customStyle="1" w:styleId="Title2">
    <w:name w:val="Title2"/>
    <w:basedOn w:val="Normal"/>
    <w:link w:val="Title2Zchn"/>
    <w:qFormat/>
    <w:rsid w:val="00651475"/>
    <w:pPr>
      <w:keepNext/>
      <w:widowControl w:val="0"/>
      <w:autoSpaceDE w:val="0"/>
      <w:autoSpaceDN w:val="0"/>
      <w:adjustRightInd w:val="0"/>
      <w:spacing w:line="240" w:lineRule="auto"/>
      <w:ind w:left="567" w:right="120" w:hanging="567"/>
    </w:pPr>
    <w:rPr>
      <w:rFonts w:cs="Verdana"/>
      <w:b/>
      <w:bCs/>
      <w:color w:val="000000"/>
    </w:rPr>
  </w:style>
  <w:style w:type="character" w:customStyle="1" w:styleId="Title1Zchn">
    <w:name w:val="Title 1 Zchn"/>
    <w:basedOn w:val="Heading1Char"/>
    <w:link w:val="Title1"/>
    <w:rsid w:val="00651475"/>
    <w:rPr>
      <w:rFonts w:eastAsia="Times New Roman"/>
      <w:b/>
      <w:noProof/>
      <w:sz w:val="22"/>
      <w:szCs w:val="22"/>
      <w:lang w:val="en-GB" w:eastAsia="en-US"/>
    </w:rPr>
  </w:style>
  <w:style w:type="character" w:customStyle="1" w:styleId="Title2Zchn">
    <w:name w:val="Title2 Zchn"/>
    <w:basedOn w:val="DefaultParagraphFont"/>
    <w:link w:val="Title2"/>
    <w:rsid w:val="00651475"/>
    <w:rPr>
      <w:rFonts w:eastAsia="Times New Roman" w:cs="Verdana"/>
      <w:b/>
      <w:bCs/>
      <w:color w:val="000000"/>
      <w:sz w:val="22"/>
      <w:lang w:val="en-GB" w:eastAsia="en-US"/>
    </w:rPr>
  </w:style>
  <w:style w:type="paragraph" w:customStyle="1" w:styleId="C-BodyText">
    <w:name w:val="C-Body Text"/>
    <w:link w:val="C-BodyTextChar"/>
    <w:rsid w:val="0019632A"/>
    <w:pPr>
      <w:spacing w:before="120" w:after="120" w:line="280" w:lineRule="atLeast"/>
    </w:pPr>
    <w:rPr>
      <w:rFonts w:eastAsia="Times New Roman"/>
      <w:sz w:val="24"/>
      <w:lang w:val="en-US" w:eastAsia="en-US"/>
    </w:rPr>
  </w:style>
  <w:style w:type="character" w:customStyle="1" w:styleId="C-BodyTextChar">
    <w:name w:val="C-Body Text Char"/>
    <w:link w:val="C-BodyText"/>
    <w:rsid w:val="0019632A"/>
    <w:rPr>
      <w:rFonts w:eastAsia="Times New Roman"/>
      <w:sz w:val="24"/>
      <w:lang w:val="en-US" w:eastAsia="en-US"/>
    </w:rPr>
  </w:style>
  <w:style w:type="character" w:customStyle="1" w:styleId="UnresolvedMention1">
    <w:name w:val="Unresolved Mention1"/>
    <w:basedOn w:val="DefaultParagraphFont"/>
    <w:uiPriority w:val="99"/>
    <w:semiHidden/>
    <w:unhideWhenUsed/>
    <w:rsid w:val="0019632A"/>
    <w:rPr>
      <w:color w:val="605E5C"/>
      <w:shd w:val="clear" w:color="auto" w:fill="E1DFDD"/>
    </w:rPr>
  </w:style>
  <w:style w:type="character" w:customStyle="1" w:styleId="FooterChar">
    <w:name w:val="Footer Char"/>
    <w:basedOn w:val="DefaultParagraphFont"/>
    <w:link w:val="Footer"/>
    <w:rsid w:val="00F87F4E"/>
    <w:rPr>
      <w:rFonts w:ascii="Arial" w:eastAsia="Times New Roman" w:hAnsi="Arial"/>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68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ga.gov.au/reportingproblem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ga.gov.au/reporting-proble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FCE3FCBCAC5DD40A7BA97228B196701" ma:contentTypeVersion="0" ma:contentTypeDescription="Ein neues Dokument erstellen." ma:contentTypeScope="" ma:versionID="53eec7a95d14c9fc633e8ed328300d1f">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0543A-8629-43A5-912F-534403EA79A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D6EF6A3-00FA-4064-B419-2D05FA9375E5}">
  <ds:schemaRefs>
    <ds:schemaRef ds:uri="http://schemas.openxmlformats.org/officeDocument/2006/bibliography"/>
  </ds:schemaRefs>
</ds:datastoreItem>
</file>

<file path=customXml/itemProps3.xml><?xml version="1.0" encoding="utf-8"?>
<ds:datastoreItem xmlns:ds="http://schemas.openxmlformats.org/officeDocument/2006/customXml" ds:itemID="{ECB37F9E-E268-4CF2-9969-F20A090FF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32EC4D3-A933-419F-8CD1-35A7B2A7B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6055</Words>
  <Characters>37456</Characters>
  <Application>Microsoft Office Word</Application>
  <DocSecurity>4</DocSecurity>
  <Lines>312</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Trecondi, INN-treosulfan</vt:lpstr>
      <vt:lpstr>Trecondi, INN-treosulfan</vt:lpstr>
    </vt:vector>
  </TitlesOfParts>
  <Company/>
  <LinksUpToDate>false</LinksUpToDate>
  <CharactersWithSpaces>43425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Trecondi, INN-treosulfan</dc:title>
  <dc:subject>EPAR</dc:subject>
  <dc:creator>CHMP</dc:creator>
  <cp:keywords>Trecondi, INN-treosulfan</cp:keywords>
  <cp:lastModifiedBy>MCMAHON, Emily</cp:lastModifiedBy>
  <cp:revision>2</cp:revision>
  <dcterms:created xsi:type="dcterms:W3CDTF">2023-07-04T04:52:00Z</dcterms:created>
  <dcterms:modified xsi:type="dcterms:W3CDTF">2023-07-04T04:52:00Z</dcterms:modified>
  <cp:category>Trecondi, INN-treosulfan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encyKeywords">
    <vt:lpwstr/>
  </property>
  <property fmtid="{D5CDD505-2E9C-101B-9397-08002B2CF9AE}" pid="3" name="ContentTypeId">
    <vt:lpwstr>0x0101006FCE3FCBCAC5DD40A7BA97228B196701</vt:lpwstr>
  </property>
  <property fmtid="{D5CDD505-2E9C-101B-9397-08002B2CF9AE}" pid="4" name="DM_Author">
    <vt:lpwstr/>
  </property>
  <property fmtid="{D5CDD505-2E9C-101B-9397-08002B2CF9AE}" pid="5" name="DM_Category">
    <vt:lpwstr>Assessment Report</vt:lpwstr>
  </property>
  <property fmtid="{D5CDD505-2E9C-101B-9397-08002B2CF9AE}" pid="6" name="DM_Creation_Date">
    <vt:lpwstr>28/11/2018 14:20:15</vt:lpwstr>
  </property>
  <property fmtid="{D5CDD505-2E9C-101B-9397-08002B2CF9AE}" pid="7" name="DM_Creator_Name">
    <vt:lpwstr>Childs Jose</vt:lpwstr>
  </property>
  <property fmtid="{D5CDD505-2E9C-101B-9397-08002B2CF9AE}" pid="8" name="DM_DocRefId">
    <vt:lpwstr>EMA/836234/2018</vt:lpwstr>
  </property>
  <property fmtid="{D5CDD505-2E9C-101B-9397-08002B2CF9AE}" pid="9" name="DM_emea_doc_ref_id">
    <vt:lpwstr>EMA/836234/2018</vt:lpwstr>
  </property>
  <property fmtid="{D5CDD505-2E9C-101B-9397-08002B2CF9AE}" pid="10" name="DM_Keywords">
    <vt:lpwstr/>
  </property>
  <property fmtid="{D5CDD505-2E9C-101B-9397-08002B2CF9AE}" pid="11" name="DM_Language">
    <vt:lpwstr/>
  </property>
  <property fmtid="{D5CDD505-2E9C-101B-9397-08002B2CF9AE}" pid="12" name="DM_Modifer_Name">
    <vt:lpwstr>Childs Jose</vt:lpwstr>
  </property>
  <property fmtid="{D5CDD505-2E9C-101B-9397-08002B2CF9AE}" pid="13" name="DM_Modified_Date">
    <vt:lpwstr>28/11/2018 14:20:15</vt:lpwstr>
  </property>
  <property fmtid="{D5CDD505-2E9C-101B-9397-08002B2CF9AE}" pid="14" name="DM_Modifier_Name">
    <vt:lpwstr>Childs Jose</vt:lpwstr>
  </property>
  <property fmtid="{D5CDD505-2E9C-101B-9397-08002B2CF9AE}" pid="15" name="DM_Modify_Date">
    <vt:lpwstr>28/11/2018 14:20:15</vt:lpwstr>
  </property>
  <property fmtid="{D5CDD505-2E9C-101B-9397-08002B2CF9AE}" pid="16" name="DM_Name">
    <vt:lpwstr>Treosulfan Day 180 PI tracked</vt:lpwstr>
  </property>
  <property fmtid="{D5CDD505-2E9C-101B-9397-08002B2CF9AE}" pid="17" name="DM_Path">
    <vt:lpwstr>/01. Evaluation of Medicines/H-C/S-U/Treosulfan - 004751/03 Evaluation/Day 121- 210/05 D195 JAR (28.11.18)</vt:lpwstr>
  </property>
  <property fmtid="{D5CDD505-2E9C-101B-9397-08002B2CF9AE}" pid="18" name="DM_Status">
    <vt:lpwstr/>
  </property>
  <property fmtid="{D5CDD505-2E9C-101B-9397-08002B2CF9AE}" pid="19" name="DM_Subject">
    <vt:lpwstr/>
  </property>
  <property fmtid="{D5CDD505-2E9C-101B-9397-08002B2CF9AE}" pid="20" name="DM_Title">
    <vt:lpwstr/>
  </property>
  <property fmtid="{D5CDD505-2E9C-101B-9397-08002B2CF9AE}" pid="21" name="DM_Type">
    <vt:lpwstr>emea_document</vt:lpwstr>
  </property>
  <property fmtid="{D5CDD505-2E9C-101B-9397-08002B2CF9AE}" pid="22" name="DM_Version">
    <vt:lpwstr>1.0,CURRENT</vt:lpwstr>
  </property>
  <property fmtid="{D5CDD505-2E9C-101B-9397-08002B2CF9AE}" pid="23" name="OS_LastOpenTime">
    <vt:lpwstr>9/13/2022 4:08:39 PM</vt:lpwstr>
  </property>
  <property fmtid="{D5CDD505-2E9C-101B-9397-08002B2CF9AE}" pid="24" name="OS_LastOpenUser">
    <vt:lpwstr>ZENSA</vt:lpwstr>
  </property>
  <property fmtid="{D5CDD505-2E9C-101B-9397-08002B2CF9AE}" pid="25" name="SecurityClassification">
    <vt:lpwstr>1;#Official|9d42bd58-89d2-4e46-94bb-80d8f31efd91</vt:lpwstr>
  </property>
  <property fmtid="{D5CDD505-2E9C-101B-9397-08002B2CF9AE}" pid="26" name="OS_LastSave">
    <vt:lpwstr>5/24/2022 10:35:19 AM</vt:lpwstr>
  </property>
  <property fmtid="{D5CDD505-2E9C-101B-9397-08002B2CF9AE}" pid="27" name="OS_LastSaveUser">
    <vt:lpwstr>WINTERA</vt:lpwstr>
  </property>
  <property fmtid="{D5CDD505-2E9C-101B-9397-08002B2CF9AE}" pid="28" name="OS_LastDocumentSaved">
    <vt:bool>false</vt:bool>
  </property>
  <property fmtid="{D5CDD505-2E9C-101B-9397-08002B2CF9AE}" pid="29" name="MustSave">
    <vt:bool>false</vt:bool>
  </property>
  <property fmtid="{D5CDD505-2E9C-101B-9397-08002B2CF9AE}" pid="30" name="_DocHome">
    <vt:i4>-149403583</vt:i4>
  </property>
</Properties>
</file>