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1237B87" w:rsidR="00F02AEC" w:rsidRPr="00215D48" w:rsidRDefault="00346EC2" w:rsidP="007452E8">
            <w:pPr>
              <w:pStyle w:val="Title"/>
            </w:pPr>
            <w:r w:rsidRPr="00346EC2">
              <w:t xml:space="preserve">Australian Public Assessment Report for </w:t>
            </w:r>
            <w:bookmarkStart w:id="0" w:name="_Hlk144274989"/>
            <w:r w:rsidR="007A0E2D" w:rsidRPr="007A0E2D">
              <w:t>Onpattro</w:t>
            </w:r>
            <w:bookmarkEnd w:id="0"/>
          </w:p>
        </w:tc>
      </w:tr>
      <w:tr w:rsidR="00F02AEC" w:rsidRPr="00215D48" w14:paraId="318A40A3" w14:textId="77777777" w:rsidTr="00346EC2">
        <w:trPr>
          <w:trHeight w:val="995"/>
        </w:trPr>
        <w:tc>
          <w:tcPr>
            <w:tcW w:w="8720" w:type="dxa"/>
          </w:tcPr>
          <w:p w14:paraId="1AA7C701" w14:textId="55D28AB9" w:rsidR="00F02AEC" w:rsidRPr="00215D48" w:rsidRDefault="00346EC2" w:rsidP="007452E8">
            <w:pPr>
              <w:pStyle w:val="Subtitle"/>
              <w:ind w:left="0"/>
            </w:pPr>
            <w:r w:rsidRPr="00346EC2">
              <w:t xml:space="preserve">Active ingredient/s: </w:t>
            </w:r>
            <w:bookmarkStart w:id="1" w:name="_Hlk144275054"/>
            <w:r w:rsidR="007A0E2D" w:rsidRPr="007A0E2D">
              <w:t>Patisiran</w:t>
            </w:r>
            <w:bookmarkEnd w:id="1"/>
          </w:p>
        </w:tc>
      </w:tr>
      <w:tr w:rsidR="00346EC2" w:rsidRPr="00215D48" w14:paraId="362CCAE4" w14:textId="77777777" w:rsidTr="007452E8">
        <w:trPr>
          <w:trHeight w:val="1916"/>
        </w:trPr>
        <w:tc>
          <w:tcPr>
            <w:tcW w:w="8720" w:type="dxa"/>
          </w:tcPr>
          <w:p w14:paraId="709C45C0" w14:textId="30682518" w:rsidR="00346EC2" w:rsidRPr="00215D48" w:rsidRDefault="00346EC2" w:rsidP="007452E8">
            <w:pPr>
              <w:pStyle w:val="Subtitle"/>
              <w:ind w:left="0"/>
            </w:pPr>
            <w:r w:rsidRPr="00346EC2">
              <w:t>Sponsor:</w:t>
            </w:r>
            <w:r w:rsidR="007A0E2D">
              <w:t xml:space="preserve"> </w:t>
            </w:r>
            <w:bookmarkStart w:id="2" w:name="_Hlk144275072"/>
            <w:r w:rsidR="007A0E2D" w:rsidRPr="007A0E2D">
              <w:t>Alnylam Australia</w:t>
            </w:r>
            <w:bookmarkEnd w:id="2"/>
          </w:p>
        </w:tc>
      </w:tr>
      <w:tr w:rsidR="00F02AEC" w:rsidRPr="00215D48" w14:paraId="37F2AA1F" w14:textId="77777777" w:rsidTr="007452E8">
        <w:tc>
          <w:tcPr>
            <w:tcW w:w="8720" w:type="dxa"/>
          </w:tcPr>
          <w:p w14:paraId="1FDE8DCD" w14:textId="796C3801" w:rsidR="00F02AEC" w:rsidRPr="00215D48" w:rsidRDefault="00ED1F97" w:rsidP="007452E8">
            <w:pPr>
              <w:pStyle w:val="Date"/>
            </w:pPr>
            <w:r>
              <w:t>August</w:t>
            </w:r>
            <w:r w:rsidR="00F02AEC" w:rsidRPr="00215D48">
              <w:t xml:space="preserve"> </w:t>
            </w:r>
            <w:r w:rsidR="007A0E2D">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568A57B"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42BEC2AB"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2716CD94"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F0C1B4F" w14:textId="48645192" w:rsidR="00AD4EC7"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4277318" w:history="1">
            <w:r w:rsidR="00AD4EC7" w:rsidRPr="004043BC">
              <w:rPr>
                <w:rStyle w:val="Hyperlink"/>
                <w:noProof/>
              </w:rPr>
              <w:t>List of abbreviations</w:t>
            </w:r>
            <w:r w:rsidR="00AD4EC7">
              <w:rPr>
                <w:noProof/>
                <w:webHidden/>
              </w:rPr>
              <w:tab/>
            </w:r>
            <w:r w:rsidR="00AD4EC7">
              <w:rPr>
                <w:noProof/>
                <w:webHidden/>
              </w:rPr>
              <w:fldChar w:fldCharType="begin"/>
            </w:r>
            <w:r w:rsidR="00AD4EC7">
              <w:rPr>
                <w:noProof/>
                <w:webHidden/>
              </w:rPr>
              <w:instrText xml:space="preserve"> PAGEREF _Toc144277318 \h </w:instrText>
            </w:r>
            <w:r w:rsidR="00AD4EC7">
              <w:rPr>
                <w:noProof/>
                <w:webHidden/>
              </w:rPr>
            </w:r>
            <w:r w:rsidR="00AD4EC7">
              <w:rPr>
                <w:noProof/>
                <w:webHidden/>
              </w:rPr>
              <w:fldChar w:fldCharType="separate"/>
            </w:r>
            <w:r w:rsidR="00AD4EC7">
              <w:rPr>
                <w:noProof/>
                <w:webHidden/>
              </w:rPr>
              <w:t>4</w:t>
            </w:r>
            <w:r w:rsidR="00AD4EC7">
              <w:rPr>
                <w:noProof/>
                <w:webHidden/>
              </w:rPr>
              <w:fldChar w:fldCharType="end"/>
            </w:r>
          </w:hyperlink>
        </w:p>
        <w:p w14:paraId="1E80938C" w14:textId="783257D2" w:rsidR="00AD4EC7" w:rsidRDefault="00DB29BA">
          <w:pPr>
            <w:pStyle w:val="TOC1"/>
            <w:rPr>
              <w:rFonts w:asciiTheme="minorHAnsi" w:eastAsiaTheme="minorEastAsia" w:hAnsiTheme="minorHAnsi" w:cstheme="minorBidi"/>
              <w:b w:val="0"/>
              <w:noProof/>
              <w:color w:val="auto"/>
              <w:sz w:val="22"/>
              <w:szCs w:val="22"/>
              <w:lang w:eastAsia="en-AU"/>
            </w:rPr>
          </w:pPr>
          <w:hyperlink w:anchor="_Toc144277319" w:history="1">
            <w:r w:rsidR="00AD4EC7" w:rsidRPr="004043BC">
              <w:rPr>
                <w:rStyle w:val="Hyperlink"/>
                <w:noProof/>
              </w:rPr>
              <w:t>Product submission</w:t>
            </w:r>
            <w:r w:rsidR="00AD4EC7">
              <w:rPr>
                <w:noProof/>
                <w:webHidden/>
              </w:rPr>
              <w:tab/>
            </w:r>
            <w:r w:rsidR="00AD4EC7">
              <w:rPr>
                <w:noProof/>
                <w:webHidden/>
              </w:rPr>
              <w:fldChar w:fldCharType="begin"/>
            </w:r>
            <w:r w:rsidR="00AD4EC7">
              <w:rPr>
                <w:noProof/>
                <w:webHidden/>
              </w:rPr>
              <w:instrText xml:space="preserve"> PAGEREF _Toc144277319 \h </w:instrText>
            </w:r>
            <w:r w:rsidR="00AD4EC7">
              <w:rPr>
                <w:noProof/>
                <w:webHidden/>
              </w:rPr>
            </w:r>
            <w:r w:rsidR="00AD4EC7">
              <w:rPr>
                <w:noProof/>
                <w:webHidden/>
              </w:rPr>
              <w:fldChar w:fldCharType="separate"/>
            </w:r>
            <w:r w:rsidR="00AD4EC7">
              <w:rPr>
                <w:noProof/>
                <w:webHidden/>
              </w:rPr>
              <w:t>5</w:t>
            </w:r>
            <w:r w:rsidR="00AD4EC7">
              <w:rPr>
                <w:noProof/>
                <w:webHidden/>
              </w:rPr>
              <w:fldChar w:fldCharType="end"/>
            </w:r>
          </w:hyperlink>
        </w:p>
        <w:p w14:paraId="45A92046" w14:textId="28C80B1E"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20" w:history="1">
            <w:r w:rsidR="00AD4EC7" w:rsidRPr="004043BC">
              <w:rPr>
                <w:rStyle w:val="Hyperlink"/>
                <w:noProof/>
                <w:lang w:eastAsia="en-AU"/>
              </w:rPr>
              <w:t>Submission details</w:t>
            </w:r>
            <w:r w:rsidR="00AD4EC7">
              <w:rPr>
                <w:noProof/>
                <w:webHidden/>
              </w:rPr>
              <w:tab/>
            </w:r>
            <w:r w:rsidR="00AD4EC7">
              <w:rPr>
                <w:noProof/>
                <w:webHidden/>
              </w:rPr>
              <w:fldChar w:fldCharType="begin"/>
            </w:r>
            <w:r w:rsidR="00AD4EC7">
              <w:rPr>
                <w:noProof/>
                <w:webHidden/>
              </w:rPr>
              <w:instrText xml:space="preserve"> PAGEREF _Toc144277320 \h </w:instrText>
            </w:r>
            <w:r w:rsidR="00AD4EC7">
              <w:rPr>
                <w:noProof/>
                <w:webHidden/>
              </w:rPr>
            </w:r>
            <w:r w:rsidR="00AD4EC7">
              <w:rPr>
                <w:noProof/>
                <w:webHidden/>
              </w:rPr>
              <w:fldChar w:fldCharType="separate"/>
            </w:r>
            <w:r w:rsidR="00AD4EC7">
              <w:rPr>
                <w:noProof/>
                <w:webHidden/>
              </w:rPr>
              <w:t>5</w:t>
            </w:r>
            <w:r w:rsidR="00AD4EC7">
              <w:rPr>
                <w:noProof/>
                <w:webHidden/>
              </w:rPr>
              <w:fldChar w:fldCharType="end"/>
            </w:r>
          </w:hyperlink>
        </w:p>
        <w:p w14:paraId="04480309" w14:textId="006BC86D"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21" w:history="1">
            <w:r w:rsidR="00AD4EC7" w:rsidRPr="004043BC">
              <w:rPr>
                <w:rStyle w:val="Hyperlink"/>
                <w:noProof/>
              </w:rPr>
              <w:t>Product background</w:t>
            </w:r>
            <w:r w:rsidR="00AD4EC7">
              <w:rPr>
                <w:noProof/>
                <w:webHidden/>
              </w:rPr>
              <w:tab/>
            </w:r>
            <w:r w:rsidR="00AD4EC7">
              <w:rPr>
                <w:noProof/>
                <w:webHidden/>
              </w:rPr>
              <w:fldChar w:fldCharType="begin"/>
            </w:r>
            <w:r w:rsidR="00AD4EC7">
              <w:rPr>
                <w:noProof/>
                <w:webHidden/>
              </w:rPr>
              <w:instrText xml:space="preserve"> PAGEREF _Toc144277321 \h </w:instrText>
            </w:r>
            <w:r w:rsidR="00AD4EC7">
              <w:rPr>
                <w:noProof/>
                <w:webHidden/>
              </w:rPr>
            </w:r>
            <w:r w:rsidR="00AD4EC7">
              <w:rPr>
                <w:noProof/>
                <w:webHidden/>
              </w:rPr>
              <w:fldChar w:fldCharType="separate"/>
            </w:r>
            <w:r w:rsidR="00AD4EC7">
              <w:rPr>
                <w:noProof/>
                <w:webHidden/>
              </w:rPr>
              <w:t>6</w:t>
            </w:r>
            <w:r w:rsidR="00AD4EC7">
              <w:rPr>
                <w:noProof/>
                <w:webHidden/>
              </w:rPr>
              <w:fldChar w:fldCharType="end"/>
            </w:r>
          </w:hyperlink>
        </w:p>
        <w:p w14:paraId="59A92F6F" w14:textId="480CC7E0" w:rsidR="00AD4EC7" w:rsidRDefault="00DB29BA">
          <w:pPr>
            <w:pStyle w:val="TOC3"/>
            <w:rPr>
              <w:rFonts w:asciiTheme="minorHAnsi" w:eastAsiaTheme="minorEastAsia" w:hAnsiTheme="minorHAnsi" w:cstheme="minorBidi"/>
              <w:b w:val="0"/>
              <w:noProof/>
              <w:color w:val="auto"/>
              <w:szCs w:val="22"/>
              <w:lang w:eastAsia="en-AU"/>
            </w:rPr>
          </w:pPr>
          <w:hyperlink w:anchor="_Toc144277322" w:history="1">
            <w:r w:rsidR="00AD4EC7" w:rsidRPr="004043BC">
              <w:rPr>
                <w:rStyle w:val="Hyperlink"/>
                <w:noProof/>
              </w:rPr>
              <w:t>Condition</w:t>
            </w:r>
            <w:r w:rsidR="00AD4EC7">
              <w:rPr>
                <w:noProof/>
                <w:webHidden/>
              </w:rPr>
              <w:tab/>
            </w:r>
            <w:r w:rsidR="00AD4EC7">
              <w:rPr>
                <w:noProof/>
                <w:webHidden/>
              </w:rPr>
              <w:fldChar w:fldCharType="begin"/>
            </w:r>
            <w:r w:rsidR="00AD4EC7">
              <w:rPr>
                <w:noProof/>
                <w:webHidden/>
              </w:rPr>
              <w:instrText xml:space="preserve"> PAGEREF _Toc144277322 \h </w:instrText>
            </w:r>
            <w:r w:rsidR="00AD4EC7">
              <w:rPr>
                <w:noProof/>
                <w:webHidden/>
              </w:rPr>
            </w:r>
            <w:r w:rsidR="00AD4EC7">
              <w:rPr>
                <w:noProof/>
                <w:webHidden/>
              </w:rPr>
              <w:fldChar w:fldCharType="separate"/>
            </w:r>
            <w:r w:rsidR="00AD4EC7">
              <w:rPr>
                <w:noProof/>
                <w:webHidden/>
              </w:rPr>
              <w:t>6</w:t>
            </w:r>
            <w:r w:rsidR="00AD4EC7">
              <w:rPr>
                <w:noProof/>
                <w:webHidden/>
              </w:rPr>
              <w:fldChar w:fldCharType="end"/>
            </w:r>
          </w:hyperlink>
        </w:p>
        <w:p w14:paraId="4A8D93E2" w14:textId="48BC0CD7" w:rsidR="00AD4EC7" w:rsidRDefault="00DB29BA">
          <w:pPr>
            <w:pStyle w:val="TOC3"/>
            <w:rPr>
              <w:rFonts w:asciiTheme="minorHAnsi" w:eastAsiaTheme="minorEastAsia" w:hAnsiTheme="minorHAnsi" w:cstheme="minorBidi"/>
              <w:b w:val="0"/>
              <w:noProof/>
              <w:color w:val="auto"/>
              <w:szCs w:val="22"/>
              <w:lang w:eastAsia="en-AU"/>
            </w:rPr>
          </w:pPr>
          <w:hyperlink w:anchor="_Toc144277323" w:history="1">
            <w:r w:rsidR="00AD4EC7" w:rsidRPr="004043BC">
              <w:rPr>
                <w:rStyle w:val="Hyperlink"/>
                <w:noProof/>
              </w:rPr>
              <w:t>Current treatment options</w:t>
            </w:r>
            <w:r w:rsidR="00AD4EC7">
              <w:rPr>
                <w:noProof/>
                <w:webHidden/>
              </w:rPr>
              <w:tab/>
            </w:r>
            <w:r w:rsidR="00AD4EC7">
              <w:rPr>
                <w:noProof/>
                <w:webHidden/>
              </w:rPr>
              <w:fldChar w:fldCharType="begin"/>
            </w:r>
            <w:r w:rsidR="00AD4EC7">
              <w:rPr>
                <w:noProof/>
                <w:webHidden/>
              </w:rPr>
              <w:instrText xml:space="preserve"> PAGEREF _Toc144277323 \h </w:instrText>
            </w:r>
            <w:r w:rsidR="00AD4EC7">
              <w:rPr>
                <w:noProof/>
                <w:webHidden/>
              </w:rPr>
            </w:r>
            <w:r w:rsidR="00AD4EC7">
              <w:rPr>
                <w:noProof/>
                <w:webHidden/>
              </w:rPr>
              <w:fldChar w:fldCharType="separate"/>
            </w:r>
            <w:r w:rsidR="00AD4EC7">
              <w:rPr>
                <w:noProof/>
                <w:webHidden/>
              </w:rPr>
              <w:t>6</w:t>
            </w:r>
            <w:r w:rsidR="00AD4EC7">
              <w:rPr>
                <w:noProof/>
                <w:webHidden/>
              </w:rPr>
              <w:fldChar w:fldCharType="end"/>
            </w:r>
          </w:hyperlink>
        </w:p>
        <w:p w14:paraId="346F27C8" w14:textId="532F8FCF"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24" w:history="1">
            <w:r w:rsidR="00AD4EC7" w:rsidRPr="004043BC">
              <w:rPr>
                <w:rStyle w:val="Hyperlink"/>
                <w:noProof/>
              </w:rPr>
              <w:t>Regulatory status</w:t>
            </w:r>
            <w:r w:rsidR="00AD4EC7">
              <w:rPr>
                <w:noProof/>
                <w:webHidden/>
              </w:rPr>
              <w:tab/>
            </w:r>
            <w:r w:rsidR="00AD4EC7">
              <w:rPr>
                <w:noProof/>
                <w:webHidden/>
              </w:rPr>
              <w:fldChar w:fldCharType="begin"/>
            </w:r>
            <w:r w:rsidR="00AD4EC7">
              <w:rPr>
                <w:noProof/>
                <w:webHidden/>
              </w:rPr>
              <w:instrText xml:space="preserve"> PAGEREF _Toc144277324 \h </w:instrText>
            </w:r>
            <w:r w:rsidR="00AD4EC7">
              <w:rPr>
                <w:noProof/>
                <w:webHidden/>
              </w:rPr>
            </w:r>
            <w:r w:rsidR="00AD4EC7">
              <w:rPr>
                <w:noProof/>
                <w:webHidden/>
              </w:rPr>
              <w:fldChar w:fldCharType="separate"/>
            </w:r>
            <w:r w:rsidR="00AD4EC7">
              <w:rPr>
                <w:noProof/>
                <w:webHidden/>
              </w:rPr>
              <w:t>6</w:t>
            </w:r>
            <w:r w:rsidR="00AD4EC7">
              <w:rPr>
                <w:noProof/>
                <w:webHidden/>
              </w:rPr>
              <w:fldChar w:fldCharType="end"/>
            </w:r>
          </w:hyperlink>
        </w:p>
        <w:p w14:paraId="275605F7" w14:textId="653CE0D0"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25" w:history="1">
            <w:r w:rsidR="00AD4EC7" w:rsidRPr="004043BC">
              <w:rPr>
                <w:rStyle w:val="Hyperlink"/>
                <w:noProof/>
              </w:rPr>
              <w:t>Product Information</w:t>
            </w:r>
            <w:r w:rsidR="00AD4EC7">
              <w:rPr>
                <w:noProof/>
                <w:webHidden/>
              </w:rPr>
              <w:tab/>
            </w:r>
            <w:r w:rsidR="00AD4EC7">
              <w:rPr>
                <w:noProof/>
                <w:webHidden/>
              </w:rPr>
              <w:fldChar w:fldCharType="begin"/>
            </w:r>
            <w:r w:rsidR="00AD4EC7">
              <w:rPr>
                <w:noProof/>
                <w:webHidden/>
              </w:rPr>
              <w:instrText xml:space="preserve"> PAGEREF _Toc144277325 \h </w:instrText>
            </w:r>
            <w:r w:rsidR="00AD4EC7">
              <w:rPr>
                <w:noProof/>
                <w:webHidden/>
              </w:rPr>
            </w:r>
            <w:r w:rsidR="00AD4EC7">
              <w:rPr>
                <w:noProof/>
                <w:webHidden/>
              </w:rPr>
              <w:fldChar w:fldCharType="separate"/>
            </w:r>
            <w:r w:rsidR="00AD4EC7">
              <w:rPr>
                <w:noProof/>
                <w:webHidden/>
              </w:rPr>
              <w:t>7</w:t>
            </w:r>
            <w:r w:rsidR="00AD4EC7">
              <w:rPr>
                <w:noProof/>
                <w:webHidden/>
              </w:rPr>
              <w:fldChar w:fldCharType="end"/>
            </w:r>
          </w:hyperlink>
        </w:p>
        <w:p w14:paraId="2A2F9432" w14:textId="7511B116" w:rsidR="00AD4EC7" w:rsidRDefault="00DB29BA">
          <w:pPr>
            <w:pStyle w:val="TOC1"/>
            <w:rPr>
              <w:rFonts w:asciiTheme="minorHAnsi" w:eastAsiaTheme="minorEastAsia" w:hAnsiTheme="minorHAnsi" w:cstheme="minorBidi"/>
              <w:b w:val="0"/>
              <w:noProof/>
              <w:color w:val="auto"/>
              <w:sz w:val="22"/>
              <w:szCs w:val="22"/>
              <w:lang w:eastAsia="en-AU"/>
            </w:rPr>
          </w:pPr>
          <w:hyperlink w:anchor="_Toc144277326" w:history="1">
            <w:r w:rsidR="00AD4EC7" w:rsidRPr="004043BC">
              <w:rPr>
                <w:rStyle w:val="Hyperlink"/>
                <w:noProof/>
              </w:rPr>
              <w:t>Registration timeline</w:t>
            </w:r>
            <w:r w:rsidR="00AD4EC7">
              <w:rPr>
                <w:noProof/>
                <w:webHidden/>
              </w:rPr>
              <w:tab/>
            </w:r>
            <w:r w:rsidR="00AD4EC7">
              <w:rPr>
                <w:noProof/>
                <w:webHidden/>
              </w:rPr>
              <w:fldChar w:fldCharType="begin"/>
            </w:r>
            <w:r w:rsidR="00AD4EC7">
              <w:rPr>
                <w:noProof/>
                <w:webHidden/>
              </w:rPr>
              <w:instrText xml:space="preserve"> PAGEREF _Toc144277326 \h </w:instrText>
            </w:r>
            <w:r w:rsidR="00AD4EC7">
              <w:rPr>
                <w:noProof/>
                <w:webHidden/>
              </w:rPr>
            </w:r>
            <w:r w:rsidR="00AD4EC7">
              <w:rPr>
                <w:noProof/>
                <w:webHidden/>
              </w:rPr>
              <w:fldChar w:fldCharType="separate"/>
            </w:r>
            <w:r w:rsidR="00AD4EC7">
              <w:rPr>
                <w:noProof/>
                <w:webHidden/>
              </w:rPr>
              <w:t>8</w:t>
            </w:r>
            <w:r w:rsidR="00AD4EC7">
              <w:rPr>
                <w:noProof/>
                <w:webHidden/>
              </w:rPr>
              <w:fldChar w:fldCharType="end"/>
            </w:r>
          </w:hyperlink>
        </w:p>
        <w:p w14:paraId="7E55163B" w14:textId="1773CA8B" w:rsidR="00AD4EC7" w:rsidRDefault="00DB29BA">
          <w:pPr>
            <w:pStyle w:val="TOC1"/>
            <w:rPr>
              <w:rFonts w:asciiTheme="minorHAnsi" w:eastAsiaTheme="minorEastAsia" w:hAnsiTheme="minorHAnsi" w:cstheme="minorBidi"/>
              <w:b w:val="0"/>
              <w:noProof/>
              <w:color w:val="auto"/>
              <w:sz w:val="22"/>
              <w:szCs w:val="22"/>
              <w:lang w:eastAsia="en-AU"/>
            </w:rPr>
          </w:pPr>
          <w:hyperlink w:anchor="_Toc144277327" w:history="1">
            <w:r w:rsidR="00AD4EC7" w:rsidRPr="004043BC">
              <w:rPr>
                <w:rStyle w:val="Hyperlink"/>
                <w:noProof/>
              </w:rPr>
              <w:t>Submission overview and risk/benefit assessment</w:t>
            </w:r>
            <w:r w:rsidR="00AD4EC7">
              <w:rPr>
                <w:noProof/>
                <w:webHidden/>
              </w:rPr>
              <w:tab/>
            </w:r>
            <w:r w:rsidR="00AD4EC7">
              <w:rPr>
                <w:noProof/>
                <w:webHidden/>
              </w:rPr>
              <w:fldChar w:fldCharType="begin"/>
            </w:r>
            <w:r w:rsidR="00AD4EC7">
              <w:rPr>
                <w:noProof/>
                <w:webHidden/>
              </w:rPr>
              <w:instrText xml:space="preserve"> PAGEREF _Toc144277327 \h </w:instrText>
            </w:r>
            <w:r w:rsidR="00AD4EC7">
              <w:rPr>
                <w:noProof/>
                <w:webHidden/>
              </w:rPr>
            </w:r>
            <w:r w:rsidR="00AD4EC7">
              <w:rPr>
                <w:noProof/>
                <w:webHidden/>
              </w:rPr>
              <w:fldChar w:fldCharType="separate"/>
            </w:r>
            <w:r w:rsidR="00AD4EC7">
              <w:rPr>
                <w:noProof/>
                <w:webHidden/>
              </w:rPr>
              <w:t>8</w:t>
            </w:r>
            <w:r w:rsidR="00AD4EC7">
              <w:rPr>
                <w:noProof/>
                <w:webHidden/>
              </w:rPr>
              <w:fldChar w:fldCharType="end"/>
            </w:r>
          </w:hyperlink>
        </w:p>
        <w:p w14:paraId="2142CDFF" w14:textId="564083BA"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28" w:history="1">
            <w:r w:rsidR="00AD4EC7" w:rsidRPr="004043BC">
              <w:rPr>
                <w:rStyle w:val="Hyperlink"/>
                <w:noProof/>
              </w:rPr>
              <w:t>Quality</w:t>
            </w:r>
            <w:r w:rsidR="00AD4EC7">
              <w:rPr>
                <w:noProof/>
                <w:webHidden/>
              </w:rPr>
              <w:tab/>
            </w:r>
            <w:r w:rsidR="00AD4EC7">
              <w:rPr>
                <w:noProof/>
                <w:webHidden/>
              </w:rPr>
              <w:fldChar w:fldCharType="begin"/>
            </w:r>
            <w:r w:rsidR="00AD4EC7">
              <w:rPr>
                <w:noProof/>
                <w:webHidden/>
              </w:rPr>
              <w:instrText xml:space="preserve"> PAGEREF _Toc144277328 \h </w:instrText>
            </w:r>
            <w:r w:rsidR="00AD4EC7">
              <w:rPr>
                <w:noProof/>
                <w:webHidden/>
              </w:rPr>
            </w:r>
            <w:r w:rsidR="00AD4EC7">
              <w:rPr>
                <w:noProof/>
                <w:webHidden/>
              </w:rPr>
              <w:fldChar w:fldCharType="separate"/>
            </w:r>
            <w:r w:rsidR="00AD4EC7">
              <w:rPr>
                <w:noProof/>
                <w:webHidden/>
              </w:rPr>
              <w:t>8</w:t>
            </w:r>
            <w:r w:rsidR="00AD4EC7">
              <w:rPr>
                <w:noProof/>
                <w:webHidden/>
              </w:rPr>
              <w:fldChar w:fldCharType="end"/>
            </w:r>
          </w:hyperlink>
        </w:p>
        <w:p w14:paraId="1AE56D28" w14:textId="757571FC"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29" w:history="1">
            <w:r w:rsidR="00AD4EC7" w:rsidRPr="004043BC">
              <w:rPr>
                <w:rStyle w:val="Hyperlink"/>
                <w:noProof/>
              </w:rPr>
              <w:t>Nonclinical</w:t>
            </w:r>
            <w:r w:rsidR="00AD4EC7">
              <w:rPr>
                <w:noProof/>
                <w:webHidden/>
              </w:rPr>
              <w:tab/>
            </w:r>
            <w:r w:rsidR="00AD4EC7">
              <w:rPr>
                <w:noProof/>
                <w:webHidden/>
              </w:rPr>
              <w:fldChar w:fldCharType="begin"/>
            </w:r>
            <w:r w:rsidR="00AD4EC7">
              <w:rPr>
                <w:noProof/>
                <w:webHidden/>
              </w:rPr>
              <w:instrText xml:space="preserve"> PAGEREF _Toc144277329 \h </w:instrText>
            </w:r>
            <w:r w:rsidR="00AD4EC7">
              <w:rPr>
                <w:noProof/>
                <w:webHidden/>
              </w:rPr>
            </w:r>
            <w:r w:rsidR="00AD4EC7">
              <w:rPr>
                <w:noProof/>
                <w:webHidden/>
              </w:rPr>
              <w:fldChar w:fldCharType="separate"/>
            </w:r>
            <w:r w:rsidR="00AD4EC7">
              <w:rPr>
                <w:noProof/>
                <w:webHidden/>
              </w:rPr>
              <w:t>9</w:t>
            </w:r>
            <w:r w:rsidR="00AD4EC7">
              <w:rPr>
                <w:noProof/>
                <w:webHidden/>
              </w:rPr>
              <w:fldChar w:fldCharType="end"/>
            </w:r>
          </w:hyperlink>
        </w:p>
        <w:p w14:paraId="6E994FE0" w14:textId="57892ACD"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30" w:history="1">
            <w:r w:rsidR="00AD4EC7" w:rsidRPr="004043BC">
              <w:rPr>
                <w:rStyle w:val="Hyperlink"/>
                <w:noProof/>
              </w:rPr>
              <w:t>Clinical</w:t>
            </w:r>
            <w:r w:rsidR="00AD4EC7">
              <w:rPr>
                <w:noProof/>
                <w:webHidden/>
              </w:rPr>
              <w:tab/>
            </w:r>
            <w:r w:rsidR="00AD4EC7">
              <w:rPr>
                <w:noProof/>
                <w:webHidden/>
              </w:rPr>
              <w:fldChar w:fldCharType="begin"/>
            </w:r>
            <w:r w:rsidR="00AD4EC7">
              <w:rPr>
                <w:noProof/>
                <w:webHidden/>
              </w:rPr>
              <w:instrText xml:space="preserve"> PAGEREF _Toc144277330 \h </w:instrText>
            </w:r>
            <w:r w:rsidR="00AD4EC7">
              <w:rPr>
                <w:noProof/>
                <w:webHidden/>
              </w:rPr>
            </w:r>
            <w:r w:rsidR="00AD4EC7">
              <w:rPr>
                <w:noProof/>
                <w:webHidden/>
              </w:rPr>
              <w:fldChar w:fldCharType="separate"/>
            </w:r>
            <w:r w:rsidR="00AD4EC7">
              <w:rPr>
                <w:noProof/>
                <w:webHidden/>
              </w:rPr>
              <w:t>10</w:t>
            </w:r>
            <w:r w:rsidR="00AD4EC7">
              <w:rPr>
                <w:noProof/>
                <w:webHidden/>
              </w:rPr>
              <w:fldChar w:fldCharType="end"/>
            </w:r>
          </w:hyperlink>
        </w:p>
        <w:p w14:paraId="0A9A34FF" w14:textId="27987739" w:rsidR="00AD4EC7" w:rsidRDefault="00DB29BA">
          <w:pPr>
            <w:pStyle w:val="TOC3"/>
            <w:rPr>
              <w:rFonts w:asciiTheme="minorHAnsi" w:eastAsiaTheme="minorEastAsia" w:hAnsiTheme="minorHAnsi" w:cstheme="minorBidi"/>
              <w:b w:val="0"/>
              <w:noProof/>
              <w:color w:val="auto"/>
              <w:szCs w:val="22"/>
              <w:lang w:eastAsia="en-AU"/>
            </w:rPr>
          </w:pPr>
          <w:hyperlink w:anchor="_Toc144277331" w:history="1">
            <w:r w:rsidR="00AD4EC7" w:rsidRPr="004043BC">
              <w:rPr>
                <w:rStyle w:val="Hyperlink"/>
                <w:noProof/>
              </w:rPr>
              <w:t>Summary of clinical studies</w:t>
            </w:r>
            <w:r w:rsidR="00AD4EC7">
              <w:rPr>
                <w:noProof/>
                <w:webHidden/>
              </w:rPr>
              <w:tab/>
            </w:r>
            <w:r w:rsidR="00AD4EC7">
              <w:rPr>
                <w:noProof/>
                <w:webHidden/>
              </w:rPr>
              <w:fldChar w:fldCharType="begin"/>
            </w:r>
            <w:r w:rsidR="00AD4EC7">
              <w:rPr>
                <w:noProof/>
                <w:webHidden/>
              </w:rPr>
              <w:instrText xml:space="preserve"> PAGEREF _Toc144277331 \h </w:instrText>
            </w:r>
            <w:r w:rsidR="00AD4EC7">
              <w:rPr>
                <w:noProof/>
                <w:webHidden/>
              </w:rPr>
            </w:r>
            <w:r w:rsidR="00AD4EC7">
              <w:rPr>
                <w:noProof/>
                <w:webHidden/>
              </w:rPr>
              <w:fldChar w:fldCharType="separate"/>
            </w:r>
            <w:r w:rsidR="00AD4EC7">
              <w:rPr>
                <w:noProof/>
                <w:webHidden/>
              </w:rPr>
              <w:t>10</w:t>
            </w:r>
            <w:r w:rsidR="00AD4EC7">
              <w:rPr>
                <w:noProof/>
                <w:webHidden/>
              </w:rPr>
              <w:fldChar w:fldCharType="end"/>
            </w:r>
          </w:hyperlink>
        </w:p>
        <w:p w14:paraId="58EFCE69" w14:textId="54940E67" w:rsidR="00AD4EC7" w:rsidRDefault="00DB29BA">
          <w:pPr>
            <w:pStyle w:val="TOC3"/>
            <w:rPr>
              <w:rFonts w:asciiTheme="minorHAnsi" w:eastAsiaTheme="minorEastAsia" w:hAnsiTheme="minorHAnsi" w:cstheme="minorBidi"/>
              <w:b w:val="0"/>
              <w:noProof/>
              <w:color w:val="auto"/>
              <w:szCs w:val="22"/>
              <w:lang w:eastAsia="en-AU"/>
            </w:rPr>
          </w:pPr>
          <w:hyperlink w:anchor="_Toc144277332" w:history="1">
            <w:r w:rsidR="00AD4EC7" w:rsidRPr="004043BC">
              <w:rPr>
                <w:rStyle w:val="Hyperlink"/>
                <w:noProof/>
              </w:rPr>
              <w:t>Pharmacology</w:t>
            </w:r>
            <w:r w:rsidR="00AD4EC7">
              <w:rPr>
                <w:noProof/>
                <w:webHidden/>
              </w:rPr>
              <w:tab/>
            </w:r>
            <w:r w:rsidR="00AD4EC7">
              <w:rPr>
                <w:noProof/>
                <w:webHidden/>
              </w:rPr>
              <w:fldChar w:fldCharType="begin"/>
            </w:r>
            <w:r w:rsidR="00AD4EC7">
              <w:rPr>
                <w:noProof/>
                <w:webHidden/>
              </w:rPr>
              <w:instrText xml:space="preserve"> PAGEREF _Toc144277332 \h </w:instrText>
            </w:r>
            <w:r w:rsidR="00AD4EC7">
              <w:rPr>
                <w:noProof/>
                <w:webHidden/>
              </w:rPr>
            </w:r>
            <w:r w:rsidR="00AD4EC7">
              <w:rPr>
                <w:noProof/>
                <w:webHidden/>
              </w:rPr>
              <w:fldChar w:fldCharType="separate"/>
            </w:r>
            <w:r w:rsidR="00AD4EC7">
              <w:rPr>
                <w:noProof/>
                <w:webHidden/>
              </w:rPr>
              <w:t>11</w:t>
            </w:r>
            <w:r w:rsidR="00AD4EC7">
              <w:rPr>
                <w:noProof/>
                <w:webHidden/>
              </w:rPr>
              <w:fldChar w:fldCharType="end"/>
            </w:r>
          </w:hyperlink>
        </w:p>
        <w:p w14:paraId="02CE7FB2" w14:textId="2BFD1FB1" w:rsidR="00AD4EC7" w:rsidRDefault="00DB29BA">
          <w:pPr>
            <w:pStyle w:val="TOC3"/>
            <w:rPr>
              <w:rFonts w:asciiTheme="minorHAnsi" w:eastAsiaTheme="minorEastAsia" w:hAnsiTheme="minorHAnsi" w:cstheme="minorBidi"/>
              <w:b w:val="0"/>
              <w:noProof/>
              <w:color w:val="auto"/>
              <w:szCs w:val="22"/>
              <w:lang w:eastAsia="en-AU"/>
            </w:rPr>
          </w:pPr>
          <w:hyperlink w:anchor="_Toc144277333" w:history="1">
            <w:r w:rsidR="00AD4EC7" w:rsidRPr="004043BC">
              <w:rPr>
                <w:rStyle w:val="Hyperlink"/>
                <w:noProof/>
              </w:rPr>
              <w:t>Efficacy</w:t>
            </w:r>
            <w:r w:rsidR="00AD4EC7">
              <w:rPr>
                <w:noProof/>
                <w:webHidden/>
              </w:rPr>
              <w:tab/>
            </w:r>
            <w:r w:rsidR="00AD4EC7">
              <w:rPr>
                <w:noProof/>
                <w:webHidden/>
              </w:rPr>
              <w:fldChar w:fldCharType="begin"/>
            </w:r>
            <w:r w:rsidR="00AD4EC7">
              <w:rPr>
                <w:noProof/>
                <w:webHidden/>
              </w:rPr>
              <w:instrText xml:space="preserve"> PAGEREF _Toc144277333 \h </w:instrText>
            </w:r>
            <w:r w:rsidR="00AD4EC7">
              <w:rPr>
                <w:noProof/>
                <w:webHidden/>
              </w:rPr>
            </w:r>
            <w:r w:rsidR="00AD4EC7">
              <w:rPr>
                <w:noProof/>
                <w:webHidden/>
              </w:rPr>
              <w:fldChar w:fldCharType="separate"/>
            </w:r>
            <w:r w:rsidR="00AD4EC7">
              <w:rPr>
                <w:noProof/>
                <w:webHidden/>
              </w:rPr>
              <w:t>12</w:t>
            </w:r>
            <w:r w:rsidR="00AD4EC7">
              <w:rPr>
                <w:noProof/>
                <w:webHidden/>
              </w:rPr>
              <w:fldChar w:fldCharType="end"/>
            </w:r>
          </w:hyperlink>
        </w:p>
        <w:p w14:paraId="47057235" w14:textId="69E82914" w:rsidR="00AD4EC7" w:rsidRDefault="00DB29BA">
          <w:pPr>
            <w:pStyle w:val="TOC3"/>
            <w:rPr>
              <w:rFonts w:asciiTheme="minorHAnsi" w:eastAsiaTheme="minorEastAsia" w:hAnsiTheme="minorHAnsi" w:cstheme="minorBidi"/>
              <w:b w:val="0"/>
              <w:noProof/>
              <w:color w:val="auto"/>
              <w:szCs w:val="22"/>
              <w:lang w:eastAsia="en-AU"/>
            </w:rPr>
          </w:pPr>
          <w:hyperlink w:anchor="_Toc144277334" w:history="1">
            <w:r w:rsidR="00AD4EC7" w:rsidRPr="004043BC">
              <w:rPr>
                <w:rStyle w:val="Hyperlink"/>
                <w:noProof/>
              </w:rPr>
              <w:t>Safety</w:t>
            </w:r>
            <w:r w:rsidR="00AD4EC7">
              <w:rPr>
                <w:noProof/>
                <w:webHidden/>
              </w:rPr>
              <w:tab/>
            </w:r>
            <w:r w:rsidR="00AD4EC7">
              <w:rPr>
                <w:noProof/>
                <w:webHidden/>
              </w:rPr>
              <w:fldChar w:fldCharType="begin"/>
            </w:r>
            <w:r w:rsidR="00AD4EC7">
              <w:rPr>
                <w:noProof/>
                <w:webHidden/>
              </w:rPr>
              <w:instrText xml:space="preserve"> PAGEREF _Toc144277334 \h </w:instrText>
            </w:r>
            <w:r w:rsidR="00AD4EC7">
              <w:rPr>
                <w:noProof/>
                <w:webHidden/>
              </w:rPr>
            </w:r>
            <w:r w:rsidR="00AD4EC7">
              <w:rPr>
                <w:noProof/>
                <w:webHidden/>
              </w:rPr>
              <w:fldChar w:fldCharType="separate"/>
            </w:r>
            <w:r w:rsidR="00AD4EC7">
              <w:rPr>
                <w:noProof/>
                <w:webHidden/>
              </w:rPr>
              <w:t>24</w:t>
            </w:r>
            <w:r w:rsidR="00AD4EC7">
              <w:rPr>
                <w:noProof/>
                <w:webHidden/>
              </w:rPr>
              <w:fldChar w:fldCharType="end"/>
            </w:r>
          </w:hyperlink>
        </w:p>
        <w:p w14:paraId="36FB2AFB" w14:textId="6EBE76CF"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35" w:history="1">
            <w:r w:rsidR="00AD4EC7" w:rsidRPr="004043BC">
              <w:rPr>
                <w:rStyle w:val="Hyperlink"/>
                <w:noProof/>
                <w:lang w:eastAsia="en-AU"/>
              </w:rPr>
              <w:t>Risk management plan</w:t>
            </w:r>
            <w:r w:rsidR="00AD4EC7">
              <w:rPr>
                <w:noProof/>
                <w:webHidden/>
              </w:rPr>
              <w:tab/>
            </w:r>
            <w:r w:rsidR="00AD4EC7">
              <w:rPr>
                <w:noProof/>
                <w:webHidden/>
              </w:rPr>
              <w:fldChar w:fldCharType="begin"/>
            </w:r>
            <w:r w:rsidR="00AD4EC7">
              <w:rPr>
                <w:noProof/>
                <w:webHidden/>
              </w:rPr>
              <w:instrText xml:space="preserve"> PAGEREF _Toc144277335 \h </w:instrText>
            </w:r>
            <w:r w:rsidR="00AD4EC7">
              <w:rPr>
                <w:noProof/>
                <w:webHidden/>
              </w:rPr>
            </w:r>
            <w:r w:rsidR="00AD4EC7">
              <w:rPr>
                <w:noProof/>
                <w:webHidden/>
              </w:rPr>
              <w:fldChar w:fldCharType="separate"/>
            </w:r>
            <w:r w:rsidR="00AD4EC7">
              <w:rPr>
                <w:noProof/>
                <w:webHidden/>
              </w:rPr>
              <w:t>28</w:t>
            </w:r>
            <w:r w:rsidR="00AD4EC7">
              <w:rPr>
                <w:noProof/>
                <w:webHidden/>
              </w:rPr>
              <w:fldChar w:fldCharType="end"/>
            </w:r>
          </w:hyperlink>
        </w:p>
        <w:p w14:paraId="5CACB3DA" w14:textId="5D07FF0A" w:rsidR="00AD4EC7" w:rsidRDefault="00DB29BA">
          <w:pPr>
            <w:pStyle w:val="TOC3"/>
            <w:rPr>
              <w:rFonts w:asciiTheme="minorHAnsi" w:eastAsiaTheme="minorEastAsia" w:hAnsiTheme="minorHAnsi" w:cstheme="minorBidi"/>
              <w:b w:val="0"/>
              <w:noProof/>
              <w:color w:val="auto"/>
              <w:szCs w:val="22"/>
              <w:lang w:eastAsia="en-AU"/>
            </w:rPr>
          </w:pPr>
          <w:hyperlink w:anchor="_Toc144277336" w:history="1">
            <w:r w:rsidR="00AD4EC7" w:rsidRPr="004043BC">
              <w:rPr>
                <w:rStyle w:val="Hyperlink"/>
                <w:noProof/>
              </w:rPr>
              <w:t>Proposed wording for conditions of registration</w:t>
            </w:r>
            <w:r w:rsidR="00AD4EC7">
              <w:rPr>
                <w:noProof/>
                <w:webHidden/>
              </w:rPr>
              <w:tab/>
            </w:r>
            <w:r w:rsidR="00AD4EC7">
              <w:rPr>
                <w:noProof/>
                <w:webHidden/>
              </w:rPr>
              <w:fldChar w:fldCharType="begin"/>
            </w:r>
            <w:r w:rsidR="00AD4EC7">
              <w:rPr>
                <w:noProof/>
                <w:webHidden/>
              </w:rPr>
              <w:instrText xml:space="preserve"> PAGEREF _Toc144277336 \h </w:instrText>
            </w:r>
            <w:r w:rsidR="00AD4EC7">
              <w:rPr>
                <w:noProof/>
                <w:webHidden/>
              </w:rPr>
            </w:r>
            <w:r w:rsidR="00AD4EC7">
              <w:rPr>
                <w:noProof/>
                <w:webHidden/>
              </w:rPr>
              <w:fldChar w:fldCharType="separate"/>
            </w:r>
            <w:r w:rsidR="00AD4EC7">
              <w:rPr>
                <w:noProof/>
                <w:webHidden/>
              </w:rPr>
              <w:t>29</w:t>
            </w:r>
            <w:r w:rsidR="00AD4EC7">
              <w:rPr>
                <w:noProof/>
                <w:webHidden/>
              </w:rPr>
              <w:fldChar w:fldCharType="end"/>
            </w:r>
          </w:hyperlink>
        </w:p>
        <w:p w14:paraId="687C95C6" w14:textId="6FC4490A"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37" w:history="1">
            <w:r w:rsidR="00AD4EC7" w:rsidRPr="004043BC">
              <w:rPr>
                <w:rStyle w:val="Hyperlink"/>
                <w:noProof/>
              </w:rPr>
              <w:t>Risk-benefit analysis</w:t>
            </w:r>
            <w:r w:rsidR="00AD4EC7">
              <w:rPr>
                <w:noProof/>
                <w:webHidden/>
              </w:rPr>
              <w:tab/>
            </w:r>
            <w:r w:rsidR="00AD4EC7">
              <w:rPr>
                <w:noProof/>
                <w:webHidden/>
              </w:rPr>
              <w:fldChar w:fldCharType="begin"/>
            </w:r>
            <w:r w:rsidR="00AD4EC7">
              <w:rPr>
                <w:noProof/>
                <w:webHidden/>
              </w:rPr>
              <w:instrText xml:space="preserve"> PAGEREF _Toc144277337 \h </w:instrText>
            </w:r>
            <w:r w:rsidR="00AD4EC7">
              <w:rPr>
                <w:noProof/>
                <w:webHidden/>
              </w:rPr>
            </w:r>
            <w:r w:rsidR="00AD4EC7">
              <w:rPr>
                <w:noProof/>
                <w:webHidden/>
              </w:rPr>
              <w:fldChar w:fldCharType="separate"/>
            </w:r>
            <w:r w:rsidR="00AD4EC7">
              <w:rPr>
                <w:noProof/>
                <w:webHidden/>
              </w:rPr>
              <w:t>29</w:t>
            </w:r>
            <w:r w:rsidR="00AD4EC7">
              <w:rPr>
                <w:noProof/>
                <w:webHidden/>
              </w:rPr>
              <w:fldChar w:fldCharType="end"/>
            </w:r>
          </w:hyperlink>
        </w:p>
        <w:p w14:paraId="0E8AB622" w14:textId="33AA465F" w:rsidR="00AD4EC7" w:rsidRDefault="00DB29BA">
          <w:pPr>
            <w:pStyle w:val="TOC3"/>
            <w:rPr>
              <w:rFonts w:asciiTheme="minorHAnsi" w:eastAsiaTheme="minorEastAsia" w:hAnsiTheme="minorHAnsi" w:cstheme="minorBidi"/>
              <w:b w:val="0"/>
              <w:noProof/>
              <w:color w:val="auto"/>
              <w:szCs w:val="22"/>
              <w:lang w:eastAsia="en-AU"/>
            </w:rPr>
          </w:pPr>
          <w:hyperlink w:anchor="_Toc144277338" w:history="1">
            <w:r w:rsidR="00AD4EC7" w:rsidRPr="004043BC">
              <w:rPr>
                <w:rStyle w:val="Hyperlink"/>
                <w:noProof/>
              </w:rPr>
              <w:t>Delegate’s considerations</w:t>
            </w:r>
            <w:r w:rsidR="00AD4EC7">
              <w:rPr>
                <w:noProof/>
                <w:webHidden/>
              </w:rPr>
              <w:tab/>
            </w:r>
            <w:r w:rsidR="00AD4EC7">
              <w:rPr>
                <w:noProof/>
                <w:webHidden/>
              </w:rPr>
              <w:fldChar w:fldCharType="begin"/>
            </w:r>
            <w:r w:rsidR="00AD4EC7">
              <w:rPr>
                <w:noProof/>
                <w:webHidden/>
              </w:rPr>
              <w:instrText xml:space="preserve"> PAGEREF _Toc144277338 \h </w:instrText>
            </w:r>
            <w:r w:rsidR="00AD4EC7">
              <w:rPr>
                <w:noProof/>
                <w:webHidden/>
              </w:rPr>
            </w:r>
            <w:r w:rsidR="00AD4EC7">
              <w:rPr>
                <w:noProof/>
                <w:webHidden/>
              </w:rPr>
              <w:fldChar w:fldCharType="separate"/>
            </w:r>
            <w:r w:rsidR="00AD4EC7">
              <w:rPr>
                <w:noProof/>
                <w:webHidden/>
              </w:rPr>
              <w:t>29</w:t>
            </w:r>
            <w:r w:rsidR="00AD4EC7">
              <w:rPr>
                <w:noProof/>
                <w:webHidden/>
              </w:rPr>
              <w:fldChar w:fldCharType="end"/>
            </w:r>
          </w:hyperlink>
        </w:p>
        <w:p w14:paraId="7A79EAB9" w14:textId="7D4D032F" w:rsidR="00AD4EC7" w:rsidRDefault="00DB29BA">
          <w:pPr>
            <w:pStyle w:val="TOC3"/>
            <w:rPr>
              <w:rFonts w:asciiTheme="minorHAnsi" w:eastAsiaTheme="minorEastAsia" w:hAnsiTheme="minorHAnsi" w:cstheme="minorBidi"/>
              <w:b w:val="0"/>
              <w:noProof/>
              <w:color w:val="auto"/>
              <w:szCs w:val="22"/>
              <w:lang w:eastAsia="en-AU"/>
            </w:rPr>
          </w:pPr>
          <w:hyperlink w:anchor="_Toc144277339" w:history="1">
            <w:r w:rsidR="00AD4EC7" w:rsidRPr="004043BC">
              <w:rPr>
                <w:rStyle w:val="Hyperlink"/>
                <w:noProof/>
              </w:rPr>
              <w:t>Proposed action</w:t>
            </w:r>
            <w:r w:rsidR="00AD4EC7">
              <w:rPr>
                <w:noProof/>
                <w:webHidden/>
              </w:rPr>
              <w:tab/>
            </w:r>
            <w:r w:rsidR="00AD4EC7">
              <w:rPr>
                <w:noProof/>
                <w:webHidden/>
              </w:rPr>
              <w:fldChar w:fldCharType="begin"/>
            </w:r>
            <w:r w:rsidR="00AD4EC7">
              <w:rPr>
                <w:noProof/>
                <w:webHidden/>
              </w:rPr>
              <w:instrText xml:space="preserve"> PAGEREF _Toc144277339 \h </w:instrText>
            </w:r>
            <w:r w:rsidR="00AD4EC7">
              <w:rPr>
                <w:noProof/>
                <w:webHidden/>
              </w:rPr>
            </w:r>
            <w:r w:rsidR="00AD4EC7">
              <w:rPr>
                <w:noProof/>
                <w:webHidden/>
              </w:rPr>
              <w:fldChar w:fldCharType="separate"/>
            </w:r>
            <w:r w:rsidR="00AD4EC7">
              <w:rPr>
                <w:noProof/>
                <w:webHidden/>
              </w:rPr>
              <w:t>33</w:t>
            </w:r>
            <w:r w:rsidR="00AD4EC7">
              <w:rPr>
                <w:noProof/>
                <w:webHidden/>
              </w:rPr>
              <w:fldChar w:fldCharType="end"/>
            </w:r>
          </w:hyperlink>
        </w:p>
        <w:p w14:paraId="322EBA23" w14:textId="16B81E9D" w:rsidR="00AD4EC7" w:rsidRDefault="00DB29BA">
          <w:pPr>
            <w:pStyle w:val="TOC3"/>
            <w:rPr>
              <w:rFonts w:asciiTheme="minorHAnsi" w:eastAsiaTheme="minorEastAsia" w:hAnsiTheme="minorHAnsi" w:cstheme="minorBidi"/>
              <w:b w:val="0"/>
              <w:noProof/>
              <w:color w:val="auto"/>
              <w:szCs w:val="22"/>
              <w:lang w:eastAsia="en-AU"/>
            </w:rPr>
          </w:pPr>
          <w:hyperlink w:anchor="_Toc144277340" w:history="1">
            <w:r w:rsidR="00AD4EC7" w:rsidRPr="004043BC">
              <w:rPr>
                <w:rStyle w:val="Hyperlink"/>
                <w:noProof/>
              </w:rPr>
              <w:t>Advisory Committee considerations</w:t>
            </w:r>
            <w:r w:rsidR="00AD4EC7">
              <w:rPr>
                <w:noProof/>
                <w:webHidden/>
              </w:rPr>
              <w:tab/>
            </w:r>
            <w:r w:rsidR="00AD4EC7">
              <w:rPr>
                <w:noProof/>
                <w:webHidden/>
              </w:rPr>
              <w:fldChar w:fldCharType="begin"/>
            </w:r>
            <w:r w:rsidR="00AD4EC7">
              <w:rPr>
                <w:noProof/>
                <w:webHidden/>
              </w:rPr>
              <w:instrText xml:space="preserve"> PAGEREF _Toc144277340 \h </w:instrText>
            </w:r>
            <w:r w:rsidR="00AD4EC7">
              <w:rPr>
                <w:noProof/>
                <w:webHidden/>
              </w:rPr>
            </w:r>
            <w:r w:rsidR="00AD4EC7">
              <w:rPr>
                <w:noProof/>
                <w:webHidden/>
              </w:rPr>
              <w:fldChar w:fldCharType="separate"/>
            </w:r>
            <w:r w:rsidR="00AD4EC7">
              <w:rPr>
                <w:noProof/>
                <w:webHidden/>
              </w:rPr>
              <w:t>33</w:t>
            </w:r>
            <w:r w:rsidR="00AD4EC7">
              <w:rPr>
                <w:noProof/>
                <w:webHidden/>
              </w:rPr>
              <w:fldChar w:fldCharType="end"/>
            </w:r>
          </w:hyperlink>
        </w:p>
        <w:p w14:paraId="45A79F2A" w14:textId="4D1B4F55" w:rsidR="00AD4EC7" w:rsidRDefault="00DB29BA">
          <w:pPr>
            <w:pStyle w:val="TOC1"/>
            <w:rPr>
              <w:rFonts w:asciiTheme="minorHAnsi" w:eastAsiaTheme="minorEastAsia" w:hAnsiTheme="minorHAnsi" w:cstheme="minorBidi"/>
              <w:b w:val="0"/>
              <w:noProof/>
              <w:color w:val="auto"/>
              <w:sz w:val="22"/>
              <w:szCs w:val="22"/>
              <w:lang w:eastAsia="en-AU"/>
            </w:rPr>
          </w:pPr>
          <w:hyperlink w:anchor="_Toc144277341" w:history="1">
            <w:r w:rsidR="00AD4EC7" w:rsidRPr="004043BC">
              <w:rPr>
                <w:rStyle w:val="Hyperlink"/>
                <w:noProof/>
              </w:rPr>
              <w:t>Outcome</w:t>
            </w:r>
            <w:r w:rsidR="00AD4EC7">
              <w:rPr>
                <w:noProof/>
                <w:webHidden/>
              </w:rPr>
              <w:tab/>
            </w:r>
            <w:r w:rsidR="00AD4EC7">
              <w:rPr>
                <w:noProof/>
                <w:webHidden/>
              </w:rPr>
              <w:fldChar w:fldCharType="begin"/>
            </w:r>
            <w:r w:rsidR="00AD4EC7">
              <w:rPr>
                <w:noProof/>
                <w:webHidden/>
              </w:rPr>
              <w:instrText xml:space="preserve"> PAGEREF _Toc144277341 \h </w:instrText>
            </w:r>
            <w:r w:rsidR="00AD4EC7">
              <w:rPr>
                <w:noProof/>
                <w:webHidden/>
              </w:rPr>
            </w:r>
            <w:r w:rsidR="00AD4EC7">
              <w:rPr>
                <w:noProof/>
                <w:webHidden/>
              </w:rPr>
              <w:fldChar w:fldCharType="separate"/>
            </w:r>
            <w:r w:rsidR="00AD4EC7">
              <w:rPr>
                <w:noProof/>
                <w:webHidden/>
              </w:rPr>
              <w:t>33</w:t>
            </w:r>
            <w:r w:rsidR="00AD4EC7">
              <w:rPr>
                <w:noProof/>
                <w:webHidden/>
              </w:rPr>
              <w:fldChar w:fldCharType="end"/>
            </w:r>
          </w:hyperlink>
        </w:p>
        <w:p w14:paraId="4A91EEEA" w14:textId="0E76FC7A" w:rsidR="00AD4EC7" w:rsidRDefault="00DB29BA">
          <w:pPr>
            <w:pStyle w:val="TOC2"/>
            <w:rPr>
              <w:rFonts w:asciiTheme="minorHAnsi" w:eastAsiaTheme="minorEastAsia" w:hAnsiTheme="minorHAnsi" w:cstheme="minorBidi"/>
              <w:b w:val="0"/>
              <w:noProof/>
              <w:color w:val="auto"/>
              <w:sz w:val="22"/>
              <w:szCs w:val="22"/>
              <w:lang w:eastAsia="en-AU"/>
            </w:rPr>
          </w:pPr>
          <w:hyperlink w:anchor="_Toc144277342" w:history="1">
            <w:r w:rsidR="00AD4EC7" w:rsidRPr="004043BC">
              <w:rPr>
                <w:rStyle w:val="Hyperlink"/>
                <w:noProof/>
              </w:rPr>
              <w:t>Specific conditions of registration applying to these goods</w:t>
            </w:r>
            <w:r w:rsidR="00AD4EC7">
              <w:rPr>
                <w:noProof/>
                <w:webHidden/>
              </w:rPr>
              <w:tab/>
            </w:r>
            <w:r w:rsidR="00AD4EC7">
              <w:rPr>
                <w:noProof/>
                <w:webHidden/>
              </w:rPr>
              <w:fldChar w:fldCharType="begin"/>
            </w:r>
            <w:r w:rsidR="00AD4EC7">
              <w:rPr>
                <w:noProof/>
                <w:webHidden/>
              </w:rPr>
              <w:instrText xml:space="preserve"> PAGEREF _Toc144277342 \h </w:instrText>
            </w:r>
            <w:r w:rsidR="00AD4EC7">
              <w:rPr>
                <w:noProof/>
                <w:webHidden/>
              </w:rPr>
            </w:r>
            <w:r w:rsidR="00AD4EC7">
              <w:rPr>
                <w:noProof/>
                <w:webHidden/>
              </w:rPr>
              <w:fldChar w:fldCharType="separate"/>
            </w:r>
            <w:r w:rsidR="00AD4EC7">
              <w:rPr>
                <w:noProof/>
                <w:webHidden/>
              </w:rPr>
              <w:t>33</w:t>
            </w:r>
            <w:r w:rsidR="00AD4EC7">
              <w:rPr>
                <w:noProof/>
                <w:webHidden/>
              </w:rPr>
              <w:fldChar w:fldCharType="end"/>
            </w:r>
          </w:hyperlink>
        </w:p>
        <w:p w14:paraId="5B876CFC" w14:textId="4D3C8F01" w:rsidR="00AD4EC7" w:rsidRDefault="00DB29BA">
          <w:pPr>
            <w:pStyle w:val="TOC1"/>
            <w:rPr>
              <w:rFonts w:asciiTheme="minorHAnsi" w:eastAsiaTheme="minorEastAsia" w:hAnsiTheme="minorHAnsi" w:cstheme="minorBidi"/>
              <w:b w:val="0"/>
              <w:noProof/>
              <w:color w:val="auto"/>
              <w:sz w:val="22"/>
              <w:szCs w:val="22"/>
              <w:lang w:eastAsia="en-AU"/>
            </w:rPr>
          </w:pPr>
          <w:hyperlink w:anchor="_Toc144277343" w:history="1">
            <w:r w:rsidR="00AD4EC7" w:rsidRPr="004043BC">
              <w:rPr>
                <w:rStyle w:val="Hyperlink"/>
                <w:noProof/>
              </w:rPr>
              <w:t>Attachment 1. Product Information</w:t>
            </w:r>
            <w:r w:rsidR="00AD4EC7">
              <w:rPr>
                <w:noProof/>
                <w:webHidden/>
              </w:rPr>
              <w:tab/>
            </w:r>
            <w:r w:rsidR="00AD4EC7">
              <w:rPr>
                <w:noProof/>
                <w:webHidden/>
              </w:rPr>
              <w:fldChar w:fldCharType="begin"/>
            </w:r>
            <w:r w:rsidR="00AD4EC7">
              <w:rPr>
                <w:noProof/>
                <w:webHidden/>
              </w:rPr>
              <w:instrText xml:space="preserve"> PAGEREF _Toc144277343 \h </w:instrText>
            </w:r>
            <w:r w:rsidR="00AD4EC7">
              <w:rPr>
                <w:noProof/>
                <w:webHidden/>
              </w:rPr>
            </w:r>
            <w:r w:rsidR="00AD4EC7">
              <w:rPr>
                <w:noProof/>
                <w:webHidden/>
              </w:rPr>
              <w:fldChar w:fldCharType="separate"/>
            </w:r>
            <w:r w:rsidR="00AD4EC7">
              <w:rPr>
                <w:noProof/>
                <w:webHidden/>
              </w:rPr>
              <w:t>34</w:t>
            </w:r>
            <w:r w:rsidR="00AD4EC7">
              <w:rPr>
                <w:noProof/>
                <w:webHidden/>
              </w:rPr>
              <w:fldChar w:fldCharType="end"/>
            </w:r>
          </w:hyperlink>
        </w:p>
        <w:p w14:paraId="77659F2D" w14:textId="756CE18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6AFA5302" w:rsidR="00324B33" w:rsidRPr="007A0E2D" w:rsidRDefault="00324B33" w:rsidP="007A0E2D">
      <w:pPr>
        <w:pStyle w:val="Heading2"/>
      </w:pPr>
      <w:bookmarkStart w:id="3" w:name="_Toc98931917"/>
      <w:bookmarkStart w:id="4" w:name="_Toc103679287"/>
      <w:bookmarkStart w:id="5" w:name="_Toc144277318"/>
      <w:bookmarkStart w:id="6" w:name="_Toc323739589"/>
      <w:bookmarkStart w:id="7" w:name="_Toc356305216"/>
      <w:r>
        <w:lastRenderedPageBreak/>
        <w:t>List of abbreviations</w:t>
      </w:r>
      <w:bookmarkEnd w:id="3"/>
      <w:bookmarkEnd w:id="4"/>
      <w:bookmarkEnd w:id="5"/>
    </w:p>
    <w:tbl>
      <w:tblPr>
        <w:tblStyle w:val="TableTGAblue2023"/>
        <w:tblW w:w="4975" w:type="pct"/>
        <w:tblLook w:val="04A0" w:firstRow="1" w:lastRow="0" w:firstColumn="1" w:lastColumn="0" w:noHBand="0" w:noVBand="1"/>
      </w:tblPr>
      <w:tblGrid>
        <w:gridCol w:w="2164"/>
        <w:gridCol w:w="6851"/>
      </w:tblGrid>
      <w:tr w:rsidR="003F319D" w:rsidRPr="00D01DDB" w14:paraId="4CA19A9B" w14:textId="77777777" w:rsidTr="00E5098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623B7132" w14:textId="77777777" w:rsidR="003F319D" w:rsidRPr="00D01DDB" w:rsidRDefault="003F319D" w:rsidP="00E50984">
            <w:pPr>
              <w:rPr>
                <w:szCs w:val="22"/>
              </w:rPr>
            </w:pPr>
            <w:r w:rsidRPr="00D01DDB">
              <w:rPr>
                <w:szCs w:val="22"/>
              </w:rPr>
              <w:t>Abbreviation</w:t>
            </w:r>
          </w:p>
        </w:tc>
        <w:tc>
          <w:tcPr>
            <w:tcW w:w="3800" w:type="pct"/>
          </w:tcPr>
          <w:p w14:paraId="1D727FE8" w14:textId="77777777" w:rsidR="003F319D" w:rsidRPr="00D01DDB" w:rsidRDefault="003F319D" w:rsidP="00E5098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F319D" w:rsidRPr="00D01DDB" w14:paraId="358A310F"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B51668" w14:textId="77777777" w:rsidR="003F319D" w:rsidRPr="00D01DDB" w:rsidRDefault="003F319D" w:rsidP="00E50984">
            <w:pPr>
              <w:rPr>
                <w:szCs w:val="22"/>
              </w:rPr>
            </w:pPr>
            <w:r>
              <w:rPr>
                <w:szCs w:val="22"/>
              </w:rPr>
              <w:t>10-MWT</w:t>
            </w:r>
          </w:p>
        </w:tc>
        <w:tc>
          <w:tcPr>
            <w:tcW w:w="3800" w:type="pct"/>
          </w:tcPr>
          <w:p w14:paraId="3429756A"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0B7A55">
              <w:t>10</w:t>
            </w:r>
            <w:r>
              <w:t xml:space="preserve"> metres walk test</w:t>
            </w:r>
          </w:p>
        </w:tc>
      </w:tr>
      <w:tr w:rsidR="003F319D" w:rsidRPr="00D01DDB" w14:paraId="01459517"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88E637" w14:textId="77777777" w:rsidR="003F319D" w:rsidRPr="00D01DDB" w:rsidRDefault="003F319D" w:rsidP="00E50984">
            <w:pPr>
              <w:rPr>
                <w:szCs w:val="22"/>
              </w:rPr>
            </w:pPr>
            <w:r>
              <w:rPr>
                <w:szCs w:val="22"/>
              </w:rPr>
              <w:t>AE</w:t>
            </w:r>
          </w:p>
        </w:tc>
        <w:tc>
          <w:tcPr>
            <w:tcW w:w="3800" w:type="pct"/>
          </w:tcPr>
          <w:p w14:paraId="4BF496AF"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3F319D" w:rsidRPr="00D01DDB" w14:paraId="2A1D4812"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753AD7" w14:textId="77777777" w:rsidR="003F319D" w:rsidRPr="00D01DDB" w:rsidRDefault="003F319D" w:rsidP="00E50984">
            <w:pPr>
              <w:rPr>
                <w:szCs w:val="22"/>
              </w:rPr>
            </w:pPr>
            <w:r w:rsidRPr="00D01DDB">
              <w:rPr>
                <w:szCs w:val="22"/>
              </w:rPr>
              <w:t>ARTG</w:t>
            </w:r>
          </w:p>
        </w:tc>
        <w:tc>
          <w:tcPr>
            <w:tcW w:w="3800" w:type="pct"/>
          </w:tcPr>
          <w:p w14:paraId="5D5F3FBE"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F319D" w:rsidRPr="00D01DDB" w14:paraId="5D6B1230"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62B188" w14:textId="77777777" w:rsidR="003F319D" w:rsidRPr="00D01DDB" w:rsidRDefault="003F319D" w:rsidP="00E50984">
            <w:pPr>
              <w:rPr>
                <w:szCs w:val="22"/>
              </w:rPr>
            </w:pPr>
            <w:r w:rsidRPr="00D01DDB">
              <w:rPr>
                <w:szCs w:val="22"/>
              </w:rPr>
              <w:t>ASA</w:t>
            </w:r>
          </w:p>
        </w:tc>
        <w:tc>
          <w:tcPr>
            <w:tcW w:w="3800" w:type="pct"/>
          </w:tcPr>
          <w:p w14:paraId="254183D4"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3F319D" w:rsidRPr="00D01DDB" w14:paraId="70F4406F"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A5A1C9" w14:textId="77777777" w:rsidR="003F319D" w:rsidRPr="00D01DDB" w:rsidRDefault="003F319D" w:rsidP="00E50984">
            <w:pPr>
              <w:rPr>
                <w:szCs w:val="22"/>
              </w:rPr>
            </w:pPr>
            <w:r>
              <w:rPr>
                <w:szCs w:val="22"/>
              </w:rPr>
              <w:t>ATTR</w:t>
            </w:r>
          </w:p>
        </w:tc>
        <w:tc>
          <w:tcPr>
            <w:tcW w:w="3800" w:type="pct"/>
          </w:tcPr>
          <w:p w14:paraId="403CA0DE"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t>t</w:t>
            </w:r>
            <w:r w:rsidRPr="00E605F5">
              <w:t>ransthyretin-mediated</w:t>
            </w:r>
            <w:r>
              <w:t xml:space="preserve"> amyloidosis</w:t>
            </w:r>
          </w:p>
        </w:tc>
      </w:tr>
      <w:tr w:rsidR="003F319D" w:rsidRPr="00D01DDB" w14:paraId="0E8B4151"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58CFB8" w14:textId="77777777" w:rsidR="003F319D" w:rsidRPr="00D01DDB" w:rsidRDefault="003F319D" w:rsidP="00E50984">
            <w:pPr>
              <w:rPr>
                <w:szCs w:val="22"/>
              </w:rPr>
            </w:pPr>
            <w:r w:rsidRPr="00D01DDB">
              <w:rPr>
                <w:szCs w:val="22"/>
              </w:rPr>
              <w:t>CMI</w:t>
            </w:r>
          </w:p>
        </w:tc>
        <w:tc>
          <w:tcPr>
            <w:tcW w:w="3800" w:type="pct"/>
          </w:tcPr>
          <w:p w14:paraId="1B25A72E"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F319D" w:rsidRPr="00D01DDB" w14:paraId="397F3678"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557D59" w14:textId="77777777" w:rsidR="003F319D" w:rsidRPr="00D01DDB" w:rsidRDefault="003F319D" w:rsidP="00E50984">
            <w:pPr>
              <w:rPr>
                <w:szCs w:val="22"/>
              </w:rPr>
            </w:pPr>
            <w:r>
              <w:rPr>
                <w:szCs w:val="22"/>
              </w:rPr>
              <w:t>CNS</w:t>
            </w:r>
          </w:p>
        </w:tc>
        <w:tc>
          <w:tcPr>
            <w:tcW w:w="3800" w:type="pct"/>
          </w:tcPr>
          <w:p w14:paraId="5DB6664B"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FF1F3C">
              <w:rPr>
                <w:szCs w:val="22"/>
              </w:rPr>
              <w:t>entral nervous system</w:t>
            </w:r>
          </w:p>
        </w:tc>
      </w:tr>
      <w:tr w:rsidR="003F319D" w:rsidRPr="00D01DDB" w14:paraId="60ECD412"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5970A9" w14:textId="77777777" w:rsidR="003F319D" w:rsidRPr="00D01DDB" w:rsidRDefault="003F319D" w:rsidP="00E50984">
            <w:pPr>
              <w:rPr>
                <w:szCs w:val="22"/>
              </w:rPr>
            </w:pPr>
            <w:r>
              <w:rPr>
                <w:szCs w:val="22"/>
              </w:rPr>
              <w:t>COMPASS 31</w:t>
            </w:r>
          </w:p>
        </w:tc>
        <w:tc>
          <w:tcPr>
            <w:tcW w:w="3800" w:type="pct"/>
          </w:tcPr>
          <w:p w14:paraId="6243DFC8"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2935FF">
              <w:t>Composite Autonomic Symptom Score</w:t>
            </w:r>
            <w:r>
              <w:t xml:space="preserve"> 31</w:t>
            </w:r>
          </w:p>
        </w:tc>
      </w:tr>
      <w:tr w:rsidR="003F319D" w:rsidRPr="00D01DDB" w14:paraId="6E9BAB60"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909D43" w14:textId="77777777" w:rsidR="003F319D" w:rsidRPr="00D01DDB" w:rsidRDefault="003F319D" w:rsidP="00E50984">
            <w:pPr>
              <w:rPr>
                <w:szCs w:val="22"/>
              </w:rPr>
            </w:pPr>
            <w:r>
              <w:rPr>
                <w:szCs w:val="22"/>
              </w:rPr>
              <w:t>COR</w:t>
            </w:r>
          </w:p>
        </w:tc>
        <w:tc>
          <w:tcPr>
            <w:tcW w:w="3800" w:type="pct"/>
          </w:tcPr>
          <w:p w14:paraId="5EEE14AA"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2C152C">
              <w:rPr>
                <w:szCs w:val="22"/>
              </w:rPr>
              <w:t>Comparable Overseas Regulator</w:t>
            </w:r>
          </w:p>
        </w:tc>
      </w:tr>
      <w:tr w:rsidR="003F319D" w:rsidRPr="00D01DDB" w14:paraId="137A2EDD"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0A781C" w14:textId="77777777" w:rsidR="003F319D" w:rsidRPr="00D01DDB" w:rsidRDefault="003F319D" w:rsidP="00E50984">
            <w:pPr>
              <w:rPr>
                <w:szCs w:val="22"/>
              </w:rPr>
            </w:pPr>
            <w:r w:rsidRPr="00D01DDB">
              <w:rPr>
                <w:szCs w:val="22"/>
              </w:rPr>
              <w:t>DLP</w:t>
            </w:r>
          </w:p>
        </w:tc>
        <w:tc>
          <w:tcPr>
            <w:tcW w:w="3800" w:type="pct"/>
          </w:tcPr>
          <w:p w14:paraId="5DAEBC49"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3F319D" w:rsidRPr="00D01DDB" w14:paraId="0D55FDB4"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648ECE" w14:textId="77777777" w:rsidR="003F319D" w:rsidRPr="00D01DDB" w:rsidRDefault="003F319D" w:rsidP="00E50984">
            <w:pPr>
              <w:rPr>
                <w:szCs w:val="22"/>
              </w:rPr>
            </w:pPr>
            <w:proofErr w:type="spellStart"/>
            <w:r>
              <w:rPr>
                <w:szCs w:val="22"/>
              </w:rPr>
              <w:t>hATTR</w:t>
            </w:r>
            <w:proofErr w:type="spellEnd"/>
          </w:p>
        </w:tc>
        <w:tc>
          <w:tcPr>
            <w:tcW w:w="3800" w:type="pct"/>
          </w:tcPr>
          <w:p w14:paraId="19C7495C"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BF303F">
              <w:rPr>
                <w:szCs w:val="22"/>
              </w:rPr>
              <w:t>hereditary transthyretin-mediated amyloidosis</w:t>
            </w:r>
          </w:p>
        </w:tc>
      </w:tr>
      <w:tr w:rsidR="003F319D" w:rsidRPr="00D01DDB" w14:paraId="6A3769BC"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F2AD78" w14:textId="77777777" w:rsidR="003F319D" w:rsidRPr="00D01DDB" w:rsidRDefault="003F319D" w:rsidP="00E50984">
            <w:pPr>
              <w:rPr>
                <w:szCs w:val="22"/>
              </w:rPr>
            </w:pPr>
            <w:proofErr w:type="spellStart"/>
            <w:r>
              <w:rPr>
                <w:szCs w:val="22"/>
              </w:rPr>
              <w:t>hATTR</w:t>
            </w:r>
            <w:proofErr w:type="spellEnd"/>
          </w:p>
        </w:tc>
        <w:tc>
          <w:tcPr>
            <w:tcW w:w="3800" w:type="pct"/>
          </w:tcPr>
          <w:p w14:paraId="16F5AE96"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t>Hereditary t</w:t>
            </w:r>
            <w:r w:rsidRPr="00E605F5">
              <w:t>ransthyretin-mediated</w:t>
            </w:r>
            <w:r>
              <w:t xml:space="preserve"> amyloidosis</w:t>
            </w:r>
          </w:p>
        </w:tc>
      </w:tr>
      <w:tr w:rsidR="003F319D" w:rsidRPr="00D01DDB" w14:paraId="32B80F35"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E048CE" w14:textId="77777777" w:rsidR="003F319D" w:rsidRPr="00D01DDB" w:rsidRDefault="003F319D" w:rsidP="00E50984">
            <w:pPr>
              <w:rPr>
                <w:szCs w:val="22"/>
              </w:rPr>
            </w:pPr>
            <w:r>
              <w:rPr>
                <w:szCs w:val="22"/>
              </w:rPr>
              <w:t>HCP</w:t>
            </w:r>
          </w:p>
        </w:tc>
        <w:tc>
          <w:tcPr>
            <w:tcW w:w="3800" w:type="pct"/>
          </w:tcPr>
          <w:p w14:paraId="3955FC2D"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Pr>
                <w:szCs w:val="22"/>
              </w:rPr>
              <w:t>Healthcare provider</w:t>
            </w:r>
          </w:p>
        </w:tc>
      </w:tr>
      <w:tr w:rsidR="003F319D" w:rsidRPr="00D01DDB" w14:paraId="2823B7C4"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2C3B52" w14:textId="77777777" w:rsidR="003F319D" w:rsidRPr="00D01DDB" w:rsidRDefault="003F319D" w:rsidP="00E50984">
            <w:pPr>
              <w:rPr>
                <w:szCs w:val="22"/>
              </w:rPr>
            </w:pPr>
            <w:r>
              <w:rPr>
                <w:szCs w:val="22"/>
              </w:rPr>
              <w:t>ICH</w:t>
            </w:r>
          </w:p>
        </w:tc>
        <w:tc>
          <w:tcPr>
            <w:tcW w:w="3800" w:type="pct"/>
          </w:tcPr>
          <w:p w14:paraId="6DEC952C"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2C152C">
              <w:rPr>
                <w:szCs w:val="22"/>
              </w:rPr>
              <w:t>International Conference on Harmonization</w:t>
            </w:r>
          </w:p>
        </w:tc>
      </w:tr>
      <w:tr w:rsidR="003F319D" w:rsidRPr="00D01DDB" w14:paraId="2B7365D6"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4D9A90" w14:textId="77777777" w:rsidR="003F319D" w:rsidRPr="00D01DDB" w:rsidRDefault="003F319D" w:rsidP="00E50984">
            <w:pPr>
              <w:rPr>
                <w:szCs w:val="22"/>
              </w:rPr>
            </w:pPr>
            <w:proofErr w:type="spellStart"/>
            <w:r>
              <w:rPr>
                <w:szCs w:val="22"/>
              </w:rPr>
              <w:t>mBMI</w:t>
            </w:r>
            <w:proofErr w:type="spellEnd"/>
          </w:p>
        </w:tc>
        <w:tc>
          <w:tcPr>
            <w:tcW w:w="3800" w:type="pct"/>
          </w:tcPr>
          <w:p w14:paraId="252F87A4"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t>Modified body mass index</w:t>
            </w:r>
          </w:p>
        </w:tc>
      </w:tr>
      <w:tr w:rsidR="003F319D" w:rsidRPr="00D01DDB" w14:paraId="77C57B67"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16929F" w14:textId="77777777" w:rsidR="003F319D" w:rsidRPr="00D01DDB" w:rsidRDefault="003F319D" w:rsidP="00E50984">
            <w:pPr>
              <w:rPr>
                <w:szCs w:val="22"/>
              </w:rPr>
            </w:pPr>
            <w:proofErr w:type="spellStart"/>
            <w:r>
              <w:t>mNIS</w:t>
            </w:r>
            <w:proofErr w:type="spellEnd"/>
          </w:p>
        </w:tc>
        <w:tc>
          <w:tcPr>
            <w:tcW w:w="3800" w:type="pct"/>
          </w:tcPr>
          <w:p w14:paraId="4E038300"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t>M</w:t>
            </w:r>
            <w:r w:rsidRPr="00900DD5">
              <w:t xml:space="preserve">odified </w:t>
            </w:r>
            <w:r>
              <w:t>n</w:t>
            </w:r>
            <w:r w:rsidRPr="00900DD5">
              <w:t xml:space="preserve">europathy </w:t>
            </w:r>
            <w:r>
              <w:t>i</w:t>
            </w:r>
            <w:r w:rsidRPr="00900DD5">
              <w:t xml:space="preserve">mpairment </w:t>
            </w:r>
            <w:r>
              <w:t>s</w:t>
            </w:r>
            <w:r w:rsidRPr="00900DD5">
              <w:t>core</w:t>
            </w:r>
          </w:p>
        </w:tc>
      </w:tr>
      <w:tr w:rsidR="003F319D" w:rsidRPr="00D01DDB" w14:paraId="53707456"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1C078A" w14:textId="77777777" w:rsidR="003F319D" w:rsidRPr="00D01DDB" w:rsidRDefault="003F319D" w:rsidP="00E50984">
            <w:pPr>
              <w:rPr>
                <w:szCs w:val="22"/>
              </w:rPr>
            </w:pPr>
            <w:r>
              <w:t>NT-</w:t>
            </w:r>
            <w:proofErr w:type="spellStart"/>
            <w:r>
              <w:t>proBNP</w:t>
            </w:r>
            <w:proofErr w:type="spellEnd"/>
          </w:p>
        </w:tc>
        <w:tc>
          <w:tcPr>
            <w:tcW w:w="3800" w:type="pct"/>
          </w:tcPr>
          <w:p w14:paraId="445A3357"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t>N-terminal prohormone of B-type natriuretic peptide</w:t>
            </w:r>
          </w:p>
        </w:tc>
      </w:tr>
      <w:tr w:rsidR="003F319D" w:rsidRPr="00D01DDB" w14:paraId="11D7BA98"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2BD804" w14:textId="77777777" w:rsidR="003F319D" w:rsidRPr="00D01DDB" w:rsidRDefault="003F319D" w:rsidP="00E50984">
            <w:pPr>
              <w:rPr>
                <w:szCs w:val="22"/>
              </w:rPr>
            </w:pPr>
            <w:r>
              <w:t>PBRER</w:t>
            </w:r>
          </w:p>
        </w:tc>
        <w:tc>
          <w:tcPr>
            <w:tcW w:w="3800" w:type="pct"/>
          </w:tcPr>
          <w:p w14:paraId="590AE3F3"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t>Periodic Benefit-Risk Evaluation Report</w:t>
            </w:r>
          </w:p>
        </w:tc>
      </w:tr>
      <w:tr w:rsidR="003F319D" w:rsidRPr="00D01DDB" w14:paraId="443721C4"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1E207A" w14:textId="77777777" w:rsidR="003F319D" w:rsidRPr="00D01DDB" w:rsidRDefault="003F319D" w:rsidP="00E50984">
            <w:pPr>
              <w:rPr>
                <w:szCs w:val="22"/>
              </w:rPr>
            </w:pPr>
            <w:r>
              <w:rPr>
                <w:szCs w:val="22"/>
              </w:rPr>
              <w:t>PD</w:t>
            </w:r>
          </w:p>
        </w:tc>
        <w:tc>
          <w:tcPr>
            <w:tcW w:w="3800" w:type="pct"/>
          </w:tcPr>
          <w:p w14:paraId="4AD0B832"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Pharmacodynamic(s)</w:t>
            </w:r>
          </w:p>
        </w:tc>
      </w:tr>
      <w:tr w:rsidR="003F319D" w:rsidRPr="00D01DDB" w14:paraId="72F16D17"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17409C" w14:textId="77777777" w:rsidR="003F319D" w:rsidRPr="00D01DDB" w:rsidRDefault="003F319D" w:rsidP="00E50984">
            <w:pPr>
              <w:rPr>
                <w:szCs w:val="22"/>
              </w:rPr>
            </w:pPr>
            <w:r w:rsidRPr="00D01DDB">
              <w:rPr>
                <w:szCs w:val="22"/>
              </w:rPr>
              <w:t>PI</w:t>
            </w:r>
          </w:p>
        </w:tc>
        <w:tc>
          <w:tcPr>
            <w:tcW w:w="3800" w:type="pct"/>
          </w:tcPr>
          <w:p w14:paraId="2116636F"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3F319D" w:rsidRPr="00D01DDB" w14:paraId="0F58CADF"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F30E68" w14:textId="77777777" w:rsidR="003F319D" w:rsidRPr="00D01DDB" w:rsidRDefault="003F319D" w:rsidP="00E50984">
            <w:pPr>
              <w:rPr>
                <w:szCs w:val="22"/>
              </w:rPr>
            </w:pPr>
            <w:r>
              <w:rPr>
                <w:szCs w:val="22"/>
              </w:rPr>
              <w:t>PK</w:t>
            </w:r>
          </w:p>
        </w:tc>
        <w:tc>
          <w:tcPr>
            <w:tcW w:w="3800" w:type="pct"/>
          </w:tcPr>
          <w:p w14:paraId="317C79C8"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3F319D" w:rsidRPr="00D01DDB" w14:paraId="74DB7234"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6B7EFD" w14:textId="77777777" w:rsidR="003F319D" w:rsidRPr="00D01DDB" w:rsidRDefault="003F319D" w:rsidP="00E50984">
            <w:pPr>
              <w:rPr>
                <w:szCs w:val="22"/>
              </w:rPr>
            </w:pPr>
            <w:r w:rsidRPr="00D01DDB">
              <w:rPr>
                <w:szCs w:val="22"/>
              </w:rPr>
              <w:t>PSUR</w:t>
            </w:r>
          </w:p>
        </w:tc>
        <w:tc>
          <w:tcPr>
            <w:tcW w:w="3800" w:type="pct"/>
          </w:tcPr>
          <w:p w14:paraId="22F38FAC"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3F319D" w:rsidRPr="00D01DDB" w14:paraId="49367A99"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B921FD" w14:textId="77777777" w:rsidR="003F319D" w:rsidRPr="00D01DDB" w:rsidRDefault="003F319D" w:rsidP="00E50984">
            <w:pPr>
              <w:rPr>
                <w:szCs w:val="22"/>
              </w:rPr>
            </w:pPr>
            <w:r w:rsidRPr="00D01DDB">
              <w:rPr>
                <w:szCs w:val="22"/>
              </w:rPr>
              <w:t>RMP</w:t>
            </w:r>
          </w:p>
        </w:tc>
        <w:tc>
          <w:tcPr>
            <w:tcW w:w="3800" w:type="pct"/>
          </w:tcPr>
          <w:p w14:paraId="5659AC5E"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3F319D" w:rsidRPr="00D01DDB" w14:paraId="29431715"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0A215D" w14:textId="77777777" w:rsidR="003F319D" w:rsidRPr="00D01DDB" w:rsidRDefault="003F319D" w:rsidP="00E50984">
            <w:pPr>
              <w:rPr>
                <w:szCs w:val="22"/>
              </w:rPr>
            </w:pPr>
            <w:r>
              <w:rPr>
                <w:szCs w:val="22"/>
              </w:rPr>
              <w:t>R-ODS</w:t>
            </w:r>
          </w:p>
        </w:tc>
        <w:tc>
          <w:tcPr>
            <w:tcW w:w="3800" w:type="pct"/>
          </w:tcPr>
          <w:p w14:paraId="01AEC834"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0B7A55">
              <w:t>Rasch-built Overall Disability Scale</w:t>
            </w:r>
          </w:p>
        </w:tc>
      </w:tr>
      <w:tr w:rsidR="003F319D" w:rsidRPr="00D01DDB" w14:paraId="0492FA5F"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D95035" w14:textId="77777777" w:rsidR="003F319D" w:rsidRPr="00D01DDB" w:rsidRDefault="003F319D" w:rsidP="00E50984">
            <w:pPr>
              <w:rPr>
                <w:szCs w:val="22"/>
              </w:rPr>
            </w:pPr>
            <w:r>
              <w:rPr>
                <w:szCs w:val="22"/>
              </w:rPr>
              <w:t>SAE</w:t>
            </w:r>
          </w:p>
        </w:tc>
        <w:tc>
          <w:tcPr>
            <w:tcW w:w="3800" w:type="pct"/>
          </w:tcPr>
          <w:p w14:paraId="64E6C7FC"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3F319D" w:rsidRPr="00D01DDB" w14:paraId="77BD4E32"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9BD09A" w14:textId="77777777" w:rsidR="003F319D" w:rsidRPr="00D01DDB" w:rsidRDefault="003F319D" w:rsidP="00E50984">
            <w:pPr>
              <w:rPr>
                <w:szCs w:val="22"/>
              </w:rPr>
            </w:pPr>
            <w:r w:rsidRPr="00D01DDB">
              <w:rPr>
                <w:szCs w:val="22"/>
              </w:rPr>
              <w:t>TGA</w:t>
            </w:r>
          </w:p>
        </w:tc>
        <w:tc>
          <w:tcPr>
            <w:tcW w:w="3800" w:type="pct"/>
          </w:tcPr>
          <w:p w14:paraId="159E5F5E"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3F319D" w:rsidRPr="00D01DDB" w14:paraId="7DE22EDA" w14:textId="77777777" w:rsidTr="00E5098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DC515" w14:textId="77777777" w:rsidR="003F319D" w:rsidRPr="00D01DDB" w:rsidRDefault="003F319D" w:rsidP="00E50984">
            <w:pPr>
              <w:rPr>
                <w:szCs w:val="22"/>
              </w:rPr>
            </w:pPr>
            <w:r>
              <w:rPr>
                <w:szCs w:val="22"/>
              </w:rPr>
              <w:t>TTR</w:t>
            </w:r>
          </w:p>
        </w:tc>
        <w:tc>
          <w:tcPr>
            <w:tcW w:w="3800" w:type="pct"/>
          </w:tcPr>
          <w:p w14:paraId="722E8646" w14:textId="77777777" w:rsidR="003F319D" w:rsidRPr="00D01DDB" w:rsidRDefault="003F319D" w:rsidP="00E50984">
            <w:pPr>
              <w:cnfStyle w:val="000000000000" w:firstRow="0" w:lastRow="0" w:firstColumn="0" w:lastColumn="0" w:oddVBand="0" w:evenVBand="0" w:oddHBand="0" w:evenHBand="0" w:firstRowFirstColumn="0" w:firstRowLastColumn="0" w:lastRowFirstColumn="0" w:lastRowLastColumn="0"/>
              <w:rPr>
                <w:szCs w:val="22"/>
              </w:rPr>
            </w:pPr>
            <w:r w:rsidRPr="002C152C">
              <w:rPr>
                <w:szCs w:val="22"/>
              </w:rPr>
              <w:t>Transthyretin</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8" w:name="_Toc103679288"/>
      <w:bookmarkStart w:id="9" w:name="_Toc144277319"/>
      <w:r>
        <w:lastRenderedPageBreak/>
        <w:t>Product submission</w:t>
      </w:r>
      <w:bookmarkEnd w:id="8"/>
      <w:bookmarkEnd w:id="9"/>
    </w:p>
    <w:p w14:paraId="21D559DF" w14:textId="77777777" w:rsidR="00324B33" w:rsidRDefault="00324B33" w:rsidP="00324B33">
      <w:pPr>
        <w:pStyle w:val="Heading3"/>
        <w:rPr>
          <w:lang w:eastAsia="en-AU"/>
        </w:rPr>
      </w:pPr>
      <w:bookmarkStart w:id="10" w:name="_Toc247691502"/>
      <w:bookmarkStart w:id="11" w:name="_Toc314842483"/>
      <w:bookmarkStart w:id="12" w:name="_Toc103679289"/>
      <w:bookmarkStart w:id="13" w:name="_Toc144277320"/>
      <w:r>
        <w:rPr>
          <w:lang w:eastAsia="en-AU"/>
        </w:rPr>
        <w:t>Submission details</w:t>
      </w:r>
      <w:bookmarkEnd w:id="10"/>
      <w:bookmarkEnd w:id="11"/>
      <w:bookmarkEnd w:id="12"/>
      <w:bookmarkEnd w:id="13"/>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655014C5" w:rsidR="00324B33" w:rsidRPr="00BD5DBD" w:rsidRDefault="00324B33" w:rsidP="007452E8">
            <w:pPr>
              <w:rPr>
                <w:szCs w:val="22"/>
              </w:rPr>
            </w:pPr>
            <w:r w:rsidRPr="00BD5DBD">
              <w:rPr>
                <w:szCs w:val="22"/>
              </w:rPr>
              <w:t xml:space="preserve">New </w:t>
            </w:r>
            <w:r w:rsidR="00975FA0">
              <w:rPr>
                <w:szCs w:val="22"/>
              </w:rPr>
              <w:t>chemical</w:t>
            </w:r>
            <w:r w:rsidR="00975FA0" w:rsidRPr="00BD5DBD">
              <w:rPr>
                <w:szCs w:val="22"/>
              </w:rPr>
              <w:t xml:space="preserve"> </w:t>
            </w:r>
            <w:r w:rsidRPr="00BD5DBD">
              <w:rPr>
                <w:szCs w:val="22"/>
              </w:rPr>
              <w:t>entity</w:t>
            </w:r>
          </w:p>
        </w:tc>
      </w:tr>
      <w:tr w:rsidR="00324B33" w:rsidRPr="00BD5DBD" w14:paraId="13482B61" w14:textId="77777777" w:rsidTr="00F865A7">
        <w:tc>
          <w:tcPr>
            <w:tcW w:w="1577" w:type="pct"/>
          </w:tcPr>
          <w:p w14:paraId="2C427FCF" w14:textId="7CF6C639" w:rsidR="00324B33" w:rsidRPr="00BD5DBD" w:rsidRDefault="00324B33" w:rsidP="007452E8">
            <w:pPr>
              <w:rPr>
                <w:i/>
                <w:szCs w:val="22"/>
              </w:rPr>
            </w:pPr>
            <w:r w:rsidRPr="00BD5DBD">
              <w:rPr>
                <w:i/>
                <w:szCs w:val="22"/>
              </w:rPr>
              <w:t>Product name:</w:t>
            </w:r>
          </w:p>
        </w:tc>
        <w:tc>
          <w:tcPr>
            <w:tcW w:w="3423" w:type="pct"/>
          </w:tcPr>
          <w:p w14:paraId="0E2DEF76" w14:textId="3AA1B40C" w:rsidR="00324B33" w:rsidRPr="00BD5DBD" w:rsidRDefault="007A0E2D" w:rsidP="007452E8">
            <w:pPr>
              <w:rPr>
                <w:szCs w:val="22"/>
              </w:rPr>
            </w:pPr>
            <w:r w:rsidRPr="007A0E2D">
              <w:rPr>
                <w:szCs w:val="22"/>
              </w:rPr>
              <w:t>Onpattro</w:t>
            </w:r>
          </w:p>
        </w:tc>
      </w:tr>
      <w:tr w:rsidR="00324B33" w:rsidRPr="00BD5DBD" w14:paraId="01255B5B" w14:textId="77777777" w:rsidTr="00F865A7">
        <w:tc>
          <w:tcPr>
            <w:tcW w:w="1577" w:type="pct"/>
          </w:tcPr>
          <w:p w14:paraId="52B4F3D7" w14:textId="593B392A" w:rsidR="00324B33" w:rsidRPr="00BD5DBD" w:rsidRDefault="00324B33" w:rsidP="007452E8">
            <w:pPr>
              <w:rPr>
                <w:i/>
                <w:szCs w:val="22"/>
              </w:rPr>
            </w:pPr>
            <w:r w:rsidRPr="00BD5DBD">
              <w:rPr>
                <w:i/>
                <w:szCs w:val="22"/>
              </w:rPr>
              <w:t>Active ingredient:</w:t>
            </w:r>
          </w:p>
        </w:tc>
        <w:tc>
          <w:tcPr>
            <w:tcW w:w="3423" w:type="pct"/>
          </w:tcPr>
          <w:p w14:paraId="02FB6383" w14:textId="56BF3847" w:rsidR="00324B33" w:rsidRPr="00BD5DBD" w:rsidRDefault="007A0E2D" w:rsidP="007452E8">
            <w:pPr>
              <w:rPr>
                <w:szCs w:val="22"/>
              </w:rPr>
            </w:pPr>
            <w:r w:rsidRPr="007A0E2D">
              <w:rPr>
                <w:szCs w:val="22"/>
              </w:rPr>
              <w:t>Patisiran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B1B7BEA"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34553AE0" w:rsidR="00AE1947" w:rsidRPr="007A0E2D" w:rsidRDefault="00AE1947" w:rsidP="007A0E2D">
            <w:pPr>
              <w:rPr>
                <w:i/>
                <w:szCs w:val="22"/>
              </w:rPr>
            </w:pPr>
            <w:r w:rsidRPr="00BD5DBD">
              <w:rPr>
                <w:i/>
                <w:szCs w:val="22"/>
              </w:rPr>
              <w:t>Date of decision:</w:t>
            </w:r>
          </w:p>
        </w:tc>
        <w:tc>
          <w:tcPr>
            <w:tcW w:w="3423" w:type="pct"/>
          </w:tcPr>
          <w:p w14:paraId="7B381CD6" w14:textId="33F3994A" w:rsidR="00AE1947" w:rsidRPr="00BD5DBD" w:rsidRDefault="007A0E2D" w:rsidP="00602658">
            <w:pPr>
              <w:rPr>
                <w:szCs w:val="22"/>
              </w:rPr>
            </w:pPr>
            <w:r>
              <w:rPr>
                <w:szCs w:val="22"/>
              </w:rPr>
              <w:t>18 November 2022</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0C2B6F81" w:rsidR="00324B33" w:rsidRPr="00BD5DBD" w:rsidRDefault="007A0E2D" w:rsidP="007452E8">
            <w:pPr>
              <w:rPr>
                <w:szCs w:val="22"/>
              </w:rPr>
            </w:pPr>
            <w:r>
              <w:rPr>
                <w:szCs w:val="22"/>
              </w:rPr>
              <w:t>21 November 2022</w:t>
            </w:r>
          </w:p>
        </w:tc>
      </w:tr>
      <w:tr w:rsidR="00324B33" w:rsidRPr="00BD5DBD" w14:paraId="547E08D7" w14:textId="77777777" w:rsidTr="00F865A7">
        <w:tc>
          <w:tcPr>
            <w:tcW w:w="1577" w:type="pct"/>
          </w:tcPr>
          <w:p w14:paraId="5030EF30" w14:textId="705D1676" w:rsidR="00324B33" w:rsidRPr="00BD5DBD" w:rsidRDefault="00324B33" w:rsidP="007452E8">
            <w:pPr>
              <w:rPr>
                <w:i/>
                <w:szCs w:val="22"/>
              </w:rPr>
            </w:pPr>
            <w:r w:rsidRPr="00BD5DBD">
              <w:rPr>
                <w:i/>
                <w:szCs w:val="22"/>
              </w:rPr>
              <w:t>ARTG number:</w:t>
            </w:r>
          </w:p>
        </w:tc>
        <w:tc>
          <w:tcPr>
            <w:tcW w:w="3423" w:type="pct"/>
          </w:tcPr>
          <w:p w14:paraId="0054E912" w14:textId="2F5EE155" w:rsidR="00324B33" w:rsidRPr="00BD5DBD" w:rsidRDefault="007A0E2D" w:rsidP="007452E8">
            <w:pPr>
              <w:rPr>
                <w:szCs w:val="22"/>
              </w:rPr>
            </w:pPr>
            <w:r>
              <w:rPr>
                <w:rFonts w:cs="Cambria"/>
                <w:szCs w:val="22"/>
              </w:rPr>
              <w:t>380813</w:t>
            </w:r>
          </w:p>
        </w:tc>
      </w:tr>
      <w:tr w:rsidR="00324B33" w:rsidRPr="00BD5DBD" w14:paraId="7618393F" w14:textId="77777777" w:rsidTr="00F865A7">
        <w:tc>
          <w:tcPr>
            <w:tcW w:w="1577" w:type="pct"/>
          </w:tcPr>
          <w:p w14:paraId="6C24CEB6" w14:textId="5EC2A5E8"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75BFC6BD" w:rsidR="00324B33" w:rsidRPr="00BD5DBD" w:rsidRDefault="00324B33" w:rsidP="007452E8">
            <w:pPr>
              <w:rPr>
                <w:szCs w:val="22"/>
              </w:rPr>
            </w:pPr>
            <w:r w:rsidRPr="00BD5DBD">
              <w:rPr>
                <w:szCs w:val="22"/>
              </w:rPr>
              <w:t>Yes</w:t>
            </w:r>
          </w:p>
          <w:p w14:paraId="6FF3C6A2" w14:textId="42E82EAD" w:rsidR="00324B33" w:rsidRPr="00BD5DBD" w:rsidRDefault="00324B33" w:rsidP="007452E8">
            <w:pPr>
              <w:rPr>
                <w:szCs w:val="22"/>
              </w:rPr>
            </w:pPr>
            <w:r w:rsidRPr="00BD5DBD">
              <w:rPr>
                <w:szCs w:val="22"/>
              </w:rPr>
              <w:t>This product will remain in the scheme for 5 years, starting on the date the product is first supplied in Australia</w:t>
            </w:r>
            <w:r w:rsidR="007A0E2D">
              <w:rPr>
                <w:szCs w:val="22"/>
              </w:rPr>
              <w: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5A501CF" w14:textId="77777777" w:rsidR="007A0E2D" w:rsidRPr="007A0E2D" w:rsidRDefault="007A0E2D" w:rsidP="007A0E2D">
            <w:pPr>
              <w:rPr>
                <w:szCs w:val="22"/>
              </w:rPr>
            </w:pPr>
            <w:r w:rsidRPr="007A0E2D">
              <w:rPr>
                <w:szCs w:val="22"/>
              </w:rPr>
              <w:t>Alnylam Australia Pty Ltd</w:t>
            </w:r>
          </w:p>
          <w:p w14:paraId="68DD94B0" w14:textId="1BE76E52" w:rsidR="00324B33" w:rsidRPr="00BD5DBD" w:rsidRDefault="00DB29BA" w:rsidP="007A0E2D">
            <w:pPr>
              <w:rPr>
                <w:szCs w:val="22"/>
              </w:rPr>
            </w:pPr>
            <w:r w:rsidRPr="007B08BF">
              <w:rPr>
                <w:szCs w:val="22"/>
              </w:rPr>
              <w:t>Level 1</w:t>
            </w:r>
            <w:r>
              <w:rPr>
                <w:szCs w:val="22"/>
              </w:rPr>
              <w:t xml:space="preserve"> </w:t>
            </w:r>
            <w:r w:rsidRPr="007B08BF">
              <w:rPr>
                <w:szCs w:val="22"/>
              </w:rPr>
              <w:t>60 Martin Place</w:t>
            </w:r>
            <w:r>
              <w:rPr>
                <w:szCs w:val="22"/>
              </w:rPr>
              <w:t xml:space="preserve"> </w:t>
            </w:r>
            <w:r w:rsidRPr="007B08BF">
              <w:rPr>
                <w:szCs w:val="22"/>
              </w:rPr>
              <w:t>Sydney NSW 2000</w:t>
            </w:r>
          </w:p>
        </w:tc>
      </w:tr>
      <w:tr w:rsidR="00324B33" w:rsidRPr="00BD5DBD" w14:paraId="5322B989" w14:textId="77777777" w:rsidTr="00F865A7">
        <w:tc>
          <w:tcPr>
            <w:tcW w:w="1577" w:type="pct"/>
          </w:tcPr>
          <w:p w14:paraId="24F217E3" w14:textId="38327A7A" w:rsidR="00324B33" w:rsidRPr="00BD5DBD" w:rsidRDefault="00324B33" w:rsidP="007452E8">
            <w:pPr>
              <w:rPr>
                <w:i/>
                <w:szCs w:val="22"/>
              </w:rPr>
            </w:pPr>
            <w:r w:rsidRPr="00BD5DBD">
              <w:rPr>
                <w:i/>
                <w:szCs w:val="22"/>
              </w:rPr>
              <w:t>Dose form:</w:t>
            </w:r>
          </w:p>
        </w:tc>
        <w:tc>
          <w:tcPr>
            <w:tcW w:w="3423" w:type="pct"/>
          </w:tcPr>
          <w:p w14:paraId="768B254C" w14:textId="67AA84A6" w:rsidR="00324B33" w:rsidRPr="00BD5DBD" w:rsidRDefault="007A0E2D" w:rsidP="007452E8">
            <w:pPr>
              <w:rPr>
                <w:szCs w:val="22"/>
              </w:rPr>
            </w:pPr>
            <w:r w:rsidRPr="007A0E2D">
              <w:rPr>
                <w:szCs w:val="22"/>
              </w:rPr>
              <w:t>Concentrated injection for infusion</w:t>
            </w:r>
          </w:p>
        </w:tc>
      </w:tr>
      <w:tr w:rsidR="00324B33" w:rsidRPr="00BD5DBD" w14:paraId="115243E6" w14:textId="77777777" w:rsidTr="00F865A7">
        <w:tc>
          <w:tcPr>
            <w:tcW w:w="1577" w:type="pct"/>
          </w:tcPr>
          <w:p w14:paraId="7634B062" w14:textId="42A4C021" w:rsidR="00324B33" w:rsidRPr="00BD5DBD" w:rsidRDefault="00324B33" w:rsidP="007452E8">
            <w:pPr>
              <w:rPr>
                <w:i/>
                <w:szCs w:val="22"/>
              </w:rPr>
            </w:pPr>
            <w:r w:rsidRPr="00BD5DBD">
              <w:rPr>
                <w:i/>
                <w:szCs w:val="22"/>
              </w:rPr>
              <w:t>Strength:</w:t>
            </w:r>
          </w:p>
        </w:tc>
        <w:tc>
          <w:tcPr>
            <w:tcW w:w="3423" w:type="pct"/>
          </w:tcPr>
          <w:p w14:paraId="5E5F83DB" w14:textId="12CA4733" w:rsidR="00324B33" w:rsidRPr="00BD5DBD" w:rsidRDefault="00D75A97" w:rsidP="007452E8">
            <w:pPr>
              <w:rPr>
                <w:szCs w:val="22"/>
              </w:rPr>
            </w:pPr>
            <w:r>
              <w:rPr>
                <w:rFonts w:cs="Cambria"/>
                <w:szCs w:val="22"/>
              </w:rPr>
              <w:t>10 mg/5 mL</w:t>
            </w:r>
          </w:p>
        </w:tc>
      </w:tr>
      <w:tr w:rsidR="00324B33" w:rsidRPr="00BD5DBD" w14:paraId="34B07BA6" w14:textId="77777777" w:rsidTr="00F865A7">
        <w:tc>
          <w:tcPr>
            <w:tcW w:w="1577" w:type="pct"/>
          </w:tcPr>
          <w:p w14:paraId="1C039224" w14:textId="5A96063B" w:rsidR="00324B33" w:rsidRPr="00BD5DBD" w:rsidRDefault="00324B33" w:rsidP="007452E8">
            <w:pPr>
              <w:rPr>
                <w:i/>
                <w:szCs w:val="22"/>
              </w:rPr>
            </w:pPr>
            <w:r w:rsidRPr="00BD5DBD">
              <w:rPr>
                <w:i/>
                <w:szCs w:val="22"/>
              </w:rPr>
              <w:t>Container:</w:t>
            </w:r>
          </w:p>
        </w:tc>
        <w:tc>
          <w:tcPr>
            <w:tcW w:w="3423" w:type="pct"/>
          </w:tcPr>
          <w:p w14:paraId="500A42C6" w14:textId="2713F45B" w:rsidR="00324B33" w:rsidRPr="00BD5DBD" w:rsidRDefault="00940DED" w:rsidP="007452E8">
            <w:pPr>
              <w:rPr>
                <w:szCs w:val="22"/>
              </w:rPr>
            </w:pPr>
            <w:r>
              <w:rPr>
                <w:szCs w:val="22"/>
              </w:rPr>
              <w:t>V</w:t>
            </w:r>
            <w:r w:rsidR="00D75A97" w:rsidRPr="00D75A97">
              <w:rPr>
                <w:szCs w:val="22"/>
              </w:rPr>
              <w:t>ial</w:t>
            </w:r>
          </w:p>
        </w:tc>
      </w:tr>
      <w:tr w:rsidR="00324B33" w:rsidRPr="00BD5DBD" w14:paraId="176B6773" w14:textId="77777777" w:rsidTr="00F865A7">
        <w:tc>
          <w:tcPr>
            <w:tcW w:w="1577" w:type="pct"/>
          </w:tcPr>
          <w:p w14:paraId="71846159" w14:textId="08DAA3AD" w:rsidR="00324B33" w:rsidRPr="00BD5DBD" w:rsidRDefault="00324B33" w:rsidP="007452E8">
            <w:pPr>
              <w:rPr>
                <w:i/>
                <w:szCs w:val="22"/>
              </w:rPr>
            </w:pPr>
            <w:r w:rsidRPr="00BD5DBD">
              <w:rPr>
                <w:i/>
                <w:szCs w:val="22"/>
              </w:rPr>
              <w:t>Pack size:</w:t>
            </w:r>
          </w:p>
        </w:tc>
        <w:tc>
          <w:tcPr>
            <w:tcW w:w="3423" w:type="pct"/>
          </w:tcPr>
          <w:p w14:paraId="7E978F8F" w14:textId="75CC210A" w:rsidR="00324B33" w:rsidRPr="00BD5DBD" w:rsidRDefault="00BF303F" w:rsidP="007452E8">
            <w:pPr>
              <w:rPr>
                <w:szCs w:val="22"/>
              </w:rPr>
            </w:pPr>
            <w:r>
              <w:rPr>
                <w:szCs w:val="22"/>
              </w:rPr>
              <w:t>One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5AEC8A00" w:rsidR="00324B33" w:rsidRPr="00BD5DBD" w:rsidRDefault="00BF303F" w:rsidP="007452E8">
            <w:pPr>
              <w:rPr>
                <w:szCs w:val="22"/>
              </w:rPr>
            </w:pPr>
            <w:r w:rsidRPr="00BF303F">
              <w:rPr>
                <w:szCs w:val="22"/>
              </w:rPr>
              <w:t>Onpattro is indicated for the treatment of hereditary transthyretin-mediated amyloidosis (</w:t>
            </w:r>
            <w:proofErr w:type="spellStart"/>
            <w:r w:rsidRPr="00BF303F">
              <w:rPr>
                <w:szCs w:val="22"/>
              </w:rPr>
              <w:t>hATTR</w:t>
            </w:r>
            <w:proofErr w:type="spellEnd"/>
            <w:r w:rsidRPr="00BF303F">
              <w:rPr>
                <w:szCs w:val="22"/>
              </w:rPr>
              <w:t xml:space="preserve"> amyloidosis) in adult patients with stage 1 or stage 2 polyneuropathy.</w:t>
            </w:r>
          </w:p>
        </w:tc>
      </w:tr>
      <w:tr w:rsidR="00324B33" w:rsidRPr="00BD5DBD" w14:paraId="5AFDEED3" w14:textId="77777777" w:rsidTr="00F865A7">
        <w:tc>
          <w:tcPr>
            <w:tcW w:w="1577" w:type="pct"/>
          </w:tcPr>
          <w:p w14:paraId="03884BD1" w14:textId="4F858BCC" w:rsidR="00324B33" w:rsidRPr="00BD5DBD" w:rsidRDefault="00324B33" w:rsidP="007452E8">
            <w:pPr>
              <w:rPr>
                <w:i/>
                <w:szCs w:val="22"/>
              </w:rPr>
            </w:pPr>
            <w:r w:rsidRPr="00BD5DBD">
              <w:rPr>
                <w:i/>
                <w:szCs w:val="22"/>
              </w:rPr>
              <w:t>Route of administration:</w:t>
            </w:r>
          </w:p>
        </w:tc>
        <w:tc>
          <w:tcPr>
            <w:tcW w:w="3423" w:type="pct"/>
          </w:tcPr>
          <w:p w14:paraId="1ED1357E" w14:textId="30B9538F" w:rsidR="00324B33" w:rsidRPr="00BD5DBD" w:rsidRDefault="00BF303F" w:rsidP="007452E8">
            <w:pPr>
              <w:rPr>
                <w:szCs w:val="22"/>
              </w:rPr>
            </w:pPr>
            <w:r>
              <w:rPr>
                <w:szCs w:val="22"/>
              </w:rPr>
              <w:t>Intravenous infusion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5F2DBDF0" w14:textId="5DB0F846" w:rsidR="00BF303F" w:rsidRDefault="00BF303F" w:rsidP="00BF303F">
            <w:r w:rsidRPr="00A01748">
              <w:t>The recommended dose of Onpattro is 300 micrograms per kg body weight administered via</w:t>
            </w:r>
            <w:r>
              <w:t xml:space="preserve"> </w:t>
            </w:r>
            <w:r w:rsidRPr="00A01748">
              <w:t>intravenous infusion once every 3 weeks.</w:t>
            </w:r>
            <w:r>
              <w:t xml:space="preserve"> </w:t>
            </w:r>
            <w:r w:rsidRPr="00A01748">
              <w:t xml:space="preserve">Dosing is based on actual body weight. </w:t>
            </w:r>
          </w:p>
          <w:p w14:paraId="78DC78AD" w14:textId="77777777" w:rsidR="00BF303F" w:rsidRDefault="00BF303F" w:rsidP="00BF303F">
            <w:r w:rsidRPr="00A01748">
              <w:t>For patients weighing ≥ 100 kg, the maximum</w:t>
            </w:r>
            <w:r>
              <w:t xml:space="preserve"> </w:t>
            </w:r>
            <w:r w:rsidRPr="00A01748">
              <w:t>recommended dose is 30 mg.</w:t>
            </w:r>
          </w:p>
          <w:p w14:paraId="3D0E728B" w14:textId="77777777" w:rsidR="00BF303F" w:rsidRDefault="00BF303F" w:rsidP="00BF303F">
            <w:r w:rsidRPr="00A01748">
              <w:t>Vitamin A supplementation at approximately 2500 IU vitamin A</w:t>
            </w:r>
            <w:r>
              <w:t xml:space="preserve"> </w:t>
            </w:r>
            <w:r w:rsidRPr="00A01748">
              <w:t>per day is advised for</w:t>
            </w:r>
            <w:r>
              <w:t xml:space="preserve"> </w:t>
            </w:r>
            <w:r w:rsidRPr="00A01748">
              <w:t>patients treated with Onpattro (see section 4.4 Special Warnings and Precautions for Use</w:t>
            </w:r>
            <w:r>
              <w:t xml:space="preserve"> of the Product Information</w:t>
            </w:r>
            <w:r w:rsidRPr="00A01748">
              <w:t>).</w:t>
            </w:r>
          </w:p>
          <w:p w14:paraId="3D0B2D5C" w14:textId="6E4D1556" w:rsidR="00324B33" w:rsidRPr="00BD5DBD" w:rsidRDefault="00BF303F" w:rsidP="00BF303F">
            <w:pPr>
              <w:rPr>
                <w:szCs w:val="22"/>
              </w:rPr>
            </w:pPr>
            <w:r w:rsidRPr="007473D5">
              <w:t>For further information refer to the Product Information.</w:t>
            </w:r>
          </w:p>
        </w:tc>
      </w:tr>
      <w:tr w:rsidR="00324B33" w:rsidRPr="00BD5DBD" w14:paraId="24DC408E" w14:textId="77777777" w:rsidTr="00F865A7">
        <w:tc>
          <w:tcPr>
            <w:tcW w:w="1577" w:type="pct"/>
          </w:tcPr>
          <w:p w14:paraId="26380792" w14:textId="7BBDD7E2" w:rsidR="00BF303F" w:rsidRPr="00BF303F" w:rsidRDefault="00324B33" w:rsidP="0084046A">
            <w:pPr>
              <w:rPr>
                <w:szCs w:val="22"/>
              </w:rPr>
            </w:pPr>
            <w:r w:rsidRPr="00BD5DBD">
              <w:rPr>
                <w:i/>
                <w:szCs w:val="22"/>
              </w:rPr>
              <w:t>Pregnancy category:</w:t>
            </w:r>
          </w:p>
        </w:tc>
        <w:tc>
          <w:tcPr>
            <w:tcW w:w="3423" w:type="pct"/>
          </w:tcPr>
          <w:p w14:paraId="5D767B6B" w14:textId="77777777" w:rsidR="00BF303F" w:rsidRDefault="00BF303F" w:rsidP="00BF303F">
            <w:r>
              <w:t>D</w:t>
            </w:r>
          </w:p>
          <w:p w14:paraId="2569AC29" w14:textId="2616F195" w:rsidR="00BF303F" w:rsidRDefault="00BF303F" w:rsidP="00BF303F">
            <w:r w:rsidRPr="00A01748">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345935EC" w:rsidR="00324B33" w:rsidRPr="00C54239" w:rsidRDefault="00324B33" w:rsidP="007452E8">
            <w:r w:rsidRPr="00C54239">
              <w:lastRenderedPageBreak/>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r w:rsidR="00BF303F" w:rsidRPr="00C54239">
              <w:t>.</w:t>
            </w:r>
          </w:p>
        </w:tc>
      </w:tr>
    </w:tbl>
    <w:p w14:paraId="51F2479F" w14:textId="77777777" w:rsidR="00324B33" w:rsidRDefault="00324B33" w:rsidP="00324B33">
      <w:pPr>
        <w:pStyle w:val="Heading3"/>
      </w:pPr>
      <w:bookmarkStart w:id="14" w:name="_Toc247691503"/>
      <w:bookmarkStart w:id="15" w:name="_Toc314842484"/>
      <w:bookmarkStart w:id="16" w:name="_Toc103679290"/>
      <w:bookmarkStart w:id="17" w:name="_Toc144277321"/>
      <w:r>
        <w:lastRenderedPageBreak/>
        <w:t>Product background</w:t>
      </w:r>
      <w:bookmarkEnd w:id="14"/>
      <w:bookmarkEnd w:id="15"/>
      <w:bookmarkEnd w:id="16"/>
      <w:bookmarkEnd w:id="17"/>
    </w:p>
    <w:p w14:paraId="56B27CF2" w14:textId="31A46633" w:rsidR="00324B33" w:rsidRDefault="00324B33" w:rsidP="00324B33">
      <w:pPr>
        <w:rPr>
          <w:szCs w:val="22"/>
        </w:rPr>
      </w:pPr>
      <w:r w:rsidRPr="00BD5DBD">
        <w:rPr>
          <w:szCs w:val="22"/>
        </w:rPr>
        <w:t xml:space="preserve">This AusPAR describes the submission by </w:t>
      </w:r>
      <w:r w:rsidR="00BF303F" w:rsidRPr="002D122D">
        <w:t>Alnylam Australia Pty Ltd</w:t>
      </w:r>
      <w:r w:rsidRPr="00BD5DBD">
        <w:rPr>
          <w:szCs w:val="22"/>
        </w:rPr>
        <w:t xml:space="preserve"> (the sponsor) to register </w:t>
      </w:r>
      <w:r w:rsidR="00BF303F">
        <w:t>Onpattro (patisiran</w:t>
      </w:r>
      <w:r w:rsidRPr="00BD5DBD">
        <w:rPr>
          <w:szCs w:val="22"/>
        </w:rPr>
        <w:t xml:space="preserve">) </w:t>
      </w:r>
      <w:r w:rsidR="00BF303F">
        <w:rPr>
          <w:szCs w:val="22"/>
        </w:rPr>
        <w:t>10 mg/5 mL</w:t>
      </w:r>
      <w:r w:rsidRPr="00BD5DBD">
        <w:rPr>
          <w:szCs w:val="22"/>
        </w:rPr>
        <w:t xml:space="preserve">, </w:t>
      </w:r>
      <w:r w:rsidR="00BF303F">
        <w:rPr>
          <w:szCs w:val="22"/>
        </w:rPr>
        <w:t>c</w:t>
      </w:r>
      <w:r w:rsidR="00BF303F" w:rsidRPr="007A0E2D">
        <w:rPr>
          <w:szCs w:val="22"/>
        </w:rPr>
        <w:t>oncentrated injection for infusion</w:t>
      </w:r>
      <w:r w:rsidR="00D62877" w:rsidRPr="00BD5DBD">
        <w:rPr>
          <w:szCs w:val="22"/>
        </w:rPr>
        <w:t xml:space="preserve">, </w:t>
      </w:r>
      <w:r w:rsidR="00BF303F">
        <w:rPr>
          <w:szCs w:val="22"/>
        </w:rPr>
        <w:t>vial</w:t>
      </w:r>
      <w:r w:rsidRPr="00BD5DBD">
        <w:rPr>
          <w:szCs w:val="22"/>
        </w:rPr>
        <w:t xml:space="preserve"> for the following proposed indication:</w:t>
      </w:r>
      <w:r w:rsidR="00D63760" w:rsidRPr="00BD5DBD">
        <w:rPr>
          <w:rStyle w:val="FootnoteReference"/>
          <w:szCs w:val="22"/>
        </w:rPr>
        <w:footnoteReference w:id="1"/>
      </w:r>
    </w:p>
    <w:p w14:paraId="4FE8E9F5" w14:textId="047B202E" w:rsidR="00FF1F3C" w:rsidRPr="00FF1F3C" w:rsidRDefault="00FF1F3C" w:rsidP="00FF1F3C">
      <w:pPr>
        <w:ind w:left="720"/>
        <w:rPr>
          <w:i/>
          <w:iCs/>
          <w:szCs w:val="22"/>
        </w:rPr>
      </w:pPr>
      <w:r w:rsidRPr="00FF1F3C">
        <w:rPr>
          <w:i/>
          <w:iCs/>
          <w:szCs w:val="22"/>
        </w:rPr>
        <w:t>Onpattro is indicated for the treatment of hereditary transthyretin mediated amyloidosis (</w:t>
      </w:r>
      <w:proofErr w:type="spellStart"/>
      <w:r w:rsidRPr="00FF1F3C">
        <w:rPr>
          <w:i/>
          <w:iCs/>
          <w:szCs w:val="22"/>
        </w:rPr>
        <w:t>hATTR</w:t>
      </w:r>
      <w:proofErr w:type="spellEnd"/>
      <w:r w:rsidRPr="00FF1F3C">
        <w:rPr>
          <w:i/>
          <w:iCs/>
          <w:szCs w:val="22"/>
        </w:rPr>
        <w:t xml:space="preserve"> amyloidosis) in adult patients with stage 1 or stage 2 polyneuropathy</w:t>
      </w:r>
    </w:p>
    <w:p w14:paraId="5F1834F3" w14:textId="26900E5A" w:rsidR="00FF1F3C" w:rsidRPr="00FF1F3C" w:rsidRDefault="00FF1F3C" w:rsidP="00FF1F3C">
      <w:pPr>
        <w:pStyle w:val="Heading4"/>
      </w:pPr>
      <w:bookmarkStart w:id="18" w:name="_Toc144277322"/>
      <w:bookmarkStart w:id="19" w:name="_Toc314842485"/>
      <w:bookmarkStart w:id="20" w:name="_Toc247691504"/>
      <w:r w:rsidRPr="00FF1F3C">
        <w:t>Condition</w:t>
      </w:r>
      <w:bookmarkEnd w:id="18"/>
    </w:p>
    <w:p w14:paraId="237ED586" w14:textId="0A27E8B7" w:rsidR="00FF1F3C" w:rsidRPr="00FF1F3C" w:rsidRDefault="00FF1F3C" w:rsidP="00FF1F3C">
      <w:pPr>
        <w:rPr>
          <w:szCs w:val="22"/>
        </w:rPr>
      </w:pPr>
      <w:r w:rsidRPr="00FF1F3C">
        <w:rPr>
          <w:szCs w:val="22"/>
        </w:rPr>
        <w:t>Hereditary transthyretin-mediated amyloidosis (</w:t>
      </w:r>
      <w:proofErr w:type="spellStart"/>
      <w:r w:rsidRPr="00FF1F3C">
        <w:rPr>
          <w:szCs w:val="22"/>
        </w:rPr>
        <w:t>hATTR</w:t>
      </w:r>
      <w:proofErr w:type="spellEnd"/>
      <w:r w:rsidRPr="00FF1F3C">
        <w:rPr>
          <w:szCs w:val="22"/>
        </w:rPr>
        <w:t xml:space="preserve"> amyloidosis) is a rare, life</w:t>
      </w:r>
      <w:r w:rsidR="00E2099D">
        <w:rPr>
          <w:szCs w:val="22"/>
        </w:rPr>
        <w:t xml:space="preserve"> </w:t>
      </w:r>
      <w:r w:rsidRPr="00FF1F3C">
        <w:rPr>
          <w:szCs w:val="22"/>
        </w:rPr>
        <w:t xml:space="preserve">threatening, autosomal dominant multi-systemic disease caused by mutations in the </w:t>
      </w:r>
      <w:r w:rsidR="00E2099D">
        <w:rPr>
          <w:szCs w:val="22"/>
        </w:rPr>
        <w:t>t</w:t>
      </w:r>
      <w:r w:rsidR="00E2099D" w:rsidRPr="00E2099D">
        <w:rPr>
          <w:szCs w:val="22"/>
        </w:rPr>
        <w:t xml:space="preserve">ransthyretin </w:t>
      </w:r>
      <w:r w:rsidR="00E2099D">
        <w:rPr>
          <w:szCs w:val="22"/>
        </w:rPr>
        <w:t>(</w:t>
      </w:r>
      <w:r w:rsidRPr="00FF1F3C">
        <w:rPr>
          <w:szCs w:val="22"/>
        </w:rPr>
        <w:t>TTR</w:t>
      </w:r>
      <w:r w:rsidR="00E2099D">
        <w:rPr>
          <w:szCs w:val="22"/>
        </w:rPr>
        <w:t>)</w:t>
      </w:r>
      <w:r w:rsidRPr="00FF1F3C">
        <w:rPr>
          <w:szCs w:val="22"/>
        </w:rPr>
        <w:t xml:space="preserve"> gene that results in rapidly progressive, debilitating morbidity and high mortality. The cardinal manifestations of </w:t>
      </w:r>
      <w:proofErr w:type="spellStart"/>
      <w:r w:rsidRPr="00FF1F3C">
        <w:rPr>
          <w:szCs w:val="22"/>
        </w:rPr>
        <w:t>hATTR</w:t>
      </w:r>
      <w:proofErr w:type="spellEnd"/>
      <w:r w:rsidRPr="00FF1F3C">
        <w:rPr>
          <w:szCs w:val="22"/>
        </w:rPr>
        <w:t xml:space="preserve"> amyloidosis are polyneuropathy and cardiomyopathy.</w:t>
      </w:r>
    </w:p>
    <w:p w14:paraId="53D24ACC" w14:textId="7D498929" w:rsidR="00FF1F3C" w:rsidRPr="00FF1F3C" w:rsidRDefault="00E2099D" w:rsidP="00FF1F3C">
      <w:pPr>
        <w:rPr>
          <w:szCs w:val="22"/>
        </w:rPr>
      </w:pPr>
      <w:r w:rsidRPr="00E2099D">
        <w:rPr>
          <w:szCs w:val="22"/>
        </w:rPr>
        <w:t>Transthyretin</w:t>
      </w:r>
      <w:r w:rsidR="00FF1F3C" w:rsidRPr="00FF1F3C">
        <w:rPr>
          <w:szCs w:val="22"/>
        </w:rPr>
        <w:t xml:space="preserve">, also known as prealbumin, is a tetrameric protein produced by hepatocytes, the choroid plexus and retina. There are more than 120 reported TTR genetic mutations associated with </w:t>
      </w:r>
      <w:proofErr w:type="spellStart"/>
      <w:r w:rsidR="00FF1F3C" w:rsidRPr="00FF1F3C">
        <w:rPr>
          <w:szCs w:val="22"/>
        </w:rPr>
        <w:t>hATTR</w:t>
      </w:r>
      <w:proofErr w:type="spellEnd"/>
      <w:r w:rsidR="00FF1F3C" w:rsidRPr="00FF1F3C">
        <w:rPr>
          <w:szCs w:val="22"/>
        </w:rPr>
        <w:t xml:space="preserve"> amyloidosis, and almost all patients are heterozygous for the mutated </w:t>
      </w:r>
      <w:r w:rsidR="00FF1F3C" w:rsidRPr="00E2099D">
        <w:rPr>
          <w:i/>
          <w:iCs/>
          <w:szCs w:val="22"/>
        </w:rPr>
        <w:t>TTR</w:t>
      </w:r>
      <w:r w:rsidR="00FF1F3C" w:rsidRPr="00FF1F3C">
        <w:rPr>
          <w:szCs w:val="22"/>
        </w:rPr>
        <w:t xml:space="preserve"> allele. Mutations in the </w:t>
      </w:r>
      <w:r w:rsidR="00FF1F3C" w:rsidRPr="00E2099D">
        <w:rPr>
          <w:i/>
          <w:iCs/>
          <w:szCs w:val="22"/>
        </w:rPr>
        <w:t>TTR</w:t>
      </w:r>
      <w:r w:rsidR="00FF1F3C" w:rsidRPr="00FF1F3C">
        <w:rPr>
          <w:szCs w:val="22"/>
        </w:rPr>
        <w:t xml:space="preserve"> gene lead to destabilisation of the tetrameric protein and disassociation of the TTR subunits into dimers and individual mutant and w</w:t>
      </w:r>
      <w:r>
        <w:rPr>
          <w:szCs w:val="22"/>
        </w:rPr>
        <w:t>ild type</w:t>
      </w:r>
      <w:r w:rsidR="00FF1F3C" w:rsidRPr="00FF1F3C">
        <w:rPr>
          <w:szCs w:val="22"/>
        </w:rPr>
        <w:t xml:space="preserve"> monomers, which subsequently misfold. These misfolded TTR monomers can then self-assemble into oligomers and form amyloid fibrils and plaques in the extracellular space of various tissues including the peripheral nervous system, heart, gastrointestinal tract, kidney, central nervous system (CNS) and eye leading to cellular injury and organ dysfunction with corresponding clinical manifestations.</w:t>
      </w:r>
    </w:p>
    <w:p w14:paraId="34911E30" w14:textId="3DF69281" w:rsidR="00FF1F3C" w:rsidRPr="00FF1F3C" w:rsidRDefault="00FF1F3C" w:rsidP="00FF1F3C">
      <w:pPr>
        <w:pStyle w:val="Heading4"/>
      </w:pPr>
      <w:bookmarkStart w:id="21" w:name="_Toc144277323"/>
      <w:r w:rsidRPr="00FF1F3C">
        <w:t>Current treatment options</w:t>
      </w:r>
      <w:bookmarkEnd w:id="21"/>
    </w:p>
    <w:p w14:paraId="7507AB67" w14:textId="4CC1308A" w:rsidR="00FF1F3C" w:rsidRDefault="00FF1F3C" w:rsidP="000A5B46">
      <w:r w:rsidRPr="00FF1F3C">
        <w:t xml:space="preserve">The treatment of </w:t>
      </w:r>
      <w:proofErr w:type="spellStart"/>
      <w:r w:rsidRPr="00FF1F3C">
        <w:t>hATTR</w:t>
      </w:r>
      <w:proofErr w:type="spellEnd"/>
      <w:r w:rsidRPr="00FF1F3C">
        <w:t xml:space="preserve"> amyloidosis requires a multidisciplinary approach primarily involving neurology, gastroenterology, and cardiology specialties. Limited treatment options, namely orthotopic liver transplant and TTR tetramer stabilisers, exist for a small subset of patients.</w:t>
      </w:r>
    </w:p>
    <w:p w14:paraId="0442AFDD" w14:textId="4328A1EA" w:rsidR="00324B33" w:rsidRPr="00BD5DBD" w:rsidRDefault="00324B33" w:rsidP="000A5B46">
      <w:r w:rsidRPr="00BD5DBD">
        <w:t xml:space="preserve">This submission was submitted through the TGA’s </w:t>
      </w:r>
      <w:hyperlink r:id="rId16" w:history="1">
        <w:r w:rsidRPr="00BD5DBD">
          <w:rPr>
            <w:rStyle w:val="Hyperlink"/>
            <w:szCs w:val="22"/>
          </w:rPr>
          <w:t>Comparable Overseas Regulator</w:t>
        </w:r>
      </w:hyperlink>
      <w:r w:rsidRPr="00BD5DBD">
        <w:t xml:space="preserve"> B (COR-B) process, using evaluation reports from</w:t>
      </w:r>
      <w:r w:rsidR="000A5B46">
        <w:t xml:space="preserve"> </w:t>
      </w:r>
      <w:r w:rsidR="00216A69" w:rsidRPr="00216A69">
        <w:t>European Medicines Agency</w:t>
      </w:r>
      <w:r w:rsidRPr="00BD5DBD">
        <w:rPr>
          <w:iCs/>
        </w:rPr>
        <w:t xml:space="preserve">. </w:t>
      </w:r>
      <w:r w:rsidRPr="00BD5DBD">
        <w:t>The full dossier was submitted to the TGA.</w:t>
      </w:r>
    </w:p>
    <w:p w14:paraId="0D615854" w14:textId="77777777" w:rsidR="00324B33" w:rsidRPr="003F31A2" w:rsidRDefault="00324B33" w:rsidP="00324B33">
      <w:pPr>
        <w:pStyle w:val="Heading3"/>
      </w:pPr>
      <w:bookmarkStart w:id="22" w:name="_Toc103679291"/>
      <w:bookmarkStart w:id="23" w:name="_Toc144277324"/>
      <w:r>
        <w:t>Regulatory status</w:t>
      </w:r>
      <w:bookmarkEnd w:id="19"/>
      <w:bookmarkEnd w:id="20"/>
      <w:bookmarkEnd w:id="22"/>
      <w:bookmarkEnd w:id="23"/>
    </w:p>
    <w:p w14:paraId="6A8633FA" w14:textId="5BCB8359" w:rsidR="00324B33" w:rsidRPr="00BD5DBD" w:rsidRDefault="00324B33" w:rsidP="00324B33">
      <w:pPr>
        <w:rPr>
          <w:szCs w:val="22"/>
        </w:rPr>
      </w:pPr>
      <w:r w:rsidRPr="00BD5DBD">
        <w:rPr>
          <w:szCs w:val="22"/>
        </w:rPr>
        <w:t xml:space="preserve">This product is considered a </w:t>
      </w:r>
      <w:r w:rsidR="008C754C" w:rsidRPr="00BD5DBD">
        <w:rPr>
          <w:szCs w:val="22"/>
        </w:rPr>
        <w:t xml:space="preserve">new </w:t>
      </w:r>
      <w:r w:rsidR="007A5850">
        <w:rPr>
          <w:szCs w:val="22"/>
        </w:rPr>
        <w:t>chemical</w:t>
      </w:r>
      <w:r w:rsidRPr="00BD5DBD">
        <w:rPr>
          <w:szCs w:val="22"/>
        </w:rPr>
        <w:t xml:space="preserve"> entity for Australian regulatory purposes.</w:t>
      </w:r>
    </w:p>
    <w:p w14:paraId="715B7D2A" w14:textId="4F607B63" w:rsidR="00324B33" w:rsidRPr="00BD5DBD" w:rsidRDefault="00324B33" w:rsidP="00324B33">
      <w:pPr>
        <w:rPr>
          <w:szCs w:val="22"/>
        </w:rPr>
      </w:pPr>
      <w:r w:rsidRPr="00BD5DBD">
        <w:rPr>
          <w:szCs w:val="22"/>
        </w:rPr>
        <w:lastRenderedPageBreak/>
        <w:t xml:space="preserve">At the time the TGA considered this submission, a similar submission had been approved in </w:t>
      </w:r>
      <w:r w:rsidR="00E2099D">
        <w:rPr>
          <w:szCs w:val="22"/>
        </w:rPr>
        <w:t>European Union (EU)</w:t>
      </w:r>
      <w:r w:rsidRPr="00BD5DBD">
        <w:rPr>
          <w:szCs w:val="22"/>
        </w:rPr>
        <w:t xml:space="preserve"> on </w:t>
      </w:r>
      <w:r w:rsidR="00E2099D">
        <w:rPr>
          <w:szCs w:val="22"/>
        </w:rPr>
        <w:t>27 August 2018, United States of America (USA) on 10 August 2018, Canada on 7 June 2019, Japan on 18 June 2019, Switzerland on 23 September 2019 and United Kingdom on 26 April 2021</w:t>
      </w:r>
      <w:r w:rsidRPr="00BD5DBD">
        <w:rPr>
          <w:szCs w:val="22"/>
        </w:rPr>
        <w:t>.</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73E8B652" w:rsidR="00324B33" w:rsidRDefault="00324B33" w:rsidP="00324B33">
      <w:pPr>
        <w:pStyle w:val="TableTitle"/>
      </w:pPr>
      <w:bookmarkStart w:id="24" w:name="_Ref99705479"/>
      <w:r>
        <w:t xml:space="preserve">Table </w:t>
      </w:r>
      <w:r w:rsidR="00DB29BA">
        <w:fldChar w:fldCharType="begin"/>
      </w:r>
      <w:r w:rsidR="00DB29BA">
        <w:instrText xml:space="preserve"> SEQ Table \* ARABIC </w:instrText>
      </w:r>
      <w:r w:rsidR="00DB29BA">
        <w:fldChar w:fldCharType="separate"/>
      </w:r>
      <w:r w:rsidR="00ED1F97">
        <w:rPr>
          <w:noProof/>
        </w:rPr>
        <w:t>1</w:t>
      </w:r>
      <w:r w:rsidR="00DB29BA">
        <w:rPr>
          <w:noProof/>
        </w:rPr>
        <w:fldChar w:fldCharType="end"/>
      </w:r>
      <w:bookmarkEnd w:id="24"/>
      <w:r>
        <w:t>: International regulatory status</w:t>
      </w:r>
      <w:r w:rsidR="00EF19D4">
        <w:t xml:space="preserve"> of selected countries</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4FF16263" w:rsidR="00216A69" w:rsidRPr="00D01DDB" w:rsidRDefault="00216A69" w:rsidP="00216A69">
            <w:pPr>
              <w:rPr>
                <w:szCs w:val="22"/>
              </w:rPr>
            </w:pPr>
            <w:r>
              <w:rPr>
                <w:szCs w:val="22"/>
              </w:rPr>
              <w:t>European Union (Centralised)</w:t>
            </w:r>
          </w:p>
        </w:tc>
        <w:tc>
          <w:tcPr>
            <w:tcW w:w="1018" w:type="pct"/>
          </w:tcPr>
          <w:p w14:paraId="4FA5DDA9" w14:textId="0D027088" w:rsidR="00324B33" w:rsidRPr="00D01DDB" w:rsidRDefault="00216A6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December 2017</w:t>
            </w:r>
          </w:p>
        </w:tc>
        <w:tc>
          <w:tcPr>
            <w:tcW w:w="1173" w:type="pct"/>
          </w:tcPr>
          <w:p w14:paraId="29358393" w14:textId="197C6E99"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216A69">
              <w:rPr>
                <w:szCs w:val="22"/>
              </w:rPr>
              <w:t>27 August 2018</w:t>
            </w:r>
          </w:p>
        </w:tc>
        <w:tc>
          <w:tcPr>
            <w:tcW w:w="1795" w:type="pct"/>
          </w:tcPr>
          <w:p w14:paraId="05055674" w14:textId="35DCEDA4" w:rsidR="00324B33" w:rsidRPr="00D01DDB" w:rsidRDefault="00216A69" w:rsidP="00216A69">
            <w:pPr>
              <w:cnfStyle w:val="000000000000" w:firstRow="0" w:lastRow="0" w:firstColumn="0" w:lastColumn="0" w:oddVBand="0" w:evenVBand="0" w:oddHBand="0" w:evenHBand="0" w:firstRowFirstColumn="0" w:firstRowLastColumn="0" w:lastRowFirstColumn="0" w:lastRowLastColumn="0"/>
              <w:rPr>
                <w:szCs w:val="22"/>
              </w:rPr>
            </w:pPr>
            <w:r w:rsidRPr="00216A69">
              <w:rPr>
                <w:szCs w:val="22"/>
              </w:rPr>
              <w:t xml:space="preserve">Treatment of </w:t>
            </w:r>
            <w:proofErr w:type="spellStart"/>
            <w:r w:rsidRPr="00216A69">
              <w:rPr>
                <w:szCs w:val="22"/>
              </w:rPr>
              <w:t>hATTR</w:t>
            </w:r>
            <w:proofErr w:type="spellEnd"/>
            <w:r>
              <w:rPr>
                <w:szCs w:val="22"/>
              </w:rPr>
              <w:t xml:space="preserve"> </w:t>
            </w:r>
            <w:r w:rsidRPr="00216A69">
              <w:rPr>
                <w:szCs w:val="22"/>
              </w:rPr>
              <w:t>amyloidosis in adult patients</w:t>
            </w:r>
            <w:r>
              <w:rPr>
                <w:szCs w:val="22"/>
              </w:rPr>
              <w:t xml:space="preserve"> </w:t>
            </w:r>
            <w:r w:rsidRPr="00216A69">
              <w:rPr>
                <w:szCs w:val="22"/>
              </w:rPr>
              <w:t>with stage 1 or stage 2</w:t>
            </w:r>
            <w:r>
              <w:rPr>
                <w:szCs w:val="22"/>
              </w:rPr>
              <w:t xml:space="preserve"> </w:t>
            </w:r>
            <w:r w:rsidRPr="00216A69">
              <w:rPr>
                <w:szCs w:val="22"/>
              </w:rPr>
              <w:t>polyneuropathy</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6229D076" w:rsidR="00324B33" w:rsidRPr="00D01DDB" w:rsidRDefault="00216A69" w:rsidP="00324B33">
            <w:pPr>
              <w:rPr>
                <w:szCs w:val="22"/>
              </w:rPr>
            </w:pPr>
            <w:r>
              <w:rPr>
                <w:szCs w:val="22"/>
              </w:rPr>
              <w:t>United States of America</w:t>
            </w:r>
          </w:p>
        </w:tc>
        <w:tc>
          <w:tcPr>
            <w:tcW w:w="1018" w:type="pct"/>
          </w:tcPr>
          <w:p w14:paraId="1D871E57" w14:textId="00CAF51F" w:rsidR="00324B33" w:rsidRPr="00D01DDB" w:rsidRDefault="00216A6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December 2017</w:t>
            </w:r>
          </w:p>
        </w:tc>
        <w:tc>
          <w:tcPr>
            <w:tcW w:w="1173" w:type="pct"/>
          </w:tcPr>
          <w:p w14:paraId="63A3A9D3" w14:textId="0898EB63" w:rsidR="00324B33" w:rsidRPr="00D01DDB" w:rsidRDefault="00216A6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10 August 2018</w:t>
            </w:r>
          </w:p>
        </w:tc>
        <w:tc>
          <w:tcPr>
            <w:tcW w:w="1795" w:type="pct"/>
          </w:tcPr>
          <w:p w14:paraId="17C650B8" w14:textId="4575D99C" w:rsidR="00324B33" w:rsidRPr="00D01DDB" w:rsidRDefault="00216A69" w:rsidP="00216A69">
            <w:pPr>
              <w:cnfStyle w:val="000000000000" w:firstRow="0" w:lastRow="0" w:firstColumn="0" w:lastColumn="0" w:oddVBand="0" w:evenVBand="0" w:oddHBand="0" w:evenHBand="0" w:firstRowFirstColumn="0" w:firstRowLastColumn="0" w:lastRowFirstColumn="0" w:lastRowLastColumn="0"/>
              <w:rPr>
                <w:szCs w:val="22"/>
              </w:rPr>
            </w:pPr>
            <w:r w:rsidRPr="00216A69">
              <w:rPr>
                <w:szCs w:val="22"/>
              </w:rPr>
              <w:t>Treatment of the</w:t>
            </w:r>
            <w:r>
              <w:rPr>
                <w:szCs w:val="22"/>
              </w:rPr>
              <w:t xml:space="preserve"> </w:t>
            </w:r>
            <w:r w:rsidRPr="00216A69">
              <w:rPr>
                <w:szCs w:val="22"/>
              </w:rPr>
              <w:t xml:space="preserve">polyneuropathy of </w:t>
            </w:r>
            <w:proofErr w:type="spellStart"/>
            <w:r w:rsidRPr="00216A69">
              <w:rPr>
                <w:szCs w:val="22"/>
              </w:rPr>
              <w:t>hATTR</w:t>
            </w:r>
            <w:proofErr w:type="spellEnd"/>
            <w:r>
              <w:rPr>
                <w:szCs w:val="22"/>
              </w:rPr>
              <w:t xml:space="preserve"> </w:t>
            </w:r>
            <w:r w:rsidRPr="00216A69">
              <w:rPr>
                <w:szCs w:val="22"/>
              </w:rPr>
              <w:t>amyloidosis in adults</w:t>
            </w:r>
          </w:p>
        </w:tc>
      </w:tr>
      <w:tr w:rsidR="00216A69" w:rsidRPr="00D01DDB" w14:paraId="24CA41B5"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DE75E10" w14:textId="5714C933" w:rsidR="00216A69" w:rsidRDefault="00216A69" w:rsidP="00324B33">
            <w:pPr>
              <w:rPr>
                <w:szCs w:val="22"/>
              </w:rPr>
            </w:pPr>
            <w:r>
              <w:rPr>
                <w:szCs w:val="22"/>
              </w:rPr>
              <w:t>Canada</w:t>
            </w:r>
          </w:p>
        </w:tc>
        <w:tc>
          <w:tcPr>
            <w:tcW w:w="1018" w:type="pct"/>
          </w:tcPr>
          <w:p w14:paraId="40106C3F" w14:textId="3A003B38" w:rsidR="00216A69" w:rsidRDefault="00216A6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November 2018</w:t>
            </w:r>
          </w:p>
        </w:tc>
        <w:tc>
          <w:tcPr>
            <w:tcW w:w="1173" w:type="pct"/>
          </w:tcPr>
          <w:p w14:paraId="51157DF5" w14:textId="02DD7196" w:rsidR="00216A69" w:rsidRDefault="00216A6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7 June 2019</w:t>
            </w:r>
          </w:p>
        </w:tc>
        <w:tc>
          <w:tcPr>
            <w:tcW w:w="1795" w:type="pct"/>
          </w:tcPr>
          <w:p w14:paraId="408E0E60" w14:textId="6C34744E" w:rsidR="00216A69" w:rsidRPr="00216A69" w:rsidRDefault="00216A69" w:rsidP="00216A6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Pr>
                <w:rFonts w:ascii="Times New Roman" w:hAnsi="Times New Roman"/>
                <w:szCs w:val="22"/>
              </w:rPr>
              <w:t>Treatment of polyneuropathy in adult patients with hereditary transthyretin-mediated amyloidosis (</w:t>
            </w:r>
            <w:proofErr w:type="spellStart"/>
            <w:r>
              <w:rPr>
                <w:rFonts w:ascii="Times New Roman" w:hAnsi="Times New Roman"/>
                <w:szCs w:val="22"/>
              </w:rPr>
              <w:t>hATTR</w:t>
            </w:r>
            <w:proofErr w:type="spellEnd"/>
            <w:r>
              <w:rPr>
                <w:rFonts w:ascii="Times New Roman" w:hAnsi="Times New Roman"/>
                <w:szCs w:val="22"/>
              </w:rPr>
              <w:t xml:space="preserve"> amyloidosis)</w:t>
            </w:r>
          </w:p>
        </w:tc>
      </w:tr>
      <w:tr w:rsidR="00216A69" w:rsidRPr="00D01DDB" w14:paraId="4B972998"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1303003" w14:textId="0DE9E846" w:rsidR="00216A69" w:rsidRDefault="00E366CE" w:rsidP="00324B33">
            <w:pPr>
              <w:rPr>
                <w:szCs w:val="22"/>
              </w:rPr>
            </w:pPr>
            <w:r>
              <w:rPr>
                <w:szCs w:val="22"/>
              </w:rPr>
              <w:t>Japan</w:t>
            </w:r>
          </w:p>
        </w:tc>
        <w:tc>
          <w:tcPr>
            <w:tcW w:w="1018" w:type="pct"/>
          </w:tcPr>
          <w:p w14:paraId="70AEC7CA" w14:textId="3AECF679" w:rsidR="00E366CE" w:rsidRDefault="00E366CE" w:rsidP="00E366CE">
            <w:pPr>
              <w:cnfStyle w:val="000000000000" w:firstRow="0" w:lastRow="0" w:firstColumn="0" w:lastColumn="0" w:oddVBand="0" w:evenVBand="0" w:oddHBand="0" w:evenHBand="0" w:firstRowFirstColumn="0" w:firstRowLastColumn="0" w:lastRowFirstColumn="0" w:lastRowLastColumn="0"/>
              <w:rPr>
                <w:szCs w:val="22"/>
              </w:rPr>
            </w:pPr>
            <w:r>
              <w:rPr>
                <w:szCs w:val="22"/>
              </w:rPr>
              <w:t>27 September 2018</w:t>
            </w:r>
          </w:p>
        </w:tc>
        <w:tc>
          <w:tcPr>
            <w:tcW w:w="1173" w:type="pct"/>
          </w:tcPr>
          <w:p w14:paraId="7C339561" w14:textId="3D6208CE" w:rsidR="00216A69" w:rsidRDefault="00E366C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18 June 2019</w:t>
            </w:r>
          </w:p>
        </w:tc>
        <w:tc>
          <w:tcPr>
            <w:tcW w:w="1795" w:type="pct"/>
          </w:tcPr>
          <w:p w14:paraId="61F693F6" w14:textId="1BFCEA56" w:rsidR="00216A69" w:rsidRPr="00216A69" w:rsidRDefault="00E366CE" w:rsidP="00E366CE">
            <w:pPr>
              <w:cnfStyle w:val="000000000000" w:firstRow="0" w:lastRow="0" w:firstColumn="0" w:lastColumn="0" w:oddVBand="0" w:evenVBand="0" w:oddHBand="0" w:evenHBand="0" w:firstRowFirstColumn="0" w:firstRowLastColumn="0" w:lastRowFirstColumn="0" w:lastRowLastColumn="0"/>
              <w:rPr>
                <w:szCs w:val="22"/>
              </w:rPr>
            </w:pPr>
            <w:r w:rsidRPr="00E366CE">
              <w:rPr>
                <w:szCs w:val="22"/>
              </w:rPr>
              <w:t>Treatment of TTR type familial</w:t>
            </w:r>
            <w:r>
              <w:rPr>
                <w:szCs w:val="22"/>
              </w:rPr>
              <w:t xml:space="preserve"> </w:t>
            </w:r>
            <w:r w:rsidRPr="00E366CE">
              <w:rPr>
                <w:szCs w:val="22"/>
              </w:rPr>
              <w:t>amyloidosis with</w:t>
            </w:r>
            <w:r>
              <w:rPr>
                <w:szCs w:val="22"/>
              </w:rPr>
              <w:t xml:space="preserve"> </w:t>
            </w:r>
            <w:r w:rsidRPr="00E366CE">
              <w:rPr>
                <w:szCs w:val="22"/>
              </w:rPr>
              <w:t>polyneuropathy</w:t>
            </w:r>
          </w:p>
        </w:tc>
      </w:tr>
      <w:tr w:rsidR="00E366CE" w:rsidRPr="00D01DDB" w14:paraId="340EC020"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5EA67F1" w14:textId="56893257" w:rsidR="00E366CE" w:rsidRDefault="00E366CE" w:rsidP="00324B33">
            <w:pPr>
              <w:rPr>
                <w:szCs w:val="22"/>
              </w:rPr>
            </w:pPr>
            <w:r>
              <w:rPr>
                <w:szCs w:val="22"/>
              </w:rPr>
              <w:t>Switzerland</w:t>
            </w:r>
          </w:p>
        </w:tc>
        <w:tc>
          <w:tcPr>
            <w:tcW w:w="1018" w:type="pct"/>
          </w:tcPr>
          <w:p w14:paraId="5CA23641" w14:textId="07DE1710" w:rsidR="00E366CE" w:rsidRDefault="00E366CE" w:rsidP="00E366CE">
            <w:pPr>
              <w:cnfStyle w:val="000000000000" w:firstRow="0" w:lastRow="0" w:firstColumn="0" w:lastColumn="0" w:oddVBand="0" w:evenVBand="0" w:oddHBand="0" w:evenHBand="0" w:firstRowFirstColumn="0" w:firstRowLastColumn="0" w:lastRowFirstColumn="0" w:lastRowLastColumn="0"/>
              <w:rPr>
                <w:szCs w:val="22"/>
              </w:rPr>
            </w:pPr>
            <w:r>
              <w:rPr>
                <w:szCs w:val="22"/>
              </w:rPr>
              <w:t>3 December 2018</w:t>
            </w:r>
          </w:p>
        </w:tc>
        <w:tc>
          <w:tcPr>
            <w:tcW w:w="1173" w:type="pct"/>
          </w:tcPr>
          <w:p w14:paraId="5608542C" w14:textId="214142DC" w:rsidR="00E366CE" w:rsidRDefault="00E366C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23 September 2019</w:t>
            </w:r>
          </w:p>
        </w:tc>
        <w:tc>
          <w:tcPr>
            <w:tcW w:w="1795" w:type="pct"/>
          </w:tcPr>
          <w:p w14:paraId="1891FFCB" w14:textId="706E1C12" w:rsidR="00E366CE" w:rsidRPr="00E366CE" w:rsidRDefault="00E366CE" w:rsidP="00E366CE">
            <w:pPr>
              <w:cnfStyle w:val="000000000000" w:firstRow="0" w:lastRow="0" w:firstColumn="0" w:lastColumn="0" w:oddVBand="0" w:evenVBand="0" w:oddHBand="0" w:evenHBand="0" w:firstRowFirstColumn="0" w:firstRowLastColumn="0" w:lastRowFirstColumn="0" w:lastRowLastColumn="0"/>
              <w:rPr>
                <w:szCs w:val="22"/>
              </w:rPr>
            </w:pPr>
            <w:r w:rsidRPr="00E366CE">
              <w:rPr>
                <w:szCs w:val="22"/>
              </w:rPr>
              <w:t xml:space="preserve">Treatment of </w:t>
            </w:r>
            <w:proofErr w:type="spellStart"/>
            <w:r w:rsidRPr="00E366CE">
              <w:rPr>
                <w:szCs w:val="22"/>
              </w:rPr>
              <w:t>hATTR</w:t>
            </w:r>
            <w:proofErr w:type="spellEnd"/>
            <w:r>
              <w:rPr>
                <w:szCs w:val="22"/>
              </w:rPr>
              <w:t xml:space="preserve"> </w:t>
            </w:r>
            <w:r w:rsidRPr="00E366CE">
              <w:rPr>
                <w:szCs w:val="22"/>
              </w:rPr>
              <w:t>amyloidosis in adult patients</w:t>
            </w:r>
            <w:r>
              <w:rPr>
                <w:szCs w:val="22"/>
              </w:rPr>
              <w:t xml:space="preserve"> </w:t>
            </w:r>
            <w:r w:rsidRPr="00E366CE">
              <w:rPr>
                <w:szCs w:val="22"/>
              </w:rPr>
              <w:t>with stage 1 or stage 2</w:t>
            </w:r>
            <w:r>
              <w:rPr>
                <w:szCs w:val="22"/>
              </w:rPr>
              <w:t xml:space="preserve"> </w:t>
            </w:r>
            <w:r w:rsidRPr="00E366CE">
              <w:rPr>
                <w:szCs w:val="22"/>
              </w:rPr>
              <w:t>polyneuropathy</w:t>
            </w:r>
          </w:p>
        </w:tc>
      </w:tr>
      <w:tr w:rsidR="00E366CE" w:rsidRPr="00D01DDB" w14:paraId="5BD94170"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BCE8412" w14:textId="646C5B94" w:rsidR="00E366CE" w:rsidRDefault="00E366CE" w:rsidP="00324B33">
            <w:pPr>
              <w:rPr>
                <w:szCs w:val="22"/>
              </w:rPr>
            </w:pPr>
            <w:r>
              <w:rPr>
                <w:szCs w:val="22"/>
              </w:rPr>
              <w:t>United Kingdom;</w:t>
            </w:r>
            <w:r>
              <w:rPr>
                <w:rStyle w:val="FootnoteReference"/>
                <w:szCs w:val="22"/>
              </w:rPr>
              <w:footnoteReference w:id="2"/>
            </w:r>
          </w:p>
        </w:tc>
        <w:tc>
          <w:tcPr>
            <w:tcW w:w="1018" w:type="pct"/>
          </w:tcPr>
          <w:p w14:paraId="2CAD7EE2" w14:textId="38AF03DB" w:rsidR="00E366CE" w:rsidRDefault="00E366CE" w:rsidP="00E366CE">
            <w:pPr>
              <w:cnfStyle w:val="000000000000" w:firstRow="0" w:lastRow="0" w:firstColumn="0" w:lastColumn="0" w:oddVBand="0" w:evenVBand="0" w:oddHBand="0" w:evenHBand="0" w:firstRowFirstColumn="0" w:firstRowLastColumn="0" w:lastRowFirstColumn="0" w:lastRowLastColumn="0"/>
              <w:rPr>
                <w:szCs w:val="22"/>
              </w:rPr>
            </w:pPr>
            <w:r>
              <w:rPr>
                <w:szCs w:val="22"/>
              </w:rPr>
              <w:t>30 March 2021</w:t>
            </w:r>
          </w:p>
        </w:tc>
        <w:tc>
          <w:tcPr>
            <w:tcW w:w="1173" w:type="pct"/>
          </w:tcPr>
          <w:p w14:paraId="16E95D80" w14:textId="26138679" w:rsidR="00E366CE" w:rsidRDefault="00E366C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26 April 2021</w:t>
            </w:r>
          </w:p>
        </w:tc>
        <w:tc>
          <w:tcPr>
            <w:tcW w:w="1795" w:type="pct"/>
          </w:tcPr>
          <w:p w14:paraId="11B4B039" w14:textId="21BFE79E" w:rsidR="00E366CE" w:rsidRPr="00E366CE" w:rsidRDefault="00E366CE" w:rsidP="00E366CE">
            <w:pPr>
              <w:cnfStyle w:val="000000000000" w:firstRow="0" w:lastRow="0" w:firstColumn="0" w:lastColumn="0" w:oddVBand="0" w:evenVBand="0" w:oddHBand="0" w:evenHBand="0" w:firstRowFirstColumn="0" w:firstRowLastColumn="0" w:lastRowFirstColumn="0" w:lastRowLastColumn="0"/>
              <w:rPr>
                <w:szCs w:val="22"/>
              </w:rPr>
            </w:pPr>
            <w:r w:rsidRPr="00E366CE">
              <w:rPr>
                <w:szCs w:val="22"/>
              </w:rPr>
              <w:t xml:space="preserve">Treatment of </w:t>
            </w:r>
            <w:proofErr w:type="spellStart"/>
            <w:r w:rsidRPr="00E366CE">
              <w:rPr>
                <w:szCs w:val="22"/>
              </w:rPr>
              <w:t>hATTR</w:t>
            </w:r>
            <w:proofErr w:type="spellEnd"/>
            <w:r>
              <w:rPr>
                <w:szCs w:val="22"/>
              </w:rPr>
              <w:t xml:space="preserve"> </w:t>
            </w:r>
            <w:r w:rsidRPr="00E366CE">
              <w:rPr>
                <w:szCs w:val="22"/>
              </w:rPr>
              <w:t>amyloidosis in adult patients</w:t>
            </w:r>
            <w:r>
              <w:rPr>
                <w:szCs w:val="22"/>
              </w:rPr>
              <w:t xml:space="preserve"> </w:t>
            </w:r>
            <w:r w:rsidRPr="00E366CE">
              <w:rPr>
                <w:szCs w:val="22"/>
              </w:rPr>
              <w:t>with stage 1 or stage 2</w:t>
            </w:r>
            <w:r>
              <w:rPr>
                <w:szCs w:val="22"/>
              </w:rPr>
              <w:t xml:space="preserve"> </w:t>
            </w:r>
            <w:r w:rsidRPr="00E366CE">
              <w:rPr>
                <w:szCs w:val="22"/>
              </w:rPr>
              <w:t>polyneuropathy</w:t>
            </w:r>
          </w:p>
        </w:tc>
      </w:tr>
    </w:tbl>
    <w:p w14:paraId="064CCADF" w14:textId="77777777" w:rsidR="00324B33" w:rsidRDefault="00324B33" w:rsidP="00324B33">
      <w:pPr>
        <w:pStyle w:val="Heading3"/>
      </w:pPr>
      <w:bookmarkStart w:id="25" w:name="_Toc103679292"/>
      <w:bookmarkStart w:id="26" w:name="_Toc144277325"/>
      <w:r>
        <w:t>Product Information</w:t>
      </w:r>
      <w:bookmarkEnd w:id="25"/>
      <w:bookmarkEnd w:id="26"/>
    </w:p>
    <w:p w14:paraId="4B0F7D57" w14:textId="656605B3" w:rsidR="00324B33" w:rsidRPr="00BD5DBD" w:rsidRDefault="00324B33" w:rsidP="00324B33">
      <w:pPr>
        <w:rPr>
          <w:szCs w:val="22"/>
        </w:rPr>
      </w:pPr>
      <w:bookmarkStart w:id="27" w:name="_Toc504480011"/>
      <w:r w:rsidRPr="00BD5DBD">
        <w:rPr>
          <w:szCs w:val="22"/>
        </w:rPr>
        <w:t xml:space="preserve">The </w:t>
      </w:r>
      <w:hyperlink r:id="rId17" w:history="1">
        <w:r w:rsidRPr="00BD5DBD">
          <w:rPr>
            <w:rStyle w:val="Hyperlink"/>
            <w:szCs w:val="22"/>
          </w:rPr>
          <w:t>Product Information</w:t>
        </w:r>
      </w:hyperlink>
      <w:r w:rsidRPr="00BD5DBD">
        <w:rPr>
          <w:szCs w:val="22"/>
        </w:rPr>
        <w:t xml:space="preserve"> (</w:t>
      </w:r>
      <w:hyperlink r:id="rId18"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19"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0" w:history="1">
        <w:r w:rsidRPr="00BD5DBD">
          <w:rPr>
            <w:rStyle w:val="Hyperlink"/>
            <w:szCs w:val="22"/>
          </w:rPr>
          <w:t>PI/CMI search facility.</w:t>
        </w:r>
      </w:hyperlink>
    </w:p>
    <w:p w14:paraId="6D92589C" w14:textId="77777777" w:rsidR="00324B33" w:rsidRDefault="00324B33" w:rsidP="00324B33">
      <w:pPr>
        <w:pStyle w:val="Heading2"/>
      </w:pPr>
      <w:bookmarkStart w:id="28" w:name="_Toc103679293"/>
      <w:bookmarkStart w:id="29" w:name="_Toc144277326"/>
      <w:r>
        <w:lastRenderedPageBreak/>
        <w:t>Registration timeline</w:t>
      </w:r>
      <w:bookmarkEnd w:id="27"/>
      <w:bookmarkEnd w:id="28"/>
      <w:bookmarkEnd w:id="2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44628C5F" w14:textId="36476182" w:rsidR="00324B33" w:rsidRDefault="00324B33" w:rsidP="0013528C">
      <w:pPr>
        <w:pStyle w:val="TableTitle"/>
      </w:pPr>
      <w:r>
        <w:t xml:space="preserve">Table </w:t>
      </w:r>
      <w:r w:rsidR="0013528C">
        <w:fldChar w:fldCharType="begin"/>
      </w:r>
      <w:r w:rsidR="0013528C">
        <w:rPr>
          <w:b w:val="0"/>
        </w:rPr>
        <w:instrText xml:space="preserve"> SEQ Table \* ARABIC </w:instrText>
      </w:r>
      <w:r w:rsidR="0013528C">
        <w:fldChar w:fldCharType="separate"/>
      </w:r>
      <w:r w:rsidR="00ED1F97">
        <w:rPr>
          <w:b w:val="0"/>
          <w:noProof/>
        </w:rPr>
        <w:t>2</w:t>
      </w:r>
      <w:r w:rsidR="0013528C">
        <w:rPr>
          <w:noProof/>
        </w:rPr>
        <w:fldChar w:fldCharType="end"/>
      </w:r>
      <w:r>
        <w:t>:</w:t>
      </w:r>
      <w:r w:rsidRPr="006A58A8">
        <w:t xml:space="preserve"> Timeline for Submission PM-20</w:t>
      </w:r>
      <w:r>
        <w:t>2</w:t>
      </w:r>
      <w:r w:rsidR="00F41A3B">
        <w:t>1</w:t>
      </w:r>
      <w:r w:rsidRPr="006A58A8">
        <w:t>-</w:t>
      </w:r>
      <w:r w:rsidR="00F41A3B">
        <w:t>05675</w:t>
      </w:r>
      <w:r w:rsidRPr="006A58A8">
        <w:t>-1-</w:t>
      </w:r>
      <w:r w:rsidR="00F41A3B">
        <w:t>1</w:t>
      </w:r>
    </w:p>
    <w:tbl>
      <w:tblPr>
        <w:tblStyle w:val="TableTGAblue2023"/>
        <w:tblW w:w="8642" w:type="dxa"/>
        <w:tblLook w:val="04A0" w:firstRow="1" w:lastRow="0" w:firstColumn="1" w:lastColumn="0" w:noHBand="0" w:noVBand="1"/>
      </w:tblPr>
      <w:tblGrid>
        <w:gridCol w:w="6091"/>
        <w:gridCol w:w="2551"/>
      </w:tblGrid>
      <w:tr w:rsidR="00324B33" w:rsidRPr="00D01DDB" w14:paraId="6C59BE9C" w14:textId="77777777" w:rsidTr="00840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1106CC1E" w14:textId="4328FA98" w:rsidR="00324B33" w:rsidRPr="00D01DDB" w:rsidRDefault="00324B33" w:rsidP="00E366CE">
            <w:r w:rsidRPr="00D01DDB">
              <w:t>Designation (</w:t>
            </w:r>
            <w:r w:rsidRPr="00854D98">
              <w:t>Orphan</w:t>
            </w:r>
            <w:r w:rsidRPr="00D01DDB">
              <w:t>)</w:t>
            </w:r>
          </w:p>
        </w:tc>
        <w:tc>
          <w:tcPr>
            <w:tcW w:w="2551" w:type="dxa"/>
          </w:tcPr>
          <w:p w14:paraId="4CD143CF" w14:textId="71DD7938"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t>12 October 2021</w:t>
            </w:r>
          </w:p>
        </w:tc>
      </w:tr>
      <w:tr w:rsidR="00324B33" w:rsidRPr="00D01DDB" w14:paraId="23610C53"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551" w:type="dxa"/>
          </w:tcPr>
          <w:p w14:paraId="2963D9D8" w14:textId="13340DC1"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t>31 January 2022</w:t>
            </w:r>
          </w:p>
        </w:tc>
      </w:tr>
      <w:tr w:rsidR="00324B33" w:rsidRPr="00D01DDB" w14:paraId="53437815"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4C037D4E" w14:textId="2B0CE255" w:rsidR="00324B33" w:rsidRPr="00D01DDB" w:rsidRDefault="00324B33" w:rsidP="00324B33">
            <w:pPr>
              <w:rPr>
                <w:szCs w:val="22"/>
              </w:rPr>
            </w:pPr>
            <w:r w:rsidRPr="00D01DDB">
              <w:rPr>
                <w:szCs w:val="22"/>
              </w:rPr>
              <w:t>First round evaluation completed</w:t>
            </w:r>
          </w:p>
        </w:tc>
        <w:tc>
          <w:tcPr>
            <w:tcW w:w="2551" w:type="dxa"/>
          </w:tcPr>
          <w:p w14:paraId="3CEAFAAB" w14:textId="7CBE1983"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t>17 May 2022</w:t>
            </w:r>
          </w:p>
        </w:tc>
      </w:tr>
      <w:tr w:rsidR="00324B33" w:rsidRPr="00D01DDB" w14:paraId="60DA57CC"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2551" w:type="dxa"/>
          </w:tcPr>
          <w:p w14:paraId="68A577C1" w14:textId="0F699A64"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t>14 July 2022</w:t>
            </w:r>
          </w:p>
        </w:tc>
      </w:tr>
      <w:tr w:rsidR="00324B33" w:rsidRPr="00D01DDB" w14:paraId="767E33A4"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4AFC5B50" w14:textId="2BCC6A3E" w:rsidR="00324B33" w:rsidRPr="00D01DDB" w:rsidRDefault="00324B33" w:rsidP="00324B33">
            <w:pPr>
              <w:rPr>
                <w:szCs w:val="22"/>
              </w:rPr>
            </w:pPr>
            <w:r w:rsidRPr="00D01DDB">
              <w:rPr>
                <w:szCs w:val="22"/>
              </w:rPr>
              <w:t>Second round evaluation completed</w:t>
            </w:r>
          </w:p>
        </w:tc>
        <w:tc>
          <w:tcPr>
            <w:tcW w:w="2551" w:type="dxa"/>
          </w:tcPr>
          <w:p w14:paraId="4E47DF62" w14:textId="05E8D436"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t>21 September 2022</w:t>
            </w:r>
          </w:p>
        </w:tc>
      </w:tr>
      <w:tr w:rsidR="00324B33" w:rsidRPr="00D01DDB" w14:paraId="302FCB45"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716E9DC1" w14:textId="7815FDA6" w:rsidR="00324B33" w:rsidRPr="00D01DDB" w:rsidRDefault="00324B33" w:rsidP="00324B33">
            <w:pPr>
              <w:rPr>
                <w:szCs w:val="22"/>
              </w:rPr>
            </w:pPr>
            <w:r w:rsidRPr="00D01DDB">
              <w:rPr>
                <w:szCs w:val="22"/>
              </w:rPr>
              <w:t>Delegate’s Overall benefit-risk assessment</w:t>
            </w:r>
          </w:p>
        </w:tc>
        <w:tc>
          <w:tcPr>
            <w:tcW w:w="2551" w:type="dxa"/>
          </w:tcPr>
          <w:p w14:paraId="3BA6EF79" w14:textId="61A9C836"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t>15 November 2022</w:t>
            </w:r>
          </w:p>
        </w:tc>
      </w:tr>
      <w:tr w:rsidR="00324B33" w:rsidRPr="00D01DDB" w14:paraId="5832EBC8"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720592DE" w14:textId="1F72CD22" w:rsidR="00324B33" w:rsidRPr="00D01DDB" w:rsidRDefault="00324B33" w:rsidP="00324B33">
            <w:pPr>
              <w:rPr>
                <w:szCs w:val="22"/>
              </w:rPr>
            </w:pPr>
            <w:r w:rsidRPr="00D01DDB">
              <w:rPr>
                <w:szCs w:val="22"/>
              </w:rPr>
              <w:t>Sponsor’s pre-Advisory Committee response</w:t>
            </w:r>
          </w:p>
        </w:tc>
        <w:tc>
          <w:tcPr>
            <w:tcW w:w="2551" w:type="dxa"/>
          </w:tcPr>
          <w:p w14:paraId="5AE04841" w14:textId="7BD010A2"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5754F7AC"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789DE187" w14:textId="123446EE" w:rsidR="00324B33" w:rsidRPr="00D01DDB" w:rsidRDefault="00324B33" w:rsidP="00324B33">
            <w:pPr>
              <w:rPr>
                <w:szCs w:val="22"/>
              </w:rPr>
            </w:pPr>
            <w:r w:rsidRPr="00D01DDB">
              <w:rPr>
                <w:szCs w:val="22"/>
              </w:rPr>
              <w:t>Advisory Committee meeting</w:t>
            </w:r>
          </w:p>
        </w:tc>
        <w:tc>
          <w:tcPr>
            <w:tcW w:w="2551" w:type="dxa"/>
          </w:tcPr>
          <w:p w14:paraId="5BE1EDE7" w14:textId="084FBBCF"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324B33" w:rsidRPr="00D01DDB" w14:paraId="6E5D32FE"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D01DDB" w:rsidRDefault="00324B33" w:rsidP="00324B33">
            <w:pPr>
              <w:rPr>
                <w:szCs w:val="22"/>
              </w:rPr>
            </w:pPr>
            <w:r w:rsidRPr="00D01DDB">
              <w:rPr>
                <w:szCs w:val="22"/>
              </w:rPr>
              <w:t>Registration decision (Outcome)</w:t>
            </w:r>
          </w:p>
        </w:tc>
        <w:tc>
          <w:tcPr>
            <w:tcW w:w="2551" w:type="dxa"/>
          </w:tcPr>
          <w:p w14:paraId="62987ABD" w14:textId="21E3AF2A"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t>18 November 2022</w:t>
            </w:r>
          </w:p>
        </w:tc>
      </w:tr>
      <w:tr w:rsidR="00324B33" w:rsidRPr="00D01DDB" w14:paraId="6DDCDDA4"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192FD19D" w14:textId="7D5F96C5" w:rsidR="00324B33" w:rsidRPr="00D01DDB" w:rsidRDefault="0013132F" w:rsidP="00324B33">
            <w:pPr>
              <w:rPr>
                <w:szCs w:val="22"/>
              </w:rPr>
            </w:pPr>
            <w:r>
              <w:t>Administrative activities and registration on the ARTG completed</w:t>
            </w:r>
          </w:p>
        </w:tc>
        <w:tc>
          <w:tcPr>
            <w:tcW w:w="2551" w:type="dxa"/>
          </w:tcPr>
          <w:p w14:paraId="5A8923FD" w14:textId="63261E6E"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t>21 November 2022</w:t>
            </w:r>
          </w:p>
        </w:tc>
      </w:tr>
      <w:tr w:rsidR="00324B33" w:rsidRPr="00D01DDB" w14:paraId="56D922E2" w14:textId="77777777" w:rsidTr="0084046A">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2551" w:type="dxa"/>
          </w:tcPr>
          <w:p w14:paraId="5BAF9FA1" w14:textId="37B5331D" w:rsidR="00324B33" w:rsidRPr="00D01DDB" w:rsidRDefault="00F41A3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157</w:t>
            </w:r>
          </w:p>
        </w:tc>
      </w:tr>
    </w:tbl>
    <w:p w14:paraId="47E88CFC" w14:textId="52215AAF" w:rsidR="00433318" w:rsidRDefault="00433318" w:rsidP="00854D98">
      <w:pPr>
        <w:pStyle w:val="TableDescription"/>
      </w:pPr>
      <w:r w:rsidRPr="00006FAB">
        <w:t>* The COR-B process has a 175 working day evaluation and decision timeframe.</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4427732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5F5FAA14" w14:textId="77777777" w:rsidR="00C22214" w:rsidRPr="00BD5DBD" w:rsidRDefault="00C22214" w:rsidP="00C22214">
      <w:pPr>
        <w:rPr>
          <w:szCs w:val="22"/>
        </w:rPr>
      </w:pPr>
      <w:bookmarkStart w:id="35" w:name="_Toc247691528"/>
      <w:bookmarkStart w:id="36" w:name="_Toc314842511"/>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22214" w:rsidRDefault="00C22214" w:rsidP="00C22214">
      <w:pPr>
        <w:pStyle w:val="Heading3"/>
      </w:pPr>
      <w:bookmarkStart w:id="37" w:name="_Toc103679295"/>
      <w:bookmarkStart w:id="38" w:name="_Toc144277328"/>
      <w:r>
        <w:t>Quality</w:t>
      </w:r>
      <w:bookmarkEnd w:id="35"/>
      <w:bookmarkEnd w:id="36"/>
      <w:bookmarkEnd w:id="37"/>
      <w:bookmarkEnd w:id="38"/>
    </w:p>
    <w:p w14:paraId="6F170545" w14:textId="5D1BBAEB" w:rsidR="00220211" w:rsidRDefault="00220211" w:rsidP="00220211">
      <w:bookmarkStart w:id="39" w:name="_Toc314842512"/>
      <w:bookmarkStart w:id="40" w:name="_Toc103679296"/>
      <w:r>
        <w:t xml:space="preserve">Onpattro is a concentrated injection </w:t>
      </w:r>
      <w:r w:rsidR="001E1DC2">
        <w:t xml:space="preserve">for infusion </w:t>
      </w:r>
      <w:r>
        <w:t>containing patisiran sodium (10 mg/5 mL as patisiran) formulated as ‘lipid nanoparticles’ in phosphate buffered saline. The product is white to off</w:t>
      </w:r>
      <w:r>
        <w:noBreakHyphen/>
        <w:t>white, opalescent, homogeneous liquid supplied in a glass vial. Onpattro is supplied in cartons of one vial.</w:t>
      </w:r>
    </w:p>
    <w:p w14:paraId="117B3046" w14:textId="204A0E1F" w:rsidR="00220211" w:rsidRDefault="00220211" w:rsidP="00220211">
      <w:r>
        <w:t>Onpattro is administered by intravenous infusion after dilution in 0.9% saline (to 200 mL); the recommended dose is 300 µg/kg every 3 weeks. For patients weighing ≥ 100 kg, the maximum recommended dose is 30 mg (that is 3 vials).</w:t>
      </w:r>
    </w:p>
    <w:p w14:paraId="56B4E86B" w14:textId="348EC8A5" w:rsidR="00220211" w:rsidRDefault="00220211" w:rsidP="00220211">
      <w:r>
        <w:t xml:space="preserve">The evaluator reviewed the assessment reports prepared by the COR for the same submission and provided to the TGA by the applicant. The evaluator also assessed any Australian-specific data relating to the composition, development, manufacture, quality control, stability and bioavailability of the product and checked for compliance, as applicable, with Australian </w:t>
      </w:r>
      <w:r>
        <w:lastRenderedPageBreak/>
        <w:t xml:space="preserve">legislation and requirements for new medicines and in accordance with </w:t>
      </w:r>
      <w:proofErr w:type="spellStart"/>
      <w:r>
        <w:t>pharmacopoeial</w:t>
      </w:r>
      <w:proofErr w:type="spellEnd"/>
      <w:r>
        <w:t xml:space="preserve"> standards and the technical guidelines adopted by the TGA.</w:t>
      </w:r>
    </w:p>
    <w:p w14:paraId="2BE90AAE" w14:textId="2744646B" w:rsidR="00C22214" w:rsidRDefault="00C22214" w:rsidP="00220211">
      <w:pPr>
        <w:pStyle w:val="Heading3"/>
      </w:pPr>
      <w:bookmarkStart w:id="41" w:name="_Toc144277329"/>
      <w:r>
        <w:t>Nonclinical</w:t>
      </w:r>
      <w:bookmarkEnd w:id="39"/>
      <w:bookmarkEnd w:id="40"/>
      <w:bookmarkEnd w:id="41"/>
    </w:p>
    <w:p w14:paraId="4C9137E1" w14:textId="5DB3FDFD" w:rsidR="00220211" w:rsidRPr="00220211" w:rsidRDefault="00220211" w:rsidP="00220211">
      <w:bookmarkStart w:id="42" w:name="_Toc247691530"/>
      <w:bookmarkStart w:id="43" w:name="_Toc314842513"/>
      <w:bookmarkStart w:id="44" w:name="_Toc103679297"/>
      <w:r w:rsidRPr="00220211">
        <w:t xml:space="preserve">The scope and quality of the submitted </w:t>
      </w:r>
      <w:r>
        <w:t>nonclinical</w:t>
      </w:r>
      <w:r w:rsidRPr="00220211">
        <w:t xml:space="preserve"> dossier was mostly acceptable, with studies consistent with the principles of ICH guidance for the nonclinical testing of pharmaceuticals.</w:t>
      </w:r>
      <w:bookmarkStart w:id="45" w:name="_Ref137033919"/>
      <w:r w:rsidR="00E2099D">
        <w:rPr>
          <w:rStyle w:val="FootnoteReference"/>
        </w:rPr>
        <w:footnoteReference w:id="3"/>
      </w:r>
      <w:bookmarkEnd w:id="45"/>
      <w:r w:rsidRPr="00220211">
        <w:t xml:space="preserve"> All pivotal safety</w:t>
      </w:r>
      <w:r>
        <w:t xml:space="preserve"> </w:t>
      </w:r>
      <w:r w:rsidRPr="00220211">
        <w:t xml:space="preserve">related studies were conducted according to </w:t>
      </w:r>
      <w:r>
        <w:t>Good Laboratory Practice</w:t>
      </w:r>
      <w:r w:rsidRPr="00220211">
        <w:t>.</w:t>
      </w:r>
    </w:p>
    <w:p w14:paraId="7A198DD9" w14:textId="65C86F36" w:rsidR="00220211" w:rsidRPr="00220211" w:rsidRDefault="00220211" w:rsidP="00220211">
      <w:r w:rsidRPr="00220211">
        <w:t xml:space="preserve">The animal studies support the proposed clinical dose and dosing regimen. However, effects on </w:t>
      </w:r>
      <w:r w:rsidR="00E2099D">
        <w:t>TTR</w:t>
      </w:r>
      <w:r w:rsidRPr="00220211">
        <w:t xml:space="preserve"> mRNA levels in the choroid plexus or retinal pigment epithelium were not assessed. Furthermore, no studies were submitted to determine if Onpattro could suppress disease progression or ameliorate disease symptoms. Therefore, no comment </w:t>
      </w:r>
      <w:proofErr w:type="gramStart"/>
      <w:r w:rsidRPr="00220211">
        <w:t>in regard to</w:t>
      </w:r>
      <w:proofErr w:type="gramEnd"/>
      <w:r w:rsidRPr="00220211">
        <w:t xml:space="preserve"> efficacy can be given based on nonclinical data.</w:t>
      </w:r>
    </w:p>
    <w:p w14:paraId="4163B93D" w14:textId="3F06A782" w:rsidR="00220211" w:rsidRPr="00220211" w:rsidRDefault="00220211" w:rsidP="00220211">
      <w:r w:rsidRPr="00220211">
        <w:rPr>
          <w:i/>
          <w:iCs/>
        </w:rPr>
        <w:t>In vivo</w:t>
      </w:r>
      <w:r w:rsidRPr="00220211">
        <w:t>, Onpattro decreased circulating retinol binding protein, vitamin A and thyroxine, but not triiodothyronine levels in monkeys. This was not associated with signs of vitamin A deficiency or effects on the thyroid.</w:t>
      </w:r>
    </w:p>
    <w:p w14:paraId="29C6394B" w14:textId="30FB294C" w:rsidR="00220211" w:rsidRPr="00220211" w:rsidRDefault="00220211" w:rsidP="00220211">
      <w:r w:rsidRPr="00220211">
        <w:t xml:space="preserve">A specialised safety pharmacology study conducted in cynomolgus monkeys that covered the </w:t>
      </w:r>
      <w:r>
        <w:t>central nervous system</w:t>
      </w:r>
      <w:r w:rsidRPr="00220211">
        <w:t xml:space="preserve">, cardiovascular and respiratory systems did not reveal any treatment-related changes to </w:t>
      </w:r>
      <w:r>
        <w:t>central nervous system</w:t>
      </w:r>
      <w:r w:rsidRPr="00220211">
        <w:t xml:space="preserve"> or respiratory function at moderate exposures. Effects on </w:t>
      </w:r>
      <w:r>
        <w:t>e</w:t>
      </w:r>
      <w:r w:rsidRPr="00220211">
        <w:t xml:space="preserve">lectrocardiography parameters and </w:t>
      </w:r>
      <w:r>
        <w:t>central nervous system</w:t>
      </w:r>
      <w:r w:rsidRPr="00220211">
        <w:t xml:space="preserve"> and respiratory function are not expected in patients.</w:t>
      </w:r>
    </w:p>
    <w:p w14:paraId="3490CDCF" w14:textId="3A15B744" w:rsidR="00220211" w:rsidRPr="00220211" w:rsidRDefault="00220211" w:rsidP="00220211">
      <w:r w:rsidRPr="00220211">
        <w:t xml:space="preserve">The pharmacokinetic profiles of </w:t>
      </w:r>
      <w:r w:rsidR="00E2099D">
        <w:t>Onpattro</w:t>
      </w:r>
      <w:r w:rsidRPr="00220211">
        <w:t xml:space="preserve">, </w:t>
      </w:r>
      <w:r w:rsidR="00BA0BE0" w:rsidRPr="00BA0BE0">
        <w:t xml:space="preserve">and the </w:t>
      </w:r>
      <w:r w:rsidR="00BA0BE0">
        <w:t>two</w:t>
      </w:r>
      <w:r w:rsidR="00BA0BE0" w:rsidRPr="00BA0BE0">
        <w:t xml:space="preserve"> novel lipids</w:t>
      </w:r>
      <w:r w:rsidR="00BA0BE0" w:rsidRPr="00220211">
        <w:t xml:space="preserve"> </w:t>
      </w:r>
      <w:r w:rsidRPr="00220211">
        <w:t>DLin-MC3-DMA and PEG</w:t>
      </w:r>
      <w:r w:rsidRPr="00163BB4">
        <w:rPr>
          <w:vertAlign w:val="subscript"/>
        </w:rPr>
        <w:t>2000</w:t>
      </w:r>
      <w:r w:rsidRPr="00220211">
        <w:t xml:space="preserve">-C-DMG in rats and monkeys were qualitatively </w:t>
      </w:r>
      <w:proofErr w:type="gramStart"/>
      <w:r w:rsidRPr="00220211">
        <w:t>similar to</w:t>
      </w:r>
      <w:proofErr w:type="gramEnd"/>
      <w:r w:rsidRPr="00220211">
        <w:t xml:space="preserve"> humans following Onpattro </w:t>
      </w:r>
      <w:r>
        <w:t>intravenous</w:t>
      </w:r>
      <w:r w:rsidRPr="00220211">
        <w:t xml:space="preserve"> administration.</w:t>
      </w:r>
    </w:p>
    <w:p w14:paraId="323456B1" w14:textId="6969FDE2" w:rsidR="00220211" w:rsidRPr="00220211" w:rsidRDefault="00220211" w:rsidP="00220211">
      <w:r w:rsidRPr="00220211">
        <w:t>Repeat</w:t>
      </w:r>
      <w:r>
        <w:t xml:space="preserve"> </w:t>
      </w:r>
      <w:r w:rsidRPr="00220211">
        <w:t>dose toxicity studies using the clinical route (</w:t>
      </w:r>
      <w:r>
        <w:t>intravenous</w:t>
      </w:r>
      <w:r w:rsidRPr="00220211">
        <w:t>) were conducted in mice (6 weeks dose</w:t>
      </w:r>
      <w:r>
        <w:t xml:space="preserve"> </w:t>
      </w:r>
      <w:r w:rsidRPr="00220211">
        <w:t>range finding study), rats (up to 26 weeks) and cynomolgus monkeys (up to 39 weeks). Dose</w:t>
      </w:r>
      <w:r>
        <w:t xml:space="preserve"> </w:t>
      </w:r>
      <w:r w:rsidRPr="00220211">
        <w:t>limiting hepatotoxicity was observed in all species. Aside from the injection site reactions and degenerative hepatic effects, the other findings in toxicity studies were considered of low or no clinical concern.</w:t>
      </w:r>
    </w:p>
    <w:p w14:paraId="1CEE8BA3" w14:textId="349B6976" w:rsidR="00220211" w:rsidRPr="00220211" w:rsidRDefault="00220211" w:rsidP="00220211">
      <w:r w:rsidRPr="00220211">
        <w:t>A carcinogenicity study conducted in transgenic mice (26 weeks in TgRasH2) did not identify treatment</w:t>
      </w:r>
      <w:r>
        <w:t xml:space="preserve"> </w:t>
      </w:r>
      <w:r w:rsidRPr="00220211">
        <w:t xml:space="preserve">related tumour or pre-neoplastic findings, but exposures were low and only a single species for which the drug is not </w:t>
      </w:r>
      <w:proofErr w:type="gramStart"/>
      <w:r w:rsidRPr="00220211">
        <w:t>pharmacologically-active</w:t>
      </w:r>
      <w:proofErr w:type="gramEnd"/>
      <w:r w:rsidRPr="00220211">
        <w:t xml:space="preserve"> was used. The negative results are considered inconclusive.</w:t>
      </w:r>
    </w:p>
    <w:p w14:paraId="0965B9D9" w14:textId="07CE1212" w:rsidR="00220211" w:rsidRDefault="00220211" w:rsidP="00220211">
      <w:r w:rsidRPr="00220211">
        <w:t xml:space="preserve">Studies on fertility, embryofetal development and pre/postnatal development were conducted with Onpattro in rats and/or rabbits. A pregnancy category </w:t>
      </w:r>
      <w:proofErr w:type="gramStart"/>
      <w:r w:rsidRPr="00220211">
        <w:t>D</w:t>
      </w:r>
      <w:r w:rsidR="00E2099D">
        <w:t>;</w:t>
      </w:r>
      <w:bookmarkStart w:id="46" w:name="_Ref137033935"/>
      <w:proofErr w:type="gramEnd"/>
      <w:r w:rsidR="00E2099D">
        <w:rPr>
          <w:rStyle w:val="FootnoteReference"/>
        </w:rPr>
        <w:footnoteReference w:id="4"/>
      </w:r>
      <w:bookmarkEnd w:id="46"/>
      <w:r w:rsidRPr="00220211">
        <w:t xml:space="preserve"> is warranted given the potential adverse embryofetal development effects associated with an imbalance in vitamin A levels.</w:t>
      </w:r>
    </w:p>
    <w:p w14:paraId="59D23D92" w14:textId="5F3399F4" w:rsidR="007B5D09" w:rsidRDefault="007B5D09" w:rsidP="007B5D09">
      <w:r>
        <w:t xml:space="preserve">Dedicated local tolerance studies were not conducted but repeat dose toxicity studies showed injection site reactions (minimal to severe vascular/perivascular inflammation) to Onpattro in mice, </w:t>
      </w:r>
      <w:proofErr w:type="gramStart"/>
      <w:r>
        <w:t>rats</w:t>
      </w:r>
      <w:proofErr w:type="gramEnd"/>
      <w:r>
        <w:t xml:space="preserve"> and monkeys.</w:t>
      </w:r>
    </w:p>
    <w:p w14:paraId="7190F961" w14:textId="2411D670" w:rsidR="007B5D09" w:rsidRDefault="007B5D09" w:rsidP="007B5D09">
      <w:r>
        <w:t xml:space="preserve">Onpattro was not </w:t>
      </w:r>
      <w:proofErr w:type="spellStart"/>
      <w:r>
        <w:t>immunotoxic</w:t>
      </w:r>
      <w:proofErr w:type="spellEnd"/>
      <w:r>
        <w:t xml:space="preserve"> in repeat dose toxicity studies. There was no evidence of </w:t>
      </w:r>
      <w:r w:rsidR="00143176">
        <w:t xml:space="preserve">immunosuppression </w:t>
      </w:r>
      <w:r>
        <w:t xml:space="preserve">by patisiran or Onpattro </w:t>
      </w:r>
      <w:r w:rsidRPr="007B5D09">
        <w:rPr>
          <w:i/>
          <w:iCs/>
        </w:rPr>
        <w:t>in vitro</w:t>
      </w:r>
      <w:r>
        <w:t xml:space="preserve"> or </w:t>
      </w:r>
      <w:r w:rsidRPr="007B5D09">
        <w:rPr>
          <w:i/>
          <w:iCs/>
        </w:rPr>
        <w:t>in vivo</w:t>
      </w:r>
      <w:r>
        <w:t>.</w:t>
      </w:r>
    </w:p>
    <w:p w14:paraId="510D410F" w14:textId="6A629FFA" w:rsidR="007B5D09" w:rsidRDefault="007B5D09" w:rsidP="007B5D09">
      <w:r>
        <w:lastRenderedPageBreak/>
        <w:t>In summary, the primary pharmacology data lend some support for the proposed indication.</w:t>
      </w:r>
      <w:r w:rsidR="006319F2">
        <w:t xml:space="preserve"> </w:t>
      </w:r>
      <w:r>
        <w:t>The collective toxicity findings with Onpattro of potential clinical relevance include:</w:t>
      </w:r>
    </w:p>
    <w:p w14:paraId="0485BD30" w14:textId="724EE4CE" w:rsidR="007B5D09" w:rsidRDefault="007B5D09" w:rsidP="006319F2">
      <w:pPr>
        <w:pStyle w:val="ListBullet"/>
      </w:pPr>
      <w:r>
        <w:t xml:space="preserve">Hepatotoxicity (accompanied by increased liver enzymes), which should be easily </w:t>
      </w:r>
      <w:proofErr w:type="gramStart"/>
      <w:r>
        <w:t>monitored;</w:t>
      </w:r>
      <w:proofErr w:type="gramEnd"/>
    </w:p>
    <w:p w14:paraId="19B77AA9" w14:textId="163545A1" w:rsidR="007B5D09" w:rsidRDefault="007B5D09" w:rsidP="006319F2">
      <w:pPr>
        <w:pStyle w:val="ListBullet"/>
      </w:pPr>
      <w:r>
        <w:t xml:space="preserve">Injection site reactions, which could easily be </w:t>
      </w:r>
      <w:proofErr w:type="gramStart"/>
      <w:r>
        <w:t>monitored;</w:t>
      </w:r>
      <w:proofErr w:type="gramEnd"/>
    </w:p>
    <w:p w14:paraId="2EE95CEB" w14:textId="2DF645E9" w:rsidR="007B5D09" w:rsidRDefault="007B5D09" w:rsidP="006319F2">
      <w:pPr>
        <w:pStyle w:val="ListBullet"/>
      </w:pPr>
      <w:r>
        <w:t>Teratogenicity, which can be mitigated by sufficient warnings and labelling.</w:t>
      </w:r>
    </w:p>
    <w:p w14:paraId="499E6DB3" w14:textId="3662B1E9" w:rsidR="007B5D09" w:rsidRDefault="007B5D09" w:rsidP="007B5D09">
      <w:r>
        <w:t xml:space="preserve">The proposed pregnancy category for </w:t>
      </w:r>
      <w:r w:rsidR="00E2099D">
        <w:t>Onpattro</w:t>
      </w:r>
      <w:r>
        <w:t xml:space="preserve"> (Category D) is acceptable.</w:t>
      </w:r>
    </w:p>
    <w:p w14:paraId="1ADBA711" w14:textId="33286F76" w:rsidR="007B5D09" w:rsidRPr="00220211" w:rsidRDefault="007B5D09" w:rsidP="007B5D09">
      <w:r>
        <w:t xml:space="preserve">Although some limitations were identified in the </w:t>
      </w:r>
      <w:r w:rsidR="006319F2">
        <w:t>nonclinical</w:t>
      </w:r>
      <w:r>
        <w:t xml:space="preserve"> dossier (low assessed margins, inadequate carcinogenicity assessment), the clinical presentations of </w:t>
      </w:r>
      <w:proofErr w:type="spellStart"/>
      <w:r>
        <w:t>hATTR</w:t>
      </w:r>
      <w:proofErr w:type="spellEnd"/>
      <w:r>
        <w:t xml:space="preserve"> amyloidosis (multiple organs impairment), the disease outcome (fatal), the limited treatment alternatives and the expected treatment benefits, may outweigh any unknown risks.</w:t>
      </w:r>
      <w:r w:rsidR="006319F2">
        <w:t xml:space="preserve"> </w:t>
      </w:r>
      <w:r>
        <w:t xml:space="preserve">The </w:t>
      </w:r>
      <w:r w:rsidR="006319F2">
        <w:t xml:space="preserve">nonclinical </w:t>
      </w:r>
      <w:r>
        <w:t>evaluator has recommended approval of Onpattro.</w:t>
      </w:r>
    </w:p>
    <w:p w14:paraId="35B580A5" w14:textId="69B9BE44" w:rsidR="00C22214" w:rsidRDefault="00C22214" w:rsidP="008804CF">
      <w:pPr>
        <w:pStyle w:val="Heading3"/>
      </w:pPr>
      <w:bookmarkStart w:id="47" w:name="_Toc144277330"/>
      <w:r>
        <w:t>Clinical</w:t>
      </w:r>
      <w:bookmarkEnd w:id="42"/>
      <w:bookmarkEnd w:id="43"/>
      <w:bookmarkEnd w:id="44"/>
      <w:bookmarkEnd w:id="47"/>
    </w:p>
    <w:p w14:paraId="32B0DEDA" w14:textId="77777777" w:rsidR="00C22214" w:rsidRPr="00433318" w:rsidRDefault="00C22214" w:rsidP="00433318">
      <w:pPr>
        <w:pStyle w:val="Heading4"/>
      </w:pPr>
      <w:bookmarkStart w:id="48" w:name="_Toc98931928"/>
      <w:bookmarkStart w:id="49" w:name="_Toc144277331"/>
      <w:r>
        <w:t>Summary of clinical studies</w:t>
      </w:r>
      <w:bookmarkEnd w:id="48"/>
      <w:bookmarkEnd w:id="49"/>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241DF101" w14:textId="27B236FD" w:rsidR="006319F2" w:rsidRDefault="006319F2" w:rsidP="006319F2">
      <w:pPr>
        <w:pStyle w:val="ListBullet"/>
      </w:pPr>
      <w:r>
        <w:t>Two Phase I single ascending dose studies</w:t>
      </w:r>
      <w:r w:rsidR="006F4D7C">
        <w:t xml:space="preserve"> in healthy volunteers</w:t>
      </w:r>
      <w:r>
        <w:t xml:space="preserve"> (Studies ALN-TTR02-001 and ALN-TTR02-005</w:t>
      </w:r>
      <w:r w:rsidR="006F4D7C">
        <w:t>)</w:t>
      </w:r>
    </w:p>
    <w:p w14:paraId="2BB379CC" w14:textId="1B3EACBF" w:rsidR="006319F2" w:rsidRDefault="006319F2" w:rsidP="006319F2">
      <w:pPr>
        <w:pStyle w:val="ListBullet"/>
      </w:pPr>
      <w:r>
        <w:t xml:space="preserve">A Phase </w:t>
      </w:r>
      <w:r w:rsidR="006F4D7C">
        <w:t>II</w:t>
      </w:r>
      <w:r>
        <w:t xml:space="preserve"> open</w:t>
      </w:r>
      <w:r w:rsidR="006F4D7C">
        <w:t xml:space="preserve"> </w:t>
      </w:r>
      <w:r>
        <w:t>label, multiple-ascending dose study</w:t>
      </w:r>
      <w:r w:rsidR="006F4D7C">
        <w:t xml:space="preserve"> in</w:t>
      </w:r>
      <w:r>
        <w:t xml:space="preserve"> </w:t>
      </w:r>
      <w:r w:rsidR="006F4D7C">
        <w:t xml:space="preserve">patients with </w:t>
      </w:r>
      <w:proofErr w:type="spellStart"/>
      <w:r w:rsidR="006F4D7C">
        <w:t>hATTR</w:t>
      </w:r>
      <w:proofErr w:type="spellEnd"/>
      <w:r w:rsidR="006F4D7C">
        <w:t xml:space="preserve"> amyloidosis with polyneuropathy </w:t>
      </w:r>
      <w:r>
        <w:t>(Study ALN-TTR02-002)</w:t>
      </w:r>
    </w:p>
    <w:p w14:paraId="1F54570F" w14:textId="252141E6" w:rsidR="006319F2" w:rsidRDefault="006319F2" w:rsidP="006319F2">
      <w:pPr>
        <w:pStyle w:val="ListBullet"/>
      </w:pPr>
      <w:r>
        <w:t xml:space="preserve">A Phase </w:t>
      </w:r>
      <w:r w:rsidR="006F4D7C">
        <w:t>II</w:t>
      </w:r>
      <w:r>
        <w:t xml:space="preserve"> open</w:t>
      </w:r>
      <w:r w:rsidR="006F4D7C">
        <w:t xml:space="preserve"> </w:t>
      </w:r>
      <w:r>
        <w:t>label, single</w:t>
      </w:r>
      <w:r w:rsidR="006F4D7C">
        <w:t xml:space="preserve"> </w:t>
      </w:r>
      <w:r>
        <w:t>arm, long</w:t>
      </w:r>
      <w:r w:rsidR="006F4D7C">
        <w:t xml:space="preserve"> </w:t>
      </w:r>
      <w:r>
        <w:t xml:space="preserve">term </w:t>
      </w:r>
      <w:proofErr w:type="gramStart"/>
      <w:r>
        <w:t>follow</w:t>
      </w:r>
      <w:proofErr w:type="gramEnd"/>
      <w:r w:rsidR="006F4D7C">
        <w:t xml:space="preserve"> </w:t>
      </w:r>
      <w:r>
        <w:t xml:space="preserve">up extension study </w:t>
      </w:r>
      <w:r w:rsidR="006F4D7C">
        <w:t xml:space="preserve">in patients with </w:t>
      </w:r>
      <w:proofErr w:type="spellStart"/>
      <w:r w:rsidR="006F4D7C">
        <w:t>hATTR</w:t>
      </w:r>
      <w:proofErr w:type="spellEnd"/>
      <w:r w:rsidR="006F4D7C">
        <w:t xml:space="preserve"> amyloidosis with polyneuropathy </w:t>
      </w:r>
      <w:r>
        <w:t>(Study ALN-TTR02-003)</w:t>
      </w:r>
      <w:r w:rsidR="006F4D7C">
        <w:t>.</w:t>
      </w:r>
      <w:r>
        <w:t xml:space="preserve"> This was a long</w:t>
      </w:r>
      <w:r w:rsidR="007107C0">
        <w:t xml:space="preserve"> </w:t>
      </w:r>
      <w:r>
        <w:t>term follow</w:t>
      </w:r>
      <w:r w:rsidR="007107C0">
        <w:t xml:space="preserve"> </w:t>
      </w:r>
      <w:r>
        <w:t xml:space="preserve">up extension study with a </w:t>
      </w:r>
      <w:proofErr w:type="gramStart"/>
      <w:r>
        <w:t>24 month</w:t>
      </w:r>
      <w:proofErr w:type="gramEnd"/>
      <w:r>
        <w:t xml:space="preserve"> treatment duration that provided supportive efficacy data to </w:t>
      </w:r>
      <w:r w:rsidR="007107C0">
        <w:t>Study ALN-TTR02-</w:t>
      </w:r>
      <w:r>
        <w:t xml:space="preserve">004. Patients enrolled in this study had previously participated in Study 002. The dosing gap between </w:t>
      </w:r>
      <w:r w:rsidR="007107C0">
        <w:t>Study ALN-TTR02-</w:t>
      </w:r>
      <w:r>
        <w:t xml:space="preserve">002 and </w:t>
      </w:r>
      <w:r w:rsidR="007107C0">
        <w:t>Study ALN-TTR02-</w:t>
      </w:r>
      <w:r>
        <w:t xml:space="preserve">003 was at least </w:t>
      </w:r>
      <w:r w:rsidR="00E2099D">
        <w:t>six</w:t>
      </w:r>
      <w:r>
        <w:t xml:space="preserve"> months</w:t>
      </w:r>
    </w:p>
    <w:p w14:paraId="019CAD06" w14:textId="10761415" w:rsidR="006319F2" w:rsidRDefault="006319F2" w:rsidP="006319F2">
      <w:pPr>
        <w:pStyle w:val="ListBullet"/>
      </w:pPr>
      <w:r>
        <w:t xml:space="preserve">A pivotal Phase </w:t>
      </w:r>
      <w:r w:rsidR="007107C0">
        <w:t>III</w:t>
      </w:r>
      <w:r>
        <w:t xml:space="preserve"> double</w:t>
      </w:r>
      <w:r w:rsidR="007107C0">
        <w:t xml:space="preserve"> </w:t>
      </w:r>
      <w:r>
        <w:t xml:space="preserve">blind, </w:t>
      </w:r>
      <w:proofErr w:type="gramStart"/>
      <w:r>
        <w:t>placebo</w:t>
      </w:r>
      <w:r w:rsidR="007107C0">
        <w:t xml:space="preserve"> </w:t>
      </w:r>
      <w:r>
        <w:t>controlled</w:t>
      </w:r>
      <w:proofErr w:type="gramEnd"/>
      <w:r>
        <w:t xml:space="preserve"> study</w:t>
      </w:r>
      <w:r w:rsidR="007107C0">
        <w:t xml:space="preserve"> in patients with </w:t>
      </w:r>
      <w:proofErr w:type="spellStart"/>
      <w:r w:rsidR="007107C0">
        <w:t>hATTR</w:t>
      </w:r>
      <w:proofErr w:type="spellEnd"/>
      <w:r w:rsidR="007107C0">
        <w:t xml:space="preserve"> amyloidosis with polyneuropathy </w:t>
      </w:r>
      <w:r>
        <w:t>(Study ALN-TTR02-004)</w:t>
      </w:r>
      <w:r w:rsidR="007107C0">
        <w:t>. The study was</w:t>
      </w:r>
      <w:r>
        <w:t xml:space="preserve"> an </w:t>
      </w:r>
      <w:proofErr w:type="gramStart"/>
      <w:r>
        <w:t>18 month</w:t>
      </w:r>
      <w:proofErr w:type="gramEnd"/>
      <w:r>
        <w:t xml:space="preserve"> treatment duration that provided the primary efficacy data for the registration of </w:t>
      </w:r>
      <w:r w:rsidR="007107C0">
        <w:t>Onpattro.</w:t>
      </w:r>
    </w:p>
    <w:p w14:paraId="77809D94" w14:textId="478AC043" w:rsidR="006319F2" w:rsidRDefault="006319F2" w:rsidP="006319F2">
      <w:pPr>
        <w:pStyle w:val="ListBullet"/>
      </w:pPr>
      <w:r>
        <w:t>A global open</w:t>
      </w:r>
      <w:r w:rsidR="007107C0">
        <w:t xml:space="preserve"> </w:t>
      </w:r>
      <w:r>
        <w:t>label, single</w:t>
      </w:r>
      <w:r w:rsidR="007107C0">
        <w:t xml:space="preserve"> </w:t>
      </w:r>
      <w:r>
        <w:t>arm, long</w:t>
      </w:r>
      <w:r w:rsidR="007107C0">
        <w:t xml:space="preserve"> </w:t>
      </w:r>
      <w:r>
        <w:t xml:space="preserve">term </w:t>
      </w:r>
      <w:proofErr w:type="gramStart"/>
      <w:r>
        <w:t>follow</w:t>
      </w:r>
      <w:proofErr w:type="gramEnd"/>
      <w:r w:rsidR="007107C0">
        <w:t xml:space="preserve"> </w:t>
      </w:r>
      <w:r>
        <w:t>up extension study (Study ALN-TTR02-006). This is a long</w:t>
      </w:r>
      <w:r w:rsidR="007107C0">
        <w:t xml:space="preserve"> </w:t>
      </w:r>
      <w:r>
        <w:t>term follow</w:t>
      </w:r>
      <w:r w:rsidR="007107C0">
        <w:t xml:space="preserve"> </w:t>
      </w:r>
      <w:r>
        <w:t xml:space="preserve">up extension study of patients who completed Studies </w:t>
      </w:r>
      <w:r w:rsidR="007107C0">
        <w:t>ALN-TTR02-</w:t>
      </w:r>
      <w:r>
        <w:t xml:space="preserve">003 and </w:t>
      </w:r>
      <w:r w:rsidR="007107C0">
        <w:t>ALN-TTR02-</w:t>
      </w:r>
      <w:r>
        <w:t xml:space="preserve">004. An interim analysis with a data cutoff date of 14 July 2017 provides efficacy data on the placebo patients from </w:t>
      </w:r>
      <w:r w:rsidR="007107C0">
        <w:t>Study ALN-TTR02-</w:t>
      </w:r>
      <w:r>
        <w:t xml:space="preserve">004 who transitioned to </w:t>
      </w:r>
      <w:r w:rsidR="007107C0">
        <w:t>Onpattro</w:t>
      </w:r>
      <w:r>
        <w:t xml:space="preserve"> in </w:t>
      </w:r>
      <w:r w:rsidR="007107C0">
        <w:t>Study ALN-TTR02-</w:t>
      </w:r>
      <w:r>
        <w:t xml:space="preserve">006, as well as further </w:t>
      </w:r>
      <w:proofErr w:type="gramStart"/>
      <w:r>
        <w:t>long</w:t>
      </w:r>
      <w:r w:rsidR="007107C0">
        <w:t xml:space="preserve"> </w:t>
      </w:r>
      <w:r>
        <w:t>term</w:t>
      </w:r>
      <w:proofErr w:type="gramEnd"/>
      <w:r>
        <w:t xml:space="preserve"> data in support of the persistence of efficacy of </w:t>
      </w:r>
      <w:r w:rsidR="007107C0">
        <w:t>Onpattro</w:t>
      </w:r>
      <w:r>
        <w:t xml:space="preserve"> in patients previously dosed in </w:t>
      </w:r>
      <w:r w:rsidR="007107C0">
        <w:t>Studies ALN-TTR02-003 and ALN-TTR02-004</w:t>
      </w:r>
      <w:r>
        <w:t xml:space="preserve">with </w:t>
      </w:r>
      <w:r w:rsidR="007107C0">
        <w:t>Onpattro.</w:t>
      </w:r>
    </w:p>
    <w:p w14:paraId="1AD6567B" w14:textId="33FC2672" w:rsidR="006319F2" w:rsidRDefault="006319F2" w:rsidP="006319F2">
      <w:r>
        <w:t xml:space="preserve">The core studies providing efficacy and safety data are the pivotal Phase </w:t>
      </w:r>
      <w:r w:rsidR="007107C0">
        <w:t>III</w:t>
      </w:r>
      <w:r>
        <w:t xml:space="preserve"> double</w:t>
      </w:r>
      <w:r w:rsidR="007107C0">
        <w:t xml:space="preserve"> </w:t>
      </w:r>
      <w:r>
        <w:t>blind,</w:t>
      </w:r>
      <w:r w:rsidR="007107C0">
        <w:t xml:space="preserve"> </w:t>
      </w:r>
      <w:proofErr w:type="gramStart"/>
      <w:r>
        <w:t>placebo</w:t>
      </w:r>
      <w:r w:rsidR="007107C0">
        <w:t xml:space="preserve"> </w:t>
      </w:r>
      <w:r>
        <w:t>controlled</w:t>
      </w:r>
      <w:proofErr w:type="gramEnd"/>
      <w:r>
        <w:t xml:space="preserve"> </w:t>
      </w:r>
      <w:r w:rsidR="007107C0">
        <w:t>Study ALN-TTR02-</w:t>
      </w:r>
      <w:r>
        <w:t xml:space="preserve">004 and </w:t>
      </w:r>
      <w:r w:rsidR="007107C0">
        <w:t>two</w:t>
      </w:r>
      <w:r>
        <w:t xml:space="preserve"> open</w:t>
      </w:r>
      <w:r w:rsidR="007107C0">
        <w:t xml:space="preserve"> </w:t>
      </w:r>
      <w:r>
        <w:t>label, single</w:t>
      </w:r>
      <w:r w:rsidR="007107C0">
        <w:t xml:space="preserve"> </w:t>
      </w:r>
      <w:r>
        <w:t xml:space="preserve">arm studies that evaluated </w:t>
      </w:r>
      <w:r w:rsidR="007107C0">
        <w:t>Onpattro</w:t>
      </w:r>
      <w:r>
        <w:t xml:space="preserve"> at the intended dose and regimen in patients with </w:t>
      </w:r>
      <w:proofErr w:type="spellStart"/>
      <w:r>
        <w:t>hATTR</w:t>
      </w:r>
      <w:proofErr w:type="spellEnd"/>
      <w:r>
        <w:t xml:space="preserve"> amyloidosis (</w:t>
      </w:r>
      <w:r w:rsidR="007107C0">
        <w:t>Study ALN-TTR02-</w:t>
      </w:r>
      <w:r>
        <w:t xml:space="preserve">003 and </w:t>
      </w:r>
      <w:r w:rsidR="007107C0">
        <w:t>Study ALN-TTR02-</w:t>
      </w:r>
      <w:r>
        <w:t>006).</w:t>
      </w:r>
    </w:p>
    <w:p w14:paraId="535DDDB6" w14:textId="48DD1765" w:rsidR="006319F2" w:rsidRDefault="006319F2" w:rsidP="006319F2">
      <w:r>
        <w:t xml:space="preserve">The clinical development program is considered adequate to assess the clinical efficacy and safety of </w:t>
      </w:r>
      <w:r w:rsidR="00E2099D">
        <w:t>Onpattro</w:t>
      </w:r>
      <w:r>
        <w:t xml:space="preserve"> for the proposed indication.</w:t>
      </w:r>
    </w:p>
    <w:p w14:paraId="19153FD4" w14:textId="61B34DE8" w:rsidR="00123087" w:rsidRPr="00BA0BE0" w:rsidRDefault="00123087" w:rsidP="00BA0BE0">
      <w:pPr>
        <w:pStyle w:val="Heading4"/>
      </w:pPr>
      <w:bookmarkStart w:id="50" w:name="_Toc144277332"/>
      <w:r w:rsidRPr="00BA0BE0">
        <w:lastRenderedPageBreak/>
        <w:t>Pharmacology</w:t>
      </w:r>
      <w:bookmarkEnd w:id="50"/>
    </w:p>
    <w:p w14:paraId="5F3E61C9" w14:textId="4446E020" w:rsidR="00123087" w:rsidRPr="00BA0BE0" w:rsidRDefault="00123087" w:rsidP="00BA0BE0">
      <w:pPr>
        <w:pStyle w:val="Heading5"/>
      </w:pPr>
      <w:r w:rsidRPr="00BA0BE0">
        <w:t>Pharmacokinetics</w:t>
      </w:r>
    </w:p>
    <w:p w14:paraId="773A3794" w14:textId="3CC88297" w:rsidR="00123087" w:rsidRPr="00BA0BE0" w:rsidRDefault="00123087" w:rsidP="00BA0BE0">
      <w:r w:rsidRPr="00BA0BE0">
        <w:t xml:space="preserve">The </w:t>
      </w:r>
      <w:r w:rsidR="00BA0BE0">
        <w:t>pharmacokinetics (</w:t>
      </w:r>
      <w:r w:rsidRPr="00BA0BE0">
        <w:t>PK</w:t>
      </w:r>
      <w:r w:rsidR="00BA0BE0">
        <w:t>)</w:t>
      </w:r>
      <w:r w:rsidRPr="00BA0BE0">
        <w:t xml:space="preserve"> of </w:t>
      </w:r>
      <w:r w:rsidR="00BA0BE0">
        <w:t>Onpattro</w:t>
      </w:r>
      <w:r w:rsidRPr="00BA0BE0">
        <w:t xml:space="preserve"> was assessed in </w:t>
      </w:r>
      <w:r w:rsidR="00BA0BE0">
        <w:t>five</w:t>
      </w:r>
      <w:r w:rsidRPr="00BA0BE0">
        <w:t xml:space="preserve"> clinical studies with intensive PK sampling (Studies </w:t>
      </w:r>
      <w:r w:rsidR="00BA0BE0">
        <w:t>ALN-TTR02-</w:t>
      </w:r>
      <w:r w:rsidRPr="00BA0BE0">
        <w:t xml:space="preserve">001, </w:t>
      </w:r>
      <w:r w:rsidR="00BA0BE0">
        <w:t>-</w:t>
      </w:r>
      <w:r w:rsidRPr="00BA0BE0">
        <w:t xml:space="preserve">005, </w:t>
      </w:r>
      <w:r w:rsidR="00BA0BE0">
        <w:t>-</w:t>
      </w:r>
      <w:r w:rsidRPr="00BA0BE0">
        <w:t xml:space="preserve">002, and </w:t>
      </w:r>
      <w:r w:rsidR="00BA0BE0">
        <w:t>-</w:t>
      </w:r>
      <w:r w:rsidRPr="00BA0BE0">
        <w:t>003) and sparse PK sampling (</w:t>
      </w:r>
      <w:r w:rsidR="00BA0BE0">
        <w:t>ALN-TTR02-</w:t>
      </w:r>
      <w:r w:rsidRPr="00BA0BE0">
        <w:t xml:space="preserve">004). The PK profiles of </w:t>
      </w:r>
      <w:r w:rsidR="00BA0BE0">
        <w:t>three</w:t>
      </w:r>
      <w:r w:rsidRPr="00BA0BE0">
        <w:t xml:space="preserve"> </w:t>
      </w:r>
      <w:r w:rsidR="00BA0BE0">
        <w:t>Onpattro</w:t>
      </w:r>
      <w:r w:rsidRPr="00BA0BE0">
        <w:t xml:space="preserve"> components, including active drug substance </w:t>
      </w:r>
      <w:r w:rsidR="00BA0BE0" w:rsidRPr="00220211">
        <w:t>patisiran</w:t>
      </w:r>
      <w:r w:rsidR="00BA0BE0" w:rsidRPr="00BA0BE0">
        <w:t xml:space="preserve"> </w:t>
      </w:r>
      <w:r w:rsidRPr="00BA0BE0">
        <w:t xml:space="preserve">and the </w:t>
      </w:r>
      <w:r w:rsidR="00BA0BE0">
        <w:t>two</w:t>
      </w:r>
      <w:r w:rsidRPr="00BA0BE0">
        <w:t xml:space="preserve"> novel lipids, DLin-MC3-DMA and PEG</w:t>
      </w:r>
      <w:r w:rsidRPr="00B67933">
        <w:rPr>
          <w:vertAlign w:val="subscript"/>
        </w:rPr>
        <w:t>2000</w:t>
      </w:r>
      <w:r w:rsidRPr="00BA0BE0">
        <w:t xml:space="preserve">-C-DMG, exhibited multiphasic plasma profiles and were found to be predictable and generally consistent across studies and between healthy subjects and patients with </w:t>
      </w:r>
      <w:proofErr w:type="spellStart"/>
      <w:r w:rsidRPr="00BA0BE0">
        <w:t>hATTR</w:t>
      </w:r>
      <w:proofErr w:type="spellEnd"/>
      <w:r w:rsidRPr="00BA0BE0">
        <w:t xml:space="preserve"> amyloidosis with polyneuropathy.</w:t>
      </w:r>
    </w:p>
    <w:p w14:paraId="0F73279F" w14:textId="1C40FC61" w:rsidR="00123087" w:rsidRPr="00BA0BE0" w:rsidRDefault="00123087" w:rsidP="00BA0BE0">
      <w:r w:rsidRPr="00BA0BE0">
        <w:t xml:space="preserve">The overall conclusions </w:t>
      </w:r>
      <w:r w:rsidR="00BA0BE0">
        <w:t>from oversea</w:t>
      </w:r>
      <w:r w:rsidR="00FB2925">
        <w:t>s</w:t>
      </w:r>
      <w:r w:rsidR="00BA0BE0">
        <w:t xml:space="preserve"> regulator </w:t>
      </w:r>
      <w:r w:rsidRPr="00BA0BE0">
        <w:t>were:</w:t>
      </w:r>
    </w:p>
    <w:p w14:paraId="4FC3C62B" w14:textId="76F88BDF" w:rsidR="00123087" w:rsidRPr="00BA0BE0" w:rsidRDefault="00123087" w:rsidP="00BA0BE0">
      <w:pPr>
        <w:pStyle w:val="ListBullet"/>
      </w:pPr>
      <w:r w:rsidRPr="00BA0BE0">
        <w:t xml:space="preserve">The </w:t>
      </w:r>
      <w:r w:rsidR="00BA0BE0">
        <w:t>p</w:t>
      </w:r>
      <w:r w:rsidRPr="00BA0BE0">
        <w:t>op</w:t>
      </w:r>
      <w:r w:rsidR="00BA0BE0">
        <w:t xml:space="preserve">ulation </w:t>
      </w:r>
      <w:r w:rsidRPr="00BA0BE0">
        <w:t xml:space="preserve">PK model for </w:t>
      </w:r>
      <w:r w:rsidR="00E2099D">
        <w:t>Onpattro</w:t>
      </w:r>
      <w:r w:rsidRPr="00BA0BE0">
        <w:t xml:space="preserve"> was considered acceptable</w:t>
      </w:r>
    </w:p>
    <w:p w14:paraId="24963D6F" w14:textId="66396B83" w:rsidR="00123087" w:rsidRPr="00BA0BE0" w:rsidRDefault="00123087" w:rsidP="00BA0BE0">
      <w:pPr>
        <w:pStyle w:val="ListBullet"/>
      </w:pPr>
      <w:r w:rsidRPr="00BA0BE0">
        <w:t xml:space="preserve">The exposure to </w:t>
      </w:r>
      <w:r w:rsidR="00BA0BE0">
        <w:t>patisiran</w:t>
      </w:r>
      <w:r w:rsidRPr="00BA0BE0">
        <w:t>, DLin-MC3-DMA and PEG</w:t>
      </w:r>
      <w:r w:rsidRPr="00B67933">
        <w:rPr>
          <w:vertAlign w:val="subscript"/>
        </w:rPr>
        <w:t>2000</w:t>
      </w:r>
      <w:r w:rsidRPr="00BA0BE0">
        <w:t>-C-DMG increased proportional to the dose after single and repeated administration in the dose range 0.01</w:t>
      </w:r>
      <w:r w:rsidR="00BA0BE0">
        <w:t xml:space="preserve"> to </w:t>
      </w:r>
      <w:r w:rsidRPr="00BA0BE0">
        <w:t>0.3 mg/kg</w:t>
      </w:r>
    </w:p>
    <w:p w14:paraId="32BF8EB0" w14:textId="78A93FD4" w:rsidR="00123087" w:rsidRPr="00BA0BE0" w:rsidRDefault="00123087" w:rsidP="00BA0BE0">
      <w:pPr>
        <w:pStyle w:val="ListBullet"/>
      </w:pPr>
      <w:r w:rsidRPr="00BA0BE0">
        <w:t xml:space="preserve">After administration of 0.3 mg/kg </w:t>
      </w:r>
      <w:r w:rsidR="00BA0BE0">
        <w:t>every 3 weeks</w:t>
      </w:r>
      <w:r w:rsidRPr="00BA0BE0">
        <w:t xml:space="preserve"> in </w:t>
      </w:r>
      <w:proofErr w:type="spellStart"/>
      <w:r w:rsidRPr="00BA0BE0">
        <w:t>hATTR</w:t>
      </w:r>
      <w:proofErr w:type="spellEnd"/>
      <w:r w:rsidRPr="00BA0BE0">
        <w:t xml:space="preserve"> amyloidosis patients with polyneuropathy, the steady state was observed after </w:t>
      </w:r>
      <w:r w:rsidR="00BA0BE0">
        <w:t>W</w:t>
      </w:r>
      <w:r w:rsidRPr="00BA0BE0">
        <w:t>eek 24</w:t>
      </w:r>
    </w:p>
    <w:p w14:paraId="79D1B4B9" w14:textId="0D085328" w:rsidR="00123087" w:rsidRPr="00BA0BE0" w:rsidRDefault="00123087" w:rsidP="00BA0BE0">
      <w:pPr>
        <w:pStyle w:val="ListBullet"/>
      </w:pPr>
      <w:r w:rsidRPr="00BA0BE0">
        <w:t xml:space="preserve">Subgroup analyses were performed to evaluate if dose adjustment was needed in </w:t>
      </w:r>
      <w:r w:rsidR="00E2099D">
        <w:t xml:space="preserve">Study </w:t>
      </w:r>
      <w:r w:rsidR="00BA0BE0">
        <w:t>ALN-TTR02-</w:t>
      </w:r>
      <w:r w:rsidRPr="00BA0BE0">
        <w:t xml:space="preserve">004. Results indicated that there were no meaningful differences in steady state plasma concentrations of </w:t>
      </w:r>
      <w:r w:rsidR="00BA0BE0">
        <w:t>patisiran</w:t>
      </w:r>
      <w:r w:rsidRPr="00BA0BE0">
        <w:t xml:space="preserve"> in any subgroup</w:t>
      </w:r>
      <w:r w:rsidR="00BA0BE0">
        <w:t>,</w:t>
      </w:r>
      <w:r w:rsidRPr="00BA0BE0">
        <w:t xml:space="preserve"> age, gender, </w:t>
      </w:r>
      <w:r w:rsidRPr="00BA0BE0">
        <w:rPr>
          <w:i/>
          <w:iCs/>
        </w:rPr>
        <w:t>V30M</w:t>
      </w:r>
      <w:r w:rsidRPr="00BA0BE0">
        <w:t xml:space="preserve"> mutation status, mild and moderate renal impairment, and mild hepatic impairment subgroups. PK exposures and </w:t>
      </w:r>
      <w:r w:rsidR="002B70C2" w:rsidRPr="002B70C2">
        <w:t>transthyretin</w:t>
      </w:r>
      <w:r w:rsidRPr="00BA0BE0">
        <w:t xml:space="preserve"> reduction was similar in patients regardless of age, gender, </w:t>
      </w:r>
      <w:r w:rsidRPr="00BA0BE0">
        <w:rPr>
          <w:i/>
          <w:iCs/>
        </w:rPr>
        <w:t xml:space="preserve">V30M </w:t>
      </w:r>
      <w:r w:rsidRPr="00BA0BE0">
        <w:t xml:space="preserve">mutation status, mild and moderate renal impairment, or mild hepatic impairment. Therefore, no dose adjustment was deemed necessary in any subgroup </w:t>
      </w:r>
    </w:p>
    <w:p w14:paraId="7D0F25A6" w14:textId="66942E97" w:rsidR="00123087" w:rsidRPr="00BA0BE0" w:rsidRDefault="002B70C2" w:rsidP="00BA0BE0">
      <w:pPr>
        <w:pStyle w:val="ListBullet"/>
      </w:pPr>
      <w:r>
        <w:t>Onpattro</w:t>
      </w:r>
      <w:r w:rsidR="00123087" w:rsidRPr="00BA0BE0">
        <w:t xml:space="preserve"> did not induce CYP1A2 or CYP3A4 </w:t>
      </w:r>
    </w:p>
    <w:p w14:paraId="1004893D" w14:textId="0AC4E477" w:rsidR="00123087" w:rsidRPr="00BA0BE0" w:rsidRDefault="00123087" w:rsidP="002B70C2">
      <w:pPr>
        <w:pStyle w:val="Heading5"/>
      </w:pPr>
      <w:r w:rsidRPr="00BA0BE0">
        <w:t>Pharmacodynamics</w:t>
      </w:r>
    </w:p>
    <w:p w14:paraId="191196B8" w14:textId="6B1A8C59" w:rsidR="00123087" w:rsidRPr="00BA0BE0" w:rsidRDefault="00123087" w:rsidP="00BA0BE0">
      <w:r w:rsidRPr="00BA0BE0">
        <w:t>ALN-18328,</w:t>
      </w:r>
      <w:r w:rsidR="00E2099D">
        <w:rPr>
          <w:rStyle w:val="FootnoteReference"/>
        </w:rPr>
        <w:footnoteReference w:id="5"/>
      </w:r>
      <w:r w:rsidRPr="00BA0BE0">
        <w:t xml:space="preserve"> the active ingredient in </w:t>
      </w:r>
      <w:r w:rsidR="00205454">
        <w:t>Onpattro</w:t>
      </w:r>
      <w:r w:rsidRPr="00BA0BE0">
        <w:t>, is a first-in-class</w:t>
      </w:r>
      <w:r w:rsidR="00205454" w:rsidRPr="00205454">
        <w:t xml:space="preserve"> silencing</w:t>
      </w:r>
      <w:r w:rsidR="00205454">
        <w:t xml:space="preserve"> </w:t>
      </w:r>
      <w:r w:rsidRPr="00BA0BE0">
        <w:t>RNA that utilises the naturally occurring mechanism of RNA</w:t>
      </w:r>
      <w:r w:rsidR="00205454">
        <w:t xml:space="preserve"> </w:t>
      </w:r>
      <w:r w:rsidR="00205454" w:rsidRPr="00205454">
        <w:t>interference</w:t>
      </w:r>
      <w:r w:rsidRPr="00BA0BE0">
        <w:t xml:space="preserve"> to reduce the expression of mutant and w</w:t>
      </w:r>
      <w:r w:rsidR="00205454">
        <w:t>ild type</w:t>
      </w:r>
      <w:r w:rsidRPr="00BA0BE0">
        <w:t xml:space="preserve"> TTR mRNA and its corresponding protein. ALN-18328 is formulated as lipid nanoparticle</w:t>
      </w:r>
      <w:r w:rsidR="00E2099D">
        <w:t xml:space="preserve"> </w:t>
      </w:r>
      <w:r w:rsidRPr="00BA0BE0">
        <w:t>to target delivery to hepatocytes in the liver, the primary source of TTR protein in the circulation.</w:t>
      </w:r>
    </w:p>
    <w:p w14:paraId="57E098C4" w14:textId="3CEA9FFE" w:rsidR="00123087" w:rsidRDefault="00123087" w:rsidP="00BA0BE0">
      <w:r w:rsidRPr="00BA0BE0">
        <w:t xml:space="preserve">Two Phase I </w:t>
      </w:r>
      <w:r w:rsidR="00205454">
        <w:t xml:space="preserve">Onpattro </w:t>
      </w:r>
      <w:r w:rsidR="00205454" w:rsidRPr="00205454">
        <w:t>single ascending dose</w:t>
      </w:r>
      <w:r w:rsidR="00205454">
        <w:t xml:space="preserve"> </w:t>
      </w:r>
      <w:r w:rsidRPr="00BA0BE0">
        <w:t xml:space="preserve">studies in healthy volunteers contributed </w:t>
      </w:r>
      <w:r w:rsidR="00205454">
        <w:t>pharmacodynamic (P</w:t>
      </w:r>
      <w:r w:rsidRPr="00BA0BE0">
        <w:t>D</w:t>
      </w:r>
      <w:r w:rsidR="00205454">
        <w:t>)</w:t>
      </w:r>
      <w:r w:rsidRPr="00BA0BE0">
        <w:t xml:space="preserve"> assessments (</w:t>
      </w:r>
      <w:r w:rsidR="00205454">
        <w:t>for example</w:t>
      </w:r>
      <w:r w:rsidRPr="00BA0BE0">
        <w:t xml:space="preserve">, TTR levels). In addition, Study ALN-TTR02-002 was a Phase </w:t>
      </w:r>
      <w:r w:rsidR="00205454">
        <w:t>II</w:t>
      </w:r>
      <w:r w:rsidRPr="00BA0BE0">
        <w:t xml:space="preserve"> </w:t>
      </w:r>
      <w:r w:rsidR="00205454">
        <w:t>m</w:t>
      </w:r>
      <w:r w:rsidR="00205454" w:rsidRPr="00205454">
        <w:t xml:space="preserve">ultiple </w:t>
      </w:r>
      <w:r w:rsidR="00205454">
        <w:t>a</w:t>
      </w:r>
      <w:r w:rsidR="00205454" w:rsidRPr="00205454">
        <w:t xml:space="preserve">scending </w:t>
      </w:r>
      <w:r w:rsidR="00205454">
        <w:t>d</w:t>
      </w:r>
      <w:r w:rsidR="00205454" w:rsidRPr="00205454">
        <w:t>ose</w:t>
      </w:r>
      <w:r w:rsidRPr="00BA0BE0">
        <w:t xml:space="preserve"> study that contributed PD (</w:t>
      </w:r>
      <w:r w:rsidR="00205454">
        <w:t>for example</w:t>
      </w:r>
      <w:r w:rsidRPr="00BA0BE0">
        <w:t xml:space="preserve">, TTR levels, safety) in patients with </w:t>
      </w:r>
      <w:proofErr w:type="spellStart"/>
      <w:r w:rsidRPr="00BA0BE0">
        <w:t>hATTR</w:t>
      </w:r>
      <w:proofErr w:type="spellEnd"/>
      <w:r w:rsidRPr="00BA0BE0">
        <w:t xml:space="preserve"> amyloidosis with polyneuropathy. Dose</w:t>
      </w:r>
      <w:r w:rsidR="00205454">
        <w:t xml:space="preserve"> </w:t>
      </w:r>
      <w:r w:rsidRPr="00BA0BE0">
        <w:t xml:space="preserve">dependent reductions in serum TTR concentrations were observed in both healthy volunteers, and in patients with </w:t>
      </w:r>
      <w:proofErr w:type="spellStart"/>
      <w:r w:rsidRPr="00BA0BE0">
        <w:t>hATTR</w:t>
      </w:r>
      <w:proofErr w:type="spellEnd"/>
      <w:r w:rsidRPr="00BA0BE0">
        <w:t xml:space="preserve"> amyloidosis with polyneuropathy (</w:t>
      </w:r>
      <w:r w:rsidR="00205454" w:rsidRPr="00BA0BE0">
        <w:t xml:space="preserve">Studies </w:t>
      </w:r>
      <w:r w:rsidR="00205454">
        <w:t>ALN-TTR02-</w:t>
      </w:r>
      <w:r w:rsidRPr="00BA0BE0">
        <w:t xml:space="preserve">002). Sustained TTR reduction between doses was consistently achieved with 0.3 mg/kg </w:t>
      </w:r>
      <w:r w:rsidR="00205454">
        <w:t>every 3 weeks</w:t>
      </w:r>
      <w:r w:rsidRPr="00BA0BE0">
        <w:t>, where maximum TTR reductions of up to 96% were observed. The 0.3mg/kg was selected as allowing a reduction of 80% of TTR levels, and the frequency of three</w:t>
      </w:r>
      <w:r w:rsidR="00205454">
        <w:t xml:space="preserve"> </w:t>
      </w:r>
      <w:r w:rsidRPr="00BA0BE0">
        <w:t xml:space="preserve">weekly leads to a more consistent fall over the treatment period without increase of adverse events over the </w:t>
      </w:r>
      <w:proofErr w:type="gramStart"/>
      <w:r w:rsidR="00205454">
        <w:t xml:space="preserve">four </w:t>
      </w:r>
      <w:r w:rsidRPr="00BA0BE0">
        <w:t>weekly</w:t>
      </w:r>
      <w:proofErr w:type="gramEnd"/>
      <w:r w:rsidRPr="00BA0BE0">
        <w:t xml:space="preserve"> frequency.</w:t>
      </w:r>
    </w:p>
    <w:p w14:paraId="3F9190EB" w14:textId="53E8228B" w:rsidR="00205454" w:rsidRDefault="00205454" w:rsidP="00205454">
      <w:r>
        <w:t>The oversea</w:t>
      </w:r>
      <w:r w:rsidR="005150DF">
        <w:t>s</w:t>
      </w:r>
      <w:r>
        <w:t xml:space="preserve"> regulator noted:</w:t>
      </w:r>
    </w:p>
    <w:p w14:paraId="4E715AD7" w14:textId="103BEBF4" w:rsidR="00205454" w:rsidRPr="00205454" w:rsidRDefault="00205454" w:rsidP="00205454">
      <w:pPr>
        <w:ind w:left="720"/>
      </w:pPr>
      <w:r w:rsidRPr="00205454">
        <w:t xml:space="preserve">‘Patisiran was shown to be an </w:t>
      </w:r>
      <w:r w:rsidRPr="00205454">
        <w:rPr>
          <w:i/>
          <w:iCs/>
        </w:rPr>
        <w:t>in vitro</w:t>
      </w:r>
      <w:r w:rsidRPr="00205454">
        <w:t xml:space="preserve"> time dependent CYP2B6 inhibitor and the net effect (TDI and induction) </w:t>
      </w:r>
      <w:r w:rsidRPr="00205454">
        <w:rPr>
          <w:i/>
          <w:iCs/>
        </w:rPr>
        <w:t>in vivo</w:t>
      </w:r>
      <w:r w:rsidRPr="00205454">
        <w:t xml:space="preserve"> is not possible to be predicted from </w:t>
      </w:r>
      <w:r w:rsidRPr="00205454">
        <w:rPr>
          <w:i/>
          <w:iCs/>
        </w:rPr>
        <w:t>in vitro</w:t>
      </w:r>
      <w:r w:rsidRPr="00205454">
        <w:t xml:space="preserve"> data. In absence of a DDI study with a CYP2B6 probe and taken into consideration the limited number of substrates metabolized by CYP2B6, it is considered acceptable to reflect the </w:t>
      </w:r>
      <w:r w:rsidRPr="00205454">
        <w:rPr>
          <w:i/>
          <w:iCs/>
        </w:rPr>
        <w:t>in vitro</w:t>
      </w:r>
      <w:r w:rsidRPr="00205454">
        <w:t xml:space="preserve"> results in the SmPC Section 4.5, </w:t>
      </w:r>
      <w:r w:rsidR="00E2099D">
        <w:t>that is</w:t>
      </w:r>
      <w:r w:rsidRPr="00205454">
        <w:t xml:space="preserve"> that the net effect, if any, on a CYP2B6 </w:t>
      </w:r>
      <w:r w:rsidRPr="00205454">
        <w:lastRenderedPageBreak/>
        <w:t xml:space="preserve">substrate co-medicated with Patisiran-LNP </w:t>
      </w:r>
      <w:r w:rsidRPr="00205454">
        <w:rPr>
          <w:i/>
          <w:iCs/>
        </w:rPr>
        <w:t>in vivo</w:t>
      </w:r>
      <w:r w:rsidRPr="00205454">
        <w:t xml:space="preserve"> is not known and to refer the prescriber to bupropion and </w:t>
      </w:r>
      <w:proofErr w:type="spellStart"/>
      <w:r w:rsidRPr="00205454">
        <w:t>efavirenzas</w:t>
      </w:r>
      <w:proofErr w:type="spellEnd"/>
      <w:r w:rsidRPr="00205454">
        <w:t xml:space="preserve"> as relevant CYP2B6 substrates.</w:t>
      </w:r>
    </w:p>
    <w:p w14:paraId="6DB6D147" w14:textId="77777777" w:rsidR="00205454" w:rsidRPr="00205454" w:rsidRDefault="00205454" w:rsidP="00205454">
      <w:pPr>
        <w:ind w:left="720"/>
      </w:pPr>
      <w:r w:rsidRPr="00205454">
        <w:t>In relation to the pharmacological effect of Onpattro which leads to a decrease in serum vitamin A (retinol) levels, the CHMP considers that the supplementation with 2500 IU vitamin A per day is an appropriate risk minimisation measure.</w:t>
      </w:r>
    </w:p>
    <w:p w14:paraId="1008B702" w14:textId="6065910F" w:rsidR="00205454" w:rsidRDefault="00205454" w:rsidP="00205454">
      <w:pPr>
        <w:ind w:left="720"/>
      </w:pPr>
      <w:proofErr w:type="gramStart"/>
      <w:r w:rsidRPr="00205454">
        <w:t>Overall</w:t>
      </w:r>
      <w:proofErr w:type="gramEnd"/>
      <w:r w:rsidRPr="00205454">
        <w:t xml:space="preserve"> the pharmacokinetics and pharmacodynamics of patisiran have been thoroughly investigated and well described. The results generally reflect the expected behaviour of a substance belonging to the chemical class of double-stranded oligonucleotides.’</w:t>
      </w:r>
    </w:p>
    <w:p w14:paraId="66FECC3A" w14:textId="77777777" w:rsidR="004A42E2" w:rsidRDefault="004A42E2" w:rsidP="004A42E2">
      <w:pPr>
        <w:pStyle w:val="Heading5"/>
      </w:pPr>
      <w:r>
        <w:t>Dose finding for the pivotal studies</w:t>
      </w:r>
    </w:p>
    <w:p w14:paraId="57EDB8BE" w14:textId="392C7E41" w:rsidR="004A42E2" w:rsidRDefault="004A42E2" w:rsidP="004A42E2">
      <w:r>
        <w:t>The oversea</w:t>
      </w:r>
      <w:r w:rsidR="008D5630">
        <w:t>s</w:t>
      </w:r>
      <w:r>
        <w:t xml:space="preserve"> regulator noted:</w:t>
      </w:r>
    </w:p>
    <w:p w14:paraId="55D52B89" w14:textId="72FEBC71" w:rsidR="004A42E2" w:rsidRDefault="004A42E2" w:rsidP="004A42E2">
      <w:pPr>
        <w:ind w:left="720"/>
      </w:pPr>
      <w:r>
        <w:t xml:space="preserve">‘Two Phase I patisiran-LNP single ascending dose (SAD) studies in healthy volunteers (ALN-TTR02-001 and ALN-TTR02-005 referenced as </w:t>
      </w:r>
      <w:r w:rsidR="00E2099D">
        <w:t>‘</w:t>
      </w:r>
      <w:r>
        <w:t>Study 001</w:t>
      </w:r>
      <w:r w:rsidR="00E2099D">
        <w:t>’</w:t>
      </w:r>
      <w:r>
        <w:t xml:space="preserve"> and </w:t>
      </w:r>
      <w:r w:rsidR="00E2099D">
        <w:t>‘</w:t>
      </w:r>
      <w:r>
        <w:t>Study 005</w:t>
      </w:r>
      <w:proofErr w:type="gramStart"/>
      <w:r w:rsidR="00E2099D">
        <w:t>’</w:t>
      </w:r>
      <w:r w:rsidR="001E5385">
        <w:t xml:space="preserve"> </w:t>
      </w:r>
      <w:r>
        <w:t>)</w:t>
      </w:r>
      <w:proofErr w:type="gramEnd"/>
      <w:r>
        <w:t xml:space="preserve"> contributed pharmacodynamic (PD) assessments (for example, TTR levels). Study ALN-TTR02-002 (referenced as "Study 002") was a Phase II multiple ascending dose (MAD) study that contributed PD in patients with </w:t>
      </w:r>
      <w:proofErr w:type="spellStart"/>
      <w:r>
        <w:t>hATTR</w:t>
      </w:r>
      <w:proofErr w:type="spellEnd"/>
      <w:r>
        <w:t xml:space="preserve"> amyloidosis with polyneuropathy; this study supported the selection of the patisiran-LNP dose and regimen for continued development. It included assessments of serum TTR levels.</w:t>
      </w:r>
    </w:p>
    <w:p w14:paraId="47351669" w14:textId="0D0EF4F9" w:rsidR="004A42E2" w:rsidRDefault="004A42E2" w:rsidP="004A42E2">
      <w:pPr>
        <w:ind w:left="720"/>
      </w:pPr>
      <w:r>
        <w:t xml:space="preserve">In the pooled analysis of Studies 001, 005, and 002, the patisiran-LNP dose of 0.15 mg/kg was on the steep phase of the dose response curve, resulting in less TTR reduction (75.4%) compared with 0.3 mg/kg and greater variability in PD response. The patisiran-LNP dose of 0.5 mg/kg (n = 1) was on the plateau of the dose response curve, resulting in only a marginal increase (4.7%) in TTR reduction compared with 0.3 mg/kg. The 0.5 mg/kg dose was not pursued in clinical studies after Study 001 because of the minimal observed difference in TTR reduction and the occurrence of an acute </w:t>
      </w:r>
      <w:r w:rsidR="00E605F5">
        <w:t xml:space="preserve">infusion related reactions </w:t>
      </w:r>
      <w:r>
        <w:t xml:space="preserve">at the start of infusion. The maximum percent TTR reduction </w:t>
      </w:r>
      <w:r w:rsidR="001E5385">
        <w:t>from Baseline</w:t>
      </w:r>
      <w:r>
        <w:t xml:space="preserve"> was observed within 10 to 14 days after the first dose. After a single dose of up to 0.5 mg/kg in healthy volunteers, TTR concentrations generally returned to baseline within 70 days. Sustained TTR reduction between doses was consistently achieved with 0.3 mg/kg every 3 weeks, where maximum TTR reductions of up to 96% were observed. A more sustained TTR reduction between doses was observed for a patisiran LNP dose of 0.3 mg/kg given every 3 weeks than every 4 weeks.’</w:t>
      </w:r>
    </w:p>
    <w:p w14:paraId="5AA98BE4" w14:textId="3AB783A2" w:rsidR="004A42E2" w:rsidRDefault="004A42E2" w:rsidP="004A42E2">
      <w:r>
        <w:t>The 0.3 mg/kg every 3 weeks dose was the recommended dose going into the Phase III studies.</w:t>
      </w:r>
    </w:p>
    <w:p w14:paraId="35688A30" w14:textId="77777777" w:rsidR="004A42E2" w:rsidRDefault="004A42E2" w:rsidP="004A42E2">
      <w:pPr>
        <w:pStyle w:val="Heading4"/>
      </w:pPr>
      <w:bookmarkStart w:id="51" w:name="_Toc144277333"/>
      <w:r>
        <w:t>Efficacy</w:t>
      </w:r>
      <w:bookmarkEnd w:id="51"/>
    </w:p>
    <w:p w14:paraId="068A1D8C" w14:textId="5D176237" w:rsidR="004A42E2" w:rsidRDefault="004A42E2" w:rsidP="004A42E2">
      <w:pPr>
        <w:pStyle w:val="Heading5"/>
      </w:pPr>
      <w:r>
        <w:t xml:space="preserve">Pivotal </w:t>
      </w:r>
      <w:r w:rsidR="00900DD5">
        <w:t>S</w:t>
      </w:r>
      <w:r>
        <w:t>tudy ALN-TTR02-004</w:t>
      </w:r>
    </w:p>
    <w:p w14:paraId="7B9C299F" w14:textId="775EAF76" w:rsidR="004A42E2" w:rsidRDefault="004A42E2" w:rsidP="004A42E2">
      <w:r>
        <w:t xml:space="preserve">Study </w:t>
      </w:r>
      <w:r w:rsidRPr="004A42E2">
        <w:t>ALN-TTR02-004</w:t>
      </w:r>
      <w:r>
        <w:t xml:space="preserve"> was a multinational, randomised, double blind, placebo controlled, Phase III study designed to demonstrate the efficacy and safety of 0.3 mg/kg Onpattro every 3 weeks in patients with </w:t>
      </w:r>
      <w:proofErr w:type="spellStart"/>
      <w:r>
        <w:t>hATTR</w:t>
      </w:r>
      <w:proofErr w:type="spellEnd"/>
      <w:r>
        <w:t xml:space="preserve"> amyloidosis. The primary objective was to determine the efficacy of </w:t>
      </w:r>
      <w:r w:rsidR="001A403C">
        <w:t>Onpattro</w:t>
      </w:r>
      <w:r>
        <w:t xml:space="preserve"> by evaluating the difference between the </w:t>
      </w:r>
      <w:r w:rsidR="001A403C">
        <w:t>Onpattro</w:t>
      </w:r>
      <w:r>
        <w:t xml:space="preserve"> and placebo groups in the change from Baseline of </w:t>
      </w:r>
      <w:r w:rsidR="00900DD5">
        <w:t>m</w:t>
      </w:r>
      <w:r w:rsidR="00900DD5" w:rsidRPr="00900DD5">
        <w:t xml:space="preserve">odified </w:t>
      </w:r>
      <w:r w:rsidR="00900DD5">
        <w:t>n</w:t>
      </w:r>
      <w:r w:rsidR="00900DD5" w:rsidRPr="00900DD5">
        <w:t xml:space="preserve">europathy </w:t>
      </w:r>
      <w:r w:rsidR="00900DD5">
        <w:t>i</w:t>
      </w:r>
      <w:r w:rsidR="00900DD5" w:rsidRPr="00900DD5">
        <w:t xml:space="preserve">mpairment </w:t>
      </w:r>
      <w:r w:rsidR="00900DD5">
        <w:t>s</w:t>
      </w:r>
      <w:r w:rsidR="00900DD5" w:rsidRPr="00900DD5">
        <w:t xml:space="preserve">core </w:t>
      </w:r>
      <w:r w:rsidR="00900DD5">
        <w:t>(</w:t>
      </w:r>
      <w:proofErr w:type="spellStart"/>
      <w:r>
        <w:t>mNIS</w:t>
      </w:r>
      <w:proofErr w:type="spellEnd"/>
      <w:r w:rsidR="00900DD5">
        <w:t>)</w:t>
      </w:r>
      <w:r w:rsidR="00900DD5">
        <w:rPr>
          <w:rStyle w:val="FootnoteReference"/>
        </w:rPr>
        <w:footnoteReference w:id="6"/>
      </w:r>
      <w:r w:rsidR="00900DD5">
        <w:t xml:space="preserve"> </w:t>
      </w:r>
      <w:r>
        <w:t>+</w:t>
      </w:r>
      <w:r w:rsidR="00900DD5">
        <w:t xml:space="preserve"> </w:t>
      </w:r>
      <w:r>
        <w:t xml:space="preserve">7 score at 18 months. The </w:t>
      </w:r>
      <w:proofErr w:type="spellStart"/>
      <w:r>
        <w:t>mNIS</w:t>
      </w:r>
      <w:proofErr w:type="spellEnd"/>
      <w:r w:rsidR="00900DD5">
        <w:t xml:space="preserve"> </w:t>
      </w:r>
      <w:r>
        <w:t>+</w:t>
      </w:r>
      <w:r w:rsidR="00900DD5">
        <w:t xml:space="preserve"> </w:t>
      </w:r>
      <w:r>
        <w:t xml:space="preserve">7 is a comprehensive composite assessment that measures the wide range of motor, sensory, and autonomic neurologic impairment experienced by </w:t>
      </w:r>
      <w:proofErr w:type="spellStart"/>
      <w:r>
        <w:t>hATTR</w:t>
      </w:r>
      <w:proofErr w:type="spellEnd"/>
      <w:r w:rsidR="00900DD5">
        <w:t xml:space="preserve"> </w:t>
      </w:r>
      <w:r w:rsidR="00900DD5" w:rsidRPr="00900DD5">
        <w:t>polyneuropathy</w:t>
      </w:r>
      <w:r>
        <w:t xml:space="preserve"> patients. The secondary objective was to determine the effect of </w:t>
      </w:r>
      <w:r w:rsidR="00900DD5">
        <w:t>Onpattro</w:t>
      </w:r>
      <w:r>
        <w:t xml:space="preserve"> on various clinical parameters </w:t>
      </w:r>
      <w:r>
        <w:lastRenderedPageBreak/>
        <w:t xml:space="preserve">by assessing the difference between </w:t>
      </w:r>
      <w:r w:rsidR="00900DD5">
        <w:t>Onpattro</w:t>
      </w:r>
      <w:r>
        <w:t xml:space="preserve"> and placebo in the change from </w:t>
      </w:r>
      <w:r w:rsidR="00900DD5">
        <w:t>B</w:t>
      </w:r>
      <w:r>
        <w:t>aseline in the following measurements at 18 months.</w:t>
      </w:r>
    </w:p>
    <w:p w14:paraId="30F5A795" w14:textId="771EF987" w:rsidR="004A42E2" w:rsidRDefault="004A42E2" w:rsidP="004A42E2">
      <w:r>
        <w:t xml:space="preserve">The mNIS+7, a composite neurologic impairment score, was the primary efficacy variable in the pivotal </w:t>
      </w:r>
      <w:r w:rsidR="00900DD5">
        <w:t xml:space="preserve">Study </w:t>
      </w:r>
      <w:r w:rsidR="00900DD5" w:rsidRPr="004A42E2">
        <w:t>ALN-TTR02-004</w:t>
      </w:r>
      <w:r>
        <w:t xml:space="preserve">. Composite neurologic impairment scores have been used previously as endpoints in clinical trials for the assessment of neuropathy progression. In particular, the </w:t>
      </w:r>
      <w:r w:rsidR="00900DD5">
        <w:t>n</w:t>
      </w:r>
      <w:r>
        <w:t xml:space="preserve">europathy </w:t>
      </w:r>
      <w:r w:rsidR="00900DD5">
        <w:t>i</w:t>
      </w:r>
      <w:r>
        <w:t xml:space="preserve">mpairment </w:t>
      </w:r>
      <w:r w:rsidR="00900DD5">
        <w:t>s</w:t>
      </w:r>
      <w:r>
        <w:t>core (NIS) and NIS</w:t>
      </w:r>
      <w:r w:rsidR="00900DD5">
        <w:t xml:space="preserve"> </w:t>
      </w:r>
      <w:r>
        <w:t>+</w:t>
      </w:r>
      <w:r w:rsidR="00900DD5">
        <w:t xml:space="preserve"> </w:t>
      </w:r>
      <w:r>
        <w:t>7 (=</w:t>
      </w:r>
      <w:r w:rsidR="00900DD5">
        <w:t xml:space="preserve"> </w:t>
      </w:r>
      <w:r>
        <w:t xml:space="preserve">NIS in addition with seven neurophysiological variables) have been used in clinical trials of diabetic polyneuropathy and chronic inflammatory demyelinating polyneuropathy. These scores have been adopted in clinical studies of </w:t>
      </w:r>
      <w:proofErr w:type="spellStart"/>
      <w:r>
        <w:t>hATTR</w:t>
      </w:r>
      <w:proofErr w:type="spellEnd"/>
      <w:r>
        <w:t xml:space="preserve"> amyloidosis.</w:t>
      </w:r>
    </w:p>
    <w:p w14:paraId="72BB0522" w14:textId="77777777" w:rsidR="00900DD5" w:rsidRDefault="004A42E2" w:rsidP="00900DD5">
      <w:r>
        <w:t xml:space="preserve">All patients received premedication </w:t>
      </w:r>
      <w:proofErr w:type="gramStart"/>
      <w:r>
        <w:t>in order to</w:t>
      </w:r>
      <w:proofErr w:type="gramEnd"/>
      <w:r>
        <w:t xml:space="preserve"> reduce the potential of an </w:t>
      </w:r>
      <w:r w:rsidR="00900DD5">
        <w:t>i</w:t>
      </w:r>
      <w:r w:rsidR="00900DD5" w:rsidRPr="00900DD5">
        <w:t>nfusion</w:t>
      </w:r>
      <w:r w:rsidR="00900DD5">
        <w:t xml:space="preserve"> </w:t>
      </w:r>
      <w:r w:rsidR="00900DD5" w:rsidRPr="00900DD5">
        <w:t>related reaction</w:t>
      </w:r>
      <w:r>
        <w:t>. There was no premedication given in the evening prior to the infusion. Patients received the following</w:t>
      </w:r>
      <w:r w:rsidR="00900DD5">
        <w:t xml:space="preserve"> premedication on the day of study drug administration at least 60 minutes prior to the infusion:</w:t>
      </w:r>
    </w:p>
    <w:p w14:paraId="0BC0EB22" w14:textId="2AD26ACD" w:rsidR="00900DD5" w:rsidRDefault="00900DD5" w:rsidP="00900DD5">
      <w:pPr>
        <w:pStyle w:val="ListBullet"/>
      </w:pPr>
      <w:r>
        <w:t xml:space="preserve">Intravenous dexamethasone (10 mg) or </w:t>
      </w:r>
      <w:proofErr w:type="gramStart"/>
      <w:r>
        <w:t>equivalent;</w:t>
      </w:r>
      <w:proofErr w:type="gramEnd"/>
    </w:p>
    <w:p w14:paraId="03091B8C" w14:textId="7AA385AF" w:rsidR="00900DD5" w:rsidRDefault="00900DD5" w:rsidP="00900DD5">
      <w:pPr>
        <w:pStyle w:val="ListBullet"/>
      </w:pPr>
      <w:r>
        <w:t xml:space="preserve">Oral paracetamol/acetaminophen (500 mg) or </w:t>
      </w:r>
      <w:proofErr w:type="gramStart"/>
      <w:r>
        <w:t>equivalent;</w:t>
      </w:r>
      <w:proofErr w:type="gramEnd"/>
    </w:p>
    <w:p w14:paraId="0F727313" w14:textId="5EFBF79A" w:rsidR="00900DD5" w:rsidRDefault="00900DD5" w:rsidP="00900DD5">
      <w:pPr>
        <w:pStyle w:val="ListBullet"/>
      </w:pPr>
      <w:r>
        <w:t>Intravenous h</w:t>
      </w:r>
      <w:r w:rsidRPr="00900DD5">
        <w:t xml:space="preserve">istamine </w:t>
      </w:r>
      <w:r>
        <w:t>H2 blocker (for example, ranitidine 50 mg, famotidine 20 mg, or equivalent other h</w:t>
      </w:r>
      <w:r w:rsidRPr="00900DD5">
        <w:t xml:space="preserve">istamine </w:t>
      </w:r>
      <w:r>
        <w:t>H2 blocker dose</w:t>
      </w:r>
      <w:proofErr w:type="gramStart"/>
      <w:r>
        <w:t>);</w:t>
      </w:r>
      <w:proofErr w:type="gramEnd"/>
    </w:p>
    <w:p w14:paraId="348E19AF" w14:textId="5D1A09EA" w:rsidR="00900DD5" w:rsidRDefault="00900DD5" w:rsidP="00900DD5">
      <w:pPr>
        <w:pStyle w:val="ListBullet"/>
      </w:pPr>
      <w:r>
        <w:t>Intravenous histamine H1 blocker: diphenhydramine 50 mg (or equivalent other intravenous histamine H1 blocker available at the study site). Hydroxyzine or fexofenadine 25 mg orally or cetirizine 10 mg orally may be substituted for any patient who does not tolerate intravenous diphenhydramine or other intravenous histamine H1 blocker.</w:t>
      </w:r>
    </w:p>
    <w:p w14:paraId="045C9D86" w14:textId="3B7CE9F4" w:rsidR="00900DD5" w:rsidRDefault="00900DD5" w:rsidP="00900DD5">
      <w:pPr>
        <w:pStyle w:val="Heading6"/>
      </w:pPr>
      <w:r>
        <w:t>Results</w:t>
      </w:r>
    </w:p>
    <w:p w14:paraId="7013C29E" w14:textId="61F5B5C4" w:rsidR="00900DD5" w:rsidRDefault="00900DD5" w:rsidP="00900DD5">
      <w:r>
        <w:t xml:space="preserve">A total of 323 patients were screened for participation in the study. A total of 225 patients were randomised </w:t>
      </w:r>
      <w:r w:rsidR="00AE4C05">
        <w:t>(</w:t>
      </w:r>
      <w:r>
        <w:t>148 to the Onpattro group and 77 to the placebo group</w:t>
      </w:r>
      <w:r w:rsidR="00AE4C05">
        <w:t>)</w:t>
      </w:r>
      <w:r>
        <w:t>. All randomised patients were treated with study drug. A total of 56% of patients were included in the predefined cardiac subpopulation. Of the 225 patients randomised and treated, all were included in the modified intent to treat and safety population; patients in the Onpattro group were included in the PK population. A total of 203 (90.2%) patients were included in the per protocol population for efficacy analysis.</w:t>
      </w:r>
    </w:p>
    <w:p w14:paraId="411E164B" w14:textId="77777777" w:rsidR="00900DD5" w:rsidRPr="00900DD5" w:rsidRDefault="00900DD5" w:rsidP="00900DD5">
      <w:pPr>
        <w:pStyle w:val="Heading7"/>
        <w:rPr>
          <w:sz w:val="24"/>
          <w:szCs w:val="22"/>
        </w:rPr>
      </w:pPr>
      <w:r w:rsidRPr="00900DD5">
        <w:rPr>
          <w:sz w:val="24"/>
          <w:szCs w:val="22"/>
        </w:rPr>
        <w:t>Primary endpoint</w:t>
      </w:r>
    </w:p>
    <w:p w14:paraId="4AFB4068" w14:textId="19729DEF" w:rsidR="00900DD5" w:rsidRDefault="00900DD5" w:rsidP="00900DD5">
      <w:r>
        <w:t xml:space="preserve">The global outcome measured in </w:t>
      </w:r>
      <w:proofErr w:type="spellStart"/>
      <w:r>
        <w:t>mNIS</w:t>
      </w:r>
      <w:proofErr w:type="spellEnd"/>
      <w:r w:rsidR="000B7A55">
        <w:t xml:space="preserve"> </w:t>
      </w:r>
      <w:r>
        <w:t>+</w:t>
      </w:r>
      <w:r w:rsidR="000B7A55">
        <w:t xml:space="preserve"> </w:t>
      </w:r>
      <w:r>
        <w:t xml:space="preserve">7 at 18 months is shown in </w:t>
      </w:r>
      <w:r w:rsidR="000B7A55">
        <w:fldChar w:fldCharType="begin"/>
      </w:r>
      <w:r w:rsidR="000B7A55">
        <w:instrText xml:space="preserve"> REF _Ref136341818 \h </w:instrText>
      </w:r>
      <w:r w:rsidR="000B7A55">
        <w:fldChar w:fldCharType="separate"/>
      </w:r>
      <w:r w:rsidR="00ED1F97" w:rsidRPr="000B7A55">
        <w:t xml:space="preserve">Table </w:t>
      </w:r>
      <w:r w:rsidR="00ED1F97">
        <w:rPr>
          <w:noProof/>
        </w:rPr>
        <w:t>3</w:t>
      </w:r>
      <w:r w:rsidR="000B7A55">
        <w:fldChar w:fldCharType="end"/>
      </w:r>
      <w:r w:rsidR="000B7A55">
        <w:t xml:space="preserve"> </w:t>
      </w:r>
      <w:r>
        <w:t xml:space="preserve">below. Improvement (change in </w:t>
      </w:r>
      <w:proofErr w:type="spellStart"/>
      <w:r>
        <w:t>mNIS</w:t>
      </w:r>
      <w:proofErr w:type="spellEnd"/>
      <w:r w:rsidR="000B7A55">
        <w:t xml:space="preserve"> </w:t>
      </w:r>
      <w:r>
        <w:t>+</w:t>
      </w:r>
      <w:r w:rsidR="000B7A55">
        <w:t xml:space="preserve"> </w:t>
      </w:r>
      <w:r>
        <w:t>7 score &lt;</w:t>
      </w:r>
      <w:r w:rsidR="000B7A55">
        <w:t xml:space="preserve"> </w:t>
      </w:r>
      <w:r>
        <w:t xml:space="preserve">0) was seen in approximately half (56.1%) of </w:t>
      </w:r>
      <w:r w:rsidR="000B7A55">
        <w:t>Onpattro</w:t>
      </w:r>
      <w:r>
        <w:t xml:space="preserve"> treated patients at 18 months, compared to 4% in the placebo group.</w:t>
      </w:r>
    </w:p>
    <w:p w14:paraId="08A7985D" w14:textId="6B1439CD" w:rsidR="000B7A55" w:rsidRDefault="000B7A55" w:rsidP="0084046A">
      <w:pPr>
        <w:pStyle w:val="TableTitle"/>
        <w:pageBreakBefore/>
      </w:pPr>
      <w:bookmarkStart w:id="52" w:name="_Ref136341818"/>
      <w:r w:rsidRPr="000B7A55">
        <w:lastRenderedPageBreak/>
        <w:t xml:space="preserve">Table </w:t>
      </w:r>
      <w:r w:rsidR="00DB29BA">
        <w:fldChar w:fldCharType="begin"/>
      </w:r>
      <w:r w:rsidR="00DB29BA">
        <w:instrText xml:space="preserve"> SEQ Table \* ARABIC </w:instrText>
      </w:r>
      <w:r w:rsidR="00DB29BA">
        <w:fldChar w:fldCharType="separate"/>
      </w:r>
      <w:r w:rsidR="00ED1F97">
        <w:rPr>
          <w:noProof/>
        </w:rPr>
        <w:t>3</w:t>
      </w:r>
      <w:r w:rsidR="00DB29BA">
        <w:rPr>
          <w:noProof/>
        </w:rPr>
        <w:fldChar w:fldCharType="end"/>
      </w:r>
      <w:bookmarkEnd w:id="52"/>
      <w:r>
        <w:t xml:space="preserve">: </w:t>
      </w:r>
      <w:r w:rsidRPr="000B7A55">
        <w:t>Primary efficacy endpoint mNIS+7 at 18 months</w:t>
      </w:r>
    </w:p>
    <w:p w14:paraId="79EDF4E8" w14:textId="7C6D5AE5" w:rsidR="000B7A55" w:rsidRDefault="000B7A55" w:rsidP="000B7A55">
      <w:r w:rsidRPr="000B7A55">
        <w:rPr>
          <w:noProof/>
        </w:rPr>
        <w:drawing>
          <wp:inline distT="0" distB="0" distL="0" distR="0" wp14:anchorId="640C0181" wp14:editId="52F0A6E1">
            <wp:extent cx="5224007" cy="1769745"/>
            <wp:effectExtent l="0" t="0" r="0" b="1905"/>
            <wp:docPr id="1" name="Picture 1" descr="Primary efficacy endpoint mNIS+7 at 1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imary efficacy endpoint mNIS+7 at 18 month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95" t="1453" r="1692" b="39935"/>
                    <a:stretch/>
                  </pic:blipFill>
                  <pic:spPr bwMode="auto">
                    <a:xfrm>
                      <a:off x="0" y="0"/>
                      <a:ext cx="5226903" cy="1770726"/>
                    </a:xfrm>
                    <a:prstGeom prst="rect">
                      <a:avLst/>
                    </a:prstGeom>
                    <a:noFill/>
                    <a:ln>
                      <a:noFill/>
                    </a:ln>
                    <a:extLst>
                      <a:ext uri="{53640926-AAD7-44D8-BBD7-CCE9431645EC}">
                        <a14:shadowObscured xmlns:a14="http://schemas.microsoft.com/office/drawing/2010/main"/>
                      </a:ext>
                    </a:extLst>
                  </pic:spPr>
                </pic:pic>
              </a:graphicData>
            </a:graphic>
          </wp:inline>
        </w:drawing>
      </w:r>
    </w:p>
    <w:p w14:paraId="0A44FB15" w14:textId="74FD9FBD" w:rsidR="000B7A55" w:rsidRDefault="000B7A55" w:rsidP="000B7A55">
      <w:pPr>
        <w:pStyle w:val="TableDescription"/>
      </w:pPr>
      <w:r>
        <w:t xml:space="preserve">Abbreviations: CI = confidence interval; LS = least square; max = maximum; min = minimum; MMRM = mixed effect model repeated measure; </w:t>
      </w:r>
      <w:proofErr w:type="spellStart"/>
      <w:r>
        <w:t>mNIS</w:t>
      </w:r>
      <w:proofErr w:type="spellEnd"/>
      <w:r>
        <w:t xml:space="preserve"> + 7 = modified neurologic impairment score + 7; SD = standard deviation; SEM = standard error of the mean</w:t>
      </w:r>
    </w:p>
    <w:p w14:paraId="40E60408" w14:textId="3108F6FE" w:rsidR="000B7A55" w:rsidRDefault="000B7A55" w:rsidP="000B7A55">
      <w:pPr>
        <w:pStyle w:val="TableDescription"/>
      </w:pPr>
      <w:r>
        <w:t xml:space="preserve">Note: In the MMRM model, the outcome variable is change from Baseline in </w:t>
      </w:r>
      <w:proofErr w:type="spellStart"/>
      <w:r>
        <w:t>mNIS</w:t>
      </w:r>
      <w:proofErr w:type="spellEnd"/>
      <w:r>
        <w:t xml:space="preserve"> + 7 The model includes baseline </w:t>
      </w:r>
      <w:proofErr w:type="spellStart"/>
      <w:r>
        <w:t>mNIS</w:t>
      </w:r>
      <w:proofErr w:type="spellEnd"/>
      <w:r>
        <w:t xml:space="preserve"> + 7 score as covariate and fixed effect terms including treatment group, visit, treatment by visit interaction, genotype, age at </w:t>
      </w:r>
      <w:proofErr w:type="spellStart"/>
      <w:r>
        <w:t>hATTR</w:t>
      </w:r>
      <w:proofErr w:type="spellEnd"/>
      <w:r>
        <w:t xml:space="preserve"> symptom onset, previous tetramer stabilizer use, and region.</w:t>
      </w:r>
    </w:p>
    <w:p w14:paraId="3FF84ABC" w14:textId="73AC0387" w:rsidR="000B7A55" w:rsidRDefault="000B7A55" w:rsidP="000B7A55">
      <w:pPr>
        <w:pStyle w:val="TableDescription"/>
      </w:pPr>
      <w:r>
        <w:t>a Baseline and Month 18 are the averages of 2 assessments performed at least 24 hours but no more than 7 days apart.</w:t>
      </w:r>
    </w:p>
    <w:p w14:paraId="291046DC" w14:textId="568A2ED1" w:rsidR="000B7A55" w:rsidRDefault="000B7A55" w:rsidP="000B7A55">
      <w:pPr>
        <w:pStyle w:val="TableDescription"/>
      </w:pPr>
      <w:r>
        <w:t>b LS mean, SEM, differences in LS means, 95% CIs, and Month 18 p-value from MMRM model</w:t>
      </w:r>
    </w:p>
    <w:p w14:paraId="0E32D99A" w14:textId="787E321F" w:rsidR="000B7A55" w:rsidRDefault="000B7A55" w:rsidP="000B7A55">
      <w:r>
        <w:t xml:space="preserve">The dropout rate in the placebo group was higher than in the Onpattro group, and the reasons provided for withdrawal of consent in </w:t>
      </w:r>
      <w:proofErr w:type="gramStart"/>
      <w:r>
        <w:t>a majority of</w:t>
      </w:r>
      <w:proofErr w:type="gramEnd"/>
      <w:r>
        <w:t xml:space="preserve"> patients in the placebo group was ‘worsening of disease’ or ‘disease progression’. Data suggested that placebo dropouts generally had a worse outcome compared with completers, while some Onpattro dropouts derived benefit from treatment before withdrawal. All sensitivity analyses resulted in a consistent estimate of a positive treatment effect of Onpattro compared to placebo on </w:t>
      </w:r>
      <w:proofErr w:type="spellStart"/>
      <w:r>
        <w:t>mNIS</w:t>
      </w:r>
      <w:proofErr w:type="spellEnd"/>
      <w:r>
        <w:t xml:space="preserve"> + 7.</w:t>
      </w:r>
    </w:p>
    <w:p w14:paraId="3990112C" w14:textId="4DB28FDB" w:rsidR="000B7A55" w:rsidRPr="000B7A55" w:rsidRDefault="000B7A55" w:rsidP="000B7A55">
      <w:pPr>
        <w:pStyle w:val="Heading7"/>
        <w:rPr>
          <w:sz w:val="24"/>
          <w:szCs w:val="22"/>
        </w:rPr>
      </w:pPr>
      <w:r w:rsidRPr="000B7A55">
        <w:rPr>
          <w:sz w:val="24"/>
          <w:szCs w:val="22"/>
        </w:rPr>
        <w:t>Secondary and exploratory endpoint measures</w:t>
      </w:r>
    </w:p>
    <w:p w14:paraId="66EF9F6C" w14:textId="0079E0D4" w:rsidR="000B7A55" w:rsidRPr="000B7A55" w:rsidRDefault="000B7A55" w:rsidP="000B7A55">
      <w:r w:rsidRPr="000B7A55">
        <w:t xml:space="preserve">To control overall </w:t>
      </w:r>
      <w:r w:rsidR="00042FB2">
        <w:t>T</w:t>
      </w:r>
      <w:r w:rsidRPr="000B7A55">
        <w:t>ype I error, these secondary endpoints were tested in a hierarchical order, in the order listed below.</w:t>
      </w:r>
    </w:p>
    <w:p w14:paraId="11C3D54B" w14:textId="41C169AA" w:rsidR="000B7A55" w:rsidRPr="000B7A55" w:rsidRDefault="000B7A55" w:rsidP="001623D4">
      <w:pPr>
        <w:pStyle w:val="Heading8"/>
      </w:pPr>
      <w:r w:rsidRPr="000B7A55">
        <w:t>Norfolk QoL-DN Domains</w:t>
      </w:r>
    </w:p>
    <w:p w14:paraId="20DA56AB" w14:textId="1B2DAE44" w:rsidR="000B7A55" w:rsidRPr="000B7A55" w:rsidRDefault="000B7A55" w:rsidP="000B7A55">
      <w:r w:rsidRPr="000B7A55">
        <w:t xml:space="preserve">The Norfolk </w:t>
      </w:r>
      <w:r w:rsidR="00BD3D69">
        <w:t>quality of life</w:t>
      </w:r>
      <w:r w:rsidR="00042FB2">
        <w:t>-</w:t>
      </w:r>
      <w:r w:rsidR="00BD3D69">
        <w:t>d</w:t>
      </w:r>
      <w:r w:rsidR="00BD3D69" w:rsidRPr="001623D4">
        <w:t xml:space="preserve">iabetic </w:t>
      </w:r>
      <w:r w:rsidR="00BD3D69">
        <w:t>n</w:t>
      </w:r>
      <w:r w:rsidR="00BD3D69" w:rsidRPr="001623D4">
        <w:t>europathy</w:t>
      </w:r>
      <w:r w:rsidRPr="000B7A55">
        <w:t xml:space="preserve"> is a nerve fibre specific </w:t>
      </w:r>
      <w:r w:rsidR="001623D4">
        <w:t xml:space="preserve">quality of life </w:t>
      </w:r>
      <w:r w:rsidRPr="000B7A55">
        <w:t xml:space="preserve">tool that was developed for patients with diabetic neuropathy. In an observational cross-sectional natural history </w:t>
      </w:r>
      <w:proofErr w:type="gramStart"/>
      <w:r w:rsidRPr="000B7A55">
        <w:t>study</w:t>
      </w:r>
      <w:proofErr w:type="gramEnd"/>
      <w:r w:rsidRPr="000B7A55">
        <w:t xml:space="preserve"> it was demonstrated that the Norfolk </w:t>
      </w:r>
      <w:r w:rsidR="00BD3D69">
        <w:t>quality of life</w:t>
      </w:r>
      <w:r w:rsidR="00042FB2">
        <w:t>-</w:t>
      </w:r>
      <w:r w:rsidR="00BD3D69">
        <w:t>d</w:t>
      </w:r>
      <w:r w:rsidR="00BD3D69" w:rsidRPr="001623D4">
        <w:t xml:space="preserve">iabetic </w:t>
      </w:r>
      <w:r w:rsidR="00BD3D69">
        <w:t>n</w:t>
      </w:r>
      <w:r w:rsidR="00BD3D69" w:rsidRPr="001623D4">
        <w:t>europathy</w:t>
      </w:r>
      <w:r w:rsidR="00BD3D69" w:rsidRPr="000B7A55">
        <w:t xml:space="preserve"> </w:t>
      </w:r>
      <w:r w:rsidRPr="000B7A55">
        <w:t xml:space="preserve">is reliable and valid in assessing quality of life in patients with </w:t>
      </w:r>
      <w:proofErr w:type="spellStart"/>
      <w:r w:rsidRPr="000B7A55">
        <w:t>hATTR</w:t>
      </w:r>
      <w:proofErr w:type="spellEnd"/>
      <w:r w:rsidRPr="000B7A55">
        <w:t xml:space="preserve"> amyloidosis. There was a statistically significant difference in quality of life as assessed by Norfolk </w:t>
      </w:r>
      <w:r w:rsidR="00BD3D69">
        <w:t>quality of life</w:t>
      </w:r>
      <w:r w:rsidR="00042FB2">
        <w:t>-</w:t>
      </w:r>
      <w:r w:rsidR="001623D4">
        <w:t>d</w:t>
      </w:r>
      <w:r w:rsidR="001623D4" w:rsidRPr="001623D4">
        <w:t xml:space="preserve">iabetic </w:t>
      </w:r>
      <w:r w:rsidR="001623D4">
        <w:t>n</w:t>
      </w:r>
      <w:r w:rsidR="001623D4" w:rsidRPr="001623D4">
        <w:t>europathy</w:t>
      </w:r>
      <w:r w:rsidRPr="000B7A55">
        <w:t xml:space="preserve"> at 18 months favouring the </w:t>
      </w:r>
      <w:r w:rsidR="001623D4">
        <w:t>Onpattro</w:t>
      </w:r>
      <w:r w:rsidRPr="000B7A55">
        <w:t xml:space="preserve"> group compared to placebo (</w:t>
      </w:r>
      <w:r w:rsidR="00042FB2">
        <w:t>least square</w:t>
      </w:r>
      <w:r w:rsidRPr="000B7A55">
        <w:t xml:space="preserve"> mean </w:t>
      </w:r>
      <w:r w:rsidR="00042FB2">
        <w:t xml:space="preserve">Onpattro </w:t>
      </w:r>
      <w:r w:rsidRPr="000B7A55">
        <w:t xml:space="preserve">-6.7, </w:t>
      </w:r>
      <w:r w:rsidR="00042FB2">
        <w:t>least square</w:t>
      </w:r>
      <w:r w:rsidRPr="000B7A55">
        <w:t xml:space="preserve"> mean placebo 14.4, </w:t>
      </w:r>
      <w:r w:rsidR="00042FB2">
        <w:t>least square</w:t>
      </w:r>
      <w:r w:rsidRPr="000B7A55">
        <w:t xml:space="preserve"> mean difference between groups: -21.3 points, P</w:t>
      </w:r>
      <w:r w:rsidR="00042FB2">
        <w:t xml:space="preserve"> </w:t>
      </w:r>
      <w:r w:rsidRPr="000B7A55">
        <w:t>=</w:t>
      </w:r>
      <w:r w:rsidR="00042FB2">
        <w:t xml:space="preserve"> </w:t>
      </w:r>
      <w:r w:rsidRPr="000B7A55">
        <w:t>1.103 ×</w:t>
      </w:r>
      <w:r w:rsidR="001623D4">
        <w:t xml:space="preserve"> </w:t>
      </w:r>
      <w:r w:rsidRPr="000B7A55">
        <w:t>10</w:t>
      </w:r>
      <w:r w:rsidRPr="001623D4">
        <w:rPr>
          <w:vertAlign w:val="superscript"/>
        </w:rPr>
        <w:t>-10</w:t>
      </w:r>
      <w:r w:rsidRPr="000B7A55">
        <w:t xml:space="preserve">). A consistent treatment effect of </w:t>
      </w:r>
      <w:r w:rsidR="001623D4">
        <w:t>Onpattro</w:t>
      </w:r>
      <w:r w:rsidRPr="000B7A55">
        <w:t xml:space="preserve"> on Norfolk </w:t>
      </w:r>
      <w:r w:rsidR="00BD3D69">
        <w:t>quality of life</w:t>
      </w:r>
      <w:r w:rsidR="00042FB2">
        <w:t>-</w:t>
      </w:r>
      <w:r w:rsidR="00BD3D69">
        <w:t>d</w:t>
      </w:r>
      <w:r w:rsidR="00BD3D69" w:rsidRPr="001623D4">
        <w:t xml:space="preserve">iabetic </w:t>
      </w:r>
      <w:r w:rsidR="00BD3D69">
        <w:t>n</w:t>
      </w:r>
      <w:r w:rsidR="00BD3D69" w:rsidRPr="001623D4">
        <w:t>europathy</w:t>
      </w:r>
      <w:r w:rsidR="00BD3D69" w:rsidRPr="000B7A55">
        <w:t xml:space="preserve"> </w:t>
      </w:r>
      <w:r w:rsidRPr="000B7A55">
        <w:t>was observed across all subgroups.</w:t>
      </w:r>
    </w:p>
    <w:p w14:paraId="733BAF57" w14:textId="3BA519AC" w:rsidR="000B7A55" w:rsidRPr="000B7A55" w:rsidRDefault="000B7A55" w:rsidP="000B7A55">
      <w:r w:rsidRPr="000B7A55">
        <w:t xml:space="preserve">Statistically significant differences favouring the </w:t>
      </w:r>
      <w:r w:rsidR="001623D4">
        <w:t>Onpattro</w:t>
      </w:r>
      <w:r w:rsidRPr="000B7A55">
        <w:t xml:space="preserve"> group compared to placebo at 18 months were observed in motor strength (</w:t>
      </w:r>
      <w:r w:rsidR="00042FB2">
        <w:t>neurologic impairment score weakness</w:t>
      </w:r>
      <w:r w:rsidRPr="000B7A55">
        <w:t>), disability (</w:t>
      </w:r>
      <w:r w:rsidR="00042FB2" w:rsidRPr="000B7A55">
        <w:t>Rasch-built Overall Disability Scale</w:t>
      </w:r>
      <w:r w:rsidR="00042FB2">
        <w:t xml:space="preserve">, </w:t>
      </w:r>
      <w:r w:rsidR="00042FB2" w:rsidRPr="000B7A55">
        <w:t>R-ODS</w:t>
      </w:r>
      <w:r w:rsidRPr="000B7A55">
        <w:t>), gait speed (</w:t>
      </w:r>
      <w:r w:rsidR="007308A4">
        <w:t xml:space="preserve">10 metres walk test, </w:t>
      </w:r>
      <w:r w:rsidRPr="000B7A55">
        <w:t>10-MWT), nutritional status (</w:t>
      </w:r>
      <w:r w:rsidR="007308A4">
        <w:t xml:space="preserve">modified body mass index, </w:t>
      </w:r>
      <w:proofErr w:type="spellStart"/>
      <w:r w:rsidRPr="000B7A55">
        <w:t>mBMI</w:t>
      </w:r>
      <w:proofErr w:type="spellEnd"/>
      <w:r w:rsidRPr="000B7A55">
        <w:t>) and autonomic symptoms (</w:t>
      </w:r>
      <w:r w:rsidR="007308A4" w:rsidRPr="002935FF">
        <w:t>Composite Autonomic Symptom Score</w:t>
      </w:r>
      <w:r w:rsidR="007308A4">
        <w:t xml:space="preserve"> 31, </w:t>
      </w:r>
      <w:r w:rsidRPr="000B7A55">
        <w:t xml:space="preserve">COMPASS 31) (see </w:t>
      </w:r>
      <w:r w:rsidR="002935FF">
        <w:fldChar w:fldCharType="begin"/>
      </w:r>
      <w:r w:rsidR="002935FF">
        <w:instrText xml:space="preserve"> REF _Ref136343201 \h </w:instrText>
      </w:r>
      <w:r w:rsidR="002935FF">
        <w:fldChar w:fldCharType="separate"/>
      </w:r>
      <w:r w:rsidR="00ED1F97" w:rsidRPr="002935FF">
        <w:t xml:space="preserve">Table </w:t>
      </w:r>
      <w:r w:rsidR="00ED1F97">
        <w:rPr>
          <w:noProof/>
        </w:rPr>
        <w:t>4</w:t>
      </w:r>
      <w:r w:rsidR="002935FF">
        <w:fldChar w:fldCharType="end"/>
      </w:r>
      <w:r w:rsidRPr="000B7A55">
        <w:t>).</w:t>
      </w:r>
    </w:p>
    <w:p w14:paraId="53C298E9" w14:textId="063129CE" w:rsidR="000B7A55" w:rsidRPr="000B7A55" w:rsidRDefault="000B7A55" w:rsidP="000B7A55">
      <w:proofErr w:type="gramStart"/>
      <w:r w:rsidRPr="000B7A55">
        <w:t>Rasch-built Overall Disability Scale,</w:t>
      </w:r>
      <w:proofErr w:type="gramEnd"/>
      <w:r w:rsidRPr="000B7A55">
        <w:t xml:space="preserve"> is a patient</w:t>
      </w:r>
      <w:r w:rsidR="001623D4">
        <w:t xml:space="preserve"> </w:t>
      </w:r>
      <w:r w:rsidRPr="000B7A55">
        <w:t>reported disability scale that captures activity and social participation limitations.</w:t>
      </w:r>
    </w:p>
    <w:p w14:paraId="6B7109AB" w14:textId="08C3CAF1" w:rsidR="000B7A55" w:rsidRPr="000B7A55" w:rsidRDefault="000B7A55" w:rsidP="0084046A">
      <w:pPr>
        <w:pageBreakBefore/>
      </w:pPr>
      <w:r w:rsidRPr="000B7A55">
        <w:lastRenderedPageBreak/>
        <w:t xml:space="preserve">The </w:t>
      </w:r>
      <w:r w:rsidR="001623D4">
        <w:t>10-</w:t>
      </w:r>
      <w:r w:rsidRPr="000B7A55">
        <w:t>MW</w:t>
      </w:r>
      <w:r w:rsidR="007308A4">
        <w:t>T</w:t>
      </w:r>
      <w:r w:rsidRPr="000B7A55">
        <w:t xml:space="preserve"> measures the time it takes a patient to walk </w:t>
      </w:r>
      <w:proofErr w:type="gramStart"/>
      <w:r w:rsidRPr="000B7A55">
        <w:t>a distance of 10</w:t>
      </w:r>
      <w:proofErr w:type="gramEnd"/>
      <w:r w:rsidRPr="000B7A55">
        <w:t xml:space="preserve"> metres. In performing this test, patients were allowed to use ambulatory aids such as a cane or walker. Gait speed is commonly studied in patients with neuropathy and is anticipated to be associated primarily with muscle strength but also with sensation. The mean </w:t>
      </w:r>
      <w:proofErr w:type="spellStart"/>
      <w:proofErr w:type="gramStart"/>
      <w:r w:rsidRPr="000B7A55">
        <w:t>self</w:t>
      </w:r>
      <w:r w:rsidR="001623D4">
        <w:t xml:space="preserve"> </w:t>
      </w:r>
      <w:r w:rsidRPr="000B7A55">
        <w:t>selected</w:t>
      </w:r>
      <w:proofErr w:type="spellEnd"/>
      <w:proofErr w:type="gramEnd"/>
      <w:r w:rsidRPr="000B7A55">
        <w:t xml:space="preserve"> gait speed in healthy subjects ages 10 to 79 years ranged from approximately 1.1 to 1.3 m/s. A walking speed of 1.4 m/s is considered to represent an </w:t>
      </w:r>
      <w:r w:rsidR="001623D4">
        <w:t>‘</w:t>
      </w:r>
      <w:r w:rsidRPr="000B7A55">
        <w:t>extremely fit</w:t>
      </w:r>
      <w:r w:rsidR="001623D4">
        <w:t>’</w:t>
      </w:r>
      <w:r w:rsidRPr="000B7A55">
        <w:t xml:space="preserve"> individual whereas a walking speed of &lt;</w:t>
      </w:r>
      <w:r w:rsidR="001623D4">
        <w:t> </w:t>
      </w:r>
      <w:r w:rsidRPr="000B7A55">
        <w:t>0.8m/s suggests a patient with more limited community ambulation.</w:t>
      </w:r>
    </w:p>
    <w:p w14:paraId="6A8CDBF5" w14:textId="6FB3886B" w:rsidR="000B7A55" w:rsidRPr="000B7A55" w:rsidRDefault="007308A4" w:rsidP="000B7A55">
      <w:r>
        <w:t xml:space="preserve">Modified body mass index </w:t>
      </w:r>
      <w:r w:rsidR="000B7A55" w:rsidRPr="000B7A55">
        <w:t xml:space="preserve">is a measure of nutritional status calculated as the product of BMI (weight in kilograms divided by the square of height in meters) and serum albumin (g/L). Patients with </w:t>
      </w:r>
      <w:proofErr w:type="spellStart"/>
      <w:r w:rsidR="000B7A55" w:rsidRPr="000B7A55">
        <w:t>hATTR</w:t>
      </w:r>
      <w:proofErr w:type="spellEnd"/>
      <w:r w:rsidR="000B7A55" w:rsidRPr="000B7A55">
        <w:t xml:space="preserve"> amyloidosis often have poor nutritional status and overall weight loss due in part to severe gastrointestinal manifestations and in part due to cardiac disease.</w:t>
      </w:r>
    </w:p>
    <w:p w14:paraId="38DF2324" w14:textId="0F261B43" w:rsidR="000B7A55" w:rsidRPr="000B7A55" w:rsidRDefault="000B7A55" w:rsidP="000B7A55">
      <w:r w:rsidRPr="000B7A55">
        <w:t xml:space="preserve">The </w:t>
      </w:r>
      <w:r w:rsidR="002935FF">
        <w:t xml:space="preserve">COMPASS </w:t>
      </w:r>
      <w:r w:rsidRPr="000B7A55">
        <w:t xml:space="preserve">31 has been used to assess autonomic symptoms in patients with diabetic neuropathy and small fibre polyneuropathy and is considered a valid instrument in these patients. Patients with </w:t>
      </w:r>
      <w:proofErr w:type="spellStart"/>
      <w:r w:rsidRPr="000B7A55">
        <w:t>hATTR</w:t>
      </w:r>
      <w:proofErr w:type="spellEnd"/>
      <w:r w:rsidRPr="000B7A55">
        <w:t xml:space="preserve"> amyloidosis often have debilitating autonomic dysfunction, COMPASS 31 was adopted for use in </w:t>
      </w:r>
      <w:r w:rsidR="002935FF">
        <w:t>Onpattro</w:t>
      </w:r>
      <w:r w:rsidRPr="000B7A55">
        <w:t xml:space="preserve"> clinical studies.</w:t>
      </w:r>
    </w:p>
    <w:p w14:paraId="6353ED73" w14:textId="6111699A" w:rsidR="000B7A55" w:rsidRPr="000B7A55" w:rsidRDefault="000B7A55" w:rsidP="0084046A">
      <w:pPr>
        <w:pStyle w:val="Heading8"/>
      </w:pPr>
      <w:r w:rsidRPr="000B7A55">
        <w:lastRenderedPageBreak/>
        <w:t>Summary of main efficacy results</w:t>
      </w:r>
    </w:p>
    <w:p w14:paraId="1C55B817" w14:textId="0D938770" w:rsidR="000B7A55" w:rsidRDefault="002935FF" w:rsidP="002935FF">
      <w:pPr>
        <w:pStyle w:val="TableTitle"/>
      </w:pPr>
      <w:bookmarkStart w:id="53" w:name="_Ref136343201"/>
      <w:r w:rsidRPr="002935FF">
        <w:t xml:space="preserve">Table </w:t>
      </w:r>
      <w:r w:rsidR="00DB29BA">
        <w:fldChar w:fldCharType="begin"/>
      </w:r>
      <w:r w:rsidR="00DB29BA">
        <w:instrText xml:space="preserve"> SE</w:instrText>
      </w:r>
      <w:r w:rsidR="00DB29BA">
        <w:instrText xml:space="preserve">Q Table \* ARABIC </w:instrText>
      </w:r>
      <w:r w:rsidR="00DB29BA">
        <w:fldChar w:fldCharType="separate"/>
      </w:r>
      <w:r w:rsidR="00ED1F97">
        <w:rPr>
          <w:noProof/>
        </w:rPr>
        <w:t>4</w:t>
      </w:r>
      <w:r w:rsidR="00DB29BA">
        <w:rPr>
          <w:noProof/>
        </w:rPr>
        <w:fldChar w:fldCharType="end"/>
      </w:r>
      <w:bookmarkEnd w:id="53"/>
      <w:r w:rsidRPr="002935FF">
        <w:t>:</w:t>
      </w:r>
      <w:r>
        <w:t xml:space="preserve"> </w:t>
      </w:r>
      <w:r w:rsidR="000B7A55" w:rsidRPr="000B7A55">
        <w:t xml:space="preserve">Summary of efficacy for the single pivotal trial </w:t>
      </w:r>
      <w:r>
        <w:t xml:space="preserve">Study </w:t>
      </w:r>
      <w:r w:rsidR="000B7A55" w:rsidRPr="000B7A55">
        <w:t>ALN-TTR02-004</w:t>
      </w:r>
    </w:p>
    <w:p w14:paraId="291A60CE" w14:textId="0BA2E23D" w:rsidR="00825188" w:rsidRDefault="00A9672F" w:rsidP="00825188">
      <w:pPr>
        <w:pStyle w:val="TableTitle"/>
      </w:pPr>
      <w:r w:rsidRPr="00763E23">
        <w:rPr>
          <w:noProof/>
        </w:rPr>
        <w:drawing>
          <wp:inline distT="0" distB="0" distL="0" distR="0" wp14:anchorId="45F41AE2" wp14:editId="4B79AE7E">
            <wp:extent cx="4542739" cy="5426051"/>
            <wp:effectExtent l="0" t="0" r="0" b="3810"/>
            <wp:docPr id="2" name="Picture 2" descr="Summary of efficacy for the single pivotal trial Study ALN-TTR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mmary of efficacy for the single pivotal trial Study ALN-TTR02-004"/>
                    <pic:cNvPicPr/>
                  </pic:nvPicPr>
                  <pic:blipFill>
                    <a:blip r:embed="rId22"/>
                    <a:stretch>
                      <a:fillRect/>
                    </a:stretch>
                  </pic:blipFill>
                  <pic:spPr>
                    <a:xfrm>
                      <a:off x="0" y="0"/>
                      <a:ext cx="4555874" cy="5441740"/>
                    </a:xfrm>
                    <a:prstGeom prst="rect">
                      <a:avLst/>
                    </a:prstGeom>
                  </pic:spPr>
                </pic:pic>
              </a:graphicData>
            </a:graphic>
          </wp:inline>
        </w:drawing>
      </w:r>
      <w:r w:rsidRPr="00763E23">
        <w:rPr>
          <w:noProof/>
        </w:rPr>
        <w:drawing>
          <wp:inline distT="0" distB="0" distL="0" distR="0" wp14:anchorId="7C0E322A" wp14:editId="248B33C0">
            <wp:extent cx="4542155" cy="10309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83355"/>
                    <a:stretch/>
                  </pic:blipFill>
                  <pic:spPr bwMode="auto">
                    <a:xfrm>
                      <a:off x="0" y="0"/>
                      <a:ext cx="4592486" cy="1042400"/>
                    </a:xfrm>
                    <a:prstGeom prst="rect">
                      <a:avLst/>
                    </a:prstGeom>
                    <a:ln>
                      <a:noFill/>
                    </a:ln>
                    <a:extLst>
                      <a:ext uri="{53640926-AAD7-44D8-BBD7-CCE9431645EC}">
                        <a14:shadowObscured xmlns:a14="http://schemas.microsoft.com/office/drawing/2010/main"/>
                      </a:ext>
                    </a:extLst>
                  </pic:spPr>
                </pic:pic>
              </a:graphicData>
            </a:graphic>
          </wp:inline>
        </w:drawing>
      </w:r>
    </w:p>
    <w:p w14:paraId="02CDEF2B" w14:textId="77777777" w:rsidR="00825188" w:rsidRDefault="00825188">
      <w:pPr>
        <w:rPr>
          <w:rFonts w:eastAsia="Cambria" w:cs="Times New Roman"/>
          <w:b/>
          <w:szCs w:val="22"/>
        </w:rPr>
      </w:pPr>
      <w:r>
        <w:br w:type="page"/>
      </w:r>
    </w:p>
    <w:p w14:paraId="17B69E50" w14:textId="0F62DB90" w:rsidR="00825188" w:rsidRDefault="00825188" w:rsidP="00825188">
      <w:pPr>
        <w:pStyle w:val="TableTitle"/>
      </w:pPr>
      <w:r>
        <w:lastRenderedPageBreak/>
        <w:t xml:space="preserve">Table 4: Continued, </w:t>
      </w:r>
      <w:r w:rsidRPr="000B7A55">
        <w:t xml:space="preserve">Summary of efficacy for the single pivotal trial </w:t>
      </w:r>
      <w:r>
        <w:t xml:space="preserve">Study </w:t>
      </w:r>
      <w:r w:rsidRPr="000B7A55">
        <w:t>ALN-TTR02-004</w:t>
      </w:r>
    </w:p>
    <w:p w14:paraId="5E8DD656" w14:textId="1E4FA4C9" w:rsidR="00825188" w:rsidRDefault="00825188" w:rsidP="00825188">
      <w:pPr>
        <w:pStyle w:val="TableTitle"/>
        <w:tabs>
          <w:tab w:val="left" w:pos="6946"/>
        </w:tabs>
      </w:pPr>
      <w:r w:rsidRPr="00825188">
        <w:rPr>
          <w:noProof/>
        </w:rPr>
        <w:drawing>
          <wp:inline distT="0" distB="0" distL="0" distR="0" wp14:anchorId="520142B0" wp14:editId="0B6F8069">
            <wp:extent cx="4491532" cy="6737298"/>
            <wp:effectExtent l="0" t="0" r="4445" b="6985"/>
            <wp:docPr id="9" name="Picture 9" descr="Table 4: Continued, Summary of efficacy for the single pivotal trial Study ALN-TTR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4: Continued, Summary of efficacy for the single pivotal trial Study ALN-TTR02-004"/>
                    <pic:cNvPicPr/>
                  </pic:nvPicPr>
                  <pic:blipFill>
                    <a:blip r:embed="rId24"/>
                    <a:stretch>
                      <a:fillRect/>
                    </a:stretch>
                  </pic:blipFill>
                  <pic:spPr>
                    <a:xfrm>
                      <a:off x="0" y="0"/>
                      <a:ext cx="4496495" cy="6744743"/>
                    </a:xfrm>
                    <a:prstGeom prst="rect">
                      <a:avLst/>
                    </a:prstGeom>
                  </pic:spPr>
                </pic:pic>
              </a:graphicData>
            </a:graphic>
          </wp:inline>
        </w:drawing>
      </w:r>
    </w:p>
    <w:p w14:paraId="707162E5" w14:textId="77777777" w:rsidR="00825188" w:rsidRDefault="00825188">
      <w:pPr>
        <w:rPr>
          <w:rFonts w:eastAsia="Cambria" w:cs="Times New Roman"/>
          <w:b/>
          <w:szCs w:val="22"/>
        </w:rPr>
      </w:pPr>
      <w:r>
        <w:br w:type="page"/>
      </w:r>
    </w:p>
    <w:p w14:paraId="6EC19C7B" w14:textId="77777777" w:rsidR="00825188" w:rsidRDefault="00825188" w:rsidP="00825188">
      <w:pPr>
        <w:pStyle w:val="TableTitle"/>
      </w:pPr>
      <w:r>
        <w:lastRenderedPageBreak/>
        <w:t xml:space="preserve">Table 4: Continued, </w:t>
      </w:r>
      <w:r w:rsidRPr="000B7A55">
        <w:t xml:space="preserve">Summary of efficacy for the single pivotal trial </w:t>
      </w:r>
      <w:r>
        <w:t xml:space="preserve">Study </w:t>
      </w:r>
      <w:r w:rsidRPr="000B7A55">
        <w:t>ALN-TTR02-004</w:t>
      </w:r>
    </w:p>
    <w:p w14:paraId="651AA443" w14:textId="1D83DA89" w:rsidR="00A9672F" w:rsidRDefault="00A9672F" w:rsidP="002935FF">
      <w:r w:rsidRPr="00A9672F">
        <w:rPr>
          <w:noProof/>
        </w:rPr>
        <w:drawing>
          <wp:inline distT="0" distB="0" distL="0" distR="0" wp14:anchorId="1F073E65" wp14:editId="7A77077D">
            <wp:extent cx="4498325" cy="4528109"/>
            <wp:effectExtent l="0" t="0" r="0" b="6350"/>
            <wp:docPr id="6" name="Picture 6" descr="Table 4: Continued, Summary of efficacy for the single pivotal trial Study ALN-TTR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4: Continued, Summary of efficacy for the single pivotal trial Study ALN-TTR02-004"/>
                    <pic:cNvPicPr/>
                  </pic:nvPicPr>
                  <pic:blipFill rotWithShape="1">
                    <a:blip r:embed="rId25"/>
                    <a:srcRect t="23508" b="7342"/>
                    <a:stretch/>
                  </pic:blipFill>
                  <pic:spPr bwMode="auto">
                    <a:xfrm>
                      <a:off x="0" y="0"/>
                      <a:ext cx="4508788" cy="4538641"/>
                    </a:xfrm>
                    <a:prstGeom prst="rect">
                      <a:avLst/>
                    </a:prstGeom>
                    <a:ln>
                      <a:noFill/>
                    </a:ln>
                    <a:extLst>
                      <a:ext uri="{53640926-AAD7-44D8-BBD7-CCE9431645EC}">
                        <a14:shadowObscured xmlns:a14="http://schemas.microsoft.com/office/drawing/2010/main"/>
                      </a:ext>
                    </a:extLst>
                  </pic:spPr>
                </pic:pic>
              </a:graphicData>
            </a:graphic>
          </wp:inline>
        </w:drawing>
      </w:r>
    </w:p>
    <w:p w14:paraId="168A4C15" w14:textId="7188C31D" w:rsidR="00A9672F" w:rsidRDefault="00A9672F" w:rsidP="00A9672F">
      <w:r w:rsidRPr="00A9672F">
        <w:t xml:space="preserve">Cumulative distribution curves of change from </w:t>
      </w:r>
      <w:r>
        <w:t>B</w:t>
      </w:r>
      <w:r w:rsidRPr="00A9672F">
        <w:t xml:space="preserve">aseline at 18 months in all additional secondary endpoints shows separation between </w:t>
      </w:r>
      <w:r>
        <w:t>Onpattro</w:t>
      </w:r>
      <w:r w:rsidRPr="00A9672F">
        <w:t xml:space="preserve"> and placebo treated patients, favouring </w:t>
      </w:r>
      <w:r>
        <w:t>Onpattro</w:t>
      </w:r>
      <w:r w:rsidRPr="00A9672F">
        <w:t>, across all response thresholds (Figure 1).</w:t>
      </w:r>
    </w:p>
    <w:p w14:paraId="26B21CEF" w14:textId="16478A01" w:rsidR="00A9672F" w:rsidRDefault="00A9672F" w:rsidP="00A9672F">
      <w:pPr>
        <w:pStyle w:val="FigureTitle"/>
        <w:keepNext/>
      </w:pPr>
      <w:r w:rsidRPr="00A9672F">
        <w:lastRenderedPageBreak/>
        <w:t xml:space="preserve">Figure </w:t>
      </w:r>
      <w:r w:rsidR="00DB29BA">
        <w:fldChar w:fldCharType="begin"/>
      </w:r>
      <w:r w:rsidR="00DB29BA">
        <w:instrText xml:space="preserve"> SEQ Figure \* ARABIC </w:instrText>
      </w:r>
      <w:r w:rsidR="00DB29BA">
        <w:fldChar w:fldCharType="separate"/>
      </w:r>
      <w:r w:rsidR="00ED1F97">
        <w:rPr>
          <w:noProof/>
        </w:rPr>
        <w:t>1</w:t>
      </w:r>
      <w:r w:rsidR="00DB29BA">
        <w:rPr>
          <w:noProof/>
        </w:rPr>
        <w:fldChar w:fldCharType="end"/>
      </w:r>
      <w:r>
        <w:t xml:space="preserve">: </w:t>
      </w:r>
      <w:r w:rsidRPr="00A9672F">
        <w:t xml:space="preserve">Study 004 Cumulative </w:t>
      </w:r>
      <w:r>
        <w:t>d</w:t>
      </w:r>
      <w:r w:rsidRPr="00A9672F">
        <w:t xml:space="preserve">istribution </w:t>
      </w:r>
      <w:r>
        <w:t>p</w:t>
      </w:r>
      <w:r w:rsidRPr="00A9672F">
        <w:t xml:space="preserve">lots of </w:t>
      </w:r>
      <w:r>
        <w:t>s</w:t>
      </w:r>
      <w:r w:rsidRPr="00A9672F">
        <w:t xml:space="preserve">econdary </w:t>
      </w:r>
      <w:r>
        <w:t>e</w:t>
      </w:r>
      <w:r w:rsidRPr="00A9672F">
        <w:t xml:space="preserve">fficacy </w:t>
      </w:r>
      <w:r>
        <w:t>e</w:t>
      </w:r>
      <w:r w:rsidRPr="00A9672F">
        <w:t xml:space="preserve">ndpoints </w:t>
      </w:r>
      <w:r>
        <w:t>c</w:t>
      </w:r>
      <w:r w:rsidRPr="00A9672F">
        <w:t>hange from Baseline at Month 18 (m</w:t>
      </w:r>
      <w:r>
        <w:t>odified intent to treat p</w:t>
      </w:r>
      <w:r w:rsidRPr="00A9672F">
        <w:t>opulation)</w:t>
      </w:r>
    </w:p>
    <w:p w14:paraId="27080A9B" w14:textId="46C8B919" w:rsidR="00A9672F" w:rsidRDefault="00A9672F" w:rsidP="00A9672F">
      <w:r w:rsidRPr="00A9672F">
        <w:rPr>
          <w:noProof/>
        </w:rPr>
        <w:drawing>
          <wp:inline distT="0" distB="0" distL="0" distR="0" wp14:anchorId="7B0CB807" wp14:editId="31C91B0B">
            <wp:extent cx="5376672" cy="3854932"/>
            <wp:effectExtent l="0" t="0" r="0" b="0"/>
            <wp:docPr id="7" name="Picture 7" descr="Study 004 Cumulative distribution plots of secondary efficacy endpoints change from Baseline at Month 18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004 Cumulative distribution plots of secondary efficacy endpoints change from Baseline at Month 18 (modified intent to treat populati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11" r="2825" b="11146"/>
                    <a:stretch/>
                  </pic:blipFill>
                  <pic:spPr bwMode="auto">
                    <a:xfrm>
                      <a:off x="0" y="0"/>
                      <a:ext cx="5377234" cy="3855335"/>
                    </a:xfrm>
                    <a:prstGeom prst="rect">
                      <a:avLst/>
                    </a:prstGeom>
                    <a:noFill/>
                    <a:ln>
                      <a:noFill/>
                    </a:ln>
                    <a:extLst>
                      <a:ext uri="{53640926-AAD7-44D8-BBD7-CCE9431645EC}">
                        <a14:shadowObscured xmlns:a14="http://schemas.microsoft.com/office/drawing/2010/main"/>
                      </a:ext>
                    </a:extLst>
                  </pic:spPr>
                </pic:pic>
              </a:graphicData>
            </a:graphic>
          </wp:inline>
        </w:drawing>
      </w:r>
    </w:p>
    <w:p w14:paraId="1D71BC3E" w14:textId="651EF096" w:rsidR="00A9672F" w:rsidRDefault="00A9672F" w:rsidP="00A9672F">
      <w:pPr>
        <w:pStyle w:val="FigureDescription"/>
      </w:pPr>
      <w:r>
        <w:t xml:space="preserve">Abbreviation: </w:t>
      </w:r>
      <w:proofErr w:type="spellStart"/>
      <w:r>
        <w:t>mBMI</w:t>
      </w:r>
      <w:proofErr w:type="spellEnd"/>
      <w:r>
        <w:t xml:space="preserve"> = modified body mass index; </w:t>
      </w:r>
      <w:proofErr w:type="spellStart"/>
      <w:r>
        <w:t>mITT</w:t>
      </w:r>
      <w:proofErr w:type="spellEnd"/>
      <w:r>
        <w:t xml:space="preserve"> = </w:t>
      </w:r>
      <w:proofErr w:type="spellStart"/>
      <w:r>
        <w:t>modifed</w:t>
      </w:r>
      <w:proofErr w:type="spellEnd"/>
      <w:r>
        <w:t xml:space="preserve"> intent to treat</w:t>
      </w:r>
      <w:r w:rsidR="00CD4BE8">
        <w:t>; NIS = neurologic impairment score; NIS-W = neurologic impairment score weakness; QoL-DN = quality of life-diabetic neuropathy</w:t>
      </w:r>
    </w:p>
    <w:p w14:paraId="35F4E5B6" w14:textId="77777777" w:rsidR="00CD4BE8" w:rsidRDefault="00CD4BE8" w:rsidP="00CD4BE8">
      <w:pPr>
        <w:pStyle w:val="Heading8"/>
      </w:pPr>
      <w:r>
        <w:t>Cardiac assessment</w:t>
      </w:r>
    </w:p>
    <w:p w14:paraId="0F1D39E2" w14:textId="31226641" w:rsidR="00CD4BE8" w:rsidRDefault="00CD4BE8" w:rsidP="00CD4BE8">
      <w:r>
        <w:t>Cardiac assessment through echocardiogram, troponin I, and N-terminal prohormone of B-type natriuretic peptide (NT-</w:t>
      </w:r>
      <w:proofErr w:type="spellStart"/>
      <w:r>
        <w:t>proBNP</w:t>
      </w:r>
      <w:proofErr w:type="spellEnd"/>
      <w:r>
        <w:t>) levels were included as exploratory endpoints. The analysis of the effect of Onpattro on amyloid cardiomyopathy was focused on a pre-specified cardiac subpopulation (LV wall thickness ≥ 1.3 cm with no history of aortic valve disease or hypertension), which comprised 56% of the overall study population. Among patients in the cardiac subpopulation, 73% had non-</w:t>
      </w:r>
      <w:r w:rsidRPr="00CD4BE8">
        <w:rPr>
          <w:i/>
          <w:iCs/>
        </w:rPr>
        <w:t>V30M</w:t>
      </w:r>
      <w:r>
        <w:t xml:space="preserve"> genotype. The majority (60.3%) had </w:t>
      </w:r>
      <w:r w:rsidR="000A273E">
        <w:t>New York Heart Association (</w:t>
      </w:r>
      <w:r>
        <w:t>NYHA</w:t>
      </w:r>
      <w:r w:rsidR="000A273E">
        <w:t>)</w:t>
      </w:r>
      <w:r>
        <w:t xml:space="preserve"> class II;</w:t>
      </w:r>
      <w:r>
        <w:rPr>
          <w:rStyle w:val="FootnoteReference"/>
        </w:rPr>
        <w:footnoteReference w:id="7"/>
      </w:r>
      <w:r>
        <w:t xml:space="preserve"> heart failure.</w:t>
      </w:r>
    </w:p>
    <w:p w14:paraId="6F424081" w14:textId="56DF44EF" w:rsidR="00CD4BE8" w:rsidRDefault="000A273E" w:rsidP="00CD4BE8">
      <w:pPr>
        <w:pStyle w:val="Heading8"/>
      </w:pPr>
      <w:r>
        <w:t>N-terminal prohormone of B-type natriuretic peptide</w:t>
      </w:r>
    </w:p>
    <w:p w14:paraId="5BB197E9" w14:textId="78111B89" w:rsidR="00CD4BE8" w:rsidRDefault="00CD4BE8" w:rsidP="00CD4BE8">
      <w:r w:rsidRPr="004F15BA">
        <w:t>In the cardiac subpopulation, at Baseline, geometric mean NT-</w:t>
      </w:r>
      <w:proofErr w:type="spellStart"/>
      <w:r w:rsidRPr="004F15BA">
        <w:t>proBNP</w:t>
      </w:r>
      <w:proofErr w:type="spellEnd"/>
      <w:r w:rsidRPr="004F15BA">
        <w:t xml:space="preserve"> levels were 726.92</w:t>
      </w:r>
      <w:r w:rsidR="004F15BA">
        <w:t xml:space="preserve"> ng/L</w:t>
      </w:r>
      <w:r w:rsidRPr="004F15BA">
        <w:t xml:space="preserve"> and 711.10 ng/</w:t>
      </w:r>
      <w:r>
        <w:t>L in the Onpattro and placebo groups, respectively. At month 18, geometric mean NT</w:t>
      </w:r>
      <w:r>
        <w:noBreakHyphen/>
      </w:r>
      <w:proofErr w:type="spellStart"/>
      <w:r>
        <w:t>proBNP</w:t>
      </w:r>
      <w:proofErr w:type="spellEnd"/>
      <w:r>
        <w:t xml:space="preserve"> decreased to 544.06 ng/L in the Onpattro group and increased to 1116.75 ng/L in the placebo group.</w:t>
      </w:r>
    </w:p>
    <w:p w14:paraId="471DBA02" w14:textId="77777777" w:rsidR="00CD4BE8" w:rsidRDefault="00CD4BE8" w:rsidP="00CD4BE8">
      <w:pPr>
        <w:pStyle w:val="Heading5"/>
      </w:pPr>
      <w:r>
        <w:lastRenderedPageBreak/>
        <w:t>Supportive studies</w:t>
      </w:r>
    </w:p>
    <w:p w14:paraId="5A75BBF0" w14:textId="1C7227DC" w:rsidR="00CD4BE8" w:rsidRDefault="00AE4C05" w:rsidP="00CD4BE8">
      <w:pPr>
        <w:pStyle w:val="Heading6"/>
      </w:pPr>
      <w:r>
        <w:t xml:space="preserve">Study </w:t>
      </w:r>
      <w:r w:rsidRPr="004A42E2">
        <w:t>ALN-TTR02-</w:t>
      </w:r>
      <w:r w:rsidR="00CD4BE8">
        <w:t>003</w:t>
      </w:r>
    </w:p>
    <w:p w14:paraId="484846FD" w14:textId="0AA7AA99" w:rsidR="0073206D" w:rsidRDefault="00AE4C05" w:rsidP="0073206D">
      <w:r>
        <w:t xml:space="preserve">Study </w:t>
      </w:r>
      <w:r w:rsidRPr="004A42E2">
        <w:t>ALN-TTR02-</w:t>
      </w:r>
      <w:r w:rsidR="00CD4BE8">
        <w:t xml:space="preserve">003 was a multinational, multicentre, Phase II, open label, extension study designed to provide long term (up to </w:t>
      </w:r>
      <w:r w:rsidR="004F15BA">
        <w:t>two</w:t>
      </w:r>
      <w:r w:rsidR="00CD4BE8">
        <w:t xml:space="preserve"> years) Onpattro dosing to patients with </w:t>
      </w:r>
      <w:proofErr w:type="spellStart"/>
      <w:r w:rsidR="00CD4BE8">
        <w:t>hATTR</w:t>
      </w:r>
      <w:proofErr w:type="spellEnd"/>
      <w:r w:rsidR="00CD4BE8">
        <w:t xml:space="preserve"> amyloidosis with polyneuropathy who received and tolerated Onpattro in </w:t>
      </w:r>
      <w:r w:rsidR="0073206D">
        <w:t xml:space="preserve">Study </w:t>
      </w:r>
      <w:r w:rsidR="0073206D" w:rsidRPr="000B7A55">
        <w:t>ALN-TTR02-</w:t>
      </w:r>
      <w:r w:rsidR="00CD4BE8">
        <w:t>002. Patients could</w:t>
      </w:r>
      <w:r w:rsidR="0073206D">
        <w:t xml:space="preserve"> continue treatment in Study </w:t>
      </w:r>
      <w:r w:rsidR="004F15BA" w:rsidRPr="000B7A55">
        <w:t>ALN-TTR02-</w:t>
      </w:r>
      <w:r w:rsidR="0073206D">
        <w:t xml:space="preserve">006 after completion of this study. All efficacy summaries were </w:t>
      </w:r>
      <w:proofErr w:type="gramStart"/>
      <w:r w:rsidR="004F15BA">
        <w:t>descriptive</w:t>
      </w:r>
      <w:proofErr w:type="gramEnd"/>
      <w:r w:rsidR="0073206D">
        <w:t xml:space="preserve"> and no hypothesis testing was performed. </w:t>
      </w:r>
    </w:p>
    <w:p w14:paraId="17D821DE" w14:textId="321FFC81" w:rsidR="0073206D" w:rsidRDefault="0073206D" w:rsidP="0073206D">
      <w:r>
        <w:t xml:space="preserve">A total of 27 patients were enrolled and treated in Study </w:t>
      </w:r>
      <w:r w:rsidRPr="000B7A55">
        <w:t>ALN-TTR02-</w:t>
      </w:r>
      <w:r>
        <w:t xml:space="preserve">003. </w:t>
      </w:r>
      <w:r w:rsidR="00A678FF">
        <w:t>A total of 25</w:t>
      </w:r>
      <w:r>
        <w:t xml:space="preserve"> patients completed the study.</w:t>
      </w:r>
    </w:p>
    <w:p w14:paraId="5997FFD6" w14:textId="63E9E3B2" w:rsidR="0073206D" w:rsidRDefault="0073206D" w:rsidP="0073206D">
      <w:r>
        <w:t>Following administration of Onpattro, the mean (</w:t>
      </w:r>
      <w:r w:rsidRPr="0073206D">
        <w:t>standard error of mean</w:t>
      </w:r>
      <w:r>
        <w:t xml:space="preserve">) change from Baseline in the </w:t>
      </w:r>
      <w:proofErr w:type="spellStart"/>
      <w:r>
        <w:t>mNIS</w:t>
      </w:r>
      <w:proofErr w:type="spellEnd"/>
      <w:r>
        <w:t xml:space="preserve"> + 7 at 24 months was -6.95 (2.03) points. The mean (</w:t>
      </w:r>
      <w:r w:rsidRPr="0073206D">
        <w:t>standard error of mean</w:t>
      </w:r>
      <w:r>
        <w:t xml:space="preserve">) change from Baseline in </w:t>
      </w:r>
      <w:proofErr w:type="spellStart"/>
      <w:r>
        <w:t>mNIS</w:t>
      </w:r>
      <w:proofErr w:type="spellEnd"/>
      <w:r>
        <w:t xml:space="preserve"> + 7 at 24 months was similar between subgroups analysed.</w:t>
      </w:r>
    </w:p>
    <w:p w14:paraId="373EABCE" w14:textId="5603E838" w:rsidR="0073206D" w:rsidRDefault="0073206D" w:rsidP="0073206D">
      <w:r w:rsidRPr="00A678FF">
        <w:t>Overall, NIS and NIS + 7,</w:t>
      </w:r>
      <w:r>
        <w:t xml:space="preserve"> measures of disability (R-ODS), gait speed (10-MWT), nutritional status (</w:t>
      </w:r>
      <w:proofErr w:type="spellStart"/>
      <w:r>
        <w:t>mBMI</w:t>
      </w:r>
      <w:proofErr w:type="spellEnd"/>
      <w:r>
        <w:t xml:space="preserve">), autonomic function (COMPASS 31), motor strength (grip strength), and QoL (EQ-5D and EQ-VAS) were stable over the </w:t>
      </w:r>
      <w:proofErr w:type="gramStart"/>
      <w:r>
        <w:t>24 month</w:t>
      </w:r>
      <w:proofErr w:type="gramEnd"/>
      <w:r>
        <w:t xml:space="preserve"> treatment period.</w:t>
      </w:r>
    </w:p>
    <w:p w14:paraId="7A51C95C" w14:textId="3A5CF190" w:rsidR="0073206D" w:rsidRDefault="0073206D" w:rsidP="0073206D">
      <w:r>
        <w:t xml:space="preserve">The mean (standard deviation) dermal amyloid burden </w:t>
      </w:r>
      <w:r w:rsidR="001E5385">
        <w:t>at Baseline</w:t>
      </w:r>
      <w:r>
        <w:t xml:space="preserve"> was 10.91% (9.49%) and 15.78% (14.93%) for distal thigh and distal leg, respectively, and the mean absolute (</w:t>
      </w:r>
      <w:r w:rsidRPr="0073206D">
        <w:t>standard error of mean</w:t>
      </w:r>
      <w:r>
        <w:t>) change from Baseline to 24 months (Week 110) was -3.81% (1.31%) for distal thigh and -6.38% (2.81%) for distal leg that reached nominal statistical significance.</w:t>
      </w:r>
    </w:p>
    <w:p w14:paraId="2EA6D239" w14:textId="37159B97" w:rsidR="0073206D" w:rsidRDefault="0073206D" w:rsidP="0073206D">
      <w:r>
        <w:t>Echocardiogram measures (</w:t>
      </w:r>
      <w:r w:rsidR="00A678FF">
        <w:t>left ventricle</w:t>
      </w:r>
      <w:r>
        <w:t xml:space="preserve"> mass, </w:t>
      </w:r>
      <w:r w:rsidR="00A678FF">
        <w:t>left ventricle</w:t>
      </w:r>
      <w:r>
        <w:t xml:space="preserve"> wall thickness, longitudinal </w:t>
      </w:r>
      <w:proofErr w:type="gramStart"/>
      <w:r>
        <w:t>strain</w:t>
      </w:r>
      <w:proofErr w:type="gramEnd"/>
      <w:r>
        <w:t xml:space="preserve"> and </w:t>
      </w:r>
      <w:r w:rsidR="00A678FF">
        <w:t>left ventricle ejection fraction</w:t>
      </w:r>
      <w:r>
        <w:t>) and cardiac biomarkers (NT-</w:t>
      </w:r>
      <w:proofErr w:type="spellStart"/>
      <w:r>
        <w:t>proBNP</w:t>
      </w:r>
      <w:proofErr w:type="spellEnd"/>
      <w:r>
        <w:t xml:space="preserve"> and troponin I) performed in the predefined cardiac subgroup were stable over time.</w:t>
      </w:r>
    </w:p>
    <w:p w14:paraId="50DB9BAA" w14:textId="5477B380" w:rsidR="0073206D" w:rsidRDefault="00AE4C05" w:rsidP="00AE4C05">
      <w:pPr>
        <w:pStyle w:val="Heading6"/>
      </w:pPr>
      <w:r>
        <w:t xml:space="preserve">Study </w:t>
      </w:r>
      <w:r w:rsidRPr="004A42E2">
        <w:t>ALN-TTR02-</w:t>
      </w:r>
      <w:r w:rsidR="0073206D">
        <w:t>006</w:t>
      </w:r>
    </w:p>
    <w:p w14:paraId="13EFA320" w14:textId="712180D8" w:rsidR="0073206D" w:rsidRDefault="00AE4C05" w:rsidP="0073206D">
      <w:r>
        <w:t xml:space="preserve">Study </w:t>
      </w:r>
      <w:r w:rsidRPr="004A42E2">
        <w:t>ALN-TTR02-</w:t>
      </w:r>
      <w:r w:rsidR="0073206D">
        <w:t>006 is an ongoing multicentre, multinational, open</w:t>
      </w:r>
      <w:r w:rsidR="007D42F1">
        <w:t xml:space="preserve"> </w:t>
      </w:r>
      <w:r w:rsidR="0073206D">
        <w:t>label extension study. Eligible patients who completed either of the two parent Studies</w:t>
      </w:r>
      <w:r w:rsidRPr="00AE4C05">
        <w:t xml:space="preserve"> </w:t>
      </w:r>
      <w:r w:rsidRPr="004A42E2">
        <w:t>ALN-TTR02-</w:t>
      </w:r>
      <w:r w:rsidR="0073206D">
        <w:t xml:space="preserve">003 or </w:t>
      </w:r>
      <w:r>
        <w:t>-</w:t>
      </w:r>
      <w:r w:rsidR="0073206D">
        <w:t xml:space="preserve">004, were given the option to participate in this study. At the time of the interim </w:t>
      </w:r>
      <w:r>
        <w:t xml:space="preserve">Study </w:t>
      </w:r>
      <w:r w:rsidRPr="004A42E2">
        <w:t>ALN-TTR02-</w:t>
      </w:r>
      <w:r w:rsidR="0073206D">
        <w:t xml:space="preserve">006 data cutoff date (14 July 2017), </w:t>
      </w:r>
      <w:r>
        <w:t xml:space="preserve">Study </w:t>
      </w:r>
      <w:r w:rsidRPr="004A42E2">
        <w:t>ALN-TTR02-</w:t>
      </w:r>
      <w:r w:rsidR="0073206D">
        <w:t xml:space="preserve">003 was completed and all 25 patients who completed </w:t>
      </w:r>
      <w:r>
        <w:t xml:space="preserve">Study </w:t>
      </w:r>
      <w:r w:rsidRPr="004A42E2">
        <w:t>ALN-TTR02-</w:t>
      </w:r>
      <w:r w:rsidR="0073206D">
        <w:t xml:space="preserve">003 had enrolled in </w:t>
      </w:r>
      <w:r>
        <w:t xml:space="preserve">Study </w:t>
      </w:r>
      <w:r w:rsidRPr="004A42E2">
        <w:t>ALN-TTR02-</w:t>
      </w:r>
      <w:r w:rsidR="0073206D">
        <w:t xml:space="preserve">006. </w:t>
      </w:r>
      <w:r>
        <w:t xml:space="preserve">Study </w:t>
      </w:r>
      <w:r w:rsidRPr="004A42E2">
        <w:t>ALN-TTR02-</w:t>
      </w:r>
      <w:r w:rsidR="0073206D">
        <w:t xml:space="preserve">004 was ongoing; 163 of the 169 patients who completed </w:t>
      </w:r>
      <w:r>
        <w:t xml:space="preserve">Study </w:t>
      </w:r>
      <w:r w:rsidRPr="004A42E2">
        <w:t>ALN-TTR02-</w:t>
      </w:r>
      <w:r w:rsidR="0073206D">
        <w:t xml:space="preserve">004 by that time had enrolled in </w:t>
      </w:r>
      <w:r w:rsidR="00C601F1">
        <w:t xml:space="preserve">Study </w:t>
      </w:r>
      <w:r w:rsidR="00C601F1" w:rsidRPr="004A42E2">
        <w:t>ALN-TTR02-</w:t>
      </w:r>
      <w:r w:rsidR="0073206D">
        <w:t xml:space="preserve">006. Patients from </w:t>
      </w:r>
      <w:r w:rsidR="00C601F1">
        <w:t xml:space="preserve">Study </w:t>
      </w:r>
      <w:r w:rsidR="00C601F1" w:rsidRPr="004A42E2">
        <w:t>ALN-TTR02-</w:t>
      </w:r>
      <w:r w:rsidR="0073206D">
        <w:t xml:space="preserve">004 remained blinded to </w:t>
      </w:r>
      <w:r w:rsidR="00C601F1">
        <w:t xml:space="preserve">Study </w:t>
      </w:r>
      <w:r w:rsidR="00C601F1" w:rsidRPr="004A42E2">
        <w:t>ALN-TTR02-</w:t>
      </w:r>
      <w:r w:rsidR="0073206D">
        <w:t xml:space="preserve">004 treatment assignment during participation in </w:t>
      </w:r>
      <w:r w:rsidR="00C601F1">
        <w:t xml:space="preserve">Study </w:t>
      </w:r>
      <w:r w:rsidR="00C601F1" w:rsidRPr="004A42E2">
        <w:t>ALN-TTR02-</w:t>
      </w:r>
      <w:r w:rsidR="0073206D">
        <w:t>006 at the time of the interim data cut. Efficacy assessment is presented for the smaller subset of approximately 64 patients who had efficacy assessment at Week 52.</w:t>
      </w:r>
    </w:p>
    <w:p w14:paraId="6F008B4C" w14:textId="2C751E72" w:rsidR="00CD4BE8" w:rsidRDefault="0073206D" w:rsidP="0073206D">
      <w:r>
        <w:t xml:space="preserve">A total of 184 patients were dosed with </w:t>
      </w:r>
      <w:r w:rsidR="007D42F1">
        <w:t>Onpattro</w:t>
      </w:r>
      <w:r>
        <w:t xml:space="preserve"> in this study for a mean (</w:t>
      </w:r>
      <w:r w:rsidR="00C601F1">
        <w:t>standard deviation</w:t>
      </w:r>
      <w:r>
        <w:t xml:space="preserve">) of 9 (5.976) months (range 0.7 to 24.6 months). Of the 184 patients who had been treated in this study at the time of the interim data cut, Week 52 </w:t>
      </w:r>
      <w:proofErr w:type="spellStart"/>
      <w:r>
        <w:t>mNIS</w:t>
      </w:r>
      <w:proofErr w:type="spellEnd"/>
      <w:r w:rsidR="00C601F1">
        <w:t xml:space="preserve"> </w:t>
      </w:r>
      <w:r>
        <w:t>+</w:t>
      </w:r>
      <w:r w:rsidR="00C601F1">
        <w:t xml:space="preserve"> </w:t>
      </w:r>
      <w:r>
        <w:t>7 efficacy data were available for 64 patients (n</w:t>
      </w:r>
      <w:r w:rsidR="00C601F1">
        <w:t xml:space="preserve"> </w:t>
      </w:r>
      <w:r>
        <w:t>=</w:t>
      </w:r>
      <w:r w:rsidR="00C601F1">
        <w:t xml:space="preserve"> </w:t>
      </w:r>
      <w:r>
        <w:t>10 from 004 placebo, n</w:t>
      </w:r>
      <w:r w:rsidR="00C601F1">
        <w:t xml:space="preserve"> </w:t>
      </w:r>
      <w:r>
        <w:t>=</w:t>
      </w:r>
      <w:r w:rsidR="00C601F1">
        <w:t xml:space="preserve"> </w:t>
      </w:r>
      <w:r>
        <w:t xml:space="preserve">30 from </w:t>
      </w:r>
      <w:r w:rsidR="00C601F1">
        <w:t xml:space="preserve">Study </w:t>
      </w:r>
      <w:r w:rsidR="00C601F1" w:rsidRPr="004A42E2">
        <w:t>ALN-TTR02-</w:t>
      </w:r>
      <w:r>
        <w:t xml:space="preserve">004 </w:t>
      </w:r>
      <w:r w:rsidR="00C601F1">
        <w:t>Onpattro</w:t>
      </w:r>
      <w:r>
        <w:t>, and n</w:t>
      </w:r>
      <w:r w:rsidR="00C601F1">
        <w:t xml:space="preserve"> </w:t>
      </w:r>
      <w:r>
        <w:t>=</w:t>
      </w:r>
      <w:r w:rsidR="00C601F1">
        <w:t xml:space="preserve"> </w:t>
      </w:r>
      <w:r>
        <w:t xml:space="preserve">24 from </w:t>
      </w:r>
      <w:r w:rsidR="00C601F1">
        <w:t xml:space="preserve">Study </w:t>
      </w:r>
      <w:r w:rsidR="00C601F1" w:rsidRPr="004A42E2">
        <w:t>ALN-TTR02-</w:t>
      </w:r>
      <w:r>
        <w:t xml:space="preserve">003 </w:t>
      </w:r>
      <w:r w:rsidR="00C601F1">
        <w:t>Onpattro</w:t>
      </w:r>
      <w:r>
        <w:t xml:space="preserve">). The results are shown in </w:t>
      </w:r>
      <w:r w:rsidR="007D42F1">
        <w:fldChar w:fldCharType="begin"/>
      </w:r>
      <w:r w:rsidR="007D42F1">
        <w:instrText xml:space="preserve"> REF _Ref136348424 \h </w:instrText>
      </w:r>
      <w:r w:rsidR="007D42F1">
        <w:fldChar w:fldCharType="separate"/>
      </w:r>
      <w:r w:rsidR="00ED1F97" w:rsidRPr="00C601F1">
        <w:t xml:space="preserve">Table </w:t>
      </w:r>
      <w:r w:rsidR="00ED1F97">
        <w:rPr>
          <w:noProof/>
        </w:rPr>
        <w:t>5</w:t>
      </w:r>
      <w:r w:rsidR="007D42F1">
        <w:fldChar w:fldCharType="end"/>
      </w:r>
      <w:r w:rsidR="007D42F1">
        <w:t xml:space="preserve"> </w:t>
      </w:r>
      <w:r>
        <w:t>below.</w:t>
      </w:r>
    </w:p>
    <w:p w14:paraId="12C36BD3" w14:textId="206534AF" w:rsidR="00C601F1" w:rsidRDefault="00C601F1" w:rsidP="00C601F1">
      <w:pPr>
        <w:pStyle w:val="TableTitle"/>
      </w:pPr>
      <w:bookmarkStart w:id="54" w:name="_Ref136348424"/>
      <w:r w:rsidRPr="00C601F1">
        <w:lastRenderedPageBreak/>
        <w:t xml:space="preserve">Table </w:t>
      </w:r>
      <w:r w:rsidR="00DB29BA">
        <w:fldChar w:fldCharType="begin"/>
      </w:r>
      <w:r w:rsidR="00DB29BA">
        <w:instrText xml:space="preserve"> SEQ Table \* ARABIC </w:instrText>
      </w:r>
      <w:r w:rsidR="00DB29BA">
        <w:fldChar w:fldCharType="separate"/>
      </w:r>
      <w:r w:rsidR="00ED1F97">
        <w:rPr>
          <w:noProof/>
        </w:rPr>
        <w:t>5</w:t>
      </w:r>
      <w:r w:rsidR="00DB29BA">
        <w:rPr>
          <w:noProof/>
        </w:rPr>
        <w:fldChar w:fldCharType="end"/>
      </w:r>
      <w:bookmarkEnd w:id="54"/>
      <w:r>
        <w:t xml:space="preserve">: </w:t>
      </w:r>
      <w:r w:rsidR="00BD3D69">
        <w:t xml:space="preserve">Study </w:t>
      </w:r>
      <w:r w:rsidR="00BD3D69" w:rsidRPr="004A42E2">
        <w:t>ALN-TTR02-</w:t>
      </w:r>
      <w:r w:rsidRPr="00C601F1">
        <w:t xml:space="preserve">006 </w:t>
      </w:r>
      <w:r w:rsidR="00A678FF">
        <w:t>m</w:t>
      </w:r>
      <w:r w:rsidR="00A678FF" w:rsidRPr="00900DD5">
        <w:t xml:space="preserve">odified </w:t>
      </w:r>
      <w:r w:rsidR="00A678FF">
        <w:t>n</w:t>
      </w:r>
      <w:r w:rsidR="00A678FF" w:rsidRPr="00900DD5">
        <w:t xml:space="preserve">europathy </w:t>
      </w:r>
      <w:r w:rsidR="00A678FF">
        <w:t>i</w:t>
      </w:r>
      <w:r w:rsidR="00A678FF" w:rsidRPr="00900DD5">
        <w:t xml:space="preserve">mpairment </w:t>
      </w:r>
      <w:r w:rsidR="00A678FF">
        <w:t>s</w:t>
      </w:r>
      <w:r w:rsidR="00A678FF" w:rsidRPr="00900DD5">
        <w:t>core</w:t>
      </w:r>
      <w:r>
        <w:t xml:space="preserve"> </w:t>
      </w:r>
      <w:r w:rsidRPr="00C601F1">
        <w:t>+</w:t>
      </w:r>
      <w:r>
        <w:t xml:space="preserve"> </w:t>
      </w:r>
      <w:r w:rsidRPr="00C601F1">
        <w:t xml:space="preserve">7 at </w:t>
      </w:r>
      <w:r>
        <w:t>W</w:t>
      </w:r>
      <w:r w:rsidRPr="00C601F1">
        <w:t>eek 52</w:t>
      </w:r>
    </w:p>
    <w:p w14:paraId="0040592E" w14:textId="7AFF7D7D" w:rsidR="00C601F1" w:rsidRDefault="00C601F1" w:rsidP="00C601F1">
      <w:r w:rsidRPr="00C601F1">
        <w:rPr>
          <w:noProof/>
        </w:rPr>
        <w:drawing>
          <wp:inline distT="0" distB="0" distL="0" distR="0" wp14:anchorId="1FEE840C" wp14:editId="67803591">
            <wp:extent cx="5281574" cy="3472374"/>
            <wp:effectExtent l="0" t="0" r="0" b="0"/>
            <wp:docPr id="8" name="Picture 8" descr="Study ALN-TTR02-006 modified neuropathy impairment score + 7 at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ALN-TTR02-006 modified neuropathy impairment score + 7 at Week 52"/>
                    <pic:cNvPicPr/>
                  </pic:nvPicPr>
                  <pic:blipFill rotWithShape="1">
                    <a:blip r:embed="rId27"/>
                    <a:srcRect r="-975" b="10238"/>
                    <a:stretch/>
                  </pic:blipFill>
                  <pic:spPr bwMode="auto">
                    <a:xfrm>
                      <a:off x="0" y="0"/>
                      <a:ext cx="5296254" cy="3482026"/>
                    </a:xfrm>
                    <a:prstGeom prst="rect">
                      <a:avLst/>
                    </a:prstGeom>
                    <a:ln>
                      <a:noFill/>
                    </a:ln>
                    <a:extLst>
                      <a:ext uri="{53640926-AAD7-44D8-BBD7-CCE9431645EC}">
                        <a14:shadowObscured xmlns:a14="http://schemas.microsoft.com/office/drawing/2010/main"/>
                      </a:ext>
                    </a:extLst>
                  </pic:spPr>
                </pic:pic>
              </a:graphicData>
            </a:graphic>
          </wp:inline>
        </w:drawing>
      </w:r>
    </w:p>
    <w:p w14:paraId="367E2D61" w14:textId="55D4EF92" w:rsidR="00C601F1" w:rsidRDefault="00C601F1" w:rsidP="00C601F1">
      <w:pPr>
        <w:pStyle w:val="TableDescription"/>
      </w:pPr>
      <w:r>
        <w:t xml:space="preserve">Abbreviations: </w:t>
      </w:r>
      <w:proofErr w:type="spellStart"/>
      <w:r>
        <w:t>mNIS</w:t>
      </w:r>
      <w:proofErr w:type="spellEnd"/>
      <w:r>
        <w:t xml:space="preserve"> + 7 = modified neuropathy impairment score; SD = standard deviations; SEM = standard error of the mean</w:t>
      </w:r>
    </w:p>
    <w:p w14:paraId="64F7A9E6" w14:textId="63E52E15" w:rsidR="00C601F1" w:rsidRDefault="00C601F1" w:rsidP="00C601F1">
      <w:pPr>
        <w:pStyle w:val="TableDescription"/>
      </w:pPr>
      <w:r>
        <w:t>Note: At each visit the total scores are calculated as the mean of the two independent assessments.</w:t>
      </w:r>
    </w:p>
    <w:p w14:paraId="6A25D4A3" w14:textId="62B7B2BB" w:rsidR="00C601F1" w:rsidRDefault="00C601F1" w:rsidP="00C601F1">
      <w:pPr>
        <w:pStyle w:val="TableDescription"/>
      </w:pPr>
      <w:proofErr w:type="spellStart"/>
      <w:r>
        <w:t>a</w:t>
      </w:r>
      <w:proofErr w:type="spellEnd"/>
      <w:r>
        <w:t xml:space="preserve"> </w:t>
      </w:r>
      <w:proofErr w:type="gramStart"/>
      <w:r>
        <w:t>The</w:t>
      </w:r>
      <w:proofErr w:type="gramEnd"/>
      <w:r>
        <w:t xml:space="preserve"> last non-missing measurement on or prior to the first dose of study drug in this study. Per protocol, the last testing visit in the parent study will serve as the baseline unless more than 45 days have elapsed in which cause baseline is the Day 1 value.</w:t>
      </w:r>
    </w:p>
    <w:p w14:paraId="44B5826A" w14:textId="5489C41B" w:rsidR="00BD3D69" w:rsidRDefault="00BD3D69" w:rsidP="00BD3D69">
      <w:r>
        <w:t xml:space="preserve">At Week 52, mean change from Baseline Norfolk </w:t>
      </w:r>
      <w:r w:rsidR="007D42F1">
        <w:t>quality of life</w:t>
      </w:r>
      <w:r w:rsidR="007D42F1" w:rsidRPr="000B7A55">
        <w:t>-</w:t>
      </w:r>
      <w:r w:rsidR="007D42F1">
        <w:t>d</w:t>
      </w:r>
      <w:r w:rsidR="007D42F1" w:rsidRPr="001623D4">
        <w:t xml:space="preserve">iabetic </w:t>
      </w:r>
      <w:r w:rsidR="007D42F1">
        <w:t>n</w:t>
      </w:r>
      <w:r w:rsidR="007D42F1" w:rsidRPr="001623D4">
        <w:t>europathy</w:t>
      </w:r>
      <w:r w:rsidR="007D42F1">
        <w:t xml:space="preserve"> </w:t>
      </w:r>
      <w:r>
        <w:t xml:space="preserve">was -10.2 points in the Study </w:t>
      </w:r>
      <w:r w:rsidRPr="004A42E2">
        <w:t>ALN-TTR02-</w:t>
      </w:r>
      <w:r>
        <w:t xml:space="preserve">004 placebo and -1.8 points in the Study </w:t>
      </w:r>
      <w:r w:rsidRPr="004A42E2">
        <w:t>ALN-TTR02-</w:t>
      </w:r>
      <w:r>
        <w:t xml:space="preserve">004 Onpattro groups. Only one patient from the Study </w:t>
      </w:r>
      <w:r w:rsidRPr="004A42E2">
        <w:t>ALN-TTR02-</w:t>
      </w:r>
      <w:r>
        <w:t>003 Onpattro group performed a Norfolk quality of life</w:t>
      </w:r>
      <w:r w:rsidRPr="000B7A55">
        <w:t>-</w:t>
      </w:r>
      <w:r>
        <w:t>d</w:t>
      </w:r>
      <w:r w:rsidRPr="001623D4">
        <w:t xml:space="preserve">iabetic </w:t>
      </w:r>
      <w:r>
        <w:t>n</w:t>
      </w:r>
      <w:r w:rsidRPr="001623D4">
        <w:t>europathy</w:t>
      </w:r>
      <w:r>
        <w:t xml:space="preserve"> assessment at Baseline (not required in Study </w:t>
      </w:r>
      <w:r w:rsidRPr="004A42E2">
        <w:t>ALN-TTR02-</w:t>
      </w:r>
      <w:r>
        <w:t>003), therefore the change over time cannot be evaluated.</w:t>
      </w:r>
    </w:p>
    <w:p w14:paraId="02590317" w14:textId="4960DA57" w:rsidR="00BD3D69" w:rsidRDefault="00BD3D69" w:rsidP="00BD3D69">
      <w:r>
        <w:t>Clinical endpoints assessing disability (R-ODS), ambulatory ability (10 metre walk test), nutritional status (</w:t>
      </w:r>
      <w:proofErr w:type="spellStart"/>
      <w:r>
        <w:t>mBMI</w:t>
      </w:r>
      <w:proofErr w:type="spellEnd"/>
      <w:r>
        <w:t>), autonomic symptoms (COMPASS 31), neuropathy (NIS, NIS+7), motor strength (grip strength), quality of life</w:t>
      </w:r>
      <w:r w:rsidR="00A678FF">
        <w:t xml:space="preserve"> </w:t>
      </w:r>
      <w:proofErr w:type="spellStart"/>
      <w:r w:rsidR="00A678FF">
        <w:t>questionaires</w:t>
      </w:r>
      <w:proofErr w:type="spellEnd"/>
      <w:r>
        <w:t xml:space="preserve"> (EQ-5D) and overall health (EQ-VAS) were generally stable or improved at Week 52 relative to </w:t>
      </w:r>
      <w:r w:rsidR="007D42F1">
        <w:t xml:space="preserve">Study </w:t>
      </w:r>
      <w:r w:rsidR="007D42F1" w:rsidRPr="004A42E2">
        <w:t>ALN-TTR02-</w:t>
      </w:r>
      <w:r>
        <w:t>006 baseline.</w:t>
      </w:r>
    </w:p>
    <w:p w14:paraId="2BD83005" w14:textId="662E8915" w:rsidR="00BD3D69" w:rsidRDefault="00BD3D69" w:rsidP="00BD3D69">
      <w:r>
        <w:t xml:space="preserve">At Week 52, echocardiogram results were available for only 9 patients in </w:t>
      </w:r>
      <w:r w:rsidR="00AC47EB">
        <w:t xml:space="preserve">Study </w:t>
      </w:r>
      <w:r w:rsidR="00AC47EB" w:rsidRPr="004A42E2">
        <w:t>ALN-TTR02-</w:t>
      </w:r>
      <w:r>
        <w:t xml:space="preserve">004 placebo group, 27 patients (23 patient for </w:t>
      </w:r>
      <w:r w:rsidR="00A678FF">
        <w:t>left ventricle</w:t>
      </w:r>
      <w:r>
        <w:t xml:space="preserve"> ejection fraction) in Study </w:t>
      </w:r>
      <w:r w:rsidRPr="004A42E2">
        <w:t>ALN-TTR02-</w:t>
      </w:r>
      <w:r>
        <w:t xml:space="preserve">004 Onpattro group and 24 patients in the Study </w:t>
      </w:r>
      <w:r w:rsidRPr="004A42E2">
        <w:t>ALN-TTR02-</w:t>
      </w:r>
      <w:r>
        <w:t xml:space="preserve">003 Onpattro group. Among the group of patients from the </w:t>
      </w:r>
      <w:r w:rsidR="00AC47EB">
        <w:t xml:space="preserve">Study </w:t>
      </w:r>
      <w:r w:rsidR="00AC47EB" w:rsidRPr="004A42E2">
        <w:t>ALN-TTR02-</w:t>
      </w:r>
      <w:r>
        <w:t xml:space="preserve">004 placebo group with Week 52 assessments, there was evidence of stabilisation of cardiac structure and function relative to baseline following transitioning to Onpattro on Study </w:t>
      </w:r>
      <w:r w:rsidRPr="004A42E2">
        <w:t>ALN-TTR02-</w:t>
      </w:r>
      <w:r>
        <w:t xml:space="preserve">006 according to the applicant. In patients from the Study </w:t>
      </w:r>
      <w:r w:rsidRPr="004A42E2">
        <w:t>ALN-TTR02-</w:t>
      </w:r>
      <w:r>
        <w:t xml:space="preserve">004 Onpattro and Study </w:t>
      </w:r>
      <w:r w:rsidRPr="004A42E2">
        <w:t>ALN-TTR02-</w:t>
      </w:r>
      <w:r>
        <w:t xml:space="preserve">003 Onpattro groups who received treatment with Onpattro on the parent studies, continued treatment with Onpattro in Study </w:t>
      </w:r>
      <w:r w:rsidRPr="004A42E2">
        <w:t>ALN-TTR02-</w:t>
      </w:r>
      <w:r>
        <w:t>006 resulted in maintenance of efficacy according to the applicant.</w:t>
      </w:r>
    </w:p>
    <w:p w14:paraId="1FB6FF2C" w14:textId="35987623" w:rsidR="00BD3D69" w:rsidRDefault="00BD3D69" w:rsidP="00BD3D69">
      <w:r>
        <w:t>At Week 52, median change from Baseline in NT-</w:t>
      </w:r>
      <w:proofErr w:type="spellStart"/>
      <w:r>
        <w:t>proBNP</w:t>
      </w:r>
      <w:proofErr w:type="spellEnd"/>
      <w:r>
        <w:t xml:space="preserve"> levels were -12.01 ng/L in the </w:t>
      </w:r>
      <w:r w:rsidR="007D42F1">
        <w:t xml:space="preserve">Study </w:t>
      </w:r>
      <w:r w:rsidR="007D42F1" w:rsidRPr="004A42E2">
        <w:t>ALN-TTR02</w:t>
      </w:r>
      <w:r w:rsidR="007D42F1">
        <w:t>-</w:t>
      </w:r>
      <w:r>
        <w:t xml:space="preserve">004 placebo, -15.05 ng/L in </w:t>
      </w:r>
      <w:r w:rsidR="007D42F1">
        <w:t xml:space="preserve">Study </w:t>
      </w:r>
      <w:r w:rsidR="007D42F1" w:rsidRPr="004A42E2">
        <w:t>ALN-TTR02</w:t>
      </w:r>
      <w:r w:rsidR="007D42F1">
        <w:t>-</w:t>
      </w:r>
      <w:r>
        <w:t xml:space="preserve">004 </w:t>
      </w:r>
      <w:r w:rsidR="007D42F1">
        <w:t>Onpattro</w:t>
      </w:r>
      <w:r>
        <w:t xml:space="preserve">, and 33.61 ng/L in the </w:t>
      </w:r>
      <w:r w:rsidR="007D42F1">
        <w:t xml:space="preserve">Study </w:t>
      </w:r>
      <w:r w:rsidR="007D42F1" w:rsidRPr="004A42E2">
        <w:t>ALN-TTR02</w:t>
      </w:r>
      <w:r w:rsidR="007D42F1">
        <w:t>-</w:t>
      </w:r>
      <w:r>
        <w:t xml:space="preserve">003 </w:t>
      </w:r>
      <w:r w:rsidR="007D42F1">
        <w:t>Onpattro</w:t>
      </w:r>
      <w:r>
        <w:t xml:space="preserve"> group.</w:t>
      </w:r>
    </w:p>
    <w:p w14:paraId="4A67ECD0" w14:textId="7F1F31CE" w:rsidR="00BD3D69" w:rsidRDefault="00BD3D69" w:rsidP="00AC47EB">
      <w:pPr>
        <w:pStyle w:val="Heading6"/>
      </w:pPr>
      <w:r>
        <w:lastRenderedPageBreak/>
        <w:t xml:space="preserve">Study ALN-TTR02-006 update report </w:t>
      </w:r>
      <w:r w:rsidR="006942E0">
        <w:t>(</w:t>
      </w:r>
      <w:r>
        <w:t xml:space="preserve">17 March 2022 – </w:t>
      </w:r>
      <w:proofErr w:type="gramStart"/>
      <w:r>
        <w:t>3 year</w:t>
      </w:r>
      <w:proofErr w:type="gramEnd"/>
      <w:r>
        <w:t xml:space="preserve"> data</w:t>
      </w:r>
      <w:r w:rsidR="006942E0">
        <w:t>)</w:t>
      </w:r>
    </w:p>
    <w:p w14:paraId="3CC0E4E4" w14:textId="29270B74" w:rsidR="00C601F1" w:rsidRDefault="00BD3D69" w:rsidP="00BD3D69">
      <w:r>
        <w:t xml:space="preserve">As of the data cutoff, the median (range) total duration of patisiran exposure in </w:t>
      </w:r>
      <w:r w:rsidR="007D42F1">
        <w:t xml:space="preserve">Study </w:t>
      </w:r>
      <w:r w:rsidR="007D42F1" w:rsidRPr="004A42E2">
        <w:t>ALN-TTR02-</w:t>
      </w:r>
      <w:r>
        <w:t xml:space="preserve">006 was 45.11 (1.3, 61.3) months, for a cumulative drug exposure of 733 person-years. The median (range) duration of patisiran administration in </w:t>
      </w:r>
      <w:r w:rsidR="007D42F1">
        <w:t xml:space="preserve">Study </w:t>
      </w:r>
      <w:r w:rsidR="007D42F1" w:rsidRPr="004A42E2">
        <w:t>ALN-TTR02-</w:t>
      </w:r>
      <w:r>
        <w:t xml:space="preserve">006 was 40.71 (1.3, 61.3) months in the </w:t>
      </w:r>
      <w:r w:rsidR="007D42F1">
        <w:t xml:space="preserve">Study </w:t>
      </w:r>
      <w:r w:rsidR="007D42F1" w:rsidRPr="004A42E2">
        <w:t>ALN-TTR02-</w:t>
      </w:r>
      <w:r>
        <w:t xml:space="preserve">004 Placebo group, 44.68 (1.3, 60.7) months in the </w:t>
      </w:r>
      <w:r w:rsidR="007D42F1">
        <w:t xml:space="preserve">Study </w:t>
      </w:r>
      <w:r w:rsidR="007D42F1" w:rsidRPr="004A42E2">
        <w:t>ALN-TTR02-</w:t>
      </w:r>
      <w:r>
        <w:t xml:space="preserve">004 Patisiran group, and 58.22 (45.6, 60.1) months in the </w:t>
      </w:r>
      <w:r w:rsidR="007D42F1">
        <w:t xml:space="preserve">Study </w:t>
      </w:r>
      <w:r w:rsidR="007D42F1" w:rsidRPr="004A42E2">
        <w:t>ALN-TTR02-</w:t>
      </w:r>
      <w:r>
        <w:t>003 Patisiran group.</w:t>
      </w:r>
    </w:p>
    <w:p w14:paraId="6010C010" w14:textId="459F5A3B" w:rsidR="006942E0" w:rsidRDefault="006942E0" w:rsidP="006942E0">
      <w:pPr>
        <w:ind w:left="720"/>
      </w:pPr>
      <w:r>
        <w:t xml:space="preserve">‘In patients from the Study </w:t>
      </w:r>
      <w:r w:rsidRPr="004A42E2">
        <w:t>ALN-TTR02-</w:t>
      </w:r>
      <w:r>
        <w:t xml:space="preserve">004 Placebo group, there was evidence of disease stabilization relative to baseline across measures of neuropathy impairment, quality of life, and other important disease manifestations 12 months after transitioning to patisiran in Study </w:t>
      </w:r>
      <w:r w:rsidRPr="004A42E2">
        <w:t>ALN-TTR02-</w:t>
      </w:r>
      <w:r>
        <w:t xml:space="preserve">006; thereafter, the maintenance of the patisiran treatment effect was seen at Years 2 and 3. For patients in the Studies </w:t>
      </w:r>
      <w:r w:rsidRPr="004A42E2">
        <w:t>ALN-TTR02-</w:t>
      </w:r>
      <w:r>
        <w:t xml:space="preserve">004 and -003 Patisiran groups, who previously received patisiran in the parent studies, continued exposure to patisiran in Study </w:t>
      </w:r>
      <w:r w:rsidRPr="004A42E2">
        <w:t>ALN-TTR02-</w:t>
      </w:r>
      <w:r>
        <w:t>006 resulted in maintenance of the treatment effect observed at Study 006 baseline for up to 3 years. Most patients showed improvement or stability in FAP</w:t>
      </w:r>
      <w:r w:rsidR="00A678FF">
        <w:t xml:space="preserve"> (f</w:t>
      </w:r>
      <w:r w:rsidR="00A678FF" w:rsidRPr="00A678FF">
        <w:t>amilial amyloidotic polyneuropathy</w:t>
      </w:r>
      <w:r w:rsidR="00A678FF">
        <w:t>)</w:t>
      </w:r>
      <w:r>
        <w:t xml:space="preserve"> stage and PND </w:t>
      </w:r>
      <w:r w:rsidR="00A678FF">
        <w:t>(</w:t>
      </w:r>
      <w:r w:rsidR="00A678FF" w:rsidRPr="00A678FF">
        <w:t>polyneuropathy disability</w:t>
      </w:r>
      <w:r w:rsidR="00A678FF">
        <w:t xml:space="preserve">) </w:t>
      </w:r>
      <w:r>
        <w:t xml:space="preserve">score over time. Among the FAP Stage III patients who had post-baseline measurements in Study </w:t>
      </w:r>
      <w:r w:rsidRPr="004A42E2">
        <w:t>ALN-TTR02-</w:t>
      </w:r>
      <w:r>
        <w:t xml:space="preserve">006, the overall clinical picture suggests relative stability over time in measures of neuropathy impairment, quality of life, and disability with patisiran treatment in Study </w:t>
      </w:r>
      <w:r w:rsidRPr="004A42E2">
        <w:t>ALN-TTR02-</w:t>
      </w:r>
      <w:r>
        <w:t xml:space="preserve">006. Some patients showed meaningful improvement in these measures, and, of </w:t>
      </w:r>
      <w:proofErr w:type="gramStart"/>
      <w:r>
        <w:t>particular note</w:t>
      </w:r>
      <w:proofErr w:type="gramEnd"/>
      <w:r>
        <w:t>, one patient who was previously wheelchair bound (or bedridden) improved with ongoing patisiran treatment such that they were able to walk again with assistance. These findings underscore the potential for treatment with patisiran to benefit patients with the most severe stage of disease.</w:t>
      </w:r>
    </w:p>
    <w:p w14:paraId="278CEE71" w14:textId="22802711" w:rsidR="006942E0" w:rsidRDefault="006942E0" w:rsidP="006942E0">
      <w:pPr>
        <w:ind w:left="720"/>
      </w:pPr>
      <w:r>
        <w:t xml:space="preserve">Changes in serum TTR levels were as expected. In patients from the Study </w:t>
      </w:r>
      <w:r w:rsidRPr="004A42E2">
        <w:t>ALN</w:t>
      </w:r>
      <w:r>
        <w:noBreakHyphen/>
      </w:r>
      <w:r w:rsidRPr="004A42E2">
        <w:t>TTR02</w:t>
      </w:r>
      <w:r>
        <w:noBreakHyphen/>
        <w:t xml:space="preserve">004 </w:t>
      </w:r>
      <w:r w:rsidR="00A678FF">
        <w:t>p</w:t>
      </w:r>
      <w:r>
        <w:t>lacebo group, patisiran treatment resulted in a mean TTR reduction from Baseline of 83.3% at Week 52. For patients in the</w:t>
      </w:r>
      <w:r w:rsidRPr="006942E0">
        <w:t xml:space="preserve"> </w:t>
      </w:r>
      <w:r>
        <w:t xml:space="preserve">Studies </w:t>
      </w:r>
      <w:r w:rsidRPr="004A42E2">
        <w:t>ALN-TTR02-</w:t>
      </w:r>
      <w:r>
        <w:t xml:space="preserve"> 004 and </w:t>
      </w:r>
      <w:r>
        <w:noBreakHyphen/>
        <w:t xml:space="preserve">003 Patisiran groups, who had already received patisiran in the parent studies and had low TTR levels at Study </w:t>
      </w:r>
      <w:r w:rsidRPr="004A42E2">
        <w:t>ALN-TTR02-</w:t>
      </w:r>
      <w:r>
        <w:t>006 baseline, continued treatment with patisiran showed stable reductions in serum TTR levels. The maintenance of reduced TTR levels over a total of more than 5 years with patisiran treatment suggests that there is no tachyphylaxis observed with long-term treatment.</w:t>
      </w:r>
    </w:p>
    <w:p w14:paraId="59EF215A" w14:textId="6AC6B421" w:rsidR="006942E0" w:rsidRDefault="006942E0" w:rsidP="006942E0">
      <w:pPr>
        <w:ind w:left="720"/>
      </w:pPr>
      <w:r>
        <w:t>The 3-year efficacy and safety data from</w:t>
      </w:r>
      <w:r w:rsidRPr="006942E0">
        <w:t xml:space="preserve"> </w:t>
      </w:r>
      <w:r>
        <w:t xml:space="preserve">Study </w:t>
      </w:r>
      <w:r w:rsidRPr="004A42E2">
        <w:t>ALN-TTR02-</w:t>
      </w:r>
      <w:r>
        <w:t>006 are consistent with what has previously been observed with patisiran in clinical studies and confirms the clinical efficacy and acceptable safety profile of patisiran. These data also support early treatment intervention to avoid disease progression and that the effects of patisiran are maintained with continued treatment. No new safety signals emerged in patients with long-term patisiran treatment.’</w:t>
      </w:r>
    </w:p>
    <w:p w14:paraId="63F93F69" w14:textId="503E673C" w:rsidR="006942E0" w:rsidRDefault="006942E0" w:rsidP="006942E0">
      <w:pPr>
        <w:pStyle w:val="Heading6"/>
      </w:pPr>
      <w:r w:rsidRPr="006942E0">
        <w:t>Study ALN-TTR02-008</w:t>
      </w:r>
    </w:p>
    <w:p w14:paraId="050B5BF7" w14:textId="6EE4E1B6" w:rsidR="00641A7C" w:rsidRDefault="00641A7C" w:rsidP="00641A7C">
      <w:r>
        <w:t xml:space="preserve">Study ALN-TTR02-008 was initiated on 27 March 2019 and completed on 20 October 2020. </w:t>
      </w:r>
      <w:proofErr w:type="gramStart"/>
      <w:r>
        <w:t>Twenty four</w:t>
      </w:r>
      <w:proofErr w:type="gramEnd"/>
      <w:r>
        <w:t xml:space="preserve"> patients enrolled in this study; 23 received </w:t>
      </w:r>
      <w:r w:rsidR="00A678FF">
        <w:t>Onpattro</w:t>
      </w:r>
      <w:r>
        <w:t xml:space="preserve"> treatment. Data from this study is summarised below in the</w:t>
      </w:r>
      <w:r w:rsidR="00A678FF">
        <w:t xml:space="preserve"> Study</w:t>
      </w:r>
      <w:r>
        <w:t xml:space="preserve"> ALN-TTR02-008 summary report (dated 25 June 2021).</w:t>
      </w:r>
    </w:p>
    <w:p w14:paraId="2FEAD2BC" w14:textId="513C2604" w:rsidR="00641A7C" w:rsidRPr="00641A7C" w:rsidRDefault="00641A7C" w:rsidP="00641A7C">
      <w:r w:rsidRPr="00641A7C">
        <w:t xml:space="preserve">Study ALN-TTR02-008 was a global, Phase </w:t>
      </w:r>
      <w:r>
        <w:t>III</w:t>
      </w:r>
      <w:r w:rsidR="00A678FF">
        <w:t xml:space="preserve"> </w:t>
      </w:r>
      <w:r w:rsidRPr="00641A7C">
        <w:t>b, open</w:t>
      </w:r>
      <w:r>
        <w:t xml:space="preserve"> </w:t>
      </w:r>
      <w:r w:rsidRPr="00641A7C">
        <w:t xml:space="preserve">label study designed to evaluate the safety, efficacy, and PK of </w:t>
      </w:r>
      <w:r w:rsidR="00A678FF">
        <w:t>Onpattro</w:t>
      </w:r>
      <w:r w:rsidRPr="00641A7C">
        <w:t xml:space="preserve"> in patients with </w:t>
      </w:r>
      <w:proofErr w:type="spellStart"/>
      <w:r w:rsidRPr="00641A7C">
        <w:t>hATTR</w:t>
      </w:r>
      <w:proofErr w:type="spellEnd"/>
      <w:r w:rsidRPr="00641A7C">
        <w:t xml:space="preserve"> amyloidosis with disease progression after orthoptic liver transplant. All patients were treated with </w:t>
      </w:r>
      <w:r w:rsidR="00A678FF">
        <w:t>Onpattro</w:t>
      </w:r>
      <w:r w:rsidRPr="00641A7C">
        <w:t xml:space="preserve"> 0.3 mg/kg </w:t>
      </w:r>
      <w:r w:rsidR="00A678FF">
        <w:t>Onpattro</w:t>
      </w:r>
      <w:r w:rsidRPr="00641A7C">
        <w:t xml:space="preserve"> </w:t>
      </w:r>
      <w:r>
        <w:t>intravenous every 3 weeks</w:t>
      </w:r>
      <w:r w:rsidRPr="00641A7C">
        <w:t xml:space="preserve"> for 12 months. The primary objective was to evaluate the reduction of TTR with patisiran treatment in </w:t>
      </w:r>
      <w:proofErr w:type="spellStart"/>
      <w:r w:rsidRPr="00641A7C">
        <w:t>hATTR</w:t>
      </w:r>
      <w:proofErr w:type="spellEnd"/>
      <w:r w:rsidRPr="00641A7C">
        <w:t xml:space="preserve"> amyloidosis patients with disease progression after </w:t>
      </w:r>
      <w:r w:rsidRPr="00641A7C">
        <w:lastRenderedPageBreak/>
        <w:t>orthoptic liver transplant. A total of 24 patients were enrolled, of whom 23 (95.8%) received ≥</w:t>
      </w:r>
      <w:r>
        <w:t> </w:t>
      </w:r>
      <w:r w:rsidRPr="00641A7C">
        <w:t xml:space="preserve">1 </w:t>
      </w:r>
      <w:proofErr w:type="gramStart"/>
      <w:r w:rsidRPr="00641A7C">
        <w:t>dose</w:t>
      </w:r>
      <w:proofErr w:type="gramEnd"/>
      <w:r w:rsidRPr="00641A7C">
        <w:t xml:space="preserve"> of patisiran and 22 (91.7%) completed study treatment. The mean age at enrolment was 58</w:t>
      </w:r>
      <w:r>
        <w:t> </w:t>
      </w:r>
      <w:r w:rsidRPr="00641A7C">
        <w:t>years, and the mean time from liver transplant to the first dose of patisiran in this study was 9.4 years.</w:t>
      </w:r>
    </w:p>
    <w:p w14:paraId="1BA6855B" w14:textId="3DE08251" w:rsidR="00641A7C" w:rsidRDefault="00547D60" w:rsidP="00547D60">
      <w:pPr>
        <w:ind w:left="720"/>
      </w:pPr>
      <w:r>
        <w:t>‘</w:t>
      </w:r>
      <w:r w:rsidR="00641A7C" w:rsidRPr="00641A7C">
        <w:t xml:space="preserve">The study met its primary endpoint, with patients demonstrating a statistically significant median TTR reduction </w:t>
      </w:r>
      <w:r w:rsidR="001E5385">
        <w:t>from Baseline</w:t>
      </w:r>
      <w:r w:rsidR="00641A7C" w:rsidRPr="00641A7C">
        <w:t xml:space="preserve"> of 91.0% (p</w:t>
      </w:r>
      <w:r w:rsidR="00641A7C">
        <w:t xml:space="preserve"> </w:t>
      </w:r>
      <w:r w:rsidR="00641A7C" w:rsidRPr="00641A7C">
        <w:t>=</w:t>
      </w:r>
      <w:r w:rsidR="00641A7C">
        <w:t xml:space="preserve"> </w:t>
      </w:r>
      <w:r w:rsidR="00641A7C" w:rsidRPr="00641A7C">
        <w:t>4.483</w:t>
      </w:r>
      <w:r w:rsidR="00641A7C">
        <w:t xml:space="preserve"> </w:t>
      </w:r>
      <w:r w:rsidR="00641A7C" w:rsidRPr="00641A7C">
        <w:t>×</w:t>
      </w:r>
      <w:r w:rsidR="00641A7C">
        <w:t xml:space="preserve"> </w:t>
      </w:r>
      <w:r w:rsidR="00641A7C" w:rsidRPr="00641A7C">
        <w:t>10</w:t>
      </w:r>
      <w:r w:rsidR="00641A7C" w:rsidRPr="00641A7C">
        <w:rPr>
          <w:vertAlign w:val="superscript"/>
        </w:rPr>
        <w:t>-8</w:t>
      </w:r>
      <w:r w:rsidR="00641A7C" w:rsidRPr="00641A7C">
        <w:t>). The robust and sustained</w:t>
      </w:r>
      <w:r w:rsidR="00641A7C">
        <w:t xml:space="preserve"> reduction of serum TTR achieved with patisiran in </w:t>
      </w:r>
      <w:proofErr w:type="spellStart"/>
      <w:r w:rsidR="00641A7C">
        <w:t>hATTR</w:t>
      </w:r>
      <w:proofErr w:type="spellEnd"/>
      <w:r w:rsidR="00641A7C">
        <w:t xml:space="preserve"> amyloidosis patients with disease progression after </w:t>
      </w:r>
      <w:r w:rsidR="00641A7C" w:rsidRPr="00641A7C">
        <w:t>orthoptic liver transplant</w:t>
      </w:r>
      <w:r w:rsidR="00641A7C">
        <w:t xml:space="preserve"> on this study was similar in magnitude to the reduction observed in Study ALN-TTR02-004,</w:t>
      </w:r>
      <w:bookmarkStart w:id="55" w:name="_Ref136429400"/>
      <w:r>
        <w:rPr>
          <w:rStyle w:val="FootnoteReference"/>
        </w:rPr>
        <w:footnoteReference w:id="8"/>
      </w:r>
      <w:bookmarkEnd w:id="55"/>
      <w:r w:rsidR="00641A7C">
        <w:t xml:space="preserve"> which did not include patients who had undergone </w:t>
      </w:r>
      <w:r w:rsidR="00641A7C" w:rsidRPr="00641A7C">
        <w:t>orthoptic liver transplant</w:t>
      </w:r>
      <w:r w:rsidR="00641A7C">
        <w:t>. This indicates that patisiran liver uptake and RNA</w:t>
      </w:r>
      <w:r>
        <w:t xml:space="preserve"> </w:t>
      </w:r>
      <w:r w:rsidRPr="00547D60">
        <w:t>interference</w:t>
      </w:r>
      <w:r w:rsidR="00641A7C">
        <w:t xml:space="preserve"> activity remains intact in orthoptic liver transplant patients and is not impacted by the concomitant administration of immunosuppressive agents.</w:t>
      </w:r>
    </w:p>
    <w:p w14:paraId="5E56A86F" w14:textId="246334A1" w:rsidR="00641A7C" w:rsidRDefault="00641A7C" w:rsidP="00547D60">
      <w:pPr>
        <w:ind w:left="720"/>
      </w:pPr>
      <w:r>
        <w:t>Patients showed improvement or stability at Month 12 in measures of neuropathy impairment (NIS), patient-reported measures of quality of life (Norfolk QoL-DN), autonomic neuropathy symptoms (COMPASS-31), activities of daily living and social participation limitations (R-ODS), and nutritional status (</w:t>
      </w:r>
      <w:proofErr w:type="spellStart"/>
      <w:r>
        <w:t>mBMI</w:t>
      </w:r>
      <w:proofErr w:type="spellEnd"/>
      <w:r>
        <w:t>), which was consistent with the findings of Study 004</w:t>
      </w:r>
      <w:r w:rsidR="00547D60">
        <w:t>.</w:t>
      </w:r>
      <w:r w:rsidR="00547D60">
        <w:fldChar w:fldCharType="begin"/>
      </w:r>
      <w:r w:rsidR="00547D60">
        <w:instrText xml:space="preserve"> NOTEREF _Ref136429400 \f \h </w:instrText>
      </w:r>
      <w:r w:rsidR="00547D60">
        <w:fldChar w:fldCharType="separate"/>
      </w:r>
      <w:r w:rsidR="00ED1F97" w:rsidRPr="00ED1F97">
        <w:rPr>
          <w:rStyle w:val="FootnoteReference"/>
        </w:rPr>
        <w:t>8</w:t>
      </w:r>
      <w:r w:rsidR="00547D60">
        <w:fldChar w:fldCharType="end"/>
      </w:r>
    </w:p>
    <w:p w14:paraId="3D8882E4" w14:textId="15C04A02" w:rsidR="00641A7C" w:rsidRDefault="00641A7C" w:rsidP="00547D60">
      <w:pPr>
        <w:ind w:left="720"/>
      </w:pPr>
      <w:r>
        <w:t>P</w:t>
      </w:r>
      <w:r w:rsidR="00547D60">
        <w:t>harmacokinetics</w:t>
      </w:r>
      <w:r>
        <w:t xml:space="preserve"> of patisiran in </w:t>
      </w:r>
      <w:proofErr w:type="spellStart"/>
      <w:r>
        <w:t>hATTR</w:t>
      </w:r>
      <w:proofErr w:type="spellEnd"/>
      <w:r>
        <w:t xml:space="preserve"> amyloidosis patients with disease progression after orthoptic liver transplant was consistent with the results of prior patisiran studies.</w:t>
      </w:r>
      <w:r w:rsidR="00547D60">
        <w:rPr>
          <w:rStyle w:val="FootnoteReference"/>
        </w:rPr>
        <w:footnoteReference w:id="9"/>
      </w:r>
      <w:r w:rsidR="00547D60">
        <w:t>,</w:t>
      </w:r>
      <w:r w:rsidR="00547D60">
        <w:rPr>
          <w:rStyle w:val="FootnoteReference"/>
        </w:rPr>
        <w:footnoteReference w:id="10"/>
      </w:r>
      <w:r>
        <w:t xml:space="preserve"> The similarity of the PK profiles of patisiran in non-transplant and post-transplant </w:t>
      </w:r>
      <w:proofErr w:type="spellStart"/>
      <w:r>
        <w:t>hATTR</w:t>
      </w:r>
      <w:proofErr w:type="spellEnd"/>
      <w:r>
        <w:t xml:space="preserve"> amyloidosis patients suggests that the liver uptake of patisiran is not influenced by liver transplantation. In addition, the consistent PK results of the current study relative to past studies also suggest the absence of drug-drug interaction between patisiran and concomitantly administered immunosuppressive drugs in patients in orthoptic liver transplant patients.</w:t>
      </w:r>
    </w:p>
    <w:p w14:paraId="39123321" w14:textId="245643AC" w:rsidR="00641A7C" w:rsidRDefault="00641A7C" w:rsidP="00547D60">
      <w:pPr>
        <w:ind w:left="720"/>
      </w:pPr>
      <w:r>
        <w:t xml:space="preserve">Overall, patisiran had an acceptable safety profile in patients with </w:t>
      </w:r>
      <w:proofErr w:type="spellStart"/>
      <w:r>
        <w:t>hATTR</w:t>
      </w:r>
      <w:proofErr w:type="spellEnd"/>
      <w:r>
        <w:t xml:space="preserve"> amyloidosis who had undergone orthoptic liver transplant. The nature and type of AEs were generally consistent with those commonly observed in patients with </w:t>
      </w:r>
      <w:proofErr w:type="spellStart"/>
      <w:r>
        <w:t>hATTR</w:t>
      </w:r>
      <w:proofErr w:type="spellEnd"/>
      <w:r>
        <w:t xml:space="preserve"> amyloidosis and the established safety profile of patisiran.</w:t>
      </w:r>
      <w:r w:rsidR="00547D60">
        <w:t>’</w:t>
      </w:r>
    </w:p>
    <w:p w14:paraId="691356AC" w14:textId="6AC8A1B7" w:rsidR="00641A7C" w:rsidRDefault="00641A7C" w:rsidP="00641A7C">
      <w:r>
        <w:t xml:space="preserve">In the study </w:t>
      </w:r>
      <w:proofErr w:type="spellStart"/>
      <w:r>
        <w:t>hATTR</w:t>
      </w:r>
      <w:proofErr w:type="spellEnd"/>
      <w:r>
        <w:t xml:space="preserve"> amyloidosis patients with disease progression after orthoptic liver transplant showed robust and sustained TTR reductions during treatment with patisiran, which were consistent with reductions observed in prior patisiran studies. Patients also showed improvement or stability at Month 12 in clinical measures of neuropathy impairment, patient-reported measures of quality of life, autonomic neuropathy symptoms, activities of daily living and social participation limitations, and nutritional status. Safety data indicate that patisiran had an acceptable safety profile in the treatment of </w:t>
      </w:r>
      <w:proofErr w:type="spellStart"/>
      <w:r>
        <w:t>hATTR</w:t>
      </w:r>
      <w:proofErr w:type="spellEnd"/>
      <w:r>
        <w:t xml:space="preserve"> amyloidosis patients with disease progression after orthoptic liver transplant.</w:t>
      </w:r>
    </w:p>
    <w:p w14:paraId="2DF0D527" w14:textId="0FB95266" w:rsidR="00547D60" w:rsidRDefault="00547D60" w:rsidP="00641A7C">
      <w:pPr>
        <w:rPr>
          <w:szCs w:val="22"/>
        </w:rPr>
      </w:pPr>
      <w:r>
        <w:t xml:space="preserve">The Delegate commented that </w:t>
      </w:r>
      <w:r>
        <w:rPr>
          <w:szCs w:val="22"/>
        </w:rPr>
        <w:t>in this patient population, patisiran demonstrated favourable efficacy and safety consistent with observations in other studies.</w:t>
      </w:r>
    </w:p>
    <w:p w14:paraId="44B9F811" w14:textId="77777777" w:rsidR="00547D60" w:rsidRDefault="00547D60" w:rsidP="00547D60">
      <w:pPr>
        <w:pStyle w:val="Heading5"/>
      </w:pPr>
      <w:r>
        <w:lastRenderedPageBreak/>
        <w:t>Other studies</w:t>
      </w:r>
    </w:p>
    <w:p w14:paraId="2D6E7B3E" w14:textId="69C8BF0D" w:rsidR="00547D60" w:rsidRDefault="00547D60" w:rsidP="00547D60">
      <w:r>
        <w:t>No dedicated studies in subjects with renal and hepatic impairment were performed with Onpattro.</w:t>
      </w:r>
    </w:p>
    <w:p w14:paraId="027AD5EA" w14:textId="562132A7" w:rsidR="00547D60" w:rsidRDefault="00BB2879" w:rsidP="00547D60">
      <w:r>
        <w:t>The Delegate noted that t</w:t>
      </w:r>
      <w:r w:rsidR="00547D60">
        <w:t>he oversea</w:t>
      </w:r>
      <w:r w:rsidR="003347F5">
        <w:t>s</w:t>
      </w:r>
      <w:r w:rsidR="00547D60">
        <w:t xml:space="preserve"> regulator raised </w:t>
      </w:r>
      <w:proofErr w:type="gramStart"/>
      <w:r w:rsidR="00547D60">
        <w:t>a number of</w:t>
      </w:r>
      <w:proofErr w:type="gramEnd"/>
      <w:r w:rsidR="00547D60">
        <w:t xml:space="preserve"> efficacy concerns, including requesting further data to support use in patients with advanced polyneuropathy and further data to support cardiac benefits.</w:t>
      </w:r>
    </w:p>
    <w:p w14:paraId="539ACBC6" w14:textId="3C933714" w:rsidR="00547D60" w:rsidRDefault="00547D60" w:rsidP="00547D60">
      <w:r>
        <w:t>After considering the sponsor’s responses to the major objections and other concerns raised during the</w:t>
      </w:r>
      <w:r w:rsidR="00BB2879">
        <w:t xml:space="preserve"> oversea</w:t>
      </w:r>
      <w:r w:rsidR="00E24DB3">
        <w:t>s</w:t>
      </w:r>
      <w:r w:rsidR="00BB2879">
        <w:t xml:space="preserve"> regulator</w:t>
      </w:r>
      <w:r>
        <w:t xml:space="preserve"> evaluation, </w:t>
      </w:r>
      <w:r w:rsidR="00BB2879">
        <w:t xml:space="preserve">the </w:t>
      </w:r>
      <w:r w:rsidR="00F96BD7">
        <w:t xml:space="preserve">evaluator </w:t>
      </w:r>
      <w:r>
        <w:t xml:space="preserve">concluded that the proposed indication was too broad and should be amended to the current approved indication in the </w:t>
      </w:r>
      <w:r w:rsidR="00BB2879">
        <w:t>Summary of product characteristics.</w:t>
      </w:r>
      <w:bookmarkStart w:id="56" w:name="_Ref136866747"/>
      <w:r w:rsidR="00BB2879">
        <w:rPr>
          <w:rStyle w:val="FootnoteReference"/>
        </w:rPr>
        <w:footnoteReference w:id="11"/>
      </w:r>
      <w:bookmarkEnd w:id="56"/>
    </w:p>
    <w:p w14:paraId="54C68742" w14:textId="77777777" w:rsidR="00BB2879" w:rsidRDefault="00BB2879" w:rsidP="00BB2879">
      <w:pPr>
        <w:pStyle w:val="Heading5"/>
      </w:pPr>
      <w:r>
        <w:t>Conclusions on clinical efficacy</w:t>
      </w:r>
    </w:p>
    <w:p w14:paraId="5F3FD1CE" w14:textId="3CE70507" w:rsidR="00BB2879" w:rsidRDefault="00BB2879" w:rsidP="00BB2879">
      <w:r>
        <w:t>The oversea</w:t>
      </w:r>
      <w:r w:rsidR="00F96BD7">
        <w:t>s</w:t>
      </w:r>
      <w:r>
        <w:t xml:space="preserve"> regulator noted:</w:t>
      </w:r>
    </w:p>
    <w:p w14:paraId="43384C9B" w14:textId="7674BCD7" w:rsidR="00BB2879" w:rsidRDefault="00BB2879" w:rsidP="00BB2879">
      <w:pPr>
        <w:ind w:left="720"/>
      </w:pPr>
      <w:r>
        <w:t xml:space="preserve">‘The study population in the pivotal study 004 was limited to subjects with Polyneuropathy Disability (PND) Scores of 0-IIIB </w:t>
      </w:r>
      <w:proofErr w:type="spellStart"/>
      <w:r>
        <w:t>hATTR</w:t>
      </w:r>
      <w:proofErr w:type="spellEnd"/>
      <w:r>
        <w:t>/FDP stage 1 and 2. It is acknowledged that the clinical data from study 004 shows a convincing difference between patisiran and placebo regardless of baseline disease stages at inclusion for the studied population. However, there is only very limited data in patients with more severe disease and it is therefore not found adequate to extrapolate the results from less severe to more advanced stages of the disease (PND stage IV/FAP stage 3 = non ambulatory patients).</w:t>
      </w:r>
    </w:p>
    <w:p w14:paraId="61DFB744" w14:textId="6A5F6C43" w:rsidR="00BB2879" w:rsidRDefault="00BB2879" w:rsidP="00BB2879">
      <w:pPr>
        <w:ind w:left="720"/>
      </w:pPr>
      <w:r>
        <w:t xml:space="preserve">Significant effects were seen on the primary and secondary endpoints related to polyneuropathy, but there are </w:t>
      </w:r>
      <w:proofErr w:type="gramStart"/>
      <w:r>
        <w:t>a number of</w:t>
      </w:r>
      <w:proofErr w:type="gramEnd"/>
      <w:r>
        <w:t xml:space="preserve"> other concerns related to these endpoints and the related results (see </w:t>
      </w:r>
      <w:r w:rsidR="00CE0755">
        <w:t>Limit of Quantitation</w:t>
      </w:r>
      <w:r>
        <w:t xml:space="preserve">). In addition, the study population was restricted to subjects with polyneuropathy but still ambulant, that is more severely affected subjects were excluded. Cardiac endpoints were only exploratory and subjects with a severe cardiac involvement were excluded, and since the applicant has proposed a broad indication of </w:t>
      </w:r>
      <w:r w:rsidR="00CE0755">
        <w:t>‘</w:t>
      </w:r>
      <w:r>
        <w:t xml:space="preserve">adult </w:t>
      </w:r>
      <w:proofErr w:type="spellStart"/>
      <w:r>
        <w:t>hATTR</w:t>
      </w:r>
      <w:proofErr w:type="spellEnd"/>
      <w:r w:rsidR="00CE0755">
        <w:t>’</w:t>
      </w:r>
      <w:r>
        <w:t xml:space="preserve"> this results in a major objection on the indication text, and several other concerns related to the indication.’</w:t>
      </w:r>
    </w:p>
    <w:p w14:paraId="5E868730" w14:textId="0861DC38" w:rsidR="00BB2879" w:rsidRDefault="00BB2879" w:rsidP="00BB2879">
      <w:r>
        <w:t>The oversea</w:t>
      </w:r>
      <w:r w:rsidR="00436034">
        <w:t>s</w:t>
      </w:r>
      <w:r>
        <w:t xml:space="preserve"> regulator considered that the presented data supports the following </w:t>
      </w:r>
      <w:proofErr w:type="gramStart"/>
      <w:r>
        <w:t>indication;</w:t>
      </w:r>
      <w:proofErr w:type="gramEnd"/>
      <w:r>
        <w:t xml:space="preserve"> ‘Onpattro is indicated for the treatment of hereditary transthyretin-mediated amyloidosis (</w:t>
      </w:r>
      <w:proofErr w:type="spellStart"/>
      <w:r>
        <w:t>hATTR</w:t>
      </w:r>
      <w:proofErr w:type="spellEnd"/>
      <w:r>
        <w:t xml:space="preserve"> amyloidosis) in adult patients with stage 1 or stage 2 polyneuropathy.’</w:t>
      </w:r>
    </w:p>
    <w:p w14:paraId="24B3FA2C" w14:textId="2FFD2828" w:rsidR="00BB2879" w:rsidRDefault="00BB2879" w:rsidP="00BB2879">
      <w:r>
        <w:t>The TGA evaluator agreed with the oversea</w:t>
      </w:r>
      <w:r w:rsidR="00EE61E4">
        <w:t>s</w:t>
      </w:r>
      <w:r>
        <w:t xml:space="preserve"> regulator conclusions that the clinical data available tends to suggest that patisiran </w:t>
      </w:r>
      <w:r w:rsidRPr="00BB2879">
        <w:t xml:space="preserve">is effective for treatment of </w:t>
      </w:r>
      <w:proofErr w:type="spellStart"/>
      <w:r w:rsidRPr="00BB2879">
        <w:t>hATTR</w:t>
      </w:r>
      <w:proofErr w:type="spellEnd"/>
      <w:r w:rsidRPr="00BB2879">
        <w:t xml:space="preserve"> amyloidosis patients with stage 1 or 2 polyneuropathy.</w:t>
      </w:r>
    </w:p>
    <w:p w14:paraId="04BBDB7A" w14:textId="083B7E06" w:rsidR="00BB2879" w:rsidRPr="00BB2879" w:rsidRDefault="00BB2879" w:rsidP="00E1504B">
      <w:pPr>
        <w:pStyle w:val="Heading4"/>
      </w:pPr>
      <w:bookmarkStart w:id="57" w:name="_Toc144277334"/>
      <w:r w:rsidRPr="00BB2879">
        <w:t>Safety</w:t>
      </w:r>
      <w:bookmarkEnd w:id="57"/>
    </w:p>
    <w:p w14:paraId="35DF7944" w14:textId="679E3B41" w:rsidR="00BB2879" w:rsidRPr="00BB2879" w:rsidRDefault="00BB2879" w:rsidP="00E1504B">
      <w:r w:rsidRPr="00BB2879">
        <w:t xml:space="preserve">It is noted in </w:t>
      </w:r>
      <w:r w:rsidR="00E1504B">
        <w:t>oversea</w:t>
      </w:r>
      <w:r w:rsidR="00D23BB6">
        <w:t>s</w:t>
      </w:r>
      <w:r w:rsidR="00E1504B">
        <w:t xml:space="preserve"> regulator</w:t>
      </w:r>
      <w:r w:rsidRPr="00BB2879">
        <w:t xml:space="preserve"> </w:t>
      </w:r>
      <w:r w:rsidR="00E1504B">
        <w:t>r</w:t>
      </w:r>
      <w:r w:rsidRPr="00BB2879">
        <w:t>eport that:</w:t>
      </w:r>
    </w:p>
    <w:p w14:paraId="593BFB09" w14:textId="2D3842D3" w:rsidR="00BB2879" w:rsidRPr="00E1504B" w:rsidRDefault="00E1504B" w:rsidP="00E1504B">
      <w:pPr>
        <w:ind w:left="720"/>
      </w:pPr>
      <w:r>
        <w:t>‘</w:t>
      </w:r>
      <w:r w:rsidR="00BB2879" w:rsidRPr="00E1504B">
        <w:t xml:space="preserve">The safety database includes 218 patients with </w:t>
      </w:r>
      <w:proofErr w:type="spellStart"/>
      <w:r w:rsidR="00BB2879" w:rsidRPr="00E1504B">
        <w:t>hATTR</w:t>
      </w:r>
      <w:proofErr w:type="spellEnd"/>
      <w:r w:rsidR="00BB2879" w:rsidRPr="00E1504B">
        <w:t xml:space="preserve"> amyloidosis with polyneuropathy exposed to </w:t>
      </w:r>
      <w:r>
        <w:t>Onpattro</w:t>
      </w:r>
      <w:r w:rsidR="00BB2879" w:rsidRPr="00E1504B">
        <w:t>. 179 patients have been dosed for at least 12 months and 101 for at least 24 months. In addition, 48 patients have been exposed in an expanded access program in the U</w:t>
      </w:r>
      <w:r>
        <w:t>nited States of America</w:t>
      </w:r>
      <w:r w:rsidR="00BB2879" w:rsidRPr="00E1504B">
        <w:t>. Overall, the safety database is small, but taking into consideration the rarity of the disease, it is considered acceptable.</w:t>
      </w:r>
    </w:p>
    <w:p w14:paraId="6D1A74EA" w14:textId="039D540C" w:rsidR="00BB2879" w:rsidRPr="00E1504B" w:rsidRDefault="00BB2879" w:rsidP="00E1504B">
      <w:pPr>
        <w:ind w:left="720"/>
      </w:pPr>
      <w:r w:rsidRPr="00E1504B">
        <w:lastRenderedPageBreak/>
        <w:t xml:space="preserve">However, long-term safety data are still limited. In this respect, the applicant has committed to conduct, post approval, a prospective observational study to monitor and assess the long-term safety of </w:t>
      </w:r>
      <w:r w:rsidR="00E1504B">
        <w:t>Onpattro</w:t>
      </w:r>
      <w:r w:rsidRPr="00E1504B">
        <w:t xml:space="preserve"> in </w:t>
      </w:r>
      <w:proofErr w:type="spellStart"/>
      <w:r w:rsidRPr="00E1504B">
        <w:t>hATTR</w:t>
      </w:r>
      <w:proofErr w:type="spellEnd"/>
      <w:r w:rsidRPr="00E1504B">
        <w:t xml:space="preserve"> amyloidosis patients. The main </w:t>
      </w:r>
      <w:r w:rsidR="00E1504B">
        <w:t>adverse events</w:t>
      </w:r>
      <w:r w:rsidRPr="00E1504B">
        <w:t xml:space="preserve"> were </w:t>
      </w:r>
      <w:r w:rsidR="00E1504B">
        <w:t>infusion related reactions</w:t>
      </w:r>
      <w:r w:rsidRPr="00E1504B">
        <w:t>, which are manageable with premedication and slowing or temporary stopping of infusion if necessary.</w:t>
      </w:r>
    </w:p>
    <w:p w14:paraId="2B041D62" w14:textId="28FEC171" w:rsidR="00BB2879" w:rsidRPr="00E1504B" w:rsidRDefault="00BB2879" w:rsidP="00E1504B">
      <w:pPr>
        <w:ind w:left="720"/>
      </w:pPr>
      <w:r w:rsidRPr="00E1504B">
        <w:t xml:space="preserve">In addition consequences of </w:t>
      </w:r>
      <w:proofErr w:type="gramStart"/>
      <w:r w:rsidRPr="00E1504B">
        <w:t>vitamin</w:t>
      </w:r>
      <w:proofErr w:type="gramEnd"/>
      <w:r w:rsidRPr="00E1504B">
        <w:t xml:space="preserve"> A deficiency and hepatic disorders are considered potential risks and are appropriately captured in the RMP</w:t>
      </w:r>
      <w:r w:rsidR="007249A1">
        <w:t xml:space="preserve"> (risk management plan)</w:t>
      </w:r>
      <w:r w:rsidRPr="00E1504B">
        <w:t>.</w:t>
      </w:r>
      <w:r w:rsidR="00E1504B">
        <w:t>’</w:t>
      </w:r>
    </w:p>
    <w:p w14:paraId="57E8137D" w14:textId="6C7EB8F8" w:rsidR="00BB2879" w:rsidRPr="00E1504B" w:rsidRDefault="00BB2879" w:rsidP="00E1504B">
      <w:r w:rsidRPr="00E1504B">
        <w:t xml:space="preserve">The TGA </w:t>
      </w:r>
      <w:r w:rsidR="001A4A92">
        <w:t>e</w:t>
      </w:r>
      <w:r w:rsidRPr="00E1504B">
        <w:t>valuator noted that a (</w:t>
      </w:r>
      <w:r w:rsidR="007249A1" w:rsidRPr="007249A1">
        <w:t>post</w:t>
      </w:r>
      <w:r w:rsidR="007249A1">
        <w:t>-</w:t>
      </w:r>
      <w:r w:rsidR="007249A1" w:rsidRPr="007249A1">
        <w:t>authori</w:t>
      </w:r>
      <w:r w:rsidR="007249A1">
        <w:t>s</w:t>
      </w:r>
      <w:r w:rsidR="007249A1" w:rsidRPr="007249A1">
        <w:t>ation safety study</w:t>
      </w:r>
      <w:r w:rsidRPr="00E1504B">
        <w:t xml:space="preserve">) </w:t>
      </w:r>
      <w:r w:rsidR="001A4A92">
        <w:t>protocol</w:t>
      </w:r>
      <w:r w:rsidRPr="00E1504B">
        <w:t xml:space="preserve"> </w:t>
      </w:r>
      <w:r w:rsidR="001A4A92">
        <w:t>p</w:t>
      </w:r>
      <w:r w:rsidRPr="00E1504B">
        <w:t xml:space="preserve">rospective observational study to monitor and assess the safety of Onpattro </w:t>
      </w:r>
      <w:r w:rsidR="001A4A92">
        <w:t>(</w:t>
      </w:r>
      <w:r w:rsidRPr="00E1504B">
        <w:t>patisiran</w:t>
      </w:r>
      <w:r w:rsidR="001A4A92">
        <w:t>)</w:t>
      </w:r>
      <w:r w:rsidRPr="00E1504B">
        <w:t xml:space="preserve"> in a </w:t>
      </w:r>
      <w:proofErr w:type="gramStart"/>
      <w:r w:rsidRPr="00E1504B">
        <w:t>real</w:t>
      </w:r>
      <w:r w:rsidR="007249A1">
        <w:t xml:space="preserve"> </w:t>
      </w:r>
      <w:r w:rsidRPr="00E1504B">
        <w:t>world</w:t>
      </w:r>
      <w:proofErr w:type="gramEnd"/>
      <w:r w:rsidRPr="00E1504B">
        <w:t xml:space="preserve"> cohort of </w:t>
      </w:r>
      <w:proofErr w:type="spellStart"/>
      <w:r w:rsidRPr="00E1504B">
        <w:t>hATTR</w:t>
      </w:r>
      <w:proofErr w:type="spellEnd"/>
      <w:r w:rsidRPr="00E1504B">
        <w:t xml:space="preserve"> amyloidosis patients has been submitted in this application, which appears to be the study referred to above.</w:t>
      </w:r>
    </w:p>
    <w:p w14:paraId="7D4088E9" w14:textId="548AF09D" w:rsidR="00BB2879" w:rsidRPr="00E1504B" w:rsidRDefault="00BB2879" w:rsidP="00E1504B">
      <w:r w:rsidRPr="00E1504B">
        <w:t>The submission provided the following:</w:t>
      </w:r>
    </w:p>
    <w:p w14:paraId="2FD13F11" w14:textId="57E625F7" w:rsidR="00BB2879" w:rsidRPr="00E1504B" w:rsidRDefault="00BB2879" w:rsidP="001A4A92">
      <w:pPr>
        <w:pStyle w:val="ListBullet"/>
      </w:pPr>
      <w:r w:rsidRPr="00E1504B">
        <w:t>Post-</w:t>
      </w:r>
      <w:r w:rsidR="007249A1">
        <w:t>a</w:t>
      </w:r>
      <w:r w:rsidRPr="00E1504B">
        <w:t xml:space="preserve">uthorisation </w:t>
      </w:r>
      <w:r w:rsidR="007249A1">
        <w:t>s</w:t>
      </w:r>
      <w:r w:rsidRPr="00E1504B">
        <w:t xml:space="preserve">afety </w:t>
      </w:r>
      <w:r w:rsidR="007249A1">
        <w:t>s</w:t>
      </w:r>
      <w:r w:rsidRPr="00E1504B">
        <w:t xml:space="preserve">tudy </w:t>
      </w:r>
      <w:r w:rsidR="001A4A92">
        <w:t>protocol p</w:t>
      </w:r>
      <w:r w:rsidRPr="00E1504B">
        <w:t xml:space="preserve">rospective observational study to monitor and assess the safety of Onpattro </w:t>
      </w:r>
      <w:r w:rsidR="001A4A92">
        <w:t>(</w:t>
      </w:r>
      <w:r w:rsidRPr="00E1504B">
        <w:t>patisiran</w:t>
      </w:r>
      <w:r w:rsidR="001A4A92">
        <w:t>)</w:t>
      </w:r>
      <w:r w:rsidRPr="00E1504B">
        <w:t xml:space="preserve"> in a </w:t>
      </w:r>
      <w:proofErr w:type="gramStart"/>
      <w:r w:rsidR="00AD4EC7" w:rsidRPr="00E1504B">
        <w:t>real</w:t>
      </w:r>
      <w:r w:rsidR="00AD4EC7">
        <w:t xml:space="preserve"> world</w:t>
      </w:r>
      <w:proofErr w:type="gramEnd"/>
      <w:r w:rsidRPr="00E1504B">
        <w:t xml:space="preserve"> cohort of </w:t>
      </w:r>
      <w:proofErr w:type="spellStart"/>
      <w:r w:rsidRPr="00E1504B">
        <w:t>hATTR</w:t>
      </w:r>
      <w:proofErr w:type="spellEnd"/>
      <w:r w:rsidRPr="00E1504B">
        <w:t xml:space="preserve"> amyloidosis patients, dated 17 August 2020 </w:t>
      </w:r>
    </w:p>
    <w:p w14:paraId="096D42B9" w14:textId="6D95D126" w:rsidR="00BB2879" w:rsidRPr="00E1504B" w:rsidRDefault="00BB2879" w:rsidP="001A4A92">
      <w:pPr>
        <w:pStyle w:val="ListBullet"/>
      </w:pPr>
      <w:r w:rsidRPr="00E1504B">
        <w:t xml:space="preserve">Protocol for </w:t>
      </w:r>
      <w:r w:rsidR="001A4A92">
        <w:t>n</w:t>
      </w:r>
      <w:r w:rsidRPr="00E1504B">
        <w:t xml:space="preserve">on-interventional study protocol </w:t>
      </w:r>
      <w:r w:rsidR="001A4A92">
        <w:t xml:space="preserve">Study </w:t>
      </w:r>
      <w:r w:rsidRPr="00E1504B">
        <w:t xml:space="preserve">ALN-TTR02-010 </w:t>
      </w:r>
      <w:r w:rsidR="007249A1">
        <w:t>p</w:t>
      </w:r>
      <w:r w:rsidRPr="00E1504B">
        <w:t xml:space="preserve">atisiran </w:t>
      </w:r>
      <w:r w:rsidR="007249A1">
        <w:t>p</w:t>
      </w:r>
      <w:r w:rsidRPr="00E1504B">
        <w:t xml:space="preserve">regnancy </w:t>
      </w:r>
      <w:r w:rsidR="007249A1">
        <w:t>s</w:t>
      </w:r>
      <w:r w:rsidRPr="00E1504B">
        <w:t xml:space="preserve">urveillance </w:t>
      </w:r>
      <w:r w:rsidR="007249A1">
        <w:t>p</w:t>
      </w:r>
      <w:r w:rsidRPr="00E1504B">
        <w:t xml:space="preserve">rogram, dated 6 September 2019 </w:t>
      </w:r>
    </w:p>
    <w:p w14:paraId="3FA57AFD" w14:textId="6457C295" w:rsidR="00BB2879" w:rsidRPr="00E1504B" w:rsidRDefault="007249A1" w:rsidP="001A4A92">
      <w:pPr>
        <w:pStyle w:val="ListBullet"/>
      </w:pPr>
      <w:r w:rsidRPr="00E1504B">
        <w:t>Post-</w:t>
      </w:r>
      <w:r>
        <w:t>a</w:t>
      </w:r>
      <w:r w:rsidRPr="00E1504B">
        <w:t xml:space="preserve">uthorisation </w:t>
      </w:r>
      <w:r>
        <w:t>s</w:t>
      </w:r>
      <w:r w:rsidRPr="00E1504B">
        <w:t xml:space="preserve">afety </w:t>
      </w:r>
      <w:r>
        <w:t>s</w:t>
      </w:r>
      <w:r w:rsidRPr="00E1504B">
        <w:t>tudy</w:t>
      </w:r>
      <w:r w:rsidR="00BB2879" w:rsidRPr="00E1504B">
        <w:t xml:space="preserve"> protocol assessment report for </w:t>
      </w:r>
      <w:r>
        <w:t>s</w:t>
      </w:r>
      <w:r w:rsidR="00BB2879" w:rsidRPr="00E1504B">
        <w:t xml:space="preserve">tudy protocol ALN-TTR02-010, dated 28 January 2021 </w:t>
      </w:r>
    </w:p>
    <w:p w14:paraId="4A6C1633" w14:textId="6C9FFB8F" w:rsidR="00BB2879" w:rsidRPr="00E1504B" w:rsidRDefault="00BB2879" w:rsidP="001A4A92">
      <w:pPr>
        <w:pStyle w:val="ListBullet"/>
      </w:pPr>
      <w:r w:rsidRPr="00E1504B">
        <w:t xml:space="preserve">Observational study protocol ALN-TTRr02-013 </w:t>
      </w:r>
      <w:proofErr w:type="spellStart"/>
      <w:r w:rsidRPr="00E1504B">
        <w:t>ConTTRibute</w:t>
      </w:r>
      <w:proofErr w:type="spellEnd"/>
      <w:r w:rsidRPr="00E1504B">
        <w:t xml:space="preserve">: A </w:t>
      </w:r>
      <w:r w:rsidR="007249A1">
        <w:t>g</w:t>
      </w:r>
      <w:r w:rsidRPr="00E1504B">
        <w:t xml:space="preserve">lobal </w:t>
      </w:r>
      <w:r w:rsidR="007249A1">
        <w:t>o</w:t>
      </w:r>
      <w:r w:rsidRPr="00E1504B">
        <w:t xml:space="preserve">bservational </w:t>
      </w:r>
      <w:proofErr w:type="spellStart"/>
      <w:r w:rsidR="007249A1">
        <w:t>m</w:t>
      </w:r>
      <w:r w:rsidRPr="00E1504B">
        <w:t>ulticenter</w:t>
      </w:r>
      <w:proofErr w:type="spellEnd"/>
      <w:r w:rsidRPr="00E1504B">
        <w:t xml:space="preserve"> </w:t>
      </w:r>
      <w:r w:rsidR="00AD4EC7">
        <w:t>l</w:t>
      </w:r>
      <w:r w:rsidR="00AD4EC7" w:rsidRPr="00E1504B">
        <w:t>ong</w:t>
      </w:r>
      <w:r w:rsidR="00AD4EC7">
        <w:t>-term</w:t>
      </w:r>
      <w:r w:rsidRPr="00E1504B">
        <w:t xml:space="preserve"> </w:t>
      </w:r>
      <w:r w:rsidR="007249A1">
        <w:t>s</w:t>
      </w:r>
      <w:r w:rsidRPr="00E1504B">
        <w:t xml:space="preserve">tudy of </w:t>
      </w:r>
      <w:r w:rsidR="007249A1">
        <w:t>p</w:t>
      </w:r>
      <w:r w:rsidRPr="00E1504B">
        <w:t xml:space="preserve">atients with </w:t>
      </w:r>
      <w:r w:rsidR="007249A1">
        <w:t>t</w:t>
      </w:r>
      <w:r w:rsidRPr="00E1504B">
        <w:t xml:space="preserve">ransthyretin </w:t>
      </w:r>
      <w:r w:rsidR="007249A1">
        <w:t>m</w:t>
      </w:r>
      <w:r w:rsidRPr="00E1504B">
        <w:t xml:space="preserve">ediated </w:t>
      </w:r>
      <w:r w:rsidR="007249A1">
        <w:t>a</w:t>
      </w:r>
      <w:r w:rsidRPr="00E1504B">
        <w:t xml:space="preserve">myloidosis, dated 20 March 2020 </w:t>
      </w:r>
    </w:p>
    <w:p w14:paraId="1463CABF" w14:textId="5AF9EE37" w:rsidR="001A4A92" w:rsidRPr="001A4A92" w:rsidRDefault="001A4A92" w:rsidP="00F74422">
      <w:pPr>
        <w:pStyle w:val="Heading5"/>
      </w:pPr>
      <w:r w:rsidRPr="001A4A92">
        <w:t>Post</w:t>
      </w:r>
      <w:r w:rsidR="007249A1">
        <w:t xml:space="preserve"> a</w:t>
      </w:r>
      <w:r w:rsidRPr="001A4A92">
        <w:t xml:space="preserve">uthorisation </w:t>
      </w:r>
      <w:r w:rsidR="007249A1">
        <w:t>s</w:t>
      </w:r>
      <w:r w:rsidRPr="001A4A92">
        <w:t xml:space="preserve">afety </w:t>
      </w:r>
      <w:r w:rsidR="007249A1">
        <w:t>s</w:t>
      </w:r>
      <w:r w:rsidRPr="001A4A92">
        <w:t>tudy</w:t>
      </w:r>
    </w:p>
    <w:p w14:paraId="5365B2B0" w14:textId="09D40B28" w:rsidR="001A4A92" w:rsidRPr="001A4A92" w:rsidRDefault="001A4A92" w:rsidP="001A4A92">
      <w:r w:rsidRPr="001A4A92">
        <w:t>The objective of this study is to assess the safety of Onpattro</w:t>
      </w:r>
      <w:r w:rsidR="00F74422">
        <w:t xml:space="preserve"> </w:t>
      </w:r>
      <w:r w:rsidRPr="001A4A92">
        <w:t>in real</w:t>
      </w:r>
      <w:r w:rsidR="00F74422">
        <w:t xml:space="preserve"> </w:t>
      </w:r>
      <w:r w:rsidRPr="001A4A92">
        <w:t xml:space="preserve">world clinical practice by creating and monitoring a longitudinal cohort of hereditary transthyretin-mediated amyloidosis patients, including both patients treated with </w:t>
      </w:r>
      <w:r w:rsidR="00F74422">
        <w:t>Onpattro</w:t>
      </w:r>
      <w:r w:rsidRPr="001A4A92">
        <w:t xml:space="preserve"> and comparator patients (treated with a competitor and untreated), following local standard of care.</w:t>
      </w:r>
    </w:p>
    <w:p w14:paraId="7F84F7B4" w14:textId="3A99245C" w:rsidR="001A4A92" w:rsidRPr="001A4A92" w:rsidRDefault="001A4A92" w:rsidP="001A4A92">
      <w:r w:rsidRPr="001A4A92">
        <w:t xml:space="preserve">The primary objective of the study is to characterise the safety of </w:t>
      </w:r>
      <w:r w:rsidR="00A37028">
        <w:t>Onpattro</w:t>
      </w:r>
      <w:r w:rsidRPr="001A4A92">
        <w:t xml:space="preserve"> under real</w:t>
      </w:r>
      <w:r w:rsidR="001E5385">
        <w:t xml:space="preserve"> </w:t>
      </w:r>
      <w:r w:rsidRPr="001A4A92">
        <w:t>world conditions using composite measures of protocol</w:t>
      </w:r>
      <w:r w:rsidR="001E5385">
        <w:t xml:space="preserve"> </w:t>
      </w:r>
      <w:r w:rsidRPr="001A4A92">
        <w:t>specified safety events of interest (</w:t>
      </w:r>
      <w:r w:rsidR="00B606EF">
        <w:t>for example,</w:t>
      </w:r>
      <w:r w:rsidRPr="001A4A92">
        <w:t xml:space="preserve"> hepatic</w:t>
      </w:r>
      <w:r w:rsidR="00B606EF">
        <w:t xml:space="preserve"> events</w:t>
      </w:r>
      <w:r w:rsidRPr="001A4A92">
        <w:t xml:space="preserve">) in </w:t>
      </w:r>
      <w:proofErr w:type="spellStart"/>
      <w:r w:rsidRPr="001A4A92">
        <w:t>hATTR</w:t>
      </w:r>
      <w:proofErr w:type="spellEnd"/>
      <w:r w:rsidRPr="001A4A92">
        <w:t xml:space="preserve"> amyloidosis patients exposed to </w:t>
      </w:r>
      <w:r w:rsidR="00B606EF">
        <w:t>Onpattro</w:t>
      </w:r>
      <w:r w:rsidRPr="001A4A92">
        <w:t>.</w:t>
      </w:r>
    </w:p>
    <w:p w14:paraId="2B1FB891" w14:textId="11259D2A" w:rsidR="001A4A92" w:rsidRPr="001A4A92" w:rsidRDefault="001A4A92" w:rsidP="001A4A92">
      <w:r w:rsidRPr="001A4A92">
        <w:t>The secondary objectives of the study are:</w:t>
      </w:r>
    </w:p>
    <w:p w14:paraId="7AF85608" w14:textId="049E6ADA" w:rsidR="001A4A92" w:rsidRPr="001A4A92" w:rsidRDefault="001A4A92" w:rsidP="00A37028">
      <w:pPr>
        <w:pStyle w:val="ListBullet"/>
      </w:pPr>
      <w:r w:rsidRPr="001A4A92">
        <w:t xml:space="preserve">To characterise the safety of </w:t>
      </w:r>
      <w:r w:rsidR="00B606EF">
        <w:t>Onpattro</w:t>
      </w:r>
      <w:r w:rsidRPr="001A4A92">
        <w:t xml:space="preserve"> in sub-populations (</w:t>
      </w:r>
      <w:r w:rsidR="00B606EF">
        <w:t>for example</w:t>
      </w:r>
      <w:r w:rsidRPr="001A4A92">
        <w:t>, patients administered home infusions, patients with prior liver transplant, hepatic impairment, and renal impairment)</w:t>
      </w:r>
    </w:p>
    <w:p w14:paraId="15323D18" w14:textId="7A5444A4" w:rsidR="001A4A92" w:rsidRPr="001A4A92" w:rsidRDefault="001A4A92" w:rsidP="00A37028">
      <w:pPr>
        <w:pStyle w:val="ListBullet"/>
      </w:pPr>
      <w:r w:rsidRPr="001A4A92">
        <w:t xml:space="preserve">To describe epidemiological and clinical characteristics of </w:t>
      </w:r>
      <w:proofErr w:type="spellStart"/>
      <w:r w:rsidRPr="001A4A92">
        <w:t>hATTR</w:t>
      </w:r>
      <w:proofErr w:type="spellEnd"/>
      <w:r w:rsidRPr="001A4A92">
        <w:t xml:space="preserve"> amyloidosis patients, and patients treated with </w:t>
      </w:r>
      <w:r w:rsidR="00B606EF">
        <w:t>Onpattro</w:t>
      </w:r>
      <w:r w:rsidRPr="001A4A92">
        <w:t xml:space="preserve"> in a </w:t>
      </w:r>
      <w:proofErr w:type="gramStart"/>
      <w:r w:rsidRPr="001A4A92">
        <w:t>real</w:t>
      </w:r>
      <w:r w:rsidR="00B606EF">
        <w:t xml:space="preserve"> </w:t>
      </w:r>
      <w:r w:rsidRPr="001A4A92">
        <w:t>world</w:t>
      </w:r>
      <w:proofErr w:type="gramEnd"/>
      <w:r w:rsidRPr="001A4A92">
        <w:t xml:space="preserve"> </w:t>
      </w:r>
      <w:r w:rsidR="00AD4EC7" w:rsidRPr="001A4A92">
        <w:t>setting.</w:t>
      </w:r>
    </w:p>
    <w:p w14:paraId="67C56189" w14:textId="4FE0E2DC" w:rsidR="001A4A92" w:rsidRPr="001A4A92" w:rsidRDefault="001A4A92" w:rsidP="00A37028">
      <w:pPr>
        <w:pStyle w:val="ListBullet"/>
      </w:pPr>
      <w:r w:rsidRPr="001A4A92">
        <w:t xml:space="preserve">To evaluate information from all pregnancies including pregnancy outcomes and selected infant </w:t>
      </w:r>
      <w:r w:rsidR="00AD4EC7" w:rsidRPr="001A4A92">
        <w:t>outcomes.</w:t>
      </w:r>
    </w:p>
    <w:p w14:paraId="3B116C5A" w14:textId="298817C2" w:rsidR="001A4A92" w:rsidRPr="001A4A92" w:rsidRDefault="001A4A92" w:rsidP="001A4A92">
      <w:r w:rsidRPr="001A4A92">
        <w:t xml:space="preserve">This is a multinational, non-interventional, observational study conducted over a period of 10 years to evaluate the safety of </w:t>
      </w:r>
      <w:r w:rsidR="00B606EF">
        <w:t>Onpattro</w:t>
      </w:r>
      <w:r w:rsidRPr="001A4A92">
        <w:t xml:space="preserve"> in </w:t>
      </w:r>
      <w:proofErr w:type="spellStart"/>
      <w:r w:rsidRPr="001A4A92">
        <w:t>hATTR</w:t>
      </w:r>
      <w:proofErr w:type="spellEnd"/>
      <w:r w:rsidRPr="001A4A92">
        <w:t xml:space="preserve"> amyloidosis patients exposed to </w:t>
      </w:r>
      <w:r w:rsidR="00B606EF">
        <w:t>Onpattro</w:t>
      </w:r>
      <w:r w:rsidRPr="001A4A92">
        <w:t xml:space="preserve"> under real</w:t>
      </w:r>
      <w:r w:rsidR="00B606EF">
        <w:t xml:space="preserve"> </w:t>
      </w:r>
      <w:r w:rsidRPr="001A4A92">
        <w:t xml:space="preserve">world conditions. This protocol does not recommend the use of any specific treatments. No study medication is provided as part of participation. The study will use epidemiological cohort techniques to describe the epidemiological and clinical characteristics of </w:t>
      </w:r>
      <w:proofErr w:type="spellStart"/>
      <w:r w:rsidRPr="001A4A92">
        <w:t>hATTR</w:t>
      </w:r>
      <w:proofErr w:type="spellEnd"/>
      <w:r w:rsidRPr="001A4A92">
        <w:t xml:space="preserve"> amyloidosis patients globally, including Europe (</w:t>
      </w:r>
      <w:r w:rsidR="00B606EF">
        <w:t>for example</w:t>
      </w:r>
      <w:r w:rsidRPr="001A4A92">
        <w:t xml:space="preserve">, France, Germany, Italy, </w:t>
      </w:r>
      <w:r w:rsidRPr="001A4A92">
        <w:lastRenderedPageBreak/>
        <w:t xml:space="preserve">Netherlands, Portugal, Spain, </w:t>
      </w:r>
      <w:proofErr w:type="gramStart"/>
      <w:r w:rsidRPr="001A4A92">
        <w:t>Sweden</w:t>
      </w:r>
      <w:proofErr w:type="gramEnd"/>
      <w:r w:rsidRPr="001A4A92">
        <w:t xml:space="preserve"> and United Kingdom), and the United States. Patients will be enrolled during a </w:t>
      </w:r>
      <w:proofErr w:type="gramStart"/>
      <w:r w:rsidR="007249A1">
        <w:t>two</w:t>
      </w:r>
      <w:r w:rsidRPr="001A4A92">
        <w:t xml:space="preserve"> year</w:t>
      </w:r>
      <w:proofErr w:type="gramEnd"/>
      <w:r w:rsidRPr="001A4A92">
        <w:t xml:space="preserve"> period (to be extended if necessary based on actual enrolment).</w:t>
      </w:r>
    </w:p>
    <w:p w14:paraId="267696BB" w14:textId="013A1ADA" w:rsidR="001A4A92" w:rsidRPr="001A4A92" w:rsidRDefault="001A4A92" w:rsidP="001A4A92">
      <w:r w:rsidRPr="001A4A92">
        <w:t xml:space="preserve">The study will enrol approximately 300 </w:t>
      </w:r>
      <w:proofErr w:type="spellStart"/>
      <w:r w:rsidRPr="001A4A92">
        <w:t>hATTR</w:t>
      </w:r>
      <w:proofErr w:type="spellEnd"/>
      <w:r w:rsidRPr="001A4A92">
        <w:t xml:space="preserve"> amyloidosis patients regardless of their treatment status. This is estimated to result in approximately 150 </w:t>
      </w:r>
      <w:r w:rsidR="00B606EF">
        <w:t>Onpattro</w:t>
      </w:r>
      <w:r w:rsidRPr="001A4A92">
        <w:t xml:space="preserve"> exposed patients. Inclusion criteria are broad: </w:t>
      </w:r>
      <w:r w:rsidRPr="007249A1">
        <w:t>confirmed</w:t>
      </w:r>
      <w:r w:rsidRPr="001A4A92">
        <w:t xml:space="preserve"> diagnosis of </w:t>
      </w:r>
      <w:proofErr w:type="spellStart"/>
      <w:r w:rsidRPr="001A4A92">
        <w:t>hATTR</w:t>
      </w:r>
      <w:proofErr w:type="spellEnd"/>
      <w:r w:rsidRPr="001A4A92">
        <w:t xml:space="preserve"> amyloidosis and informed consent.</w:t>
      </w:r>
    </w:p>
    <w:p w14:paraId="2E815C33" w14:textId="18184A65" w:rsidR="001A4A92" w:rsidRPr="001A4A92" w:rsidRDefault="00B606EF" w:rsidP="00B606EF">
      <w:pPr>
        <w:pStyle w:val="Heading6"/>
      </w:pPr>
      <w:r>
        <w:t>Study</w:t>
      </w:r>
      <w:r w:rsidR="001A4A92" w:rsidRPr="001A4A92">
        <w:t xml:space="preserve"> ALN-TTR02-010</w:t>
      </w:r>
    </w:p>
    <w:p w14:paraId="33BAE952" w14:textId="5A0BA15C" w:rsidR="001A4A92" w:rsidRPr="001A4A92" w:rsidRDefault="001A4A92" w:rsidP="001A4A92">
      <w:r w:rsidRPr="001A4A92">
        <w:t xml:space="preserve">There are no available data on the use and safety of </w:t>
      </w:r>
      <w:r w:rsidR="00B606EF">
        <w:t>Onpattro</w:t>
      </w:r>
      <w:r w:rsidRPr="001A4A92">
        <w:t xml:space="preserve"> in pregnant women. </w:t>
      </w:r>
      <w:r w:rsidR="00B606EF">
        <w:t>Onpattro</w:t>
      </w:r>
      <w:r w:rsidRPr="001A4A92">
        <w:t xml:space="preserve"> leads to a decrease in serum vitamin A levels. Vitamin A is essential for normal embryofoetal development.</w:t>
      </w:r>
    </w:p>
    <w:p w14:paraId="2495ABA2" w14:textId="71AD3D38" w:rsidR="001A4A92" w:rsidRPr="001A4A92" w:rsidRDefault="00E605F5" w:rsidP="001A4A92">
      <w:r>
        <w:t>Study</w:t>
      </w:r>
      <w:r w:rsidRPr="001A4A92">
        <w:t xml:space="preserve"> ALN-TTR02-010</w:t>
      </w:r>
      <w:r w:rsidR="001A4A92" w:rsidRPr="001A4A92">
        <w:t xml:space="preserve"> is an observational program that will collect primary data on pregnant women from the US, the United Kingdom (to </w:t>
      </w:r>
      <w:r w:rsidR="00B606EF">
        <w:t>Onpattro</w:t>
      </w:r>
      <w:r w:rsidR="001A4A92" w:rsidRPr="001A4A92">
        <w:t xml:space="preserve"> during the exposure window, defined as 12 weeks prior to their last menstrual period (LMP UK), France, Spain, Italy, and Germany, and other potential countries, who have been exposed) or at any time during pregnancy.</w:t>
      </w:r>
    </w:p>
    <w:p w14:paraId="1CE62C36" w14:textId="1E925155" w:rsidR="001A4A92" w:rsidRPr="001A4A92" w:rsidRDefault="001A4A92" w:rsidP="001A4A92">
      <w:r w:rsidRPr="001A4A92">
        <w:t>The objectives are:</w:t>
      </w:r>
    </w:p>
    <w:p w14:paraId="5BA3DC87" w14:textId="7507556D" w:rsidR="00B606EF" w:rsidRDefault="001A4A92" w:rsidP="00B606EF">
      <w:pPr>
        <w:pStyle w:val="ListBullet"/>
      </w:pPr>
      <w:r w:rsidRPr="001A4A92">
        <w:t>To collect and evaluate information from all pregnancies and to estimate the frequency of selected pregnancy outcomes (</w:t>
      </w:r>
      <w:r w:rsidR="00B606EF">
        <w:t>that is</w:t>
      </w:r>
      <w:r w:rsidRPr="001A4A92">
        <w:t xml:space="preserve">, live birth, spontaneous abortions, stillbirths, </w:t>
      </w:r>
      <w:r w:rsidR="00B606EF">
        <w:t xml:space="preserve">elective abortions, and preterm births) and pregnancy complications in women exposed to Onpattro during the defined exposure </w:t>
      </w:r>
      <w:r w:rsidR="00AD4EC7">
        <w:t>window.</w:t>
      </w:r>
    </w:p>
    <w:p w14:paraId="453ADC99" w14:textId="356539FC" w:rsidR="001A4A92" w:rsidRPr="001A4A92" w:rsidRDefault="00B606EF" w:rsidP="00B606EF">
      <w:pPr>
        <w:pStyle w:val="ListBullet"/>
      </w:pPr>
      <w:r>
        <w:t>To estimate the frequency of selected foetal/neonatal/infant outcomes (that is, major and minor congenital malformations, small for gestational age, and postnatal growth and development) at birth and through at least the first year of life of infants from pregnancies in women exposed to Onpattro during the defined exposure window</w:t>
      </w:r>
      <w:r w:rsidR="00AD4EC7">
        <w:t>.</w:t>
      </w:r>
    </w:p>
    <w:p w14:paraId="6B7F8D1F" w14:textId="342E600F" w:rsidR="00B606EF" w:rsidRPr="00B606EF" w:rsidRDefault="00B606EF" w:rsidP="00B606EF">
      <w:r w:rsidRPr="00B606EF">
        <w:t>Data will be collected from patients and their healthcare providers (HCPs) (</w:t>
      </w:r>
      <w:r>
        <w:t>for example</w:t>
      </w:r>
      <w:r w:rsidRPr="00B606EF">
        <w:t xml:space="preserve">, obstetrician, </w:t>
      </w:r>
      <w:r>
        <w:t>Onpattro</w:t>
      </w:r>
      <w:r w:rsidRPr="00B606EF">
        <w:t xml:space="preserve">-prescribing physician) about their experiences during pregnancy and through at least 1 year after birth (infant’s HCP and/or the patient). The program is voluntary, and any woman exposed to </w:t>
      </w:r>
      <w:r>
        <w:t>Onpattro</w:t>
      </w:r>
      <w:r w:rsidRPr="00B606EF">
        <w:t xml:space="preserve"> during the exposure window, as defined above, and meeting the inclusion criteria will be eligible. The total duration of participation is up to 21 months, and the total duration of the program is approximately 10 years or longer as needed. Inclusion criteria are broad: patient consent (written or verbal per local regulations or ethics committee requirements) obtained prior to enrolment, and documentation that the patient was exposed to </w:t>
      </w:r>
      <w:r>
        <w:t>Onpattro</w:t>
      </w:r>
      <w:r w:rsidRPr="00B606EF">
        <w:t xml:space="preserve"> at any point starting from 12 weeks before </w:t>
      </w:r>
      <w:r w:rsidR="00632692">
        <w:t xml:space="preserve">last menstrual period </w:t>
      </w:r>
      <w:r w:rsidRPr="00B606EF">
        <w:t>or at any point during pregnancy.</w:t>
      </w:r>
    </w:p>
    <w:p w14:paraId="1A49AEAE" w14:textId="4A643267" w:rsidR="00BB2879" w:rsidRDefault="00B606EF" w:rsidP="00B606EF">
      <w:r w:rsidRPr="00B606EF">
        <w:t>No data have been presented from this study.</w:t>
      </w:r>
    </w:p>
    <w:p w14:paraId="381F7A43" w14:textId="79EAC3E6" w:rsidR="00B606EF" w:rsidRDefault="00B606EF" w:rsidP="00B606EF">
      <w:pPr>
        <w:pStyle w:val="Heading6"/>
      </w:pPr>
      <w:r>
        <w:t>Study ALN-TTR</w:t>
      </w:r>
      <w:r w:rsidR="00E77E58">
        <w:t>r</w:t>
      </w:r>
      <w:r>
        <w:t xml:space="preserve">02-013 </w:t>
      </w:r>
    </w:p>
    <w:p w14:paraId="5AC9808F" w14:textId="251E990F" w:rsidR="00F8240A" w:rsidRDefault="00F8240A" w:rsidP="00B606EF">
      <w:r>
        <w:t xml:space="preserve">Study ALN-TTRr02-013 also known are </w:t>
      </w:r>
      <w:proofErr w:type="spellStart"/>
      <w:r>
        <w:t>ConTTRibute</w:t>
      </w:r>
      <w:proofErr w:type="spellEnd"/>
      <w:r>
        <w:t xml:space="preserve"> trial is </w:t>
      </w:r>
      <w:r w:rsidR="00B606EF">
        <w:t>a prospective, global, multicentre, long</w:t>
      </w:r>
      <w:r>
        <w:t xml:space="preserve"> </w:t>
      </w:r>
      <w:r w:rsidR="00B606EF">
        <w:t xml:space="preserve">term observational study designed to document the clinical outcomes of patients with </w:t>
      </w:r>
      <w:r w:rsidR="00E605F5" w:rsidRPr="00E605F5">
        <w:t>transthyretin-mediated</w:t>
      </w:r>
      <w:r w:rsidR="00B606EF">
        <w:t xml:space="preserve"> amyloidosis</w:t>
      </w:r>
      <w:r w:rsidR="00E605F5">
        <w:t xml:space="preserve"> (ATTR)</w:t>
      </w:r>
      <w:r w:rsidR="00B606EF">
        <w:t xml:space="preserve"> over time. The study protocol does not recommend the use of any specific treatments and no study medication is provided as part of participation. There are no visits or procedures associated with the study, patients will follow routine clinical care. All treatments and/or any changes considered necessary for a patient’s welfare will be determined at the discretion of the patient’s physician.</w:t>
      </w:r>
    </w:p>
    <w:p w14:paraId="2A507F0C" w14:textId="77777777" w:rsidR="00B606EF" w:rsidRDefault="00B606EF" w:rsidP="00143CFC">
      <w:pPr>
        <w:pStyle w:val="ListBullet"/>
        <w:numPr>
          <w:ilvl w:val="0"/>
          <w:numId w:val="0"/>
        </w:numPr>
        <w:ind w:left="360" w:hanging="360"/>
      </w:pPr>
      <w:r>
        <w:t>The objectives are:</w:t>
      </w:r>
    </w:p>
    <w:p w14:paraId="7EB7981C" w14:textId="6C7F1849" w:rsidR="00B606EF" w:rsidRDefault="00B606EF" w:rsidP="00143CFC">
      <w:pPr>
        <w:pStyle w:val="ListBullet"/>
      </w:pPr>
      <w:r>
        <w:t xml:space="preserve">To describe epidemiological and clinical characteristics, natural history and </w:t>
      </w:r>
      <w:proofErr w:type="gramStart"/>
      <w:r>
        <w:t>real</w:t>
      </w:r>
      <w:r w:rsidR="00AD4EC7">
        <w:t xml:space="preserve"> </w:t>
      </w:r>
      <w:r>
        <w:t>world</w:t>
      </w:r>
      <w:proofErr w:type="gramEnd"/>
      <w:r w:rsidR="00143CFC">
        <w:t xml:space="preserve"> </w:t>
      </w:r>
      <w:r>
        <w:t>clinical management of ATTR amyloidosis patients</w:t>
      </w:r>
      <w:r w:rsidR="00AD4EC7">
        <w:t>.</w:t>
      </w:r>
    </w:p>
    <w:p w14:paraId="64535A7D" w14:textId="7E72641D" w:rsidR="00B606EF" w:rsidRDefault="00B606EF" w:rsidP="00143CFC">
      <w:pPr>
        <w:pStyle w:val="ListBullet"/>
      </w:pPr>
      <w:r>
        <w:lastRenderedPageBreak/>
        <w:t xml:space="preserve">To characterise the safety and effectiveness of </w:t>
      </w:r>
      <w:r w:rsidR="00E77E58">
        <w:t xml:space="preserve">Onpattro </w:t>
      </w:r>
      <w:r>
        <w:t xml:space="preserve">as part of routine clinical practice in the </w:t>
      </w:r>
      <w:proofErr w:type="gramStart"/>
      <w:r>
        <w:t>real</w:t>
      </w:r>
      <w:r w:rsidR="00AD4EC7">
        <w:t xml:space="preserve"> </w:t>
      </w:r>
      <w:r>
        <w:t>world</w:t>
      </w:r>
      <w:proofErr w:type="gramEnd"/>
      <w:r>
        <w:t xml:space="preserve"> clinical setting</w:t>
      </w:r>
    </w:p>
    <w:p w14:paraId="1C2F214D" w14:textId="6F404D4B" w:rsidR="00B606EF" w:rsidRDefault="00B606EF" w:rsidP="00B606EF">
      <w:r>
        <w:t>Any patient with a diagnosis of ATTR amyloidosis, hereditary or wild type, will be eligible for the study.</w:t>
      </w:r>
      <w:r w:rsidR="00F8240A">
        <w:t xml:space="preserve"> </w:t>
      </w:r>
      <w:r>
        <w:t xml:space="preserve">Given the rare nature of </w:t>
      </w:r>
      <w:r w:rsidR="00E605F5">
        <w:t xml:space="preserve">hereditary </w:t>
      </w:r>
      <w:r>
        <w:t xml:space="preserve">ATTR amyloidosis, at least 80% of the first 500 patients enrolled must be patients diagnosed with </w:t>
      </w:r>
      <w:proofErr w:type="spellStart"/>
      <w:r>
        <w:t>hATTR</w:t>
      </w:r>
      <w:proofErr w:type="spellEnd"/>
      <w:r>
        <w:t xml:space="preserve"> amyloidosis to ensure that real world management of </w:t>
      </w:r>
      <w:proofErr w:type="spellStart"/>
      <w:r>
        <w:t>hATTR</w:t>
      </w:r>
      <w:proofErr w:type="spellEnd"/>
      <w:r>
        <w:t xml:space="preserve"> amyloidosis patients can be characterised. Of the 400 patients enrolled with </w:t>
      </w:r>
      <w:proofErr w:type="spellStart"/>
      <w:r>
        <w:t>hATTR</w:t>
      </w:r>
      <w:proofErr w:type="spellEnd"/>
      <w:r>
        <w:t xml:space="preserve"> amyloidosis, at least 150 should be treated with patisiran </w:t>
      </w:r>
      <w:proofErr w:type="gramStart"/>
      <w:r>
        <w:t>in order to</w:t>
      </w:r>
      <w:proofErr w:type="gramEnd"/>
      <w:r>
        <w:t xml:space="preserve"> conduct comparative analyses.</w:t>
      </w:r>
    </w:p>
    <w:p w14:paraId="571D4E87" w14:textId="040B6DAD" w:rsidR="00B606EF" w:rsidRDefault="00B606EF" w:rsidP="00B606EF">
      <w:r>
        <w:t>Inclusion criteria are broad</w:t>
      </w:r>
      <w:r w:rsidR="00F8240A">
        <w:t xml:space="preserve"> such as </w:t>
      </w:r>
      <w:r>
        <w:t>confirmed diagnosis of ATTR amyloidosis and informed consent (if/where applicable). Patients enrolled in another clinical trial of any investigational agent will be excluded.</w:t>
      </w:r>
    </w:p>
    <w:p w14:paraId="1A5A7CCB" w14:textId="4F84CC4E" w:rsidR="00B606EF" w:rsidRDefault="00B606EF" w:rsidP="00B606EF">
      <w:r>
        <w:t>No data have been presented from this study</w:t>
      </w:r>
      <w:r w:rsidR="002E720C">
        <w:t>.</w:t>
      </w:r>
    </w:p>
    <w:p w14:paraId="00EE83F8" w14:textId="1175916C" w:rsidR="00B606EF" w:rsidRDefault="00B606EF" w:rsidP="00B606EF">
      <w:r>
        <w:t>The Australian submission included the following post-market data</w:t>
      </w:r>
      <w:r w:rsidR="00F8240A">
        <w:t xml:space="preserve"> from:</w:t>
      </w:r>
    </w:p>
    <w:p w14:paraId="65AE4799" w14:textId="36DFDFB8" w:rsidR="00F8240A" w:rsidRDefault="00F8240A" w:rsidP="00F8240A">
      <w:pPr>
        <w:pStyle w:val="ListBullet"/>
      </w:pPr>
      <w:r>
        <w:t>Periodic Benefit-Risk Evaluation Report 001 (PBRER 001), for the period 10 Aug 2018</w:t>
      </w:r>
      <w:r w:rsidR="00E605F5">
        <w:t xml:space="preserve"> to</w:t>
      </w:r>
      <w:r>
        <w:t xml:space="preserve"> </w:t>
      </w:r>
      <w:r w:rsidR="00E605F5">
        <w:t>February</w:t>
      </w:r>
      <w:r>
        <w:t xml:space="preserve"> 2019, dated 17 April 2019</w:t>
      </w:r>
    </w:p>
    <w:p w14:paraId="69FDA30E" w14:textId="1798C4A9" w:rsidR="00F8240A" w:rsidRDefault="00F8240A" w:rsidP="00F8240A">
      <w:pPr>
        <w:pStyle w:val="ListBullet"/>
      </w:pPr>
      <w:r>
        <w:t>PBRER 002, for the period 10 February 2019 to 9 August 2019, dated 16 October 2019</w:t>
      </w:r>
    </w:p>
    <w:p w14:paraId="42652E32" w14:textId="5805E948" w:rsidR="00F8240A" w:rsidRDefault="00F8240A" w:rsidP="00F8240A">
      <w:pPr>
        <w:pStyle w:val="ListBullet"/>
      </w:pPr>
      <w:r>
        <w:t>PBRER 003, for the period 10 Aug</w:t>
      </w:r>
      <w:r w:rsidR="00E605F5">
        <w:t>ust</w:t>
      </w:r>
      <w:r>
        <w:t xml:space="preserve"> 2019</w:t>
      </w:r>
      <w:r w:rsidR="00E605F5">
        <w:t xml:space="preserve"> to </w:t>
      </w:r>
      <w:r>
        <w:t xml:space="preserve">9 </w:t>
      </w:r>
      <w:r w:rsidR="00E605F5">
        <w:t>February</w:t>
      </w:r>
      <w:r>
        <w:t xml:space="preserve"> 2020, dated 15 April 2020</w:t>
      </w:r>
    </w:p>
    <w:p w14:paraId="3EAA1366" w14:textId="1A00F3F1" w:rsidR="00F8240A" w:rsidRDefault="00F8240A" w:rsidP="00E605F5">
      <w:pPr>
        <w:pStyle w:val="ListBullet"/>
      </w:pPr>
      <w:r>
        <w:t xml:space="preserve">PBRER 004, for the period 10 </w:t>
      </w:r>
      <w:r w:rsidR="00E605F5">
        <w:t>February</w:t>
      </w:r>
      <w:r>
        <w:t xml:space="preserve"> 2020</w:t>
      </w:r>
      <w:r w:rsidR="00E605F5">
        <w:t xml:space="preserve"> to</w:t>
      </w:r>
      <w:r>
        <w:t xml:space="preserve"> 9 Aug</w:t>
      </w:r>
      <w:r w:rsidR="00E605F5">
        <w:t>ust</w:t>
      </w:r>
      <w:r>
        <w:t xml:space="preserve"> 2020, dated 12 October 2020</w:t>
      </w:r>
    </w:p>
    <w:p w14:paraId="1DB704BA" w14:textId="0D32BB47" w:rsidR="00F8240A" w:rsidRDefault="00F8240A" w:rsidP="00F8240A">
      <w:pPr>
        <w:pStyle w:val="ListBullet"/>
      </w:pPr>
      <w:r>
        <w:t xml:space="preserve">PBRER 005, for the period 10 </w:t>
      </w:r>
      <w:r w:rsidR="00E605F5">
        <w:t>August</w:t>
      </w:r>
      <w:r>
        <w:t xml:space="preserve"> 2020 </w:t>
      </w:r>
      <w:r w:rsidR="00E605F5">
        <w:t xml:space="preserve">to </w:t>
      </w:r>
      <w:r>
        <w:t xml:space="preserve">9 </w:t>
      </w:r>
      <w:r w:rsidR="00E605F5">
        <w:t>February</w:t>
      </w:r>
      <w:r>
        <w:t xml:space="preserve"> 2021, dated 12 April 2021</w:t>
      </w:r>
    </w:p>
    <w:p w14:paraId="66589CE5" w14:textId="78D188A3" w:rsidR="00F8240A" w:rsidRDefault="00F8240A" w:rsidP="00F8240A">
      <w:pPr>
        <w:pStyle w:val="ListBullet"/>
      </w:pPr>
      <w:r>
        <w:t>PBRER 006, for the period 10 February 2021</w:t>
      </w:r>
      <w:r w:rsidR="00E605F5">
        <w:t xml:space="preserve"> to</w:t>
      </w:r>
      <w:r>
        <w:t xml:space="preserve"> 9 August 2021, dated 11 October 2021</w:t>
      </w:r>
    </w:p>
    <w:p w14:paraId="5771FF0D" w14:textId="404D69BB" w:rsidR="00F8240A" w:rsidRDefault="00F8240A" w:rsidP="00F8240A">
      <w:r>
        <w:t>Commonly reported serious adverse events for Onpattro from the clinical development program were cardiac failure and cerebrovascular accident, syncope, urinary tract infection and cardiac failure congestive, diarrhoea and pneumonia and cardiac amyloidosis.</w:t>
      </w:r>
    </w:p>
    <w:p w14:paraId="4B5289C9" w14:textId="541A64D9" w:rsidR="00F8240A" w:rsidRDefault="00F8240A" w:rsidP="00F8240A">
      <w:r>
        <w:t>Commonly reported serious and non-serious adverse reactions from post-marketing data sources were fatigue, infusion</w:t>
      </w:r>
      <w:r w:rsidR="00E605F5">
        <w:t xml:space="preserve"> </w:t>
      </w:r>
      <w:r>
        <w:t>related reactions and somnolence.</w:t>
      </w:r>
    </w:p>
    <w:p w14:paraId="387CCBB9" w14:textId="43299982" w:rsidR="00F8240A" w:rsidRDefault="00F8240A" w:rsidP="00F8240A">
      <w:r>
        <w:t xml:space="preserve">The PBRERs confirmed the important identified risk of infusion related reactions, and the important potential risks of consequences of vitamin A deficiency, severe hypersensitivity and hepatic disorders, and missing information for longer term safety (greater than 3 years), use in patients with moderate or severe hepatic impairment, use in patients with severe renal impairment or end stage renal disease, use in patients with prior liver transplantation and use in pregnancy and lactation. No new or important safety-related patterns or trends were observed that would have an impact on the safety profile of Onpattro. </w:t>
      </w:r>
      <w:proofErr w:type="gramStart"/>
      <w:r>
        <w:t>The majority of</w:t>
      </w:r>
      <w:proofErr w:type="gramEnd"/>
      <w:r>
        <w:t xml:space="preserve"> the reported signs and symptoms of </w:t>
      </w:r>
      <w:r w:rsidR="00E605F5">
        <w:t xml:space="preserve">infusion related reactions </w:t>
      </w:r>
      <w:r>
        <w:t>s reported from post-marketing sources were non-serious and consistent with the known safety profile of Onpattro.</w:t>
      </w:r>
    </w:p>
    <w:p w14:paraId="26A03AAC" w14:textId="41BC9F5E" w:rsidR="00F8240A" w:rsidRDefault="00F8240A" w:rsidP="00F8240A">
      <w:r>
        <w:t>Commonly reported infusion related reaction type</w:t>
      </w:r>
      <w:r w:rsidR="000431DD">
        <w:t xml:space="preserve"> </w:t>
      </w:r>
      <w:r>
        <w:t>events included: abdominal discomfort, abdominal pain, abdominal pain upper, back pain, blood pressure decreased, blood pressure increased, chest discomfort, chest pain, cough, dizziness, dyspnoea, erythema, infusion site erythema, fatigue, flushing, headache, hot flush, hypertension, hypotension, musculoskeletal pain, nausea, pain, pain in extremity.</w:t>
      </w:r>
    </w:p>
    <w:p w14:paraId="6BF79061" w14:textId="0B2C24E5" w:rsidR="00F8240A" w:rsidRDefault="00F8240A" w:rsidP="00F8240A">
      <w:r>
        <w:t>In PBRER 002</w:t>
      </w:r>
      <w:r w:rsidR="000431DD">
        <w:t>,</w:t>
      </w:r>
      <w:r>
        <w:t xml:space="preserve"> a new safety signal for syncope was noted. Hence</w:t>
      </w:r>
      <w:r w:rsidR="000431DD">
        <w:t>,</w:t>
      </w:r>
      <w:r>
        <w:t xml:space="preserve"> syncope was added into the </w:t>
      </w:r>
      <w:r w:rsidR="000431DD">
        <w:t>Summary of Product Characteristics;</w:t>
      </w:r>
      <w:r w:rsidR="000431DD">
        <w:fldChar w:fldCharType="begin"/>
      </w:r>
      <w:r w:rsidR="000431DD">
        <w:instrText xml:space="preserve"> NOTEREF _Ref136866747 \f \h </w:instrText>
      </w:r>
      <w:r w:rsidR="000431DD">
        <w:fldChar w:fldCharType="separate"/>
      </w:r>
      <w:r w:rsidR="00ED1F97" w:rsidRPr="00ED1F97">
        <w:rPr>
          <w:rStyle w:val="FootnoteReference"/>
        </w:rPr>
        <w:t>11</w:t>
      </w:r>
      <w:r w:rsidR="000431DD">
        <w:fldChar w:fldCharType="end"/>
      </w:r>
      <w:r w:rsidR="000431DD">
        <w:t xml:space="preserve"> </w:t>
      </w:r>
      <w:r>
        <w:t xml:space="preserve">as an </w:t>
      </w:r>
      <w:r w:rsidR="000431DD">
        <w:t>infusion related reaction</w:t>
      </w:r>
      <w:r>
        <w:t xml:space="preserve"> key symptom. These changes have been made to the Australian </w:t>
      </w:r>
      <w:r w:rsidR="00E77E58">
        <w:t>Product Information (</w:t>
      </w:r>
      <w:r>
        <w:t>PI</w:t>
      </w:r>
      <w:r w:rsidR="00E77E58">
        <w:t>)</w:t>
      </w:r>
      <w:r w:rsidR="000431DD">
        <w:t>.</w:t>
      </w:r>
    </w:p>
    <w:p w14:paraId="136AC669" w14:textId="3084AD79" w:rsidR="00F8240A" w:rsidRDefault="00F8240A" w:rsidP="00F8240A">
      <w:r>
        <w:lastRenderedPageBreak/>
        <w:t>In PBRER 003</w:t>
      </w:r>
      <w:r w:rsidR="000431DD">
        <w:t>,</w:t>
      </w:r>
      <w:r>
        <w:t xml:space="preserve"> pruritis and syncope were noted as new safety signals. Pruritis was added into the </w:t>
      </w:r>
      <w:r w:rsidR="000431DD">
        <w:t>Summary of Product Characteristics;</w:t>
      </w:r>
      <w:r w:rsidR="000431DD">
        <w:fldChar w:fldCharType="begin"/>
      </w:r>
      <w:r w:rsidR="000431DD">
        <w:instrText xml:space="preserve"> NOTEREF _Ref136866747 \f \h </w:instrText>
      </w:r>
      <w:r w:rsidR="000431DD">
        <w:fldChar w:fldCharType="separate"/>
      </w:r>
      <w:r w:rsidR="00ED1F97" w:rsidRPr="00ED1F97">
        <w:rPr>
          <w:rStyle w:val="FootnoteReference"/>
        </w:rPr>
        <w:t>11</w:t>
      </w:r>
      <w:r w:rsidR="000431DD">
        <w:fldChar w:fldCharType="end"/>
      </w:r>
      <w:r>
        <w:t xml:space="preserve"> as a key symptom of </w:t>
      </w:r>
      <w:r w:rsidR="000431DD">
        <w:t>infusion related reaction</w:t>
      </w:r>
      <w:r>
        <w:t>. This change has been made to the Australian PI</w:t>
      </w:r>
      <w:r w:rsidR="000431DD">
        <w:t>.</w:t>
      </w:r>
    </w:p>
    <w:p w14:paraId="1CACE272" w14:textId="77777777" w:rsidR="00962753" w:rsidRDefault="00962753" w:rsidP="00962753">
      <w:pPr>
        <w:pStyle w:val="CommentText"/>
      </w:pPr>
      <w:bookmarkStart w:id="58" w:name="_Toc314842514"/>
      <w:bookmarkStart w:id="59" w:name="_Toc103679298"/>
      <w:r>
        <w:t>In PBRER 004, there were no newly detected safety signals pertaining to Onpattro. In PBRER 5 a safety signal for mild transaminase elevations was noted. In PBRER 006 there were no newly detected safety signals but the signal for mild transaminase elevations was ongoing. The benefit risk profile of Onpattro in its approved indications remains unchanged.</w:t>
      </w:r>
    </w:p>
    <w:p w14:paraId="2858B006" w14:textId="77777777" w:rsidR="00C22214" w:rsidRDefault="00C22214" w:rsidP="00C22214">
      <w:pPr>
        <w:pStyle w:val="Heading3"/>
        <w:rPr>
          <w:lang w:eastAsia="en-AU"/>
        </w:rPr>
      </w:pPr>
      <w:bookmarkStart w:id="60" w:name="_Toc144277335"/>
      <w:r>
        <w:rPr>
          <w:lang w:eastAsia="en-AU"/>
        </w:rPr>
        <w:t>Risk management plan</w:t>
      </w:r>
      <w:bookmarkEnd w:id="58"/>
      <w:bookmarkEnd w:id="59"/>
      <w:bookmarkEnd w:id="60"/>
    </w:p>
    <w:p w14:paraId="0E8C25D9" w14:textId="60C44E8E" w:rsidR="00F93C26" w:rsidRDefault="00F93C26" w:rsidP="00F93C26">
      <w:pPr>
        <w:rPr>
          <w:szCs w:val="22"/>
        </w:rPr>
      </w:pPr>
      <w:bookmarkStart w:id="61" w:name="_Toc247691531"/>
      <w:bookmarkStart w:id="62" w:name="_Toc314842515"/>
      <w:r>
        <w:rPr>
          <w:szCs w:val="22"/>
        </w:rPr>
        <w:t>The sponsor</w:t>
      </w:r>
      <w:r w:rsidRPr="00F93C26">
        <w:rPr>
          <w:szCs w:val="22"/>
        </w:rPr>
        <w:t xml:space="preserve"> has submitted EU-</w:t>
      </w:r>
      <w:r>
        <w:rPr>
          <w:szCs w:val="22"/>
        </w:rPr>
        <w:t>risk management plan (</w:t>
      </w:r>
      <w:r w:rsidRPr="00F93C26">
        <w:rPr>
          <w:szCs w:val="22"/>
        </w:rPr>
        <w:t>RMP</w:t>
      </w:r>
      <w:r>
        <w:rPr>
          <w:szCs w:val="22"/>
        </w:rPr>
        <w:t>)</w:t>
      </w:r>
      <w:r w:rsidRPr="00F93C26">
        <w:rPr>
          <w:szCs w:val="22"/>
        </w:rPr>
        <w:t xml:space="preserve"> version 1.0 (date 25 July 3018; DLP 14 September 2017) and </w:t>
      </w:r>
      <w:r>
        <w:rPr>
          <w:szCs w:val="22"/>
        </w:rPr>
        <w:t>Australia specific annex (</w:t>
      </w:r>
      <w:r w:rsidRPr="00F93C26">
        <w:rPr>
          <w:szCs w:val="22"/>
        </w:rPr>
        <w:t>ASA</w:t>
      </w:r>
      <w:r>
        <w:rPr>
          <w:szCs w:val="22"/>
        </w:rPr>
        <w:t>)</w:t>
      </w:r>
      <w:r w:rsidRPr="00F93C26">
        <w:rPr>
          <w:szCs w:val="22"/>
        </w:rPr>
        <w:t xml:space="preserve"> version 0.1 (date 3 December 2021) in support of this application. </w:t>
      </w:r>
      <w:r>
        <w:rPr>
          <w:szCs w:val="22"/>
        </w:rPr>
        <w:t xml:space="preserve">The sponsor submitted </w:t>
      </w:r>
      <w:r w:rsidRPr="00F93C26">
        <w:rPr>
          <w:szCs w:val="22"/>
        </w:rPr>
        <w:t xml:space="preserve">ASA version 0.2 (14 July 2022) </w:t>
      </w:r>
      <w:r>
        <w:rPr>
          <w:szCs w:val="22"/>
        </w:rPr>
        <w:t xml:space="preserve">with </w:t>
      </w:r>
      <w:r w:rsidRPr="00F93C26">
        <w:rPr>
          <w:szCs w:val="22"/>
        </w:rPr>
        <w:t xml:space="preserve">the </w:t>
      </w:r>
      <w:r>
        <w:rPr>
          <w:szCs w:val="22"/>
        </w:rPr>
        <w:t>sponsor</w:t>
      </w:r>
      <w:r w:rsidRPr="00F93C26">
        <w:rPr>
          <w:szCs w:val="22"/>
        </w:rPr>
        <w:t xml:space="preserve"> response</w:t>
      </w:r>
      <w:r>
        <w:rPr>
          <w:szCs w:val="22"/>
        </w:rPr>
        <w:t xml:space="preserve"> to TGA questions.</w:t>
      </w:r>
    </w:p>
    <w:p w14:paraId="39F3CD1D" w14:textId="3D19628C"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ED1F97" w:rsidRPr="00ED1F97">
        <w:rPr>
          <w:szCs w:val="22"/>
        </w:rPr>
        <w:t xml:space="preserve">Table </w:t>
      </w:r>
      <w:r w:rsidR="00ED1F97" w:rsidRPr="00ED1F97">
        <w:rPr>
          <w:noProof/>
          <w:szCs w:val="22"/>
        </w:rPr>
        <w:t>6</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3E987BB2" w:rsidR="006A277A" w:rsidRDefault="00C22214" w:rsidP="00C22214">
      <w:pPr>
        <w:pStyle w:val="TableTitle"/>
      </w:pPr>
      <w:bookmarkStart w:id="63" w:name="_Ref97629131"/>
      <w:r>
        <w:t xml:space="preserve">Table </w:t>
      </w:r>
      <w:r w:rsidR="00DB29BA">
        <w:fldChar w:fldCharType="begin"/>
      </w:r>
      <w:r w:rsidR="00DB29BA">
        <w:instrText xml:space="preserve"> SEQ Table \* ARABIC </w:instrText>
      </w:r>
      <w:r w:rsidR="00DB29BA">
        <w:fldChar w:fldCharType="separate"/>
      </w:r>
      <w:r w:rsidR="00ED1F97">
        <w:rPr>
          <w:noProof/>
        </w:rPr>
        <w:t>6</w:t>
      </w:r>
      <w:r w:rsidR="00DB29BA">
        <w:rPr>
          <w:noProof/>
        </w:rPr>
        <w:fldChar w:fldCharType="end"/>
      </w:r>
      <w:bookmarkEnd w:id="63"/>
      <w:r>
        <w:t>: Summary of safety concerns</w:t>
      </w:r>
    </w:p>
    <w:tbl>
      <w:tblPr>
        <w:tblStyle w:val="TableTGAblue2023"/>
        <w:tblW w:w="5000" w:type="pct"/>
        <w:tblLook w:val="04A0" w:firstRow="1" w:lastRow="0" w:firstColumn="1" w:lastColumn="0" w:noHBand="0" w:noVBand="1"/>
      </w:tblPr>
      <w:tblGrid>
        <w:gridCol w:w="1440"/>
        <w:gridCol w:w="3862"/>
        <w:gridCol w:w="870"/>
        <w:gridCol w:w="1043"/>
        <w:gridCol w:w="823"/>
        <w:gridCol w:w="1022"/>
      </w:tblGrid>
      <w:tr w:rsidR="00F93C26" w:rsidRPr="00BF52F4" w14:paraId="765AD66F" w14:textId="77777777" w:rsidTr="00F93C26">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927" w:type="pct"/>
            <w:gridSpan w:val="2"/>
            <w:vMerge w:val="restart"/>
          </w:tcPr>
          <w:p w14:paraId="6862F0DF" w14:textId="77777777" w:rsidR="00F93C26" w:rsidRPr="00BF52F4" w:rsidRDefault="00F93C26" w:rsidP="00FF5C59">
            <w:pPr>
              <w:pStyle w:val="Tabletext0"/>
              <w:rPr>
                <w:b w:val="0"/>
                <w:kern w:val="0"/>
              </w:rPr>
            </w:pPr>
            <w:r w:rsidRPr="00BF52F4">
              <w:rPr>
                <w:kern w:val="0"/>
              </w:rPr>
              <w:t>Summary of safety concerns</w:t>
            </w:r>
          </w:p>
        </w:tc>
        <w:tc>
          <w:tcPr>
            <w:tcW w:w="1056" w:type="pct"/>
            <w:gridSpan w:val="2"/>
          </w:tcPr>
          <w:p w14:paraId="36BF80EA" w14:textId="77777777" w:rsidR="00F93C26" w:rsidRPr="00BF52F4" w:rsidRDefault="00F93C26" w:rsidP="00FF5C59">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1018" w:type="pct"/>
            <w:gridSpan w:val="2"/>
          </w:tcPr>
          <w:p w14:paraId="6BC16C0B" w14:textId="77777777" w:rsidR="00F93C26" w:rsidRPr="00BF52F4" w:rsidRDefault="00F93C26" w:rsidP="00FF5C59">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F93C26" w:rsidRPr="00BF52F4" w14:paraId="333BE7F1" w14:textId="77777777" w:rsidTr="00F93C26">
        <w:trPr>
          <w:trHeight w:val="150"/>
        </w:trPr>
        <w:tc>
          <w:tcPr>
            <w:cnfStyle w:val="001000000000" w:firstRow="0" w:lastRow="0" w:firstColumn="1" w:lastColumn="0" w:oddVBand="0" w:evenVBand="0" w:oddHBand="0" w:evenHBand="0" w:firstRowFirstColumn="0" w:firstRowLastColumn="0" w:lastRowFirstColumn="0" w:lastRowLastColumn="0"/>
            <w:tcW w:w="2927" w:type="pct"/>
            <w:gridSpan w:val="2"/>
            <w:vMerge/>
          </w:tcPr>
          <w:p w14:paraId="15E144A8" w14:textId="77777777" w:rsidR="00F93C26" w:rsidRPr="00BF52F4" w:rsidRDefault="00F93C26" w:rsidP="00FF5C59">
            <w:pPr>
              <w:pStyle w:val="Tabletext0"/>
              <w:rPr>
                <w:b/>
                <w:kern w:val="0"/>
              </w:rPr>
            </w:pPr>
          </w:p>
        </w:tc>
        <w:tc>
          <w:tcPr>
            <w:tcW w:w="480" w:type="pct"/>
          </w:tcPr>
          <w:p w14:paraId="7E139CE5" w14:textId="77777777" w:rsidR="00F93C26" w:rsidRPr="00BF52F4" w:rsidRDefault="00F93C26" w:rsidP="00F93C26">
            <w:pPr>
              <w:pStyle w:val="Tabletext0"/>
              <w:ind w:lef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576" w:type="pct"/>
          </w:tcPr>
          <w:p w14:paraId="5177026A" w14:textId="77777777" w:rsidR="00F93C26" w:rsidRPr="00BF52F4" w:rsidRDefault="00F93C26" w:rsidP="00F93C26">
            <w:pPr>
              <w:pStyle w:val="Tabletext0"/>
              <w:ind w:lef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454" w:type="pct"/>
          </w:tcPr>
          <w:p w14:paraId="5DA474D9" w14:textId="77777777" w:rsidR="00F93C26" w:rsidRPr="00BF52F4" w:rsidRDefault="00F93C26" w:rsidP="00F93C26">
            <w:pPr>
              <w:pStyle w:val="Tabletext0"/>
              <w:ind w:lef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564" w:type="pct"/>
          </w:tcPr>
          <w:p w14:paraId="09238898" w14:textId="77777777" w:rsidR="00F93C26" w:rsidRPr="00BF52F4" w:rsidRDefault="00F93C26" w:rsidP="00F93C26">
            <w:pPr>
              <w:pStyle w:val="Tabletext0"/>
              <w:ind w:lef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F93C26" w:rsidRPr="00BF52F4" w14:paraId="6A17FC9F" w14:textId="77777777" w:rsidTr="00F93C26">
        <w:trPr>
          <w:trHeight w:val="137"/>
        </w:trPr>
        <w:tc>
          <w:tcPr>
            <w:cnfStyle w:val="001000000000" w:firstRow="0" w:lastRow="0" w:firstColumn="1" w:lastColumn="0" w:oddVBand="0" w:evenVBand="0" w:oddHBand="0" w:evenHBand="0" w:firstRowFirstColumn="0" w:firstRowLastColumn="0" w:lastRowFirstColumn="0" w:lastRowLastColumn="0"/>
            <w:tcW w:w="795" w:type="pct"/>
          </w:tcPr>
          <w:p w14:paraId="1C3DCF49" w14:textId="77777777" w:rsidR="00F93C26" w:rsidRPr="00BF52F4" w:rsidRDefault="00F93C26" w:rsidP="00FF5C59">
            <w:pPr>
              <w:pStyle w:val="Tabletext0"/>
              <w:rPr>
                <w:b/>
                <w:kern w:val="0"/>
              </w:rPr>
            </w:pPr>
            <w:r w:rsidRPr="00BF52F4">
              <w:rPr>
                <w:b/>
                <w:kern w:val="0"/>
              </w:rPr>
              <w:t>Important identified risks</w:t>
            </w:r>
          </w:p>
        </w:tc>
        <w:tc>
          <w:tcPr>
            <w:tcW w:w="2132" w:type="pct"/>
          </w:tcPr>
          <w:p w14:paraId="0A45E8FB" w14:textId="77777777" w:rsidR="00F93C26" w:rsidRPr="009746F9" w:rsidRDefault="00F93C26" w:rsidP="00FF5C59">
            <w:pPr>
              <w:pStyle w:val="Tabletext0"/>
              <w:cnfStyle w:val="000000000000" w:firstRow="0" w:lastRow="0" w:firstColumn="0" w:lastColumn="0" w:oddVBand="0" w:evenVBand="0" w:oddHBand="0" w:evenHBand="0" w:firstRowFirstColumn="0" w:firstRowLastColumn="0" w:lastRowFirstColumn="0" w:lastRowLastColumn="0"/>
              <w:rPr>
                <w:kern w:val="0"/>
              </w:rPr>
            </w:pPr>
            <w:r w:rsidRPr="000C3E3B">
              <w:t>Infusion-related</w:t>
            </w:r>
            <w:r w:rsidRPr="009746F9">
              <w:t xml:space="preserve"> </w:t>
            </w:r>
            <w:r w:rsidRPr="009746F9">
              <w:rPr>
                <w:kern w:val="0"/>
              </w:rPr>
              <w:t>reactions</w:t>
            </w:r>
          </w:p>
        </w:tc>
        <w:tc>
          <w:tcPr>
            <w:tcW w:w="480" w:type="pct"/>
          </w:tcPr>
          <w:p w14:paraId="3707A745"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r w:rsidRPr="001806E1">
              <w:rPr>
                <w:rFonts w:eastAsia="Cambria"/>
                <w:kern w:val="0"/>
                <w:vertAlign w:val="superscript"/>
              </w:rPr>
              <w:t>1</w:t>
            </w:r>
          </w:p>
        </w:tc>
        <w:tc>
          <w:tcPr>
            <w:tcW w:w="576" w:type="pct"/>
          </w:tcPr>
          <w:p w14:paraId="3BA8E3D9"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c>
          <w:tcPr>
            <w:tcW w:w="454" w:type="pct"/>
          </w:tcPr>
          <w:p w14:paraId="5939D73E"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64" w:type="pct"/>
          </w:tcPr>
          <w:p w14:paraId="1B035671"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r w:rsidRPr="001806E1">
              <w:rPr>
                <w:rFonts w:eastAsia="Cambria"/>
                <w:kern w:val="0"/>
                <w:vertAlign w:val="superscript"/>
              </w:rPr>
              <w:t>5</w:t>
            </w:r>
          </w:p>
        </w:tc>
      </w:tr>
      <w:tr w:rsidR="00F93C26" w:rsidRPr="00BF52F4" w14:paraId="45F1DFD9" w14:textId="77777777" w:rsidTr="00F93C26">
        <w:trPr>
          <w:trHeight w:val="159"/>
        </w:trPr>
        <w:tc>
          <w:tcPr>
            <w:cnfStyle w:val="001000000000" w:firstRow="0" w:lastRow="0" w:firstColumn="1" w:lastColumn="0" w:oddVBand="0" w:evenVBand="0" w:oddHBand="0" w:evenHBand="0" w:firstRowFirstColumn="0" w:firstRowLastColumn="0" w:lastRowFirstColumn="0" w:lastRowLastColumn="0"/>
            <w:tcW w:w="795" w:type="pct"/>
            <w:vMerge w:val="restart"/>
          </w:tcPr>
          <w:p w14:paraId="35435C38" w14:textId="77777777" w:rsidR="00F93C26" w:rsidRPr="00BF52F4" w:rsidRDefault="00F93C26" w:rsidP="00FF5C59">
            <w:pPr>
              <w:pStyle w:val="Tabletext0"/>
              <w:rPr>
                <w:b/>
                <w:kern w:val="0"/>
              </w:rPr>
            </w:pPr>
            <w:r w:rsidRPr="00BF52F4">
              <w:rPr>
                <w:b/>
                <w:kern w:val="0"/>
              </w:rPr>
              <w:t>Important potential risks</w:t>
            </w:r>
          </w:p>
        </w:tc>
        <w:tc>
          <w:tcPr>
            <w:tcW w:w="2132" w:type="pct"/>
          </w:tcPr>
          <w:p w14:paraId="74359EDE" w14:textId="77777777" w:rsidR="00F93C26" w:rsidRPr="009746F9" w:rsidRDefault="00F93C26" w:rsidP="00FF5C59">
            <w:pPr>
              <w:pStyle w:val="Tabletext0"/>
              <w:cnfStyle w:val="000000000000" w:firstRow="0" w:lastRow="0" w:firstColumn="0" w:lastColumn="0" w:oddVBand="0" w:evenVBand="0" w:oddHBand="0" w:evenHBand="0" w:firstRowFirstColumn="0" w:firstRowLastColumn="0" w:lastRowFirstColumn="0" w:lastRowLastColumn="0"/>
              <w:rPr>
                <w:kern w:val="0"/>
              </w:rPr>
            </w:pPr>
            <w:r w:rsidRPr="009746F9">
              <w:t xml:space="preserve">Consequences of vitamin A </w:t>
            </w:r>
            <w:r w:rsidRPr="009746F9">
              <w:rPr>
                <w:kern w:val="0"/>
              </w:rPr>
              <w:t>deficiency</w:t>
            </w:r>
          </w:p>
        </w:tc>
        <w:tc>
          <w:tcPr>
            <w:tcW w:w="480" w:type="pct"/>
          </w:tcPr>
          <w:p w14:paraId="481C9246"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76" w:type="pct"/>
          </w:tcPr>
          <w:p w14:paraId="0B24695D"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c>
          <w:tcPr>
            <w:tcW w:w="454" w:type="pct"/>
          </w:tcPr>
          <w:p w14:paraId="0EEAD7C6"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64" w:type="pct"/>
          </w:tcPr>
          <w:p w14:paraId="6264893D"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r>
      <w:tr w:rsidR="00F93C26" w:rsidRPr="00BF52F4" w14:paraId="21C6EA8A" w14:textId="77777777" w:rsidTr="00F93C26">
        <w:trPr>
          <w:trHeight w:val="122"/>
        </w:trPr>
        <w:tc>
          <w:tcPr>
            <w:cnfStyle w:val="001000000000" w:firstRow="0" w:lastRow="0" w:firstColumn="1" w:lastColumn="0" w:oddVBand="0" w:evenVBand="0" w:oddHBand="0" w:evenHBand="0" w:firstRowFirstColumn="0" w:firstRowLastColumn="0" w:lastRowFirstColumn="0" w:lastRowLastColumn="0"/>
            <w:tcW w:w="795" w:type="pct"/>
            <w:vMerge/>
          </w:tcPr>
          <w:p w14:paraId="6B2556E1" w14:textId="77777777" w:rsidR="00F93C26" w:rsidRPr="00BF52F4" w:rsidRDefault="00F93C26" w:rsidP="00FF5C59">
            <w:pPr>
              <w:pStyle w:val="Tabletext0"/>
              <w:rPr>
                <w:b/>
                <w:kern w:val="0"/>
              </w:rPr>
            </w:pPr>
          </w:p>
        </w:tc>
        <w:tc>
          <w:tcPr>
            <w:tcW w:w="2132" w:type="pct"/>
          </w:tcPr>
          <w:p w14:paraId="1282E7C8" w14:textId="77777777" w:rsidR="00F93C26" w:rsidRPr="00BF52F4" w:rsidRDefault="00F93C26" w:rsidP="00FF5C59">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Severe hypersensitivity</w:t>
            </w:r>
          </w:p>
        </w:tc>
        <w:tc>
          <w:tcPr>
            <w:tcW w:w="480" w:type="pct"/>
          </w:tcPr>
          <w:p w14:paraId="4302A8D1"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r w:rsidRPr="001806E1">
              <w:rPr>
                <w:rFonts w:eastAsia="Cambria"/>
                <w:kern w:val="0"/>
                <w:vertAlign w:val="superscript"/>
              </w:rPr>
              <w:t>1</w:t>
            </w:r>
          </w:p>
        </w:tc>
        <w:tc>
          <w:tcPr>
            <w:tcW w:w="576" w:type="pct"/>
          </w:tcPr>
          <w:p w14:paraId="58132680"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c>
          <w:tcPr>
            <w:tcW w:w="454" w:type="pct"/>
          </w:tcPr>
          <w:p w14:paraId="71B8EEC3"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64" w:type="pct"/>
          </w:tcPr>
          <w:p w14:paraId="5EACAF1E"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r>
      <w:tr w:rsidR="00F93C26" w:rsidRPr="00BF52F4" w14:paraId="74860823" w14:textId="77777777" w:rsidTr="00F93C26">
        <w:trPr>
          <w:trHeight w:val="112"/>
        </w:trPr>
        <w:tc>
          <w:tcPr>
            <w:cnfStyle w:val="001000000000" w:firstRow="0" w:lastRow="0" w:firstColumn="1" w:lastColumn="0" w:oddVBand="0" w:evenVBand="0" w:oddHBand="0" w:evenHBand="0" w:firstRowFirstColumn="0" w:firstRowLastColumn="0" w:lastRowFirstColumn="0" w:lastRowLastColumn="0"/>
            <w:tcW w:w="795" w:type="pct"/>
            <w:vMerge/>
          </w:tcPr>
          <w:p w14:paraId="67208566" w14:textId="77777777" w:rsidR="00F93C26" w:rsidRPr="00BF52F4" w:rsidRDefault="00F93C26" w:rsidP="00FF5C59">
            <w:pPr>
              <w:pStyle w:val="Tabletext0"/>
              <w:rPr>
                <w:b/>
                <w:kern w:val="0"/>
              </w:rPr>
            </w:pPr>
          </w:p>
        </w:tc>
        <w:tc>
          <w:tcPr>
            <w:tcW w:w="2132" w:type="pct"/>
          </w:tcPr>
          <w:p w14:paraId="65AA8F04" w14:textId="77777777" w:rsidR="00F93C26" w:rsidRPr="00BF52F4" w:rsidRDefault="00F93C26" w:rsidP="00FF5C59">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Hepatic disorders</w:t>
            </w:r>
          </w:p>
        </w:tc>
        <w:tc>
          <w:tcPr>
            <w:tcW w:w="480" w:type="pct"/>
          </w:tcPr>
          <w:p w14:paraId="5B3D7B0C"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76" w:type="pct"/>
          </w:tcPr>
          <w:p w14:paraId="60A65918"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sym w:font="Wingdings" w:char="F0FC"/>
            </w:r>
            <w:r w:rsidRPr="001806E1">
              <w:rPr>
                <w:kern w:val="0"/>
                <w:vertAlign w:val="superscript"/>
              </w:rPr>
              <w:t>2,3</w:t>
            </w:r>
          </w:p>
        </w:tc>
        <w:tc>
          <w:tcPr>
            <w:tcW w:w="454" w:type="pct"/>
          </w:tcPr>
          <w:p w14:paraId="68B4D079"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64" w:type="pct"/>
          </w:tcPr>
          <w:p w14:paraId="7BAE9B3A"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r>
      <w:tr w:rsidR="00F93C26" w:rsidRPr="00BF52F4" w14:paraId="2DD7FCFB" w14:textId="77777777" w:rsidTr="00F93C26">
        <w:trPr>
          <w:trHeight w:val="178"/>
        </w:trPr>
        <w:tc>
          <w:tcPr>
            <w:cnfStyle w:val="001000000000" w:firstRow="0" w:lastRow="0" w:firstColumn="1" w:lastColumn="0" w:oddVBand="0" w:evenVBand="0" w:oddHBand="0" w:evenHBand="0" w:firstRowFirstColumn="0" w:firstRowLastColumn="0" w:lastRowFirstColumn="0" w:lastRowLastColumn="0"/>
            <w:tcW w:w="795" w:type="pct"/>
            <w:vMerge w:val="restart"/>
          </w:tcPr>
          <w:p w14:paraId="54F32185" w14:textId="77777777" w:rsidR="00F93C26" w:rsidRPr="00BF52F4" w:rsidRDefault="00F93C26" w:rsidP="00FF5C59">
            <w:pPr>
              <w:pStyle w:val="Tabletext0"/>
              <w:rPr>
                <w:b/>
                <w:kern w:val="0"/>
              </w:rPr>
            </w:pPr>
            <w:r w:rsidRPr="00BF52F4">
              <w:rPr>
                <w:b/>
                <w:kern w:val="0"/>
              </w:rPr>
              <w:t>Missing information</w:t>
            </w:r>
          </w:p>
        </w:tc>
        <w:tc>
          <w:tcPr>
            <w:tcW w:w="2132" w:type="pct"/>
          </w:tcPr>
          <w:p w14:paraId="0E59E06F" w14:textId="77777777" w:rsidR="00F93C26" w:rsidRPr="00BF52F4" w:rsidRDefault="00F93C26" w:rsidP="00FF5C59">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Longer-term safety (&gt;3 years)</w:t>
            </w:r>
          </w:p>
        </w:tc>
        <w:tc>
          <w:tcPr>
            <w:tcW w:w="480" w:type="pct"/>
          </w:tcPr>
          <w:p w14:paraId="2903B221"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76" w:type="pct"/>
          </w:tcPr>
          <w:p w14:paraId="0DD5717C"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sym w:font="Wingdings" w:char="F0FC"/>
            </w:r>
            <w:r w:rsidRPr="001806E1">
              <w:rPr>
                <w:kern w:val="0"/>
                <w:vertAlign w:val="superscript"/>
              </w:rPr>
              <w:t>2,3</w:t>
            </w:r>
          </w:p>
        </w:tc>
        <w:tc>
          <w:tcPr>
            <w:tcW w:w="454" w:type="pct"/>
          </w:tcPr>
          <w:p w14:paraId="506F5F30"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64" w:type="pct"/>
          </w:tcPr>
          <w:p w14:paraId="5BA396AB"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r>
      <w:tr w:rsidR="00F93C26" w:rsidRPr="00BF52F4" w14:paraId="4B9300A3" w14:textId="77777777" w:rsidTr="00F93C26">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52110160" w14:textId="77777777" w:rsidR="00F93C26" w:rsidRPr="00BF52F4" w:rsidRDefault="00F93C26" w:rsidP="00FF5C59">
            <w:pPr>
              <w:pStyle w:val="Tabletext0"/>
              <w:rPr>
                <w:kern w:val="0"/>
              </w:rPr>
            </w:pPr>
          </w:p>
        </w:tc>
        <w:tc>
          <w:tcPr>
            <w:tcW w:w="2132" w:type="pct"/>
          </w:tcPr>
          <w:p w14:paraId="716E91B2" w14:textId="77777777" w:rsidR="00F93C26" w:rsidRPr="00BF52F4" w:rsidRDefault="00F93C26" w:rsidP="00FF5C59">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Use in patients with moderate or severe hepatic impairment</w:t>
            </w:r>
          </w:p>
        </w:tc>
        <w:tc>
          <w:tcPr>
            <w:tcW w:w="480" w:type="pct"/>
          </w:tcPr>
          <w:p w14:paraId="39D840FE"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76" w:type="pct"/>
          </w:tcPr>
          <w:p w14:paraId="38421655"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sym w:font="Wingdings" w:char="F0FC"/>
            </w:r>
            <w:r w:rsidRPr="001806E1">
              <w:rPr>
                <w:kern w:val="0"/>
                <w:vertAlign w:val="superscript"/>
              </w:rPr>
              <w:t>3</w:t>
            </w:r>
          </w:p>
        </w:tc>
        <w:tc>
          <w:tcPr>
            <w:tcW w:w="454" w:type="pct"/>
          </w:tcPr>
          <w:p w14:paraId="5A5F8E59"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64" w:type="pct"/>
          </w:tcPr>
          <w:p w14:paraId="1EE4D383"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r>
      <w:tr w:rsidR="00F93C26" w:rsidRPr="00BF52F4" w14:paraId="0D044E1D" w14:textId="77777777" w:rsidTr="00F93C26">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618C41F5" w14:textId="77777777" w:rsidR="00F93C26" w:rsidRPr="00BF52F4" w:rsidRDefault="00F93C26" w:rsidP="00FF5C59">
            <w:pPr>
              <w:pStyle w:val="Tabletext0"/>
              <w:rPr>
                <w:kern w:val="0"/>
              </w:rPr>
            </w:pPr>
          </w:p>
        </w:tc>
        <w:tc>
          <w:tcPr>
            <w:tcW w:w="2132" w:type="pct"/>
          </w:tcPr>
          <w:p w14:paraId="5CCB3E8D" w14:textId="77777777" w:rsidR="00F93C26" w:rsidRPr="00BF52F4" w:rsidRDefault="00F93C26" w:rsidP="00FF5C59">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Use in patients with severe renal impairment or end-stage renal disease</w:t>
            </w:r>
          </w:p>
        </w:tc>
        <w:tc>
          <w:tcPr>
            <w:tcW w:w="480" w:type="pct"/>
          </w:tcPr>
          <w:p w14:paraId="7C2B8C4C"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806E1">
              <w:rPr>
                <w:rFonts w:eastAsia="Cambria"/>
                <w:kern w:val="0"/>
              </w:rPr>
              <w:sym w:font="Wingdings" w:char="F0FC"/>
            </w:r>
          </w:p>
        </w:tc>
        <w:tc>
          <w:tcPr>
            <w:tcW w:w="576" w:type="pct"/>
          </w:tcPr>
          <w:p w14:paraId="2DB24116"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806E1">
              <w:rPr>
                <w:kern w:val="0"/>
              </w:rPr>
              <w:sym w:font="Wingdings" w:char="F0FC"/>
            </w:r>
            <w:r w:rsidRPr="001806E1">
              <w:rPr>
                <w:kern w:val="0"/>
                <w:vertAlign w:val="superscript"/>
              </w:rPr>
              <w:t>3</w:t>
            </w:r>
          </w:p>
        </w:tc>
        <w:tc>
          <w:tcPr>
            <w:tcW w:w="454" w:type="pct"/>
          </w:tcPr>
          <w:p w14:paraId="2A77BE0A"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806E1">
              <w:rPr>
                <w:rFonts w:eastAsia="Cambria"/>
                <w:kern w:val="0"/>
              </w:rPr>
              <w:sym w:font="Wingdings" w:char="F0FC"/>
            </w:r>
          </w:p>
        </w:tc>
        <w:tc>
          <w:tcPr>
            <w:tcW w:w="564" w:type="pct"/>
          </w:tcPr>
          <w:p w14:paraId="4EC23F54"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r>
      <w:tr w:rsidR="00F93C26" w:rsidRPr="00BF52F4" w14:paraId="01DBA7A0" w14:textId="77777777" w:rsidTr="00F93C26">
        <w:trPr>
          <w:trHeight w:val="103"/>
        </w:trPr>
        <w:tc>
          <w:tcPr>
            <w:cnfStyle w:val="001000000000" w:firstRow="0" w:lastRow="0" w:firstColumn="1" w:lastColumn="0" w:oddVBand="0" w:evenVBand="0" w:oddHBand="0" w:evenHBand="0" w:firstRowFirstColumn="0" w:firstRowLastColumn="0" w:lastRowFirstColumn="0" w:lastRowLastColumn="0"/>
            <w:tcW w:w="795" w:type="pct"/>
            <w:vMerge/>
          </w:tcPr>
          <w:p w14:paraId="793564C8" w14:textId="77777777" w:rsidR="00F93C26" w:rsidRPr="00BF52F4" w:rsidRDefault="00F93C26" w:rsidP="00FF5C59">
            <w:pPr>
              <w:pStyle w:val="Tabletext0"/>
              <w:rPr>
                <w:kern w:val="0"/>
              </w:rPr>
            </w:pPr>
          </w:p>
        </w:tc>
        <w:tc>
          <w:tcPr>
            <w:tcW w:w="2132" w:type="pct"/>
          </w:tcPr>
          <w:p w14:paraId="106839FB" w14:textId="77777777" w:rsidR="00F93C26" w:rsidRPr="00BF52F4" w:rsidRDefault="00F93C26" w:rsidP="00FF5C59">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Use in patients with prior liver transplantation</w:t>
            </w:r>
          </w:p>
        </w:tc>
        <w:tc>
          <w:tcPr>
            <w:tcW w:w="480" w:type="pct"/>
          </w:tcPr>
          <w:p w14:paraId="09850643"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806E1">
              <w:rPr>
                <w:rFonts w:eastAsia="Cambria"/>
                <w:kern w:val="0"/>
              </w:rPr>
              <w:sym w:font="Wingdings" w:char="F0FC"/>
            </w:r>
          </w:p>
        </w:tc>
        <w:tc>
          <w:tcPr>
            <w:tcW w:w="576" w:type="pct"/>
          </w:tcPr>
          <w:p w14:paraId="4F4DF508"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806E1">
              <w:rPr>
                <w:kern w:val="0"/>
              </w:rPr>
              <w:sym w:font="Wingdings" w:char="F0FC"/>
            </w:r>
            <w:r w:rsidRPr="001806E1">
              <w:rPr>
                <w:kern w:val="0"/>
                <w:vertAlign w:val="superscript"/>
              </w:rPr>
              <w:t>3</w:t>
            </w:r>
          </w:p>
        </w:tc>
        <w:tc>
          <w:tcPr>
            <w:tcW w:w="454" w:type="pct"/>
          </w:tcPr>
          <w:p w14:paraId="7CBE12B0"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p>
        </w:tc>
        <w:tc>
          <w:tcPr>
            <w:tcW w:w="564" w:type="pct"/>
          </w:tcPr>
          <w:p w14:paraId="22DFE186"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r>
      <w:tr w:rsidR="00F93C26" w:rsidRPr="00BF52F4" w14:paraId="6AA34460" w14:textId="77777777" w:rsidTr="00F93C26">
        <w:trPr>
          <w:trHeight w:val="140"/>
        </w:trPr>
        <w:tc>
          <w:tcPr>
            <w:cnfStyle w:val="001000000000" w:firstRow="0" w:lastRow="0" w:firstColumn="1" w:lastColumn="0" w:oddVBand="0" w:evenVBand="0" w:oddHBand="0" w:evenHBand="0" w:firstRowFirstColumn="0" w:firstRowLastColumn="0" w:lastRowFirstColumn="0" w:lastRowLastColumn="0"/>
            <w:tcW w:w="795" w:type="pct"/>
            <w:vMerge/>
          </w:tcPr>
          <w:p w14:paraId="62BA65B6" w14:textId="77777777" w:rsidR="00F93C26" w:rsidRPr="00BF52F4" w:rsidRDefault="00F93C26" w:rsidP="00FF5C59">
            <w:pPr>
              <w:pStyle w:val="Tabletext0"/>
              <w:rPr>
                <w:kern w:val="0"/>
              </w:rPr>
            </w:pPr>
          </w:p>
        </w:tc>
        <w:tc>
          <w:tcPr>
            <w:tcW w:w="2132" w:type="pct"/>
          </w:tcPr>
          <w:p w14:paraId="23DCE6FD" w14:textId="77777777" w:rsidR="00F93C26" w:rsidRPr="00BF52F4" w:rsidRDefault="00F93C26" w:rsidP="00FF5C59">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Use in pregnancy and lactation</w:t>
            </w:r>
          </w:p>
        </w:tc>
        <w:tc>
          <w:tcPr>
            <w:tcW w:w="480" w:type="pct"/>
          </w:tcPr>
          <w:p w14:paraId="6C9649A8"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76" w:type="pct"/>
          </w:tcPr>
          <w:p w14:paraId="5C949263"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sym w:font="Wingdings" w:char="F0FC"/>
            </w:r>
            <w:r w:rsidRPr="001806E1">
              <w:rPr>
                <w:kern w:val="0"/>
                <w:vertAlign w:val="superscript"/>
              </w:rPr>
              <w:t>4</w:t>
            </w:r>
          </w:p>
        </w:tc>
        <w:tc>
          <w:tcPr>
            <w:tcW w:w="454" w:type="pct"/>
          </w:tcPr>
          <w:p w14:paraId="4AC0D095"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rFonts w:eastAsia="Cambria"/>
                <w:kern w:val="0"/>
              </w:rPr>
              <w:sym w:font="Wingdings" w:char="F0FC"/>
            </w:r>
          </w:p>
        </w:tc>
        <w:tc>
          <w:tcPr>
            <w:tcW w:w="564" w:type="pct"/>
          </w:tcPr>
          <w:p w14:paraId="620EBE31" w14:textId="77777777" w:rsidR="00F93C26" w:rsidRPr="001806E1" w:rsidRDefault="00F93C26" w:rsidP="00FF5C5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806E1">
              <w:rPr>
                <w:kern w:val="0"/>
              </w:rPr>
              <w:t>–</w:t>
            </w:r>
          </w:p>
        </w:tc>
      </w:tr>
    </w:tbl>
    <w:p w14:paraId="45C2E755" w14:textId="77777777" w:rsidR="00F93C26" w:rsidRPr="001806E1" w:rsidRDefault="00F93C26" w:rsidP="00F93C26">
      <w:pPr>
        <w:pStyle w:val="TableDescription"/>
      </w:pPr>
      <w:r w:rsidRPr="001806E1">
        <w:t>1 Follow-up questionnaires</w:t>
      </w:r>
    </w:p>
    <w:p w14:paraId="613176DA" w14:textId="77777777" w:rsidR="00F93C26" w:rsidRPr="001806E1" w:rsidRDefault="00F93C26" w:rsidP="00F93C26">
      <w:pPr>
        <w:pStyle w:val="TableDescription"/>
      </w:pPr>
      <w:r w:rsidRPr="001806E1">
        <w:t>2 Open-label extension study</w:t>
      </w:r>
      <w:r>
        <w:t xml:space="preserve"> (</w:t>
      </w:r>
      <w:r w:rsidRPr="009616A2">
        <w:t>ALN-TTR02-006</w:t>
      </w:r>
      <w:r>
        <w:t>)</w:t>
      </w:r>
    </w:p>
    <w:p w14:paraId="41A97445" w14:textId="77777777" w:rsidR="00F93C26" w:rsidRPr="001806E1" w:rsidRDefault="00F93C26" w:rsidP="00F93C26">
      <w:pPr>
        <w:pStyle w:val="TableDescription"/>
      </w:pPr>
      <w:r w:rsidRPr="001806E1">
        <w:t>3 Prospective observational cohort study</w:t>
      </w:r>
      <w:r>
        <w:t xml:space="preserve"> (</w:t>
      </w:r>
      <w:r w:rsidRPr="009616A2">
        <w:t>ALN-TTR02-009</w:t>
      </w:r>
      <w:r>
        <w:t>)</w:t>
      </w:r>
    </w:p>
    <w:p w14:paraId="1CDE4433" w14:textId="77777777" w:rsidR="00F93C26" w:rsidRPr="001806E1" w:rsidRDefault="00F93C26" w:rsidP="00F93C26">
      <w:pPr>
        <w:pStyle w:val="TableDescription"/>
      </w:pPr>
      <w:r w:rsidRPr="001806E1">
        <w:t xml:space="preserve">4 Global pregnancy surveillance </w:t>
      </w:r>
      <w:proofErr w:type="gramStart"/>
      <w:r w:rsidRPr="001806E1">
        <w:t>program</w:t>
      </w:r>
      <w:proofErr w:type="gramEnd"/>
      <w:r>
        <w:t xml:space="preserve"> (</w:t>
      </w:r>
      <w:r w:rsidRPr="009616A2">
        <w:t>ALN-TTR02-010</w:t>
      </w:r>
      <w:r>
        <w:t>)</w:t>
      </w:r>
    </w:p>
    <w:p w14:paraId="15EB16CC" w14:textId="77777777" w:rsidR="00F93C26" w:rsidRPr="001806E1" w:rsidRDefault="00F93C26" w:rsidP="00F93C26">
      <w:pPr>
        <w:pStyle w:val="TableDescription"/>
      </w:pPr>
      <w:r w:rsidRPr="001806E1">
        <w:t>5 Educational materials for healthcare professionals and patients</w:t>
      </w:r>
    </w:p>
    <w:p w14:paraId="51EEAD12" w14:textId="7406A565" w:rsidR="00F93C26" w:rsidRDefault="00F93C26" w:rsidP="00F93C26">
      <w:r>
        <w:t>The summary of safety concerns is acceptable from a risk management perspective.</w:t>
      </w:r>
    </w:p>
    <w:p w14:paraId="4C7272F1" w14:textId="0D1791F1" w:rsidR="00F93C26" w:rsidRDefault="00F93C26" w:rsidP="00F93C26">
      <w:r>
        <w:t>Routine pharmacovigilance activities are proposed for all safety concerns. Follow up questionnaires are included for the important identified risk ‘</w:t>
      </w:r>
      <w:r w:rsidR="00E77E58">
        <w:t>i</w:t>
      </w:r>
      <w:r>
        <w:t>nfusion</w:t>
      </w:r>
      <w:r w:rsidR="00E77E58">
        <w:t xml:space="preserve"> </w:t>
      </w:r>
      <w:r>
        <w:t xml:space="preserve">related </w:t>
      </w:r>
      <w:proofErr w:type="gramStart"/>
      <w:r w:rsidR="00E77E58">
        <w:t>reactions’</w:t>
      </w:r>
      <w:proofErr w:type="gramEnd"/>
      <w:r>
        <w:t xml:space="preserve"> and the important potential risk ‘severe hypersensitivity’. Additional pharmacovigilance activities include three studies as outlined in the table above. The pharmacovigilance plan is acceptable.</w:t>
      </w:r>
    </w:p>
    <w:p w14:paraId="790445B3" w14:textId="678B2BF0" w:rsidR="00F93C26" w:rsidRDefault="00F93C26" w:rsidP="00F93C26">
      <w:r>
        <w:t xml:space="preserve">Routine and additional risk minimisation activities have been proposed. The additional activities include educational materials for healthcare professionals and patients for minimising the risk of infusion-related reactions when Onpattro is administered in the home setting. In the response </w:t>
      </w:r>
      <w:r>
        <w:lastRenderedPageBreak/>
        <w:t xml:space="preserve">to TGA questions, sponsor has updated the ASA to include PI as package insert as a routine risk minimisation activity. The sponsor has agreed to provide all additional risk minimisation materials, the implementation </w:t>
      </w:r>
      <w:proofErr w:type="gramStart"/>
      <w:r>
        <w:t>plan</w:t>
      </w:r>
      <w:proofErr w:type="gramEnd"/>
      <w:r>
        <w:t xml:space="preserve"> and the effectiveness evaluation plan to the TGA prior to launch for review. The acceptability of the risk minimisation plan will be reviewed once the updated ASA with the implementation and evaluation of effectiveness plans is provided. This should not impede registration.</w:t>
      </w:r>
    </w:p>
    <w:p w14:paraId="1FE2CF6A" w14:textId="4ABDFCAF" w:rsidR="00F93C26" w:rsidRDefault="00F93C26" w:rsidP="00F93C26">
      <w:pPr>
        <w:pStyle w:val="Heading4"/>
      </w:pPr>
      <w:bookmarkStart w:id="64" w:name="_Toc144277336"/>
      <w:r>
        <w:t>Proposed wording for conditions of registration</w:t>
      </w:r>
      <w:bookmarkEnd w:id="64"/>
    </w:p>
    <w:p w14:paraId="5B3BCB4E" w14:textId="7593ABA0" w:rsidR="00F93C26" w:rsidRDefault="00F93C26" w:rsidP="00F93C26">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version of the RMP document, the agreed changes become part of the risk management system.</w:t>
      </w:r>
    </w:p>
    <w:p w14:paraId="1FF35936" w14:textId="77777777" w:rsidR="00F93C26" w:rsidRDefault="00F93C26" w:rsidP="00F93C26">
      <w:r>
        <w:t xml:space="preserve">The suggested wording is: </w:t>
      </w:r>
    </w:p>
    <w:p w14:paraId="55B23958" w14:textId="5ECD4E6D" w:rsidR="00F93C26" w:rsidRPr="00E77E58" w:rsidRDefault="00E77E58" w:rsidP="00F93C26">
      <w:pPr>
        <w:ind w:left="720"/>
      </w:pPr>
      <w:r>
        <w:t>‘</w:t>
      </w:r>
      <w:r w:rsidR="00F93C26" w:rsidRPr="00E77E58">
        <w:t>The Onpattro EU-Risk Management Plan (RMP) (version 1.0, dated 25 July 2018, data lock point 14 September 2017), with Australia Specific Annex (version 0.2, dated 14 July 2022), included with submission PM-2021-05675-1-1, to be revised to the satisfaction of the TGA, and any subsequent revisions, will be implemented in Australia.</w:t>
      </w:r>
      <w:r>
        <w:t>’</w:t>
      </w:r>
    </w:p>
    <w:p w14:paraId="314EBECF" w14:textId="77777777" w:rsidR="00F93C26" w:rsidRDefault="00F93C26" w:rsidP="00F93C26">
      <w:r>
        <w:t xml:space="preserve">The following wording is recommended for the PSUR requirement: </w:t>
      </w:r>
    </w:p>
    <w:p w14:paraId="34FADCDF" w14:textId="68AE2BB0" w:rsidR="00F93C26" w:rsidRPr="00E77E58" w:rsidRDefault="00E77E58" w:rsidP="00F93C26">
      <w:pPr>
        <w:ind w:left="720"/>
      </w:pPr>
      <w:r>
        <w:t>‘</w:t>
      </w:r>
      <w:r w:rsidR="00F93C26" w:rsidRPr="00E77E58">
        <w:t xml:space="preserve">An obligatory component of risk management plans is routine pharmacovigilance. Routine pharmacovigilance includes the submission of periodic safety update reports (PSURs). </w:t>
      </w:r>
    </w:p>
    <w:p w14:paraId="16F83067" w14:textId="77777777" w:rsidR="00F93C26" w:rsidRPr="00E77E58" w:rsidRDefault="00F93C26" w:rsidP="00F93C26">
      <w:pPr>
        <w:ind w:left="720"/>
      </w:pPr>
      <w:r w:rsidRPr="00E77E58">
        <w:t xml:space="preserve">Reports are to be provided in line with the current published list of EU reference dates and frequency of submission of PSURs until the period covered by such reports is not less than three years from the date of this approval letter. </w:t>
      </w:r>
    </w:p>
    <w:p w14:paraId="4A65ADA5" w14:textId="7F276908" w:rsidR="00F93C26" w:rsidRPr="00E77E58" w:rsidRDefault="00F93C26" w:rsidP="00F93C26">
      <w:pPr>
        <w:ind w:left="720"/>
      </w:pPr>
      <w:r w:rsidRPr="00E77E58">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r w:rsidR="00E77E58">
        <w:t>’</w:t>
      </w:r>
    </w:p>
    <w:p w14:paraId="39C35EB2" w14:textId="561BFCBD" w:rsidR="00F93C26" w:rsidRDefault="00F93C26" w:rsidP="00F93C26">
      <w:r>
        <w:t>As O</w:t>
      </w:r>
      <w:r w:rsidR="0081617D">
        <w:t>npattro</w:t>
      </w:r>
      <w:r>
        <w:t xml:space="preserve"> is a new chemical entity it should be included in the Black Triangle Scheme as a condition of registration. The following wording is recommended for the condition of registration: </w:t>
      </w:r>
    </w:p>
    <w:p w14:paraId="61217545" w14:textId="623D56ED" w:rsidR="00F93C26" w:rsidRPr="00E77E58" w:rsidRDefault="00E77E58" w:rsidP="00F93C26">
      <w:pPr>
        <w:ind w:left="720"/>
      </w:pPr>
      <w:r>
        <w:t>‘</w:t>
      </w:r>
      <w:r w:rsidR="00F93C26" w:rsidRPr="00E77E58">
        <w:t>O</w:t>
      </w:r>
      <w:r w:rsidR="0081617D" w:rsidRPr="00E77E58">
        <w:t>npattro</w:t>
      </w:r>
      <w:r w:rsidR="00F93C26" w:rsidRPr="00E77E58">
        <w:t xml:space="preserve"> (patisiran) is to be included in the Black Triangle Scheme. The PI and CMI for O</w:t>
      </w:r>
      <w:r w:rsidR="0081617D" w:rsidRPr="00E77E58">
        <w:t>npattro</w:t>
      </w:r>
      <w:r w:rsidR="00F93C26" w:rsidRPr="00E77E58">
        <w:t xml:space="preserve"> must include the black triangle symbol and mandatory accompanying text for five years, which starts from the date that the sponsor notifies the TGA of supply of the product.</w:t>
      </w:r>
      <w:r>
        <w:t>’</w:t>
      </w:r>
    </w:p>
    <w:p w14:paraId="74A4F87F" w14:textId="77777777" w:rsidR="00C22214" w:rsidRDefault="00C22214" w:rsidP="00C22214">
      <w:pPr>
        <w:pStyle w:val="Heading3"/>
      </w:pPr>
      <w:bookmarkStart w:id="65" w:name="_Toc103679299"/>
      <w:bookmarkStart w:id="66" w:name="_Toc144277337"/>
      <w:r>
        <w:t>Risk-benefit analysis</w:t>
      </w:r>
      <w:bookmarkEnd w:id="61"/>
      <w:bookmarkEnd w:id="62"/>
      <w:bookmarkEnd w:id="65"/>
      <w:bookmarkEnd w:id="66"/>
    </w:p>
    <w:p w14:paraId="77DE2655" w14:textId="77777777" w:rsidR="00C22214" w:rsidRDefault="00C22214" w:rsidP="00C22214">
      <w:pPr>
        <w:pStyle w:val="Heading4"/>
      </w:pPr>
      <w:bookmarkStart w:id="67" w:name="_Toc98931932"/>
      <w:bookmarkStart w:id="68" w:name="_Toc144277338"/>
      <w:r>
        <w:t>Delegate’s considerations</w:t>
      </w:r>
      <w:bookmarkEnd w:id="67"/>
      <w:bookmarkEnd w:id="68"/>
    </w:p>
    <w:p w14:paraId="56014F3E" w14:textId="44A77FB8" w:rsidR="0081617D" w:rsidRPr="0081617D" w:rsidRDefault="0081617D" w:rsidP="0081617D">
      <w:r w:rsidRPr="0081617D">
        <w:t xml:space="preserve">This is a </w:t>
      </w:r>
      <w:r w:rsidR="00E77E58">
        <w:t>new chemical entity application</w:t>
      </w:r>
      <w:r w:rsidRPr="0081617D">
        <w:t xml:space="preserve"> to register Onpattro, the active ingredient patisiran.</w:t>
      </w:r>
    </w:p>
    <w:p w14:paraId="733A3789" w14:textId="6A789645" w:rsidR="0081617D" w:rsidRPr="0081617D" w:rsidRDefault="0081617D" w:rsidP="0081617D">
      <w:r w:rsidRPr="0081617D">
        <w:t>The proposed indication is:</w:t>
      </w:r>
    </w:p>
    <w:p w14:paraId="63DDEDCC" w14:textId="4D8E9D6D" w:rsidR="0081617D" w:rsidRPr="0081617D" w:rsidRDefault="0081617D" w:rsidP="0081617D">
      <w:pPr>
        <w:ind w:left="720"/>
        <w:rPr>
          <w:i/>
          <w:iCs/>
        </w:rPr>
      </w:pPr>
      <w:r w:rsidRPr="0081617D">
        <w:rPr>
          <w:i/>
          <w:iCs/>
        </w:rPr>
        <w:t>Onpattro is indicated for the treatment of hereditary transthyretin-mediated amyloidosis (</w:t>
      </w:r>
      <w:proofErr w:type="spellStart"/>
      <w:r w:rsidRPr="0081617D">
        <w:rPr>
          <w:i/>
          <w:iCs/>
        </w:rPr>
        <w:t>hATTR</w:t>
      </w:r>
      <w:proofErr w:type="spellEnd"/>
      <w:r w:rsidRPr="0081617D">
        <w:rPr>
          <w:i/>
          <w:iCs/>
        </w:rPr>
        <w:t xml:space="preserve"> amyloidosis) in adult patients with stage 1 or stage 2 polyneuropathy.</w:t>
      </w:r>
    </w:p>
    <w:p w14:paraId="53EC11F6" w14:textId="5DEA730C" w:rsidR="0081617D" w:rsidRDefault="0081617D" w:rsidP="0081617D">
      <w:r>
        <w:lastRenderedPageBreak/>
        <w:t>Hereditary transthyretin-mediated amyloidosis is a rare, life</w:t>
      </w:r>
      <w:r w:rsidR="00E77E58">
        <w:t xml:space="preserve"> </w:t>
      </w:r>
      <w:r>
        <w:t xml:space="preserve">threatening, autosomal dominant multi-systemic disease caused by mutations in the TTR gene that results in rapidly progressive, debilitating morbidity and high mortality. There are currently limited treatment options that may alter the course of the </w:t>
      </w:r>
      <w:proofErr w:type="spellStart"/>
      <w:r>
        <w:t>hATTR</w:t>
      </w:r>
      <w:proofErr w:type="spellEnd"/>
      <w:r>
        <w:t xml:space="preserve"> disease, namely orthotopic liver transplant and TTR tetramer stabilisers; these exist for a small subset of patients.</w:t>
      </w:r>
    </w:p>
    <w:p w14:paraId="716F153C" w14:textId="380D7098" w:rsidR="0081617D" w:rsidRDefault="0081617D" w:rsidP="0081617D">
      <w:r>
        <w:t xml:space="preserve">The product provides an alternative treatment for </w:t>
      </w:r>
      <w:proofErr w:type="spellStart"/>
      <w:r>
        <w:t>hATTR</w:t>
      </w:r>
      <w:proofErr w:type="spellEnd"/>
      <w:r>
        <w:t xml:space="preserve"> amyloidosis for which few therapeutic options are available. This is based on data from the pivotal </w:t>
      </w:r>
      <w:r w:rsidR="00E77E58">
        <w:t>S</w:t>
      </w:r>
      <w:r>
        <w:t>tudy</w:t>
      </w:r>
      <w:r w:rsidR="00E77E58" w:rsidRPr="001A4A92">
        <w:t xml:space="preserve"> ALN-TTR02</w:t>
      </w:r>
      <w:r w:rsidR="00E77E58">
        <w:t>-</w:t>
      </w:r>
      <w:r>
        <w:t xml:space="preserve">004 and supportive </w:t>
      </w:r>
      <w:r w:rsidR="00E77E58">
        <w:t>S</w:t>
      </w:r>
      <w:r>
        <w:t>tudies</w:t>
      </w:r>
      <w:r w:rsidR="00E77E58" w:rsidRPr="00E77E58">
        <w:t xml:space="preserve"> </w:t>
      </w:r>
      <w:r w:rsidR="00E77E58" w:rsidRPr="001A4A92">
        <w:t>ALN-TTR02</w:t>
      </w:r>
      <w:r w:rsidR="00E77E58">
        <w:t>-</w:t>
      </w:r>
      <w:r>
        <w:t xml:space="preserve">003 and </w:t>
      </w:r>
      <w:r w:rsidR="00E77E58">
        <w:t>-</w:t>
      </w:r>
      <w:r>
        <w:t>006. Dose</w:t>
      </w:r>
      <w:r w:rsidR="00E77E58">
        <w:t xml:space="preserve"> </w:t>
      </w:r>
      <w:r>
        <w:t xml:space="preserve">dependent reductions in serum TTR concentrations with </w:t>
      </w:r>
      <w:r w:rsidR="00E77E58">
        <w:t>Onpattro</w:t>
      </w:r>
      <w:r>
        <w:t xml:space="preserve"> were observed in both healthy volunteers and in patients with </w:t>
      </w:r>
      <w:proofErr w:type="spellStart"/>
      <w:r>
        <w:t>hATTR</w:t>
      </w:r>
      <w:proofErr w:type="spellEnd"/>
      <w:r>
        <w:t xml:space="preserve"> amyloidosis with polyneuropathy. Long term dosing with </w:t>
      </w:r>
      <w:r w:rsidR="00E77E58">
        <w:t>Onpattro</w:t>
      </w:r>
      <w:r>
        <w:t xml:space="preserve"> sustained a mean TTR reduction of approximately 80% over </w:t>
      </w:r>
      <w:r w:rsidR="00E77E58">
        <w:t>two</w:t>
      </w:r>
      <w:r>
        <w:t xml:space="preserve"> years of treatment. Furthermore, in relation to neurological impairment a statistically significant difference favouring </w:t>
      </w:r>
      <w:r w:rsidR="00E77E58">
        <w:t>Onpattro</w:t>
      </w:r>
      <w:r>
        <w:t xml:space="preserve"> group compared to placebo at 18 months was observed for the primary and all secondary endpoints.</w:t>
      </w:r>
    </w:p>
    <w:p w14:paraId="1FDECEEA" w14:textId="7FC67D8F" w:rsidR="00610478" w:rsidRDefault="00610478" w:rsidP="00610478">
      <w:pPr>
        <w:pStyle w:val="Heading5"/>
      </w:pPr>
      <w:r>
        <w:t>Quality</w:t>
      </w:r>
    </w:p>
    <w:p w14:paraId="7CCBD919" w14:textId="60BD57BF" w:rsidR="00610478" w:rsidRDefault="00610478" w:rsidP="0081617D">
      <w:pPr>
        <w:rPr>
          <w:szCs w:val="22"/>
        </w:rPr>
      </w:pPr>
      <w:r>
        <w:t>The Delegate noted that t</w:t>
      </w:r>
      <w:r w:rsidRPr="00610478">
        <w:t xml:space="preserve">he </w:t>
      </w:r>
      <w:r w:rsidR="00E77E58">
        <w:t xml:space="preserve">quality </w:t>
      </w:r>
      <w:r w:rsidRPr="00610478">
        <w:t>evaluator reviewed the assessment reports prepared by the COR for the same submission.</w:t>
      </w:r>
      <w:r>
        <w:t xml:space="preserve"> </w:t>
      </w:r>
      <w:r>
        <w:rPr>
          <w:szCs w:val="22"/>
        </w:rPr>
        <w:t xml:space="preserve">All labelling and </w:t>
      </w:r>
      <w:r w:rsidR="00E77E58">
        <w:rPr>
          <w:szCs w:val="22"/>
        </w:rPr>
        <w:t>PI</w:t>
      </w:r>
      <w:r>
        <w:rPr>
          <w:szCs w:val="22"/>
        </w:rPr>
        <w:t xml:space="preserve"> recommendation from the quality evaluator have been accepted by the sponsor.</w:t>
      </w:r>
    </w:p>
    <w:p w14:paraId="2392AB27" w14:textId="1E7F6D1D" w:rsidR="00610478" w:rsidRDefault="00610478" w:rsidP="00610478">
      <w:pPr>
        <w:pStyle w:val="Heading5"/>
      </w:pPr>
      <w:r>
        <w:t>Nonclinical</w:t>
      </w:r>
    </w:p>
    <w:p w14:paraId="35C5B88F" w14:textId="4DEA14F4" w:rsidR="00610478" w:rsidRPr="00610478" w:rsidRDefault="00610478" w:rsidP="00610478">
      <w:pPr>
        <w:rPr>
          <w:szCs w:val="22"/>
        </w:rPr>
      </w:pPr>
      <w:r w:rsidRPr="00610478">
        <w:rPr>
          <w:szCs w:val="22"/>
        </w:rPr>
        <w:t xml:space="preserve">The scope and quality of the submitted </w:t>
      </w:r>
      <w:r>
        <w:rPr>
          <w:szCs w:val="22"/>
        </w:rPr>
        <w:t>nonclinical</w:t>
      </w:r>
      <w:r w:rsidRPr="00610478">
        <w:rPr>
          <w:szCs w:val="22"/>
        </w:rPr>
        <w:t xml:space="preserve"> dossier was mostly acceptable, with studies consistent with the principles of ICH guidance</w:t>
      </w:r>
      <w:r w:rsidR="00E77E58">
        <w:rPr>
          <w:szCs w:val="22"/>
        </w:rPr>
        <w:t>;</w:t>
      </w:r>
      <w:r w:rsidR="00E77E58">
        <w:rPr>
          <w:szCs w:val="22"/>
        </w:rPr>
        <w:fldChar w:fldCharType="begin"/>
      </w:r>
      <w:r w:rsidR="00E77E58">
        <w:rPr>
          <w:szCs w:val="22"/>
        </w:rPr>
        <w:instrText xml:space="preserve"> NOTEREF _Ref137033919 \f \h </w:instrText>
      </w:r>
      <w:r w:rsidR="00E77E58">
        <w:rPr>
          <w:szCs w:val="22"/>
        </w:rPr>
      </w:r>
      <w:r w:rsidR="00E77E58">
        <w:rPr>
          <w:szCs w:val="22"/>
        </w:rPr>
        <w:fldChar w:fldCharType="separate"/>
      </w:r>
      <w:r w:rsidR="00ED1F97" w:rsidRPr="00ED1F97">
        <w:rPr>
          <w:rStyle w:val="FootnoteReference"/>
        </w:rPr>
        <w:t>3</w:t>
      </w:r>
      <w:r w:rsidR="00E77E58">
        <w:rPr>
          <w:szCs w:val="22"/>
        </w:rPr>
        <w:fldChar w:fldCharType="end"/>
      </w:r>
      <w:r w:rsidRPr="00610478">
        <w:rPr>
          <w:szCs w:val="22"/>
        </w:rPr>
        <w:t xml:space="preserve"> for the nonclinical testing of pharmaceuticals. All pivotal safety-related studies were conducted according to </w:t>
      </w:r>
      <w:r w:rsidR="00E77E58" w:rsidRPr="00E77E58">
        <w:rPr>
          <w:szCs w:val="22"/>
        </w:rPr>
        <w:t xml:space="preserve">Good </w:t>
      </w:r>
      <w:r w:rsidR="00E77E58">
        <w:rPr>
          <w:szCs w:val="22"/>
        </w:rPr>
        <w:t>L</w:t>
      </w:r>
      <w:r w:rsidR="00E77E58" w:rsidRPr="00E77E58">
        <w:rPr>
          <w:szCs w:val="22"/>
        </w:rPr>
        <w:t xml:space="preserve">aboratory </w:t>
      </w:r>
      <w:r w:rsidR="00E77E58">
        <w:rPr>
          <w:szCs w:val="22"/>
        </w:rPr>
        <w:t>P</w:t>
      </w:r>
      <w:r w:rsidR="00E77E58" w:rsidRPr="00E77E58">
        <w:rPr>
          <w:szCs w:val="22"/>
        </w:rPr>
        <w:t>ractice</w:t>
      </w:r>
      <w:r w:rsidRPr="00610478">
        <w:rPr>
          <w:szCs w:val="22"/>
        </w:rPr>
        <w:t>.</w:t>
      </w:r>
    </w:p>
    <w:p w14:paraId="7D461FA3" w14:textId="77777777" w:rsidR="00610478" w:rsidRPr="00610478" w:rsidRDefault="00610478" w:rsidP="00610478">
      <w:pPr>
        <w:rPr>
          <w:szCs w:val="22"/>
        </w:rPr>
      </w:pPr>
      <w:r w:rsidRPr="00610478">
        <w:rPr>
          <w:szCs w:val="22"/>
        </w:rPr>
        <w:t>The primary pharmacology data lend some support for the proposed indication.</w:t>
      </w:r>
    </w:p>
    <w:p w14:paraId="06389A51" w14:textId="77777777" w:rsidR="00610478" w:rsidRPr="00610478" w:rsidRDefault="00610478" w:rsidP="00610478">
      <w:pPr>
        <w:rPr>
          <w:szCs w:val="22"/>
        </w:rPr>
      </w:pPr>
      <w:r w:rsidRPr="00610478">
        <w:rPr>
          <w:szCs w:val="22"/>
        </w:rPr>
        <w:t>The collective toxicity findings with Onpattro of potential clinical relevance include:</w:t>
      </w:r>
    </w:p>
    <w:p w14:paraId="4484D0B2" w14:textId="63B2316E" w:rsidR="00610478" w:rsidRPr="00610478" w:rsidRDefault="00610478" w:rsidP="00610478">
      <w:pPr>
        <w:pStyle w:val="ListBullet"/>
      </w:pPr>
      <w:r w:rsidRPr="00610478">
        <w:t xml:space="preserve">Hepatotoxicity (accompanied by increased liver enzymes), which should be easily </w:t>
      </w:r>
      <w:proofErr w:type="gramStart"/>
      <w:r w:rsidRPr="00610478">
        <w:t>monitored;</w:t>
      </w:r>
      <w:proofErr w:type="gramEnd"/>
    </w:p>
    <w:p w14:paraId="36470A24" w14:textId="37FC10CE" w:rsidR="00610478" w:rsidRPr="00610478" w:rsidRDefault="00610478" w:rsidP="00610478">
      <w:pPr>
        <w:pStyle w:val="ListBullet"/>
      </w:pPr>
      <w:r w:rsidRPr="00610478">
        <w:t xml:space="preserve">Injection site reactions, which could easily be </w:t>
      </w:r>
      <w:proofErr w:type="gramStart"/>
      <w:r w:rsidRPr="00610478">
        <w:t>monitored;</w:t>
      </w:r>
      <w:proofErr w:type="gramEnd"/>
    </w:p>
    <w:p w14:paraId="5E5CD9DF" w14:textId="7048721A" w:rsidR="00610478" w:rsidRPr="00610478" w:rsidRDefault="00610478" w:rsidP="00610478">
      <w:pPr>
        <w:pStyle w:val="ListBullet"/>
      </w:pPr>
      <w:r w:rsidRPr="00610478">
        <w:t>Teratogenicity, which can be mitigated by sufficient warnings and labelling.</w:t>
      </w:r>
    </w:p>
    <w:p w14:paraId="2B1F3533" w14:textId="3A2EA3EF" w:rsidR="00610478" w:rsidRPr="00610478" w:rsidRDefault="00610478" w:rsidP="00610478">
      <w:pPr>
        <w:rPr>
          <w:szCs w:val="22"/>
        </w:rPr>
      </w:pPr>
      <w:r w:rsidRPr="00610478">
        <w:rPr>
          <w:szCs w:val="22"/>
        </w:rPr>
        <w:t xml:space="preserve">The proposed pregnancy category for </w:t>
      </w:r>
      <w:r w:rsidR="00E77E58">
        <w:rPr>
          <w:szCs w:val="22"/>
        </w:rPr>
        <w:t>Onpattro</w:t>
      </w:r>
      <w:r w:rsidRPr="00610478">
        <w:rPr>
          <w:szCs w:val="22"/>
        </w:rPr>
        <w:t xml:space="preserve"> (Category D) is acceptable.</w:t>
      </w:r>
      <w:r w:rsidR="00E77E58">
        <w:rPr>
          <w:szCs w:val="22"/>
        </w:rPr>
        <w:fldChar w:fldCharType="begin"/>
      </w:r>
      <w:r w:rsidR="00E77E58">
        <w:rPr>
          <w:szCs w:val="22"/>
        </w:rPr>
        <w:instrText xml:space="preserve"> NOTEREF _Ref137033935 \f \h </w:instrText>
      </w:r>
      <w:r w:rsidR="00E77E58">
        <w:rPr>
          <w:szCs w:val="22"/>
        </w:rPr>
      </w:r>
      <w:r w:rsidR="00E77E58">
        <w:rPr>
          <w:szCs w:val="22"/>
        </w:rPr>
        <w:fldChar w:fldCharType="separate"/>
      </w:r>
      <w:r w:rsidR="00ED1F97" w:rsidRPr="00ED1F97">
        <w:rPr>
          <w:rStyle w:val="FootnoteReference"/>
        </w:rPr>
        <w:t>4</w:t>
      </w:r>
      <w:r w:rsidR="00E77E58">
        <w:rPr>
          <w:szCs w:val="22"/>
        </w:rPr>
        <w:fldChar w:fldCharType="end"/>
      </w:r>
    </w:p>
    <w:p w14:paraId="6748C2A9" w14:textId="557B1891" w:rsidR="00610478" w:rsidRDefault="00610478" w:rsidP="00610478">
      <w:pPr>
        <w:rPr>
          <w:szCs w:val="22"/>
        </w:rPr>
      </w:pPr>
      <w:r w:rsidRPr="00610478">
        <w:rPr>
          <w:szCs w:val="22"/>
        </w:rPr>
        <w:t xml:space="preserve">Although some limitations were identified in the </w:t>
      </w:r>
      <w:r>
        <w:rPr>
          <w:szCs w:val="22"/>
        </w:rPr>
        <w:t>nonclinical</w:t>
      </w:r>
      <w:r w:rsidRPr="00610478">
        <w:rPr>
          <w:szCs w:val="22"/>
        </w:rPr>
        <w:t xml:space="preserve"> dossier (low assessed margins, inadequate carcinogenicity assessment), the clinical presentations of </w:t>
      </w:r>
      <w:proofErr w:type="spellStart"/>
      <w:r w:rsidRPr="00610478">
        <w:rPr>
          <w:szCs w:val="22"/>
        </w:rPr>
        <w:t>hATTR</w:t>
      </w:r>
      <w:proofErr w:type="spellEnd"/>
      <w:r w:rsidRPr="00610478">
        <w:rPr>
          <w:szCs w:val="22"/>
        </w:rPr>
        <w:t xml:space="preserve"> amyloidosis (multiple organs impairment), the disease outcome (fatal), the limited treatment alternatives and the expected treatment benefits, may outweigh any unknown risks.</w:t>
      </w:r>
    </w:p>
    <w:p w14:paraId="6E6A6709" w14:textId="64887326" w:rsidR="00610478" w:rsidRPr="00610478" w:rsidRDefault="00610478" w:rsidP="00610478">
      <w:pPr>
        <w:rPr>
          <w:szCs w:val="22"/>
        </w:rPr>
      </w:pPr>
      <w:r>
        <w:rPr>
          <w:szCs w:val="22"/>
        </w:rPr>
        <w:t xml:space="preserve">All labelling and </w:t>
      </w:r>
      <w:r w:rsidR="00E77E58">
        <w:rPr>
          <w:szCs w:val="22"/>
        </w:rPr>
        <w:t>PI</w:t>
      </w:r>
      <w:r>
        <w:rPr>
          <w:szCs w:val="22"/>
        </w:rPr>
        <w:t xml:space="preserve"> recommendation from the nonclinical evaluator have been accepted by the sponsor.</w:t>
      </w:r>
    </w:p>
    <w:p w14:paraId="1989B74C" w14:textId="3EB20815" w:rsidR="00610478" w:rsidRDefault="00610478" w:rsidP="00610478">
      <w:pPr>
        <w:rPr>
          <w:szCs w:val="22"/>
        </w:rPr>
      </w:pPr>
      <w:r w:rsidRPr="00610478">
        <w:rPr>
          <w:szCs w:val="22"/>
        </w:rPr>
        <w:t xml:space="preserve">The </w:t>
      </w:r>
      <w:r>
        <w:rPr>
          <w:szCs w:val="22"/>
        </w:rPr>
        <w:t xml:space="preserve">nonclinical </w:t>
      </w:r>
      <w:r w:rsidRPr="00610478">
        <w:rPr>
          <w:szCs w:val="22"/>
        </w:rPr>
        <w:t>evaluator has recommended approval of Onpattro.</w:t>
      </w:r>
    </w:p>
    <w:p w14:paraId="30272D85" w14:textId="1A48ED5C" w:rsidR="00610478" w:rsidRDefault="00610478" w:rsidP="00610478">
      <w:pPr>
        <w:pStyle w:val="Heading5"/>
      </w:pPr>
      <w:r>
        <w:t>Clinical</w:t>
      </w:r>
    </w:p>
    <w:p w14:paraId="224D85B4" w14:textId="2FB0B0CB" w:rsidR="00610478" w:rsidRDefault="00610478" w:rsidP="00610478">
      <w:r>
        <w:t xml:space="preserve">The core studies providing efficacy and safety data are the pivotal Phase III double blind, </w:t>
      </w:r>
      <w:proofErr w:type="gramStart"/>
      <w:r>
        <w:t>placebo controlled</w:t>
      </w:r>
      <w:proofErr w:type="gramEnd"/>
      <w:r>
        <w:t xml:space="preserve"> Study </w:t>
      </w:r>
      <w:r w:rsidR="00E77E58" w:rsidRPr="001A4A92">
        <w:t>ALN-TTR02</w:t>
      </w:r>
      <w:r w:rsidR="00E77E58">
        <w:t>-</w:t>
      </w:r>
      <w:r>
        <w:t>004 and two open label, single</w:t>
      </w:r>
      <w:r w:rsidR="00E77E58">
        <w:t xml:space="preserve"> </w:t>
      </w:r>
      <w:r>
        <w:t xml:space="preserve">arm studies that evaluated Onpattro at the intended dose and regimen in patients with </w:t>
      </w:r>
      <w:proofErr w:type="spellStart"/>
      <w:r>
        <w:t>hATTR</w:t>
      </w:r>
      <w:proofErr w:type="spellEnd"/>
      <w:r>
        <w:t xml:space="preserve"> amyloidosis (</w:t>
      </w:r>
      <w:r w:rsidR="00E77E58">
        <w:t>Studies</w:t>
      </w:r>
      <w:r w:rsidR="00E77E58" w:rsidRPr="00E77E58">
        <w:t xml:space="preserve"> </w:t>
      </w:r>
      <w:r w:rsidR="00E77E58" w:rsidRPr="001A4A92">
        <w:t>ALN-TTR02</w:t>
      </w:r>
      <w:r w:rsidR="00E77E58">
        <w:t>-</w:t>
      </w:r>
      <w:r>
        <w:t xml:space="preserve">003 and </w:t>
      </w:r>
      <w:r w:rsidR="00E77E58">
        <w:t>-</w:t>
      </w:r>
      <w:r>
        <w:t>006).</w:t>
      </w:r>
    </w:p>
    <w:p w14:paraId="130F1AF1" w14:textId="08683B0D" w:rsidR="00610478" w:rsidRDefault="00610478" w:rsidP="00610478">
      <w:r>
        <w:t>The clinical development program is considered adequate to assess the clinical efficacy and safety of Onpattro for the proposed indication.</w:t>
      </w:r>
    </w:p>
    <w:p w14:paraId="45894D24" w14:textId="412CD510" w:rsidR="00610478" w:rsidRDefault="00610478" w:rsidP="00610478">
      <w:pPr>
        <w:pStyle w:val="Heading6"/>
      </w:pPr>
      <w:r>
        <w:lastRenderedPageBreak/>
        <w:t>Pharmacology</w:t>
      </w:r>
    </w:p>
    <w:p w14:paraId="3F6143C2" w14:textId="7A814024" w:rsidR="00610478" w:rsidRDefault="00610478" w:rsidP="00610478">
      <w:pPr>
        <w:pStyle w:val="Default"/>
        <w:rPr>
          <w:sz w:val="22"/>
          <w:szCs w:val="22"/>
        </w:rPr>
      </w:pPr>
      <w:r>
        <w:rPr>
          <w:sz w:val="22"/>
          <w:szCs w:val="22"/>
        </w:rPr>
        <w:t>Overall, the pharmacokinetics and pharmacodynamics of Onpattro have been thoroughly investigated and well described. The results generally reflect the expected behaviour of a substance belonging to the chemical class of double stranded oligonucleotides.</w:t>
      </w:r>
    </w:p>
    <w:p w14:paraId="11712F9D" w14:textId="588C8948" w:rsidR="00610478" w:rsidRDefault="00610478" w:rsidP="00610478">
      <w:pPr>
        <w:pStyle w:val="Default"/>
        <w:rPr>
          <w:sz w:val="22"/>
          <w:szCs w:val="22"/>
        </w:rPr>
      </w:pPr>
      <w:r>
        <w:rPr>
          <w:sz w:val="22"/>
          <w:szCs w:val="22"/>
        </w:rPr>
        <w:t xml:space="preserve">The 0.3 mg/kg every 3 weeks dose was the recommended dose going into the Phase III studies. </w:t>
      </w:r>
    </w:p>
    <w:p w14:paraId="3E3C4E1C" w14:textId="227B7E34" w:rsidR="00610478" w:rsidRDefault="00610478" w:rsidP="00610478">
      <w:pPr>
        <w:pStyle w:val="Heading6"/>
      </w:pPr>
      <w:r>
        <w:t>Efficacy</w:t>
      </w:r>
    </w:p>
    <w:p w14:paraId="2A8D6B3B" w14:textId="399886D8" w:rsidR="00610478" w:rsidRDefault="00610478" w:rsidP="00610478">
      <w:pPr>
        <w:pStyle w:val="Heading7"/>
      </w:pPr>
      <w:r>
        <w:t xml:space="preserve">Pivotal </w:t>
      </w:r>
      <w:r w:rsidR="00E77E58">
        <w:t>S</w:t>
      </w:r>
      <w:r>
        <w:t xml:space="preserve">tudy ALN-TTR02-004 </w:t>
      </w:r>
    </w:p>
    <w:p w14:paraId="0E576EDC" w14:textId="7D99CA9F" w:rsidR="00610478" w:rsidRDefault="00610478" w:rsidP="00610478">
      <w:r>
        <w:t>Study</w:t>
      </w:r>
      <w:r w:rsidR="00E77E58" w:rsidRPr="00E77E58">
        <w:t xml:space="preserve"> </w:t>
      </w:r>
      <w:r w:rsidR="00E77E58" w:rsidRPr="001A4A92">
        <w:t>ALN-TTR02</w:t>
      </w:r>
      <w:r w:rsidR="00E77E58">
        <w:t>-</w:t>
      </w:r>
      <w:r>
        <w:t>004 was a multinational, randomised, double blind, placebo controlled, Phase</w:t>
      </w:r>
      <w:r w:rsidR="00E77E58">
        <w:t> </w:t>
      </w:r>
      <w:r>
        <w:t xml:space="preserve">III study designed to demonstrate the efficacy and safety of 0.3 mg/kg </w:t>
      </w:r>
      <w:r w:rsidR="00E77E58">
        <w:t>Onpattro every 3 weeks</w:t>
      </w:r>
      <w:r>
        <w:t xml:space="preserve"> in patients with </w:t>
      </w:r>
      <w:proofErr w:type="spellStart"/>
      <w:r>
        <w:t>hATTR</w:t>
      </w:r>
      <w:proofErr w:type="spellEnd"/>
      <w:r>
        <w:t xml:space="preserve"> amyloidosis. The primary objective was to determine the efficacy of </w:t>
      </w:r>
      <w:r w:rsidR="00E77E58">
        <w:t>Onpattro</w:t>
      </w:r>
      <w:r>
        <w:t xml:space="preserve"> by evaluating the difference between the patisiran and placebo groups in the change </w:t>
      </w:r>
      <w:r w:rsidR="001E5385">
        <w:t>from Baseline</w:t>
      </w:r>
      <w:r>
        <w:t xml:space="preserve"> of </w:t>
      </w:r>
      <w:proofErr w:type="spellStart"/>
      <w:r>
        <w:t>mNIS</w:t>
      </w:r>
      <w:proofErr w:type="spellEnd"/>
      <w:r w:rsidR="00E77E58">
        <w:t xml:space="preserve"> </w:t>
      </w:r>
      <w:r>
        <w:t>+</w:t>
      </w:r>
      <w:r w:rsidR="00E77E58">
        <w:t xml:space="preserve"> </w:t>
      </w:r>
      <w:r>
        <w:t>7 score at 18 months.</w:t>
      </w:r>
    </w:p>
    <w:p w14:paraId="4B4498C8" w14:textId="2B257A57" w:rsidR="00610478" w:rsidRDefault="00610478" w:rsidP="00610478">
      <w:r>
        <w:t>A total of 323 patients were screened for participation in the study. A total of 225 patients were randomi</w:t>
      </w:r>
      <w:r w:rsidR="001E5385">
        <w:t>s</w:t>
      </w:r>
      <w:r>
        <w:t xml:space="preserve">ed </w:t>
      </w:r>
      <w:r w:rsidR="00E77E58">
        <w:t>(</w:t>
      </w:r>
      <w:r>
        <w:t xml:space="preserve">148 to the </w:t>
      </w:r>
      <w:r w:rsidR="00E77E58">
        <w:t xml:space="preserve">Onpattro </w:t>
      </w:r>
      <w:r>
        <w:t>group and 77 to the placebo group</w:t>
      </w:r>
      <w:r w:rsidR="00E77E58">
        <w:t>)</w:t>
      </w:r>
      <w:r>
        <w:t>. All randomised patients were treated with study drug.</w:t>
      </w:r>
    </w:p>
    <w:p w14:paraId="79580288" w14:textId="1DD17DD3" w:rsidR="00610478" w:rsidRPr="00610478" w:rsidRDefault="00610478" w:rsidP="00610478">
      <w:r>
        <w:t>Improvement (change in mNIS+7 score &lt;</w:t>
      </w:r>
      <w:r w:rsidR="00E77E58">
        <w:t xml:space="preserve"> </w:t>
      </w:r>
      <w:r>
        <w:t xml:space="preserve">0) was seen in approximately half (56.1%) of </w:t>
      </w:r>
      <w:r w:rsidR="00E77E58">
        <w:t xml:space="preserve">Onpattro </w:t>
      </w:r>
      <w:r>
        <w:t xml:space="preserve">treated patients at 18 months, compared to 4% in the placebo group. Results from secondary endpoints also favoured the </w:t>
      </w:r>
      <w:r w:rsidR="00E77E58">
        <w:t xml:space="preserve">Onpattro </w:t>
      </w:r>
      <w:r>
        <w:t>group.</w:t>
      </w:r>
    </w:p>
    <w:p w14:paraId="40660B46" w14:textId="40808845" w:rsidR="00610478" w:rsidRDefault="00E77E58" w:rsidP="00610478">
      <w:pPr>
        <w:pStyle w:val="Heading7"/>
      </w:pPr>
      <w:r>
        <w:t>Study ALN-TTR02-</w:t>
      </w:r>
      <w:r w:rsidR="00610478">
        <w:t>003</w:t>
      </w:r>
    </w:p>
    <w:p w14:paraId="4EECE1EC" w14:textId="58068C46" w:rsidR="00610478" w:rsidRDefault="00E77E58" w:rsidP="00610478">
      <w:pPr>
        <w:rPr>
          <w:szCs w:val="22"/>
        </w:rPr>
      </w:pPr>
      <w:r>
        <w:t>Study ALN-TTR02-</w:t>
      </w:r>
      <w:r w:rsidR="00610478">
        <w:rPr>
          <w:szCs w:val="22"/>
        </w:rPr>
        <w:t xml:space="preserve">003 was a multinational, multicentre, Phase II, open label, extension study designed to provide long term (up to 2 years) </w:t>
      </w:r>
      <w:r>
        <w:rPr>
          <w:szCs w:val="22"/>
        </w:rPr>
        <w:t xml:space="preserve">Onpattro </w:t>
      </w:r>
      <w:r w:rsidR="00610478">
        <w:rPr>
          <w:szCs w:val="22"/>
        </w:rPr>
        <w:t xml:space="preserve">dosing to patients with </w:t>
      </w:r>
      <w:proofErr w:type="spellStart"/>
      <w:r w:rsidR="00610478">
        <w:rPr>
          <w:szCs w:val="22"/>
        </w:rPr>
        <w:t>hATTR</w:t>
      </w:r>
      <w:proofErr w:type="spellEnd"/>
      <w:r w:rsidR="00610478">
        <w:rPr>
          <w:szCs w:val="22"/>
        </w:rPr>
        <w:t xml:space="preserve"> amyloidosis with polyneuropathy who received and tolerated </w:t>
      </w:r>
      <w:r>
        <w:rPr>
          <w:szCs w:val="22"/>
        </w:rPr>
        <w:t xml:space="preserve">Onpattro </w:t>
      </w:r>
      <w:r w:rsidR="00610478">
        <w:rPr>
          <w:szCs w:val="22"/>
        </w:rPr>
        <w:t xml:space="preserve">in </w:t>
      </w:r>
      <w:r>
        <w:t>Study ALN-TTR02-</w:t>
      </w:r>
      <w:r w:rsidR="00610478">
        <w:rPr>
          <w:szCs w:val="22"/>
        </w:rPr>
        <w:t xml:space="preserve">002. Patients could continue treatment in </w:t>
      </w:r>
      <w:r>
        <w:t>Study ALN-TTR02-</w:t>
      </w:r>
      <w:r w:rsidR="00610478">
        <w:rPr>
          <w:szCs w:val="22"/>
        </w:rPr>
        <w:t xml:space="preserve">006 after completion of this study. A total of 27 patients were enrolled and treated in </w:t>
      </w:r>
      <w:r>
        <w:t>Study ALN-TTR02-</w:t>
      </w:r>
      <w:r w:rsidR="00610478">
        <w:rPr>
          <w:szCs w:val="22"/>
        </w:rPr>
        <w:t>003. Twenty-five patients completed the study.</w:t>
      </w:r>
    </w:p>
    <w:p w14:paraId="68841437" w14:textId="63BE7D15" w:rsidR="00610478" w:rsidRPr="00610478" w:rsidRDefault="00E77E58" w:rsidP="00610478">
      <w:pPr>
        <w:pStyle w:val="Heading7"/>
      </w:pPr>
      <w:r>
        <w:t>Study ALN-TTR02-</w:t>
      </w:r>
      <w:r w:rsidR="00610478" w:rsidRPr="00610478">
        <w:t>006</w:t>
      </w:r>
    </w:p>
    <w:p w14:paraId="2E0880B0" w14:textId="4D9AB1F1" w:rsidR="00610478" w:rsidRPr="00610478" w:rsidRDefault="00E77E58" w:rsidP="00610478">
      <w:pPr>
        <w:rPr>
          <w:szCs w:val="22"/>
        </w:rPr>
      </w:pPr>
      <w:r>
        <w:t>Study ALN-TTR02-</w:t>
      </w:r>
      <w:r w:rsidR="00610478" w:rsidRPr="00610478">
        <w:rPr>
          <w:szCs w:val="22"/>
        </w:rPr>
        <w:t>006 is an ongoing multicentre, multinational, open</w:t>
      </w:r>
      <w:r>
        <w:rPr>
          <w:szCs w:val="22"/>
        </w:rPr>
        <w:t xml:space="preserve"> </w:t>
      </w:r>
      <w:r w:rsidR="00610478" w:rsidRPr="00610478">
        <w:rPr>
          <w:szCs w:val="22"/>
        </w:rPr>
        <w:t xml:space="preserve">label extension study. Eligible patients who completed either of the two parent </w:t>
      </w:r>
      <w:r>
        <w:t>Studies ALN-TTR02-</w:t>
      </w:r>
      <w:r w:rsidR="00610478" w:rsidRPr="00610478">
        <w:rPr>
          <w:szCs w:val="22"/>
        </w:rPr>
        <w:t xml:space="preserve">003 or </w:t>
      </w:r>
      <w:r>
        <w:rPr>
          <w:szCs w:val="22"/>
        </w:rPr>
        <w:t>-</w:t>
      </w:r>
      <w:r w:rsidR="00610478" w:rsidRPr="00610478">
        <w:rPr>
          <w:szCs w:val="22"/>
        </w:rPr>
        <w:t xml:space="preserve">004, were given the option to participate in this study. At the time of the interim </w:t>
      </w:r>
      <w:r>
        <w:t>Study ALN-TTR02-</w:t>
      </w:r>
      <w:r w:rsidR="00610478" w:rsidRPr="00610478">
        <w:rPr>
          <w:szCs w:val="22"/>
        </w:rPr>
        <w:t xml:space="preserve">006 data cutoff date (14 July 2017), </w:t>
      </w:r>
      <w:r>
        <w:t>Study ALN-TTR02-</w:t>
      </w:r>
      <w:r w:rsidR="00610478" w:rsidRPr="00610478">
        <w:rPr>
          <w:szCs w:val="22"/>
        </w:rPr>
        <w:t xml:space="preserve">003 was completed and all 25 patients who completed </w:t>
      </w:r>
      <w:r>
        <w:t>Study ALN-TTR02-</w:t>
      </w:r>
      <w:r w:rsidR="00610478" w:rsidRPr="00610478">
        <w:rPr>
          <w:szCs w:val="22"/>
        </w:rPr>
        <w:t xml:space="preserve">003 had enrolled in </w:t>
      </w:r>
      <w:r>
        <w:t>Study ALN-TTR02-</w:t>
      </w:r>
      <w:r w:rsidR="00610478" w:rsidRPr="00610478">
        <w:rPr>
          <w:szCs w:val="22"/>
        </w:rPr>
        <w:t>006.</w:t>
      </w:r>
    </w:p>
    <w:p w14:paraId="173D9956" w14:textId="4FD4A54A" w:rsidR="00610478" w:rsidRPr="00610478" w:rsidRDefault="00610478" w:rsidP="00610478">
      <w:pPr>
        <w:rPr>
          <w:szCs w:val="22"/>
        </w:rPr>
      </w:pPr>
      <w:r w:rsidRPr="00610478">
        <w:rPr>
          <w:szCs w:val="22"/>
        </w:rPr>
        <w:t xml:space="preserve">The </w:t>
      </w:r>
      <w:proofErr w:type="gramStart"/>
      <w:r w:rsidR="00E77E58">
        <w:rPr>
          <w:szCs w:val="22"/>
        </w:rPr>
        <w:t xml:space="preserve">three </w:t>
      </w:r>
      <w:r w:rsidRPr="00610478">
        <w:rPr>
          <w:szCs w:val="22"/>
        </w:rPr>
        <w:t>year</w:t>
      </w:r>
      <w:proofErr w:type="gramEnd"/>
      <w:r w:rsidRPr="00610478">
        <w:rPr>
          <w:szCs w:val="22"/>
        </w:rPr>
        <w:t xml:space="preserve"> efficacy and safety data from </w:t>
      </w:r>
      <w:r w:rsidR="00CB63B6">
        <w:t>Study ALN-TTR02-</w:t>
      </w:r>
      <w:r w:rsidRPr="00610478">
        <w:rPr>
          <w:szCs w:val="22"/>
        </w:rPr>
        <w:t xml:space="preserve">006 are consistent with what has previously been observed with </w:t>
      </w:r>
      <w:r w:rsidR="00CB63B6">
        <w:rPr>
          <w:szCs w:val="22"/>
        </w:rPr>
        <w:t>Onpattro</w:t>
      </w:r>
      <w:r w:rsidRPr="00610478">
        <w:rPr>
          <w:szCs w:val="22"/>
        </w:rPr>
        <w:t xml:space="preserve"> in clinical studies and confirms the clinical efficacy and acceptable safety profile of </w:t>
      </w:r>
      <w:r w:rsidR="00CB63B6">
        <w:rPr>
          <w:szCs w:val="22"/>
        </w:rPr>
        <w:t>Onpattro</w:t>
      </w:r>
      <w:r w:rsidRPr="00610478">
        <w:rPr>
          <w:szCs w:val="22"/>
        </w:rPr>
        <w:t xml:space="preserve">. These data also support early treatment intervention to avoid disease progression and that the effects of </w:t>
      </w:r>
      <w:r w:rsidR="00CB63B6">
        <w:rPr>
          <w:szCs w:val="22"/>
        </w:rPr>
        <w:t>Onpattro</w:t>
      </w:r>
      <w:r w:rsidRPr="00610478">
        <w:rPr>
          <w:szCs w:val="22"/>
        </w:rPr>
        <w:t xml:space="preserve"> are maintained with continued treatment. No new safety signals emerged in patients with long</w:t>
      </w:r>
      <w:r w:rsidR="00CB63B6">
        <w:rPr>
          <w:szCs w:val="22"/>
        </w:rPr>
        <w:t xml:space="preserve"> </w:t>
      </w:r>
      <w:r w:rsidRPr="00610478">
        <w:rPr>
          <w:szCs w:val="22"/>
        </w:rPr>
        <w:t xml:space="preserve">term </w:t>
      </w:r>
      <w:r w:rsidR="00CB63B6">
        <w:rPr>
          <w:szCs w:val="22"/>
        </w:rPr>
        <w:t>Onpattro</w:t>
      </w:r>
      <w:r w:rsidRPr="00610478">
        <w:rPr>
          <w:szCs w:val="22"/>
        </w:rPr>
        <w:t xml:space="preserve"> treatment.</w:t>
      </w:r>
    </w:p>
    <w:p w14:paraId="313030F7" w14:textId="77777777" w:rsidR="00610478" w:rsidRPr="00610478" w:rsidRDefault="00610478" w:rsidP="00610478">
      <w:pPr>
        <w:pStyle w:val="Heading6"/>
      </w:pPr>
      <w:r w:rsidRPr="00610478">
        <w:t>Efficacy conclusions</w:t>
      </w:r>
    </w:p>
    <w:p w14:paraId="20D33A77" w14:textId="6F439F99" w:rsidR="00610478" w:rsidRPr="00610478" w:rsidRDefault="00610478" w:rsidP="00610478">
      <w:pPr>
        <w:rPr>
          <w:szCs w:val="22"/>
        </w:rPr>
      </w:pPr>
      <w:r w:rsidRPr="00610478">
        <w:rPr>
          <w:szCs w:val="22"/>
        </w:rPr>
        <w:t xml:space="preserve">The clinical data from </w:t>
      </w:r>
      <w:r w:rsidR="00CB63B6">
        <w:t>Study ALN-TTR02-</w:t>
      </w:r>
      <w:r w:rsidRPr="00610478">
        <w:rPr>
          <w:szCs w:val="22"/>
        </w:rPr>
        <w:t xml:space="preserve">004 show a convincing difference between </w:t>
      </w:r>
      <w:r w:rsidR="00CB63B6">
        <w:rPr>
          <w:szCs w:val="22"/>
        </w:rPr>
        <w:t xml:space="preserve">Onpattro </w:t>
      </w:r>
      <w:r w:rsidRPr="00610478">
        <w:rPr>
          <w:szCs w:val="22"/>
        </w:rPr>
        <w:t>and placebo regardless of baseline disease stages at inclusion for the studied population. However, there is only very limited data in patients with more severe disease and it is therefore not found adequate to extrapolate the results from less severe to more advanced stages of the disease (</w:t>
      </w:r>
      <w:r w:rsidR="00CB63B6">
        <w:rPr>
          <w:szCs w:val="22"/>
        </w:rPr>
        <w:t>p</w:t>
      </w:r>
      <w:r w:rsidR="00CB63B6" w:rsidRPr="00CB63B6">
        <w:rPr>
          <w:szCs w:val="22"/>
        </w:rPr>
        <w:t>olyneuropathy disability</w:t>
      </w:r>
      <w:r w:rsidRPr="00610478">
        <w:rPr>
          <w:szCs w:val="22"/>
        </w:rPr>
        <w:t xml:space="preserve"> stage IV/</w:t>
      </w:r>
      <w:r w:rsidR="00CB63B6">
        <w:t>f</w:t>
      </w:r>
      <w:r w:rsidR="00CB63B6" w:rsidRPr="00CB63B6">
        <w:rPr>
          <w:szCs w:val="22"/>
        </w:rPr>
        <w:t>amilial amyloidotic polyneuropathy</w:t>
      </w:r>
      <w:r w:rsidRPr="00610478">
        <w:rPr>
          <w:szCs w:val="22"/>
        </w:rPr>
        <w:t xml:space="preserve"> stage 3 = non ambulatory patients).</w:t>
      </w:r>
    </w:p>
    <w:p w14:paraId="6276ACB0" w14:textId="786571E2" w:rsidR="00610478" w:rsidRPr="00610478" w:rsidRDefault="00610478" w:rsidP="00610478">
      <w:pPr>
        <w:rPr>
          <w:szCs w:val="22"/>
        </w:rPr>
      </w:pPr>
      <w:r w:rsidRPr="00610478">
        <w:rPr>
          <w:szCs w:val="22"/>
        </w:rPr>
        <w:t xml:space="preserve">Significant effects were seen on the primary and secondary endpoints related to polyneuropathy. However, the study population was restricted to subjects with polyneuropathy but still ambulant, </w:t>
      </w:r>
      <w:r>
        <w:rPr>
          <w:szCs w:val="22"/>
        </w:rPr>
        <w:t>that is</w:t>
      </w:r>
      <w:r w:rsidRPr="00610478">
        <w:rPr>
          <w:szCs w:val="22"/>
        </w:rPr>
        <w:t xml:space="preserve"> more severely affected subjects were excluded. Cardiac endpoints were </w:t>
      </w:r>
      <w:r w:rsidRPr="00610478">
        <w:rPr>
          <w:szCs w:val="22"/>
        </w:rPr>
        <w:lastRenderedPageBreak/>
        <w:t xml:space="preserve">only exploratory and subjects with a severe cardiac involvement were excluded, and hence a broader indication of </w:t>
      </w:r>
      <w:r>
        <w:rPr>
          <w:szCs w:val="22"/>
        </w:rPr>
        <w:t>‘</w:t>
      </w:r>
      <w:r w:rsidRPr="00610478">
        <w:rPr>
          <w:szCs w:val="22"/>
        </w:rPr>
        <w:t xml:space="preserve">adult </w:t>
      </w:r>
      <w:proofErr w:type="spellStart"/>
      <w:r w:rsidRPr="00610478">
        <w:rPr>
          <w:szCs w:val="22"/>
        </w:rPr>
        <w:t>hATTR</w:t>
      </w:r>
      <w:proofErr w:type="spellEnd"/>
      <w:r>
        <w:rPr>
          <w:szCs w:val="22"/>
        </w:rPr>
        <w:t>’</w:t>
      </w:r>
      <w:r w:rsidRPr="00610478">
        <w:rPr>
          <w:szCs w:val="22"/>
        </w:rPr>
        <w:t xml:space="preserve"> is not supported.</w:t>
      </w:r>
    </w:p>
    <w:p w14:paraId="3EEFC52E" w14:textId="139FCDA1" w:rsidR="00CB63B6" w:rsidRDefault="00610478" w:rsidP="00610478">
      <w:pPr>
        <w:rPr>
          <w:szCs w:val="22"/>
        </w:rPr>
      </w:pPr>
      <w:r w:rsidRPr="00610478">
        <w:rPr>
          <w:szCs w:val="22"/>
        </w:rPr>
        <w:t>The available data supports the following indication:</w:t>
      </w:r>
    </w:p>
    <w:p w14:paraId="26133551" w14:textId="0F6C4CC8" w:rsidR="00610478" w:rsidRPr="00CB63B6" w:rsidRDefault="00610478" w:rsidP="00CB63B6">
      <w:pPr>
        <w:ind w:left="720"/>
        <w:rPr>
          <w:i/>
          <w:iCs/>
          <w:szCs w:val="22"/>
        </w:rPr>
      </w:pPr>
      <w:r w:rsidRPr="00CB63B6">
        <w:rPr>
          <w:i/>
          <w:iCs/>
          <w:szCs w:val="22"/>
        </w:rPr>
        <w:t>Onpattro is indicated for the treatment of hereditary transthyretin-mediated amyloidosis (</w:t>
      </w:r>
      <w:proofErr w:type="spellStart"/>
      <w:r w:rsidRPr="00CB63B6">
        <w:rPr>
          <w:i/>
          <w:iCs/>
          <w:szCs w:val="22"/>
        </w:rPr>
        <w:t>hATTR</w:t>
      </w:r>
      <w:proofErr w:type="spellEnd"/>
      <w:r w:rsidRPr="00CB63B6">
        <w:rPr>
          <w:i/>
          <w:iCs/>
          <w:szCs w:val="22"/>
        </w:rPr>
        <w:t xml:space="preserve"> amyloidosis) in adult patients with stage 1 or stage 2 polyneuropathy.</w:t>
      </w:r>
    </w:p>
    <w:p w14:paraId="6112800A" w14:textId="74A059D9" w:rsidR="00610478" w:rsidRDefault="00610478" w:rsidP="00610478">
      <w:pPr>
        <w:pStyle w:val="Heading6"/>
      </w:pPr>
      <w:r>
        <w:t>Safety</w:t>
      </w:r>
    </w:p>
    <w:p w14:paraId="1DC6E95C" w14:textId="4360AA31" w:rsidR="00610478" w:rsidRDefault="00610478" w:rsidP="00610478">
      <w:r>
        <w:t xml:space="preserve">In general, study treatment was well tolerated, with most </w:t>
      </w:r>
      <w:r w:rsidR="00CB63B6">
        <w:t>adverse events (</w:t>
      </w:r>
      <w:r>
        <w:t>AE</w:t>
      </w:r>
      <w:r w:rsidR="00CB63B6">
        <w:t>)</w:t>
      </w:r>
      <w:r>
        <w:t xml:space="preserve"> being mild or moderate in severity. Common treatment</w:t>
      </w:r>
      <w:r w:rsidR="00CB63B6">
        <w:t xml:space="preserve"> </w:t>
      </w:r>
      <w:r>
        <w:t xml:space="preserve">related AEs included mild or moderate </w:t>
      </w:r>
      <w:r w:rsidR="00E605F5">
        <w:t>infusion related reactions</w:t>
      </w:r>
      <w:r>
        <w:t xml:space="preserve"> that required no intervention or were easily managed. Deaths, </w:t>
      </w:r>
      <w:r w:rsidR="00CB63B6">
        <w:t>serious adverse event (</w:t>
      </w:r>
      <w:r>
        <w:t>SAE</w:t>
      </w:r>
      <w:r w:rsidR="00CB63B6">
        <w:t>)</w:t>
      </w:r>
      <w:r>
        <w:t xml:space="preserve">, severe AEs, and AEs leading to study withdrawal were more frequently reported for the </w:t>
      </w:r>
      <w:r w:rsidR="00CB63B6">
        <w:t>p</w:t>
      </w:r>
      <w:r>
        <w:t xml:space="preserve">lacebo group compared to the </w:t>
      </w:r>
      <w:r w:rsidR="00CB63B6">
        <w:t>Onpattro</w:t>
      </w:r>
      <w:r>
        <w:t xml:space="preserve"> groups.</w:t>
      </w:r>
    </w:p>
    <w:p w14:paraId="72F32D36" w14:textId="3C53BDA6" w:rsidR="00610478" w:rsidRDefault="00610478" w:rsidP="00610478">
      <w:r>
        <w:t>The safety profile was consistent across disease stages, across the studies and post-market data.</w:t>
      </w:r>
    </w:p>
    <w:p w14:paraId="761A52B2" w14:textId="3B3512C8" w:rsidR="00610478" w:rsidRDefault="00610478" w:rsidP="00610478">
      <w:proofErr w:type="gramStart"/>
      <w:r>
        <w:t>Overall</w:t>
      </w:r>
      <w:proofErr w:type="gramEnd"/>
      <w:r>
        <w:t xml:space="preserve"> the favourable effects on neuropathy observed in the studies conducted to date appear to outweigh the unfavourable effects in the population studied, </w:t>
      </w:r>
      <w:r w:rsidR="00CB63B6">
        <w:t>that is</w:t>
      </w:r>
      <w:r>
        <w:t xml:space="preserve"> </w:t>
      </w:r>
      <w:proofErr w:type="spellStart"/>
      <w:r>
        <w:t>hATTR</w:t>
      </w:r>
      <w:proofErr w:type="spellEnd"/>
      <w:r>
        <w:t xml:space="preserve"> amyloidosis patients with </w:t>
      </w:r>
      <w:r w:rsidR="00CB63B6">
        <w:t>f</w:t>
      </w:r>
      <w:r w:rsidR="00CB63B6" w:rsidRPr="00CB63B6">
        <w:rPr>
          <w:szCs w:val="22"/>
        </w:rPr>
        <w:t>amilial amyloidotic polyneuropathy</w:t>
      </w:r>
      <w:r>
        <w:t xml:space="preserve"> stage I and II. It is notable that there are uncertainties associated with the clinical relevance of results on cardiac parameters, considering the pronounced effect of patisiran on neurological endpoints and the biological plausibility of an effect also on other manifestations of the disease (supported by the mechanism of action of patisiran and the pathophysiology of the condition).</w:t>
      </w:r>
    </w:p>
    <w:p w14:paraId="6AE36E06" w14:textId="3D8E8596" w:rsidR="00610478" w:rsidRDefault="00610478" w:rsidP="00610478">
      <w:r>
        <w:t>Known important risks include infusion related reactions. Infusion related reactions were shown to occur commonly in the clinical trial program and PBRER’s. They can generally be managed with pre-medication and /r slowing or temporarily stopping the infusion.</w:t>
      </w:r>
    </w:p>
    <w:p w14:paraId="54848517" w14:textId="432F970B" w:rsidR="00610478" w:rsidRDefault="00610478" w:rsidP="00610478">
      <w:r>
        <w:t>Important potential risks include vitamin A deficiency and severe hypersensitivity.</w:t>
      </w:r>
    </w:p>
    <w:p w14:paraId="19F09CC0" w14:textId="51F70661" w:rsidR="00610478" w:rsidRDefault="00610478" w:rsidP="00610478">
      <w:r>
        <w:t>The oversea</w:t>
      </w:r>
      <w:r w:rsidR="00F55A6D">
        <w:t>s</w:t>
      </w:r>
      <w:r>
        <w:t xml:space="preserve"> regulator noted that:</w:t>
      </w:r>
    </w:p>
    <w:p w14:paraId="3EBA2F1E" w14:textId="6C6AD5D8" w:rsidR="00610478" w:rsidRPr="00610478" w:rsidRDefault="00610478" w:rsidP="00610478">
      <w:pPr>
        <w:ind w:left="720"/>
      </w:pPr>
      <w:r w:rsidRPr="00610478">
        <w:t xml:space="preserve">‘Further, the efficacy in patients whose disease is dominated by cardiac manifestations has not been evaluated separately. The </w:t>
      </w:r>
      <w:proofErr w:type="gramStart"/>
      <w:r w:rsidRPr="00610478">
        <w:t>results</w:t>
      </w:r>
      <w:proofErr w:type="gramEnd"/>
      <w:r w:rsidRPr="00610478">
        <w:t xml:space="preserve"> of the pivotal study shows a statistically significant effect on several measured echocardiographic variables as well as on NT</w:t>
      </w:r>
      <w:r w:rsidR="00CB63B6">
        <w:noBreakHyphen/>
      </w:r>
      <w:proofErr w:type="spellStart"/>
      <w:r w:rsidRPr="00610478">
        <w:t>proBNP</w:t>
      </w:r>
      <w:proofErr w:type="spellEnd"/>
      <w:r w:rsidRPr="00610478">
        <w:t xml:space="preserve">, </w:t>
      </w:r>
      <w:proofErr w:type="spellStart"/>
      <w:r w:rsidRPr="00610478">
        <w:t>favoring</w:t>
      </w:r>
      <w:proofErr w:type="spellEnd"/>
      <w:r w:rsidRPr="00610478">
        <w:t xml:space="preserve"> Onpattro compared to placebo. However, it is unclear if these surrogate markers are predictive of clinically relevant outcomes.’</w:t>
      </w:r>
    </w:p>
    <w:p w14:paraId="07AE62AD" w14:textId="0A53856F" w:rsidR="00610478" w:rsidRDefault="00610478" w:rsidP="00610478">
      <w:r>
        <w:t>The oversea</w:t>
      </w:r>
      <w:r w:rsidR="008232F1">
        <w:t>s</w:t>
      </w:r>
      <w:r>
        <w:t xml:space="preserve"> regulator noted that:</w:t>
      </w:r>
    </w:p>
    <w:p w14:paraId="480C32FB" w14:textId="1628ADB9" w:rsidR="00610478" w:rsidRDefault="00610478" w:rsidP="00610478">
      <w:pPr>
        <w:ind w:left="720"/>
      </w:pPr>
      <w:r>
        <w:t>‘The cardiac dysfunction needs to be observed on a long-term way to draw robust conclusion of any beneficial effect considering that the cardiac disease evolves slowly stretched during 4 to 5 years usually.’</w:t>
      </w:r>
    </w:p>
    <w:p w14:paraId="170CA080" w14:textId="273AEACC" w:rsidR="00610478" w:rsidRDefault="00610478" w:rsidP="00610478">
      <w:r>
        <w:t xml:space="preserve">The post-market data showed infusion related reactions are a known serious adverse event associated with Onpattro treatment. Further post-market data to the present date, and updated results from all clinical studies should be requested from the sponsor. </w:t>
      </w:r>
    </w:p>
    <w:p w14:paraId="5A7615C1" w14:textId="77777777" w:rsidR="00610478" w:rsidRDefault="00610478" w:rsidP="00610478">
      <w:r>
        <w:t xml:space="preserve">Missing information: </w:t>
      </w:r>
    </w:p>
    <w:p w14:paraId="7F2D8359" w14:textId="1C4EF5BD" w:rsidR="00610478" w:rsidRDefault="00610478" w:rsidP="00610478">
      <w:pPr>
        <w:pStyle w:val="ListBullet"/>
      </w:pPr>
      <w:r>
        <w:t>Longer</w:t>
      </w:r>
      <w:r w:rsidR="00CB63B6">
        <w:t xml:space="preserve"> </w:t>
      </w:r>
      <w:r>
        <w:t>term safety (&gt;</w:t>
      </w:r>
      <w:r w:rsidR="00CB63B6">
        <w:t xml:space="preserve"> </w:t>
      </w:r>
      <w:r>
        <w:t>3 years)</w:t>
      </w:r>
    </w:p>
    <w:p w14:paraId="1014DF4D" w14:textId="62D38F9E" w:rsidR="00610478" w:rsidRDefault="00610478" w:rsidP="00610478">
      <w:pPr>
        <w:pStyle w:val="ListBullet"/>
      </w:pPr>
      <w:r>
        <w:t>Use in patients with moderate or severe hepatic impairment</w:t>
      </w:r>
      <w:r w:rsidR="00AD4EC7">
        <w:t>.</w:t>
      </w:r>
    </w:p>
    <w:p w14:paraId="0BC74B17" w14:textId="69399E33" w:rsidR="00610478" w:rsidRDefault="00610478" w:rsidP="00610478">
      <w:pPr>
        <w:pStyle w:val="ListBullet"/>
      </w:pPr>
      <w:r>
        <w:t>Use in patients with severe renal impairment or end</w:t>
      </w:r>
      <w:r w:rsidR="00CB63B6">
        <w:t xml:space="preserve"> </w:t>
      </w:r>
      <w:r>
        <w:t>stage renal disease</w:t>
      </w:r>
      <w:r w:rsidR="00AD4EC7">
        <w:t>.</w:t>
      </w:r>
    </w:p>
    <w:p w14:paraId="77987B15" w14:textId="627709C1" w:rsidR="00610478" w:rsidRDefault="00610478" w:rsidP="00610478">
      <w:pPr>
        <w:pStyle w:val="ListBullet"/>
      </w:pPr>
      <w:r>
        <w:t>Use in patients with prior liver transplantation</w:t>
      </w:r>
      <w:r w:rsidR="00AD4EC7">
        <w:t>.</w:t>
      </w:r>
    </w:p>
    <w:p w14:paraId="2FB6CAA4" w14:textId="0BBE1B4A" w:rsidR="00610478" w:rsidRDefault="00610478" w:rsidP="00610478">
      <w:pPr>
        <w:pStyle w:val="ListBullet"/>
      </w:pPr>
      <w:r>
        <w:t>Use in pregnant or lactating women and effects on pregnancy outcomes</w:t>
      </w:r>
      <w:r w:rsidR="00AD4EC7">
        <w:t>.</w:t>
      </w:r>
    </w:p>
    <w:p w14:paraId="1288D2B8" w14:textId="1A4E608A" w:rsidR="00610478" w:rsidRDefault="00610478" w:rsidP="00610478">
      <w:pPr>
        <w:pStyle w:val="ListBullet"/>
        <w:numPr>
          <w:ilvl w:val="0"/>
          <w:numId w:val="0"/>
        </w:numPr>
      </w:pPr>
      <w:r>
        <w:lastRenderedPageBreak/>
        <w:t>Data have been provided out to 3 years, which supports safety in the medium term.</w:t>
      </w:r>
    </w:p>
    <w:p w14:paraId="6C2CCA1C" w14:textId="679E3B3F" w:rsidR="00610478" w:rsidRDefault="00610478" w:rsidP="00610478">
      <w:pPr>
        <w:pStyle w:val="ListBullet"/>
        <w:numPr>
          <w:ilvl w:val="0"/>
          <w:numId w:val="0"/>
        </w:numPr>
      </w:pPr>
      <w:r>
        <w:t xml:space="preserve">Following review of the data presented in </w:t>
      </w:r>
      <w:r w:rsidR="00CB63B6">
        <w:t>second round of evaluation,</w:t>
      </w:r>
      <w:r>
        <w:t xml:space="preserve"> the benefit/risk profile of </w:t>
      </w:r>
      <w:r w:rsidR="00CB63B6">
        <w:t>Onpattro</w:t>
      </w:r>
      <w:r>
        <w:t xml:space="preserve"> remains positive for the indications proposed.</w:t>
      </w:r>
    </w:p>
    <w:p w14:paraId="7FB4E066" w14:textId="77777777" w:rsidR="00610478" w:rsidRDefault="00610478" w:rsidP="00610478">
      <w:pPr>
        <w:pStyle w:val="ListBullet"/>
        <w:numPr>
          <w:ilvl w:val="0"/>
          <w:numId w:val="0"/>
        </w:numPr>
        <w:ind w:left="360" w:hanging="360"/>
      </w:pPr>
      <w:r>
        <w:t>Conditions of registration:</w:t>
      </w:r>
    </w:p>
    <w:p w14:paraId="5911B758" w14:textId="6D1E70D1" w:rsidR="00610478" w:rsidRDefault="00610478" w:rsidP="00610478">
      <w:pPr>
        <w:pStyle w:val="ListBullet"/>
      </w:pPr>
      <w:r>
        <w:t>Provide updated data from all ongoing studies as they become available.</w:t>
      </w:r>
    </w:p>
    <w:p w14:paraId="17B3826A" w14:textId="18D30793" w:rsidR="00610478" w:rsidRDefault="00610478" w:rsidP="00610478">
      <w:pPr>
        <w:pStyle w:val="ListBullet"/>
      </w:pPr>
      <w:r>
        <w:t>Provide updated post-market data in the form of PSUR’s /PBRERs as they become available.</w:t>
      </w:r>
    </w:p>
    <w:p w14:paraId="5C9ECF02" w14:textId="0A5AD258" w:rsidR="00610478" w:rsidRDefault="00610478" w:rsidP="00610478">
      <w:pPr>
        <w:pStyle w:val="Heading6"/>
      </w:pPr>
      <w:r>
        <w:t xml:space="preserve">Risk </w:t>
      </w:r>
      <w:r w:rsidR="00AD4EC7">
        <w:t>m</w:t>
      </w:r>
      <w:r>
        <w:t xml:space="preserve">anagement </w:t>
      </w:r>
      <w:r w:rsidR="00AD4EC7">
        <w:t>p</w:t>
      </w:r>
      <w:r>
        <w:t>lan</w:t>
      </w:r>
    </w:p>
    <w:p w14:paraId="537869E6" w14:textId="77777777" w:rsidR="00610478" w:rsidRDefault="00610478" w:rsidP="00F431C3">
      <w:pPr>
        <w:pStyle w:val="ListBullet"/>
        <w:numPr>
          <w:ilvl w:val="0"/>
          <w:numId w:val="0"/>
        </w:numPr>
      </w:pPr>
      <w:r>
        <w:t>The summary of safety concerns is acceptable from a risk management perspective. Routine pharmacovigilance activities are proposed for all safety concerns. Routine and additional risk minimisation activities have been proposed. The additional activities include educational materials for healthcare professionals and patients for minimising the risk of infusion-related reactions when Onpattro is administered in the home setting.</w:t>
      </w:r>
    </w:p>
    <w:p w14:paraId="3916F296" w14:textId="77777777" w:rsidR="00C22214" w:rsidRDefault="00C22214" w:rsidP="00C22214">
      <w:pPr>
        <w:pStyle w:val="Heading4"/>
      </w:pPr>
      <w:bookmarkStart w:id="69" w:name="_Toc98931933"/>
      <w:bookmarkStart w:id="70" w:name="_Toc144277339"/>
      <w:r w:rsidRPr="00D23139">
        <w:t>Proposed action</w:t>
      </w:r>
      <w:bookmarkEnd w:id="69"/>
      <w:bookmarkEnd w:id="70"/>
    </w:p>
    <w:p w14:paraId="4F79526F" w14:textId="60A35269" w:rsidR="00F431C3" w:rsidRDefault="00F431C3" w:rsidP="00F431C3">
      <w:bookmarkStart w:id="71" w:name="_Toc98931934"/>
      <w:r>
        <w:t>The Delegate considered that there are sufficient data to support the efficacy of Onpattro for the proposed indication and the overall safety profile is considered acceptable. The benefit/risk profile appears to be positive.</w:t>
      </w:r>
    </w:p>
    <w:p w14:paraId="318CFABC" w14:textId="77777777" w:rsidR="00C22214" w:rsidRPr="00F73346" w:rsidRDefault="00C22214" w:rsidP="00C22214">
      <w:pPr>
        <w:pStyle w:val="Heading4"/>
      </w:pPr>
      <w:bookmarkStart w:id="72" w:name="_Toc98931936"/>
      <w:bookmarkStart w:id="73" w:name="_Toc144277340"/>
      <w:bookmarkStart w:id="74" w:name="_Toc247691532"/>
      <w:bookmarkStart w:id="75" w:name="_Toc314842516"/>
      <w:bookmarkEnd w:id="71"/>
      <w:r w:rsidRPr="00F73346">
        <w:t>Advisory Committee considerations</w:t>
      </w:r>
      <w:bookmarkEnd w:id="72"/>
      <w:bookmarkEnd w:id="73"/>
    </w:p>
    <w:p w14:paraId="15E2951C" w14:textId="0E9E4421" w:rsidR="00C22214" w:rsidRPr="00BD5DBD" w:rsidRDefault="00C22214" w:rsidP="00C22214">
      <w:pPr>
        <w:rPr>
          <w:szCs w:val="22"/>
        </w:rPr>
      </w:pPr>
      <w:r w:rsidRPr="00BD5DBD">
        <w:rPr>
          <w:szCs w:val="22"/>
        </w:rPr>
        <w:t>The Delegate did not refer this submission to the Advisory Committee on Medicines for advice.</w:t>
      </w:r>
    </w:p>
    <w:p w14:paraId="307F236C" w14:textId="77777777" w:rsidR="00C22214" w:rsidRPr="002E238E" w:rsidRDefault="00C22214" w:rsidP="00C22214">
      <w:pPr>
        <w:pStyle w:val="Heading2"/>
      </w:pPr>
      <w:bookmarkStart w:id="76" w:name="_Toc103679300"/>
      <w:bookmarkStart w:id="77" w:name="_Toc144277341"/>
      <w:r>
        <w:t>Outcome</w:t>
      </w:r>
      <w:bookmarkEnd w:id="74"/>
      <w:bookmarkEnd w:id="75"/>
      <w:bookmarkEnd w:id="76"/>
      <w:bookmarkEnd w:id="77"/>
    </w:p>
    <w:p w14:paraId="4EF22939" w14:textId="61276DBB" w:rsidR="00C22214" w:rsidRPr="00BD5DBD" w:rsidRDefault="00C22214" w:rsidP="00F431C3">
      <w:r w:rsidRPr="00BD5DBD">
        <w:t xml:space="preserve">Based on a review of quality, safety, and efficacy, the TGA approved the registration of </w:t>
      </w:r>
      <w:r w:rsidR="00F431C3">
        <w:t>Onpattro (patisiran</w:t>
      </w:r>
      <w:r w:rsidR="00F431C3" w:rsidRPr="00BD5DBD">
        <w:rPr>
          <w:szCs w:val="22"/>
        </w:rPr>
        <w:t xml:space="preserve">) </w:t>
      </w:r>
      <w:r w:rsidR="00F431C3">
        <w:rPr>
          <w:szCs w:val="22"/>
        </w:rPr>
        <w:t>10 mg/5 mL</w:t>
      </w:r>
      <w:r w:rsidR="00F431C3" w:rsidRPr="00BD5DBD">
        <w:rPr>
          <w:szCs w:val="22"/>
        </w:rPr>
        <w:t xml:space="preserve">, </w:t>
      </w:r>
      <w:r w:rsidR="00F431C3">
        <w:rPr>
          <w:szCs w:val="22"/>
        </w:rPr>
        <w:t>c</w:t>
      </w:r>
      <w:r w:rsidR="00F431C3" w:rsidRPr="007A0E2D">
        <w:rPr>
          <w:szCs w:val="22"/>
        </w:rPr>
        <w:t>oncentrated injection for infusion</w:t>
      </w:r>
      <w:r w:rsidR="00F431C3" w:rsidRPr="00BD5DBD">
        <w:rPr>
          <w:szCs w:val="22"/>
        </w:rPr>
        <w:t xml:space="preserve">, </w:t>
      </w:r>
      <w:r w:rsidR="00F431C3">
        <w:rPr>
          <w:szCs w:val="22"/>
        </w:rPr>
        <w:t>vial</w:t>
      </w:r>
      <w:r w:rsidRPr="00BD5DBD">
        <w:t xml:space="preserve"> indicated for:</w:t>
      </w:r>
    </w:p>
    <w:p w14:paraId="6FDBC592" w14:textId="66011AAC" w:rsidR="00F431C3" w:rsidRPr="00F431C3" w:rsidRDefault="00F431C3" w:rsidP="00F431C3">
      <w:pPr>
        <w:ind w:left="720"/>
        <w:rPr>
          <w:i/>
          <w:iCs/>
        </w:rPr>
      </w:pPr>
      <w:bookmarkStart w:id="78" w:name="_Toc103679302"/>
      <w:r w:rsidRPr="00F431C3">
        <w:rPr>
          <w:i/>
          <w:iCs/>
        </w:rPr>
        <w:t>Onpattro is indicated for the treatment of hereditary transthyretin-mediated amyloidosis (</w:t>
      </w:r>
      <w:proofErr w:type="spellStart"/>
      <w:r w:rsidRPr="00F431C3">
        <w:rPr>
          <w:i/>
          <w:iCs/>
        </w:rPr>
        <w:t>hATTR</w:t>
      </w:r>
      <w:proofErr w:type="spellEnd"/>
      <w:r w:rsidRPr="00F431C3">
        <w:rPr>
          <w:i/>
          <w:iCs/>
        </w:rPr>
        <w:t xml:space="preserve"> amyloidosis) in adult patients with stage 1 or stage polyneuropathy.</w:t>
      </w:r>
    </w:p>
    <w:p w14:paraId="0D732DA4" w14:textId="77777777" w:rsidR="00854D98" w:rsidRPr="00D23139" w:rsidRDefault="00854D98" w:rsidP="00854D98">
      <w:pPr>
        <w:pStyle w:val="Heading3"/>
      </w:pPr>
      <w:bookmarkStart w:id="79" w:name="_Toc103679301"/>
      <w:bookmarkStart w:id="80" w:name="_Toc144277342"/>
      <w:bookmarkEnd w:id="78"/>
      <w:r w:rsidRPr="00D23139">
        <w:t>Specific conditions of registration applying to these goods</w:t>
      </w:r>
      <w:bookmarkEnd w:id="79"/>
      <w:bookmarkEnd w:id="80"/>
    </w:p>
    <w:p w14:paraId="43B2E844" w14:textId="663C607C" w:rsidR="00F431C3" w:rsidRDefault="00F431C3" w:rsidP="00F431C3">
      <w:pPr>
        <w:pStyle w:val="ListBullet"/>
      </w:pPr>
      <w:r>
        <w:t>Onpattro (patisiran) is to be included in the Black Triangle Scheme. The PI and CMI for Onpattro must include the black triangle symbol and mandatory accompanying text for five years, which starts from the date that the sponsor notifies the TGA of supply of the product.</w:t>
      </w:r>
    </w:p>
    <w:p w14:paraId="0767DBB9" w14:textId="1308B96C" w:rsidR="00F431C3" w:rsidRDefault="00F431C3" w:rsidP="00F431C3">
      <w:pPr>
        <w:pStyle w:val="ListBullet"/>
      </w:pPr>
      <w:r w:rsidRPr="00F431C3">
        <w:t>The O</w:t>
      </w:r>
      <w:r>
        <w:t>npattro</w:t>
      </w:r>
      <w:r w:rsidRPr="00F431C3">
        <w:t xml:space="preserve"> EU-RMP (version 1.0, dated 25 July 2018,</w:t>
      </w:r>
      <w:r>
        <w:t xml:space="preserve"> </w:t>
      </w:r>
      <w:r w:rsidRPr="00F431C3">
        <w:t xml:space="preserve">data lock point 14 September 2017), with </w:t>
      </w:r>
      <w:r>
        <w:t>ASA</w:t>
      </w:r>
      <w:r w:rsidRPr="00F431C3">
        <w:t xml:space="preserve"> (version 0.2, dated</w:t>
      </w:r>
      <w:r>
        <w:t xml:space="preserve"> </w:t>
      </w:r>
      <w:r w:rsidRPr="00F431C3">
        <w:t>14 July 2022), included with submission PM-2021-05675-1-1, to be revised to the</w:t>
      </w:r>
      <w:r>
        <w:t xml:space="preserve"> </w:t>
      </w:r>
      <w:r w:rsidRPr="00F431C3">
        <w:t>satisfaction of the TGA, and any subsequent revisions, will be implemented in Australia.</w:t>
      </w:r>
    </w:p>
    <w:p w14:paraId="4E5FFC29" w14:textId="77777777" w:rsidR="00F431C3" w:rsidRDefault="00F431C3" w:rsidP="00F431C3">
      <w:pPr>
        <w:pStyle w:val="ListBullet"/>
        <w:numPr>
          <w:ilvl w:val="0"/>
          <w:numId w:val="0"/>
        </w:numPr>
        <w:ind w:left="360"/>
      </w:pPr>
      <w:r w:rsidRPr="00F431C3">
        <w:t>An obligatory component of risk management plans is routine pharmacovigilance.</w:t>
      </w:r>
      <w:r>
        <w:t xml:space="preserve"> </w:t>
      </w:r>
      <w:r w:rsidRPr="00F431C3">
        <w:t>Routine pharmacovigilance includes the submission of periodic safety update reports</w:t>
      </w:r>
      <w:r>
        <w:t xml:space="preserve"> </w:t>
      </w:r>
      <w:r w:rsidRPr="00F431C3">
        <w:t>(PSURs).</w:t>
      </w:r>
    </w:p>
    <w:p w14:paraId="1CC543CD" w14:textId="77777777" w:rsidR="00F431C3" w:rsidRDefault="00F431C3" w:rsidP="00F431C3">
      <w:pPr>
        <w:pStyle w:val="ListBullet"/>
        <w:numPr>
          <w:ilvl w:val="0"/>
          <w:numId w:val="0"/>
        </w:numPr>
        <w:ind w:left="360"/>
      </w:pPr>
      <w:r w:rsidRPr="00F431C3">
        <w:t>Reports are to be provided in line with the current published list of EU reference dates</w:t>
      </w:r>
      <w:r>
        <w:t xml:space="preserve"> </w:t>
      </w:r>
      <w:r w:rsidRPr="00F431C3">
        <w:t>and frequency of submission of PSURs until the period covered by such reports is not</w:t>
      </w:r>
      <w:r>
        <w:t xml:space="preserve"> </w:t>
      </w:r>
      <w:r w:rsidRPr="00F431C3">
        <w:t>less than three years from the date of this approval letter.</w:t>
      </w:r>
      <w:r>
        <w:t xml:space="preserve"> </w:t>
      </w:r>
    </w:p>
    <w:p w14:paraId="6A6C6399" w14:textId="0C674C0F" w:rsidR="00F431C3" w:rsidRPr="00F431C3" w:rsidRDefault="00F431C3" w:rsidP="00F431C3">
      <w:pPr>
        <w:pStyle w:val="ListBullet"/>
        <w:numPr>
          <w:ilvl w:val="0"/>
          <w:numId w:val="0"/>
        </w:numPr>
        <w:ind w:left="360"/>
      </w:pPr>
      <w:r w:rsidRPr="00F431C3">
        <w:lastRenderedPageBreak/>
        <w:t>The reports are to at least meet the requirements for PSURs as described in the</w:t>
      </w:r>
      <w:r>
        <w:t xml:space="preserve"> </w:t>
      </w:r>
      <w:r w:rsidRPr="00F431C3">
        <w:t>European Medicines Agency’s Guideline on good pharmacovigilance practices (GVP)</w:t>
      </w:r>
      <w:r>
        <w:t xml:space="preserve"> </w:t>
      </w:r>
      <w:r w:rsidRPr="00F431C3">
        <w:t>Module VII-periodic</w:t>
      </w:r>
      <w:r>
        <w:t xml:space="preserve"> </w:t>
      </w:r>
      <w:r w:rsidRPr="00F431C3">
        <w:t>safety update report (Rev 1), Part VII.B Structures and processes.</w:t>
      </w:r>
      <w:r>
        <w:t xml:space="preserve"> </w:t>
      </w:r>
      <w:r w:rsidRPr="00F431C3">
        <w:t>Note that submission of a PSUR does not constitute an application to vary the</w:t>
      </w:r>
      <w:r>
        <w:t xml:space="preserve"> </w:t>
      </w:r>
      <w:r w:rsidRPr="00F431C3">
        <w:t>registration.</w:t>
      </w:r>
    </w:p>
    <w:p w14:paraId="5B35E190" w14:textId="674C3347" w:rsidR="00F431C3" w:rsidRPr="00F431C3" w:rsidRDefault="00F431C3" w:rsidP="00F431C3">
      <w:pPr>
        <w:pStyle w:val="ListBullet"/>
      </w:pPr>
      <w:r w:rsidRPr="00F431C3">
        <w:t>Provide updated data from all ongoing studies as they become available.</w:t>
      </w:r>
    </w:p>
    <w:p w14:paraId="354E6524" w14:textId="0418946D" w:rsidR="00F431C3" w:rsidRPr="00F431C3" w:rsidRDefault="00F431C3" w:rsidP="00F431C3">
      <w:pPr>
        <w:pStyle w:val="ListBullet"/>
      </w:pPr>
      <w:r w:rsidRPr="00F431C3">
        <w:t>Provide updated post-market data in the form of PSURs/PBRERs as they become</w:t>
      </w:r>
      <w:r>
        <w:t xml:space="preserve"> </w:t>
      </w:r>
      <w:r w:rsidRPr="00F431C3">
        <w:t>available</w:t>
      </w:r>
      <w:r>
        <w:t>.</w:t>
      </w:r>
    </w:p>
    <w:p w14:paraId="451DC3FC" w14:textId="77777777" w:rsidR="00C22214" w:rsidRDefault="00C22214" w:rsidP="00C22214">
      <w:pPr>
        <w:pStyle w:val="Heading2"/>
      </w:pPr>
      <w:bookmarkStart w:id="81" w:name="_Toc103679303"/>
      <w:bookmarkStart w:id="82" w:name="_Toc144277343"/>
      <w:r>
        <w:t>Attachment 1. Product Information</w:t>
      </w:r>
      <w:bookmarkEnd w:id="81"/>
      <w:bookmarkEnd w:id="82"/>
    </w:p>
    <w:p w14:paraId="21F47164" w14:textId="734BAB8C" w:rsidR="00C22214" w:rsidRPr="00BD5DBD" w:rsidRDefault="00C22214" w:rsidP="00C22214">
      <w:pPr>
        <w:rPr>
          <w:szCs w:val="22"/>
        </w:rPr>
      </w:pPr>
      <w:r w:rsidRPr="00BD5DBD">
        <w:rPr>
          <w:szCs w:val="22"/>
        </w:rPr>
        <w:t>The PI for</w:t>
      </w:r>
      <w:r w:rsidR="00F431C3">
        <w:rPr>
          <w:szCs w:val="22"/>
        </w:rPr>
        <w:t xml:space="preserve"> Onpattro</w:t>
      </w:r>
      <w:r w:rsidRPr="00BD5DBD">
        <w:rPr>
          <w:szCs w:val="22"/>
        </w:rPr>
        <w:t xml:space="preserve"> approved with the submission which is described in this AusPAR is at Attachment 1. For the most recent PI, please refer to the TGA </w:t>
      </w:r>
      <w:hyperlink r:id="rId28"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29"/>
          <w:footerReference w:type="default" r:id="rId3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6"/>
          <w:bookmarkEnd w:id="7"/>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7F5BC9D5" w:rsidR="00F02AEC" w:rsidRDefault="00F02AEC">
            <w:pPr>
              <w:pStyle w:val="Address"/>
              <w:jc w:val="center"/>
              <w:rPr>
                <w:sz w:val="22"/>
                <w:szCs w:val="22"/>
              </w:rPr>
            </w:pPr>
            <w:r w:rsidRPr="00215D48">
              <w:t xml:space="preserve">Email: </w:t>
            </w:r>
            <w:hyperlink r:id="rId3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5D93040C" w:rsidR="00F02AEC" w:rsidRPr="00215D48" w:rsidRDefault="00DB29BA">
            <w:pPr>
              <w:pStyle w:val="Address"/>
              <w:jc w:val="center"/>
              <w:rPr>
                <w:rStyle w:val="Hyperlink"/>
                <w:b/>
                <w:color w:val="auto"/>
                <w:sz w:val="22"/>
              </w:rPr>
            </w:pPr>
            <w:hyperlink r:id="rId3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33"/>
      <w:footerReference w:type="first" r:id="rId3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758CF" w14:textId="77777777" w:rsidR="00BB46A5" w:rsidRDefault="00BB46A5" w:rsidP="00F02AEC">
      <w:pPr>
        <w:spacing w:after="0" w:line="240" w:lineRule="auto"/>
      </w:pPr>
      <w:r>
        <w:separator/>
      </w:r>
    </w:p>
  </w:endnote>
  <w:endnote w:type="continuationSeparator" w:id="0">
    <w:p w14:paraId="6B7B2F34" w14:textId="77777777" w:rsidR="00BB46A5" w:rsidRDefault="00BB46A5"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DB29BA">
                <w:fldChar w:fldCharType="begin"/>
              </w:r>
              <w:r w:rsidR="00DB29BA">
                <w:instrText xml:space="preserve"> NUMPAGES  </w:instrText>
              </w:r>
              <w:r w:rsidR="00DB29BA">
                <w:fldChar w:fldCharType="separate"/>
              </w:r>
              <w:r>
                <w:rPr>
                  <w:noProof/>
                </w:rPr>
                <w:t>2</w:t>
              </w:r>
              <w:r w:rsidR="00DB29BA">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ED1F97" w:rsidRPr="004A3084" w14:paraId="6266BC33" w14:textId="77777777" w:rsidTr="007452E8">
      <w:trPr>
        <w:trHeight w:val="423"/>
      </w:trPr>
      <w:tc>
        <w:tcPr>
          <w:tcW w:w="7338" w:type="dxa"/>
          <w:tcBorders>
            <w:top w:val="single" w:sz="4" w:space="0" w:color="auto"/>
          </w:tcBorders>
        </w:tcPr>
        <w:p w14:paraId="3C421323" w14:textId="318F078C" w:rsidR="00ED1F97" w:rsidRPr="004A3084" w:rsidRDefault="00ED1F97" w:rsidP="00ED1F97">
          <w:pPr>
            <w:pStyle w:val="Footer"/>
          </w:pPr>
          <w:r w:rsidRPr="00487162">
            <w:t>AusPA</w:t>
          </w:r>
          <w:r>
            <w:t>R - Onpattro -</w:t>
          </w:r>
          <w:r w:rsidRPr="00460036">
            <w:t xml:space="preserve"> </w:t>
          </w:r>
          <w:r>
            <w:t>patisiran</w:t>
          </w:r>
          <w:r w:rsidRPr="00460036">
            <w:t xml:space="preserve"> </w:t>
          </w:r>
          <w:r>
            <w:t xml:space="preserve">- </w:t>
          </w:r>
          <w:r w:rsidRPr="002D122D">
            <w:t>Alnylam Australia Pty Ltd</w:t>
          </w:r>
          <w:r>
            <w:t xml:space="preserve"> - </w:t>
          </w:r>
          <w:bookmarkStart w:id="83" w:name="_Hlk144275092"/>
          <w:r>
            <w:rPr>
              <w:rFonts w:cs="Cambria"/>
              <w:szCs w:val="22"/>
            </w:rPr>
            <w:t>PM-2021-05675-1-1</w:t>
          </w:r>
          <w:bookmarkEnd w:id="83"/>
          <w:r>
            <w:br/>
            <w:t xml:space="preserve">FINAL </w:t>
          </w:r>
          <w:bookmarkStart w:id="84" w:name="_Hlk144275111"/>
          <w:r>
            <w:t>24 August 2023</w:t>
          </w:r>
          <w:bookmarkEnd w:id="84"/>
        </w:p>
      </w:tc>
      <w:tc>
        <w:tcPr>
          <w:tcW w:w="1734" w:type="dxa"/>
          <w:tcBorders>
            <w:top w:val="single" w:sz="4" w:space="0" w:color="auto"/>
          </w:tcBorders>
        </w:tcPr>
        <w:sdt>
          <w:sdtPr>
            <w:id w:val="11571659"/>
            <w:docPartObj>
              <w:docPartGallery w:val="Page Numbers (Top of Page)"/>
              <w:docPartUnique/>
            </w:docPartObj>
          </w:sdtPr>
          <w:sdtEndPr/>
          <w:sdtContent>
            <w:p w14:paraId="4DE4ED0C" w14:textId="7F0261FB" w:rsidR="00ED1F97" w:rsidRPr="004A3084" w:rsidRDefault="00ED1F97" w:rsidP="00ED1F97">
              <w:pPr>
                <w:pStyle w:val="Footer"/>
                <w:jc w:val="right"/>
              </w:pPr>
              <w:r w:rsidRPr="004A3084">
                <w:t xml:space="preserve">Page </w:t>
              </w:r>
              <w:r>
                <w:fldChar w:fldCharType="begin"/>
              </w:r>
              <w:r>
                <w:instrText xml:space="preserve"> PAGE </w:instrText>
              </w:r>
              <w:r>
                <w:fldChar w:fldCharType="separate"/>
              </w:r>
              <w:r>
                <w:rPr>
                  <w:noProof/>
                </w:rPr>
                <w:t>13</w:t>
              </w:r>
              <w:r>
                <w:rPr>
                  <w:noProof/>
                </w:rPr>
                <w:fldChar w:fldCharType="end"/>
              </w:r>
              <w:r w:rsidRPr="004A3084">
                <w:t xml:space="preserve"> of </w:t>
              </w:r>
              <w:fldSimple w:instr=" NUMPAGES  ">
                <w:r>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18270" w14:textId="77777777" w:rsidR="00BB46A5" w:rsidRDefault="00BB46A5" w:rsidP="00F02AEC">
      <w:pPr>
        <w:spacing w:after="0" w:line="240" w:lineRule="auto"/>
      </w:pPr>
      <w:r>
        <w:separator/>
      </w:r>
    </w:p>
  </w:footnote>
  <w:footnote w:type="continuationSeparator" w:id="0">
    <w:p w14:paraId="512EB378" w14:textId="77777777" w:rsidR="00BB46A5" w:rsidRDefault="00BB46A5"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2C022E49" w14:textId="4B6EB9AB" w:rsidR="00E366CE" w:rsidRDefault="00E366CE" w:rsidP="00E366CE">
      <w:pPr>
        <w:pStyle w:val="FootnoteText"/>
      </w:pPr>
      <w:r>
        <w:rPr>
          <w:rStyle w:val="FootnoteReference"/>
        </w:rPr>
        <w:footnoteRef/>
      </w:r>
      <w:r>
        <w:t xml:space="preserve"> Patisiran-LNP was first approved in the UK on 27 August 2018 via the EU CAP. The EU </w:t>
      </w:r>
      <w:proofErr w:type="gramStart"/>
      <w:r>
        <w:t>centrally-authorised</w:t>
      </w:r>
      <w:proofErr w:type="gramEnd"/>
      <w:r>
        <w:t xml:space="preserve"> Marketing Authorisation was automatically converted to a UK Marketing Authorisation, effective in Great Britain only, and issued with a UK Marketing Authorisation number on 01 January 2021. From 01 January 2021, the existing </w:t>
      </w:r>
      <w:proofErr w:type="gramStart"/>
      <w:r>
        <w:t>centrally-authorised</w:t>
      </w:r>
      <w:proofErr w:type="gramEnd"/>
      <w:r>
        <w:t xml:space="preserve"> Marketing Authorisation issued by the European Medicines Agency will continue in place in Northern Ireland where it remains subject to EU Regulations.</w:t>
      </w:r>
    </w:p>
  </w:footnote>
  <w:footnote w:id="3">
    <w:p w14:paraId="5D23B956" w14:textId="32C01AD5" w:rsidR="00E2099D" w:rsidRDefault="00E2099D">
      <w:pPr>
        <w:pStyle w:val="FootnoteText"/>
      </w:pPr>
      <w:r>
        <w:rPr>
          <w:rStyle w:val="FootnoteReference"/>
        </w:rPr>
        <w:footnoteRef/>
      </w:r>
      <w:r>
        <w:t xml:space="preserve"> </w:t>
      </w:r>
      <w:r w:rsidRPr="00E2099D">
        <w:t>International scientific guideline: ICH guideline M3(R2) on non-clinical safety studies for the conduct of human clinical trials and marketing authorisation for pharmaceuticals</w:t>
      </w:r>
      <w:r>
        <w:t xml:space="preserve">. </w:t>
      </w:r>
      <w:r w:rsidRPr="00E2099D">
        <w:t>EMA/CPMP/ICH/286/1995</w:t>
      </w:r>
      <w:r>
        <w:t>.</w:t>
      </w:r>
    </w:p>
  </w:footnote>
  <w:footnote w:id="4">
    <w:p w14:paraId="0797FCE8" w14:textId="0B19F930" w:rsidR="00E2099D" w:rsidRDefault="00E2099D">
      <w:pPr>
        <w:pStyle w:val="FootnoteText"/>
      </w:pPr>
      <w:r>
        <w:rPr>
          <w:rStyle w:val="FootnoteReference"/>
        </w:rPr>
        <w:footnoteRef/>
      </w:r>
      <w:r>
        <w:t xml:space="preserve"> Pregnancy category D: </w:t>
      </w:r>
      <w:r w:rsidRPr="00E2099D">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5">
    <w:p w14:paraId="2D004081" w14:textId="5654F11A" w:rsidR="00E2099D" w:rsidRDefault="00E2099D">
      <w:pPr>
        <w:pStyle w:val="FootnoteText"/>
      </w:pPr>
      <w:r>
        <w:rPr>
          <w:rStyle w:val="FootnoteReference"/>
        </w:rPr>
        <w:footnoteRef/>
      </w:r>
      <w:r>
        <w:t xml:space="preserve"> A</w:t>
      </w:r>
      <w:r w:rsidRPr="00E2099D">
        <w:t xml:space="preserve"> novel small interfering ribonucleic acid</w:t>
      </w:r>
    </w:p>
  </w:footnote>
  <w:footnote w:id="6">
    <w:p w14:paraId="67A36E0A" w14:textId="19DF88D2" w:rsidR="00900DD5" w:rsidRDefault="00900DD5">
      <w:pPr>
        <w:pStyle w:val="FootnoteText"/>
      </w:pPr>
      <w:r>
        <w:rPr>
          <w:rStyle w:val="FootnoteReference"/>
        </w:rPr>
        <w:footnoteRef/>
      </w:r>
      <w:r>
        <w:t xml:space="preserve"> M</w:t>
      </w:r>
      <w:r w:rsidRPr="00900DD5">
        <w:t xml:space="preserve">odified </w:t>
      </w:r>
      <w:r>
        <w:t>n</w:t>
      </w:r>
      <w:r w:rsidRPr="00900DD5">
        <w:t xml:space="preserve">europathy </w:t>
      </w:r>
      <w:r>
        <w:t>i</w:t>
      </w:r>
      <w:r w:rsidRPr="00900DD5">
        <w:t xml:space="preserve">mpairment </w:t>
      </w:r>
      <w:r>
        <w:t>s</w:t>
      </w:r>
      <w:r w:rsidRPr="00900DD5">
        <w:t>core</w:t>
      </w:r>
      <w:r>
        <w:t xml:space="preserve"> </w:t>
      </w:r>
      <w:r w:rsidRPr="00900DD5">
        <w:t>was specifically designed to assess polyneuropathy impairment in patients with hATTR amyloidosis</w:t>
      </w:r>
      <w:r>
        <w:t>.</w:t>
      </w:r>
    </w:p>
  </w:footnote>
  <w:footnote w:id="7">
    <w:p w14:paraId="14FCBEE4" w14:textId="77777777" w:rsidR="00CD4BE8" w:rsidRDefault="00CD4BE8" w:rsidP="00CD4BE8">
      <w:pPr>
        <w:pStyle w:val="FootnoteText"/>
      </w:pPr>
      <w:r>
        <w:rPr>
          <w:rStyle w:val="FootnoteReference"/>
        </w:rPr>
        <w:footnoteRef/>
      </w:r>
      <w:r>
        <w:t xml:space="preserve"> New York Heart Association (NYHA) classification: </w:t>
      </w:r>
    </w:p>
    <w:p w14:paraId="3F33E5CE" w14:textId="77777777" w:rsidR="00CD4BE8" w:rsidRDefault="00CD4BE8" w:rsidP="00CD4BE8">
      <w:pPr>
        <w:pStyle w:val="FootnoteText"/>
      </w:pPr>
      <w:r>
        <w:t xml:space="preserve">Class I: No limitations. Ordinary physical activity does not cause undue fatigue, </w:t>
      </w:r>
      <w:proofErr w:type="gramStart"/>
      <w:r>
        <w:t>dyspnoea</w:t>
      </w:r>
      <w:proofErr w:type="gramEnd"/>
      <w:r>
        <w:t xml:space="preserve"> or palpitations (asymptomatic left ventricular dysfunction). Metabolic equivalent (MET) &gt; 7. </w:t>
      </w:r>
    </w:p>
    <w:p w14:paraId="4503D36C" w14:textId="77777777" w:rsidR="00CD4BE8" w:rsidRDefault="00CD4BE8" w:rsidP="00CD4BE8">
      <w:pPr>
        <w:pStyle w:val="FootnoteText"/>
      </w:pPr>
      <w:r>
        <w:t xml:space="preserve">Class II: Slight limitation of physical activity. Ordinary physical activity results in fatigue, palpitation, </w:t>
      </w:r>
      <w:proofErr w:type="gramStart"/>
      <w:r>
        <w:t>dyspnoea</w:t>
      </w:r>
      <w:proofErr w:type="gramEnd"/>
      <w:r>
        <w:t xml:space="preserve"> or angina pectoris (mild congestive heart failure). MET = 5.</w:t>
      </w:r>
    </w:p>
    <w:p w14:paraId="3ED2A9EE" w14:textId="77777777" w:rsidR="00CD4BE8" w:rsidRDefault="00CD4BE8" w:rsidP="00CD4BE8">
      <w:pPr>
        <w:pStyle w:val="FootnoteText"/>
      </w:pPr>
      <w:r>
        <w:t>Class III: Marked limitation of physical activity. Less than ordinary physical activity leads to symptoms (moderate congestive heart failure). MET = 2–3.</w:t>
      </w:r>
    </w:p>
    <w:p w14:paraId="32CDE52E" w14:textId="77777777" w:rsidR="00CD4BE8" w:rsidRDefault="00CD4BE8" w:rsidP="00CD4BE8">
      <w:pPr>
        <w:pStyle w:val="FootnoteText"/>
      </w:pPr>
      <w:r>
        <w:t>Class IV: Unable to carry on any physical activity without discomfort. Symptoms of congestive heart failure present at rest (severe congestive heart failure). MET = 1.6.</w:t>
      </w:r>
    </w:p>
  </w:footnote>
  <w:footnote w:id="8">
    <w:p w14:paraId="7840747B" w14:textId="0D91DC28" w:rsidR="00547D60" w:rsidRDefault="00547D60" w:rsidP="00547D60">
      <w:pPr>
        <w:pStyle w:val="FootnoteText"/>
      </w:pPr>
      <w:r>
        <w:rPr>
          <w:rStyle w:val="FootnoteReference"/>
        </w:rPr>
        <w:footnoteRef/>
      </w:r>
      <w:r>
        <w:t xml:space="preserve"> Adams D, Gonzalez-Duarte A, O'Riordan WD, Yang CC, Ueda M, Kristen AV, et al. Patisiran, an RNAi Therapeutic, for Hereditary Transthyretin Amyloidosis. </w:t>
      </w:r>
      <w:r w:rsidRPr="00547D60">
        <w:rPr>
          <w:i/>
          <w:iCs/>
        </w:rPr>
        <w:t>N Engl J Med</w:t>
      </w:r>
      <w:r>
        <w:t>. 2018 July 5;379(1):11-21.</w:t>
      </w:r>
    </w:p>
  </w:footnote>
  <w:footnote w:id="9">
    <w:p w14:paraId="01535C24" w14:textId="5F926400" w:rsidR="00547D60" w:rsidRDefault="00547D60" w:rsidP="00547D60">
      <w:pPr>
        <w:pStyle w:val="FootnoteText"/>
      </w:pPr>
      <w:r>
        <w:rPr>
          <w:rStyle w:val="FootnoteReference"/>
        </w:rPr>
        <w:footnoteRef/>
      </w:r>
      <w:r w:rsidRPr="00B67933">
        <w:rPr>
          <w:lang w:val="sv-SE"/>
        </w:rPr>
        <w:t xml:space="preserve"> Zhang X, Goel V, Attarwala H, Sweetser MT, Clausen VA,Robbie GJ. </w:t>
      </w:r>
      <w:r>
        <w:t xml:space="preserve">Patisiran Pharmacokinetics, Pharmacodynamics, and Exposure-Response Analyses in the Phase 3 APOLLO Trial in Patients </w:t>
      </w:r>
      <w:proofErr w:type="gramStart"/>
      <w:r>
        <w:t>With</w:t>
      </w:r>
      <w:proofErr w:type="gramEnd"/>
      <w:r>
        <w:t xml:space="preserve"> Hereditary Transthyretin-Mediated (hATTR) Amyloidosis. </w:t>
      </w:r>
      <w:r w:rsidRPr="00547D60">
        <w:rPr>
          <w:i/>
          <w:iCs/>
        </w:rPr>
        <w:t>J Clin Pharmacol</w:t>
      </w:r>
      <w:r>
        <w:t>. 2020a Jan;60(1):37-49.</w:t>
      </w:r>
    </w:p>
  </w:footnote>
  <w:footnote w:id="10">
    <w:p w14:paraId="0CE3DBB0" w14:textId="5FFC3D4D" w:rsidR="00547D60" w:rsidRDefault="00547D60" w:rsidP="00547D60">
      <w:pPr>
        <w:pStyle w:val="FootnoteText"/>
      </w:pPr>
      <w:r>
        <w:rPr>
          <w:rStyle w:val="FootnoteReference"/>
        </w:rPr>
        <w:footnoteRef/>
      </w:r>
      <w:r w:rsidRPr="00B67933">
        <w:rPr>
          <w:lang w:val="sv-SE"/>
        </w:rPr>
        <w:t xml:space="preserve"> Zhang X, Goel V,Robbie GJ. </w:t>
      </w:r>
      <w:r>
        <w:t xml:space="preserve">Pharmacokinetics of Patisiran, the First Approved RNA Interference Therapy in Patients </w:t>
      </w:r>
      <w:proofErr w:type="gramStart"/>
      <w:r>
        <w:t>With</w:t>
      </w:r>
      <w:proofErr w:type="gramEnd"/>
      <w:r>
        <w:t xml:space="preserve"> Hereditary Transthyretin-Mediated Amyloidosis. </w:t>
      </w:r>
      <w:r w:rsidRPr="00547D60">
        <w:rPr>
          <w:i/>
          <w:iCs/>
        </w:rPr>
        <w:t>J Clin Pharmacol</w:t>
      </w:r>
      <w:r>
        <w:t>. 2020b May 2020;60(5):573-85.</w:t>
      </w:r>
    </w:p>
  </w:footnote>
  <w:footnote w:id="11">
    <w:p w14:paraId="2A92215B" w14:textId="7ADB9D18" w:rsidR="00BB2879" w:rsidRDefault="00BB2879">
      <w:pPr>
        <w:pStyle w:val="FootnoteText"/>
      </w:pPr>
      <w:r>
        <w:rPr>
          <w:rStyle w:val="FootnoteReference"/>
        </w:rPr>
        <w:footnoteRef/>
      </w:r>
      <w:r>
        <w:t xml:space="preserve"> Summary of Product Characteristics of Onpattro, available at </w:t>
      </w:r>
      <w:r w:rsidRPr="00BB2879">
        <w:t>https://www.ema.europa.eu/en/documents/product-information/onpattro-epar-product-information_en.pdf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DB29BA"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084105">
    <w:abstractNumId w:val="2"/>
  </w:num>
  <w:num w:numId="2" w16cid:durableId="2123722699">
    <w:abstractNumId w:val="0"/>
  </w:num>
  <w:num w:numId="3" w16cid:durableId="1702971633">
    <w:abstractNumId w:val="1"/>
  </w:num>
  <w:num w:numId="4" w16cid:durableId="986934729">
    <w:abstractNumId w:val="5"/>
  </w:num>
  <w:num w:numId="5" w16cid:durableId="50620639">
    <w:abstractNumId w:val="3"/>
  </w:num>
  <w:num w:numId="6" w16cid:durableId="467015988">
    <w:abstractNumId w:val="4"/>
  </w:num>
  <w:num w:numId="7" w16cid:durableId="1389110614">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5EF6"/>
    <w:rsid w:val="000213DE"/>
    <w:rsid w:val="00040A43"/>
    <w:rsid w:val="00042FB2"/>
    <w:rsid w:val="000431DD"/>
    <w:rsid w:val="00077844"/>
    <w:rsid w:val="00093DA9"/>
    <w:rsid w:val="00094B81"/>
    <w:rsid w:val="000975AA"/>
    <w:rsid w:val="000A1C7F"/>
    <w:rsid w:val="000A273E"/>
    <w:rsid w:val="000A50DB"/>
    <w:rsid w:val="000A5B46"/>
    <w:rsid w:val="000B7A55"/>
    <w:rsid w:val="000C79EA"/>
    <w:rsid w:val="000D7934"/>
    <w:rsid w:val="000E408F"/>
    <w:rsid w:val="00101FB1"/>
    <w:rsid w:val="00123087"/>
    <w:rsid w:val="0012473C"/>
    <w:rsid w:val="00130599"/>
    <w:rsid w:val="0013132F"/>
    <w:rsid w:val="0013528C"/>
    <w:rsid w:val="00143176"/>
    <w:rsid w:val="00143CFC"/>
    <w:rsid w:val="00147A57"/>
    <w:rsid w:val="001509BD"/>
    <w:rsid w:val="00160A70"/>
    <w:rsid w:val="001623D4"/>
    <w:rsid w:val="00163BB4"/>
    <w:rsid w:val="001653C6"/>
    <w:rsid w:val="00165D28"/>
    <w:rsid w:val="00175CD8"/>
    <w:rsid w:val="001A403C"/>
    <w:rsid w:val="001A4A92"/>
    <w:rsid w:val="001B0536"/>
    <w:rsid w:val="001B2566"/>
    <w:rsid w:val="001C1C2E"/>
    <w:rsid w:val="001D1F70"/>
    <w:rsid w:val="001E1DC2"/>
    <w:rsid w:val="001E5385"/>
    <w:rsid w:val="001E57A3"/>
    <w:rsid w:val="001F5643"/>
    <w:rsid w:val="001F68F7"/>
    <w:rsid w:val="00202AAD"/>
    <w:rsid w:val="0020369B"/>
    <w:rsid w:val="00205454"/>
    <w:rsid w:val="00216A69"/>
    <w:rsid w:val="00220211"/>
    <w:rsid w:val="00226F39"/>
    <w:rsid w:val="0024119A"/>
    <w:rsid w:val="00241B60"/>
    <w:rsid w:val="002446D2"/>
    <w:rsid w:val="0026414B"/>
    <w:rsid w:val="00280218"/>
    <w:rsid w:val="002877F5"/>
    <w:rsid w:val="0029046A"/>
    <w:rsid w:val="002935FF"/>
    <w:rsid w:val="002A78CE"/>
    <w:rsid w:val="002B2898"/>
    <w:rsid w:val="002B2B5A"/>
    <w:rsid w:val="002B70C2"/>
    <w:rsid w:val="002C5E29"/>
    <w:rsid w:val="002D122D"/>
    <w:rsid w:val="002D7127"/>
    <w:rsid w:val="002E1D4F"/>
    <w:rsid w:val="002E42AB"/>
    <w:rsid w:val="002E720C"/>
    <w:rsid w:val="002F6363"/>
    <w:rsid w:val="003008D8"/>
    <w:rsid w:val="003029AF"/>
    <w:rsid w:val="00303959"/>
    <w:rsid w:val="00304814"/>
    <w:rsid w:val="00312AC3"/>
    <w:rsid w:val="00314430"/>
    <w:rsid w:val="003155F2"/>
    <w:rsid w:val="00324B33"/>
    <w:rsid w:val="00325C2F"/>
    <w:rsid w:val="003347F5"/>
    <w:rsid w:val="00346EC2"/>
    <w:rsid w:val="0035444D"/>
    <w:rsid w:val="00374746"/>
    <w:rsid w:val="00380599"/>
    <w:rsid w:val="00380B9B"/>
    <w:rsid w:val="00380E94"/>
    <w:rsid w:val="00395140"/>
    <w:rsid w:val="003B149C"/>
    <w:rsid w:val="003C6592"/>
    <w:rsid w:val="003D71A1"/>
    <w:rsid w:val="003F0004"/>
    <w:rsid w:val="003F319D"/>
    <w:rsid w:val="003F3306"/>
    <w:rsid w:val="00410591"/>
    <w:rsid w:val="00411B4F"/>
    <w:rsid w:val="0041688F"/>
    <w:rsid w:val="0042376F"/>
    <w:rsid w:val="004246B8"/>
    <w:rsid w:val="00433318"/>
    <w:rsid w:val="00436034"/>
    <w:rsid w:val="004375BC"/>
    <w:rsid w:val="00440D99"/>
    <w:rsid w:val="00441A0A"/>
    <w:rsid w:val="00444D2F"/>
    <w:rsid w:val="00477C4E"/>
    <w:rsid w:val="00482E30"/>
    <w:rsid w:val="004835FF"/>
    <w:rsid w:val="00486752"/>
    <w:rsid w:val="00491A55"/>
    <w:rsid w:val="004A42E2"/>
    <w:rsid w:val="004B134B"/>
    <w:rsid w:val="004B3081"/>
    <w:rsid w:val="004D7C9B"/>
    <w:rsid w:val="004E760B"/>
    <w:rsid w:val="004F15BA"/>
    <w:rsid w:val="005150DF"/>
    <w:rsid w:val="005338CA"/>
    <w:rsid w:val="005354B2"/>
    <w:rsid w:val="00535DFE"/>
    <w:rsid w:val="0054725B"/>
    <w:rsid w:val="00547D60"/>
    <w:rsid w:val="005615D0"/>
    <w:rsid w:val="00562F42"/>
    <w:rsid w:val="0056766D"/>
    <w:rsid w:val="005849FC"/>
    <w:rsid w:val="0058575E"/>
    <w:rsid w:val="0058783C"/>
    <w:rsid w:val="005911AE"/>
    <w:rsid w:val="0059313A"/>
    <w:rsid w:val="00595476"/>
    <w:rsid w:val="005B023F"/>
    <w:rsid w:val="005D2089"/>
    <w:rsid w:val="005D7514"/>
    <w:rsid w:val="005E1A7B"/>
    <w:rsid w:val="00610478"/>
    <w:rsid w:val="00612C25"/>
    <w:rsid w:val="00617D47"/>
    <w:rsid w:val="006277A1"/>
    <w:rsid w:val="006319F2"/>
    <w:rsid w:val="00632692"/>
    <w:rsid w:val="006351D9"/>
    <w:rsid w:val="00637130"/>
    <w:rsid w:val="00637954"/>
    <w:rsid w:val="00637F0E"/>
    <w:rsid w:val="00641A7C"/>
    <w:rsid w:val="006423F2"/>
    <w:rsid w:val="00680BF0"/>
    <w:rsid w:val="00685E9C"/>
    <w:rsid w:val="00692CCD"/>
    <w:rsid w:val="00693B1A"/>
    <w:rsid w:val="006942E0"/>
    <w:rsid w:val="006A1F0B"/>
    <w:rsid w:val="006A277A"/>
    <w:rsid w:val="006A7BD3"/>
    <w:rsid w:val="006C38B2"/>
    <w:rsid w:val="006D4984"/>
    <w:rsid w:val="006D6B44"/>
    <w:rsid w:val="006E0463"/>
    <w:rsid w:val="006E3B6F"/>
    <w:rsid w:val="006F4D7C"/>
    <w:rsid w:val="00700245"/>
    <w:rsid w:val="00701AD1"/>
    <w:rsid w:val="007072A1"/>
    <w:rsid w:val="007107C0"/>
    <w:rsid w:val="00710BC5"/>
    <w:rsid w:val="0072003B"/>
    <w:rsid w:val="007249A1"/>
    <w:rsid w:val="007308A4"/>
    <w:rsid w:val="0073206D"/>
    <w:rsid w:val="007357B9"/>
    <w:rsid w:val="007452E8"/>
    <w:rsid w:val="00746990"/>
    <w:rsid w:val="00750D70"/>
    <w:rsid w:val="00762A10"/>
    <w:rsid w:val="00783B4B"/>
    <w:rsid w:val="00787F0D"/>
    <w:rsid w:val="00793272"/>
    <w:rsid w:val="0079334D"/>
    <w:rsid w:val="007A0E2D"/>
    <w:rsid w:val="007A5850"/>
    <w:rsid w:val="007B04DE"/>
    <w:rsid w:val="007B3BB2"/>
    <w:rsid w:val="007B5D09"/>
    <w:rsid w:val="007C57BC"/>
    <w:rsid w:val="007D4138"/>
    <w:rsid w:val="007D42F1"/>
    <w:rsid w:val="007F0A77"/>
    <w:rsid w:val="007F50D3"/>
    <w:rsid w:val="0081232F"/>
    <w:rsid w:val="00815200"/>
    <w:rsid w:val="0081617D"/>
    <w:rsid w:val="008232F1"/>
    <w:rsid w:val="00825188"/>
    <w:rsid w:val="008329DB"/>
    <w:rsid w:val="00834E91"/>
    <w:rsid w:val="008361C5"/>
    <w:rsid w:val="0083628F"/>
    <w:rsid w:val="00837AB9"/>
    <w:rsid w:val="0084046A"/>
    <w:rsid w:val="008477D5"/>
    <w:rsid w:val="00850637"/>
    <w:rsid w:val="00854D98"/>
    <w:rsid w:val="00860B29"/>
    <w:rsid w:val="00875706"/>
    <w:rsid w:val="008804CF"/>
    <w:rsid w:val="008964B3"/>
    <w:rsid w:val="008C26B0"/>
    <w:rsid w:val="008C49C6"/>
    <w:rsid w:val="008C754C"/>
    <w:rsid w:val="008D5630"/>
    <w:rsid w:val="008D6A54"/>
    <w:rsid w:val="00900DD5"/>
    <w:rsid w:val="00901362"/>
    <w:rsid w:val="009059ED"/>
    <w:rsid w:val="0090605E"/>
    <w:rsid w:val="009108CE"/>
    <w:rsid w:val="00915A9F"/>
    <w:rsid w:val="00930D58"/>
    <w:rsid w:val="0093136B"/>
    <w:rsid w:val="00940DED"/>
    <w:rsid w:val="0095489C"/>
    <w:rsid w:val="00962753"/>
    <w:rsid w:val="00966EF1"/>
    <w:rsid w:val="00970D2E"/>
    <w:rsid w:val="00975FA0"/>
    <w:rsid w:val="009819BC"/>
    <w:rsid w:val="0098350E"/>
    <w:rsid w:val="00996FA5"/>
    <w:rsid w:val="009A2CF4"/>
    <w:rsid w:val="009C182E"/>
    <w:rsid w:val="009E59E9"/>
    <w:rsid w:val="009E6F8C"/>
    <w:rsid w:val="009F4290"/>
    <w:rsid w:val="00A01C56"/>
    <w:rsid w:val="00A358E7"/>
    <w:rsid w:val="00A36528"/>
    <w:rsid w:val="00A37028"/>
    <w:rsid w:val="00A37DBF"/>
    <w:rsid w:val="00A464A3"/>
    <w:rsid w:val="00A51A2D"/>
    <w:rsid w:val="00A51A87"/>
    <w:rsid w:val="00A62129"/>
    <w:rsid w:val="00A63D9B"/>
    <w:rsid w:val="00A678FF"/>
    <w:rsid w:val="00A73A00"/>
    <w:rsid w:val="00A93DC6"/>
    <w:rsid w:val="00A9672F"/>
    <w:rsid w:val="00AB3687"/>
    <w:rsid w:val="00AB7CBF"/>
    <w:rsid w:val="00AB7F92"/>
    <w:rsid w:val="00AC47EB"/>
    <w:rsid w:val="00AD49A6"/>
    <w:rsid w:val="00AD4EC7"/>
    <w:rsid w:val="00AE1947"/>
    <w:rsid w:val="00AE4C05"/>
    <w:rsid w:val="00AF1A24"/>
    <w:rsid w:val="00B03372"/>
    <w:rsid w:val="00B31591"/>
    <w:rsid w:val="00B34DD2"/>
    <w:rsid w:val="00B46BC0"/>
    <w:rsid w:val="00B55681"/>
    <w:rsid w:val="00B606EF"/>
    <w:rsid w:val="00B6406D"/>
    <w:rsid w:val="00B67933"/>
    <w:rsid w:val="00B967FF"/>
    <w:rsid w:val="00BA0BE0"/>
    <w:rsid w:val="00BA7F7D"/>
    <w:rsid w:val="00BB2879"/>
    <w:rsid w:val="00BB46A5"/>
    <w:rsid w:val="00BD07DF"/>
    <w:rsid w:val="00BD3D69"/>
    <w:rsid w:val="00BD5DBD"/>
    <w:rsid w:val="00BF303F"/>
    <w:rsid w:val="00BF4638"/>
    <w:rsid w:val="00C0118A"/>
    <w:rsid w:val="00C04931"/>
    <w:rsid w:val="00C04AA2"/>
    <w:rsid w:val="00C07551"/>
    <w:rsid w:val="00C22214"/>
    <w:rsid w:val="00C407AB"/>
    <w:rsid w:val="00C54239"/>
    <w:rsid w:val="00C570FF"/>
    <w:rsid w:val="00C601F1"/>
    <w:rsid w:val="00C6574E"/>
    <w:rsid w:val="00C816C6"/>
    <w:rsid w:val="00C91390"/>
    <w:rsid w:val="00CA3F91"/>
    <w:rsid w:val="00CB0550"/>
    <w:rsid w:val="00CB42BA"/>
    <w:rsid w:val="00CB63B6"/>
    <w:rsid w:val="00CD4BE8"/>
    <w:rsid w:val="00CE0755"/>
    <w:rsid w:val="00D01DDB"/>
    <w:rsid w:val="00D078BE"/>
    <w:rsid w:val="00D13F8A"/>
    <w:rsid w:val="00D176D1"/>
    <w:rsid w:val="00D23BB6"/>
    <w:rsid w:val="00D62877"/>
    <w:rsid w:val="00D6306E"/>
    <w:rsid w:val="00D63760"/>
    <w:rsid w:val="00D7393E"/>
    <w:rsid w:val="00D74C6C"/>
    <w:rsid w:val="00D75A97"/>
    <w:rsid w:val="00D779E8"/>
    <w:rsid w:val="00D83147"/>
    <w:rsid w:val="00D918D5"/>
    <w:rsid w:val="00D938CE"/>
    <w:rsid w:val="00D94C8E"/>
    <w:rsid w:val="00DB192C"/>
    <w:rsid w:val="00DB1CF3"/>
    <w:rsid w:val="00DB29BA"/>
    <w:rsid w:val="00DD5A05"/>
    <w:rsid w:val="00DF17A6"/>
    <w:rsid w:val="00DF5BFE"/>
    <w:rsid w:val="00E10ABD"/>
    <w:rsid w:val="00E1504B"/>
    <w:rsid w:val="00E2099D"/>
    <w:rsid w:val="00E24DB3"/>
    <w:rsid w:val="00E26D18"/>
    <w:rsid w:val="00E26D4B"/>
    <w:rsid w:val="00E366CE"/>
    <w:rsid w:val="00E4502A"/>
    <w:rsid w:val="00E47E0C"/>
    <w:rsid w:val="00E51813"/>
    <w:rsid w:val="00E53D3F"/>
    <w:rsid w:val="00E5579B"/>
    <w:rsid w:val="00E55B67"/>
    <w:rsid w:val="00E605F5"/>
    <w:rsid w:val="00E65A2E"/>
    <w:rsid w:val="00E76F61"/>
    <w:rsid w:val="00E77E58"/>
    <w:rsid w:val="00E826CD"/>
    <w:rsid w:val="00E929C2"/>
    <w:rsid w:val="00EC572A"/>
    <w:rsid w:val="00ED1F97"/>
    <w:rsid w:val="00ED3388"/>
    <w:rsid w:val="00EE61B8"/>
    <w:rsid w:val="00EE61E4"/>
    <w:rsid w:val="00EF19D4"/>
    <w:rsid w:val="00F02AEC"/>
    <w:rsid w:val="00F157FC"/>
    <w:rsid w:val="00F30AF3"/>
    <w:rsid w:val="00F41A3B"/>
    <w:rsid w:val="00F431C3"/>
    <w:rsid w:val="00F55568"/>
    <w:rsid w:val="00F55A6D"/>
    <w:rsid w:val="00F60781"/>
    <w:rsid w:val="00F657B4"/>
    <w:rsid w:val="00F74422"/>
    <w:rsid w:val="00F8240A"/>
    <w:rsid w:val="00F865A7"/>
    <w:rsid w:val="00F93C26"/>
    <w:rsid w:val="00F96BD7"/>
    <w:rsid w:val="00FA0754"/>
    <w:rsid w:val="00FA15AF"/>
    <w:rsid w:val="00FA1BC9"/>
    <w:rsid w:val="00FA2BAF"/>
    <w:rsid w:val="00FA49C3"/>
    <w:rsid w:val="00FB236E"/>
    <w:rsid w:val="00FB2925"/>
    <w:rsid w:val="00FC6F56"/>
    <w:rsid w:val="00FD1495"/>
    <w:rsid w:val="00FD2450"/>
    <w:rsid w:val="00FE087C"/>
    <w:rsid w:val="00FF17F6"/>
    <w:rsid w:val="00FF1F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E209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900DD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623D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220211"/>
    <w:pPr>
      <w:autoSpaceDE w:val="0"/>
      <w:autoSpaceDN w:val="0"/>
      <w:adjustRightInd w:val="0"/>
      <w:spacing w:after="0" w:line="240" w:lineRule="auto"/>
    </w:pPr>
    <w:rPr>
      <w:rFonts w:ascii="Cambria" w:hAnsi="Cambria" w:cs="Cambria"/>
      <w:color w:val="000000"/>
      <w:sz w:val="24"/>
      <w:szCs w:val="24"/>
    </w:rPr>
  </w:style>
  <w:style w:type="character" w:customStyle="1" w:styleId="Heading7Char">
    <w:name w:val="Heading 7 Char"/>
    <w:basedOn w:val="DefaultParagraphFont"/>
    <w:link w:val="Heading7"/>
    <w:uiPriority w:val="9"/>
    <w:rsid w:val="00900DD5"/>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1623D4"/>
    <w:rPr>
      <w:rFonts w:asciiTheme="majorHAnsi" w:eastAsiaTheme="majorEastAsia" w:hAnsiTheme="majorHAnsi" w:cstheme="majorBidi"/>
      <w:color w:val="272727" w:themeColor="text1" w:themeTint="D8"/>
      <w:sz w:val="21"/>
      <w:szCs w:val="21"/>
    </w:rPr>
  </w:style>
  <w:style w:type="paragraph" w:customStyle="1" w:styleId="Tabletext0">
    <w:name w:val="Table text"/>
    <w:basedOn w:val="Normal"/>
    <w:link w:val="TabletextChar"/>
    <w:qFormat/>
    <w:rsid w:val="00F93C26"/>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F93C26"/>
    <w:rPr>
      <w:rFonts w:ascii="Cambria" w:eastAsia="Times New Roman" w:hAnsi="Cambria" w:cs="Times New Roman"/>
      <w:snapToGrid w:val="0"/>
      <w:kern w:val="16"/>
      <w:szCs w:val="24"/>
    </w:rPr>
  </w:style>
  <w:style w:type="paragraph" w:customStyle="1" w:styleId="Standard">
    <w:name w:val="Standard"/>
    <w:basedOn w:val="Normal"/>
    <w:link w:val="StandardChar"/>
    <w:qFormat/>
    <w:rsid w:val="00F93C26"/>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F93C26"/>
    <w:rPr>
      <w:rFonts w:ascii="Cambria" w:eastAsia="Times New Roman" w:hAnsi="Cambria" w:cs="Times New Roman"/>
      <w:snapToGrid w:val="0"/>
      <w:kern w:val="16"/>
      <w:sz w:val="23"/>
      <w:szCs w:val="24"/>
    </w:rPr>
  </w:style>
  <w:style w:type="character" w:customStyle="1" w:styleId="Heading1Char">
    <w:name w:val="Heading 1 Char"/>
    <w:basedOn w:val="DefaultParagraphFont"/>
    <w:link w:val="Heading1"/>
    <w:uiPriority w:val="9"/>
    <w:rsid w:val="00E2099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211">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1079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product-information-one"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product-information-one" TargetMode="External"/><Relationship Id="rId25" Type="http://schemas.openxmlformats.org/officeDocument/2006/relationships/image" Target="media/image8.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ga.gov.au/comparable-overseas-regulators-cors-timeframes-and-milestones" TargetMode="External"/><Relationship Id="rId20" Type="http://schemas.openxmlformats.org/officeDocument/2006/relationships/hyperlink" Target="https://www.tga.gov.au/picmi-search-facility"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6.png"/><Relationship Id="rId28" Type="http://schemas.openxmlformats.org/officeDocument/2006/relationships/hyperlink" Target="https://www.tga.gov.au/picmi-search-facility"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tga.gov.au/products/australian-register-therapeutic-goods-artg/consumer-medicines-information-cmi" TargetMode="External"/><Relationship Id="rId31" Type="http://schemas.openxmlformats.org/officeDocument/2006/relationships/hyperlink" Target="mailto:info@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3.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12365</Words>
  <Characters>68382</Characters>
  <Application>Microsoft Office Word</Application>
  <DocSecurity>0</DocSecurity>
  <Lines>1899</Lines>
  <Paragraphs>917</Paragraphs>
  <ScaleCrop>false</ScaleCrop>
  <HeadingPairs>
    <vt:vector size="2" baseType="variant">
      <vt:variant>
        <vt:lpstr>Title</vt:lpstr>
      </vt:variant>
      <vt:variant>
        <vt:i4>1</vt:i4>
      </vt:variant>
    </vt:vector>
  </HeadingPairs>
  <TitlesOfParts>
    <vt:vector size="1" baseType="lpstr">
      <vt:lpstr>Onpattro</vt:lpstr>
    </vt:vector>
  </TitlesOfParts>
  <Manager/>
  <Company/>
  <LinksUpToDate>false</LinksUpToDate>
  <CharactersWithSpaces>79830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Onpattro</dc:title>
  <dc:subject>prescription medicines</dc:subject>
  <dc:creator/>
  <cp:keywords/>
  <dc:description/>
  <cp:lastModifiedBy/>
  <cp:revision>1</cp:revision>
  <dcterms:created xsi:type="dcterms:W3CDTF">2024-04-04T02:16:00Z</dcterms:created>
  <dcterms:modified xsi:type="dcterms:W3CDTF">2024-04-04T02:22:00Z</dcterms:modified>
</cp:coreProperties>
</file>