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44B58268" w:rsidR="00F02AEC" w:rsidRPr="00215D48" w:rsidRDefault="00346EC2" w:rsidP="007452E8">
            <w:pPr>
              <w:pStyle w:val="Title"/>
            </w:pPr>
            <w:r w:rsidRPr="00346EC2">
              <w:t xml:space="preserve">Australian Public Assessment Report for </w:t>
            </w:r>
            <w:r w:rsidR="00D3609A">
              <w:t>Comirnaty</w:t>
            </w:r>
          </w:p>
        </w:tc>
      </w:tr>
      <w:tr w:rsidR="00F02AEC" w:rsidRPr="00215D48" w14:paraId="318A40A3" w14:textId="77777777" w:rsidTr="00346EC2">
        <w:trPr>
          <w:trHeight w:val="995"/>
        </w:trPr>
        <w:tc>
          <w:tcPr>
            <w:tcW w:w="8720" w:type="dxa"/>
          </w:tcPr>
          <w:p w14:paraId="1AA7C701" w14:textId="1A764CEA" w:rsidR="00F02AEC" w:rsidRPr="00215D48" w:rsidRDefault="00346EC2" w:rsidP="007452E8">
            <w:pPr>
              <w:pStyle w:val="Subtitle"/>
              <w:ind w:left="0"/>
            </w:pPr>
            <w:r w:rsidRPr="00346EC2">
              <w:t xml:space="preserve">Active ingredient: </w:t>
            </w:r>
            <w:r w:rsidR="00D3609A" w:rsidRPr="00D3609A">
              <w:t>Tozinameran</w:t>
            </w:r>
          </w:p>
        </w:tc>
      </w:tr>
      <w:tr w:rsidR="00346EC2" w:rsidRPr="00215D48" w14:paraId="362CCAE4" w14:textId="77777777" w:rsidTr="007452E8">
        <w:trPr>
          <w:trHeight w:val="1916"/>
        </w:trPr>
        <w:tc>
          <w:tcPr>
            <w:tcW w:w="8720" w:type="dxa"/>
          </w:tcPr>
          <w:p w14:paraId="709C45C0" w14:textId="0513B42E" w:rsidR="00346EC2" w:rsidRPr="00215D48" w:rsidRDefault="00346EC2" w:rsidP="007452E8">
            <w:pPr>
              <w:pStyle w:val="Subtitle"/>
              <w:ind w:left="0"/>
            </w:pPr>
            <w:r w:rsidRPr="00346EC2">
              <w:t xml:space="preserve">Sponsor: </w:t>
            </w:r>
            <w:r w:rsidR="00D3609A" w:rsidRPr="00D3609A">
              <w:t>Pfizer Australia Pty Ltd</w:t>
            </w:r>
          </w:p>
        </w:tc>
      </w:tr>
      <w:tr w:rsidR="00F02AEC" w:rsidRPr="00215D48" w14:paraId="37F2AA1F" w14:textId="77777777" w:rsidTr="007452E8">
        <w:tc>
          <w:tcPr>
            <w:tcW w:w="8720" w:type="dxa"/>
          </w:tcPr>
          <w:p w14:paraId="1FDE8DCD" w14:textId="775F50C5" w:rsidR="00F02AEC" w:rsidRPr="00215D48" w:rsidRDefault="000064F8" w:rsidP="007452E8">
            <w:pPr>
              <w:pStyle w:val="Date"/>
            </w:pPr>
            <w:r>
              <w:t>September</w:t>
            </w:r>
            <w:r w:rsidR="00F02AEC" w:rsidRPr="00215D48">
              <w:t xml:space="preserve"> </w:t>
            </w:r>
            <w:r w:rsidR="00D3609A">
              <w:t>2023</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71F551DE"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5C8100E8"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6D37449E" w:rsidR="00175CD8" w:rsidRPr="00346EC2" w:rsidRDefault="00F02AEC" w:rsidP="00346EC2">
      <w:pPr>
        <w:pStyle w:val="LegalCopy"/>
        <w:rPr>
          <w:rFonts w:cs="Arial"/>
        </w:rPr>
      </w:pPr>
      <w:r w:rsidRPr="00215D48">
        <w:rPr>
          <w:rFonts w:cs="Arial"/>
        </w:rPr>
        <w:t>© Commonwealth of Australia 20</w:t>
      </w:r>
      <w:r>
        <w:rPr>
          <w:rFonts w:cs="Arial"/>
        </w:rPr>
        <w:t>2</w:t>
      </w:r>
      <w:r w:rsidR="00E47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31A2EC4" w14:textId="7F7C194E" w:rsidR="00237257"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4806147" w:history="1">
            <w:r w:rsidR="00237257" w:rsidRPr="00C04A9C">
              <w:rPr>
                <w:rStyle w:val="Hyperlink"/>
                <w:noProof/>
              </w:rPr>
              <w:t>List of abbreviations</w:t>
            </w:r>
            <w:r w:rsidR="00237257">
              <w:rPr>
                <w:noProof/>
                <w:webHidden/>
              </w:rPr>
              <w:tab/>
            </w:r>
            <w:r w:rsidR="00237257">
              <w:rPr>
                <w:noProof/>
                <w:webHidden/>
              </w:rPr>
              <w:fldChar w:fldCharType="begin"/>
            </w:r>
            <w:r w:rsidR="00237257">
              <w:rPr>
                <w:noProof/>
                <w:webHidden/>
              </w:rPr>
              <w:instrText xml:space="preserve"> PAGEREF _Toc144806147 \h </w:instrText>
            </w:r>
            <w:r w:rsidR="00237257">
              <w:rPr>
                <w:noProof/>
                <w:webHidden/>
              </w:rPr>
            </w:r>
            <w:r w:rsidR="00237257">
              <w:rPr>
                <w:noProof/>
                <w:webHidden/>
              </w:rPr>
              <w:fldChar w:fldCharType="separate"/>
            </w:r>
            <w:r w:rsidR="00237257">
              <w:rPr>
                <w:noProof/>
                <w:webHidden/>
              </w:rPr>
              <w:t>4</w:t>
            </w:r>
            <w:r w:rsidR="00237257">
              <w:rPr>
                <w:noProof/>
                <w:webHidden/>
              </w:rPr>
              <w:fldChar w:fldCharType="end"/>
            </w:r>
          </w:hyperlink>
        </w:p>
        <w:p w14:paraId="5E80FF73" w14:textId="28457618" w:rsidR="00237257" w:rsidRDefault="00B30EE0">
          <w:pPr>
            <w:pStyle w:val="TOC1"/>
            <w:rPr>
              <w:rFonts w:asciiTheme="minorHAnsi" w:eastAsiaTheme="minorEastAsia" w:hAnsiTheme="minorHAnsi" w:cstheme="minorBidi"/>
              <w:b w:val="0"/>
              <w:noProof/>
              <w:color w:val="auto"/>
              <w:sz w:val="22"/>
              <w:szCs w:val="22"/>
              <w:lang w:eastAsia="en-AU"/>
            </w:rPr>
          </w:pPr>
          <w:hyperlink w:anchor="_Toc144806148" w:history="1">
            <w:r w:rsidR="00237257" w:rsidRPr="00C04A9C">
              <w:rPr>
                <w:rStyle w:val="Hyperlink"/>
                <w:noProof/>
              </w:rPr>
              <w:t>Product submission</w:t>
            </w:r>
            <w:r w:rsidR="00237257">
              <w:rPr>
                <w:noProof/>
                <w:webHidden/>
              </w:rPr>
              <w:tab/>
            </w:r>
            <w:r w:rsidR="00237257">
              <w:rPr>
                <w:noProof/>
                <w:webHidden/>
              </w:rPr>
              <w:fldChar w:fldCharType="begin"/>
            </w:r>
            <w:r w:rsidR="00237257">
              <w:rPr>
                <w:noProof/>
                <w:webHidden/>
              </w:rPr>
              <w:instrText xml:space="preserve"> PAGEREF _Toc144806148 \h </w:instrText>
            </w:r>
            <w:r w:rsidR="00237257">
              <w:rPr>
                <w:noProof/>
                <w:webHidden/>
              </w:rPr>
            </w:r>
            <w:r w:rsidR="00237257">
              <w:rPr>
                <w:noProof/>
                <w:webHidden/>
              </w:rPr>
              <w:fldChar w:fldCharType="separate"/>
            </w:r>
            <w:r w:rsidR="00237257">
              <w:rPr>
                <w:noProof/>
                <w:webHidden/>
              </w:rPr>
              <w:t>5</w:t>
            </w:r>
            <w:r w:rsidR="00237257">
              <w:rPr>
                <w:noProof/>
                <w:webHidden/>
              </w:rPr>
              <w:fldChar w:fldCharType="end"/>
            </w:r>
          </w:hyperlink>
        </w:p>
        <w:p w14:paraId="15D4CE59" w14:textId="112364E4"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49" w:history="1">
            <w:r w:rsidR="00237257" w:rsidRPr="00C04A9C">
              <w:rPr>
                <w:rStyle w:val="Hyperlink"/>
                <w:noProof/>
                <w:lang w:eastAsia="en-AU"/>
              </w:rPr>
              <w:t>Submission details</w:t>
            </w:r>
            <w:r w:rsidR="00237257">
              <w:rPr>
                <w:noProof/>
                <w:webHidden/>
              </w:rPr>
              <w:tab/>
            </w:r>
            <w:r w:rsidR="00237257">
              <w:rPr>
                <w:noProof/>
                <w:webHidden/>
              </w:rPr>
              <w:fldChar w:fldCharType="begin"/>
            </w:r>
            <w:r w:rsidR="00237257">
              <w:rPr>
                <w:noProof/>
                <w:webHidden/>
              </w:rPr>
              <w:instrText xml:space="preserve"> PAGEREF _Toc144806149 \h </w:instrText>
            </w:r>
            <w:r w:rsidR="00237257">
              <w:rPr>
                <w:noProof/>
                <w:webHidden/>
              </w:rPr>
            </w:r>
            <w:r w:rsidR="00237257">
              <w:rPr>
                <w:noProof/>
                <w:webHidden/>
              </w:rPr>
              <w:fldChar w:fldCharType="separate"/>
            </w:r>
            <w:r w:rsidR="00237257">
              <w:rPr>
                <w:noProof/>
                <w:webHidden/>
              </w:rPr>
              <w:t>5</w:t>
            </w:r>
            <w:r w:rsidR="00237257">
              <w:rPr>
                <w:noProof/>
                <w:webHidden/>
              </w:rPr>
              <w:fldChar w:fldCharType="end"/>
            </w:r>
          </w:hyperlink>
        </w:p>
        <w:p w14:paraId="1FFCF191" w14:textId="5259BCD4"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50" w:history="1">
            <w:r w:rsidR="00237257" w:rsidRPr="00C04A9C">
              <w:rPr>
                <w:rStyle w:val="Hyperlink"/>
                <w:noProof/>
              </w:rPr>
              <w:t>Product background</w:t>
            </w:r>
            <w:r w:rsidR="00237257">
              <w:rPr>
                <w:noProof/>
                <w:webHidden/>
              </w:rPr>
              <w:tab/>
            </w:r>
            <w:r w:rsidR="00237257">
              <w:rPr>
                <w:noProof/>
                <w:webHidden/>
              </w:rPr>
              <w:fldChar w:fldCharType="begin"/>
            </w:r>
            <w:r w:rsidR="00237257">
              <w:rPr>
                <w:noProof/>
                <w:webHidden/>
              </w:rPr>
              <w:instrText xml:space="preserve"> PAGEREF _Toc144806150 \h </w:instrText>
            </w:r>
            <w:r w:rsidR="00237257">
              <w:rPr>
                <w:noProof/>
                <w:webHidden/>
              </w:rPr>
            </w:r>
            <w:r w:rsidR="00237257">
              <w:rPr>
                <w:noProof/>
                <w:webHidden/>
              </w:rPr>
              <w:fldChar w:fldCharType="separate"/>
            </w:r>
            <w:r w:rsidR="00237257">
              <w:rPr>
                <w:noProof/>
                <w:webHidden/>
              </w:rPr>
              <w:t>6</w:t>
            </w:r>
            <w:r w:rsidR="00237257">
              <w:rPr>
                <w:noProof/>
                <w:webHidden/>
              </w:rPr>
              <w:fldChar w:fldCharType="end"/>
            </w:r>
          </w:hyperlink>
        </w:p>
        <w:p w14:paraId="45CC1B39" w14:textId="78CF7A49" w:rsidR="00237257" w:rsidRDefault="00B30EE0">
          <w:pPr>
            <w:pStyle w:val="TOC3"/>
            <w:rPr>
              <w:rFonts w:asciiTheme="minorHAnsi" w:eastAsiaTheme="minorEastAsia" w:hAnsiTheme="minorHAnsi" w:cstheme="minorBidi"/>
              <w:b w:val="0"/>
              <w:noProof/>
              <w:color w:val="auto"/>
              <w:szCs w:val="22"/>
              <w:lang w:eastAsia="en-AU"/>
            </w:rPr>
          </w:pPr>
          <w:hyperlink w:anchor="_Toc144806151" w:history="1">
            <w:r w:rsidR="00237257" w:rsidRPr="00C04A9C">
              <w:rPr>
                <w:rStyle w:val="Hyperlink"/>
                <w:noProof/>
              </w:rPr>
              <w:t>Coronavirus disease 2019</w:t>
            </w:r>
            <w:r w:rsidR="00237257">
              <w:rPr>
                <w:noProof/>
                <w:webHidden/>
              </w:rPr>
              <w:tab/>
            </w:r>
            <w:r w:rsidR="00237257">
              <w:rPr>
                <w:noProof/>
                <w:webHidden/>
              </w:rPr>
              <w:fldChar w:fldCharType="begin"/>
            </w:r>
            <w:r w:rsidR="00237257">
              <w:rPr>
                <w:noProof/>
                <w:webHidden/>
              </w:rPr>
              <w:instrText xml:space="preserve"> PAGEREF _Toc144806151 \h </w:instrText>
            </w:r>
            <w:r w:rsidR="00237257">
              <w:rPr>
                <w:noProof/>
                <w:webHidden/>
              </w:rPr>
            </w:r>
            <w:r w:rsidR="00237257">
              <w:rPr>
                <w:noProof/>
                <w:webHidden/>
              </w:rPr>
              <w:fldChar w:fldCharType="separate"/>
            </w:r>
            <w:r w:rsidR="00237257">
              <w:rPr>
                <w:noProof/>
                <w:webHidden/>
              </w:rPr>
              <w:t>7</w:t>
            </w:r>
            <w:r w:rsidR="00237257">
              <w:rPr>
                <w:noProof/>
                <w:webHidden/>
              </w:rPr>
              <w:fldChar w:fldCharType="end"/>
            </w:r>
          </w:hyperlink>
        </w:p>
        <w:p w14:paraId="423D217D" w14:textId="402D2A28"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52" w:history="1">
            <w:r w:rsidR="00237257" w:rsidRPr="00C04A9C">
              <w:rPr>
                <w:rStyle w:val="Hyperlink"/>
                <w:noProof/>
              </w:rPr>
              <w:t>Regulatory status</w:t>
            </w:r>
            <w:r w:rsidR="00237257">
              <w:rPr>
                <w:noProof/>
                <w:webHidden/>
              </w:rPr>
              <w:tab/>
            </w:r>
            <w:r w:rsidR="00237257">
              <w:rPr>
                <w:noProof/>
                <w:webHidden/>
              </w:rPr>
              <w:fldChar w:fldCharType="begin"/>
            </w:r>
            <w:r w:rsidR="00237257">
              <w:rPr>
                <w:noProof/>
                <w:webHidden/>
              </w:rPr>
              <w:instrText xml:space="preserve"> PAGEREF _Toc144806152 \h </w:instrText>
            </w:r>
            <w:r w:rsidR="00237257">
              <w:rPr>
                <w:noProof/>
                <w:webHidden/>
              </w:rPr>
            </w:r>
            <w:r w:rsidR="00237257">
              <w:rPr>
                <w:noProof/>
                <w:webHidden/>
              </w:rPr>
              <w:fldChar w:fldCharType="separate"/>
            </w:r>
            <w:r w:rsidR="00237257">
              <w:rPr>
                <w:noProof/>
                <w:webHidden/>
              </w:rPr>
              <w:t>13</w:t>
            </w:r>
            <w:r w:rsidR="00237257">
              <w:rPr>
                <w:noProof/>
                <w:webHidden/>
              </w:rPr>
              <w:fldChar w:fldCharType="end"/>
            </w:r>
          </w:hyperlink>
        </w:p>
        <w:p w14:paraId="3E3A92B3" w14:textId="2F9A99F1" w:rsidR="00237257" w:rsidRDefault="00B30EE0">
          <w:pPr>
            <w:pStyle w:val="TOC3"/>
            <w:rPr>
              <w:rFonts w:asciiTheme="minorHAnsi" w:eastAsiaTheme="minorEastAsia" w:hAnsiTheme="minorHAnsi" w:cstheme="minorBidi"/>
              <w:b w:val="0"/>
              <w:noProof/>
              <w:color w:val="auto"/>
              <w:szCs w:val="22"/>
              <w:lang w:eastAsia="en-AU"/>
            </w:rPr>
          </w:pPr>
          <w:hyperlink w:anchor="_Toc144806153" w:history="1">
            <w:r w:rsidR="00237257" w:rsidRPr="00C04A9C">
              <w:rPr>
                <w:rStyle w:val="Hyperlink"/>
                <w:noProof/>
              </w:rPr>
              <w:t>Australian regulatory status</w:t>
            </w:r>
            <w:r w:rsidR="00237257">
              <w:rPr>
                <w:noProof/>
                <w:webHidden/>
              </w:rPr>
              <w:tab/>
            </w:r>
            <w:r w:rsidR="00237257">
              <w:rPr>
                <w:noProof/>
                <w:webHidden/>
              </w:rPr>
              <w:fldChar w:fldCharType="begin"/>
            </w:r>
            <w:r w:rsidR="00237257">
              <w:rPr>
                <w:noProof/>
                <w:webHidden/>
              </w:rPr>
              <w:instrText xml:space="preserve"> PAGEREF _Toc144806153 \h </w:instrText>
            </w:r>
            <w:r w:rsidR="00237257">
              <w:rPr>
                <w:noProof/>
                <w:webHidden/>
              </w:rPr>
            </w:r>
            <w:r w:rsidR="00237257">
              <w:rPr>
                <w:noProof/>
                <w:webHidden/>
              </w:rPr>
              <w:fldChar w:fldCharType="separate"/>
            </w:r>
            <w:r w:rsidR="00237257">
              <w:rPr>
                <w:noProof/>
                <w:webHidden/>
              </w:rPr>
              <w:t>13</w:t>
            </w:r>
            <w:r w:rsidR="00237257">
              <w:rPr>
                <w:noProof/>
                <w:webHidden/>
              </w:rPr>
              <w:fldChar w:fldCharType="end"/>
            </w:r>
          </w:hyperlink>
        </w:p>
        <w:p w14:paraId="681AB225" w14:textId="7F18F9AD" w:rsidR="00237257" w:rsidRDefault="00B30EE0">
          <w:pPr>
            <w:pStyle w:val="TOC3"/>
            <w:rPr>
              <w:rFonts w:asciiTheme="minorHAnsi" w:eastAsiaTheme="minorEastAsia" w:hAnsiTheme="minorHAnsi" w:cstheme="minorBidi"/>
              <w:b w:val="0"/>
              <w:noProof/>
              <w:color w:val="auto"/>
              <w:szCs w:val="22"/>
              <w:lang w:eastAsia="en-AU"/>
            </w:rPr>
          </w:pPr>
          <w:hyperlink w:anchor="_Toc144806154" w:history="1">
            <w:r w:rsidR="00237257" w:rsidRPr="00C04A9C">
              <w:rPr>
                <w:rStyle w:val="Hyperlink"/>
                <w:noProof/>
              </w:rPr>
              <w:t>International regulatory status</w:t>
            </w:r>
            <w:r w:rsidR="00237257">
              <w:rPr>
                <w:noProof/>
                <w:webHidden/>
              </w:rPr>
              <w:tab/>
            </w:r>
            <w:r w:rsidR="00237257">
              <w:rPr>
                <w:noProof/>
                <w:webHidden/>
              </w:rPr>
              <w:fldChar w:fldCharType="begin"/>
            </w:r>
            <w:r w:rsidR="00237257">
              <w:rPr>
                <w:noProof/>
                <w:webHidden/>
              </w:rPr>
              <w:instrText xml:space="preserve"> PAGEREF _Toc144806154 \h </w:instrText>
            </w:r>
            <w:r w:rsidR="00237257">
              <w:rPr>
                <w:noProof/>
                <w:webHidden/>
              </w:rPr>
            </w:r>
            <w:r w:rsidR="00237257">
              <w:rPr>
                <w:noProof/>
                <w:webHidden/>
              </w:rPr>
              <w:fldChar w:fldCharType="separate"/>
            </w:r>
            <w:r w:rsidR="00237257">
              <w:rPr>
                <w:noProof/>
                <w:webHidden/>
              </w:rPr>
              <w:t>14</w:t>
            </w:r>
            <w:r w:rsidR="00237257">
              <w:rPr>
                <w:noProof/>
                <w:webHidden/>
              </w:rPr>
              <w:fldChar w:fldCharType="end"/>
            </w:r>
          </w:hyperlink>
        </w:p>
        <w:p w14:paraId="63311C77" w14:textId="253D4C78"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55" w:history="1">
            <w:r w:rsidR="00237257" w:rsidRPr="00C04A9C">
              <w:rPr>
                <w:rStyle w:val="Hyperlink"/>
                <w:noProof/>
              </w:rPr>
              <w:t>Product Information</w:t>
            </w:r>
            <w:r w:rsidR="00237257">
              <w:rPr>
                <w:noProof/>
                <w:webHidden/>
              </w:rPr>
              <w:tab/>
            </w:r>
            <w:r w:rsidR="00237257">
              <w:rPr>
                <w:noProof/>
                <w:webHidden/>
              </w:rPr>
              <w:fldChar w:fldCharType="begin"/>
            </w:r>
            <w:r w:rsidR="00237257">
              <w:rPr>
                <w:noProof/>
                <w:webHidden/>
              </w:rPr>
              <w:instrText xml:space="preserve"> PAGEREF _Toc144806155 \h </w:instrText>
            </w:r>
            <w:r w:rsidR="00237257">
              <w:rPr>
                <w:noProof/>
                <w:webHidden/>
              </w:rPr>
            </w:r>
            <w:r w:rsidR="00237257">
              <w:rPr>
                <w:noProof/>
                <w:webHidden/>
              </w:rPr>
              <w:fldChar w:fldCharType="separate"/>
            </w:r>
            <w:r w:rsidR="00237257">
              <w:rPr>
                <w:noProof/>
                <w:webHidden/>
              </w:rPr>
              <w:t>14</w:t>
            </w:r>
            <w:r w:rsidR="00237257">
              <w:rPr>
                <w:noProof/>
                <w:webHidden/>
              </w:rPr>
              <w:fldChar w:fldCharType="end"/>
            </w:r>
          </w:hyperlink>
        </w:p>
        <w:p w14:paraId="6E1DF810" w14:textId="2E86D703" w:rsidR="00237257" w:rsidRDefault="00B30EE0">
          <w:pPr>
            <w:pStyle w:val="TOC1"/>
            <w:rPr>
              <w:rFonts w:asciiTheme="minorHAnsi" w:eastAsiaTheme="minorEastAsia" w:hAnsiTheme="minorHAnsi" w:cstheme="minorBidi"/>
              <w:b w:val="0"/>
              <w:noProof/>
              <w:color w:val="auto"/>
              <w:sz w:val="22"/>
              <w:szCs w:val="22"/>
              <w:lang w:eastAsia="en-AU"/>
            </w:rPr>
          </w:pPr>
          <w:hyperlink w:anchor="_Toc144806156" w:history="1">
            <w:r w:rsidR="00237257" w:rsidRPr="00C04A9C">
              <w:rPr>
                <w:rStyle w:val="Hyperlink"/>
                <w:noProof/>
              </w:rPr>
              <w:t>Registration timeline</w:t>
            </w:r>
            <w:r w:rsidR="00237257">
              <w:rPr>
                <w:noProof/>
                <w:webHidden/>
              </w:rPr>
              <w:tab/>
            </w:r>
            <w:r w:rsidR="00237257">
              <w:rPr>
                <w:noProof/>
                <w:webHidden/>
              </w:rPr>
              <w:fldChar w:fldCharType="begin"/>
            </w:r>
            <w:r w:rsidR="00237257">
              <w:rPr>
                <w:noProof/>
                <w:webHidden/>
              </w:rPr>
              <w:instrText xml:space="preserve"> PAGEREF _Toc144806156 \h </w:instrText>
            </w:r>
            <w:r w:rsidR="00237257">
              <w:rPr>
                <w:noProof/>
                <w:webHidden/>
              </w:rPr>
            </w:r>
            <w:r w:rsidR="00237257">
              <w:rPr>
                <w:noProof/>
                <w:webHidden/>
              </w:rPr>
              <w:fldChar w:fldCharType="separate"/>
            </w:r>
            <w:r w:rsidR="00237257">
              <w:rPr>
                <w:noProof/>
                <w:webHidden/>
              </w:rPr>
              <w:t>14</w:t>
            </w:r>
            <w:r w:rsidR="00237257">
              <w:rPr>
                <w:noProof/>
                <w:webHidden/>
              </w:rPr>
              <w:fldChar w:fldCharType="end"/>
            </w:r>
          </w:hyperlink>
        </w:p>
        <w:p w14:paraId="0EC2812A" w14:textId="3F3B229C" w:rsidR="00237257" w:rsidRDefault="00B30EE0">
          <w:pPr>
            <w:pStyle w:val="TOC1"/>
            <w:rPr>
              <w:rFonts w:asciiTheme="minorHAnsi" w:eastAsiaTheme="minorEastAsia" w:hAnsiTheme="minorHAnsi" w:cstheme="minorBidi"/>
              <w:b w:val="0"/>
              <w:noProof/>
              <w:color w:val="auto"/>
              <w:sz w:val="22"/>
              <w:szCs w:val="22"/>
              <w:lang w:eastAsia="en-AU"/>
            </w:rPr>
          </w:pPr>
          <w:hyperlink w:anchor="_Toc144806157" w:history="1">
            <w:r w:rsidR="00237257" w:rsidRPr="00C04A9C">
              <w:rPr>
                <w:rStyle w:val="Hyperlink"/>
                <w:noProof/>
              </w:rPr>
              <w:t>Submission overview and risk/benefit assessment</w:t>
            </w:r>
            <w:r w:rsidR="00237257">
              <w:rPr>
                <w:noProof/>
                <w:webHidden/>
              </w:rPr>
              <w:tab/>
            </w:r>
            <w:r w:rsidR="00237257">
              <w:rPr>
                <w:noProof/>
                <w:webHidden/>
              </w:rPr>
              <w:fldChar w:fldCharType="begin"/>
            </w:r>
            <w:r w:rsidR="00237257">
              <w:rPr>
                <w:noProof/>
                <w:webHidden/>
              </w:rPr>
              <w:instrText xml:space="preserve"> PAGEREF _Toc144806157 \h </w:instrText>
            </w:r>
            <w:r w:rsidR="00237257">
              <w:rPr>
                <w:noProof/>
                <w:webHidden/>
              </w:rPr>
            </w:r>
            <w:r w:rsidR="00237257">
              <w:rPr>
                <w:noProof/>
                <w:webHidden/>
              </w:rPr>
              <w:fldChar w:fldCharType="separate"/>
            </w:r>
            <w:r w:rsidR="00237257">
              <w:rPr>
                <w:noProof/>
                <w:webHidden/>
              </w:rPr>
              <w:t>15</w:t>
            </w:r>
            <w:r w:rsidR="00237257">
              <w:rPr>
                <w:noProof/>
                <w:webHidden/>
              </w:rPr>
              <w:fldChar w:fldCharType="end"/>
            </w:r>
          </w:hyperlink>
        </w:p>
        <w:p w14:paraId="56E1EBC4" w14:textId="21E5AF0E"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58" w:history="1">
            <w:r w:rsidR="00237257" w:rsidRPr="00C04A9C">
              <w:rPr>
                <w:rStyle w:val="Hyperlink"/>
                <w:noProof/>
              </w:rPr>
              <w:t>Quality</w:t>
            </w:r>
            <w:r w:rsidR="00237257">
              <w:rPr>
                <w:noProof/>
                <w:webHidden/>
              </w:rPr>
              <w:tab/>
            </w:r>
            <w:r w:rsidR="00237257">
              <w:rPr>
                <w:noProof/>
                <w:webHidden/>
              </w:rPr>
              <w:fldChar w:fldCharType="begin"/>
            </w:r>
            <w:r w:rsidR="00237257">
              <w:rPr>
                <w:noProof/>
                <w:webHidden/>
              </w:rPr>
              <w:instrText xml:space="preserve"> PAGEREF _Toc144806158 \h </w:instrText>
            </w:r>
            <w:r w:rsidR="00237257">
              <w:rPr>
                <w:noProof/>
                <w:webHidden/>
              </w:rPr>
            </w:r>
            <w:r w:rsidR="00237257">
              <w:rPr>
                <w:noProof/>
                <w:webHidden/>
              </w:rPr>
              <w:fldChar w:fldCharType="separate"/>
            </w:r>
            <w:r w:rsidR="00237257">
              <w:rPr>
                <w:noProof/>
                <w:webHidden/>
              </w:rPr>
              <w:t>15</w:t>
            </w:r>
            <w:r w:rsidR="00237257">
              <w:rPr>
                <w:noProof/>
                <w:webHidden/>
              </w:rPr>
              <w:fldChar w:fldCharType="end"/>
            </w:r>
          </w:hyperlink>
        </w:p>
        <w:p w14:paraId="341EB14B" w14:textId="7A6CE1D5"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59" w:history="1">
            <w:r w:rsidR="00237257" w:rsidRPr="00C04A9C">
              <w:rPr>
                <w:rStyle w:val="Hyperlink"/>
                <w:noProof/>
              </w:rPr>
              <w:t>Nonclinical</w:t>
            </w:r>
            <w:r w:rsidR="00237257">
              <w:rPr>
                <w:noProof/>
                <w:webHidden/>
              </w:rPr>
              <w:tab/>
            </w:r>
            <w:r w:rsidR="00237257">
              <w:rPr>
                <w:noProof/>
                <w:webHidden/>
              </w:rPr>
              <w:fldChar w:fldCharType="begin"/>
            </w:r>
            <w:r w:rsidR="00237257">
              <w:rPr>
                <w:noProof/>
                <w:webHidden/>
              </w:rPr>
              <w:instrText xml:space="preserve"> PAGEREF _Toc144806159 \h </w:instrText>
            </w:r>
            <w:r w:rsidR="00237257">
              <w:rPr>
                <w:noProof/>
                <w:webHidden/>
              </w:rPr>
            </w:r>
            <w:r w:rsidR="00237257">
              <w:rPr>
                <w:noProof/>
                <w:webHidden/>
              </w:rPr>
              <w:fldChar w:fldCharType="separate"/>
            </w:r>
            <w:r w:rsidR="00237257">
              <w:rPr>
                <w:noProof/>
                <w:webHidden/>
              </w:rPr>
              <w:t>15</w:t>
            </w:r>
            <w:r w:rsidR="00237257">
              <w:rPr>
                <w:noProof/>
                <w:webHidden/>
              </w:rPr>
              <w:fldChar w:fldCharType="end"/>
            </w:r>
          </w:hyperlink>
        </w:p>
        <w:p w14:paraId="18846416" w14:textId="33284173"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60" w:history="1">
            <w:r w:rsidR="00237257" w:rsidRPr="00C04A9C">
              <w:rPr>
                <w:rStyle w:val="Hyperlink"/>
                <w:noProof/>
              </w:rPr>
              <w:t>Clinical</w:t>
            </w:r>
            <w:r w:rsidR="00237257">
              <w:rPr>
                <w:noProof/>
                <w:webHidden/>
              </w:rPr>
              <w:tab/>
            </w:r>
            <w:r w:rsidR="00237257">
              <w:rPr>
                <w:noProof/>
                <w:webHidden/>
              </w:rPr>
              <w:fldChar w:fldCharType="begin"/>
            </w:r>
            <w:r w:rsidR="00237257">
              <w:rPr>
                <w:noProof/>
                <w:webHidden/>
              </w:rPr>
              <w:instrText xml:space="preserve"> PAGEREF _Toc144806160 \h </w:instrText>
            </w:r>
            <w:r w:rsidR="00237257">
              <w:rPr>
                <w:noProof/>
                <w:webHidden/>
              </w:rPr>
            </w:r>
            <w:r w:rsidR="00237257">
              <w:rPr>
                <w:noProof/>
                <w:webHidden/>
              </w:rPr>
              <w:fldChar w:fldCharType="separate"/>
            </w:r>
            <w:r w:rsidR="00237257">
              <w:rPr>
                <w:noProof/>
                <w:webHidden/>
              </w:rPr>
              <w:t>16</w:t>
            </w:r>
            <w:r w:rsidR="00237257">
              <w:rPr>
                <w:noProof/>
                <w:webHidden/>
              </w:rPr>
              <w:fldChar w:fldCharType="end"/>
            </w:r>
          </w:hyperlink>
        </w:p>
        <w:p w14:paraId="2A0071AA" w14:textId="1726AD7D" w:rsidR="00237257" w:rsidRDefault="00B30EE0">
          <w:pPr>
            <w:pStyle w:val="TOC3"/>
            <w:rPr>
              <w:rFonts w:asciiTheme="minorHAnsi" w:eastAsiaTheme="minorEastAsia" w:hAnsiTheme="minorHAnsi" w:cstheme="minorBidi"/>
              <w:b w:val="0"/>
              <w:noProof/>
              <w:color w:val="auto"/>
              <w:szCs w:val="22"/>
              <w:lang w:eastAsia="en-AU"/>
            </w:rPr>
          </w:pPr>
          <w:hyperlink w:anchor="_Toc144806161" w:history="1">
            <w:r w:rsidR="00237257" w:rsidRPr="00C04A9C">
              <w:rPr>
                <w:rStyle w:val="Hyperlink"/>
                <w:noProof/>
              </w:rPr>
              <w:t>Summary of clinical studies</w:t>
            </w:r>
            <w:r w:rsidR="00237257">
              <w:rPr>
                <w:noProof/>
                <w:webHidden/>
              </w:rPr>
              <w:tab/>
            </w:r>
            <w:r w:rsidR="00237257">
              <w:rPr>
                <w:noProof/>
                <w:webHidden/>
              </w:rPr>
              <w:fldChar w:fldCharType="begin"/>
            </w:r>
            <w:r w:rsidR="00237257">
              <w:rPr>
                <w:noProof/>
                <w:webHidden/>
              </w:rPr>
              <w:instrText xml:space="preserve"> PAGEREF _Toc144806161 \h </w:instrText>
            </w:r>
            <w:r w:rsidR="00237257">
              <w:rPr>
                <w:noProof/>
                <w:webHidden/>
              </w:rPr>
            </w:r>
            <w:r w:rsidR="00237257">
              <w:rPr>
                <w:noProof/>
                <w:webHidden/>
              </w:rPr>
              <w:fldChar w:fldCharType="separate"/>
            </w:r>
            <w:r w:rsidR="00237257">
              <w:rPr>
                <w:noProof/>
                <w:webHidden/>
              </w:rPr>
              <w:t>16</w:t>
            </w:r>
            <w:r w:rsidR="00237257">
              <w:rPr>
                <w:noProof/>
                <w:webHidden/>
              </w:rPr>
              <w:fldChar w:fldCharType="end"/>
            </w:r>
          </w:hyperlink>
        </w:p>
        <w:p w14:paraId="6E156025" w14:textId="2D1F36DE" w:rsidR="00237257" w:rsidRDefault="00B30EE0">
          <w:pPr>
            <w:pStyle w:val="TOC3"/>
            <w:rPr>
              <w:rFonts w:asciiTheme="minorHAnsi" w:eastAsiaTheme="minorEastAsia" w:hAnsiTheme="minorHAnsi" w:cstheme="minorBidi"/>
              <w:b w:val="0"/>
              <w:noProof/>
              <w:color w:val="auto"/>
              <w:szCs w:val="22"/>
              <w:lang w:eastAsia="en-AU"/>
            </w:rPr>
          </w:pPr>
          <w:hyperlink w:anchor="_Toc144806162" w:history="1">
            <w:r w:rsidR="00237257" w:rsidRPr="00C04A9C">
              <w:rPr>
                <w:rStyle w:val="Hyperlink"/>
                <w:noProof/>
              </w:rPr>
              <w:t>Clinical data in the adolescent population</w:t>
            </w:r>
            <w:r w:rsidR="00237257">
              <w:rPr>
                <w:noProof/>
                <w:webHidden/>
              </w:rPr>
              <w:tab/>
            </w:r>
            <w:r w:rsidR="00237257">
              <w:rPr>
                <w:noProof/>
                <w:webHidden/>
              </w:rPr>
              <w:fldChar w:fldCharType="begin"/>
            </w:r>
            <w:r w:rsidR="00237257">
              <w:rPr>
                <w:noProof/>
                <w:webHidden/>
              </w:rPr>
              <w:instrText xml:space="preserve"> PAGEREF _Toc144806162 \h </w:instrText>
            </w:r>
            <w:r w:rsidR="00237257">
              <w:rPr>
                <w:noProof/>
                <w:webHidden/>
              </w:rPr>
            </w:r>
            <w:r w:rsidR="00237257">
              <w:rPr>
                <w:noProof/>
                <w:webHidden/>
              </w:rPr>
              <w:fldChar w:fldCharType="separate"/>
            </w:r>
            <w:r w:rsidR="00237257">
              <w:rPr>
                <w:noProof/>
                <w:webHidden/>
              </w:rPr>
              <w:t>27</w:t>
            </w:r>
            <w:r w:rsidR="00237257">
              <w:rPr>
                <w:noProof/>
                <w:webHidden/>
              </w:rPr>
              <w:fldChar w:fldCharType="end"/>
            </w:r>
          </w:hyperlink>
        </w:p>
        <w:p w14:paraId="45166008" w14:textId="68B57B94"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63" w:history="1">
            <w:r w:rsidR="00237257" w:rsidRPr="00C04A9C">
              <w:rPr>
                <w:rStyle w:val="Hyperlink"/>
                <w:noProof/>
                <w:lang w:eastAsia="en-AU"/>
              </w:rPr>
              <w:t>Risk management plan</w:t>
            </w:r>
            <w:r w:rsidR="00237257">
              <w:rPr>
                <w:noProof/>
                <w:webHidden/>
              </w:rPr>
              <w:tab/>
            </w:r>
            <w:r w:rsidR="00237257">
              <w:rPr>
                <w:noProof/>
                <w:webHidden/>
              </w:rPr>
              <w:fldChar w:fldCharType="begin"/>
            </w:r>
            <w:r w:rsidR="00237257">
              <w:rPr>
                <w:noProof/>
                <w:webHidden/>
              </w:rPr>
              <w:instrText xml:space="preserve"> PAGEREF _Toc144806163 \h </w:instrText>
            </w:r>
            <w:r w:rsidR="00237257">
              <w:rPr>
                <w:noProof/>
                <w:webHidden/>
              </w:rPr>
            </w:r>
            <w:r w:rsidR="00237257">
              <w:rPr>
                <w:noProof/>
                <w:webHidden/>
              </w:rPr>
              <w:fldChar w:fldCharType="separate"/>
            </w:r>
            <w:r w:rsidR="00237257">
              <w:rPr>
                <w:noProof/>
                <w:webHidden/>
              </w:rPr>
              <w:t>27</w:t>
            </w:r>
            <w:r w:rsidR="00237257">
              <w:rPr>
                <w:noProof/>
                <w:webHidden/>
              </w:rPr>
              <w:fldChar w:fldCharType="end"/>
            </w:r>
          </w:hyperlink>
        </w:p>
        <w:p w14:paraId="066EDEAA" w14:textId="4EED4C5A" w:rsidR="00237257" w:rsidRDefault="00B30EE0">
          <w:pPr>
            <w:pStyle w:val="TOC2"/>
            <w:rPr>
              <w:rFonts w:asciiTheme="minorHAnsi" w:eastAsiaTheme="minorEastAsia" w:hAnsiTheme="minorHAnsi" w:cstheme="minorBidi"/>
              <w:b w:val="0"/>
              <w:noProof/>
              <w:color w:val="auto"/>
              <w:sz w:val="22"/>
              <w:szCs w:val="22"/>
              <w:lang w:eastAsia="en-AU"/>
            </w:rPr>
          </w:pPr>
          <w:hyperlink w:anchor="_Toc144806164" w:history="1">
            <w:r w:rsidR="00237257" w:rsidRPr="00C04A9C">
              <w:rPr>
                <w:rStyle w:val="Hyperlink"/>
                <w:noProof/>
              </w:rPr>
              <w:t>Risk-benefit analysis</w:t>
            </w:r>
            <w:r w:rsidR="00237257">
              <w:rPr>
                <w:noProof/>
                <w:webHidden/>
              </w:rPr>
              <w:tab/>
            </w:r>
            <w:r w:rsidR="00237257">
              <w:rPr>
                <w:noProof/>
                <w:webHidden/>
              </w:rPr>
              <w:fldChar w:fldCharType="begin"/>
            </w:r>
            <w:r w:rsidR="00237257">
              <w:rPr>
                <w:noProof/>
                <w:webHidden/>
              </w:rPr>
              <w:instrText xml:space="preserve"> PAGEREF _Toc144806164 \h </w:instrText>
            </w:r>
            <w:r w:rsidR="00237257">
              <w:rPr>
                <w:noProof/>
                <w:webHidden/>
              </w:rPr>
            </w:r>
            <w:r w:rsidR="00237257">
              <w:rPr>
                <w:noProof/>
                <w:webHidden/>
              </w:rPr>
              <w:fldChar w:fldCharType="separate"/>
            </w:r>
            <w:r w:rsidR="00237257">
              <w:rPr>
                <w:noProof/>
                <w:webHidden/>
              </w:rPr>
              <w:t>28</w:t>
            </w:r>
            <w:r w:rsidR="00237257">
              <w:rPr>
                <w:noProof/>
                <w:webHidden/>
              </w:rPr>
              <w:fldChar w:fldCharType="end"/>
            </w:r>
          </w:hyperlink>
        </w:p>
        <w:p w14:paraId="6660C55F" w14:textId="6FFB5E3A" w:rsidR="00237257" w:rsidRDefault="00B30EE0">
          <w:pPr>
            <w:pStyle w:val="TOC3"/>
            <w:rPr>
              <w:rFonts w:asciiTheme="minorHAnsi" w:eastAsiaTheme="minorEastAsia" w:hAnsiTheme="minorHAnsi" w:cstheme="minorBidi"/>
              <w:b w:val="0"/>
              <w:noProof/>
              <w:color w:val="auto"/>
              <w:szCs w:val="22"/>
              <w:lang w:eastAsia="en-AU"/>
            </w:rPr>
          </w:pPr>
          <w:hyperlink w:anchor="_Toc144806165" w:history="1">
            <w:r w:rsidR="00237257" w:rsidRPr="00C04A9C">
              <w:rPr>
                <w:rStyle w:val="Hyperlink"/>
                <w:noProof/>
              </w:rPr>
              <w:t>Delegate’s considerations</w:t>
            </w:r>
            <w:r w:rsidR="00237257">
              <w:rPr>
                <w:noProof/>
                <w:webHidden/>
              </w:rPr>
              <w:tab/>
            </w:r>
            <w:r w:rsidR="00237257">
              <w:rPr>
                <w:noProof/>
                <w:webHidden/>
              </w:rPr>
              <w:fldChar w:fldCharType="begin"/>
            </w:r>
            <w:r w:rsidR="00237257">
              <w:rPr>
                <w:noProof/>
                <w:webHidden/>
              </w:rPr>
              <w:instrText xml:space="preserve"> PAGEREF _Toc144806165 \h </w:instrText>
            </w:r>
            <w:r w:rsidR="00237257">
              <w:rPr>
                <w:noProof/>
                <w:webHidden/>
              </w:rPr>
            </w:r>
            <w:r w:rsidR="00237257">
              <w:rPr>
                <w:noProof/>
                <w:webHidden/>
              </w:rPr>
              <w:fldChar w:fldCharType="separate"/>
            </w:r>
            <w:r w:rsidR="00237257">
              <w:rPr>
                <w:noProof/>
                <w:webHidden/>
              </w:rPr>
              <w:t>28</w:t>
            </w:r>
            <w:r w:rsidR="00237257">
              <w:rPr>
                <w:noProof/>
                <w:webHidden/>
              </w:rPr>
              <w:fldChar w:fldCharType="end"/>
            </w:r>
          </w:hyperlink>
        </w:p>
        <w:p w14:paraId="2980AE65" w14:textId="2AEBF6D4" w:rsidR="00237257" w:rsidRDefault="00B30EE0">
          <w:pPr>
            <w:pStyle w:val="TOC3"/>
            <w:rPr>
              <w:rFonts w:asciiTheme="minorHAnsi" w:eastAsiaTheme="minorEastAsia" w:hAnsiTheme="minorHAnsi" w:cstheme="minorBidi"/>
              <w:b w:val="0"/>
              <w:noProof/>
              <w:color w:val="auto"/>
              <w:szCs w:val="22"/>
              <w:lang w:eastAsia="en-AU"/>
            </w:rPr>
          </w:pPr>
          <w:hyperlink w:anchor="_Toc144806166" w:history="1">
            <w:r w:rsidR="00237257" w:rsidRPr="00C04A9C">
              <w:rPr>
                <w:rStyle w:val="Hyperlink"/>
                <w:noProof/>
              </w:rPr>
              <w:t>Proposed action</w:t>
            </w:r>
            <w:r w:rsidR="00237257">
              <w:rPr>
                <w:noProof/>
                <w:webHidden/>
              </w:rPr>
              <w:tab/>
            </w:r>
            <w:r w:rsidR="00237257">
              <w:rPr>
                <w:noProof/>
                <w:webHidden/>
              </w:rPr>
              <w:fldChar w:fldCharType="begin"/>
            </w:r>
            <w:r w:rsidR="00237257">
              <w:rPr>
                <w:noProof/>
                <w:webHidden/>
              </w:rPr>
              <w:instrText xml:space="preserve"> PAGEREF _Toc144806166 \h </w:instrText>
            </w:r>
            <w:r w:rsidR="00237257">
              <w:rPr>
                <w:noProof/>
                <w:webHidden/>
              </w:rPr>
            </w:r>
            <w:r w:rsidR="00237257">
              <w:rPr>
                <w:noProof/>
                <w:webHidden/>
              </w:rPr>
              <w:fldChar w:fldCharType="separate"/>
            </w:r>
            <w:r w:rsidR="00237257">
              <w:rPr>
                <w:noProof/>
                <w:webHidden/>
              </w:rPr>
              <w:t>30</w:t>
            </w:r>
            <w:r w:rsidR="00237257">
              <w:rPr>
                <w:noProof/>
                <w:webHidden/>
              </w:rPr>
              <w:fldChar w:fldCharType="end"/>
            </w:r>
          </w:hyperlink>
        </w:p>
        <w:p w14:paraId="48AF2D36" w14:textId="5462DD6B" w:rsidR="00237257" w:rsidRDefault="00B30EE0">
          <w:pPr>
            <w:pStyle w:val="TOC3"/>
            <w:rPr>
              <w:rFonts w:asciiTheme="minorHAnsi" w:eastAsiaTheme="minorEastAsia" w:hAnsiTheme="minorHAnsi" w:cstheme="minorBidi"/>
              <w:b w:val="0"/>
              <w:noProof/>
              <w:color w:val="auto"/>
              <w:szCs w:val="22"/>
              <w:lang w:eastAsia="en-AU"/>
            </w:rPr>
          </w:pPr>
          <w:hyperlink w:anchor="_Toc144806167" w:history="1">
            <w:r w:rsidR="00237257" w:rsidRPr="00C04A9C">
              <w:rPr>
                <w:rStyle w:val="Hyperlink"/>
                <w:noProof/>
              </w:rPr>
              <w:t>Advisory Committee considerations</w:t>
            </w:r>
            <w:r w:rsidR="00237257">
              <w:rPr>
                <w:noProof/>
                <w:webHidden/>
              </w:rPr>
              <w:tab/>
            </w:r>
            <w:r w:rsidR="00237257">
              <w:rPr>
                <w:noProof/>
                <w:webHidden/>
              </w:rPr>
              <w:fldChar w:fldCharType="begin"/>
            </w:r>
            <w:r w:rsidR="00237257">
              <w:rPr>
                <w:noProof/>
                <w:webHidden/>
              </w:rPr>
              <w:instrText xml:space="preserve"> PAGEREF _Toc144806167 \h </w:instrText>
            </w:r>
            <w:r w:rsidR="00237257">
              <w:rPr>
                <w:noProof/>
                <w:webHidden/>
              </w:rPr>
            </w:r>
            <w:r w:rsidR="00237257">
              <w:rPr>
                <w:noProof/>
                <w:webHidden/>
              </w:rPr>
              <w:fldChar w:fldCharType="separate"/>
            </w:r>
            <w:r w:rsidR="00237257">
              <w:rPr>
                <w:noProof/>
                <w:webHidden/>
              </w:rPr>
              <w:t>30</w:t>
            </w:r>
            <w:r w:rsidR="00237257">
              <w:rPr>
                <w:noProof/>
                <w:webHidden/>
              </w:rPr>
              <w:fldChar w:fldCharType="end"/>
            </w:r>
          </w:hyperlink>
        </w:p>
        <w:p w14:paraId="03664644" w14:textId="4DE29FC4" w:rsidR="00237257" w:rsidRDefault="00B30EE0">
          <w:pPr>
            <w:pStyle w:val="TOC1"/>
            <w:rPr>
              <w:rFonts w:asciiTheme="minorHAnsi" w:eastAsiaTheme="minorEastAsia" w:hAnsiTheme="minorHAnsi" w:cstheme="minorBidi"/>
              <w:b w:val="0"/>
              <w:noProof/>
              <w:color w:val="auto"/>
              <w:sz w:val="22"/>
              <w:szCs w:val="22"/>
              <w:lang w:eastAsia="en-AU"/>
            </w:rPr>
          </w:pPr>
          <w:hyperlink w:anchor="_Toc144806168" w:history="1">
            <w:r w:rsidR="00237257" w:rsidRPr="00C04A9C">
              <w:rPr>
                <w:rStyle w:val="Hyperlink"/>
                <w:noProof/>
              </w:rPr>
              <w:t>Outcome</w:t>
            </w:r>
            <w:r w:rsidR="00237257">
              <w:rPr>
                <w:noProof/>
                <w:webHidden/>
              </w:rPr>
              <w:tab/>
            </w:r>
            <w:r w:rsidR="00237257">
              <w:rPr>
                <w:noProof/>
                <w:webHidden/>
              </w:rPr>
              <w:fldChar w:fldCharType="begin"/>
            </w:r>
            <w:r w:rsidR="00237257">
              <w:rPr>
                <w:noProof/>
                <w:webHidden/>
              </w:rPr>
              <w:instrText xml:space="preserve"> PAGEREF _Toc144806168 \h </w:instrText>
            </w:r>
            <w:r w:rsidR="00237257">
              <w:rPr>
                <w:noProof/>
                <w:webHidden/>
              </w:rPr>
            </w:r>
            <w:r w:rsidR="00237257">
              <w:rPr>
                <w:noProof/>
                <w:webHidden/>
              </w:rPr>
              <w:fldChar w:fldCharType="separate"/>
            </w:r>
            <w:r w:rsidR="00237257">
              <w:rPr>
                <w:noProof/>
                <w:webHidden/>
              </w:rPr>
              <w:t>31</w:t>
            </w:r>
            <w:r w:rsidR="00237257">
              <w:rPr>
                <w:noProof/>
                <w:webHidden/>
              </w:rPr>
              <w:fldChar w:fldCharType="end"/>
            </w:r>
          </w:hyperlink>
        </w:p>
        <w:p w14:paraId="05A2436C" w14:textId="26D5A1E9" w:rsidR="00237257" w:rsidRDefault="00B30EE0">
          <w:pPr>
            <w:pStyle w:val="TOC1"/>
            <w:rPr>
              <w:rFonts w:asciiTheme="minorHAnsi" w:eastAsiaTheme="minorEastAsia" w:hAnsiTheme="minorHAnsi" w:cstheme="minorBidi"/>
              <w:b w:val="0"/>
              <w:noProof/>
              <w:color w:val="auto"/>
              <w:sz w:val="22"/>
              <w:szCs w:val="22"/>
              <w:lang w:eastAsia="en-AU"/>
            </w:rPr>
          </w:pPr>
          <w:hyperlink w:anchor="_Toc144806169" w:history="1">
            <w:r w:rsidR="00237257" w:rsidRPr="00C04A9C">
              <w:rPr>
                <w:rStyle w:val="Hyperlink"/>
                <w:noProof/>
              </w:rPr>
              <w:t>Attachment 1. Product Information</w:t>
            </w:r>
            <w:r w:rsidR="00237257">
              <w:rPr>
                <w:noProof/>
                <w:webHidden/>
              </w:rPr>
              <w:tab/>
            </w:r>
            <w:r w:rsidR="00237257">
              <w:rPr>
                <w:noProof/>
                <w:webHidden/>
              </w:rPr>
              <w:fldChar w:fldCharType="begin"/>
            </w:r>
            <w:r w:rsidR="00237257">
              <w:rPr>
                <w:noProof/>
                <w:webHidden/>
              </w:rPr>
              <w:instrText xml:space="preserve"> PAGEREF _Toc144806169 \h </w:instrText>
            </w:r>
            <w:r w:rsidR="00237257">
              <w:rPr>
                <w:noProof/>
                <w:webHidden/>
              </w:rPr>
            </w:r>
            <w:r w:rsidR="00237257">
              <w:rPr>
                <w:noProof/>
                <w:webHidden/>
              </w:rPr>
              <w:fldChar w:fldCharType="separate"/>
            </w:r>
            <w:r w:rsidR="00237257">
              <w:rPr>
                <w:noProof/>
                <w:webHidden/>
              </w:rPr>
              <w:t>32</w:t>
            </w:r>
            <w:r w:rsidR="00237257">
              <w:rPr>
                <w:noProof/>
                <w:webHidden/>
              </w:rPr>
              <w:fldChar w:fldCharType="end"/>
            </w:r>
          </w:hyperlink>
        </w:p>
        <w:p w14:paraId="77659F2D" w14:textId="3D0139DC"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44806147"/>
      <w:bookmarkStart w:id="3" w:name="_Toc323739589"/>
      <w:bookmarkStart w:id="4" w:name="_Toc356305216"/>
      <w:r>
        <w:lastRenderedPageBreak/>
        <w:t>List of abbreviations</w:t>
      </w:r>
      <w:bookmarkEnd w:id="0"/>
      <w:bookmarkEnd w:id="1"/>
      <w:bookmarkEnd w:id="2"/>
    </w:p>
    <w:tbl>
      <w:tblPr>
        <w:tblStyle w:val="TableTGAblue2023"/>
        <w:tblW w:w="9430" w:type="dxa"/>
        <w:tblLook w:val="04A0" w:firstRow="1" w:lastRow="0" w:firstColumn="1" w:lastColumn="0" w:noHBand="0" w:noVBand="1"/>
      </w:tblPr>
      <w:tblGrid>
        <w:gridCol w:w="2263"/>
        <w:gridCol w:w="7167"/>
      </w:tblGrid>
      <w:tr w:rsidR="00673FB8" w:rsidRPr="003D71A1" w14:paraId="4BD87BE3" w14:textId="77777777" w:rsidTr="00377CB2">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tcPr>
          <w:p w14:paraId="4CAB64CD" w14:textId="77777777" w:rsidR="00673FB8" w:rsidRPr="00B919B7" w:rsidRDefault="00673FB8" w:rsidP="00377CB2">
            <w:pPr>
              <w:rPr>
                <w:szCs w:val="22"/>
              </w:rPr>
            </w:pPr>
            <w:r w:rsidRPr="00B919B7">
              <w:rPr>
                <w:szCs w:val="22"/>
              </w:rPr>
              <w:t>Abbreviation</w:t>
            </w:r>
          </w:p>
        </w:tc>
        <w:tc>
          <w:tcPr>
            <w:tcW w:w="7167" w:type="dxa"/>
          </w:tcPr>
          <w:p w14:paraId="6646F957" w14:textId="77777777" w:rsidR="00673FB8" w:rsidRPr="00B919B7" w:rsidRDefault="00673FB8" w:rsidP="00377CB2">
            <w:pPr>
              <w:cnfStyle w:val="100000000000" w:firstRow="1" w:lastRow="0" w:firstColumn="0" w:lastColumn="0" w:oddVBand="0" w:evenVBand="0" w:oddHBand="0" w:evenHBand="0" w:firstRowFirstColumn="0" w:firstRowLastColumn="0" w:lastRowFirstColumn="0" w:lastRowLastColumn="0"/>
              <w:rPr>
                <w:szCs w:val="22"/>
              </w:rPr>
            </w:pPr>
            <w:r w:rsidRPr="00B919B7">
              <w:rPr>
                <w:szCs w:val="22"/>
              </w:rPr>
              <w:t>Meaning</w:t>
            </w:r>
          </w:p>
        </w:tc>
      </w:tr>
      <w:tr w:rsidR="00673FB8" w:rsidRPr="003D71A1" w14:paraId="2C7635BD"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B1581EA" w14:textId="77777777" w:rsidR="00673FB8" w:rsidRPr="00B919B7" w:rsidRDefault="00673FB8" w:rsidP="00377CB2">
            <w:pPr>
              <w:rPr>
                <w:rFonts w:cstheme="minorHAnsi"/>
                <w:szCs w:val="22"/>
              </w:rPr>
            </w:pPr>
            <w:r w:rsidRPr="00B919B7">
              <w:rPr>
                <w:rFonts w:cstheme="minorHAnsi"/>
                <w:szCs w:val="22"/>
              </w:rPr>
              <w:t>ACV</w:t>
            </w:r>
          </w:p>
        </w:tc>
        <w:tc>
          <w:tcPr>
            <w:tcW w:w="7167" w:type="dxa"/>
          </w:tcPr>
          <w:p w14:paraId="1325CEAB"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Advisory Committee on Vaccines</w:t>
            </w:r>
          </w:p>
        </w:tc>
      </w:tr>
      <w:tr w:rsidR="00673FB8" w:rsidRPr="003D71A1" w14:paraId="10615471"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DF84F4D" w14:textId="77777777" w:rsidR="00673FB8" w:rsidRPr="00B919B7" w:rsidRDefault="00673FB8" w:rsidP="00377CB2">
            <w:pPr>
              <w:rPr>
                <w:rFonts w:cstheme="minorHAnsi"/>
                <w:szCs w:val="22"/>
              </w:rPr>
            </w:pPr>
            <w:r w:rsidRPr="00B919B7">
              <w:rPr>
                <w:rFonts w:cstheme="minorHAnsi"/>
                <w:szCs w:val="22"/>
              </w:rPr>
              <w:t>ATC</w:t>
            </w:r>
          </w:p>
        </w:tc>
        <w:tc>
          <w:tcPr>
            <w:tcW w:w="7167" w:type="dxa"/>
          </w:tcPr>
          <w:p w14:paraId="4A072D4A" w14:textId="6EB3EB3B"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Anatomical Therapeutic Chemical</w:t>
            </w:r>
            <w:r w:rsidR="00377CB2" w:rsidRPr="00B919B7">
              <w:rPr>
                <w:rFonts w:cstheme="minorHAnsi"/>
                <w:szCs w:val="22"/>
              </w:rPr>
              <w:t xml:space="preserve"> (code)</w:t>
            </w:r>
          </w:p>
        </w:tc>
      </w:tr>
      <w:tr w:rsidR="00673FB8" w:rsidRPr="003D71A1" w14:paraId="70C80135"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0F11D64" w14:textId="77777777" w:rsidR="00673FB8" w:rsidRPr="00B919B7" w:rsidRDefault="00673FB8" w:rsidP="00377CB2">
            <w:pPr>
              <w:rPr>
                <w:rFonts w:cstheme="minorHAnsi"/>
                <w:szCs w:val="22"/>
              </w:rPr>
            </w:pPr>
            <w:r w:rsidRPr="00B919B7">
              <w:rPr>
                <w:rFonts w:cstheme="minorHAnsi"/>
                <w:szCs w:val="22"/>
              </w:rPr>
              <w:t>CI</w:t>
            </w:r>
          </w:p>
        </w:tc>
        <w:tc>
          <w:tcPr>
            <w:tcW w:w="7167" w:type="dxa"/>
          </w:tcPr>
          <w:p w14:paraId="3D012A7E"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Confidence interval</w:t>
            </w:r>
          </w:p>
        </w:tc>
      </w:tr>
      <w:tr w:rsidR="00673FB8" w:rsidRPr="003D71A1" w14:paraId="33060A8B"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3E346F7" w14:textId="77777777" w:rsidR="00673FB8" w:rsidRPr="00B919B7" w:rsidRDefault="00673FB8" w:rsidP="00377CB2">
            <w:pPr>
              <w:rPr>
                <w:rFonts w:cstheme="minorHAnsi"/>
                <w:szCs w:val="22"/>
              </w:rPr>
            </w:pPr>
            <w:r w:rsidRPr="00B919B7">
              <w:rPr>
                <w:rFonts w:cstheme="minorHAnsi"/>
                <w:szCs w:val="22"/>
              </w:rPr>
              <w:t>COVID-19</w:t>
            </w:r>
          </w:p>
        </w:tc>
        <w:tc>
          <w:tcPr>
            <w:tcW w:w="7167" w:type="dxa"/>
          </w:tcPr>
          <w:p w14:paraId="01263D30"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Coronavirus disease 2019</w:t>
            </w:r>
          </w:p>
        </w:tc>
      </w:tr>
      <w:tr w:rsidR="00673FB8" w:rsidRPr="003D71A1" w14:paraId="6D577431"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9CF4181" w14:textId="77777777" w:rsidR="00673FB8" w:rsidRPr="00B919B7" w:rsidRDefault="00673FB8" w:rsidP="00377CB2">
            <w:pPr>
              <w:rPr>
                <w:rFonts w:cstheme="minorHAnsi"/>
                <w:szCs w:val="22"/>
              </w:rPr>
            </w:pPr>
            <w:r w:rsidRPr="00B919B7">
              <w:rPr>
                <w:rFonts w:cstheme="minorHAnsi"/>
                <w:szCs w:val="22"/>
              </w:rPr>
              <w:t>EU</w:t>
            </w:r>
          </w:p>
        </w:tc>
        <w:tc>
          <w:tcPr>
            <w:tcW w:w="7167" w:type="dxa"/>
          </w:tcPr>
          <w:p w14:paraId="6F10AA05"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European Union</w:t>
            </w:r>
          </w:p>
        </w:tc>
      </w:tr>
      <w:tr w:rsidR="00673FB8" w:rsidRPr="003D71A1" w14:paraId="41825EFF"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F117376" w14:textId="77777777" w:rsidR="00673FB8" w:rsidRPr="00B919B7" w:rsidRDefault="00673FB8" w:rsidP="00377CB2">
            <w:pPr>
              <w:rPr>
                <w:rFonts w:cstheme="minorHAnsi"/>
                <w:szCs w:val="22"/>
              </w:rPr>
            </w:pPr>
            <w:r w:rsidRPr="00B919B7">
              <w:rPr>
                <w:rFonts w:cstheme="minorHAnsi"/>
                <w:szCs w:val="22"/>
              </w:rPr>
              <w:t>PI</w:t>
            </w:r>
          </w:p>
        </w:tc>
        <w:tc>
          <w:tcPr>
            <w:tcW w:w="7167" w:type="dxa"/>
          </w:tcPr>
          <w:p w14:paraId="6B8752DA"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Product Information</w:t>
            </w:r>
          </w:p>
        </w:tc>
      </w:tr>
      <w:tr w:rsidR="00673FB8" w:rsidRPr="003D71A1" w14:paraId="35E401F6"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85DAAD7" w14:textId="719393A0" w:rsidR="00673FB8" w:rsidRPr="00B919B7" w:rsidRDefault="00673FB8" w:rsidP="00377CB2">
            <w:pPr>
              <w:rPr>
                <w:rFonts w:cstheme="minorHAnsi"/>
                <w:szCs w:val="22"/>
              </w:rPr>
            </w:pPr>
            <w:r w:rsidRPr="00B919B7">
              <w:rPr>
                <w:rFonts w:cstheme="minorHAnsi"/>
                <w:szCs w:val="22"/>
              </w:rPr>
              <w:t>RMP</w:t>
            </w:r>
          </w:p>
        </w:tc>
        <w:tc>
          <w:tcPr>
            <w:tcW w:w="7167" w:type="dxa"/>
          </w:tcPr>
          <w:p w14:paraId="0C6FBE4B" w14:textId="1BE98B1E"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Risk Management Plan</w:t>
            </w:r>
          </w:p>
        </w:tc>
      </w:tr>
      <w:tr w:rsidR="00673FB8" w:rsidRPr="003D71A1" w14:paraId="3A6189F7"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1832265" w14:textId="77777777" w:rsidR="00673FB8" w:rsidRPr="00B919B7" w:rsidRDefault="00673FB8" w:rsidP="00377CB2">
            <w:pPr>
              <w:rPr>
                <w:rFonts w:cstheme="minorHAnsi"/>
                <w:szCs w:val="22"/>
              </w:rPr>
            </w:pPr>
            <w:r w:rsidRPr="00B919B7">
              <w:rPr>
                <w:rFonts w:cstheme="minorHAnsi"/>
                <w:szCs w:val="22"/>
              </w:rPr>
              <w:t>SARS-CoV-2</w:t>
            </w:r>
          </w:p>
        </w:tc>
        <w:tc>
          <w:tcPr>
            <w:tcW w:w="7167" w:type="dxa"/>
          </w:tcPr>
          <w:p w14:paraId="5ECB5AA6"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Severe acute respiratory syndrome coronavirus 2</w:t>
            </w:r>
          </w:p>
        </w:tc>
      </w:tr>
      <w:tr w:rsidR="00673FB8" w:rsidRPr="003D71A1" w14:paraId="15B4F107"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F6A5A4" w14:textId="77777777" w:rsidR="00673FB8" w:rsidRPr="00B919B7" w:rsidRDefault="00673FB8" w:rsidP="00377CB2">
            <w:pPr>
              <w:rPr>
                <w:rFonts w:cstheme="minorHAnsi"/>
                <w:szCs w:val="22"/>
              </w:rPr>
            </w:pPr>
            <w:r w:rsidRPr="00B919B7">
              <w:rPr>
                <w:rFonts w:cstheme="minorHAnsi"/>
                <w:szCs w:val="22"/>
              </w:rPr>
              <w:t>TGA</w:t>
            </w:r>
          </w:p>
        </w:tc>
        <w:tc>
          <w:tcPr>
            <w:tcW w:w="7167" w:type="dxa"/>
          </w:tcPr>
          <w:p w14:paraId="733D6768"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Therapeutic Goods Administration</w:t>
            </w:r>
          </w:p>
        </w:tc>
      </w:tr>
      <w:tr w:rsidR="00673FB8" w:rsidRPr="003D71A1" w14:paraId="693D391D" w14:textId="77777777" w:rsidTr="00377CB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98F50EA" w14:textId="77777777" w:rsidR="00673FB8" w:rsidRPr="00B919B7" w:rsidRDefault="00673FB8" w:rsidP="00377CB2">
            <w:pPr>
              <w:rPr>
                <w:rFonts w:cstheme="minorHAnsi"/>
                <w:szCs w:val="22"/>
              </w:rPr>
            </w:pPr>
            <w:r w:rsidRPr="00B919B7">
              <w:rPr>
                <w:rFonts w:cstheme="minorHAnsi"/>
                <w:szCs w:val="22"/>
              </w:rPr>
              <w:t>US(A)</w:t>
            </w:r>
          </w:p>
        </w:tc>
        <w:tc>
          <w:tcPr>
            <w:tcW w:w="7167" w:type="dxa"/>
          </w:tcPr>
          <w:p w14:paraId="6A2003C3" w14:textId="77777777" w:rsidR="00673FB8" w:rsidRPr="00B919B7" w:rsidRDefault="00673FB8" w:rsidP="00377CB2">
            <w:pPr>
              <w:cnfStyle w:val="000000000000" w:firstRow="0" w:lastRow="0" w:firstColumn="0" w:lastColumn="0" w:oddVBand="0" w:evenVBand="0" w:oddHBand="0" w:evenHBand="0" w:firstRowFirstColumn="0" w:firstRowLastColumn="0" w:lastRowFirstColumn="0" w:lastRowLastColumn="0"/>
              <w:rPr>
                <w:rFonts w:cstheme="minorHAnsi"/>
                <w:szCs w:val="22"/>
              </w:rPr>
            </w:pPr>
            <w:r w:rsidRPr="00B919B7">
              <w:rPr>
                <w:rFonts w:cstheme="minorHAnsi"/>
                <w:szCs w:val="22"/>
              </w:rPr>
              <w:t>United States (of America)</w:t>
            </w:r>
          </w:p>
        </w:tc>
      </w:tr>
    </w:tbl>
    <w:p w14:paraId="7378F926" w14:textId="77777777" w:rsidR="00324B33" w:rsidRPr="00673FB8"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44806148"/>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44806149"/>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BD5DBD" w:rsidRDefault="00324B33" w:rsidP="007452E8">
            <w:pPr>
              <w:rPr>
                <w:i/>
                <w:szCs w:val="22"/>
              </w:rPr>
            </w:pPr>
            <w:r w:rsidRPr="00BD5DBD">
              <w:rPr>
                <w:i/>
                <w:szCs w:val="22"/>
              </w:rPr>
              <w:t>Type of submission:</w:t>
            </w:r>
          </w:p>
        </w:tc>
        <w:tc>
          <w:tcPr>
            <w:tcW w:w="3423" w:type="pct"/>
          </w:tcPr>
          <w:p w14:paraId="4F07C303" w14:textId="1377D4D9" w:rsidR="00324B33" w:rsidRPr="00BD5DBD" w:rsidRDefault="00D3609A" w:rsidP="007452E8">
            <w:pPr>
              <w:rPr>
                <w:szCs w:val="22"/>
              </w:rPr>
            </w:pPr>
            <w:r>
              <w:rPr>
                <w:szCs w:val="22"/>
              </w:rPr>
              <w:t>M</w:t>
            </w:r>
            <w:r w:rsidR="00324B33" w:rsidRPr="00BD5DBD">
              <w:rPr>
                <w:szCs w:val="22"/>
              </w:rPr>
              <w:t>ajor variation (</w:t>
            </w:r>
            <w:r w:rsidRPr="00D3609A">
              <w:rPr>
                <w:szCs w:val="22"/>
              </w:rPr>
              <w:t>change in dosage</w:t>
            </w:r>
            <w:r w:rsidR="00324B33" w:rsidRPr="00BD5DBD">
              <w:rPr>
                <w:szCs w:val="22"/>
              </w:rPr>
              <w:t>)</w:t>
            </w:r>
          </w:p>
        </w:tc>
      </w:tr>
      <w:tr w:rsidR="00324B33" w:rsidRPr="00BD5DBD" w14:paraId="13482B61" w14:textId="77777777" w:rsidTr="00F865A7">
        <w:tc>
          <w:tcPr>
            <w:tcW w:w="1577" w:type="pct"/>
          </w:tcPr>
          <w:p w14:paraId="2C427FCF" w14:textId="626C6FF3" w:rsidR="00324B33" w:rsidRPr="00BD5DBD" w:rsidRDefault="00324B33" w:rsidP="007452E8">
            <w:pPr>
              <w:rPr>
                <w:i/>
                <w:szCs w:val="22"/>
              </w:rPr>
            </w:pPr>
            <w:r w:rsidRPr="00BD5DBD">
              <w:rPr>
                <w:i/>
                <w:szCs w:val="22"/>
              </w:rPr>
              <w:t>Product name:</w:t>
            </w:r>
          </w:p>
        </w:tc>
        <w:tc>
          <w:tcPr>
            <w:tcW w:w="3423" w:type="pct"/>
          </w:tcPr>
          <w:p w14:paraId="0E2DEF76" w14:textId="5F777E60" w:rsidR="00324B33" w:rsidRPr="00BD5DBD" w:rsidRDefault="00D3609A" w:rsidP="007452E8">
            <w:pPr>
              <w:rPr>
                <w:szCs w:val="22"/>
              </w:rPr>
            </w:pPr>
            <w:r>
              <w:rPr>
                <w:szCs w:val="22"/>
              </w:rPr>
              <w:t>Comirnaty</w:t>
            </w:r>
          </w:p>
        </w:tc>
      </w:tr>
      <w:tr w:rsidR="00324B33" w:rsidRPr="00BD5DBD" w14:paraId="01255B5B" w14:textId="77777777" w:rsidTr="00F865A7">
        <w:tc>
          <w:tcPr>
            <w:tcW w:w="1577" w:type="pct"/>
          </w:tcPr>
          <w:p w14:paraId="52B4F3D7" w14:textId="6038D6FF" w:rsidR="00324B33" w:rsidRPr="00BD5DBD" w:rsidRDefault="00324B33" w:rsidP="007452E8">
            <w:pPr>
              <w:rPr>
                <w:i/>
                <w:szCs w:val="22"/>
              </w:rPr>
            </w:pPr>
            <w:r w:rsidRPr="00BD5DBD">
              <w:rPr>
                <w:i/>
                <w:szCs w:val="22"/>
              </w:rPr>
              <w:t>Active ingredient:</w:t>
            </w:r>
          </w:p>
        </w:tc>
        <w:tc>
          <w:tcPr>
            <w:tcW w:w="3423" w:type="pct"/>
          </w:tcPr>
          <w:p w14:paraId="02FB6383" w14:textId="0A15C513" w:rsidR="00324B33" w:rsidRPr="00BD5DBD" w:rsidRDefault="00D3609A" w:rsidP="007452E8">
            <w:pPr>
              <w:rPr>
                <w:szCs w:val="22"/>
              </w:rPr>
            </w:pPr>
            <w:r w:rsidRPr="00D3609A">
              <w:rPr>
                <w:szCs w:val="22"/>
              </w:rPr>
              <w:t>Tozinameran</w:t>
            </w:r>
          </w:p>
        </w:tc>
      </w:tr>
      <w:tr w:rsidR="00324B33" w:rsidRPr="00BD5DBD" w14:paraId="219A281B" w14:textId="77777777" w:rsidTr="00F865A7">
        <w:tc>
          <w:tcPr>
            <w:tcW w:w="1577" w:type="pct"/>
          </w:tcPr>
          <w:p w14:paraId="112E5F78" w14:textId="77777777" w:rsidR="00324B33" w:rsidRPr="00D3609A" w:rsidRDefault="00324B33" w:rsidP="007452E8">
            <w:pPr>
              <w:rPr>
                <w:i/>
                <w:szCs w:val="22"/>
              </w:rPr>
            </w:pPr>
            <w:r w:rsidRPr="00D3609A">
              <w:rPr>
                <w:i/>
                <w:szCs w:val="22"/>
              </w:rPr>
              <w:t>Decision:</w:t>
            </w:r>
          </w:p>
        </w:tc>
        <w:tc>
          <w:tcPr>
            <w:tcW w:w="3423" w:type="pct"/>
          </w:tcPr>
          <w:p w14:paraId="3B114BEA" w14:textId="54A27813"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7B430B16" w:rsidR="00AE1947" w:rsidRPr="00673FB8" w:rsidRDefault="00AE1947" w:rsidP="00673FB8">
            <w:pPr>
              <w:rPr>
                <w:i/>
                <w:szCs w:val="22"/>
              </w:rPr>
            </w:pPr>
            <w:r w:rsidRPr="00D3609A">
              <w:rPr>
                <w:i/>
                <w:szCs w:val="22"/>
              </w:rPr>
              <w:t>Date of decision:</w:t>
            </w:r>
          </w:p>
        </w:tc>
        <w:tc>
          <w:tcPr>
            <w:tcW w:w="3423" w:type="pct"/>
          </w:tcPr>
          <w:p w14:paraId="7B381CD6" w14:textId="3F8912E0" w:rsidR="00AE1947" w:rsidRPr="00BD5DBD" w:rsidRDefault="002E77AA" w:rsidP="00377CB2">
            <w:pPr>
              <w:rPr>
                <w:szCs w:val="22"/>
              </w:rPr>
            </w:pPr>
            <w:r>
              <w:rPr>
                <w:szCs w:val="22"/>
              </w:rPr>
              <w:t>23 August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A80B0C">
              <w:rPr>
                <w:i/>
                <w:szCs w:val="22"/>
              </w:rPr>
              <w:t>Date of entry onto ARTG:</w:t>
            </w:r>
          </w:p>
        </w:tc>
        <w:tc>
          <w:tcPr>
            <w:tcW w:w="3423" w:type="pct"/>
          </w:tcPr>
          <w:p w14:paraId="28B270E9" w14:textId="29097E16" w:rsidR="00324B33" w:rsidRPr="00BD5DBD" w:rsidRDefault="00714AC8" w:rsidP="007452E8">
            <w:pPr>
              <w:rPr>
                <w:szCs w:val="22"/>
              </w:rPr>
            </w:pPr>
            <w:r>
              <w:rPr>
                <w:szCs w:val="22"/>
              </w:rPr>
              <w:t>6 September 2023</w:t>
            </w:r>
          </w:p>
        </w:tc>
      </w:tr>
      <w:tr w:rsidR="00324B33" w:rsidRPr="00BD5DBD" w14:paraId="547E08D7" w14:textId="77777777" w:rsidTr="00F865A7">
        <w:tc>
          <w:tcPr>
            <w:tcW w:w="1577" w:type="pct"/>
          </w:tcPr>
          <w:p w14:paraId="5030EF30" w14:textId="17B6E805" w:rsidR="00324B33" w:rsidRPr="002E77AA" w:rsidRDefault="00324B33" w:rsidP="007452E8">
            <w:pPr>
              <w:rPr>
                <w:i/>
                <w:szCs w:val="22"/>
              </w:rPr>
            </w:pPr>
            <w:r w:rsidRPr="002E77AA">
              <w:rPr>
                <w:i/>
                <w:szCs w:val="22"/>
              </w:rPr>
              <w:t>ARTG numbers:</w:t>
            </w:r>
          </w:p>
        </w:tc>
        <w:tc>
          <w:tcPr>
            <w:tcW w:w="3423" w:type="pct"/>
          </w:tcPr>
          <w:p w14:paraId="0054E912" w14:textId="6E299E75" w:rsidR="00324B33" w:rsidRPr="00BD5DBD" w:rsidRDefault="00D3609A" w:rsidP="007452E8">
            <w:pPr>
              <w:rPr>
                <w:szCs w:val="22"/>
              </w:rPr>
            </w:pPr>
            <w:r w:rsidRPr="00D3609A">
              <w:rPr>
                <w:szCs w:val="22"/>
              </w:rPr>
              <w:t>346290</w:t>
            </w:r>
            <w:r>
              <w:rPr>
                <w:szCs w:val="22"/>
              </w:rPr>
              <w:t xml:space="preserve"> and </w:t>
            </w:r>
            <w:r w:rsidRPr="00D3609A">
              <w:rPr>
                <w:szCs w:val="22"/>
              </w:rPr>
              <w:t>377110</w:t>
            </w:r>
          </w:p>
        </w:tc>
      </w:tr>
      <w:tr w:rsidR="00324B33" w:rsidRPr="00BD5DBD" w14:paraId="7618393F" w14:textId="77777777" w:rsidTr="00F865A7">
        <w:tc>
          <w:tcPr>
            <w:tcW w:w="1577" w:type="pct"/>
          </w:tcPr>
          <w:p w14:paraId="6C24CEB6" w14:textId="668ECAB3" w:rsidR="00E47E0C" w:rsidRPr="00A80B0C" w:rsidRDefault="00324B33" w:rsidP="007452E8">
            <w:pPr>
              <w:rPr>
                <w:rStyle w:val="Hyperlink"/>
                <w:i/>
                <w:szCs w:val="22"/>
              </w:rPr>
            </w:pPr>
            <w:r w:rsidRPr="00A80B0C">
              <w:rPr>
                <w:rFonts w:ascii="Wingdings 3" w:hAnsi="Wingdings 3"/>
                <w:szCs w:val="22"/>
                <w:lang w:eastAsia="en-AU"/>
              </w:rPr>
              <w:t></w:t>
            </w:r>
            <w:hyperlink r:id="rId15" w:history="1">
              <w:r w:rsidRPr="00A80B0C">
                <w:rPr>
                  <w:rStyle w:val="Hyperlink"/>
                  <w:i/>
                  <w:szCs w:val="22"/>
                </w:rPr>
                <w:t>Black Triangle Scheme</w:t>
              </w:r>
            </w:hyperlink>
          </w:p>
          <w:p w14:paraId="02260DE2" w14:textId="1FC334AE" w:rsidR="00324B33" w:rsidRPr="00A80B0C" w:rsidRDefault="00E47E0C" w:rsidP="007452E8">
            <w:pPr>
              <w:rPr>
                <w:i/>
                <w:szCs w:val="22"/>
              </w:rPr>
            </w:pPr>
            <w:r w:rsidRPr="00A80B0C">
              <w:rPr>
                <w:i/>
                <w:szCs w:val="22"/>
              </w:rPr>
              <w:t xml:space="preserve">for </w:t>
            </w:r>
            <w:r w:rsidR="007B04DE" w:rsidRPr="00A80B0C">
              <w:rPr>
                <w:i/>
                <w:szCs w:val="22"/>
              </w:rPr>
              <w:t>the current</w:t>
            </w:r>
            <w:r w:rsidRPr="00A80B0C">
              <w:rPr>
                <w:i/>
                <w:szCs w:val="22"/>
              </w:rPr>
              <w:t xml:space="preserve"> submission</w:t>
            </w:r>
            <w:r w:rsidR="00324B33" w:rsidRPr="00A80B0C">
              <w:rPr>
                <w:i/>
                <w:szCs w:val="22"/>
              </w:rPr>
              <w:t>:</w:t>
            </w:r>
          </w:p>
        </w:tc>
        <w:tc>
          <w:tcPr>
            <w:tcW w:w="3423" w:type="pct"/>
          </w:tcPr>
          <w:p w14:paraId="7A1130B4" w14:textId="77777777" w:rsidR="00A80B0C" w:rsidRPr="00A80B0C" w:rsidRDefault="00A80B0C" w:rsidP="00A80B0C">
            <w:r w:rsidRPr="00A80B0C">
              <w:t>Yes</w:t>
            </w:r>
          </w:p>
          <w:p w14:paraId="6FF3C6A2" w14:textId="14CFF772" w:rsidR="00324B33" w:rsidRPr="00A80B0C" w:rsidRDefault="00A80B0C" w:rsidP="002E77AA">
            <w:r w:rsidRPr="00A80B0C">
              <w:t>As a provisionally registered product, this medicine will remain in the Black Triangle Scheme for the duration of its provisional registration</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2854152A" w14:textId="77777777" w:rsidR="00324B33" w:rsidRDefault="00C56D8A" w:rsidP="007452E8">
            <w:pPr>
              <w:rPr>
                <w:szCs w:val="22"/>
              </w:rPr>
            </w:pPr>
            <w:r w:rsidRPr="00C56D8A">
              <w:rPr>
                <w:szCs w:val="22"/>
              </w:rPr>
              <w:t>Pfizer Australia Pty Ltd</w:t>
            </w:r>
          </w:p>
          <w:p w14:paraId="1834BC87" w14:textId="77777777" w:rsidR="00C56D8A" w:rsidRPr="00C56D8A" w:rsidRDefault="00C56D8A" w:rsidP="00C56D8A">
            <w:pPr>
              <w:rPr>
                <w:szCs w:val="22"/>
              </w:rPr>
            </w:pPr>
            <w:r w:rsidRPr="00C56D8A">
              <w:rPr>
                <w:szCs w:val="22"/>
              </w:rPr>
              <w:t>Level 17 151 Clarence Street</w:t>
            </w:r>
          </w:p>
          <w:p w14:paraId="68DD94B0" w14:textId="4E5CC544" w:rsidR="00C56D8A" w:rsidRPr="00BD5DBD" w:rsidRDefault="00C56D8A" w:rsidP="00C56D8A">
            <w:pPr>
              <w:rPr>
                <w:szCs w:val="22"/>
              </w:rPr>
            </w:pPr>
            <w:r w:rsidRPr="00C56D8A">
              <w:rPr>
                <w:szCs w:val="22"/>
              </w:rPr>
              <w:t>Sydney</w:t>
            </w:r>
            <w:r>
              <w:rPr>
                <w:szCs w:val="22"/>
              </w:rPr>
              <w:t>,</w:t>
            </w:r>
            <w:r w:rsidRPr="00C56D8A">
              <w:rPr>
                <w:szCs w:val="22"/>
              </w:rPr>
              <w:t xml:space="preserve"> NSW</w:t>
            </w:r>
            <w:r>
              <w:rPr>
                <w:szCs w:val="22"/>
              </w:rPr>
              <w:t>,</w:t>
            </w:r>
            <w:r w:rsidRPr="00C56D8A">
              <w:rPr>
                <w:szCs w:val="22"/>
              </w:rPr>
              <w:t xml:space="preserve"> 2000</w:t>
            </w:r>
          </w:p>
        </w:tc>
      </w:tr>
      <w:tr w:rsidR="00324B33" w:rsidRPr="00BD5DBD" w14:paraId="5322B989" w14:textId="77777777" w:rsidTr="00F865A7">
        <w:tc>
          <w:tcPr>
            <w:tcW w:w="1577" w:type="pct"/>
          </w:tcPr>
          <w:p w14:paraId="24F217E3" w14:textId="499156B2" w:rsidR="00324B33" w:rsidRPr="00BD5DBD" w:rsidRDefault="00324B33" w:rsidP="007452E8">
            <w:pPr>
              <w:rPr>
                <w:i/>
                <w:szCs w:val="22"/>
              </w:rPr>
            </w:pPr>
            <w:r w:rsidRPr="00BD5DBD">
              <w:rPr>
                <w:i/>
                <w:szCs w:val="22"/>
              </w:rPr>
              <w:t>Dose form:</w:t>
            </w:r>
          </w:p>
        </w:tc>
        <w:tc>
          <w:tcPr>
            <w:tcW w:w="3423" w:type="pct"/>
          </w:tcPr>
          <w:p w14:paraId="768B254C" w14:textId="4806D7CB" w:rsidR="00324B33" w:rsidRPr="00BD5DBD" w:rsidRDefault="00867496" w:rsidP="007452E8">
            <w:pPr>
              <w:rPr>
                <w:szCs w:val="22"/>
              </w:rPr>
            </w:pPr>
            <w:r>
              <w:rPr>
                <w:szCs w:val="22"/>
              </w:rPr>
              <w:t>S</w:t>
            </w:r>
            <w:r w:rsidR="002E77AA">
              <w:rPr>
                <w:szCs w:val="22"/>
              </w:rPr>
              <w:t>uspension for injection</w:t>
            </w:r>
          </w:p>
        </w:tc>
      </w:tr>
      <w:tr w:rsidR="00324B33" w:rsidRPr="00BD5DBD" w14:paraId="115243E6" w14:textId="77777777" w:rsidTr="00F865A7">
        <w:tc>
          <w:tcPr>
            <w:tcW w:w="1577" w:type="pct"/>
          </w:tcPr>
          <w:p w14:paraId="7634B062" w14:textId="15A72ECE" w:rsidR="00324B33" w:rsidRPr="00BD5DBD" w:rsidRDefault="00324B33" w:rsidP="007452E8">
            <w:pPr>
              <w:rPr>
                <w:i/>
                <w:szCs w:val="22"/>
              </w:rPr>
            </w:pPr>
            <w:r w:rsidRPr="00BD5DBD">
              <w:rPr>
                <w:i/>
                <w:szCs w:val="22"/>
              </w:rPr>
              <w:t>Strength:</w:t>
            </w:r>
          </w:p>
        </w:tc>
        <w:tc>
          <w:tcPr>
            <w:tcW w:w="3423" w:type="pct"/>
          </w:tcPr>
          <w:p w14:paraId="5E5F83DB" w14:textId="1A67EF8C" w:rsidR="00324B33" w:rsidRPr="00BD5DBD" w:rsidRDefault="002E77AA" w:rsidP="007452E8">
            <w:pPr>
              <w:rPr>
                <w:szCs w:val="22"/>
              </w:rPr>
            </w:pPr>
            <w:r>
              <w:rPr>
                <w:szCs w:val="22"/>
              </w:rPr>
              <w:t>30 </w:t>
            </w:r>
            <w:r>
              <w:rPr>
                <w:szCs w:val="22"/>
              </w:rPr>
              <w:sym w:font="Symbol" w:char="F06D"/>
            </w:r>
            <w:r>
              <w:rPr>
                <w:szCs w:val="22"/>
              </w:rPr>
              <w:t>g/0.3 mL</w:t>
            </w:r>
          </w:p>
        </w:tc>
      </w:tr>
      <w:tr w:rsidR="00324B33" w:rsidRPr="00BD5DBD" w14:paraId="34B07BA6" w14:textId="77777777" w:rsidTr="00F865A7">
        <w:tc>
          <w:tcPr>
            <w:tcW w:w="1577" w:type="pct"/>
          </w:tcPr>
          <w:p w14:paraId="1C039224" w14:textId="1D4E8B39" w:rsidR="00324B33" w:rsidRPr="00BD5DBD" w:rsidRDefault="00324B33" w:rsidP="007452E8">
            <w:pPr>
              <w:rPr>
                <w:i/>
                <w:szCs w:val="22"/>
              </w:rPr>
            </w:pPr>
            <w:r w:rsidRPr="00BD5DBD">
              <w:rPr>
                <w:i/>
                <w:szCs w:val="22"/>
              </w:rPr>
              <w:t>Container:</w:t>
            </w:r>
          </w:p>
        </w:tc>
        <w:tc>
          <w:tcPr>
            <w:tcW w:w="3423" w:type="pct"/>
          </w:tcPr>
          <w:p w14:paraId="500A42C6" w14:textId="5244D40D" w:rsidR="00324B33" w:rsidRPr="00BD5DBD" w:rsidRDefault="002E77AA" w:rsidP="007452E8">
            <w:pPr>
              <w:rPr>
                <w:szCs w:val="22"/>
              </w:rPr>
            </w:pPr>
            <w:r>
              <w:rPr>
                <w:szCs w:val="22"/>
              </w:rPr>
              <w:t>Vial</w:t>
            </w:r>
          </w:p>
        </w:tc>
      </w:tr>
      <w:tr w:rsidR="00324B33" w:rsidRPr="00BD5DBD" w14:paraId="176B6773" w14:textId="77777777" w:rsidTr="00F865A7">
        <w:tc>
          <w:tcPr>
            <w:tcW w:w="1577" w:type="pct"/>
          </w:tcPr>
          <w:p w14:paraId="71846159" w14:textId="2571DDCA" w:rsidR="00324B33" w:rsidRPr="00BD5DBD" w:rsidRDefault="00324B33" w:rsidP="007452E8">
            <w:pPr>
              <w:rPr>
                <w:i/>
                <w:szCs w:val="22"/>
              </w:rPr>
            </w:pPr>
            <w:r w:rsidRPr="00BD5DBD">
              <w:rPr>
                <w:i/>
                <w:szCs w:val="22"/>
              </w:rPr>
              <w:t>Pack sizes:</w:t>
            </w:r>
          </w:p>
        </w:tc>
        <w:tc>
          <w:tcPr>
            <w:tcW w:w="3423" w:type="pct"/>
          </w:tcPr>
          <w:p w14:paraId="7E978F8F" w14:textId="3B43EC2D" w:rsidR="00324B33" w:rsidRPr="00BD5DBD" w:rsidRDefault="002E77AA" w:rsidP="007452E8">
            <w:pPr>
              <w:rPr>
                <w:szCs w:val="22"/>
              </w:rPr>
            </w:pPr>
            <w:r>
              <w:rPr>
                <w:szCs w:val="22"/>
              </w:rPr>
              <w:t>10 and 195</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5F9DE315" w14:textId="51539FE2" w:rsidR="002E77AA" w:rsidRPr="002E77AA" w:rsidRDefault="002E77AA" w:rsidP="002E77AA">
            <w:pPr>
              <w:rPr>
                <w:i/>
                <w:iCs/>
                <w:szCs w:val="22"/>
              </w:rPr>
            </w:pPr>
            <w:r w:rsidRPr="002E77AA">
              <w:rPr>
                <w:i/>
                <w:iCs/>
                <w:szCs w:val="22"/>
              </w:rPr>
              <w:t>Active immunisation to prevent coronavirus disease 2019 (COVID-19) caused by SARSCoV-2, in individuals 12 years of age and older.</w:t>
            </w:r>
          </w:p>
          <w:p w14:paraId="6E143E2E" w14:textId="471D7D10" w:rsidR="00324B33" w:rsidRPr="00BD5DBD" w:rsidRDefault="002E77AA" w:rsidP="002E77AA">
            <w:pPr>
              <w:rPr>
                <w:szCs w:val="22"/>
              </w:rPr>
            </w:pPr>
            <w:r w:rsidRPr="002E77AA">
              <w:rPr>
                <w:i/>
                <w:iCs/>
                <w:szCs w:val="22"/>
              </w:rPr>
              <w:t>The use of this vaccine should be in accordance with official recommendations.</w:t>
            </w:r>
          </w:p>
        </w:tc>
      </w:tr>
      <w:tr w:rsidR="00324B33" w:rsidRPr="00BD5DBD" w14:paraId="5AFDEED3" w14:textId="77777777" w:rsidTr="00F865A7">
        <w:tc>
          <w:tcPr>
            <w:tcW w:w="1577" w:type="pct"/>
          </w:tcPr>
          <w:p w14:paraId="03884BD1" w14:textId="5A2DAF77" w:rsidR="00324B33" w:rsidRPr="00BD5DBD" w:rsidRDefault="00324B33" w:rsidP="007452E8">
            <w:pPr>
              <w:rPr>
                <w:i/>
                <w:szCs w:val="22"/>
              </w:rPr>
            </w:pPr>
            <w:r w:rsidRPr="00BD5DBD">
              <w:rPr>
                <w:i/>
                <w:szCs w:val="22"/>
              </w:rPr>
              <w:t>Route of administration:</w:t>
            </w:r>
          </w:p>
        </w:tc>
        <w:tc>
          <w:tcPr>
            <w:tcW w:w="3423" w:type="pct"/>
          </w:tcPr>
          <w:p w14:paraId="1ED1357E" w14:textId="30DDE35B" w:rsidR="00324B33" w:rsidRPr="00BD5DBD" w:rsidRDefault="002E77AA" w:rsidP="007452E8">
            <w:pPr>
              <w:rPr>
                <w:szCs w:val="22"/>
              </w:rPr>
            </w:pPr>
            <w:r>
              <w:rPr>
                <w:szCs w:val="22"/>
              </w:rPr>
              <w:t>Intramuscular</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1246B144" w14:textId="57FFC020" w:rsidR="00324B33" w:rsidRPr="002E77AA" w:rsidRDefault="002E77AA" w:rsidP="002E77AA">
            <w:pPr>
              <w:rPr>
                <w:szCs w:val="22"/>
              </w:rPr>
            </w:pPr>
            <w:r w:rsidRPr="002E77AA">
              <w:rPr>
                <w:szCs w:val="22"/>
              </w:rPr>
              <w:t>Comirnaty is administered intramuscularly after dilution as a primary course of 2 doses at least 21 days apart.</w:t>
            </w:r>
          </w:p>
          <w:p w14:paraId="355CB26C" w14:textId="4E9F0210" w:rsidR="002E77AA" w:rsidRPr="002E77AA" w:rsidRDefault="002E77AA" w:rsidP="002E77AA">
            <w:pPr>
              <w:rPr>
                <w:rFonts w:cs="Times New Roman"/>
                <w:szCs w:val="22"/>
              </w:rPr>
            </w:pPr>
            <w:r w:rsidRPr="002E77AA">
              <w:rPr>
                <w:rFonts w:cs="Times New Roman"/>
                <w:szCs w:val="22"/>
              </w:rPr>
              <w:t>A first booster dose of Comirnaty may be administered intramuscularly at least 6 months after the completion of a COVID-19 vaccine primary series in individuals 12 years of age and older.</w:t>
            </w:r>
          </w:p>
          <w:p w14:paraId="097A7F65" w14:textId="15BE2676" w:rsidR="002E77AA" w:rsidRPr="00237257" w:rsidRDefault="002E77AA" w:rsidP="002E77AA">
            <w:pPr>
              <w:rPr>
                <w:rFonts w:cs="Times New Roman"/>
                <w:szCs w:val="22"/>
              </w:rPr>
            </w:pPr>
            <w:r w:rsidRPr="002E77AA">
              <w:rPr>
                <w:rFonts w:cs="Times New Roman"/>
                <w:szCs w:val="22"/>
              </w:rPr>
              <w:t>Subsequent doses of Comirnaty may be administered to individuals 18 years of age and</w:t>
            </w:r>
            <w:r>
              <w:rPr>
                <w:rFonts w:cs="Times New Roman"/>
                <w:szCs w:val="22"/>
              </w:rPr>
              <w:t xml:space="preserve"> </w:t>
            </w:r>
            <w:r w:rsidRPr="00237257">
              <w:rPr>
                <w:rFonts w:cs="Times New Roman"/>
                <w:szCs w:val="22"/>
              </w:rPr>
              <w:t>older at least 3 months after a previous booster dose of Comirnaty.</w:t>
            </w:r>
          </w:p>
          <w:p w14:paraId="3D0B2D5C" w14:textId="77777777" w:rsidR="00324B33" w:rsidRPr="00BD5DBD" w:rsidRDefault="00324B33" w:rsidP="007452E8">
            <w:pPr>
              <w:rPr>
                <w:szCs w:val="22"/>
              </w:rPr>
            </w:pPr>
            <w:r w:rsidRPr="00BD5DBD">
              <w:rPr>
                <w:szCs w:val="22"/>
              </w:rPr>
              <w:t>For further information regarding dosage, refer to the Product Information.</w:t>
            </w:r>
          </w:p>
        </w:tc>
      </w:tr>
      <w:tr w:rsidR="00324B33" w:rsidRPr="00BD5DBD" w14:paraId="24DC408E" w14:textId="77777777" w:rsidTr="00F865A7">
        <w:tc>
          <w:tcPr>
            <w:tcW w:w="1577" w:type="pct"/>
          </w:tcPr>
          <w:p w14:paraId="26380792" w14:textId="77777777" w:rsidR="00324B33" w:rsidRPr="00BD5DBD" w:rsidRDefault="00324B33" w:rsidP="007452E8">
            <w:pPr>
              <w:rPr>
                <w:i/>
                <w:szCs w:val="22"/>
              </w:rPr>
            </w:pPr>
            <w:r w:rsidRPr="00BD5DBD">
              <w:rPr>
                <w:i/>
                <w:szCs w:val="22"/>
              </w:rPr>
              <w:t>Pregnancy category:</w:t>
            </w:r>
          </w:p>
        </w:tc>
        <w:tc>
          <w:tcPr>
            <w:tcW w:w="3423" w:type="pct"/>
          </w:tcPr>
          <w:p w14:paraId="69369E7E" w14:textId="6D85C78F" w:rsidR="002E77AA" w:rsidRDefault="002E77AA" w:rsidP="007452E8">
            <w:pPr>
              <w:rPr>
                <w:szCs w:val="22"/>
              </w:rPr>
            </w:pPr>
            <w:r>
              <w:rPr>
                <w:szCs w:val="22"/>
              </w:rPr>
              <w:t>B1</w:t>
            </w:r>
          </w:p>
          <w:p w14:paraId="4A0CE234" w14:textId="77777777" w:rsidR="002E77AA" w:rsidRPr="002E77AA" w:rsidRDefault="002E77AA" w:rsidP="002E77AA">
            <w:pPr>
              <w:rPr>
                <w:szCs w:val="22"/>
              </w:rPr>
            </w:pPr>
            <w:r w:rsidRPr="002E77AA">
              <w:rPr>
                <w:szCs w:val="22"/>
              </w:rPr>
              <w:lastRenderedPageBreak/>
              <w:t xml:space="preserve">Drugs which have been taken by only a limited number of pregnant women and women of childbearing age, without an increase in the frequency of malformation or other direct or indirect harmful effects on the human </w:t>
            </w:r>
            <w:proofErr w:type="spellStart"/>
            <w:r w:rsidRPr="002E77AA">
              <w:rPr>
                <w:szCs w:val="22"/>
              </w:rPr>
              <w:t>fetus</w:t>
            </w:r>
            <w:proofErr w:type="spellEnd"/>
            <w:r w:rsidRPr="002E77AA">
              <w:rPr>
                <w:szCs w:val="22"/>
              </w:rPr>
              <w:t xml:space="preserve"> having been observed.</w:t>
            </w:r>
          </w:p>
          <w:p w14:paraId="4045A97E" w14:textId="469BE1BE" w:rsidR="002E77AA" w:rsidRDefault="002E77AA" w:rsidP="002E77AA">
            <w:pPr>
              <w:rPr>
                <w:szCs w:val="22"/>
              </w:rPr>
            </w:pPr>
            <w:r w:rsidRPr="002E77AA">
              <w:rPr>
                <w:szCs w:val="22"/>
              </w:rPr>
              <w:t>Studies in animals have not shown evidence of an increased occurrence of fetal damage.</w:t>
            </w:r>
          </w:p>
          <w:p w14:paraId="5E2AA3D6" w14:textId="0255C682" w:rsidR="00324B33" w:rsidRPr="00BD5DBD" w:rsidRDefault="00324B33" w:rsidP="007452E8">
            <w:pPr>
              <w:rPr>
                <w:szCs w:val="22"/>
              </w:rPr>
            </w:pPr>
            <w:r w:rsidRPr="00BD5DBD">
              <w:rPr>
                <w:szCs w:val="22"/>
              </w:rP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1F2479F" w14:textId="77777777" w:rsidR="00324B33" w:rsidRDefault="00324B33" w:rsidP="00324B33">
      <w:pPr>
        <w:pStyle w:val="Heading3"/>
      </w:pPr>
      <w:bookmarkStart w:id="11" w:name="_Toc247691503"/>
      <w:bookmarkStart w:id="12" w:name="_Toc314842484"/>
      <w:bookmarkStart w:id="13" w:name="_Toc103679290"/>
      <w:bookmarkStart w:id="14" w:name="_Toc144806150"/>
      <w:r>
        <w:lastRenderedPageBreak/>
        <w:t>Product background</w:t>
      </w:r>
      <w:bookmarkEnd w:id="11"/>
      <w:bookmarkEnd w:id="12"/>
      <w:bookmarkEnd w:id="13"/>
      <w:bookmarkEnd w:id="14"/>
    </w:p>
    <w:p w14:paraId="26B0EE51" w14:textId="42D4E2B3" w:rsidR="00343BC2" w:rsidRPr="00C56D8A" w:rsidRDefault="00324B33" w:rsidP="00324B33">
      <w:pPr>
        <w:rPr>
          <w:szCs w:val="22"/>
        </w:rPr>
      </w:pPr>
      <w:r w:rsidRPr="00BD5DBD">
        <w:rPr>
          <w:szCs w:val="22"/>
        </w:rPr>
        <w:t xml:space="preserve">This AusPAR describes the submission by </w:t>
      </w:r>
      <w:r w:rsidR="00D3609A" w:rsidRPr="00D3609A">
        <w:rPr>
          <w:szCs w:val="22"/>
        </w:rPr>
        <w:t xml:space="preserve">Pfizer Australia Pty Ltd </w:t>
      </w:r>
      <w:r w:rsidRPr="00BD5DBD">
        <w:rPr>
          <w:szCs w:val="22"/>
        </w:rPr>
        <w:t xml:space="preserve">(the sponsor) to </w:t>
      </w:r>
      <w:r w:rsidR="00343BC2">
        <w:rPr>
          <w:szCs w:val="22"/>
        </w:rPr>
        <w:t>change the dose regimen for the following</w:t>
      </w:r>
      <w:r w:rsidR="00E849F1">
        <w:rPr>
          <w:szCs w:val="22"/>
        </w:rPr>
        <w:t xml:space="preserve"> provisionally</w:t>
      </w:r>
      <w:r w:rsidR="00343BC2">
        <w:rPr>
          <w:szCs w:val="22"/>
        </w:rPr>
        <w:t xml:space="preserve"> registered medicine</w:t>
      </w:r>
      <w:r w:rsidR="00F647C8">
        <w:rPr>
          <w:szCs w:val="22"/>
        </w:rPr>
        <w:t>s</w:t>
      </w:r>
      <w:r w:rsidR="00343BC2">
        <w:rPr>
          <w:szCs w:val="22"/>
        </w:rPr>
        <w:t>:</w:t>
      </w:r>
      <w:bookmarkStart w:id="15" w:name="_Ref144374998"/>
      <w:r w:rsidR="00E849F1">
        <w:rPr>
          <w:rStyle w:val="FootnoteReference"/>
          <w:szCs w:val="22"/>
        </w:rPr>
        <w:footnoteReference w:id="1"/>
      </w:r>
      <w:bookmarkEnd w:id="15"/>
    </w:p>
    <w:p w14:paraId="14B5C032" w14:textId="6416A285" w:rsidR="00343BC2" w:rsidRPr="00FE7494" w:rsidRDefault="00343BC2" w:rsidP="00343BC2">
      <w:pPr>
        <w:pStyle w:val="ListBullet"/>
      </w:pPr>
      <w:r>
        <w:t>Comirnaty (</w:t>
      </w:r>
      <w:r w:rsidRPr="00D3609A">
        <w:rPr>
          <w:szCs w:val="22"/>
        </w:rPr>
        <w:t>tozinameran</w:t>
      </w:r>
      <w:r>
        <w:rPr>
          <w:szCs w:val="22"/>
        </w:rPr>
        <w:t xml:space="preserve">) COVID-19 vaccine </w:t>
      </w:r>
      <w:r w:rsidRPr="00D3609A">
        <w:rPr>
          <w:szCs w:val="22"/>
        </w:rPr>
        <w:t xml:space="preserve">30 </w:t>
      </w:r>
      <w:r w:rsidR="00673FB8">
        <w:rPr>
          <w:szCs w:val="22"/>
        </w:rPr>
        <w:sym w:font="Symbol" w:char="F06D"/>
      </w:r>
      <w:r w:rsidRPr="00D3609A">
        <w:rPr>
          <w:szCs w:val="22"/>
        </w:rPr>
        <w:t>g/ 0.3</w:t>
      </w:r>
      <w:r w:rsidR="00F647C8">
        <w:rPr>
          <w:szCs w:val="22"/>
        </w:rPr>
        <w:t xml:space="preserve"> </w:t>
      </w:r>
      <w:r w:rsidRPr="00D3609A">
        <w:rPr>
          <w:szCs w:val="22"/>
        </w:rPr>
        <w:t>mL</w:t>
      </w:r>
      <w:r>
        <w:rPr>
          <w:szCs w:val="22"/>
        </w:rPr>
        <w:t xml:space="preserve"> </w:t>
      </w:r>
      <w:r w:rsidR="00C56D8A">
        <w:rPr>
          <w:szCs w:val="22"/>
        </w:rPr>
        <w:t>suspension for injection</w:t>
      </w:r>
      <w:r w:rsidR="00F647C8">
        <w:rPr>
          <w:szCs w:val="22"/>
        </w:rPr>
        <w:t>,</w:t>
      </w:r>
      <w:r w:rsidR="00C56D8A">
        <w:rPr>
          <w:szCs w:val="22"/>
        </w:rPr>
        <w:t xml:space="preserve"> vial</w:t>
      </w:r>
    </w:p>
    <w:p w14:paraId="3369F271" w14:textId="2C298811" w:rsidR="00F647C8" w:rsidRPr="00FE7494" w:rsidRDefault="00F647C8" w:rsidP="00343BC2">
      <w:pPr>
        <w:pStyle w:val="ListBullet"/>
      </w:pPr>
      <w:r>
        <w:rPr>
          <w:szCs w:val="22"/>
        </w:rPr>
        <w:t xml:space="preserve">Comirnaty (tozinameran) COVID-19 vaccine </w:t>
      </w:r>
      <w:r w:rsidRPr="00D3609A">
        <w:rPr>
          <w:szCs w:val="22"/>
        </w:rPr>
        <w:t xml:space="preserve">30 </w:t>
      </w:r>
      <w:r>
        <w:rPr>
          <w:szCs w:val="22"/>
        </w:rPr>
        <w:sym w:font="Symbol" w:char="F06D"/>
      </w:r>
      <w:r w:rsidRPr="00D3609A">
        <w:rPr>
          <w:szCs w:val="22"/>
        </w:rPr>
        <w:t>g/ 0.3</w:t>
      </w:r>
      <w:r>
        <w:rPr>
          <w:szCs w:val="22"/>
        </w:rPr>
        <w:t xml:space="preserve"> </w:t>
      </w:r>
      <w:r w:rsidRPr="00D3609A">
        <w:rPr>
          <w:szCs w:val="22"/>
        </w:rPr>
        <w:t>mL</w:t>
      </w:r>
      <w:r>
        <w:rPr>
          <w:szCs w:val="22"/>
        </w:rPr>
        <w:t xml:space="preserve"> concentrated suspension for injection, vial</w:t>
      </w:r>
      <w:r w:rsidR="00FD7CDA">
        <w:rPr>
          <w:szCs w:val="22"/>
        </w:rPr>
        <w:t>.</w:t>
      </w:r>
    </w:p>
    <w:p w14:paraId="40E7AFFC" w14:textId="64EF957B" w:rsidR="000F1866" w:rsidRDefault="000F1866" w:rsidP="00CF66A8">
      <w:r>
        <w:t xml:space="preserve">At the time </w:t>
      </w:r>
      <w:r w:rsidR="00F647C8">
        <w:t>of this submission</w:t>
      </w:r>
      <w:r w:rsidR="006316A2">
        <w:t>, the</w:t>
      </w:r>
      <w:r w:rsidR="00F647C8">
        <w:t xml:space="preserve"> Comirnaty COVID-19 vaccine</w:t>
      </w:r>
      <w:r w:rsidR="006316A2">
        <w:t xml:space="preserve"> presentations described above were</w:t>
      </w:r>
      <w:r w:rsidR="00F647C8">
        <w:t xml:space="preserve"> provisionally approved for the following indication:</w:t>
      </w:r>
      <w:r w:rsidR="006316A2">
        <w:rPr>
          <w:rStyle w:val="FootnoteReference"/>
        </w:rPr>
        <w:footnoteReference w:id="2"/>
      </w:r>
    </w:p>
    <w:p w14:paraId="7280F02B" w14:textId="5A19CA31" w:rsidR="00F647C8" w:rsidRPr="00CF66A8" w:rsidRDefault="00F647C8" w:rsidP="00CF66A8">
      <w:pPr>
        <w:ind w:left="720"/>
        <w:rPr>
          <w:i/>
        </w:rPr>
      </w:pPr>
      <w:r w:rsidRPr="00CF66A8">
        <w:rPr>
          <w:i/>
        </w:rPr>
        <w:t>Active immunisation to prevent coronavirus disease 2019 (COV</w:t>
      </w:r>
      <w:r w:rsidR="0007573B">
        <w:rPr>
          <w:i/>
        </w:rPr>
        <w:t>ID-19) caused by SARS</w:t>
      </w:r>
      <w:r w:rsidR="0007573B">
        <w:rPr>
          <w:i/>
        </w:rPr>
        <w:noBreakHyphen/>
        <w:t>CoV</w:t>
      </w:r>
      <w:r w:rsidR="0007573B">
        <w:rPr>
          <w:i/>
        </w:rPr>
        <w:noBreakHyphen/>
      </w:r>
      <w:r w:rsidRPr="00CF66A8">
        <w:rPr>
          <w:i/>
        </w:rPr>
        <w:t>2, in individuals 12 years of age and older.</w:t>
      </w:r>
    </w:p>
    <w:p w14:paraId="50F94117" w14:textId="578A9D07" w:rsidR="00F647C8" w:rsidRPr="00CF66A8" w:rsidRDefault="00F647C8" w:rsidP="00CF66A8">
      <w:pPr>
        <w:ind w:left="720"/>
        <w:rPr>
          <w:i/>
        </w:rPr>
      </w:pPr>
      <w:r w:rsidRPr="00CF66A8">
        <w:rPr>
          <w:i/>
        </w:rPr>
        <w:t>The use of this vaccine should be in accordance with official recommendations.</w:t>
      </w:r>
    </w:p>
    <w:p w14:paraId="67F167CE" w14:textId="64B3722A" w:rsidR="00E1659D" w:rsidRDefault="00E1659D" w:rsidP="00CF66A8">
      <w:r>
        <w:t>In adults and children over the age of 5 years, t</w:t>
      </w:r>
      <w:r w:rsidR="00E34668">
        <w:t>he Comirnaty COVID-19 vaccine is typically administered as a two-dose primary series (Doses 1 and 2)</w:t>
      </w:r>
      <w:r>
        <w:t>;</w:t>
      </w:r>
      <w:r>
        <w:rPr>
          <w:rStyle w:val="FootnoteReference"/>
        </w:rPr>
        <w:footnoteReference w:id="3"/>
      </w:r>
      <w:r>
        <w:t xml:space="preserve"> with Dose 2 given at least 21 days after Dose 1</w:t>
      </w:r>
      <w:r w:rsidR="00E34668">
        <w:t>.</w:t>
      </w:r>
    </w:p>
    <w:p w14:paraId="4EFB656B" w14:textId="767DF4F1" w:rsidR="00E34668" w:rsidRDefault="00E34668" w:rsidP="00CF66A8">
      <w:r>
        <w:t>D</w:t>
      </w:r>
      <w:r w:rsidR="00BD0135">
        <w:t>oses after the</w:t>
      </w:r>
      <w:r>
        <w:t xml:space="preserve"> primary series are referred to as booster doses. </w:t>
      </w:r>
      <w:r w:rsidR="00EF285B">
        <w:t xml:space="preserve">At the time of this submission, </w:t>
      </w:r>
      <w:r w:rsidR="00BD0135">
        <w:t>the approved dosage regimen a</w:t>
      </w:r>
      <w:r w:rsidR="00E1659D">
        <w:t>llows for</w:t>
      </w:r>
      <w:r w:rsidR="0084071A">
        <w:t xml:space="preserve"> adults and children over the age of 5 </w:t>
      </w:r>
      <w:r w:rsidR="005B5EAF">
        <w:t xml:space="preserve">years </w:t>
      </w:r>
      <w:r w:rsidR="0084071A">
        <w:t xml:space="preserve">to receive </w:t>
      </w:r>
      <w:r w:rsidR="00EF285B">
        <w:t>a</w:t>
      </w:r>
      <w:r w:rsidR="00E1659D">
        <w:t xml:space="preserve"> </w:t>
      </w:r>
      <w:r w:rsidR="00E1659D">
        <w:lastRenderedPageBreak/>
        <w:t xml:space="preserve">booster dose </w:t>
      </w:r>
      <w:r w:rsidR="0084071A">
        <w:t xml:space="preserve">of vaccine (Dose 3). This is to be given at </w:t>
      </w:r>
      <w:r w:rsidR="00E1659D">
        <w:t>least 6 months after completion of the primary series (Dose 2).</w:t>
      </w:r>
    </w:p>
    <w:p w14:paraId="3BDD60A5" w14:textId="7E791D00" w:rsidR="007F51CE" w:rsidRDefault="00E1659D" w:rsidP="00CF66A8">
      <w:r>
        <w:t xml:space="preserve">This AusPAR discusses a submission </w:t>
      </w:r>
      <w:r w:rsidR="0084071A">
        <w:t>where the sponsor has proposed a change in dosage regimen for individuals aged from 12 years and older, allowing for administration of an additional booster dose (Dose 4), at least 4 months after Dose 3.</w:t>
      </w:r>
    </w:p>
    <w:p w14:paraId="075A7EF1" w14:textId="163C8EC9" w:rsidR="0056663D" w:rsidRDefault="0056663D" w:rsidP="00CF66A8">
      <w:r>
        <w:t xml:space="preserve">The sponsor has proposed these changes in dosage regimen through making changes to the Product Information (PI). </w:t>
      </w:r>
      <w:r w:rsidR="00CD1C1A">
        <w:t xml:space="preserve">There are no proposed </w:t>
      </w:r>
      <w:r>
        <w:t>changes t</w:t>
      </w:r>
      <w:r w:rsidR="00CD1C1A">
        <w:t>o the</w:t>
      </w:r>
      <w:r>
        <w:t xml:space="preserve"> </w:t>
      </w:r>
      <w:r w:rsidR="00CD1C1A">
        <w:t xml:space="preserve">wording of the </w:t>
      </w:r>
      <w:r>
        <w:t>approved indications.</w:t>
      </w:r>
    </w:p>
    <w:p w14:paraId="52D0428F" w14:textId="551EAD9C" w:rsidR="008B1865" w:rsidRPr="00FE7494" w:rsidRDefault="008B1865" w:rsidP="00CF66A8">
      <w:pPr>
        <w:pStyle w:val="Heading4"/>
      </w:pPr>
      <w:bookmarkStart w:id="16" w:name="_Toc144806151"/>
      <w:r>
        <w:t>Coronavirus disease 2019</w:t>
      </w:r>
      <w:bookmarkEnd w:id="16"/>
    </w:p>
    <w:p w14:paraId="3B9DB491" w14:textId="7E7D0D88" w:rsidR="00D3609A" w:rsidRPr="00D3609A" w:rsidRDefault="00D3609A" w:rsidP="00D3609A">
      <w:bookmarkStart w:id="17" w:name="_Toc314842485"/>
      <w:bookmarkStart w:id="18" w:name="_Toc247691504"/>
      <w:r>
        <w:t xml:space="preserve">Coronavirus disease </w:t>
      </w:r>
      <w:r w:rsidRPr="00673FB8">
        <w:t>2019 (COVID-19)</w:t>
      </w:r>
      <w:r w:rsidRPr="00D3609A">
        <w:t xml:space="preserve"> is an infectious disease caused by </w:t>
      </w:r>
      <w:r w:rsidR="00377CB2">
        <w:t xml:space="preserve">the </w:t>
      </w:r>
      <w:r w:rsidR="00673FB8">
        <w:t>s</w:t>
      </w:r>
      <w:r w:rsidR="00673FB8" w:rsidRPr="00673FB8">
        <w:t xml:space="preserve">evere acute respiratory syndrome coronavirus 2 </w:t>
      </w:r>
      <w:r w:rsidR="00673FB8">
        <w:t>(</w:t>
      </w:r>
      <w:r w:rsidRPr="00D3609A">
        <w:t>SARS-CoV-2</w:t>
      </w:r>
      <w:r w:rsidR="00673FB8">
        <w:t>)</w:t>
      </w:r>
      <w:r w:rsidR="00377CB2">
        <w:t xml:space="preserve"> virus.</w:t>
      </w:r>
      <w:r w:rsidRPr="00D3609A">
        <w:t xml:space="preserve"> </w:t>
      </w:r>
      <w:r w:rsidR="008612DD">
        <w:t xml:space="preserve">The </w:t>
      </w:r>
      <w:r w:rsidR="00377CB2">
        <w:t xml:space="preserve">SARS-CoV-2 </w:t>
      </w:r>
      <w:r w:rsidR="008612DD">
        <w:t>virus is a member of the coronavirus</w:t>
      </w:r>
      <w:r w:rsidR="00377CB2">
        <w:t xml:space="preserve"> </w:t>
      </w:r>
      <w:proofErr w:type="gramStart"/>
      <w:r w:rsidR="00377CB2">
        <w:t>family</w:t>
      </w:r>
      <w:proofErr w:type="gramEnd"/>
      <w:r w:rsidRPr="00D3609A">
        <w:t xml:space="preserve"> </w:t>
      </w:r>
      <w:r w:rsidR="00377CB2">
        <w:t>and i</w:t>
      </w:r>
      <w:r w:rsidR="008612DD">
        <w:t>t is characterised a</w:t>
      </w:r>
      <w:r w:rsidR="00377CB2">
        <w:t xml:space="preserve">s an </w:t>
      </w:r>
      <w:r w:rsidRPr="00D3609A">
        <w:t>enveloped, positive</w:t>
      </w:r>
      <w:r w:rsidR="00673FB8">
        <w:t xml:space="preserve"> </w:t>
      </w:r>
      <w:r w:rsidRPr="00D3609A">
        <w:t>sense, single</w:t>
      </w:r>
      <w:r w:rsidR="00673FB8">
        <w:t xml:space="preserve"> </w:t>
      </w:r>
      <w:r w:rsidRPr="00D3609A">
        <w:t>stranded RNA virus that first appeared in late 2019. COVID</w:t>
      </w:r>
      <w:r>
        <w:t>-</w:t>
      </w:r>
      <w:r w:rsidRPr="00D3609A">
        <w:t xml:space="preserve">19 is predominantly a respiratory illness </w:t>
      </w:r>
      <w:r w:rsidR="008612DD">
        <w:t xml:space="preserve">resulting from SARS-CoV-2 infection </w:t>
      </w:r>
      <w:r w:rsidRPr="00D3609A">
        <w:t>that also has systemic manifestations and may affect other organs</w:t>
      </w:r>
      <w:r>
        <w:t>.</w:t>
      </w:r>
      <w:r w:rsidRPr="00D3609A">
        <w:t xml:space="preserve"> Disease symptoms and severity vary, with many people presenting with asymptomatic or mild disease and some progressing to severe respiratory tract disease including pneumonia and acute respiratory distress syndrome, leading to multi</w:t>
      </w:r>
      <w:r w:rsidR="005B5EAF">
        <w:t>-</w:t>
      </w:r>
      <w:r w:rsidRPr="00D3609A">
        <w:t xml:space="preserve">organ failure and death. All ages may present with the disease, but notably, case fatality rates are elevated in persons </w:t>
      </w:r>
      <w:r>
        <w:t xml:space="preserve">over </w:t>
      </w:r>
      <w:r w:rsidRPr="00D3609A">
        <w:t>60 years of age. Comorbidities are also associated with increased</w:t>
      </w:r>
      <w:r w:rsidR="00673FB8" w:rsidRPr="00673FB8">
        <w:t xml:space="preserve"> case fatality rates</w:t>
      </w:r>
      <w:r w:rsidRPr="00D3609A">
        <w:t>, including cardiovascular disease, diabetes, hypertension, and chronic respiratory disease.</w:t>
      </w:r>
    </w:p>
    <w:p w14:paraId="4F626EBC" w14:textId="2AC3B081" w:rsidR="002C5362" w:rsidRDefault="007B0595" w:rsidP="002C5362">
      <w:r>
        <w:t>COVID-19</w:t>
      </w:r>
      <w:r w:rsidR="002C5362">
        <w:t xml:space="preserve"> continues to be a significant public heal</w:t>
      </w:r>
      <w:r>
        <w:t xml:space="preserve">th issue to Australians. In Australia, as of </w:t>
      </w:r>
      <w:r w:rsidR="002E77AA">
        <w:t>15 August</w:t>
      </w:r>
      <w:r>
        <w:t xml:space="preserve"> 2023, </w:t>
      </w:r>
      <w:r w:rsidR="002E77AA">
        <w:t>5,150</w:t>
      </w:r>
      <w:r>
        <w:t xml:space="preserve"> cases of COVID-19 were reported over the previous 7 days </w:t>
      </w:r>
      <w:r w:rsidR="002C5362">
        <w:t xml:space="preserve">(an average of </w:t>
      </w:r>
      <w:r w:rsidR="002E77AA">
        <w:t>736</w:t>
      </w:r>
      <w:r w:rsidR="002C5362">
        <w:t xml:space="preserve"> cases per day), of which </w:t>
      </w:r>
      <w:r w:rsidR="002E77AA">
        <w:t>986</w:t>
      </w:r>
      <w:r>
        <w:t xml:space="preserve"> people were hospitalised, </w:t>
      </w:r>
      <w:r w:rsidR="002E77AA">
        <w:t>25</w:t>
      </w:r>
      <w:r w:rsidR="002C5362">
        <w:t> </w:t>
      </w:r>
      <w:r>
        <w:t>people were</w:t>
      </w:r>
      <w:r w:rsidR="002C5362">
        <w:t xml:space="preserve"> admitted to intensive care and there were </w:t>
      </w:r>
      <w:r w:rsidR="002E77AA">
        <w:t>ten</w:t>
      </w:r>
      <w:r w:rsidR="002C5362">
        <w:t xml:space="preserve"> deaths.</w:t>
      </w:r>
      <w:bookmarkStart w:id="19" w:name="_Ref134205042"/>
      <w:r w:rsidR="002C5362">
        <w:rPr>
          <w:vertAlign w:val="superscript"/>
        </w:rPr>
        <w:footnoteReference w:id="4"/>
      </w:r>
      <w:bookmarkEnd w:id="19"/>
      <w:r w:rsidR="002C5362">
        <w:t xml:space="preserve"> Cumulatively, there have been </w:t>
      </w:r>
      <w:r w:rsidR="00E55E36" w:rsidRPr="00E55E36">
        <w:t>11,</w:t>
      </w:r>
      <w:r w:rsidR="002E77AA">
        <w:t>576</w:t>
      </w:r>
      <w:r w:rsidR="00E55E36" w:rsidRPr="00E55E36">
        <w:t>,</w:t>
      </w:r>
      <w:r w:rsidR="002E77AA">
        <w:t>428</w:t>
      </w:r>
      <w:r w:rsidR="00E55E36">
        <w:t xml:space="preserve"> </w:t>
      </w:r>
      <w:r w:rsidR="002C5362">
        <w:t xml:space="preserve">confirmed cases and </w:t>
      </w:r>
      <w:r w:rsidR="00E55E36">
        <w:t>2</w:t>
      </w:r>
      <w:r w:rsidR="002E77AA">
        <w:t>2</w:t>
      </w:r>
      <w:r w:rsidR="00E55E36">
        <w:t>,</w:t>
      </w:r>
      <w:r w:rsidR="002E77AA">
        <w:t>696</w:t>
      </w:r>
      <w:r w:rsidR="002C5362">
        <w:t xml:space="preserve"> deaths in A</w:t>
      </w:r>
      <w:r w:rsidR="00E55E36">
        <w:t xml:space="preserve">ustralia due to COVID-19 </w:t>
      </w:r>
      <w:r w:rsidR="005D0AF7">
        <w:t xml:space="preserve">up to </w:t>
      </w:r>
      <w:r w:rsidR="002E77AA">
        <w:t>16 August</w:t>
      </w:r>
      <w:r w:rsidR="002C5362">
        <w:t xml:space="preserve"> 2023.</w:t>
      </w:r>
      <w:r w:rsidR="002C5362">
        <w:rPr>
          <w:vertAlign w:val="superscript"/>
        </w:rPr>
        <w:footnoteReference w:id="5"/>
      </w:r>
    </w:p>
    <w:p w14:paraId="62968F89" w14:textId="129F9FF6" w:rsidR="004F1F0E" w:rsidRDefault="004F1F0E" w:rsidP="00CF66A8">
      <w:pPr>
        <w:pStyle w:val="Heading5"/>
      </w:pPr>
      <w:r>
        <w:t>Current treatment options</w:t>
      </w:r>
    </w:p>
    <w:p w14:paraId="7EA71A10" w14:textId="07E77814" w:rsidR="00E55E36" w:rsidRDefault="00E55E36" w:rsidP="00E55E36">
      <w:pPr>
        <w:spacing w:before="120" w:line="240" w:lineRule="atLeast"/>
      </w:pPr>
      <w:r>
        <w:t xml:space="preserve">As of </w:t>
      </w:r>
      <w:r w:rsidR="002E77AA">
        <w:t xml:space="preserve">16 August </w:t>
      </w:r>
      <w:r>
        <w:t>2023, over 6</w:t>
      </w:r>
      <w:r w:rsidR="002E77AA">
        <w:t>8</w:t>
      </w:r>
      <w:r>
        <w:t>.</w:t>
      </w:r>
      <w:r w:rsidR="002E77AA">
        <w:t>5</w:t>
      </w:r>
      <w:r w:rsidR="002C5362">
        <w:t xml:space="preserve"> million total vaccine doses have been a</w:t>
      </w:r>
      <w:r>
        <w:t>dministered since the COVID</w:t>
      </w:r>
      <w:r>
        <w:noBreakHyphen/>
        <w:t>19 v</w:t>
      </w:r>
      <w:r w:rsidR="002C5362">
        <w:t>accination program began in February 2021</w:t>
      </w:r>
      <w:r>
        <w:t xml:space="preserve">, with </w:t>
      </w:r>
      <w:r w:rsidR="002E77AA">
        <w:t>37</w:t>
      </w:r>
      <w:r w:rsidRPr="00E55E36">
        <w:t>,000 doses administered over the last 7 days</w:t>
      </w:r>
      <w:r w:rsidR="002C5362">
        <w:t>.</w:t>
      </w:r>
      <w:r w:rsidR="002C5362">
        <w:rPr>
          <w:vertAlign w:val="superscript"/>
        </w:rPr>
        <w:fldChar w:fldCharType="begin"/>
      </w:r>
      <w:r w:rsidR="002C5362">
        <w:rPr>
          <w:vertAlign w:val="superscript"/>
        </w:rPr>
        <w:instrText xml:space="preserve"> NOTEREF _Ref134205042 \h  \* MERGEFORMAT </w:instrText>
      </w:r>
      <w:r w:rsidR="002C5362">
        <w:rPr>
          <w:vertAlign w:val="superscript"/>
        </w:rPr>
      </w:r>
      <w:r w:rsidR="002C5362">
        <w:rPr>
          <w:vertAlign w:val="superscript"/>
        </w:rPr>
        <w:fldChar w:fldCharType="separate"/>
      </w:r>
      <w:r w:rsidR="00237257">
        <w:rPr>
          <w:vertAlign w:val="superscript"/>
        </w:rPr>
        <w:t>4</w:t>
      </w:r>
      <w:r w:rsidR="002C5362">
        <w:rPr>
          <w:vertAlign w:val="superscript"/>
        </w:rPr>
        <w:fldChar w:fldCharType="end"/>
      </w:r>
    </w:p>
    <w:p w14:paraId="3E4750C6" w14:textId="1BCE5A05" w:rsidR="002C5362" w:rsidRDefault="002C5362" w:rsidP="00E55E36">
      <w:pPr>
        <w:spacing w:before="120" w:line="240" w:lineRule="atLeast"/>
      </w:pPr>
      <w:r>
        <w:t xml:space="preserve">The benefits of receiving COVID-19 vaccine </w:t>
      </w:r>
      <w:r w:rsidR="00F128A8">
        <w:t>have</w:t>
      </w:r>
      <w:r>
        <w:t xml:space="preserve"> been well established.</w:t>
      </w:r>
      <w:r>
        <w:rPr>
          <w:vertAlign w:val="superscript"/>
        </w:rPr>
        <w:footnoteReference w:id="6"/>
      </w:r>
      <w:r>
        <w:t xml:space="preserve"> These include protection from SARS-CoV-2 infection as well as progression to severe COVID-19 and death. </w:t>
      </w:r>
      <w:r>
        <w:rPr>
          <w:rFonts w:eastAsia="Cambria"/>
          <w:szCs w:val="22"/>
        </w:rPr>
        <w:t xml:space="preserve">At the time that this submission was considered, </w:t>
      </w:r>
      <w:r>
        <w:t>there were 5</w:t>
      </w:r>
      <w:r>
        <w:rPr>
          <w:rFonts w:eastAsia="Cambria"/>
          <w:szCs w:val="22"/>
        </w:rPr>
        <w:t xml:space="preserve"> monovalent </w:t>
      </w:r>
      <w:r w:rsidR="004F1F0E">
        <w:rPr>
          <w:rFonts w:eastAsia="Cambria"/>
          <w:szCs w:val="22"/>
        </w:rPr>
        <w:t xml:space="preserve">vaccines </w:t>
      </w:r>
      <w:r>
        <w:rPr>
          <w:rFonts w:eastAsia="Cambria"/>
          <w:szCs w:val="22"/>
        </w:rPr>
        <w:t xml:space="preserve">(see </w:t>
      </w:r>
      <w:r>
        <w:rPr>
          <w:rFonts w:eastAsia="Cambria"/>
          <w:szCs w:val="22"/>
        </w:rPr>
        <w:fldChar w:fldCharType="begin"/>
      </w:r>
      <w:r>
        <w:rPr>
          <w:rFonts w:eastAsia="Cambria"/>
          <w:szCs w:val="22"/>
        </w:rPr>
        <w:instrText xml:space="preserve"> REF _Ref118212276 \h  \* MERGEFORMAT </w:instrText>
      </w:r>
      <w:r>
        <w:rPr>
          <w:rFonts w:eastAsia="Cambria"/>
          <w:szCs w:val="22"/>
        </w:rPr>
      </w:r>
      <w:r>
        <w:rPr>
          <w:rFonts w:eastAsia="Cambria"/>
          <w:szCs w:val="22"/>
        </w:rPr>
        <w:fldChar w:fldCharType="separate"/>
      </w:r>
      <w:r w:rsidR="00237257" w:rsidRPr="00237257">
        <w:rPr>
          <w:rFonts w:eastAsia="Cambria"/>
        </w:rPr>
        <w:t xml:space="preserve">Table </w:t>
      </w:r>
      <w:r w:rsidR="00237257" w:rsidRPr="00237257">
        <w:rPr>
          <w:rFonts w:eastAsia="Cambria"/>
          <w:noProof/>
        </w:rPr>
        <w:t>1</w:t>
      </w:r>
      <w:r>
        <w:rPr>
          <w:rFonts w:eastAsia="Cambria"/>
          <w:szCs w:val="22"/>
        </w:rPr>
        <w:fldChar w:fldCharType="end"/>
      </w:r>
      <w:r w:rsidR="004F1F0E">
        <w:rPr>
          <w:rFonts w:eastAsia="Cambria"/>
          <w:szCs w:val="22"/>
        </w:rPr>
        <w:t xml:space="preserve"> </w:t>
      </w:r>
      <w:r w:rsidR="004F1F0E">
        <w:rPr>
          <w:rFonts w:eastAsia="Cambria"/>
          <w:szCs w:val="22"/>
        </w:rPr>
        <w:lastRenderedPageBreak/>
        <w:t>below) and 4 </w:t>
      </w:r>
      <w:r>
        <w:rPr>
          <w:rFonts w:eastAsia="Cambria"/>
          <w:szCs w:val="22"/>
        </w:rPr>
        <w:t xml:space="preserve">bivalent (see </w:t>
      </w:r>
      <w:r>
        <w:rPr>
          <w:rFonts w:eastAsia="Cambria"/>
          <w:szCs w:val="22"/>
        </w:rPr>
        <w:fldChar w:fldCharType="begin"/>
      </w:r>
      <w:r>
        <w:rPr>
          <w:rFonts w:eastAsia="Cambria"/>
          <w:szCs w:val="22"/>
        </w:rPr>
        <w:instrText xml:space="preserve"> REF _Ref118212285 \h  \* MERGEFORMAT </w:instrText>
      </w:r>
      <w:r>
        <w:rPr>
          <w:rFonts w:eastAsia="Cambria"/>
          <w:szCs w:val="22"/>
        </w:rPr>
      </w:r>
      <w:r>
        <w:rPr>
          <w:rFonts w:eastAsia="Cambria"/>
          <w:szCs w:val="22"/>
        </w:rPr>
        <w:fldChar w:fldCharType="separate"/>
      </w:r>
      <w:r w:rsidR="00237257" w:rsidRPr="00237257">
        <w:rPr>
          <w:rFonts w:eastAsia="Cambria"/>
        </w:rPr>
        <w:t xml:space="preserve">Table </w:t>
      </w:r>
      <w:r w:rsidR="00237257" w:rsidRPr="00237257">
        <w:rPr>
          <w:rFonts w:eastAsia="Cambria"/>
          <w:noProof/>
        </w:rPr>
        <w:t>2</w:t>
      </w:r>
      <w:r>
        <w:rPr>
          <w:rFonts w:eastAsia="Cambria"/>
          <w:szCs w:val="22"/>
        </w:rPr>
        <w:fldChar w:fldCharType="end"/>
      </w:r>
      <w:r>
        <w:rPr>
          <w:rFonts w:eastAsia="Cambria"/>
          <w:szCs w:val="22"/>
        </w:rPr>
        <w:t xml:space="preserve"> below) COVID-19 vaccines</w:t>
      </w:r>
      <w:r>
        <w:t xml:space="preserve"> </w:t>
      </w:r>
      <w:r w:rsidR="004F1F0E">
        <w:rPr>
          <w:rFonts w:eastAsia="Cambria"/>
          <w:szCs w:val="22"/>
        </w:rPr>
        <w:t>that were either</w:t>
      </w:r>
      <w:r>
        <w:rPr>
          <w:rFonts w:eastAsia="Cambria"/>
          <w:szCs w:val="22"/>
        </w:rPr>
        <w:t xml:space="preserve"> provisionally approved </w:t>
      </w:r>
      <w:r w:rsidR="004F1F0E">
        <w:rPr>
          <w:rFonts w:eastAsia="Cambria"/>
          <w:szCs w:val="22"/>
        </w:rPr>
        <w:t>or fully registered</w:t>
      </w:r>
      <w:r>
        <w:rPr>
          <w:rFonts w:eastAsia="Cambria"/>
          <w:szCs w:val="22"/>
        </w:rPr>
        <w:t xml:space="preserve"> in Australia</w:t>
      </w:r>
      <w:bookmarkStart w:id="20" w:name="_Ref91015597"/>
      <w:r>
        <w:t>.</w:t>
      </w:r>
      <w:r>
        <w:rPr>
          <w:vertAlign w:val="superscript"/>
        </w:rPr>
        <w:footnoteReference w:id="7"/>
      </w:r>
      <w:bookmarkEnd w:id="20"/>
      <w:r>
        <w:rPr>
          <w:vertAlign w:val="superscript"/>
        </w:rPr>
        <w:t>,</w:t>
      </w:r>
      <w:r>
        <w:rPr>
          <w:rStyle w:val="FootnoteReference"/>
        </w:rPr>
        <w:footnoteReference w:id="8"/>
      </w:r>
    </w:p>
    <w:p w14:paraId="11387BB6" w14:textId="3C6156BB" w:rsidR="00CD1C1A" w:rsidRDefault="00CD1C1A" w:rsidP="00CD1C1A">
      <w:pPr>
        <w:pStyle w:val="TableTitle"/>
      </w:pPr>
      <w:bookmarkStart w:id="21" w:name="_Ref118212276"/>
      <w:r>
        <w:t xml:space="preserve">Table </w:t>
      </w:r>
      <w:fldSimple w:instr=" SEQ Table \* ARABIC ">
        <w:r w:rsidR="00237257">
          <w:rPr>
            <w:noProof/>
          </w:rPr>
          <w:t>1</w:t>
        </w:r>
      </w:fldSimple>
      <w:bookmarkEnd w:id="21"/>
      <w:r>
        <w:t xml:space="preserve">: </w:t>
      </w:r>
      <w:r w:rsidR="002C5362">
        <w:t>Approved</w:t>
      </w:r>
      <w:r>
        <w:t xml:space="preserve"> monovalent COVID-19 vaccines in Australia</w:t>
      </w:r>
    </w:p>
    <w:tbl>
      <w:tblPr>
        <w:tblStyle w:val="TableTGAblue2023"/>
        <w:tblW w:w="0" w:type="auto"/>
        <w:tblLayout w:type="fixed"/>
        <w:tblLook w:val="04A0" w:firstRow="1" w:lastRow="0" w:firstColumn="1" w:lastColumn="0" w:noHBand="0" w:noVBand="1"/>
      </w:tblPr>
      <w:tblGrid>
        <w:gridCol w:w="2330"/>
        <w:gridCol w:w="6598"/>
      </w:tblGrid>
      <w:tr w:rsidR="00CD1C1A" w14:paraId="66E8C851" w14:textId="77777777" w:rsidTr="00CF6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3EEEB6D4" w14:textId="07848A8B" w:rsidR="00CD1C1A" w:rsidRDefault="00CD1C1A" w:rsidP="00CF66A8">
            <w:pPr>
              <w:pStyle w:val="TableText"/>
              <w:spacing w:before="60" w:after="60"/>
              <w:rPr>
                <w:color w:val="FFFFFF" w:themeColor="background1"/>
                <w:lang w:val="en-AU"/>
              </w:rPr>
            </w:pPr>
            <w:r w:rsidRPr="00CF66A8">
              <w:rPr>
                <w:color w:val="263287"/>
                <w:lang w:val="en-AU"/>
              </w:rPr>
              <w:t>Monovalent COVID-19 vaccines approved in Australia</w:t>
            </w:r>
          </w:p>
        </w:tc>
      </w:tr>
      <w:tr w:rsidR="00CD1C1A" w14:paraId="4F5351F2" w14:textId="77777777" w:rsidTr="00CF66A8">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0B59BB72" w14:textId="31A98083" w:rsidR="00CD1C1A" w:rsidRDefault="00CD1C1A" w:rsidP="00CF66A8">
            <w:pPr>
              <w:pStyle w:val="TableText"/>
              <w:spacing w:before="60" w:after="60"/>
              <w:rPr>
                <w:b/>
                <w:bCs/>
                <w:lang w:val="en-AU"/>
              </w:rPr>
            </w:pPr>
            <w:r>
              <w:rPr>
                <w:b/>
                <w:bCs/>
                <w:lang w:val="en-AU"/>
              </w:rPr>
              <w:t>Comirnaty COVID-19 Vaccine (provisional registration)</w:t>
            </w:r>
          </w:p>
          <w:p w14:paraId="0C78CD19" w14:textId="77777777" w:rsidR="00CD1C1A" w:rsidRDefault="00CD1C1A" w:rsidP="00CF66A8">
            <w:pPr>
              <w:pStyle w:val="TableText"/>
              <w:spacing w:before="60" w:after="60"/>
              <w:rPr>
                <w:lang w:val="en-AU"/>
              </w:rPr>
            </w:pPr>
            <w:r>
              <w:rPr>
                <w:lang w:val="en-AU"/>
              </w:rPr>
              <w:t xml:space="preserve">Active ingredient: tozinameran; formerly known as </w:t>
            </w:r>
            <w:r>
              <w:rPr>
                <w:iCs/>
                <w:lang w:val="en-AU"/>
              </w:rPr>
              <w:t>BNT162b2 (mRNA)</w:t>
            </w:r>
          </w:p>
          <w:p w14:paraId="1160F2E7" w14:textId="77777777" w:rsidR="00CD1C1A" w:rsidRDefault="00CD1C1A" w:rsidP="00CF66A8">
            <w:pPr>
              <w:pStyle w:val="TableText"/>
              <w:spacing w:before="60" w:after="60"/>
              <w:rPr>
                <w:lang w:val="en-AU"/>
              </w:rPr>
            </w:pPr>
            <w:r>
              <w:rPr>
                <w:lang w:val="en-AU"/>
              </w:rPr>
              <w:t>Sponsor: Pfizer Australia Pty Ltd</w:t>
            </w:r>
          </w:p>
        </w:tc>
      </w:tr>
      <w:tr w:rsidR="00CD1C1A" w14:paraId="1D8A2BC5"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4A7B9C70" w14:textId="77777777" w:rsidR="00CD1C1A" w:rsidRDefault="00CD1C1A" w:rsidP="00CF66A8">
            <w:pPr>
              <w:pStyle w:val="TableText"/>
              <w:spacing w:before="60" w:after="60"/>
              <w:rPr>
                <w:lang w:val="en-AU"/>
              </w:rPr>
            </w:pPr>
            <w:r>
              <w:rPr>
                <w:lang w:val="en-AU"/>
              </w:rPr>
              <w:t>25 February 2021</w:t>
            </w:r>
          </w:p>
          <w:p w14:paraId="032D4145" w14:textId="77777777" w:rsidR="00CD1C1A" w:rsidRDefault="00CD1C1A"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598" w:type="dxa"/>
            <w:hideMark/>
          </w:tcPr>
          <w:p w14:paraId="7A2D999A" w14:textId="40FF45DE"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16 years and over (</w:t>
            </w:r>
            <w:hyperlink r:id="rId16" w:history="1">
              <w:r>
                <w:rPr>
                  <w:rStyle w:val="Hyperlink"/>
                  <w:lang w:val="en-AU"/>
                </w:rPr>
                <w:t>AusPAR</w:t>
              </w:r>
            </w:hyperlink>
            <w:r>
              <w:rPr>
                <w:lang w:val="en-AU"/>
              </w:rPr>
              <w:t>)</w:t>
            </w:r>
          </w:p>
          <w:p w14:paraId="426AA93A"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30 µg/0.3 mL concentrated suspension for injection</w:t>
            </w:r>
          </w:p>
          <w:p w14:paraId="10EADF6E"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346290</w:t>
            </w:r>
          </w:p>
        </w:tc>
      </w:tr>
      <w:tr w:rsidR="00CD1C1A" w14:paraId="0E0FD5BF"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58BDEFDE" w14:textId="77777777" w:rsidR="00CD1C1A" w:rsidRDefault="00CD1C1A" w:rsidP="00CF66A8">
            <w:pPr>
              <w:pStyle w:val="TableText"/>
              <w:spacing w:before="60" w:after="60"/>
              <w:rPr>
                <w:lang w:val="en-AU"/>
              </w:rPr>
            </w:pPr>
            <w:r>
              <w:rPr>
                <w:lang w:val="en-AU"/>
              </w:rPr>
              <w:t>22 July 2021</w:t>
            </w:r>
          </w:p>
        </w:tc>
        <w:tc>
          <w:tcPr>
            <w:tcW w:w="6598" w:type="dxa"/>
            <w:hideMark/>
          </w:tcPr>
          <w:p w14:paraId="09A8068C" w14:textId="4C4B24BD"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12 years and over (</w:t>
            </w:r>
            <w:hyperlink r:id="rId17" w:history="1">
              <w:r>
                <w:rPr>
                  <w:rStyle w:val="Hyperlink"/>
                  <w:lang w:val="en-AU"/>
                </w:rPr>
                <w:t>AusPAR</w:t>
              </w:r>
            </w:hyperlink>
            <w:r>
              <w:rPr>
                <w:lang w:val="en-AU"/>
              </w:rPr>
              <w:t>)</w:t>
            </w:r>
          </w:p>
        </w:tc>
      </w:tr>
      <w:tr w:rsidR="00CD1C1A" w14:paraId="01462771"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1087AC4C" w14:textId="77777777" w:rsidR="00CD1C1A" w:rsidRDefault="00CD1C1A" w:rsidP="00CF66A8">
            <w:pPr>
              <w:pStyle w:val="TableText"/>
              <w:spacing w:before="60" w:after="60"/>
              <w:rPr>
                <w:lang w:val="en-AU"/>
              </w:rPr>
            </w:pPr>
            <w:r>
              <w:rPr>
                <w:lang w:val="en-AU"/>
              </w:rPr>
              <w:t>26 October 2021</w:t>
            </w:r>
          </w:p>
        </w:tc>
        <w:tc>
          <w:tcPr>
            <w:tcW w:w="6598" w:type="dxa"/>
            <w:hideMark/>
          </w:tcPr>
          <w:p w14:paraId="3FE9A405" w14:textId="515B89BE"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w:t>
            </w:r>
            <w:hyperlink r:id="rId18" w:history="1">
              <w:r>
                <w:rPr>
                  <w:rStyle w:val="Hyperlink"/>
                  <w:lang w:val="en-AU"/>
                </w:rPr>
                <w:t>AusPAR</w:t>
              </w:r>
            </w:hyperlink>
            <w:r>
              <w:rPr>
                <w:lang w:val="en-AU"/>
              </w:rPr>
              <w:t>)</w:t>
            </w:r>
          </w:p>
        </w:tc>
      </w:tr>
      <w:tr w:rsidR="00CD1C1A" w14:paraId="223F9B77"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7B63C26F" w14:textId="77777777" w:rsidR="00CD1C1A" w:rsidRDefault="00CD1C1A" w:rsidP="00CF66A8">
            <w:pPr>
              <w:pStyle w:val="TableText"/>
              <w:spacing w:before="60" w:after="60"/>
              <w:rPr>
                <w:lang w:val="en-AU"/>
              </w:rPr>
            </w:pPr>
            <w:r>
              <w:rPr>
                <w:lang w:val="en-AU"/>
              </w:rPr>
              <w:t>3 December 2021</w:t>
            </w:r>
          </w:p>
        </w:tc>
        <w:tc>
          <w:tcPr>
            <w:tcW w:w="6598" w:type="dxa"/>
            <w:hideMark/>
          </w:tcPr>
          <w:p w14:paraId="3D2718DB" w14:textId="47044F18"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5 years and over (</w:t>
            </w:r>
            <w:hyperlink r:id="rId19" w:history="1">
              <w:r>
                <w:rPr>
                  <w:rStyle w:val="Hyperlink"/>
                  <w:lang w:val="en-AU"/>
                </w:rPr>
                <w:t>AusPAR</w:t>
              </w:r>
            </w:hyperlink>
            <w:r>
              <w:rPr>
                <w:lang w:val="en-AU"/>
              </w:rPr>
              <w:t>)</w:t>
            </w:r>
          </w:p>
          <w:p w14:paraId="1FF16A98"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strength/formulation: (Tris/sucrose buffer formulation), 10 µg/0.2 mL, 30 µg/0.3 mL</w:t>
            </w:r>
          </w:p>
          <w:p w14:paraId="0B930551"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numbers: 377110, 377111</w:t>
            </w:r>
          </w:p>
        </w:tc>
      </w:tr>
      <w:tr w:rsidR="00CD1C1A" w14:paraId="5080F987"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7D3BF00E" w14:textId="77777777" w:rsidR="00CD1C1A" w:rsidRDefault="00CD1C1A" w:rsidP="00CF66A8">
            <w:pPr>
              <w:pStyle w:val="TableText"/>
              <w:spacing w:before="60" w:after="60"/>
              <w:rPr>
                <w:lang w:val="en-AU"/>
              </w:rPr>
            </w:pPr>
            <w:r>
              <w:rPr>
                <w:lang w:val="en-AU"/>
              </w:rPr>
              <w:t>27 January 2022</w:t>
            </w:r>
          </w:p>
        </w:tc>
        <w:tc>
          <w:tcPr>
            <w:tcW w:w="6598" w:type="dxa"/>
            <w:hideMark/>
          </w:tcPr>
          <w:p w14:paraId="7F754264" w14:textId="452F546E"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16 to 17 years old (</w:t>
            </w:r>
            <w:hyperlink r:id="rId20" w:history="1">
              <w:r>
                <w:rPr>
                  <w:rStyle w:val="Hyperlink"/>
                  <w:lang w:val="en-AU"/>
                </w:rPr>
                <w:t>AusPAR</w:t>
              </w:r>
            </w:hyperlink>
            <w:r>
              <w:rPr>
                <w:lang w:val="en-AU"/>
              </w:rPr>
              <w:t>)</w:t>
            </w:r>
          </w:p>
        </w:tc>
      </w:tr>
      <w:tr w:rsidR="00CD1C1A" w14:paraId="2D973E69"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7EF18BFA" w14:textId="77777777" w:rsidR="00CD1C1A" w:rsidRDefault="00CD1C1A" w:rsidP="00CF66A8">
            <w:pPr>
              <w:pStyle w:val="TableText"/>
              <w:spacing w:before="60" w:after="60"/>
              <w:rPr>
                <w:lang w:val="en-AU"/>
              </w:rPr>
            </w:pPr>
            <w:r>
              <w:rPr>
                <w:lang w:val="en-AU"/>
              </w:rPr>
              <w:t>7 April 2022</w:t>
            </w:r>
          </w:p>
        </w:tc>
        <w:tc>
          <w:tcPr>
            <w:tcW w:w="6598" w:type="dxa"/>
            <w:hideMark/>
          </w:tcPr>
          <w:p w14:paraId="1393F128" w14:textId="3C25FB99"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12 to 15 years old (</w:t>
            </w:r>
            <w:hyperlink r:id="rId21" w:history="1">
              <w:r>
                <w:rPr>
                  <w:rStyle w:val="Hyperlink"/>
                  <w:lang w:val="en-AU"/>
                </w:rPr>
                <w:t>AusPAR</w:t>
              </w:r>
            </w:hyperlink>
            <w:r>
              <w:rPr>
                <w:lang w:val="en-AU"/>
              </w:rPr>
              <w:t>)</w:t>
            </w:r>
          </w:p>
        </w:tc>
      </w:tr>
      <w:tr w:rsidR="00CD1C1A" w14:paraId="4F9E8504"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1E42026F" w14:textId="77777777" w:rsidR="00CD1C1A" w:rsidRDefault="00CD1C1A" w:rsidP="00CF66A8">
            <w:pPr>
              <w:pStyle w:val="TableText"/>
              <w:spacing w:before="60" w:after="60"/>
              <w:rPr>
                <w:lang w:val="en-AU"/>
              </w:rPr>
            </w:pPr>
            <w:r>
              <w:rPr>
                <w:lang w:val="en-AU"/>
              </w:rPr>
              <w:t>20 September 2022</w:t>
            </w:r>
          </w:p>
        </w:tc>
        <w:tc>
          <w:tcPr>
            <w:tcW w:w="6598" w:type="dxa"/>
            <w:hideMark/>
          </w:tcPr>
          <w:p w14:paraId="65643051" w14:textId="4D99B7FF"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5 to 11 years old (</w:t>
            </w:r>
            <w:hyperlink r:id="rId22" w:history="1">
              <w:r>
                <w:rPr>
                  <w:rStyle w:val="Hyperlink"/>
                  <w:lang w:val="en-AU"/>
                </w:rPr>
                <w:t>AusPAR</w:t>
              </w:r>
            </w:hyperlink>
            <w:r>
              <w:rPr>
                <w:lang w:val="en-AU"/>
              </w:rPr>
              <w:t>)</w:t>
            </w:r>
          </w:p>
        </w:tc>
      </w:tr>
      <w:tr w:rsidR="00CD1C1A" w14:paraId="1A1DE64D"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0F61D262" w14:textId="77777777" w:rsidR="00CD1C1A" w:rsidRDefault="00CD1C1A" w:rsidP="00CF66A8">
            <w:pPr>
              <w:pStyle w:val="TableText"/>
              <w:spacing w:before="60" w:after="60"/>
              <w:rPr>
                <w:lang w:val="en-AU"/>
              </w:rPr>
            </w:pPr>
            <w:r>
              <w:rPr>
                <w:lang w:val="en-AU"/>
              </w:rPr>
              <w:t>29 September 2022</w:t>
            </w:r>
          </w:p>
        </w:tc>
        <w:tc>
          <w:tcPr>
            <w:tcW w:w="6598" w:type="dxa"/>
            <w:hideMark/>
          </w:tcPr>
          <w:p w14:paraId="36D0AA9B" w14:textId="02DAA460"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6 months and over (</w:t>
            </w:r>
            <w:hyperlink r:id="rId23" w:history="1">
              <w:r>
                <w:rPr>
                  <w:rStyle w:val="Hyperlink"/>
                  <w:lang w:val="en-AU"/>
                </w:rPr>
                <w:t>AusPAR</w:t>
              </w:r>
            </w:hyperlink>
            <w:r>
              <w:rPr>
                <w:lang w:val="en-AU"/>
              </w:rPr>
              <w:t>)</w:t>
            </w:r>
          </w:p>
          <w:p w14:paraId="7E2DCE34"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strength: 3 µg/0.2 mL concentrated suspension for injection (Tris/sucrose formulation)</w:t>
            </w:r>
          </w:p>
          <w:p w14:paraId="3E4C8F2F"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393433</w:t>
            </w:r>
          </w:p>
        </w:tc>
      </w:tr>
      <w:tr w:rsidR="00CD1C1A" w14:paraId="4F724195" w14:textId="77777777" w:rsidTr="00CF66A8">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10D780D4" w14:textId="03743516" w:rsidR="00CD1C1A" w:rsidRDefault="00CD1C1A" w:rsidP="00CF66A8">
            <w:pPr>
              <w:pStyle w:val="TableText"/>
              <w:spacing w:before="60" w:after="60"/>
              <w:rPr>
                <w:lang w:val="en-AU"/>
              </w:rPr>
            </w:pPr>
            <w:proofErr w:type="spellStart"/>
            <w:r>
              <w:rPr>
                <w:b/>
                <w:bCs/>
                <w:lang w:val="en-AU"/>
              </w:rPr>
              <w:t>Vaxzevria</w:t>
            </w:r>
            <w:proofErr w:type="spellEnd"/>
            <w:r>
              <w:rPr>
                <w:b/>
                <w:bCs/>
                <w:lang w:val="en-AU"/>
              </w:rPr>
              <w:t xml:space="preserve"> COVID-19 vaccine (provisional registration)</w:t>
            </w:r>
          </w:p>
          <w:p w14:paraId="0818E4DA" w14:textId="007DB325" w:rsidR="00CD1C1A" w:rsidRDefault="00CD1C1A" w:rsidP="00CF66A8">
            <w:pPr>
              <w:pStyle w:val="TableText"/>
              <w:spacing w:before="60" w:after="60"/>
              <w:rPr>
                <w:lang w:val="en-AU"/>
              </w:rPr>
            </w:pPr>
            <w:r>
              <w:rPr>
                <w:lang w:val="en-AU"/>
              </w:rPr>
              <w:t>(</w:t>
            </w:r>
            <w:hyperlink r:id="rId24" w:history="1">
              <w:r>
                <w:rPr>
                  <w:rStyle w:val="Hyperlink"/>
                  <w:lang w:val="en-AU"/>
                </w:rPr>
                <w:t>formerly</w:t>
              </w:r>
            </w:hyperlink>
            <w:r>
              <w:rPr>
                <w:lang w:val="en-AU"/>
              </w:rPr>
              <w:t xml:space="preserve"> AstraZeneca COVID-19 vaccine)</w:t>
            </w:r>
          </w:p>
          <w:p w14:paraId="3E10409C" w14:textId="77777777" w:rsidR="00CD1C1A" w:rsidRDefault="00CD1C1A" w:rsidP="00CF66A8">
            <w:pPr>
              <w:pStyle w:val="TableText"/>
              <w:spacing w:before="60" w:after="60"/>
              <w:rPr>
                <w:lang w:val="en-AU"/>
              </w:rPr>
            </w:pPr>
            <w:r>
              <w:rPr>
                <w:lang w:val="en-AU"/>
              </w:rPr>
              <w:t>Active ingredient: ChAdOx1 (viral vector)</w:t>
            </w:r>
          </w:p>
          <w:p w14:paraId="108B6A1B" w14:textId="77777777" w:rsidR="00CD1C1A" w:rsidRDefault="00CD1C1A" w:rsidP="00CF66A8">
            <w:pPr>
              <w:pStyle w:val="TableText"/>
              <w:spacing w:before="60" w:after="60"/>
              <w:rPr>
                <w:lang w:val="en-AU"/>
              </w:rPr>
            </w:pPr>
            <w:r>
              <w:rPr>
                <w:lang w:val="en-AU"/>
              </w:rPr>
              <w:t>Sponsor: AstraZeneca Pty Ltd</w:t>
            </w:r>
          </w:p>
        </w:tc>
      </w:tr>
      <w:tr w:rsidR="00CD1C1A" w14:paraId="37DC52F5"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6D4ADEAC" w14:textId="77777777" w:rsidR="00CD1C1A" w:rsidRDefault="00CD1C1A" w:rsidP="00CF66A8">
            <w:pPr>
              <w:pStyle w:val="TableText"/>
              <w:spacing w:before="60" w:after="60"/>
              <w:rPr>
                <w:lang w:val="en-AU"/>
              </w:rPr>
            </w:pPr>
            <w:r>
              <w:rPr>
                <w:lang w:val="en-AU"/>
              </w:rPr>
              <w:t>15 February 2021</w:t>
            </w:r>
          </w:p>
          <w:p w14:paraId="6C4D5BC0" w14:textId="77777777" w:rsidR="00CD1C1A" w:rsidRDefault="00CD1C1A"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598" w:type="dxa"/>
            <w:hideMark/>
          </w:tcPr>
          <w:p w14:paraId="6EC5CAE9" w14:textId="64A6257B"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18 years and over (</w:t>
            </w:r>
            <w:hyperlink r:id="rId25" w:history="1">
              <w:r>
                <w:rPr>
                  <w:rStyle w:val="Hyperlink"/>
                  <w:lang w:val="en-AU"/>
                </w:rPr>
                <w:t>AusPAR</w:t>
              </w:r>
            </w:hyperlink>
            <w:r>
              <w:rPr>
                <w:lang w:val="en-AU"/>
              </w:rPr>
              <w:t>)</w:t>
            </w:r>
          </w:p>
          <w:p w14:paraId="350637B8"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1 x 10</w:t>
            </w:r>
            <w:r>
              <w:rPr>
                <w:vertAlign w:val="superscript"/>
                <w:lang w:val="en-AU"/>
              </w:rPr>
              <w:t>11</w:t>
            </w:r>
            <w:r>
              <w:rPr>
                <w:lang w:val="en-AU"/>
              </w:rPr>
              <w:t xml:space="preserve"> viral particles/mL, solution for injection</w:t>
            </w:r>
          </w:p>
          <w:p w14:paraId="4A94570C"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349072</w:t>
            </w:r>
          </w:p>
        </w:tc>
      </w:tr>
      <w:tr w:rsidR="00CD1C1A" w14:paraId="2F1999A7"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1A67548D" w14:textId="77777777" w:rsidR="00CD1C1A" w:rsidRDefault="00CD1C1A" w:rsidP="00CF66A8">
            <w:pPr>
              <w:pStyle w:val="TableText"/>
              <w:spacing w:before="60" w:after="60"/>
              <w:rPr>
                <w:lang w:val="en-AU"/>
              </w:rPr>
            </w:pPr>
            <w:r>
              <w:rPr>
                <w:lang w:val="en-AU"/>
              </w:rPr>
              <w:t>8 February 2022</w:t>
            </w:r>
          </w:p>
        </w:tc>
        <w:tc>
          <w:tcPr>
            <w:tcW w:w="6598" w:type="dxa"/>
            <w:hideMark/>
          </w:tcPr>
          <w:p w14:paraId="09236D02" w14:textId="66288D62"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w:t>
            </w:r>
            <w:hyperlink r:id="rId26" w:history="1">
              <w:r>
                <w:rPr>
                  <w:rStyle w:val="Hyperlink"/>
                  <w:lang w:val="en-AU"/>
                </w:rPr>
                <w:t>AusPAR</w:t>
              </w:r>
            </w:hyperlink>
            <w:r>
              <w:rPr>
                <w:lang w:val="en-AU"/>
              </w:rPr>
              <w:t>)</w:t>
            </w:r>
          </w:p>
        </w:tc>
      </w:tr>
      <w:tr w:rsidR="00CD1C1A" w14:paraId="29235A5E" w14:textId="77777777" w:rsidTr="00CF66A8">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042870CA" w14:textId="64EC5CFB" w:rsidR="00CD1C1A" w:rsidRDefault="00CD1C1A" w:rsidP="00CF66A8">
            <w:pPr>
              <w:pStyle w:val="TableText"/>
              <w:spacing w:before="60" w:after="60"/>
              <w:rPr>
                <w:b/>
                <w:bCs/>
                <w:lang w:val="en-AU"/>
              </w:rPr>
            </w:pPr>
            <w:r>
              <w:rPr>
                <w:b/>
                <w:bCs/>
                <w:lang w:val="en-AU"/>
              </w:rPr>
              <w:t>COVID-19 Vaccine Janssen (provisional registration)</w:t>
            </w:r>
          </w:p>
          <w:p w14:paraId="1E7BB60C" w14:textId="77777777" w:rsidR="00CD1C1A" w:rsidRDefault="00CD1C1A" w:rsidP="00CF66A8">
            <w:pPr>
              <w:pStyle w:val="TableText"/>
              <w:spacing w:before="60" w:after="60"/>
              <w:rPr>
                <w:lang w:val="en-AU"/>
              </w:rPr>
            </w:pPr>
            <w:r>
              <w:rPr>
                <w:lang w:val="en-AU"/>
              </w:rPr>
              <w:t>Active ingredient: Ad26.COV</w:t>
            </w:r>
            <w:proofErr w:type="gramStart"/>
            <w:r>
              <w:rPr>
                <w:lang w:val="en-AU"/>
              </w:rPr>
              <w:t>2.S</w:t>
            </w:r>
            <w:proofErr w:type="gramEnd"/>
            <w:r>
              <w:rPr>
                <w:lang w:val="en-AU"/>
              </w:rPr>
              <w:t xml:space="preserve"> (viral vector)</w:t>
            </w:r>
          </w:p>
          <w:p w14:paraId="0B03BAD6" w14:textId="77777777" w:rsidR="00CD1C1A" w:rsidRDefault="00CD1C1A" w:rsidP="00CF66A8">
            <w:pPr>
              <w:pStyle w:val="TableText"/>
              <w:spacing w:before="60" w:after="60"/>
              <w:rPr>
                <w:lang w:val="en-AU"/>
              </w:rPr>
            </w:pPr>
            <w:r>
              <w:rPr>
                <w:lang w:val="en-AU"/>
              </w:rPr>
              <w:t>Sponsor: Janssen-</w:t>
            </w:r>
            <w:proofErr w:type="spellStart"/>
            <w:r>
              <w:rPr>
                <w:lang w:val="en-AU"/>
              </w:rPr>
              <w:t>Cilag</w:t>
            </w:r>
            <w:proofErr w:type="spellEnd"/>
            <w:r>
              <w:rPr>
                <w:lang w:val="en-AU"/>
              </w:rPr>
              <w:t xml:space="preserve"> Pty Ltd</w:t>
            </w:r>
          </w:p>
        </w:tc>
      </w:tr>
      <w:tr w:rsidR="00CD1C1A" w14:paraId="653066FB"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4C4E8B95" w14:textId="77777777" w:rsidR="00CD1C1A" w:rsidRDefault="00CD1C1A" w:rsidP="00CF66A8">
            <w:pPr>
              <w:pStyle w:val="TableText"/>
              <w:spacing w:before="60" w:after="60"/>
              <w:rPr>
                <w:lang w:val="en-AU"/>
              </w:rPr>
            </w:pPr>
            <w:r>
              <w:rPr>
                <w:lang w:val="en-AU"/>
              </w:rPr>
              <w:lastRenderedPageBreak/>
              <w:t>25 June 2021</w:t>
            </w:r>
          </w:p>
          <w:p w14:paraId="7C4DBF3F" w14:textId="77777777" w:rsidR="00CD1C1A" w:rsidRDefault="00CD1C1A"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598" w:type="dxa"/>
            <w:hideMark/>
          </w:tcPr>
          <w:p w14:paraId="4DAED836" w14:textId="659D611D"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18 years and over (</w:t>
            </w:r>
            <w:hyperlink r:id="rId27" w:history="1">
              <w:r>
                <w:rPr>
                  <w:rStyle w:val="Hyperlink"/>
                  <w:lang w:val="en-AU"/>
                </w:rPr>
                <w:t>AusPAR</w:t>
              </w:r>
            </w:hyperlink>
            <w:r>
              <w:rPr>
                <w:lang w:val="en-AU"/>
              </w:rPr>
              <w:t>)</w:t>
            </w:r>
          </w:p>
          <w:p w14:paraId="47A96110"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5 x 10</w:t>
            </w:r>
            <w:r>
              <w:rPr>
                <w:vertAlign w:val="superscript"/>
                <w:lang w:val="en-AU"/>
              </w:rPr>
              <w:t>10</w:t>
            </w:r>
            <w:r>
              <w:rPr>
                <w:lang w:val="en-AU"/>
              </w:rPr>
              <w:t xml:space="preserve"> virus particles/ 0.5 mL, suspension for intramuscular injection</w:t>
            </w:r>
          </w:p>
          <w:p w14:paraId="47FD8DA9"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350150</w:t>
            </w:r>
          </w:p>
        </w:tc>
      </w:tr>
      <w:tr w:rsidR="00CD1C1A" w14:paraId="7DC2535E" w14:textId="77777777" w:rsidTr="00CF66A8">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0CEB9C2E" w14:textId="502DA01C" w:rsidR="00CD1C1A" w:rsidRDefault="00CD1C1A" w:rsidP="00CF66A8">
            <w:pPr>
              <w:pStyle w:val="TableText"/>
              <w:spacing w:before="60" w:after="60"/>
              <w:rPr>
                <w:b/>
                <w:bCs/>
                <w:lang w:val="en-AU"/>
              </w:rPr>
            </w:pPr>
            <w:r>
              <w:rPr>
                <w:b/>
                <w:bCs/>
                <w:lang w:val="en-AU"/>
              </w:rPr>
              <w:t>Spikevax COVID-19 vaccine (full registration 21 April 2023)</w:t>
            </w:r>
          </w:p>
          <w:p w14:paraId="45D340E4" w14:textId="77777777" w:rsidR="00CD1C1A" w:rsidRDefault="00CD1C1A" w:rsidP="00CF66A8">
            <w:pPr>
              <w:pStyle w:val="TableText"/>
              <w:spacing w:before="60" w:after="60"/>
              <w:rPr>
                <w:lang w:val="en-AU"/>
              </w:rPr>
            </w:pPr>
            <w:r>
              <w:rPr>
                <w:lang w:val="en-AU"/>
              </w:rPr>
              <w:t>Active ingredient: elasomeran (mRNA)</w:t>
            </w:r>
          </w:p>
          <w:p w14:paraId="546D3CCC" w14:textId="77777777" w:rsidR="00CD1C1A" w:rsidRDefault="00CD1C1A" w:rsidP="00CF66A8">
            <w:pPr>
              <w:pStyle w:val="TableText"/>
              <w:spacing w:before="60" w:after="60"/>
              <w:rPr>
                <w:lang w:val="en-AU"/>
              </w:rPr>
            </w:pPr>
            <w:r>
              <w:rPr>
                <w:lang w:val="en-AU"/>
              </w:rPr>
              <w:t>Sponsor: Moderna Australia Pty Ltd</w:t>
            </w:r>
          </w:p>
        </w:tc>
      </w:tr>
      <w:tr w:rsidR="00CD1C1A" w14:paraId="6E29A781"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2305479E" w14:textId="77777777" w:rsidR="00CD1C1A" w:rsidRDefault="00CD1C1A" w:rsidP="00CF66A8">
            <w:pPr>
              <w:pStyle w:val="TableText"/>
              <w:spacing w:before="60" w:after="60"/>
              <w:rPr>
                <w:lang w:val="en-AU"/>
              </w:rPr>
            </w:pPr>
            <w:r>
              <w:rPr>
                <w:lang w:val="en-AU"/>
              </w:rPr>
              <w:t>9 August 2021</w:t>
            </w:r>
          </w:p>
          <w:p w14:paraId="1C9945A7" w14:textId="77777777" w:rsidR="00CD1C1A" w:rsidRDefault="00CD1C1A" w:rsidP="00CF66A8">
            <w:pPr>
              <w:pStyle w:val="TableText"/>
              <w:spacing w:before="60" w:after="60"/>
              <w:rPr>
                <w:lang w:val="en-AU"/>
              </w:rPr>
            </w:pPr>
            <w:r>
              <w:rPr>
                <w:lang w:val="en-AU"/>
              </w:rPr>
              <w:t>(</w:t>
            </w:r>
            <w:proofErr w:type="gramStart"/>
            <w:r>
              <w:rPr>
                <w:lang w:val="en-AU"/>
              </w:rPr>
              <w:t>initial</w:t>
            </w:r>
            <w:proofErr w:type="gramEnd"/>
            <w:r>
              <w:rPr>
                <w:lang w:val="en-AU"/>
              </w:rPr>
              <w:t> registration)</w:t>
            </w:r>
          </w:p>
        </w:tc>
        <w:tc>
          <w:tcPr>
            <w:tcW w:w="6598" w:type="dxa"/>
            <w:hideMark/>
          </w:tcPr>
          <w:p w14:paraId="3F11D58F" w14:textId="5A1657F4"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18 years and over (</w:t>
            </w:r>
            <w:hyperlink r:id="rId28" w:history="1">
              <w:r>
                <w:rPr>
                  <w:rStyle w:val="Hyperlink"/>
                  <w:lang w:val="en-AU"/>
                </w:rPr>
                <w:t>AusPAR</w:t>
              </w:r>
            </w:hyperlink>
            <w:r>
              <w:rPr>
                <w:lang w:val="en-AU"/>
              </w:rPr>
              <w:t>)</w:t>
            </w:r>
          </w:p>
          <w:p w14:paraId="2A3AAA23"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0.2 mg/mL, suspension for injection</w:t>
            </w:r>
          </w:p>
          <w:p w14:paraId="279DDCBB"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370599</w:t>
            </w:r>
          </w:p>
        </w:tc>
      </w:tr>
      <w:tr w:rsidR="00CD1C1A" w14:paraId="24210412"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4F0BFB32" w14:textId="77777777" w:rsidR="00CD1C1A" w:rsidRDefault="00CD1C1A" w:rsidP="00CF66A8">
            <w:pPr>
              <w:pStyle w:val="TableText"/>
              <w:spacing w:before="60" w:after="60"/>
              <w:rPr>
                <w:lang w:val="en-AU"/>
              </w:rPr>
            </w:pPr>
            <w:r>
              <w:rPr>
                <w:lang w:val="en-AU"/>
              </w:rPr>
              <w:t>3 September 2021</w:t>
            </w:r>
          </w:p>
        </w:tc>
        <w:tc>
          <w:tcPr>
            <w:tcW w:w="6598" w:type="dxa"/>
            <w:hideMark/>
          </w:tcPr>
          <w:p w14:paraId="19B08668" w14:textId="7734B31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12 years and over (</w:t>
            </w:r>
            <w:hyperlink r:id="rId29" w:history="1">
              <w:r>
                <w:rPr>
                  <w:rStyle w:val="Hyperlink"/>
                  <w:lang w:val="en-AU"/>
                </w:rPr>
                <w:t>AusPAR</w:t>
              </w:r>
            </w:hyperlink>
            <w:r>
              <w:rPr>
                <w:lang w:val="en-AU"/>
              </w:rPr>
              <w:t>)</w:t>
            </w:r>
          </w:p>
        </w:tc>
      </w:tr>
      <w:tr w:rsidR="00CD1C1A" w14:paraId="635D328F"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21A5FA89" w14:textId="77777777" w:rsidR="00CD1C1A" w:rsidRDefault="00CD1C1A" w:rsidP="00CF66A8">
            <w:pPr>
              <w:pStyle w:val="TableText"/>
              <w:spacing w:before="60" w:after="60"/>
              <w:rPr>
                <w:lang w:val="en-AU"/>
              </w:rPr>
            </w:pPr>
            <w:r>
              <w:rPr>
                <w:lang w:val="en-AU"/>
              </w:rPr>
              <w:t>7 December 2021</w:t>
            </w:r>
          </w:p>
        </w:tc>
        <w:tc>
          <w:tcPr>
            <w:tcW w:w="6598" w:type="dxa"/>
            <w:hideMark/>
          </w:tcPr>
          <w:p w14:paraId="778924FF" w14:textId="6DB4BE86"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w:t>
            </w:r>
            <w:hyperlink r:id="rId30" w:history="1">
              <w:r>
                <w:rPr>
                  <w:rStyle w:val="Hyperlink"/>
                  <w:lang w:val="en-AU"/>
                </w:rPr>
                <w:t>AusPAR</w:t>
              </w:r>
            </w:hyperlink>
            <w:r>
              <w:rPr>
                <w:lang w:val="en-AU"/>
              </w:rPr>
              <w:t>)</w:t>
            </w:r>
          </w:p>
        </w:tc>
      </w:tr>
      <w:tr w:rsidR="00CD1C1A" w14:paraId="2E5D91FF"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096995C2" w14:textId="77777777" w:rsidR="00CD1C1A" w:rsidRDefault="00CD1C1A" w:rsidP="00CF66A8">
            <w:pPr>
              <w:pStyle w:val="TableText"/>
              <w:spacing w:before="60" w:after="60"/>
              <w:rPr>
                <w:lang w:val="en-AU"/>
              </w:rPr>
            </w:pPr>
            <w:r>
              <w:rPr>
                <w:lang w:val="en-AU"/>
              </w:rPr>
              <w:t>17 February 2022</w:t>
            </w:r>
          </w:p>
        </w:tc>
        <w:tc>
          <w:tcPr>
            <w:tcW w:w="6598" w:type="dxa"/>
            <w:hideMark/>
          </w:tcPr>
          <w:p w14:paraId="32A2E5FB" w14:textId="3085EE06"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6 years and over (</w:t>
            </w:r>
            <w:hyperlink r:id="rId31" w:history="1">
              <w:r>
                <w:rPr>
                  <w:rStyle w:val="Hyperlink"/>
                  <w:lang w:val="en-AU"/>
                </w:rPr>
                <w:t>AusPAR</w:t>
              </w:r>
            </w:hyperlink>
            <w:r>
              <w:rPr>
                <w:lang w:val="en-AU"/>
              </w:rPr>
              <w:t>)</w:t>
            </w:r>
          </w:p>
        </w:tc>
      </w:tr>
      <w:tr w:rsidR="00CD1C1A" w14:paraId="26181411"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56B6A5DF" w14:textId="77777777" w:rsidR="00CD1C1A" w:rsidRDefault="00CD1C1A" w:rsidP="00CF66A8">
            <w:pPr>
              <w:pStyle w:val="TableText"/>
              <w:spacing w:before="60" w:after="60"/>
              <w:rPr>
                <w:lang w:val="en-AU"/>
              </w:rPr>
            </w:pPr>
            <w:r>
              <w:rPr>
                <w:lang w:val="en-AU"/>
              </w:rPr>
              <w:t>19 July 2022</w:t>
            </w:r>
          </w:p>
        </w:tc>
        <w:tc>
          <w:tcPr>
            <w:tcW w:w="6598" w:type="dxa"/>
            <w:hideMark/>
          </w:tcPr>
          <w:p w14:paraId="38064BBB" w14:textId="055050A8"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6 months and over (</w:t>
            </w:r>
            <w:hyperlink r:id="rId32" w:history="1">
              <w:r>
                <w:rPr>
                  <w:rStyle w:val="Hyperlink"/>
                  <w:lang w:val="en-AU"/>
                </w:rPr>
                <w:t>AusPAR</w:t>
              </w:r>
            </w:hyperlink>
            <w:r>
              <w:rPr>
                <w:lang w:val="en-AU"/>
              </w:rPr>
              <w:t>)</w:t>
            </w:r>
          </w:p>
          <w:p w14:paraId="6494181A"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strength: 0.1 mg/mL suspension for injection</w:t>
            </w:r>
          </w:p>
          <w:p w14:paraId="206D8F1D"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numbers: 388244, 388245</w:t>
            </w:r>
          </w:p>
        </w:tc>
      </w:tr>
      <w:tr w:rsidR="00CD1C1A" w14:paraId="461C97A3"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04C6A36D" w14:textId="77777777" w:rsidR="00CD1C1A" w:rsidRDefault="00CD1C1A" w:rsidP="00CF66A8">
            <w:pPr>
              <w:pStyle w:val="TableText"/>
              <w:spacing w:before="60" w:after="60"/>
              <w:rPr>
                <w:lang w:val="en-AU"/>
              </w:rPr>
            </w:pPr>
            <w:r>
              <w:rPr>
                <w:lang w:val="en-AU"/>
              </w:rPr>
              <w:t>19 October 2022</w:t>
            </w:r>
          </w:p>
        </w:tc>
        <w:tc>
          <w:tcPr>
            <w:tcW w:w="6598" w:type="dxa"/>
            <w:hideMark/>
          </w:tcPr>
          <w:p w14:paraId="53783881" w14:textId="3DFF5FE0"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12 years and over (</w:t>
            </w:r>
            <w:hyperlink r:id="rId33" w:history="1">
              <w:r>
                <w:rPr>
                  <w:rStyle w:val="Hyperlink"/>
                  <w:lang w:val="en-AU"/>
                </w:rPr>
                <w:t>AusPAR</w:t>
              </w:r>
            </w:hyperlink>
            <w:r>
              <w:rPr>
                <w:lang w:val="en-AU"/>
              </w:rPr>
              <w:t>)</w:t>
            </w:r>
          </w:p>
        </w:tc>
      </w:tr>
      <w:tr w:rsidR="00BB0D28" w14:paraId="5A9066C3" w14:textId="77777777" w:rsidTr="00CF66A8">
        <w:tc>
          <w:tcPr>
            <w:cnfStyle w:val="001000000000" w:firstRow="0" w:lastRow="0" w:firstColumn="1" w:lastColumn="0" w:oddVBand="0" w:evenVBand="0" w:oddHBand="0" w:evenHBand="0" w:firstRowFirstColumn="0" w:firstRowLastColumn="0" w:lastRowFirstColumn="0" w:lastRowLastColumn="0"/>
            <w:tcW w:w="2330" w:type="dxa"/>
          </w:tcPr>
          <w:p w14:paraId="26348787" w14:textId="5B265921" w:rsidR="00BB0D28" w:rsidRDefault="00BB0D28" w:rsidP="00CF66A8">
            <w:pPr>
              <w:pStyle w:val="TableText"/>
              <w:spacing w:before="60" w:after="60"/>
              <w:rPr>
                <w:lang w:val="en-AU"/>
              </w:rPr>
            </w:pPr>
            <w:r>
              <w:rPr>
                <w:lang w:val="en-AU"/>
              </w:rPr>
              <w:t>21 April 2022</w:t>
            </w:r>
          </w:p>
        </w:tc>
        <w:tc>
          <w:tcPr>
            <w:tcW w:w="6598" w:type="dxa"/>
          </w:tcPr>
          <w:p w14:paraId="484001C3" w14:textId="735F2958" w:rsidR="00BB0D28" w:rsidRDefault="00BB0D28"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Conversion of provisional registration to full registration (</w:t>
            </w:r>
            <w:hyperlink r:id="rId34" w:history="1">
              <w:r w:rsidRPr="00BB0D28">
                <w:rPr>
                  <w:rStyle w:val="Hyperlink"/>
                  <w:lang w:val="en-AU"/>
                </w:rPr>
                <w:t>AusPAR</w:t>
              </w:r>
            </w:hyperlink>
            <w:r>
              <w:rPr>
                <w:lang w:val="en-AU"/>
              </w:rPr>
              <w:t>)</w:t>
            </w:r>
          </w:p>
        </w:tc>
      </w:tr>
      <w:tr w:rsidR="00CD1C1A" w14:paraId="424ED50B" w14:textId="77777777" w:rsidTr="00CF66A8">
        <w:tc>
          <w:tcPr>
            <w:cnfStyle w:val="001000000000" w:firstRow="0" w:lastRow="0" w:firstColumn="1" w:lastColumn="0" w:oddVBand="0" w:evenVBand="0" w:oddHBand="0" w:evenHBand="0" w:firstRowFirstColumn="0" w:firstRowLastColumn="0" w:lastRowFirstColumn="0" w:lastRowLastColumn="0"/>
            <w:tcW w:w="8928" w:type="dxa"/>
            <w:gridSpan w:val="2"/>
            <w:hideMark/>
          </w:tcPr>
          <w:p w14:paraId="51F21BD6" w14:textId="0B88A02C" w:rsidR="00CD1C1A" w:rsidRDefault="00CD1C1A" w:rsidP="00CF66A8">
            <w:pPr>
              <w:pStyle w:val="TableText"/>
              <w:spacing w:before="60" w:after="60"/>
              <w:rPr>
                <w:b/>
                <w:bCs/>
                <w:lang w:val="en-AU"/>
              </w:rPr>
            </w:pPr>
            <w:r>
              <w:rPr>
                <w:b/>
                <w:bCs/>
                <w:lang w:val="en-AU"/>
              </w:rPr>
              <w:t>Nuvaxovid COVID-19 vaccine</w:t>
            </w:r>
            <w:r w:rsidR="002C5362">
              <w:rPr>
                <w:b/>
                <w:bCs/>
                <w:lang w:val="en-AU"/>
              </w:rPr>
              <w:t xml:space="preserve"> (provisional approval)</w:t>
            </w:r>
          </w:p>
          <w:p w14:paraId="5022AF7E" w14:textId="77777777" w:rsidR="00CD1C1A" w:rsidRDefault="00CD1C1A" w:rsidP="00CF66A8">
            <w:pPr>
              <w:pStyle w:val="TableText"/>
              <w:spacing w:before="60" w:after="60"/>
              <w:rPr>
                <w:lang w:val="en-AU"/>
              </w:rPr>
            </w:pPr>
            <w:r>
              <w:rPr>
                <w:lang w:val="en-AU"/>
              </w:rPr>
              <w:t xml:space="preserve">Active ingredient: SARS-CoV-2 </w:t>
            </w:r>
            <w:proofErr w:type="spellStart"/>
            <w:r>
              <w:rPr>
                <w:lang w:val="en-AU"/>
              </w:rPr>
              <w:t>rS</w:t>
            </w:r>
            <w:proofErr w:type="spellEnd"/>
            <w:r>
              <w:rPr>
                <w:lang w:val="en-AU"/>
              </w:rPr>
              <w:t xml:space="preserve"> vaccine with Matrix-M1 adjuvant (protein vaccine)</w:t>
            </w:r>
          </w:p>
          <w:p w14:paraId="5DB34AF1" w14:textId="77777777" w:rsidR="00CD1C1A" w:rsidRDefault="00CD1C1A" w:rsidP="00CF66A8">
            <w:pPr>
              <w:pStyle w:val="TableText"/>
              <w:spacing w:before="60" w:after="60"/>
              <w:rPr>
                <w:lang w:val="en-AU"/>
              </w:rPr>
            </w:pPr>
            <w:r>
              <w:rPr>
                <w:lang w:val="en-AU"/>
              </w:rPr>
              <w:t xml:space="preserve">Sponsor: </w:t>
            </w:r>
            <w:proofErr w:type="spellStart"/>
            <w:r>
              <w:rPr>
                <w:lang w:val="en-AU"/>
              </w:rPr>
              <w:t>Biocelect</w:t>
            </w:r>
            <w:proofErr w:type="spellEnd"/>
            <w:r>
              <w:rPr>
                <w:lang w:val="en-AU"/>
              </w:rPr>
              <w:t xml:space="preserve"> Pty Ltd (on behalf of Novavax Inc)</w:t>
            </w:r>
          </w:p>
        </w:tc>
      </w:tr>
      <w:tr w:rsidR="00CD1C1A" w14:paraId="7467FA0D"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654FEA80" w14:textId="77777777" w:rsidR="00CD1C1A" w:rsidRDefault="00CD1C1A" w:rsidP="00CF66A8">
            <w:pPr>
              <w:pStyle w:val="TableText"/>
              <w:spacing w:before="60" w:after="60"/>
              <w:rPr>
                <w:lang w:val="en-AU"/>
              </w:rPr>
            </w:pPr>
            <w:r>
              <w:rPr>
                <w:lang w:val="en-AU"/>
              </w:rPr>
              <w:t>19 January 2022</w:t>
            </w:r>
          </w:p>
          <w:p w14:paraId="45E412BB" w14:textId="77777777" w:rsidR="00CD1C1A" w:rsidRDefault="00CD1C1A"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598" w:type="dxa"/>
            <w:hideMark/>
          </w:tcPr>
          <w:p w14:paraId="59AF6ECB" w14:textId="429C62C9"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18 years and over (</w:t>
            </w:r>
            <w:hyperlink r:id="rId35" w:history="1">
              <w:r>
                <w:rPr>
                  <w:rStyle w:val="Hyperlink"/>
                  <w:lang w:val="en-AU"/>
                </w:rPr>
                <w:t>AusPAR</w:t>
              </w:r>
            </w:hyperlink>
            <w:r>
              <w:rPr>
                <w:lang w:val="en-AU"/>
              </w:rPr>
              <w:t>)</w:t>
            </w:r>
          </w:p>
          <w:p w14:paraId="3A3A39F0"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5 µg/0.5mL, suspension for injection</w:t>
            </w:r>
          </w:p>
          <w:p w14:paraId="66CD7E02" w14:textId="77777777"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355139</w:t>
            </w:r>
          </w:p>
        </w:tc>
      </w:tr>
      <w:tr w:rsidR="00CD1C1A" w14:paraId="663746AB"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53F0B111" w14:textId="77777777" w:rsidR="00CD1C1A" w:rsidRDefault="00CD1C1A" w:rsidP="00CF66A8">
            <w:pPr>
              <w:pStyle w:val="TableText"/>
              <w:spacing w:before="60" w:after="60"/>
              <w:rPr>
                <w:lang w:val="en-AU"/>
              </w:rPr>
            </w:pPr>
            <w:r>
              <w:rPr>
                <w:lang w:val="en-AU"/>
              </w:rPr>
              <w:t>9 June 2022</w:t>
            </w:r>
          </w:p>
        </w:tc>
        <w:tc>
          <w:tcPr>
            <w:tcW w:w="6598" w:type="dxa"/>
            <w:hideMark/>
          </w:tcPr>
          <w:p w14:paraId="53C5CC31" w14:textId="3A9A29A3"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as homologous vaccination (</w:t>
            </w:r>
            <w:hyperlink r:id="rId36" w:history="1">
              <w:r>
                <w:rPr>
                  <w:rStyle w:val="Hyperlink"/>
                  <w:lang w:val="en-AU"/>
                </w:rPr>
                <w:t>AusPAR</w:t>
              </w:r>
            </w:hyperlink>
            <w:r>
              <w:rPr>
                <w:lang w:val="en-AU"/>
              </w:rPr>
              <w:t>)</w:t>
            </w:r>
          </w:p>
        </w:tc>
      </w:tr>
      <w:tr w:rsidR="00CD1C1A" w14:paraId="055CBCF3"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719F0A46" w14:textId="77777777" w:rsidR="00CD1C1A" w:rsidRDefault="00CD1C1A" w:rsidP="00CF66A8">
            <w:pPr>
              <w:pStyle w:val="TableText"/>
              <w:spacing w:before="60" w:after="60"/>
              <w:rPr>
                <w:lang w:val="en-AU"/>
              </w:rPr>
            </w:pPr>
            <w:r>
              <w:rPr>
                <w:lang w:val="en-AU"/>
              </w:rPr>
              <w:t>22 July 2022</w:t>
            </w:r>
          </w:p>
        </w:tc>
        <w:tc>
          <w:tcPr>
            <w:tcW w:w="6598" w:type="dxa"/>
            <w:hideMark/>
          </w:tcPr>
          <w:p w14:paraId="7D5A1ECE" w14:textId="68D21982" w:rsidR="00CD1C1A" w:rsidRDefault="00CD1C1A"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Primary series: for individuals aged 12 years and over (</w:t>
            </w:r>
            <w:hyperlink r:id="rId37" w:history="1">
              <w:r>
                <w:rPr>
                  <w:rStyle w:val="Hyperlink"/>
                  <w:lang w:val="en-AU"/>
                </w:rPr>
                <w:t>AusPAR</w:t>
              </w:r>
            </w:hyperlink>
            <w:r>
              <w:rPr>
                <w:lang w:val="en-AU"/>
              </w:rPr>
              <w:t>)</w:t>
            </w:r>
          </w:p>
        </w:tc>
      </w:tr>
    </w:tbl>
    <w:p w14:paraId="51C97059" w14:textId="77777777" w:rsidR="00CD1C1A" w:rsidRDefault="00CD1C1A" w:rsidP="00CD1C1A">
      <w:pPr>
        <w:pStyle w:val="TableDescription"/>
      </w:pPr>
      <w:r>
        <w:t>Abbreviations: AusPAR = Australian Public Assessment Report; ARTG = Australian Register of Therapeutic Goods; COVID-19 = coronavirus disease 2019; mRNA = messenger ribonucleic acid; TGA = Therapeutic Goods Administration.</w:t>
      </w:r>
    </w:p>
    <w:p w14:paraId="37E7D768" w14:textId="77777777" w:rsidR="00CD1C1A" w:rsidRDefault="00CD1C1A" w:rsidP="00CD1C1A">
      <w:pPr>
        <w:pStyle w:val="TableDescription"/>
      </w:pPr>
      <w:r>
        <w:t>A primary vaccine series involves the vaccine doses needed for initial protection against COVID-19 disease. Typically, a primary COVID-19 vaccine series of 2 doses of the vaccine given 8 to 12 weeks apart. In most situations, the primary course consists of two doses of the same vaccine. In certain age groups or situations, the number of vaccine doses in a primary series may vary. For people with severe immunocompromise, a primary course is defined as 3 doses of a COVID-19 vaccine. ‘Third’ doses are not booster doses, but an additional dose given such as to those considered to be severely immunocompromised.</w:t>
      </w:r>
    </w:p>
    <w:p w14:paraId="543F78C9" w14:textId="77777777" w:rsidR="00CD1C1A" w:rsidRDefault="00CD1C1A" w:rsidP="00CD1C1A">
      <w:pPr>
        <w:pStyle w:val="TableDescription"/>
      </w:pPr>
      <w:r>
        <w:t>A booster dose refers to an additional vaccine dose given after the primary vaccine course. The first booster will refer to the first additional vaccine dose given after completing a 2-dose (or sometimes 3</w:t>
      </w:r>
      <w:r>
        <w:noBreakHyphen/>
        <w:t>dose) primary vaccine course.</w:t>
      </w:r>
    </w:p>
    <w:p w14:paraId="2209A637" w14:textId="77777777" w:rsidR="00CD1C1A" w:rsidRDefault="00CD1C1A" w:rsidP="00CD1C1A">
      <w:pPr>
        <w:pStyle w:val="TableDescription"/>
      </w:pPr>
      <w:r>
        <w:t xml:space="preserve">Note: The single dose COVID-19 Vaccine Janssen has been provisionally </w:t>
      </w:r>
      <w:proofErr w:type="gramStart"/>
      <w:r>
        <w:t>approved, but</w:t>
      </w:r>
      <w:proofErr w:type="gramEnd"/>
      <w:r>
        <w:t xml:space="preserve"> isn’t currently being used in Australia.</w:t>
      </w:r>
    </w:p>
    <w:p w14:paraId="673A54BC" w14:textId="04972AB5" w:rsidR="00CD1C1A" w:rsidRDefault="00CD1C1A" w:rsidP="00CD1C1A">
      <w:pPr>
        <w:pStyle w:val="TableDescription"/>
      </w:pPr>
      <w:r>
        <w:t xml:space="preserve">Further information on vaccines can be found on the TGA website at </w:t>
      </w:r>
      <w:hyperlink r:id="rId38" w:history="1">
        <w:r>
          <w:rPr>
            <w:rStyle w:val="Hyperlink"/>
          </w:rPr>
          <w:t>COVID-19 vaccines</w:t>
        </w:r>
      </w:hyperlink>
      <w:r>
        <w:t xml:space="preserve">, </w:t>
      </w:r>
      <w:hyperlink r:id="rId39" w:history="1">
        <w:r>
          <w:rPr>
            <w:rStyle w:val="Hyperlink"/>
          </w:rPr>
          <w:t>The Australian Immunisation Handbook</w:t>
        </w:r>
      </w:hyperlink>
      <w:r>
        <w:t xml:space="preserve"> or at the </w:t>
      </w:r>
      <w:hyperlink r:id="rId40" w:history="1">
        <w:r>
          <w:rPr>
            <w:rStyle w:val="Hyperlink"/>
          </w:rPr>
          <w:t>Australian Government Department of Health and Aged Care</w:t>
        </w:r>
      </w:hyperlink>
      <w:r>
        <w:t xml:space="preserve"> website.</w:t>
      </w:r>
    </w:p>
    <w:p w14:paraId="237B5EF6" w14:textId="2C543D65" w:rsidR="002C5362" w:rsidRDefault="002C5362" w:rsidP="002C5362">
      <w:pPr>
        <w:pStyle w:val="TableTitle"/>
      </w:pPr>
      <w:bookmarkStart w:id="22" w:name="_Ref118212285"/>
      <w:r>
        <w:lastRenderedPageBreak/>
        <w:t xml:space="preserve">Table </w:t>
      </w:r>
      <w:fldSimple w:instr=" SEQ Table \* ARABIC ">
        <w:r w:rsidR="00237257">
          <w:rPr>
            <w:noProof/>
          </w:rPr>
          <w:t>2</w:t>
        </w:r>
      </w:fldSimple>
      <w:bookmarkEnd w:id="22"/>
      <w:r>
        <w:t>: Approved bivalent COVID-19 vaccines in Australia</w:t>
      </w:r>
    </w:p>
    <w:tbl>
      <w:tblPr>
        <w:tblStyle w:val="TableTGAblue2023"/>
        <w:tblW w:w="8715" w:type="dxa"/>
        <w:tblLayout w:type="fixed"/>
        <w:tblLook w:val="04A0" w:firstRow="1" w:lastRow="0" w:firstColumn="1" w:lastColumn="0" w:noHBand="0" w:noVBand="1"/>
      </w:tblPr>
      <w:tblGrid>
        <w:gridCol w:w="2329"/>
        <w:gridCol w:w="6386"/>
      </w:tblGrid>
      <w:tr w:rsidR="002C5362" w14:paraId="6ACB62E3" w14:textId="77777777" w:rsidTr="00CF6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2"/>
            <w:hideMark/>
          </w:tcPr>
          <w:p w14:paraId="4EF6BD5C" w14:textId="77777777" w:rsidR="002C5362" w:rsidRPr="00CF66A8" w:rsidRDefault="002C5362" w:rsidP="00CF66A8">
            <w:pPr>
              <w:pStyle w:val="TableText"/>
              <w:spacing w:before="60" w:after="60"/>
              <w:rPr>
                <w:color w:val="263287"/>
                <w:lang w:val="en-AU"/>
              </w:rPr>
            </w:pPr>
            <w:r w:rsidRPr="00CF66A8">
              <w:rPr>
                <w:color w:val="263287"/>
                <w:lang w:val="en-AU"/>
              </w:rPr>
              <w:t>Bivalent COVID-19 vaccines provisionally approved in Australia</w:t>
            </w:r>
          </w:p>
        </w:tc>
      </w:tr>
      <w:tr w:rsidR="002C5362" w14:paraId="5F9A97D5" w14:textId="77777777" w:rsidTr="00CF66A8">
        <w:tc>
          <w:tcPr>
            <w:cnfStyle w:val="001000000000" w:firstRow="0" w:lastRow="0" w:firstColumn="1" w:lastColumn="0" w:oddVBand="0" w:evenVBand="0" w:oddHBand="0" w:evenHBand="0" w:firstRowFirstColumn="0" w:firstRowLastColumn="0" w:lastRowFirstColumn="0" w:lastRowLastColumn="0"/>
            <w:tcW w:w="8720" w:type="dxa"/>
            <w:gridSpan w:val="2"/>
            <w:hideMark/>
          </w:tcPr>
          <w:p w14:paraId="179D90F5" w14:textId="60A7BB80" w:rsidR="002C5362" w:rsidRDefault="002C5362" w:rsidP="00CF66A8">
            <w:pPr>
              <w:pStyle w:val="TableText"/>
              <w:spacing w:before="60" w:after="60"/>
              <w:rPr>
                <w:b/>
                <w:bCs/>
                <w:lang w:val="en-AU"/>
              </w:rPr>
            </w:pPr>
            <w:r>
              <w:rPr>
                <w:b/>
                <w:bCs/>
                <w:lang w:val="en-AU"/>
              </w:rPr>
              <w:t>Spikevax Bivalent Original/Omicron COVID-19 vaccine (provisional</w:t>
            </w:r>
          </w:p>
          <w:p w14:paraId="12CECF76" w14:textId="77777777" w:rsidR="002C5362" w:rsidRDefault="002C5362" w:rsidP="00CF66A8">
            <w:pPr>
              <w:pStyle w:val="TableText"/>
              <w:spacing w:before="60" w:after="60"/>
              <w:rPr>
                <w:lang w:val="en-AU"/>
              </w:rPr>
            </w:pPr>
            <w:r>
              <w:rPr>
                <w:lang w:val="en-AU"/>
              </w:rPr>
              <w:t xml:space="preserve">Active ingredients: elasomeran and </w:t>
            </w:r>
            <w:proofErr w:type="spellStart"/>
            <w:r>
              <w:rPr>
                <w:lang w:val="en-AU"/>
              </w:rPr>
              <w:t>imelasomeran</w:t>
            </w:r>
            <w:proofErr w:type="spellEnd"/>
            <w:r>
              <w:rPr>
                <w:lang w:val="en-AU"/>
              </w:rPr>
              <w:t xml:space="preserve"> (mRNA)</w:t>
            </w:r>
          </w:p>
          <w:p w14:paraId="22F9AE25" w14:textId="77777777" w:rsidR="002C5362" w:rsidRDefault="002C5362" w:rsidP="00CF66A8">
            <w:pPr>
              <w:pStyle w:val="TableText"/>
              <w:spacing w:before="60" w:after="60"/>
              <w:rPr>
                <w:lang w:val="en-AU"/>
              </w:rPr>
            </w:pPr>
            <w:r>
              <w:rPr>
                <w:lang w:val="en-AU"/>
              </w:rPr>
              <w:t>Sponsor: Moderna Australia Pty Ltd</w:t>
            </w:r>
          </w:p>
        </w:tc>
      </w:tr>
      <w:tr w:rsidR="002C5362" w14:paraId="6B50FF1A"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48BFB0C7" w14:textId="77777777" w:rsidR="002C5362" w:rsidRDefault="002C5362" w:rsidP="00CF66A8">
            <w:pPr>
              <w:pStyle w:val="TableText"/>
              <w:spacing w:before="60" w:after="60"/>
              <w:rPr>
                <w:lang w:val="en-AU"/>
              </w:rPr>
            </w:pPr>
            <w:r>
              <w:rPr>
                <w:lang w:val="en-AU"/>
              </w:rPr>
              <w:t>29 August 2022</w:t>
            </w:r>
          </w:p>
          <w:p w14:paraId="7CED996E" w14:textId="77777777" w:rsidR="002C5362" w:rsidRDefault="002C5362"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390" w:type="dxa"/>
            <w:hideMark/>
          </w:tcPr>
          <w:p w14:paraId="42241AAE" w14:textId="6E435693"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w:t>
            </w:r>
            <w:hyperlink r:id="rId41" w:history="1">
              <w:r>
                <w:rPr>
                  <w:rStyle w:val="Hyperlink"/>
                  <w:lang w:val="en-AU"/>
                </w:rPr>
                <w:t>AusPAR</w:t>
              </w:r>
            </w:hyperlink>
            <w:r>
              <w:rPr>
                <w:lang w:val="en-AU"/>
              </w:rPr>
              <w:t>)</w:t>
            </w:r>
          </w:p>
          <w:p w14:paraId="7E2059A7"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New product: 0.1 mg/mL suspension for injection. Each 0.5 mL dose contains 25 µg of elasomeran and 25 µg of </w:t>
            </w:r>
            <w:proofErr w:type="spellStart"/>
            <w:r>
              <w:rPr>
                <w:lang w:val="en-AU"/>
              </w:rPr>
              <w:t>imelasomeran</w:t>
            </w:r>
            <w:proofErr w:type="spellEnd"/>
          </w:p>
          <w:p w14:paraId="3A1C50B5"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389513</w:t>
            </w:r>
          </w:p>
        </w:tc>
      </w:tr>
      <w:tr w:rsidR="002C5362" w14:paraId="53F057EA" w14:textId="77777777" w:rsidTr="00CF66A8">
        <w:tc>
          <w:tcPr>
            <w:cnfStyle w:val="001000000000" w:firstRow="0" w:lastRow="0" w:firstColumn="1" w:lastColumn="0" w:oddVBand="0" w:evenVBand="0" w:oddHBand="0" w:evenHBand="0" w:firstRowFirstColumn="0" w:firstRowLastColumn="0" w:lastRowFirstColumn="0" w:lastRowLastColumn="0"/>
            <w:tcW w:w="8720" w:type="dxa"/>
            <w:gridSpan w:val="2"/>
            <w:hideMark/>
          </w:tcPr>
          <w:p w14:paraId="1D577000" w14:textId="77777777" w:rsidR="002C5362" w:rsidRDefault="002C5362" w:rsidP="00CF66A8">
            <w:pPr>
              <w:pStyle w:val="TableText"/>
              <w:spacing w:before="60" w:after="60"/>
              <w:rPr>
                <w:b/>
                <w:bCs/>
                <w:lang w:val="en-AU"/>
              </w:rPr>
            </w:pPr>
            <w:r>
              <w:rPr>
                <w:b/>
                <w:bCs/>
                <w:lang w:val="en-AU"/>
              </w:rPr>
              <w:t>Spikevax Bivalent Original/Omicron BA.4-5 COVID-19 vaccine</w:t>
            </w:r>
          </w:p>
          <w:p w14:paraId="3E7064AD" w14:textId="77777777" w:rsidR="002C5362" w:rsidRDefault="002C5362" w:rsidP="00CF66A8">
            <w:pPr>
              <w:pStyle w:val="TableText"/>
              <w:spacing w:before="60" w:after="60"/>
              <w:rPr>
                <w:lang w:val="en-AU"/>
              </w:rPr>
            </w:pPr>
            <w:r>
              <w:rPr>
                <w:lang w:val="en-AU"/>
              </w:rPr>
              <w:t>Active ingredients: elasomeran and davesomeran</w:t>
            </w:r>
          </w:p>
          <w:p w14:paraId="78D30EEB" w14:textId="77777777" w:rsidR="002C5362" w:rsidRDefault="002C5362" w:rsidP="00CF66A8">
            <w:pPr>
              <w:pStyle w:val="TableText"/>
              <w:spacing w:before="60" w:after="60"/>
              <w:rPr>
                <w:lang w:val="en-AU"/>
              </w:rPr>
            </w:pPr>
            <w:r>
              <w:rPr>
                <w:lang w:val="en-AU"/>
              </w:rPr>
              <w:t>Sponsor: Moderna Australia Pty Ltd</w:t>
            </w:r>
          </w:p>
        </w:tc>
      </w:tr>
      <w:tr w:rsidR="002C5362" w14:paraId="3046E3D3"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4669804D" w14:textId="77777777" w:rsidR="002C5362" w:rsidRDefault="002C5362" w:rsidP="00CF66A8">
            <w:pPr>
              <w:pStyle w:val="TableText"/>
              <w:spacing w:before="60" w:after="60"/>
              <w:rPr>
                <w:lang w:val="en-AU"/>
              </w:rPr>
            </w:pPr>
            <w:r>
              <w:rPr>
                <w:lang w:val="en-AU"/>
              </w:rPr>
              <w:t>20 February 2023</w:t>
            </w:r>
          </w:p>
          <w:p w14:paraId="586BF113" w14:textId="77777777" w:rsidR="002C5362" w:rsidRDefault="002C5362"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390" w:type="dxa"/>
            <w:hideMark/>
          </w:tcPr>
          <w:p w14:paraId="400C3D58" w14:textId="1BEE0C5F"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12 years and over (</w:t>
            </w:r>
            <w:hyperlink r:id="rId42" w:history="1">
              <w:r>
                <w:rPr>
                  <w:rStyle w:val="Hyperlink"/>
                  <w:lang w:val="en-AU"/>
                </w:rPr>
                <w:t>AusPAR</w:t>
              </w:r>
            </w:hyperlink>
            <w:r>
              <w:rPr>
                <w:lang w:val="en-AU"/>
              </w:rPr>
              <w:t>)</w:t>
            </w:r>
          </w:p>
          <w:p w14:paraId="309A31D6"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New product: 0.1 mg/mL suspension for injection. Each 0.5 mL dose contains 25 µg of elasomeran and 25 µg of davesomeran</w:t>
            </w:r>
          </w:p>
          <w:p w14:paraId="2676A28E"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399552</w:t>
            </w:r>
          </w:p>
        </w:tc>
      </w:tr>
      <w:tr w:rsidR="002C5362" w14:paraId="4DA76C74" w14:textId="77777777" w:rsidTr="00CF66A8">
        <w:tc>
          <w:tcPr>
            <w:cnfStyle w:val="001000000000" w:firstRow="0" w:lastRow="0" w:firstColumn="1" w:lastColumn="0" w:oddVBand="0" w:evenVBand="0" w:oddHBand="0" w:evenHBand="0" w:firstRowFirstColumn="0" w:firstRowLastColumn="0" w:lastRowFirstColumn="0" w:lastRowLastColumn="0"/>
            <w:tcW w:w="8720" w:type="dxa"/>
            <w:gridSpan w:val="2"/>
            <w:hideMark/>
          </w:tcPr>
          <w:p w14:paraId="2A9EDF02" w14:textId="77777777" w:rsidR="002C5362" w:rsidRDefault="002C5362" w:rsidP="00CF66A8">
            <w:pPr>
              <w:pStyle w:val="TableText"/>
              <w:spacing w:before="60" w:after="60"/>
              <w:rPr>
                <w:b/>
                <w:bCs/>
                <w:lang w:val="en-AU"/>
              </w:rPr>
            </w:pPr>
            <w:r>
              <w:rPr>
                <w:b/>
                <w:bCs/>
                <w:lang w:val="en-AU"/>
              </w:rPr>
              <w:t>Comirnaty Original/Omicron BA.1 COVID-19 vaccine</w:t>
            </w:r>
          </w:p>
          <w:p w14:paraId="2BDE22E6" w14:textId="77777777" w:rsidR="002C5362" w:rsidRDefault="002C5362" w:rsidP="00CF66A8">
            <w:pPr>
              <w:pStyle w:val="TableText"/>
              <w:spacing w:before="60" w:after="60"/>
              <w:rPr>
                <w:lang w:val="en-AU"/>
              </w:rPr>
            </w:pPr>
            <w:r>
              <w:rPr>
                <w:lang w:val="en-AU"/>
              </w:rPr>
              <w:t xml:space="preserve">Active ingredients: tozinameran and </w:t>
            </w:r>
            <w:proofErr w:type="spellStart"/>
            <w:r>
              <w:rPr>
                <w:lang w:val="en-AU"/>
              </w:rPr>
              <w:t>riltozinameran</w:t>
            </w:r>
            <w:proofErr w:type="spellEnd"/>
            <w:r>
              <w:rPr>
                <w:lang w:val="en-AU"/>
              </w:rPr>
              <w:t xml:space="preserve"> (mRNA)</w:t>
            </w:r>
          </w:p>
          <w:p w14:paraId="03ED9CDD" w14:textId="77777777" w:rsidR="002C5362" w:rsidRDefault="002C5362" w:rsidP="00CF66A8">
            <w:pPr>
              <w:pStyle w:val="TableText"/>
              <w:spacing w:before="60" w:after="60"/>
              <w:rPr>
                <w:lang w:val="en-AU"/>
              </w:rPr>
            </w:pPr>
            <w:r>
              <w:rPr>
                <w:lang w:val="en-AU"/>
              </w:rPr>
              <w:t>Sponsor: Pfizer Australia Pty Ltd</w:t>
            </w:r>
          </w:p>
        </w:tc>
      </w:tr>
      <w:tr w:rsidR="002C5362" w14:paraId="01F25C9D"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2AF87163" w14:textId="77777777" w:rsidR="002C5362" w:rsidRDefault="002C5362" w:rsidP="00CF66A8">
            <w:pPr>
              <w:pStyle w:val="TableText"/>
              <w:spacing w:before="60" w:after="60"/>
              <w:rPr>
                <w:lang w:val="en-AU"/>
              </w:rPr>
            </w:pPr>
            <w:r>
              <w:rPr>
                <w:lang w:val="en-AU"/>
              </w:rPr>
              <w:t>28 October 2022</w:t>
            </w:r>
          </w:p>
          <w:p w14:paraId="1822B53D" w14:textId="77777777" w:rsidR="002C5362" w:rsidRDefault="002C5362"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390" w:type="dxa"/>
            <w:hideMark/>
          </w:tcPr>
          <w:p w14:paraId="068FA993" w14:textId="18A86780"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18 years and over (</w:t>
            </w:r>
            <w:hyperlink r:id="rId43" w:history="1">
              <w:r>
                <w:rPr>
                  <w:rStyle w:val="Hyperlink"/>
                  <w:lang w:val="en-AU"/>
                </w:rPr>
                <w:t>AusPAR</w:t>
              </w:r>
            </w:hyperlink>
            <w:r>
              <w:rPr>
                <w:lang w:val="en-AU"/>
              </w:rPr>
              <w:t>)</w:t>
            </w:r>
          </w:p>
          <w:p w14:paraId="506919A9"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New Product: 30 µg/0.3 mL suspension for injection. Each 0.3 mL dose contains 15 µg of tozinameran and 15 µg of </w:t>
            </w:r>
            <w:proofErr w:type="spellStart"/>
            <w:r>
              <w:rPr>
                <w:lang w:val="en-AU"/>
              </w:rPr>
              <w:t>riltozinameran</w:t>
            </w:r>
            <w:proofErr w:type="spellEnd"/>
          </w:p>
          <w:p w14:paraId="6B0A3724"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394890</w:t>
            </w:r>
          </w:p>
        </w:tc>
      </w:tr>
      <w:tr w:rsidR="002C5362" w14:paraId="6E33C119" w14:textId="77777777" w:rsidTr="00CF66A8">
        <w:tc>
          <w:tcPr>
            <w:cnfStyle w:val="001000000000" w:firstRow="0" w:lastRow="0" w:firstColumn="1" w:lastColumn="0" w:oddVBand="0" w:evenVBand="0" w:oddHBand="0" w:evenHBand="0" w:firstRowFirstColumn="0" w:firstRowLastColumn="0" w:lastRowFirstColumn="0" w:lastRowLastColumn="0"/>
            <w:tcW w:w="8720" w:type="dxa"/>
            <w:gridSpan w:val="2"/>
            <w:hideMark/>
          </w:tcPr>
          <w:p w14:paraId="49D7A251" w14:textId="77777777" w:rsidR="002C5362" w:rsidRDefault="002C5362" w:rsidP="00CF66A8">
            <w:pPr>
              <w:pStyle w:val="TableText"/>
              <w:spacing w:before="60" w:after="60"/>
              <w:rPr>
                <w:b/>
                <w:bCs/>
                <w:lang w:val="en-AU"/>
              </w:rPr>
            </w:pPr>
            <w:r>
              <w:rPr>
                <w:b/>
                <w:bCs/>
                <w:lang w:val="en-AU"/>
              </w:rPr>
              <w:t>Comirnaty Original/Omicron BA.4-5 COVID-19 vaccine</w:t>
            </w:r>
          </w:p>
          <w:p w14:paraId="707AC881" w14:textId="77777777" w:rsidR="002C5362" w:rsidRDefault="002C5362" w:rsidP="00CF66A8">
            <w:pPr>
              <w:pStyle w:val="TableText"/>
              <w:spacing w:before="60" w:after="60"/>
              <w:rPr>
                <w:lang w:val="en-AU"/>
              </w:rPr>
            </w:pPr>
            <w:r>
              <w:rPr>
                <w:lang w:val="en-AU"/>
              </w:rPr>
              <w:t xml:space="preserve">Active ingredients: tozinameran and </w:t>
            </w:r>
            <w:proofErr w:type="spellStart"/>
            <w:r>
              <w:rPr>
                <w:lang w:val="en-AU"/>
              </w:rPr>
              <w:t>famtozinameran</w:t>
            </w:r>
            <w:proofErr w:type="spellEnd"/>
            <w:r>
              <w:rPr>
                <w:lang w:val="en-AU"/>
              </w:rPr>
              <w:t xml:space="preserve"> (mRNA)</w:t>
            </w:r>
          </w:p>
          <w:p w14:paraId="316AEDDB" w14:textId="77777777" w:rsidR="002C5362" w:rsidRDefault="002C5362" w:rsidP="00CF66A8">
            <w:pPr>
              <w:pStyle w:val="TableText"/>
              <w:spacing w:before="60" w:after="60"/>
              <w:rPr>
                <w:lang w:val="en-AU"/>
              </w:rPr>
            </w:pPr>
            <w:r>
              <w:rPr>
                <w:lang w:val="en-AU"/>
              </w:rPr>
              <w:t>Sponsor: Pfizer Australia Pty Ltd</w:t>
            </w:r>
          </w:p>
        </w:tc>
      </w:tr>
      <w:tr w:rsidR="002C5362" w14:paraId="3522BE26" w14:textId="77777777" w:rsidTr="00CF66A8">
        <w:tc>
          <w:tcPr>
            <w:cnfStyle w:val="001000000000" w:firstRow="0" w:lastRow="0" w:firstColumn="1" w:lastColumn="0" w:oddVBand="0" w:evenVBand="0" w:oddHBand="0" w:evenHBand="0" w:firstRowFirstColumn="0" w:firstRowLastColumn="0" w:lastRowFirstColumn="0" w:lastRowLastColumn="0"/>
            <w:tcW w:w="2330" w:type="dxa"/>
            <w:hideMark/>
          </w:tcPr>
          <w:p w14:paraId="5283D46B" w14:textId="77777777" w:rsidR="002C5362" w:rsidRDefault="002C5362" w:rsidP="00CF66A8">
            <w:pPr>
              <w:pStyle w:val="TableText"/>
              <w:spacing w:before="60" w:after="60"/>
              <w:rPr>
                <w:lang w:val="en-AU"/>
              </w:rPr>
            </w:pPr>
            <w:r>
              <w:rPr>
                <w:lang w:val="en-AU"/>
              </w:rPr>
              <w:t>20 January 2023</w:t>
            </w:r>
          </w:p>
          <w:p w14:paraId="2678DBEC" w14:textId="77777777" w:rsidR="002C5362" w:rsidRDefault="002C5362" w:rsidP="00CF66A8">
            <w:pPr>
              <w:pStyle w:val="TableText"/>
              <w:spacing w:before="60" w:after="60"/>
              <w:rPr>
                <w:lang w:val="en-AU"/>
              </w:rPr>
            </w:pPr>
            <w:r>
              <w:rPr>
                <w:lang w:val="en-AU"/>
              </w:rPr>
              <w:t>(</w:t>
            </w:r>
            <w:proofErr w:type="gramStart"/>
            <w:r>
              <w:rPr>
                <w:lang w:val="en-AU"/>
              </w:rPr>
              <w:t>initial</w:t>
            </w:r>
            <w:proofErr w:type="gramEnd"/>
            <w:r>
              <w:rPr>
                <w:lang w:val="en-AU"/>
              </w:rPr>
              <w:t xml:space="preserve"> registration)</w:t>
            </w:r>
          </w:p>
        </w:tc>
        <w:tc>
          <w:tcPr>
            <w:tcW w:w="6390" w:type="dxa"/>
            <w:hideMark/>
          </w:tcPr>
          <w:p w14:paraId="0599B86A" w14:textId="3DA41FA2"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Booster dose: for individuals aged 12 years and over (</w:t>
            </w:r>
            <w:hyperlink r:id="rId44" w:history="1">
              <w:r>
                <w:rPr>
                  <w:rStyle w:val="Hyperlink"/>
                  <w:lang w:val="en-AU"/>
                </w:rPr>
                <w:t>AusPAR</w:t>
              </w:r>
            </w:hyperlink>
            <w:r>
              <w:rPr>
                <w:lang w:val="en-AU"/>
              </w:rPr>
              <w:t>)</w:t>
            </w:r>
          </w:p>
          <w:p w14:paraId="75447F84"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New Product: 30 µg/0.3 mL suspension for injection. Each 0.3 mL dose contains 15 µg of tozinameran and 15 µg of </w:t>
            </w:r>
            <w:proofErr w:type="spellStart"/>
            <w:r>
              <w:rPr>
                <w:lang w:val="en-AU"/>
              </w:rPr>
              <w:t>famtozinameran</w:t>
            </w:r>
            <w:proofErr w:type="spellEnd"/>
          </w:p>
          <w:p w14:paraId="5FDCCFF4" w14:textId="77777777" w:rsidR="002C5362" w:rsidRDefault="002C5362" w:rsidP="00CF66A8">
            <w:pPr>
              <w:pStyle w:val="TableText"/>
              <w:spacing w:before="60" w:after="60"/>
              <w:cnfStyle w:val="000000000000" w:firstRow="0" w:lastRow="0" w:firstColumn="0" w:lastColumn="0" w:oddVBand="0" w:evenVBand="0" w:oddHBand="0" w:evenHBand="0" w:firstRowFirstColumn="0" w:firstRowLastColumn="0" w:lastRowFirstColumn="0" w:lastRowLastColumn="0"/>
              <w:rPr>
                <w:lang w:val="en-AU"/>
              </w:rPr>
            </w:pPr>
            <w:r>
              <w:rPr>
                <w:lang w:val="en-AU"/>
              </w:rPr>
              <w:t>ARTG number: 400874</w:t>
            </w:r>
          </w:p>
        </w:tc>
      </w:tr>
    </w:tbl>
    <w:p w14:paraId="10E590F9" w14:textId="77777777" w:rsidR="002C5362" w:rsidRDefault="002C5362" w:rsidP="002C5362">
      <w:pPr>
        <w:pStyle w:val="TableDescription"/>
      </w:pPr>
      <w:r>
        <w:t>Abbreviations: AusPAR = Australian Public Assessment Report; ARTG = Australian Register of Therapeutic Goods; COVID-19 = coronavirus disease 2019; mRNA = messenger ribonucleic acid; TGA = Therapeutic Goods Administration.</w:t>
      </w:r>
    </w:p>
    <w:p w14:paraId="03CA9512" w14:textId="1005A36F" w:rsidR="002C5362" w:rsidRDefault="004F1F0E" w:rsidP="00CF66A8">
      <w:pPr>
        <w:pStyle w:val="Heading5"/>
      </w:pPr>
      <w:r>
        <w:t>Comirnaty (tozinameran) COVID-19 vaccine</w:t>
      </w:r>
    </w:p>
    <w:p w14:paraId="7FEF9ED6" w14:textId="51E98BC6" w:rsidR="004F1F0E" w:rsidRDefault="004F1F0E" w:rsidP="004F1F0E">
      <w:r>
        <w:t>S</w:t>
      </w:r>
      <w:r w:rsidRPr="004C038C">
        <w:t>evere acute respiratory syndrome coronavirus 2</w:t>
      </w:r>
      <w:r>
        <w:t xml:space="preserve"> </w:t>
      </w:r>
      <w:r w:rsidRPr="00673FB8">
        <w:t>(SARS-CoV-2)</w:t>
      </w:r>
      <w:r w:rsidRPr="00D3609A">
        <w:t xml:space="preserve"> continues to cause substantial morbidity and mortality globally. This is despite the widespread availability of effective vaccination. Vaccine effectiveness wanes over time necessitating further doses be administered.</w:t>
      </w:r>
    </w:p>
    <w:p w14:paraId="70A35950" w14:textId="4FF187B2" w:rsidR="004F1F0E" w:rsidRPr="00D3609A" w:rsidRDefault="004F1F0E" w:rsidP="004F1F0E">
      <w:r w:rsidRPr="00D3609A">
        <w:lastRenderedPageBreak/>
        <w:t>Real</w:t>
      </w:r>
      <w:r>
        <w:t>-</w:t>
      </w:r>
      <w:r w:rsidRPr="00D3609A">
        <w:t xml:space="preserve">world data </w:t>
      </w:r>
      <w:r>
        <w:t>including data from the United States of America (USA);</w:t>
      </w:r>
      <w:bookmarkStart w:id="23" w:name="_Ref138145227"/>
      <w:r>
        <w:rPr>
          <w:rStyle w:val="FootnoteReference"/>
        </w:rPr>
        <w:footnoteReference w:id="9"/>
      </w:r>
      <w:bookmarkEnd w:id="23"/>
      <w:r>
        <w:t xml:space="preserve"> Sweden;</w:t>
      </w:r>
      <w:bookmarkStart w:id="24" w:name="_Ref138145250"/>
      <w:r>
        <w:rPr>
          <w:rStyle w:val="FootnoteReference"/>
        </w:rPr>
        <w:footnoteReference w:id="10"/>
      </w:r>
      <w:bookmarkEnd w:id="24"/>
      <w:r>
        <w:t xml:space="preserve"> Canada;</w:t>
      </w:r>
      <w:bookmarkStart w:id="25" w:name="_Ref138145241"/>
      <w:r>
        <w:rPr>
          <w:rStyle w:val="FootnoteReference"/>
        </w:rPr>
        <w:footnoteReference w:id="11"/>
      </w:r>
      <w:bookmarkEnd w:id="25"/>
      <w:r>
        <w:t xml:space="preserve"> and Israel;</w:t>
      </w:r>
      <w:bookmarkStart w:id="26" w:name="_Ref138145274"/>
      <w:r>
        <w:rPr>
          <w:rStyle w:val="FootnoteReference"/>
        </w:rPr>
        <w:footnoteReference w:id="12"/>
      </w:r>
      <w:bookmarkEnd w:id="26"/>
      <w:r>
        <w:rPr>
          <w:vertAlign w:val="superscript"/>
        </w:rPr>
        <w:t>,</w:t>
      </w:r>
      <w:bookmarkStart w:id="27" w:name="_Ref138145281"/>
      <w:r>
        <w:rPr>
          <w:rStyle w:val="FootnoteReference"/>
        </w:rPr>
        <w:footnoteReference w:id="13"/>
      </w:r>
      <w:bookmarkEnd w:id="27"/>
      <w:r>
        <w:t xml:space="preserve"> </w:t>
      </w:r>
      <w:r w:rsidRPr="00D3609A">
        <w:t xml:space="preserve">have shown that after the initial booster dose of </w:t>
      </w:r>
      <w:r>
        <w:t xml:space="preserve">Comirnaty (also referred to as </w:t>
      </w:r>
      <w:r w:rsidRPr="00D3609A">
        <w:t>BNT162b2</w:t>
      </w:r>
      <w:r>
        <w:t>)</w:t>
      </w:r>
      <w:r w:rsidRPr="00D3609A">
        <w:t>, in the presence of the now</w:t>
      </w:r>
      <w:r>
        <w:t xml:space="preserve"> </w:t>
      </w:r>
      <w:r w:rsidRPr="00D3609A">
        <w:t>predominant Omicron variant, vaccine effectiveness against symptomatic COVID-19 is lower and wanes more quickly post</w:t>
      </w:r>
      <w:r>
        <w:t xml:space="preserve"> </w:t>
      </w:r>
      <w:r w:rsidRPr="00D3609A">
        <w:t>Dose 3 compared to prior variants. This underscores the need and potential benefit of an additional booster.</w:t>
      </w:r>
    </w:p>
    <w:p w14:paraId="32FB1A2F" w14:textId="1D75666A" w:rsidR="004F1F0E" w:rsidRPr="002C5362" w:rsidRDefault="004F1F0E">
      <w:r w:rsidRPr="00D3609A">
        <w:t>C</w:t>
      </w:r>
      <w:r>
        <w:t>omirnaty</w:t>
      </w:r>
      <w:r w:rsidRPr="00D3609A">
        <w:t xml:space="preserve"> is a vaccine containing mRNA embedded in lipid nanoparticles that belongs to </w:t>
      </w:r>
      <w:r>
        <w:t xml:space="preserve">World Health Organisation Anatomical Therapeutic </w:t>
      </w:r>
      <w:r w:rsidRPr="00673FB8">
        <w:t>Chemical (ATC)</w:t>
      </w:r>
      <w:r w:rsidRPr="00D3609A">
        <w:t xml:space="preserve"> drug class J07 (vaccines), ATC code J07BX03 (COVID-19 vaccines). It induces active immunity to the spike protein of SARS</w:t>
      </w:r>
      <w:r>
        <w:noBreakHyphen/>
      </w:r>
      <w:r w:rsidRPr="00D3609A">
        <w:t>CoV-2, which is the causative agent of COVID-19.</w:t>
      </w:r>
    </w:p>
    <w:p w14:paraId="3AE221D1" w14:textId="2E485646" w:rsidR="00D3609A" w:rsidRDefault="00D3609A" w:rsidP="00D3609A">
      <w:r w:rsidRPr="00D3609A">
        <w:t>C</w:t>
      </w:r>
      <w:r>
        <w:t>omirnaty</w:t>
      </w:r>
      <w:r w:rsidRPr="00D3609A">
        <w:t xml:space="preserve"> has provisional approval in Australia for the following indication:</w:t>
      </w:r>
      <w:r w:rsidR="00E849F1">
        <w:fldChar w:fldCharType="begin"/>
      </w:r>
      <w:r w:rsidR="00E849F1">
        <w:instrText xml:space="preserve"> NOTEREF _Ref144374998 \f \h </w:instrText>
      </w:r>
      <w:r w:rsidR="00E849F1">
        <w:fldChar w:fldCharType="separate"/>
      </w:r>
      <w:r w:rsidR="00237257" w:rsidRPr="00237257">
        <w:rPr>
          <w:rStyle w:val="FootnoteReference"/>
        </w:rPr>
        <w:t>1</w:t>
      </w:r>
      <w:r w:rsidR="00E849F1">
        <w:fldChar w:fldCharType="end"/>
      </w:r>
    </w:p>
    <w:p w14:paraId="3B983A31" w14:textId="43F6D7A3" w:rsidR="00D3609A" w:rsidRPr="00D3609A" w:rsidRDefault="00D3609A" w:rsidP="00D3609A">
      <w:pPr>
        <w:ind w:left="720"/>
        <w:rPr>
          <w:i/>
          <w:iCs/>
        </w:rPr>
      </w:pPr>
      <w:r w:rsidRPr="00D3609A">
        <w:rPr>
          <w:i/>
          <w:iCs/>
        </w:rPr>
        <w:t>Active immunisation to prevent coronavirus disease 2019 (COVID-19) caused by SARS</w:t>
      </w:r>
      <w:r>
        <w:rPr>
          <w:i/>
          <w:iCs/>
        </w:rPr>
        <w:noBreakHyphen/>
      </w:r>
      <w:r w:rsidRPr="00D3609A">
        <w:rPr>
          <w:i/>
          <w:iCs/>
        </w:rPr>
        <w:t>CoV</w:t>
      </w:r>
      <w:r>
        <w:rPr>
          <w:i/>
          <w:iCs/>
        </w:rPr>
        <w:noBreakHyphen/>
      </w:r>
      <w:r w:rsidRPr="00D3609A">
        <w:rPr>
          <w:i/>
          <w:iCs/>
        </w:rPr>
        <w:t>2 in individuals 6 months of age and older.</w:t>
      </w:r>
    </w:p>
    <w:p w14:paraId="34B2096E" w14:textId="6BE6C1A1" w:rsidR="00D3609A" w:rsidRPr="00D3609A" w:rsidRDefault="00D3609A" w:rsidP="00D3609A">
      <w:pPr>
        <w:ind w:left="720"/>
        <w:rPr>
          <w:i/>
          <w:iCs/>
        </w:rPr>
      </w:pPr>
      <w:r w:rsidRPr="00D3609A">
        <w:rPr>
          <w:i/>
          <w:iCs/>
        </w:rPr>
        <w:t>The use of this vaccine should be in accordance with official recommendations.</w:t>
      </w:r>
    </w:p>
    <w:p w14:paraId="0E9F3AD9" w14:textId="4D99BADF" w:rsidR="00D3609A" w:rsidRDefault="00D3609A" w:rsidP="00D3609A">
      <w:pPr>
        <w:ind w:left="720"/>
        <w:rPr>
          <w:i/>
          <w:iCs/>
        </w:rPr>
      </w:pPr>
      <w:r w:rsidRPr="00D3609A">
        <w:rPr>
          <w:i/>
          <w:iCs/>
        </w:rPr>
        <w:t xml:space="preserve">The decision has been made on the basis of </w:t>
      </w:r>
      <w:proofErr w:type="gramStart"/>
      <w:r w:rsidRPr="00D3609A">
        <w:rPr>
          <w:i/>
          <w:iCs/>
        </w:rPr>
        <w:t>short term</w:t>
      </w:r>
      <w:proofErr w:type="gramEnd"/>
      <w:r w:rsidRPr="00D3609A">
        <w:rPr>
          <w:i/>
          <w:iCs/>
        </w:rPr>
        <w:t xml:space="preserve"> efficacy and safety data. Continued approval depends on the evidence of </w:t>
      </w:r>
      <w:proofErr w:type="gramStart"/>
      <w:r w:rsidRPr="00D3609A">
        <w:rPr>
          <w:i/>
          <w:iCs/>
        </w:rPr>
        <w:t>longer term</w:t>
      </w:r>
      <w:proofErr w:type="gramEnd"/>
      <w:r w:rsidRPr="00D3609A">
        <w:rPr>
          <w:i/>
          <w:iCs/>
        </w:rPr>
        <w:t xml:space="preserve"> efficacy and safety from ongoing clinical trials and post-market assessment.</w:t>
      </w:r>
    </w:p>
    <w:p w14:paraId="37C802EF" w14:textId="2C2A6A02" w:rsidR="00863274" w:rsidRDefault="00D3609A" w:rsidP="00D3609A">
      <w:r w:rsidRPr="00D3609A">
        <w:t xml:space="preserve">This submission seeks approval for individuals 12 </w:t>
      </w:r>
      <w:r>
        <w:t>year of age or older</w:t>
      </w:r>
      <w:r w:rsidRPr="00D3609A">
        <w:t xml:space="preserve"> to receive an additional booster dose (Dose 4) of </w:t>
      </w:r>
      <w:r w:rsidR="00863274">
        <w:t>Comirnaty (tozinameran) COVID-19 vaccine (that is, a second booster vaccine.</w:t>
      </w:r>
    </w:p>
    <w:p w14:paraId="1DA2CB2A" w14:textId="5AD4AE2A" w:rsidR="00D3609A" w:rsidRDefault="00D3609A" w:rsidP="00D3609A">
      <w:r w:rsidRPr="00D3609A">
        <w:t>This is supported by Study</w:t>
      </w:r>
      <w:r w:rsidR="00C56D8A">
        <w:t> </w:t>
      </w:r>
      <w:r w:rsidRPr="00D3609A">
        <w:t xml:space="preserve">C4591031, a Phase </w:t>
      </w:r>
      <w:r>
        <w:t>III</w:t>
      </w:r>
      <w:r w:rsidRPr="00D3609A">
        <w:t xml:space="preserve"> master study evaluating BNT162b2 boosting strategies in healthy individuals previously vaccinated with BNT162b2.</w:t>
      </w:r>
    </w:p>
    <w:p w14:paraId="5C657CE6" w14:textId="14AE9A68" w:rsidR="005B5EAF" w:rsidRDefault="005B5EAF" w:rsidP="005B5EAF">
      <w:pPr>
        <w:spacing w:before="240"/>
      </w:pPr>
      <w:r w:rsidRPr="00D3609A">
        <w:t>This submission also included proposed changes to the P</w:t>
      </w:r>
      <w:r>
        <w:t>roduct Information (PI; see</w:t>
      </w:r>
      <w:r w:rsidR="00F128A8">
        <w:t xml:space="preserve"> </w:t>
      </w:r>
      <w:r w:rsidR="00F128A8">
        <w:fldChar w:fldCharType="begin"/>
      </w:r>
      <w:r w:rsidR="00F128A8">
        <w:instrText xml:space="preserve"> REF _Ref138145740 \h </w:instrText>
      </w:r>
      <w:r w:rsidR="00F128A8">
        <w:fldChar w:fldCharType="separate"/>
      </w:r>
      <w:r w:rsidR="00237257" w:rsidRPr="00D3609A">
        <w:t xml:space="preserve">Table </w:t>
      </w:r>
      <w:r w:rsidR="00237257">
        <w:rPr>
          <w:noProof/>
        </w:rPr>
        <w:t>3</w:t>
      </w:r>
      <w:r w:rsidR="00F128A8">
        <w:fldChar w:fldCharType="end"/>
      </w:r>
      <w:r>
        <w:t>) to reflect the proposed change in dosage regimen.</w:t>
      </w:r>
    </w:p>
    <w:p w14:paraId="7DBD7E62" w14:textId="698E26FF" w:rsidR="005B5EAF" w:rsidRDefault="005B5EAF" w:rsidP="005B5EAF">
      <w:pPr>
        <w:pStyle w:val="TableTitle"/>
      </w:pPr>
      <w:bookmarkStart w:id="28" w:name="_Ref138145740"/>
      <w:r w:rsidRPr="00D3609A">
        <w:lastRenderedPageBreak/>
        <w:t xml:space="preserve">Table </w:t>
      </w:r>
      <w:fldSimple w:instr=" SEQ Table \* ARABIC ">
        <w:r w:rsidR="00237257">
          <w:rPr>
            <w:noProof/>
          </w:rPr>
          <w:t>3</w:t>
        </w:r>
      </w:fldSimple>
      <w:bookmarkEnd w:id="28"/>
      <w:r w:rsidRPr="00D3609A">
        <w:t xml:space="preserve">: Proposed </w:t>
      </w:r>
      <w:r>
        <w:t>changes to the Product Information</w:t>
      </w:r>
    </w:p>
    <w:tbl>
      <w:tblPr>
        <w:tblStyle w:val="TableTGAblue2023"/>
        <w:tblW w:w="0" w:type="auto"/>
        <w:tblLook w:val="04A0" w:firstRow="1" w:lastRow="0" w:firstColumn="1" w:lastColumn="0" w:noHBand="0" w:noVBand="1"/>
      </w:tblPr>
      <w:tblGrid>
        <w:gridCol w:w="9060"/>
      </w:tblGrid>
      <w:tr w:rsidR="005B5EAF" w14:paraId="31E292EE" w14:textId="77777777" w:rsidTr="008D0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9A674FA" w14:textId="77777777" w:rsidR="005B5EAF" w:rsidRPr="008D030D" w:rsidRDefault="005B5EAF" w:rsidP="00684286">
            <w:pPr>
              <w:rPr>
                <w:b w:val="0"/>
              </w:rPr>
            </w:pPr>
            <w:r w:rsidRPr="008D030D">
              <w:t xml:space="preserve">Booster dose in individuals 12 years of age and </w:t>
            </w:r>
            <w:r w:rsidRPr="00F32401">
              <w:t>older</w:t>
            </w:r>
          </w:p>
        </w:tc>
      </w:tr>
      <w:tr w:rsidR="005B5EAF" w14:paraId="2E996CBF" w14:textId="77777777" w:rsidTr="008D030D">
        <w:tc>
          <w:tcPr>
            <w:cnfStyle w:val="001000000000" w:firstRow="0" w:lastRow="0" w:firstColumn="1" w:lastColumn="0" w:oddVBand="0" w:evenVBand="0" w:oddHBand="0" w:evenHBand="0" w:firstRowFirstColumn="0" w:firstRowLastColumn="0" w:lastRowFirstColumn="0" w:lastRowLastColumn="0"/>
            <w:tcW w:w="9060" w:type="dxa"/>
          </w:tcPr>
          <w:p w14:paraId="5C2B94D1" w14:textId="77777777" w:rsidR="005B5EAF" w:rsidRPr="008D030D" w:rsidRDefault="005B5EAF" w:rsidP="00684286">
            <w:r w:rsidRPr="008D030D">
              <w:t xml:space="preserve">A booster dose of Comirnaty Ready </w:t>
            </w:r>
            <w:proofErr w:type="gramStart"/>
            <w:r w:rsidRPr="008D030D">
              <w:t>To</w:t>
            </w:r>
            <w:proofErr w:type="gramEnd"/>
            <w:r w:rsidRPr="008D030D">
              <w:t xml:space="preserve"> Use Multidose (For Age 12 Years and Above, Do Not Dilute) may be administered intramuscularly at least 6 months after the completion of COVID-19 vaccine primary series in individuals 12 years of age and older.</w:t>
            </w:r>
          </w:p>
          <w:p w14:paraId="0EF90665" w14:textId="77777777" w:rsidR="005B5EAF" w:rsidRDefault="005B5EAF" w:rsidP="00684286">
            <w:r>
              <w:t xml:space="preserve">Subsequent doses of Comirnaty Ready </w:t>
            </w:r>
            <w:proofErr w:type="gramStart"/>
            <w:r>
              <w:t>To</w:t>
            </w:r>
            <w:proofErr w:type="gramEnd"/>
            <w:r>
              <w:t xml:space="preserve"> Use Multidose (For Age 12 Years and Above, Do Not Dilute) may be administered to individuals 12 years of age and older at least 4 months after a previous booster dose of Comirnaty</w:t>
            </w:r>
          </w:p>
          <w:p w14:paraId="02771CD3" w14:textId="77777777" w:rsidR="005B5EAF" w:rsidRPr="008D030D" w:rsidRDefault="005B5EAF" w:rsidP="00684286">
            <w:r w:rsidRPr="008D030D">
              <w:t xml:space="preserve">The decision when and for whom to implement a booster dose of Comirnaty Ready </w:t>
            </w:r>
            <w:proofErr w:type="gramStart"/>
            <w:r w:rsidRPr="008D030D">
              <w:t>To</w:t>
            </w:r>
            <w:proofErr w:type="gramEnd"/>
            <w:r w:rsidRPr="008D030D">
              <w:t xml:space="preserve"> Use Multidose (For Age 12 Years and Above, Do Not Dilute) should be made based on available vaccine safety and effectiveness data (see Sections 4.4 Special warnings and precautions for use and 5.1 Pharmacodynamic properties), in accordance with official recommendations.</w:t>
            </w:r>
          </w:p>
        </w:tc>
      </w:tr>
    </w:tbl>
    <w:p w14:paraId="2CD753AE" w14:textId="28AFEC01" w:rsidR="005B5EAF" w:rsidRDefault="005B5EAF" w:rsidP="00CF66A8">
      <w:pPr>
        <w:pStyle w:val="TableDescription"/>
      </w:pPr>
      <w:r>
        <w:t>The sponsor proposes to amend the Product Information, as shown by the text in bold font.</w:t>
      </w:r>
    </w:p>
    <w:p w14:paraId="4C1C6CD1" w14:textId="734ED1CE" w:rsidR="003B39BC" w:rsidRPr="00AE037B" w:rsidRDefault="003B39BC">
      <w:r w:rsidRPr="00AE037B">
        <w:t>Comirnaty (tozinameran) COVID-19 vaccine is currently</w:t>
      </w:r>
      <w:r w:rsidR="00E849F1">
        <w:t xml:space="preserve"> provisionall</w:t>
      </w:r>
      <w:r w:rsidR="00237257">
        <w:t xml:space="preserve">y </w:t>
      </w:r>
      <w:r w:rsidRPr="00AE037B">
        <w:t>registered in several different formulations indicated for populations of different ages requiring different doses.</w:t>
      </w:r>
      <w:r w:rsidR="00E849F1">
        <w:fldChar w:fldCharType="begin"/>
      </w:r>
      <w:r w:rsidR="00E849F1">
        <w:instrText xml:space="preserve"> NOTEREF _Ref144374998 \f \h </w:instrText>
      </w:r>
      <w:r w:rsidR="00E849F1">
        <w:fldChar w:fldCharType="separate"/>
      </w:r>
      <w:r w:rsidR="00237257" w:rsidRPr="00237257">
        <w:rPr>
          <w:rStyle w:val="FootnoteReference"/>
        </w:rPr>
        <w:t>1</w:t>
      </w:r>
      <w:r w:rsidR="00E849F1">
        <w:fldChar w:fldCharType="end"/>
      </w:r>
      <w:r w:rsidRPr="00AE037B">
        <w:t xml:space="preserve"> These are presented in </w:t>
      </w:r>
      <w:r w:rsidRPr="00D86759">
        <w:fldChar w:fldCharType="begin"/>
      </w:r>
      <w:r w:rsidRPr="00AE037B">
        <w:instrText xml:space="preserve"> REF _Ref136940699 \h </w:instrText>
      </w:r>
      <w:r w:rsidRPr="00D86759">
        <w:fldChar w:fldCharType="separate"/>
      </w:r>
      <w:r w:rsidR="00237257">
        <w:t xml:space="preserve">Table </w:t>
      </w:r>
      <w:r w:rsidR="00237257">
        <w:rPr>
          <w:noProof/>
        </w:rPr>
        <w:t>4</w:t>
      </w:r>
      <w:r w:rsidRPr="00D86759">
        <w:fldChar w:fldCharType="end"/>
      </w:r>
      <w:r w:rsidR="005D0961" w:rsidRPr="00AE037B">
        <w:t xml:space="preserve"> and </w:t>
      </w:r>
      <w:r w:rsidR="005D0961" w:rsidRPr="00D86759">
        <w:fldChar w:fldCharType="begin"/>
      </w:r>
      <w:r w:rsidR="005D0961" w:rsidRPr="00AE037B">
        <w:instrText xml:space="preserve"> REF _Ref137650406 \h </w:instrText>
      </w:r>
      <w:r w:rsidR="005D0961" w:rsidRPr="00D86759">
        <w:fldChar w:fldCharType="separate"/>
      </w:r>
      <w:r w:rsidR="00237257">
        <w:t xml:space="preserve">Table </w:t>
      </w:r>
      <w:r w:rsidR="00237257">
        <w:rPr>
          <w:noProof/>
        </w:rPr>
        <w:t>5</w:t>
      </w:r>
      <w:r w:rsidR="005D0961" w:rsidRPr="00D86759">
        <w:fldChar w:fldCharType="end"/>
      </w:r>
      <w:r w:rsidR="002E74E6">
        <w:t>, below</w:t>
      </w:r>
      <w:r w:rsidR="005D0961" w:rsidRPr="00AE037B">
        <w:t xml:space="preserve">. Note that the proposed change to dosage regimen applies only to those aged 12 years and older, and the </w:t>
      </w:r>
      <w:r w:rsidR="005D0961" w:rsidRPr="00CF66A8">
        <w:t xml:space="preserve">30 </w:t>
      </w:r>
      <w:r w:rsidR="005D0961" w:rsidRPr="00CF66A8">
        <w:sym w:font="Symbol" w:char="F06D"/>
      </w:r>
      <w:r w:rsidR="005D0961" w:rsidRPr="00CF66A8">
        <w:t>g/ 0.3mL strength presentations</w:t>
      </w:r>
      <w:r w:rsidR="00AE037B">
        <w:t xml:space="preserve"> that are approved in this age group</w:t>
      </w:r>
      <w:r w:rsidR="005D0961" w:rsidRPr="00CF66A8">
        <w:t xml:space="preserve">. The Comirnaty 10 </w:t>
      </w:r>
      <w:r w:rsidR="005D0961" w:rsidRPr="00CF66A8">
        <w:sym w:font="Symbol" w:char="F06D"/>
      </w:r>
      <w:r w:rsidR="005D0961" w:rsidRPr="00CF66A8">
        <w:t xml:space="preserve">g/ 0.2 mL strength presentation (for individuals from 5 to less than 12 years of age) and 3 </w:t>
      </w:r>
      <w:r w:rsidR="005D0961" w:rsidRPr="00CF66A8">
        <w:sym w:font="Symbol" w:char="F06D"/>
      </w:r>
      <w:r w:rsidR="005D0961" w:rsidRPr="00CF66A8">
        <w:t>g/ 0.2 mL strength presentation (for individuals from 6 months to less than 5 years of age) are unaffected by the proposed changes to dosage regimen.</w:t>
      </w:r>
    </w:p>
    <w:p w14:paraId="4AAC1512" w14:textId="28A13DB7" w:rsidR="00D3609A" w:rsidRDefault="00D3609A" w:rsidP="00D3609A">
      <w:pPr>
        <w:pStyle w:val="TableTitle"/>
      </w:pPr>
      <w:bookmarkStart w:id="29" w:name="_Ref136940699"/>
      <w:r>
        <w:t xml:space="preserve">Table </w:t>
      </w:r>
      <w:fldSimple w:instr=" SEQ Table \* ARABIC ">
        <w:r w:rsidR="00237257">
          <w:rPr>
            <w:noProof/>
          </w:rPr>
          <w:t>4</w:t>
        </w:r>
      </w:fldSimple>
      <w:bookmarkEnd w:id="29"/>
      <w:r>
        <w:t xml:space="preserve">: </w:t>
      </w:r>
      <w:r w:rsidR="005D0961">
        <w:t>Comirnaty COVID-19 vaccine d</w:t>
      </w:r>
      <w:r>
        <w:t>osage forms and strengths</w:t>
      </w:r>
    </w:p>
    <w:tbl>
      <w:tblPr>
        <w:tblStyle w:val="TableTGAblue2023"/>
        <w:tblW w:w="5000" w:type="pct"/>
        <w:tblLook w:val="04A0" w:firstRow="1" w:lastRow="0" w:firstColumn="1" w:lastColumn="0" w:noHBand="0" w:noVBand="1"/>
      </w:tblPr>
      <w:tblGrid>
        <w:gridCol w:w="989"/>
        <w:gridCol w:w="1417"/>
        <w:gridCol w:w="2542"/>
        <w:gridCol w:w="1008"/>
        <w:gridCol w:w="1698"/>
        <w:gridCol w:w="1406"/>
      </w:tblGrid>
      <w:tr w:rsidR="00D3609A" w14:paraId="05EFC4BF" w14:textId="77777777" w:rsidTr="00CF6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tcPr>
          <w:p w14:paraId="77A2CA21" w14:textId="4F8AC5A4" w:rsidR="00D3609A" w:rsidRPr="00D3609A" w:rsidRDefault="00D3609A" w:rsidP="00CF66A8">
            <w:pPr>
              <w:spacing w:before="60" w:after="60"/>
              <w:ind w:left="0"/>
              <w:rPr>
                <w:sz w:val="20"/>
                <w:szCs w:val="20"/>
              </w:rPr>
            </w:pPr>
            <w:r w:rsidRPr="00D3609A">
              <w:rPr>
                <w:sz w:val="20"/>
                <w:szCs w:val="20"/>
              </w:rPr>
              <w:t>AUST R</w:t>
            </w:r>
          </w:p>
        </w:tc>
        <w:tc>
          <w:tcPr>
            <w:tcW w:w="782" w:type="pct"/>
          </w:tcPr>
          <w:p w14:paraId="3B315850" w14:textId="60C5CED5" w:rsidR="00D3609A" w:rsidRPr="00D3609A" w:rsidRDefault="00D3609A" w:rsidP="00CF66A8">
            <w:pPr>
              <w:spacing w:before="60" w:after="60"/>
              <w:ind w:left="0"/>
              <w:cnfStyle w:val="100000000000" w:firstRow="1" w:lastRow="0" w:firstColumn="0" w:lastColumn="0" w:oddVBand="0" w:evenVBand="0" w:oddHBand="0" w:evenHBand="0" w:firstRowFirstColumn="0" w:firstRowLastColumn="0" w:lastRowFirstColumn="0" w:lastRowLastColumn="0"/>
              <w:rPr>
                <w:sz w:val="20"/>
                <w:szCs w:val="20"/>
              </w:rPr>
            </w:pPr>
            <w:r w:rsidRPr="00D3609A">
              <w:rPr>
                <w:sz w:val="20"/>
                <w:szCs w:val="20"/>
              </w:rPr>
              <w:t>Active ingredient</w:t>
            </w:r>
          </w:p>
        </w:tc>
        <w:tc>
          <w:tcPr>
            <w:tcW w:w="1403" w:type="pct"/>
          </w:tcPr>
          <w:p w14:paraId="6F15C682" w14:textId="6609B4F8" w:rsidR="00D3609A" w:rsidRPr="00D3609A" w:rsidRDefault="00D3609A" w:rsidP="00CF66A8">
            <w:pPr>
              <w:spacing w:before="60" w:after="60"/>
              <w:ind w:left="0"/>
              <w:cnfStyle w:val="100000000000" w:firstRow="1" w:lastRow="0" w:firstColumn="0" w:lastColumn="0" w:oddVBand="0" w:evenVBand="0" w:oddHBand="0" w:evenHBand="0" w:firstRowFirstColumn="0" w:firstRowLastColumn="0" w:lastRowFirstColumn="0" w:lastRowLastColumn="0"/>
              <w:rPr>
                <w:sz w:val="20"/>
                <w:szCs w:val="20"/>
              </w:rPr>
            </w:pPr>
            <w:r w:rsidRPr="00D3609A">
              <w:rPr>
                <w:sz w:val="20"/>
                <w:szCs w:val="20"/>
              </w:rPr>
              <w:t>Tradename</w:t>
            </w:r>
          </w:p>
        </w:tc>
        <w:tc>
          <w:tcPr>
            <w:tcW w:w="556" w:type="pct"/>
          </w:tcPr>
          <w:p w14:paraId="316D5413" w14:textId="2D707D4F" w:rsidR="00D3609A" w:rsidRPr="00D3609A" w:rsidRDefault="00D3609A" w:rsidP="00CF66A8">
            <w:pPr>
              <w:spacing w:before="60" w:after="60"/>
              <w:ind w:left="0"/>
              <w:cnfStyle w:val="100000000000" w:firstRow="1" w:lastRow="0" w:firstColumn="0" w:lastColumn="0" w:oddVBand="0" w:evenVBand="0" w:oddHBand="0" w:evenHBand="0" w:firstRowFirstColumn="0" w:firstRowLastColumn="0" w:lastRowFirstColumn="0" w:lastRowLastColumn="0"/>
              <w:rPr>
                <w:sz w:val="20"/>
                <w:szCs w:val="20"/>
              </w:rPr>
            </w:pPr>
            <w:r w:rsidRPr="00D3609A">
              <w:rPr>
                <w:sz w:val="20"/>
                <w:szCs w:val="20"/>
              </w:rPr>
              <w:t>Strength</w:t>
            </w:r>
          </w:p>
        </w:tc>
        <w:tc>
          <w:tcPr>
            <w:tcW w:w="937" w:type="pct"/>
          </w:tcPr>
          <w:p w14:paraId="4A3F37A4" w14:textId="7E3446EE" w:rsidR="00D3609A" w:rsidRPr="00D3609A" w:rsidRDefault="00D3609A" w:rsidP="00CF66A8">
            <w:pPr>
              <w:spacing w:before="60" w:after="60"/>
              <w:ind w:left="0"/>
              <w:cnfStyle w:val="100000000000" w:firstRow="1" w:lastRow="0" w:firstColumn="0" w:lastColumn="0" w:oddVBand="0" w:evenVBand="0" w:oddHBand="0" w:evenHBand="0" w:firstRowFirstColumn="0" w:firstRowLastColumn="0" w:lastRowFirstColumn="0" w:lastRowLastColumn="0"/>
              <w:rPr>
                <w:sz w:val="20"/>
                <w:szCs w:val="20"/>
              </w:rPr>
            </w:pPr>
            <w:r w:rsidRPr="00D3609A">
              <w:rPr>
                <w:sz w:val="20"/>
                <w:szCs w:val="20"/>
              </w:rPr>
              <w:t>Dosage form</w:t>
            </w:r>
          </w:p>
        </w:tc>
        <w:tc>
          <w:tcPr>
            <w:tcW w:w="776" w:type="pct"/>
          </w:tcPr>
          <w:p w14:paraId="76466724" w14:textId="2328ADDC" w:rsidR="00D3609A" w:rsidRPr="00D3609A" w:rsidRDefault="00D3609A" w:rsidP="00CF66A8">
            <w:pPr>
              <w:spacing w:before="60" w:after="60"/>
              <w:ind w:left="0"/>
              <w:cnfStyle w:val="100000000000" w:firstRow="1" w:lastRow="0" w:firstColumn="0" w:lastColumn="0" w:oddVBand="0" w:evenVBand="0" w:oddHBand="0" w:evenHBand="0" w:firstRowFirstColumn="0" w:firstRowLastColumn="0" w:lastRowFirstColumn="0" w:lastRowLastColumn="0"/>
              <w:rPr>
                <w:b w:val="0"/>
                <w:sz w:val="20"/>
                <w:szCs w:val="20"/>
              </w:rPr>
            </w:pPr>
            <w:r w:rsidRPr="00D3609A">
              <w:rPr>
                <w:sz w:val="20"/>
                <w:szCs w:val="20"/>
              </w:rPr>
              <w:t>Pack/ container</w:t>
            </w:r>
          </w:p>
        </w:tc>
      </w:tr>
      <w:tr w:rsidR="00D3609A" w14:paraId="15FA31BF" w14:textId="77777777" w:rsidTr="00CF66A8">
        <w:tc>
          <w:tcPr>
            <w:cnfStyle w:val="001000000000" w:firstRow="0" w:lastRow="0" w:firstColumn="1" w:lastColumn="0" w:oddVBand="0" w:evenVBand="0" w:oddHBand="0" w:evenHBand="0" w:firstRowFirstColumn="0" w:firstRowLastColumn="0" w:lastRowFirstColumn="0" w:lastRowLastColumn="0"/>
            <w:tcW w:w="545" w:type="pct"/>
          </w:tcPr>
          <w:p w14:paraId="5A5B7FD1" w14:textId="7DFE255B" w:rsidR="00D3609A" w:rsidRPr="00D3609A" w:rsidRDefault="00D3609A" w:rsidP="00CF66A8">
            <w:pPr>
              <w:spacing w:before="60" w:after="60"/>
              <w:ind w:left="0"/>
              <w:rPr>
                <w:sz w:val="20"/>
                <w:szCs w:val="20"/>
              </w:rPr>
            </w:pPr>
            <w:r w:rsidRPr="00D3609A">
              <w:rPr>
                <w:sz w:val="20"/>
                <w:szCs w:val="20"/>
              </w:rPr>
              <w:t>346290</w:t>
            </w:r>
          </w:p>
        </w:tc>
        <w:tc>
          <w:tcPr>
            <w:tcW w:w="782" w:type="pct"/>
          </w:tcPr>
          <w:p w14:paraId="03436A1E" w14:textId="0D5C5C20" w:rsidR="00D3609A" w:rsidRPr="00D3609A" w:rsidRDefault="007F51CE"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T</w:t>
            </w:r>
            <w:r w:rsidR="00D3609A" w:rsidRPr="00D3609A">
              <w:rPr>
                <w:sz w:val="20"/>
                <w:szCs w:val="20"/>
              </w:rPr>
              <w:t>ozinameran</w:t>
            </w:r>
          </w:p>
        </w:tc>
        <w:tc>
          <w:tcPr>
            <w:tcW w:w="1403" w:type="pct"/>
          </w:tcPr>
          <w:p w14:paraId="4C4AB7AC" w14:textId="26AAC2BD" w:rsidR="00D3609A" w:rsidRPr="00D3609A" w:rsidRDefault="00694585"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 xml:space="preserve">Comirnaty </w:t>
            </w:r>
            <w:r w:rsidR="00D3609A" w:rsidRPr="00D3609A">
              <w:rPr>
                <w:sz w:val="20"/>
                <w:szCs w:val="20"/>
              </w:rPr>
              <w:t>(tozinameran)</w:t>
            </w:r>
            <w:r>
              <w:rPr>
                <w:sz w:val="20"/>
                <w:szCs w:val="20"/>
              </w:rPr>
              <w:t xml:space="preserve"> </w:t>
            </w:r>
            <w:r w:rsidR="00D3609A" w:rsidRPr="00D3609A">
              <w:rPr>
                <w:sz w:val="20"/>
                <w:szCs w:val="20"/>
              </w:rPr>
              <w:t xml:space="preserve">COVID-19 </w:t>
            </w:r>
            <w:r w:rsidRPr="00D3609A">
              <w:rPr>
                <w:sz w:val="20"/>
                <w:szCs w:val="20"/>
              </w:rPr>
              <w:t xml:space="preserve">vaccine </w:t>
            </w:r>
            <w:r w:rsidR="00D3609A" w:rsidRPr="00D3609A">
              <w:rPr>
                <w:sz w:val="20"/>
                <w:szCs w:val="20"/>
              </w:rPr>
              <w:t>30</w:t>
            </w:r>
            <w:r>
              <w:rPr>
                <w:sz w:val="20"/>
                <w:szCs w:val="20"/>
              </w:rPr>
              <w:t> </w:t>
            </w:r>
            <w:r w:rsidR="00D3609A" w:rsidRPr="00D3609A">
              <w:rPr>
                <w:sz w:val="20"/>
                <w:szCs w:val="20"/>
              </w:rPr>
              <w:t>micrograms/ 0.3</w:t>
            </w:r>
            <w:r w:rsidR="00D3609A">
              <w:rPr>
                <w:sz w:val="20"/>
                <w:szCs w:val="20"/>
              </w:rPr>
              <w:t> </w:t>
            </w:r>
            <w:r w:rsidR="00D3609A" w:rsidRPr="00D3609A">
              <w:rPr>
                <w:sz w:val="20"/>
                <w:szCs w:val="20"/>
              </w:rPr>
              <w:t>mL</w:t>
            </w:r>
            <w:r w:rsidR="00D3609A">
              <w:rPr>
                <w:sz w:val="20"/>
                <w:szCs w:val="20"/>
              </w:rPr>
              <w:t xml:space="preserve"> </w:t>
            </w:r>
            <w:r w:rsidR="00D3609A" w:rsidRPr="00D3609A">
              <w:rPr>
                <w:sz w:val="20"/>
                <w:szCs w:val="20"/>
              </w:rPr>
              <w:t>concentrated suspension for</w:t>
            </w:r>
            <w:r w:rsidR="00D3609A">
              <w:rPr>
                <w:sz w:val="20"/>
                <w:szCs w:val="20"/>
              </w:rPr>
              <w:t xml:space="preserve"> </w:t>
            </w:r>
            <w:r w:rsidR="00D3609A" w:rsidRPr="00D3609A">
              <w:rPr>
                <w:sz w:val="20"/>
                <w:szCs w:val="20"/>
              </w:rPr>
              <w:t>injection vial</w:t>
            </w:r>
          </w:p>
        </w:tc>
        <w:tc>
          <w:tcPr>
            <w:tcW w:w="556" w:type="pct"/>
          </w:tcPr>
          <w:p w14:paraId="697512DB" w14:textId="657CD681"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 xml:space="preserve">30 </w:t>
            </w:r>
            <w:r>
              <w:rPr>
                <w:sz w:val="20"/>
                <w:szCs w:val="20"/>
              </w:rPr>
              <w:sym w:font="Symbol" w:char="F06D"/>
            </w:r>
            <w:r w:rsidRPr="00D3609A">
              <w:rPr>
                <w:sz w:val="20"/>
                <w:szCs w:val="20"/>
              </w:rPr>
              <w:t>g/ 0.3</w:t>
            </w:r>
            <w:r w:rsidR="005D0961">
              <w:rPr>
                <w:sz w:val="20"/>
                <w:szCs w:val="20"/>
              </w:rPr>
              <w:t xml:space="preserve"> </w:t>
            </w:r>
            <w:r w:rsidRPr="00D3609A">
              <w:rPr>
                <w:sz w:val="20"/>
                <w:szCs w:val="20"/>
              </w:rPr>
              <w:t>mL</w:t>
            </w:r>
          </w:p>
        </w:tc>
        <w:tc>
          <w:tcPr>
            <w:tcW w:w="937" w:type="pct"/>
          </w:tcPr>
          <w:p w14:paraId="4744CF31" w14:textId="1A723D4D" w:rsid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Injection, concentrated</w:t>
            </w:r>
            <w:r>
              <w:rPr>
                <w:sz w:val="20"/>
                <w:szCs w:val="20"/>
              </w:rPr>
              <w:t xml:space="preserve"> </w:t>
            </w:r>
            <w:r w:rsidR="0085569E" w:rsidRPr="00D3609A">
              <w:rPr>
                <w:sz w:val="20"/>
                <w:szCs w:val="20"/>
              </w:rPr>
              <w:t>suspension</w:t>
            </w:r>
          </w:p>
          <w:p w14:paraId="4B615671" w14:textId="111AABFD"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(PBS buffer)</w:t>
            </w:r>
          </w:p>
        </w:tc>
        <w:tc>
          <w:tcPr>
            <w:tcW w:w="776" w:type="pct"/>
          </w:tcPr>
          <w:p w14:paraId="703E02B1" w14:textId="501D0F80"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195 vials</w:t>
            </w:r>
          </w:p>
        </w:tc>
      </w:tr>
      <w:tr w:rsidR="00D3609A" w14:paraId="7DF8B598" w14:textId="77777777" w:rsidTr="00CF66A8">
        <w:tc>
          <w:tcPr>
            <w:cnfStyle w:val="001000000000" w:firstRow="0" w:lastRow="0" w:firstColumn="1" w:lastColumn="0" w:oddVBand="0" w:evenVBand="0" w:oddHBand="0" w:evenHBand="0" w:firstRowFirstColumn="0" w:firstRowLastColumn="0" w:lastRowFirstColumn="0" w:lastRowLastColumn="0"/>
            <w:tcW w:w="545" w:type="pct"/>
          </w:tcPr>
          <w:p w14:paraId="3A53202A" w14:textId="19EC08F3" w:rsidR="00D3609A" w:rsidRPr="00D3609A" w:rsidRDefault="00D3609A" w:rsidP="00CF66A8">
            <w:pPr>
              <w:spacing w:before="60" w:after="60"/>
              <w:ind w:left="0"/>
              <w:rPr>
                <w:sz w:val="20"/>
                <w:szCs w:val="20"/>
              </w:rPr>
            </w:pPr>
            <w:r w:rsidRPr="00D3609A">
              <w:rPr>
                <w:sz w:val="20"/>
                <w:szCs w:val="20"/>
              </w:rPr>
              <w:t>377110</w:t>
            </w:r>
          </w:p>
        </w:tc>
        <w:tc>
          <w:tcPr>
            <w:tcW w:w="782" w:type="pct"/>
          </w:tcPr>
          <w:p w14:paraId="2205B271" w14:textId="3C977E47" w:rsidR="00D3609A" w:rsidRPr="00D3609A" w:rsidRDefault="007F51CE"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T</w:t>
            </w:r>
            <w:r w:rsidR="00D3609A" w:rsidRPr="00D3609A">
              <w:rPr>
                <w:sz w:val="20"/>
                <w:szCs w:val="20"/>
              </w:rPr>
              <w:t>ozinameran</w:t>
            </w:r>
          </w:p>
        </w:tc>
        <w:tc>
          <w:tcPr>
            <w:tcW w:w="1403" w:type="pct"/>
          </w:tcPr>
          <w:p w14:paraId="4F9B61F5" w14:textId="2E772025" w:rsidR="00D3609A" w:rsidRPr="00D3609A" w:rsidRDefault="00694585"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 xml:space="preserve">Comirnaty </w:t>
            </w:r>
            <w:r w:rsidR="00D3609A" w:rsidRPr="00D3609A">
              <w:rPr>
                <w:sz w:val="20"/>
                <w:szCs w:val="20"/>
              </w:rPr>
              <w:t>(tozinameran)</w:t>
            </w:r>
            <w:r>
              <w:rPr>
                <w:sz w:val="20"/>
                <w:szCs w:val="20"/>
              </w:rPr>
              <w:t xml:space="preserve"> </w:t>
            </w:r>
            <w:r w:rsidR="00D3609A" w:rsidRPr="00D3609A">
              <w:rPr>
                <w:sz w:val="20"/>
                <w:szCs w:val="20"/>
              </w:rPr>
              <w:t xml:space="preserve">COVID-19 </w:t>
            </w:r>
            <w:r w:rsidRPr="00D3609A">
              <w:rPr>
                <w:sz w:val="20"/>
                <w:szCs w:val="20"/>
              </w:rPr>
              <w:t xml:space="preserve">vaccine </w:t>
            </w:r>
            <w:r w:rsidR="00D3609A" w:rsidRPr="00D3609A">
              <w:rPr>
                <w:sz w:val="20"/>
                <w:szCs w:val="20"/>
              </w:rPr>
              <w:t>30</w:t>
            </w:r>
            <w:r>
              <w:rPr>
                <w:sz w:val="20"/>
                <w:szCs w:val="20"/>
              </w:rPr>
              <w:t> </w:t>
            </w:r>
            <w:r w:rsidR="00D3609A" w:rsidRPr="00D3609A">
              <w:rPr>
                <w:sz w:val="20"/>
                <w:szCs w:val="20"/>
              </w:rPr>
              <w:t>micrograms/ 0.3</w:t>
            </w:r>
            <w:r w:rsidR="00D3609A">
              <w:rPr>
                <w:sz w:val="20"/>
                <w:szCs w:val="20"/>
              </w:rPr>
              <w:t> </w:t>
            </w:r>
            <w:r w:rsidR="00D3609A" w:rsidRPr="00D3609A">
              <w:rPr>
                <w:sz w:val="20"/>
                <w:szCs w:val="20"/>
              </w:rPr>
              <w:t>mL</w:t>
            </w:r>
            <w:r w:rsidR="00D3609A">
              <w:rPr>
                <w:sz w:val="20"/>
                <w:szCs w:val="20"/>
              </w:rPr>
              <w:t xml:space="preserve"> </w:t>
            </w:r>
            <w:r w:rsidR="00D3609A" w:rsidRPr="00D3609A">
              <w:rPr>
                <w:sz w:val="20"/>
                <w:szCs w:val="20"/>
              </w:rPr>
              <w:t>suspension for injection vial</w:t>
            </w:r>
          </w:p>
        </w:tc>
        <w:tc>
          <w:tcPr>
            <w:tcW w:w="556" w:type="pct"/>
          </w:tcPr>
          <w:p w14:paraId="1709C3BB" w14:textId="095D8ACF"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 xml:space="preserve">30 </w:t>
            </w:r>
            <w:r>
              <w:rPr>
                <w:sz w:val="20"/>
                <w:szCs w:val="20"/>
              </w:rPr>
              <w:sym w:font="Symbol" w:char="F06D"/>
            </w:r>
            <w:r w:rsidRPr="00D3609A">
              <w:rPr>
                <w:sz w:val="20"/>
                <w:szCs w:val="20"/>
              </w:rPr>
              <w:t>g/ 0.3</w:t>
            </w:r>
            <w:r w:rsidR="005D0961">
              <w:rPr>
                <w:sz w:val="20"/>
                <w:szCs w:val="20"/>
              </w:rPr>
              <w:t xml:space="preserve"> </w:t>
            </w:r>
            <w:r w:rsidRPr="00D3609A">
              <w:rPr>
                <w:sz w:val="20"/>
                <w:szCs w:val="20"/>
              </w:rPr>
              <w:t>mL</w:t>
            </w:r>
          </w:p>
        </w:tc>
        <w:tc>
          <w:tcPr>
            <w:tcW w:w="937" w:type="pct"/>
          </w:tcPr>
          <w:p w14:paraId="0E23DE7A" w14:textId="77777777" w:rsid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Injection,</w:t>
            </w:r>
            <w:r>
              <w:rPr>
                <w:sz w:val="20"/>
                <w:szCs w:val="20"/>
              </w:rPr>
              <w:t xml:space="preserve"> </w:t>
            </w:r>
            <w:r w:rsidRPr="00D3609A">
              <w:rPr>
                <w:sz w:val="20"/>
                <w:szCs w:val="20"/>
              </w:rPr>
              <w:t xml:space="preserve">suspension </w:t>
            </w:r>
          </w:p>
          <w:p w14:paraId="6CA69A99" w14:textId="7FFB7F33"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(Tris</w:t>
            </w:r>
            <w:r w:rsidR="00863274">
              <w:rPr>
                <w:sz w:val="20"/>
                <w:szCs w:val="20"/>
              </w:rPr>
              <w:t>/sucrose</w:t>
            </w:r>
            <w:r w:rsidRPr="00D3609A">
              <w:rPr>
                <w:sz w:val="20"/>
                <w:szCs w:val="20"/>
              </w:rPr>
              <w:t xml:space="preserve"> buffer)</w:t>
            </w:r>
          </w:p>
        </w:tc>
        <w:tc>
          <w:tcPr>
            <w:tcW w:w="776" w:type="pct"/>
          </w:tcPr>
          <w:p w14:paraId="2E6A6AB8" w14:textId="77777777" w:rsid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10</w:t>
            </w:r>
          </w:p>
          <w:p w14:paraId="4E85CC3A" w14:textId="0533C71E" w:rsidR="00D3609A" w:rsidRPr="00D3609A" w:rsidRDefault="00D3609A"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szCs w:val="20"/>
              </w:rPr>
            </w:pPr>
            <w:r w:rsidRPr="00D3609A">
              <w:rPr>
                <w:sz w:val="20"/>
                <w:szCs w:val="20"/>
              </w:rPr>
              <w:t>195 vials</w:t>
            </w:r>
          </w:p>
        </w:tc>
      </w:tr>
      <w:tr w:rsidR="00CF66A8" w14:paraId="1DF66A9A" w14:textId="77777777" w:rsidTr="00CF66A8">
        <w:tc>
          <w:tcPr>
            <w:cnfStyle w:val="001000000000" w:firstRow="0" w:lastRow="0" w:firstColumn="1" w:lastColumn="0" w:oddVBand="0" w:evenVBand="0" w:oddHBand="0" w:evenHBand="0" w:firstRowFirstColumn="0" w:firstRowLastColumn="0" w:lastRowFirstColumn="0" w:lastRowLastColumn="0"/>
            <w:tcW w:w="545" w:type="pct"/>
          </w:tcPr>
          <w:p w14:paraId="7068D784" w14:textId="1855BD49" w:rsidR="00863274" w:rsidRPr="00D3609A" w:rsidRDefault="00863274" w:rsidP="00CF66A8">
            <w:pPr>
              <w:spacing w:before="60" w:after="60"/>
              <w:ind w:left="0"/>
              <w:rPr>
                <w:sz w:val="20"/>
              </w:rPr>
            </w:pPr>
            <w:r w:rsidRPr="00863274">
              <w:rPr>
                <w:sz w:val="20"/>
              </w:rPr>
              <w:t>377111</w:t>
            </w:r>
          </w:p>
        </w:tc>
        <w:tc>
          <w:tcPr>
            <w:tcW w:w="782" w:type="pct"/>
          </w:tcPr>
          <w:p w14:paraId="0120DD9D" w14:textId="0DBF49DE" w:rsidR="00863274" w:rsidRPr="00D3609A" w:rsidRDefault="00863274"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Tozinameran</w:t>
            </w:r>
          </w:p>
        </w:tc>
        <w:tc>
          <w:tcPr>
            <w:tcW w:w="1403" w:type="pct"/>
          </w:tcPr>
          <w:p w14:paraId="64E290D9" w14:textId="7E723E89" w:rsidR="00863274" w:rsidRPr="00D3609A" w:rsidRDefault="00694585"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sidRPr="00863274">
              <w:rPr>
                <w:sz w:val="20"/>
              </w:rPr>
              <w:t xml:space="preserve">Comirnaty </w:t>
            </w:r>
            <w:r w:rsidR="00863274" w:rsidRPr="00863274">
              <w:rPr>
                <w:sz w:val="20"/>
              </w:rPr>
              <w:t xml:space="preserve">(tozinameran) COVID-19 </w:t>
            </w:r>
            <w:r w:rsidRPr="00863274">
              <w:rPr>
                <w:sz w:val="20"/>
              </w:rPr>
              <w:t xml:space="preserve">vaccine </w:t>
            </w:r>
            <w:r w:rsidR="00863274" w:rsidRPr="00863274">
              <w:rPr>
                <w:sz w:val="20"/>
              </w:rPr>
              <w:t>10</w:t>
            </w:r>
            <w:r>
              <w:rPr>
                <w:sz w:val="20"/>
              </w:rPr>
              <w:t> </w:t>
            </w:r>
            <w:r w:rsidR="00863274">
              <w:rPr>
                <w:sz w:val="20"/>
              </w:rPr>
              <w:t>micrograms</w:t>
            </w:r>
            <w:r w:rsidR="00863274" w:rsidRPr="00863274">
              <w:rPr>
                <w:sz w:val="20"/>
              </w:rPr>
              <w:t>/0.2 mL concentrated suspension for injection vial</w:t>
            </w:r>
          </w:p>
        </w:tc>
        <w:tc>
          <w:tcPr>
            <w:tcW w:w="556" w:type="pct"/>
          </w:tcPr>
          <w:p w14:paraId="62DBB33E" w14:textId="5463A7F7" w:rsidR="00863274" w:rsidRPr="00D3609A" w:rsidRDefault="00863274"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szCs w:val="20"/>
              </w:rPr>
              <w:t>10</w:t>
            </w:r>
            <w:r w:rsidRPr="00D3609A">
              <w:rPr>
                <w:sz w:val="20"/>
                <w:szCs w:val="20"/>
              </w:rPr>
              <w:t xml:space="preserve"> </w:t>
            </w:r>
            <w:r>
              <w:rPr>
                <w:sz w:val="20"/>
                <w:szCs w:val="20"/>
              </w:rPr>
              <w:sym w:font="Symbol" w:char="F06D"/>
            </w:r>
            <w:r>
              <w:rPr>
                <w:sz w:val="20"/>
                <w:szCs w:val="20"/>
              </w:rPr>
              <w:t xml:space="preserve">g/ 0.2 </w:t>
            </w:r>
            <w:r w:rsidRPr="00D3609A">
              <w:rPr>
                <w:sz w:val="20"/>
                <w:szCs w:val="20"/>
              </w:rPr>
              <w:t>mL</w:t>
            </w:r>
          </w:p>
        </w:tc>
        <w:tc>
          <w:tcPr>
            <w:tcW w:w="937" w:type="pct"/>
          </w:tcPr>
          <w:p w14:paraId="217831BC" w14:textId="4ECA971F" w:rsidR="00863274" w:rsidRPr="00D3609A" w:rsidRDefault="00863274"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 xml:space="preserve">Injection, concentrated </w:t>
            </w:r>
            <w:r w:rsidR="0085569E" w:rsidRPr="00D3609A">
              <w:rPr>
                <w:sz w:val="20"/>
                <w:szCs w:val="20"/>
              </w:rPr>
              <w:t xml:space="preserve">suspension </w:t>
            </w:r>
            <w:r>
              <w:rPr>
                <w:sz w:val="20"/>
              </w:rPr>
              <w:t>(Tris/sucrose buffer)</w:t>
            </w:r>
          </w:p>
        </w:tc>
        <w:tc>
          <w:tcPr>
            <w:tcW w:w="776" w:type="pct"/>
          </w:tcPr>
          <w:p w14:paraId="420B6DE2" w14:textId="77777777" w:rsidR="00863274" w:rsidRDefault="00694585"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10</w:t>
            </w:r>
          </w:p>
          <w:p w14:paraId="1B18B578" w14:textId="5B9EDBB6" w:rsidR="00694585" w:rsidRPr="00D3609A" w:rsidRDefault="00694585"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195 vials</w:t>
            </w:r>
          </w:p>
        </w:tc>
      </w:tr>
      <w:tr w:rsidR="00CF66A8" w14:paraId="6947194E" w14:textId="77777777" w:rsidTr="00CF66A8">
        <w:tc>
          <w:tcPr>
            <w:cnfStyle w:val="001000000000" w:firstRow="0" w:lastRow="0" w:firstColumn="1" w:lastColumn="0" w:oddVBand="0" w:evenVBand="0" w:oddHBand="0" w:evenHBand="0" w:firstRowFirstColumn="0" w:firstRowLastColumn="0" w:lastRowFirstColumn="0" w:lastRowLastColumn="0"/>
            <w:tcW w:w="545" w:type="pct"/>
          </w:tcPr>
          <w:p w14:paraId="55F82D8F" w14:textId="74E38D28" w:rsidR="00863274" w:rsidRPr="00D3609A" w:rsidRDefault="003B39BC" w:rsidP="00CF66A8">
            <w:pPr>
              <w:spacing w:before="60" w:after="60"/>
              <w:ind w:left="0"/>
              <w:rPr>
                <w:sz w:val="20"/>
              </w:rPr>
            </w:pPr>
            <w:r w:rsidRPr="003B39BC">
              <w:rPr>
                <w:sz w:val="20"/>
              </w:rPr>
              <w:t>393433</w:t>
            </w:r>
          </w:p>
        </w:tc>
        <w:tc>
          <w:tcPr>
            <w:tcW w:w="782" w:type="pct"/>
          </w:tcPr>
          <w:p w14:paraId="2CF8A55C" w14:textId="651C69A0" w:rsidR="00863274" w:rsidRPr="00D3609A"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sidRPr="003B39BC">
              <w:rPr>
                <w:sz w:val="20"/>
              </w:rPr>
              <w:t>Tozinameran</w:t>
            </w:r>
          </w:p>
        </w:tc>
        <w:tc>
          <w:tcPr>
            <w:tcW w:w="1403" w:type="pct"/>
          </w:tcPr>
          <w:p w14:paraId="59EC8F2A" w14:textId="4A5A17BD" w:rsidR="00863274" w:rsidRPr="00D3609A"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sidRPr="00694585">
              <w:rPr>
                <w:sz w:val="20"/>
              </w:rPr>
              <w:t xml:space="preserve">Comirnaty </w:t>
            </w:r>
            <w:r w:rsidR="00694585" w:rsidRPr="00694585">
              <w:rPr>
                <w:sz w:val="20"/>
              </w:rPr>
              <w:t xml:space="preserve">(tozinameran) COVID-19 </w:t>
            </w:r>
            <w:r w:rsidRPr="00694585">
              <w:rPr>
                <w:sz w:val="20"/>
              </w:rPr>
              <w:t xml:space="preserve">vaccine </w:t>
            </w:r>
            <w:r>
              <w:rPr>
                <w:sz w:val="20"/>
              </w:rPr>
              <w:t xml:space="preserve">3 micrograms/0.2 mL concentrated suspension for injection </w:t>
            </w:r>
            <w:r w:rsidR="00694585" w:rsidRPr="00694585">
              <w:rPr>
                <w:sz w:val="20"/>
              </w:rPr>
              <w:t>vial</w:t>
            </w:r>
          </w:p>
        </w:tc>
        <w:tc>
          <w:tcPr>
            <w:tcW w:w="556" w:type="pct"/>
          </w:tcPr>
          <w:p w14:paraId="633D28CE" w14:textId="172568B6" w:rsidR="00863274" w:rsidRPr="00D3609A"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szCs w:val="20"/>
              </w:rPr>
              <w:t>3</w:t>
            </w:r>
            <w:r w:rsidRPr="00D3609A">
              <w:rPr>
                <w:sz w:val="20"/>
                <w:szCs w:val="20"/>
              </w:rPr>
              <w:t xml:space="preserve"> </w:t>
            </w:r>
            <w:r>
              <w:rPr>
                <w:sz w:val="20"/>
                <w:szCs w:val="20"/>
              </w:rPr>
              <w:sym w:font="Symbol" w:char="F06D"/>
            </w:r>
            <w:r>
              <w:rPr>
                <w:sz w:val="20"/>
                <w:szCs w:val="20"/>
              </w:rPr>
              <w:t>g/ 0.2 </w:t>
            </w:r>
            <w:r w:rsidRPr="00D3609A">
              <w:rPr>
                <w:sz w:val="20"/>
                <w:szCs w:val="20"/>
              </w:rPr>
              <w:t>mL</w:t>
            </w:r>
          </w:p>
        </w:tc>
        <w:tc>
          <w:tcPr>
            <w:tcW w:w="937" w:type="pct"/>
          </w:tcPr>
          <w:p w14:paraId="3C534BEA" w14:textId="61BC4DED" w:rsidR="00863274" w:rsidRPr="00D3609A"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 xml:space="preserve">Injection, concentrated </w:t>
            </w:r>
            <w:r w:rsidR="0085569E" w:rsidRPr="00D3609A">
              <w:rPr>
                <w:sz w:val="20"/>
                <w:szCs w:val="20"/>
              </w:rPr>
              <w:t xml:space="preserve">suspension </w:t>
            </w:r>
            <w:r>
              <w:rPr>
                <w:sz w:val="20"/>
              </w:rPr>
              <w:t>(Tris/sucrose</w:t>
            </w:r>
            <w:r w:rsidR="0085569E">
              <w:rPr>
                <w:sz w:val="20"/>
              </w:rPr>
              <w:t xml:space="preserve"> buffer</w:t>
            </w:r>
            <w:r>
              <w:rPr>
                <w:sz w:val="20"/>
              </w:rPr>
              <w:t>)</w:t>
            </w:r>
          </w:p>
        </w:tc>
        <w:tc>
          <w:tcPr>
            <w:tcW w:w="776" w:type="pct"/>
          </w:tcPr>
          <w:p w14:paraId="4421B05D" w14:textId="77777777" w:rsidR="00863274"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10</w:t>
            </w:r>
          </w:p>
          <w:p w14:paraId="62942B1E" w14:textId="0AE5BDA5" w:rsidR="003B39BC" w:rsidRPr="00D3609A" w:rsidRDefault="003B39BC" w:rsidP="00CF66A8">
            <w:pPr>
              <w:spacing w:before="60" w:after="60"/>
              <w:ind w:left="0"/>
              <w:cnfStyle w:val="000000000000" w:firstRow="0" w:lastRow="0" w:firstColumn="0" w:lastColumn="0" w:oddVBand="0" w:evenVBand="0" w:oddHBand="0" w:evenHBand="0" w:firstRowFirstColumn="0" w:firstRowLastColumn="0" w:lastRowFirstColumn="0" w:lastRowLastColumn="0"/>
              <w:rPr>
                <w:sz w:val="20"/>
              </w:rPr>
            </w:pPr>
            <w:r>
              <w:rPr>
                <w:sz w:val="20"/>
              </w:rPr>
              <w:t>195 vials</w:t>
            </w:r>
          </w:p>
        </w:tc>
      </w:tr>
    </w:tbl>
    <w:p w14:paraId="6D993A51" w14:textId="3DBCB26A" w:rsidR="003B39BC" w:rsidRDefault="003B39BC" w:rsidP="005D0961">
      <w:pPr>
        <w:pStyle w:val="TableTitle"/>
      </w:pPr>
      <w:bookmarkStart w:id="30" w:name="_Ref137650406"/>
      <w:r>
        <w:lastRenderedPageBreak/>
        <w:t xml:space="preserve">Table </w:t>
      </w:r>
      <w:fldSimple w:instr=" SEQ Table \* ARABIC ">
        <w:r w:rsidR="00237257">
          <w:rPr>
            <w:noProof/>
          </w:rPr>
          <w:t>5</w:t>
        </w:r>
      </w:fldSimple>
      <w:bookmarkEnd w:id="30"/>
      <w:r>
        <w:t>: Comirnat</w:t>
      </w:r>
      <w:r w:rsidR="005D0961">
        <w:t>y COVID-19 vaccine presentations and indication age group</w:t>
      </w:r>
    </w:p>
    <w:tbl>
      <w:tblPr>
        <w:tblStyle w:val="TableTGAblue2023"/>
        <w:tblW w:w="0" w:type="auto"/>
        <w:tblLook w:val="04A0" w:firstRow="1" w:lastRow="0" w:firstColumn="1" w:lastColumn="0" w:noHBand="0" w:noVBand="1"/>
      </w:tblPr>
      <w:tblGrid>
        <w:gridCol w:w="1345"/>
        <w:gridCol w:w="4410"/>
        <w:gridCol w:w="3305"/>
      </w:tblGrid>
      <w:tr w:rsidR="00694585" w14:paraId="052E5447" w14:textId="77777777" w:rsidTr="00CF6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214F074A" w14:textId="0FEFC658" w:rsidR="00694585" w:rsidRDefault="003B39BC" w:rsidP="00CF66A8">
            <w:pPr>
              <w:spacing w:before="60" w:after="60"/>
            </w:pPr>
            <w:r>
              <w:t>AUST R</w:t>
            </w:r>
          </w:p>
        </w:tc>
        <w:tc>
          <w:tcPr>
            <w:tcW w:w="4410" w:type="dxa"/>
          </w:tcPr>
          <w:p w14:paraId="6FD77221" w14:textId="7FDED09A" w:rsidR="00694585" w:rsidRDefault="003B39BC" w:rsidP="00CF66A8">
            <w:pPr>
              <w:spacing w:before="60" w:after="60"/>
              <w:cnfStyle w:val="100000000000" w:firstRow="1" w:lastRow="0" w:firstColumn="0" w:lastColumn="0" w:oddVBand="0" w:evenVBand="0" w:oddHBand="0" w:evenHBand="0" w:firstRowFirstColumn="0" w:firstRowLastColumn="0" w:lastRowFirstColumn="0" w:lastRowLastColumn="0"/>
            </w:pPr>
            <w:r>
              <w:t>Product name</w:t>
            </w:r>
          </w:p>
        </w:tc>
        <w:tc>
          <w:tcPr>
            <w:tcW w:w="3305" w:type="dxa"/>
          </w:tcPr>
          <w:p w14:paraId="37424A6F" w14:textId="5C34B567" w:rsidR="00694585" w:rsidRDefault="003B39BC" w:rsidP="00CF66A8">
            <w:pPr>
              <w:spacing w:before="60" w:after="60"/>
              <w:cnfStyle w:val="100000000000" w:firstRow="1" w:lastRow="0" w:firstColumn="0" w:lastColumn="0" w:oddVBand="0" w:evenVBand="0" w:oddHBand="0" w:evenHBand="0" w:firstRowFirstColumn="0" w:firstRowLastColumn="0" w:lastRowFirstColumn="0" w:lastRowLastColumn="0"/>
            </w:pPr>
            <w:r>
              <w:t>Age group</w:t>
            </w:r>
          </w:p>
        </w:tc>
      </w:tr>
      <w:tr w:rsidR="00694585" w14:paraId="62630847" w14:textId="77777777" w:rsidTr="00CF66A8">
        <w:tc>
          <w:tcPr>
            <w:cnfStyle w:val="001000000000" w:firstRow="0" w:lastRow="0" w:firstColumn="1" w:lastColumn="0" w:oddVBand="0" w:evenVBand="0" w:oddHBand="0" w:evenHBand="0" w:firstRowFirstColumn="0" w:firstRowLastColumn="0" w:lastRowFirstColumn="0" w:lastRowLastColumn="0"/>
            <w:tcW w:w="1345" w:type="dxa"/>
          </w:tcPr>
          <w:p w14:paraId="5D63D400" w14:textId="1DE6F952" w:rsidR="00694585" w:rsidRDefault="00694585" w:rsidP="00CF66A8">
            <w:pPr>
              <w:spacing w:before="60" w:after="60"/>
            </w:pPr>
            <w:r w:rsidRPr="00D3609A">
              <w:rPr>
                <w:sz w:val="20"/>
                <w:szCs w:val="20"/>
              </w:rPr>
              <w:t>346290</w:t>
            </w:r>
          </w:p>
        </w:tc>
        <w:tc>
          <w:tcPr>
            <w:tcW w:w="4410" w:type="dxa"/>
          </w:tcPr>
          <w:p w14:paraId="59C8E448" w14:textId="7AAD08EE" w:rsidR="00694585" w:rsidRDefault="00694585" w:rsidP="00CF66A8">
            <w:pPr>
              <w:spacing w:before="60" w:after="60"/>
              <w:cnfStyle w:val="000000000000" w:firstRow="0" w:lastRow="0" w:firstColumn="0" w:lastColumn="0" w:oddVBand="0" w:evenVBand="0" w:oddHBand="0" w:evenHBand="0" w:firstRowFirstColumn="0" w:firstRowLastColumn="0" w:lastRowFirstColumn="0" w:lastRowLastColumn="0"/>
            </w:pPr>
            <w:r w:rsidRPr="00D3609A">
              <w:rPr>
                <w:sz w:val="20"/>
                <w:szCs w:val="20"/>
              </w:rPr>
              <w:t>Comirnaty (tozinameran)</w:t>
            </w:r>
            <w:r>
              <w:rPr>
                <w:sz w:val="20"/>
                <w:szCs w:val="20"/>
              </w:rPr>
              <w:t xml:space="preserve"> </w:t>
            </w:r>
            <w:r w:rsidRPr="00D3609A">
              <w:rPr>
                <w:sz w:val="20"/>
                <w:szCs w:val="20"/>
              </w:rPr>
              <w:t>COVID-19 vaccine 30</w:t>
            </w:r>
            <w:r>
              <w:rPr>
                <w:sz w:val="20"/>
                <w:szCs w:val="20"/>
              </w:rPr>
              <w:t> </w:t>
            </w:r>
            <w:r w:rsidRPr="00D3609A">
              <w:rPr>
                <w:sz w:val="20"/>
                <w:szCs w:val="20"/>
              </w:rPr>
              <w:t>micrograms/ 0.3</w:t>
            </w:r>
            <w:r>
              <w:rPr>
                <w:sz w:val="20"/>
                <w:szCs w:val="20"/>
              </w:rPr>
              <w:t> </w:t>
            </w:r>
            <w:r w:rsidRPr="00D3609A">
              <w:rPr>
                <w:sz w:val="20"/>
                <w:szCs w:val="20"/>
              </w:rPr>
              <w:t>mL</w:t>
            </w:r>
            <w:r w:rsidR="003B39BC">
              <w:rPr>
                <w:sz w:val="20"/>
                <w:szCs w:val="20"/>
              </w:rPr>
              <w:br/>
            </w:r>
            <w:r w:rsidRPr="00D3609A">
              <w:rPr>
                <w:sz w:val="20"/>
                <w:szCs w:val="20"/>
              </w:rPr>
              <w:t>concentrated suspension for</w:t>
            </w:r>
            <w:r>
              <w:rPr>
                <w:sz w:val="20"/>
                <w:szCs w:val="20"/>
              </w:rPr>
              <w:t xml:space="preserve"> </w:t>
            </w:r>
            <w:r w:rsidRPr="00D3609A">
              <w:rPr>
                <w:sz w:val="20"/>
                <w:szCs w:val="20"/>
              </w:rPr>
              <w:t>injection vial</w:t>
            </w:r>
          </w:p>
        </w:tc>
        <w:tc>
          <w:tcPr>
            <w:tcW w:w="3305" w:type="dxa"/>
          </w:tcPr>
          <w:p w14:paraId="0AEA87A9" w14:textId="63BD436C" w:rsidR="00694585" w:rsidRPr="00CF66A8" w:rsidRDefault="00694585" w:rsidP="00CF66A8">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CF66A8">
              <w:rPr>
                <w:sz w:val="20"/>
                <w:szCs w:val="20"/>
              </w:rPr>
              <w:t>individuals 12 years of age and older</w:t>
            </w:r>
          </w:p>
        </w:tc>
      </w:tr>
      <w:tr w:rsidR="00694585" w14:paraId="125AEF87" w14:textId="77777777" w:rsidTr="00CF66A8">
        <w:tc>
          <w:tcPr>
            <w:cnfStyle w:val="001000000000" w:firstRow="0" w:lastRow="0" w:firstColumn="1" w:lastColumn="0" w:oddVBand="0" w:evenVBand="0" w:oddHBand="0" w:evenHBand="0" w:firstRowFirstColumn="0" w:firstRowLastColumn="0" w:lastRowFirstColumn="0" w:lastRowLastColumn="0"/>
            <w:tcW w:w="1345" w:type="dxa"/>
          </w:tcPr>
          <w:p w14:paraId="0C417A3E" w14:textId="5CAF5848" w:rsidR="00694585" w:rsidRDefault="00694585" w:rsidP="00CF66A8">
            <w:pPr>
              <w:spacing w:before="60" w:after="60"/>
            </w:pPr>
            <w:r w:rsidRPr="00D3609A">
              <w:rPr>
                <w:sz w:val="20"/>
                <w:szCs w:val="20"/>
              </w:rPr>
              <w:t>377110</w:t>
            </w:r>
          </w:p>
        </w:tc>
        <w:tc>
          <w:tcPr>
            <w:tcW w:w="4410" w:type="dxa"/>
          </w:tcPr>
          <w:p w14:paraId="46FB45F5" w14:textId="011F3236" w:rsidR="00694585" w:rsidRDefault="00694585" w:rsidP="00CF66A8">
            <w:pPr>
              <w:spacing w:before="60" w:after="60"/>
              <w:cnfStyle w:val="000000000000" w:firstRow="0" w:lastRow="0" w:firstColumn="0" w:lastColumn="0" w:oddVBand="0" w:evenVBand="0" w:oddHBand="0" w:evenHBand="0" w:firstRowFirstColumn="0" w:firstRowLastColumn="0" w:lastRowFirstColumn="0" w:lastRowLastColumn="0"/>
            </w:pPr>
            <w:r w:rsidRPr="00D3609A">
              <w:rPr>
                <w:sz w:val="20"/>
                <w:szCs w:val="20"/>
              </w:rPr>
              <w:t>Comirnaty (tozinameran)</w:t>
            </w:r>
            <w:r>
              <w:rPr>
                <w:sz w:val="20"/>
                <w:szCs w:val="20"/>
              </w:rPr>
              <w:t xml:space="preserve"> </w:t>
            </w:r>
            <w:r w:rsidRPr="00D3609A">
              <w:rPr>
                <w:sz w:val="20"/>
                <w:szCs w:val="20"/>
              </w:rPr>
              <w:t>COVID-19 vaccine 30</w:t>
            </w:r>
            <w:r>
              <w:rPr>
                <w:sz w:val="20"/>
                <w:szCs w:val="20"/>
              </w:rPr>
              <w:t> </w:t>
            </w:r>
            <w:r w:rsidRPr="00D3609A">
              <w:rPr>
                <w:sz w:val="20"/>
                <w:szCs w:val="20"/>
              </w:rPr>
              <w:t>micrograms/ 0.3</w:t>
            </w:r>
            <w:r>
              <w:rPr>
                <w:sz w:val="20"/>
                <w:szCs w:val="20"/>
              </w:rPr>
              <w:t> </w:t>
            </w:r>
            <w:r w:rsidRPr="00D3609A">
              <w:rPr>
                <w:sz w:val="20"/>
                <w:szCs w:val="20"/>
              </w:rPr>
              <w:t>mL</w:t>
            </w:r>
            <w:r w:rsidR="003B39BC">
              <w:rPr>
                <w:sz w:val="20"/>
                <w:szCs w:val="20"/>
              </w:rPr>
              <w:br/>
            </w:r>
            <w:r w:rsidRPr="00D3609A">
              <w:rPr>
                <w:sz w:val="20"/>
                <w:szCs w:val="20"/>
              </w:rPr>
              <w:t>suspension for injection vial</w:t>
            </w:r>
          </w:p>
        </w:tc>
        <w:tc>
          <w:tcPr>
            <w:tcW w:w="3305" w:type="dxa"/>
          </w:tcPr>
          <w:p w14:paraId="30B7B301" w14:textId="5E6C13E1" w:rsidR="00694585" w:rsidRPr="00CF66A8" w:rsidRDefault="003B39BC" w:rsidP="00CF66A8">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CF66A8">
              <w:rPr>
                <w:sz w:val="20"/>
                <w:szCs w:val="20"/>
              </w:rPr>
              <w:t>individuals 12 years of age and older</w:t>
            </w:r>
          </w:p>
        </w:tc>
      </w:tr>
      <w:tr w:rsidR="00694585" w14:paraId="6E81438C" w14:textId="77777777" w:rsidTr="00CF66A8">
        <w:tc>
          <w:tcPr>
            <w:cnfStyle w:val="001000000000" w:firstRow="0" w:lastRow="0" w:firstColumn="1" w:lastColumn="0" w:oddVBand="0" w:evenVBand="0" w:oddHBand="0" w:evenHBand="0" w:firstRowFirstColumn="0" w:firstRowLastColumn="0" w:lastRowFirstColumn="0" w:lastRowLastColumn="0"/>
            <w:tcW w:w="1345" w:type="dxa"/>
          </w:tcPr>
          <w:p w14:paraId="45A3D06E" w14:textId="0776B7E5" w:rsidR="00694585" w:rsidRDefault="00694585" w:rsidP="00CF66A8">
            <w:pPr>
              <w:spacing w:before="60" w:after="60"/>
            </w:pPr>
            <w:r w:rsidRPr="00863274">
              <w:rPr>
                <w:sz w:val="20"/>
              </w:rPr>
              <w:t>377111</w:t>
            </w:r>
          </w:p>
        </w:tc>
        <w:tc>
          <w:tcPr>
            <w:tcW w:w="4410" w:type="dxa"/>
          </w:tcPr>
          <w:p w14:paraId="387FE341" w14:textId="79A66FE2" w:rsidR="00694585" w:rsidRDefault="00694585" w:rsidP="00CF66A8">
            <w:pPr>
              <w:spacing w:before="60" w:after="60"/>
              <w:cnfStyle w:val="000000000000" w:firstRow="0" w:lastRow="0" w:firstColumn="0" w:lastColumn="0" w:oddVBand="0" w:evenVBand="0" w:oddHBand="0" w:evenHBand="0" w:firstRowFirstColumn="0" w:firstRowLastColumn="0" w:lastRowFirstColumn="0" w:lastRowLastColumn="0"/>
            </w:pPr>
            <w:r w:rsidRPr="00863274">
              <w:rPr>
                <w:sz w:val="20"/>
              </w:rPr>
              <w:t>Comirnaty (tozinameran) COVID-19 vaccine 10</w:t>
            </w:r>
            <w:r>
              <w:rPr>
                <w:sz w:val="20"/>
              </w:rPr>
              <w:t> micrograms</w:t>
            </w:r>
            <w:r w:rsidRPr="00863274">
              <w:rPr>
                <w:sz w:val="20"/>
              </w:rPr>
              <w:t>/</w:t>
            </w:r>
            <w:r w:rsidR="003B39BC">
              <w:rPr>
                <w:sz w:val="20"/>
              </w:rPr>
              <w:t xml:space="preserve"> </w:t>
            </w:r>
            <w:r w:rsidRPr="00863274">
              <w:rPr>
                <w:sz w:val="20"/>
              </w:rPr>
              <w:t>0.2 mL</w:t>
            </w:r>
            <w:r w:rsidR="003B39BC">
              <w:rPr>
                <w:sz w:val="20"/>
              </w:rPr>
              <w:br/>
            </w:r>
            <w:r w:rsidRPr="00863274">
              <w:rPr>
                <w:sz w:val="20"/>
              </w:rPr>
              <w:t>concentrated suspension for injection vial</w:t>
            </w:r>
          </w:p>
        </w:tc>
        <w:tc>
          <w:tcPr>
            <w:tcW w:w="3305" w:type="dxa"/>
          </w:tcPr>
          <w:p w14:paraId="1D3DFF8B" w14:textId="62A5550C" w:rsidR="00694585" w:rsidRPr="00CF66A8" w:rsidRDefault="00694585" w:rsidP="00CF66A8">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CF66A8">
              <w:rPr>
                <w:sz w:val="20"/>
                <w:szCs w:val="20"/>
              </w:rPr>
              <w:t>individuals 5 years of age to less than 12 years of age</w:t>
            </w:r>
          </w:p>
        </w:tc>
      </w:tr>
      <w:tr w:rsidR="00694585" w14:paraId="5E5637AA" w14:textId="77777777" w:rsidTr="00CF66A8">
        <w:tc>
          <w:tcPr>
            <w:cnfStyle w:val="001000000000" w:firstRow="0" w:lastRow="0" w:firstColumn="1" w:lastColumn="0" w:oddVBand="0" w:evenVBand="0" w:oddHBand="0" w:evenHBand="0" w:firstRowFirstColumn="0" w:firstRowLastColumn="0" w:lastRowFirstColumn="0" w:lastRowLastColumn="0"/>
            <w:tcW w:w="1345" w:type="dxa"/>
          </w:tcPr>
          <w:p w14:paraId="700939B5" w14:textId="33FCA47F" w:rsidR="00694585" w:rsidRDefault="003B39BC" w:rsidP="00CF66A8">
            <w:pPr>
              <w:spacing w:before="60" w:after="60"/>
            </w:pPr>
            <w:r w:rsidRPr="003B39BC">
              <w:t>393433</w:t>
            </w:r>
          </w:p>
        </w:tc>
        <w:tc>
          <w:tcPr>
            <w:tcW w:w="4410" w:type="dxa"/>
          </w:tcPr>
          <w:p w14:paraId="2CF7CBAB" w14:textId="6CFBD431" w:rsidR="00694585" w:rsidRDefault="003B39BC" w:rsidP="00CF66A8">
            <w:pPr>
              <w:spacing w:before="60" w:after="60"/>
              <w:cnfStyle w:val="000000000000" w:firstRow="0" w:lastRow="0" w:firstColumn="0" w:lastColumn="0" w:oddVBand="0" w:evenVBand="0" w:oddHBand="0" w:evenHBand="0" w:firstRowFirstColumn="0" w:firstRowLastColumn="0" w:lastRowFirstColumn="0" w:lastRowLastColumn="0"/>
            </w:pPr>
            <w:r w:rsidRPr="00694585">
              <w:rPr>
                <w:sz w:val="20"/>
              </w:rPr>
              <w:t xml:space="preserve">Comirnaty (tozinameran) COVID-19 vaccine </w:t>
            </w:r>
            <w:r>
              <w:rPr>
                <w:sz w:val="20"/>
              </w:rPr>
              <w:t>3 micrograms/ 0.2 mL</w:t>
            </w:r>
            <w:r>
              <w:rPr>
                <w:sz w:val="20"/>
              </w:rPr>
              <w:br/>
              <w:t xml:space="preserve">concentrated suspension for injection </w:t>
            </w:r>
            <w:r w:rsidRPr="00694585">
              <w:rPr>
                <w:sz w:val="20"/>
              </w:rPr>
              <w:t>vial</w:t>
            </w:r>
          </w:p>
        </w:tc>
        <w:tc>
          <w:tcPr>
            <w:tcW w:w="3305" w:type="dxa"/>
          </w:tcPr>
          <w:p w14:paraId="394D1CCA" w14:textId="7343E41B" w:rsidR="00694585" w:rsidRPr="00CF66A8" w:rsidRDefault="003B39BC" w:rsidP="00CF66A8">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CF66A8">
              <w:rPr>
                <w:sz w:val="20"/>
                <w:szCs w:val="20"/>
              </w:rPr>
              <w:t>individuals 6 months of age to less than 5 years of age</w:t>
            </w:r>
          </w:p>
        </w:tc>
      </w:tr>
    </w:tbl>
    <w:p w14:paraId="0D615854" w14:textId="7D434B84" w:rsidR="00324B33" w:rsidRDefault="00324B33" w:rsidP="00324B33">
      <w:pPr>
        <w:pStyle w:val="Heading3"/>
      </w:pPr>
      <w:bookmarkStart w:id="31" w:name="_Toc103679291"/>
      <w:bookmarkStart w:id="32" w:name="_Toc144806152"/>
      <w:r>
        <w:t>Regulatory status</w:t>
      </w:r>
      <w:bookmarkEnd w:id="17"/>
      <w:bookmarkEnd w:id="18"/>
      <w:bookmarkEnd w:id="31"/>
      <w:bookmarkEnd w:id="32"/>
    </w:p>
    <w:p w14:paraId="19B4FE9E" w14:textId="37A7A2EB" w:rsidR="00343BC2" w:rsidRPr="00343BC2" w:rsidRDefault="00343BC2" w:rsidP="00343BC2">
      <w:pPr>
        <w:pStyle w:val="Heading4"/>
      </w:pPr>
      <w:bookmarkStart w:id="33" w:name="_Toc144806153"/>
      <w:r>
        <w:t>Australian regulatory status</w:t>
      </w:r>
      <w:bookmarkEnd w:id="33"/>
    </w:p>
    <w:p w14:paraId="53C00F10" w14:textId="21F68ED0" w:rsidR="00324B33" w:rsidRDefault="00324B33" w:rsidP="00324B33">
      <w:pPr>
        <w:rPr>
          <w:szCs w:val="22"/>
        </w:rPr>
      </w:pPr>
      <w:r w:rsidRPr="00BD5DBD">
        <w:rPr>
          <w:szCs w:val="22"/>
        </w:rPr>
        <w:t xml:space="preserve">The product received </w:t>
      </w:r>
      <w:r w:rsidR="00343BC2">
        <w:rPr>
          <w:szCs w:val="22"/>
        </w:rPr>
        <w:t>provisional</w:t>
      </w:r>
      <w:r w:rsidRPr="00BD5DBD">
        <w:rPr>
          <w:szCs w:val="22"/>
        </w:rPr>
        <w:t xml:space="preserve"> registration on the </w:t>
      </w:r>
      <w:hyperlink r:id="rId45" w:history="1">
        <w:r w:rsidRPr="00BD5DBD">
          <w:rPr>
            <w:rStyle w:val="Hyperlink"/>
            <w:szCs w:val="22"/>
          </w:rPr>
          <w:t>Australian Register of Therapeutic Goods</w:t>
        </w:r>
      </w:hyperlink>
      <w:r w:rsidRPr="00BD5DBD">
        <w:rPr>
          <w:szCs w:val="22"/>
        </w:rPr>
        <w:t xml:space="preserve"> (</w:t>
      </w:r>
      <w:hyperlink r:id="rId46" w:history="1">
        <w:r w:rsidRPr="00BD5DBD">
          <w:rPr>
            <w:rStyle w:val="Hyperlink"/>
            <w:szCs w:val="22"/>
          </w:rPr>
          <w:t>ARTG</w:t>
        </w:r>
      </w:hyperlink>
      <w:r w:rsidRPr="00BD5DBD">
        <w:rPr>
          <w:szCs w:val="22"/>
        </w:rPr>
        <w:t>) on</w:t>
      </w:r>
      <w:r w:rsidR="00343BC2">
        <w:rPr>
          <w:szCs w:val="22"/>
        </w:rPr>
        <w:t xml:space="preserve"> 25 January 2021</w:t>
      </w:r>
      <w:r w:rsidR="00E51813" w:rsidRPr="00BD5DBD">
        <w:rPr>
          <w:szCs w:val="22"/>
        </w:rPr>
        <w:t xml:space="preserve"> </w:t>
      </w:r>
      <w:r w:rsidR="00750D70" w:rsidRPr="00BD5DBD">
        <w:rPr>
          <w:szCs w:val="22"/>
        </w:rPr>
        <w:t xml:space="preserve">At the time that this submission was considered it was </w:t>
      </w:r>
      <w:r w:rsidR="00343BC2">
        <w:rPr>
          <w:szCs w:val="22"/>
        </w:rPr>
        <w:t xml:space="preserve">provisionally </w:t>
      </w:r>
      <w:r w:rsidR="00750D70" w:rsidRPr="00BD5DBD">
        <w:rPr>
          <w:szCs w:val="22"/>
        </w:rPr>
        <w:t>approved for the following indication:</w:t>
      </w:r>
    </w:p>
    <w:p w14:paraId="1C25769C" w14:textId="61B3899A" w:rsidR="00343BC2" w:rsidRPr="00343BC2" w:rsidRDefault="00343BC2" w:rsidP="00343BC2">
      <w:pPr>
        <w:ind w:left="720"/>
        <w:rPr>
          <w:i/>
          <w:iCs/>
          <w:szCs w:val="22"/>
        </w:rPr>
      </w:pPr>
      <w:r w:rsidRPr="00343BC2">
        <w:rPr>
          <w:i/>
          <w:iCs/>
          <w:szCs w:val="22"/>
        </w:rPr>
        <w:t>Active immunisation to prevent coronavirus disease 2019 (COVID-19) caused by SARS</w:t>
      </w:r>
      <w:r w:rsidRPr="00343BC2">
        <w:rPr>
          <w:i/>
          <w:iCs/>
          <w:szCs w:val="22"/>
        </w:rPr>
        <w:noBreakHyphen/>
        <w:t>CoV</w:t>
      </w:r>
      <w:r>
        <w:rPr>
          <w:i/>
          <w:iCs/>
          <w:szCs w:val="22"/>
        </w:rPr>
        <w:noBreakHyphen/>
      </w:r>
      <w:r w:rsidRPr="00343BC2">
        <w:rPr>
          <w:i/>
          <w:iCs/>
          <w:szCs w:val="22"/>
        </w:rPr>
        <w:t>2, in individuals 16 years of age and older.</w:t>
      </w:r>
    </w:p>
    <w:p w14:paraId="2F3A66D2" w14:textId="5D7C2764" w:rsidR="00343BC2" w:rsidRDefault="00343BC2" w:rsidP="00343BC2">
      <w:pPr>
        <w:ind w:firstLine="720"/>
        <w:rPr>
          <w:i/>
          <w:iCs/>
          <w:szCs w:val="22"/>
        </w:rPr>
      </w:pPr>
      <w:r w:rsidRPr="00343BC2">
        <w:rPr>
          <w:i/>
          <w:iCs/>
          <w:szCs w:val="22"/>
        </w:rPr>
        <w:t>The use of this vaccine should be in accordance with official recommendations</w:t>
      </w:r>
    </w:p>
    <w:p w14:paraId="7F000D4D" w14:textId="5192CF7F" w:rsidR="00343BC2" w:rsidRPr="00343BC2" w:rsidRDefault="00343BC2" w:rsidP="00343BC2">
      <w:r w:rsidRPr="00343BC2">
        <w:t>Comirnaty was initially included on the register on 25</w:t>
      </w:r>
      <w:r>
        <w:t xml:space="preserve"> January </w:t>
      </w:r>
      <w:r w:rsidRPr="00343BC2">
        <w:t>2021 (AUST R 346290) with provisional registration, for individuals aged 16 years and older. Since this time provisional registration for primary vaccination has been granted for individuals aged at least 6 months old. A first booster dose (</w:t>
      </w:r>
      <w:r>
        <w:t>that is</w:t>
      </w:r>
      <w:r w:rsidRPr="00343BC2">
        <w:t xml:space="preserve">, Dose 3) was provisionally approved for individuals 18 </w:t>
      </w:r>
      <w:r>
        <w:t>years of age or older</w:t>
      </w:r>
      <w:r w:rsidRPr="00343BC2">
        <w:t xml:space="preserve"> on 26</w:t>
      </w:r>
      <w:r>
        <w:t xml:space="preserve"> October </w:t>
      </w:r>
      <w:r w:rsidRPr="00343BC2">
        <w:t>2021 followed by approvals for a</w:t>
      </w:r>
      <w:r>
        <w:t xml:space="preserve"> third</w:t>
      </w:r>
      <w:r w:rsidRPr="00343BC2">
        <w:t xml:space="preserve"> dose for individuals aged at least 5 </w:t>
      </w:r>
      <w:r>
        <w:t>years of age or older</w:t>
      </w:r>
      <w:r w:rsidRPr="00343BC2">
        <w:t>. (</w:t>
      </w:r>
      <w:r>
        <w:fldChar w:fldCharType="begin"/>
      </w:r>
      <w:r>
        <w:instrText xml:space="preserve"> REF _Ref136940784 \h </w:instrText>
      </w:r>
      <w:r>
        <w:fldChar w:fldCharType="separate"/>
      </w:r>
      <w:r w:rsidR="00237257">
        <w:t xml:space="preserve">Table </w:t>
      </w:r>
      <w:r w:rsidR="00237257">
        <w:rPr>
          <w:noProof/>
        </w:rPr>
        <w:t>6</w:t>
      </w:r>
      <w:r>
        <w:fldChar w:fldCharType="end"/>
      </w:r>
      <w:r w:rsidRPr="00343BC2">
        <w:t>).</w:t>
      </w:r>
    </w:p>
    <w:p w14:paraId="24DE6923" w14:textId="77D3919B" w:rsidR="00343BC2" w:rsidRDefault="00343BC2" w:rsidP="00343BC2">
      <w:pPr>
        <w:pStyle w:val="TableTitle"/>
      </w:pPr>
      <w:bookmarkStart w:id="34" w:name="_Ref136940784"/>
      <w:r>
        <w:t xml:space="preserve">Table </w:t>
      </w:r>
      <w:fldSimple w:instr=" SEQ Table \* ARABIC ">
        <w:r w:rsidR="00237257">
          <w:rPr>
            <w:noProof/>
          </w:rPr>
          <w:t>6</w:t>
        </w:r>
      </w:fldSimple>
      <w:bookmarkEnd w:id="34"/>
      <w:r>
        <w:t>: Timeline of provisional registration events for Comirnaty (tozinameran)</w:t>
      </w:r>
    </w:p>
    <w:tbl>
      <w:tblPr>
        <w:tblStyle w:val="TableTGAblue2023"/>
        <w:tblW w:w="0" w:type="auto"/>
        <w:tblLook w:val="04A0" w:firstRow="1" w:lastRow="0" w:firstColumn="1" w:lastColumn="0" w:noHBand="0" w:noVBand="1"/>
      </w:tblPr>
      <w:tblGrid>
        <w:gridCol w:w="2405"/>
        <w:gridCol w:w="6655"/>
      </w:tblGrid>
      <w:tr w:rsidR="00343BC2" w14:paraId="0B3A3396" w14:textId="77777777" w:rsidTr="00684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4F0D211" w14:textId="4EA014F9" w:rsidR="00343BC2" w:rsidRPr="00343BC2" w:rsidRDefault="00343BC2" w:rsidP="00343BC2">
            <w:pPr>
              <w:pStyle w:val="TableTitle"/>
              <w:rPr>
                <w:b/>
                <w:bCs/>
              </w:rPr>
            </w:pPr>
            <w:r w:rsidRPr="00343BC2">
              <w:rPr>
                <w:b/>
                <w:bCs/>
              </w:rPr>
              <w:t>Date</w:t>
            </w:r>
          </w:p>
        </w:tc>
        <w:tc>
          <w:tcPr>
            <w:tcW w:w="6655" w:type="dxa"/>
          </w:tcPr>
          <w:p w14:paraId="25B77CC4" w14:textId="1CDED0D3" w:rsidR="00343BC2" w:rsidRPr="00343BC2" w:rsidRDefault="00343BC2" w:rsidP="00343BC2">
            <w:pPr>
              <w:pStyle w:val="TableTitle"/>
              <w:cnfStyle w:val="100000000000" w:firstRow="1" w:lastRow="0" w:firstColumn="0" w:lastColumn="0" w:oddVBand="0" w:evenVBand="0" w:oddHBand="0" w:evenHBand="0" w:firstRowFirstColumn="0" w:firstRowLastColumn="0" w:lastRowFirstColumn="0" w:lastRowLastColumn="0"/>
              <w:rPr>
                <w:b/>
                <w:bCs/>
              </w:rPr>
            </w:pPr>
            <w:r>
              <w:rPr>
                <w:b/>
                <w:bCs/>
              </w:rPr>
              <w:t>Application</w:t>
            </w:r>
          </w:p>
        </w:tc>
      </w:tr>
      <w:tr w:rsidR="00343BC2" w14:paraId="7FDD2D91"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52D9C6CD" w14:textId="2FCD83B7" w:rsidR="00343BC2" w:rsidRPr="00343BC2" w:rsidRDefault="00343BC2" w:rsidP="00343BC2">
            <w:r w:rsidRPr="00343BC2">
              <w:t>25 January 2021</w:t>
            </w:r>
          </w:p>
        </w:tc>
        <w:tc>
          <w:tcPr>
            <w:tcW w:w="6655" w:type="dxa"/>
          </w:tcPr>
          <w:p w14:paraId="07AC80FD" w14:textId="15FFF992"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For individuals aged 16 years and over</w:t>
            </w:r>
          </w:p>
        </w:tc>
      </w:tr>
      <w:tr w:rsidR="00343BC2" w14:paraId="39769213"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632A14B3" w14:textId="54675BBC" w:rsidR="00343BC2" w:rsidRPr="00343BC2" w:rsidRDefault="00343BC2" w:rsidP="00343BC2">
            <w:r w:rsidRPr="00343BC2">
              <w:t>22 July 2021</w:t>
            </w:r>
          </w:p>
        </w:tc>
        <w:tc>
          <w:tcPr>
            <w:tcW w:w="6655" w:type="dxa"/>
          </w:tcPr>
          <w:p w14:paraId="60690F23" w14:textId="5403BD87"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For individuals aged 12 years and over</w:t>
            </w:r>
          </w:p>
        </w:tc>
      </w:tr>
      <w:tr w:rsidR="00343BC2" w14:paraId="5F7E2703"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14CEAD02" w14:textId="44892D92" w:rsidR="00343BC2" w:rsidRPr="00343BC2" w:rsidRDefault="00343BC2" w:rsidP="00343BC2">
            <w:r w:rsidRPr="00343BC2">
              <w:t>26 October 2021</w:t>
            </w:r>
          </w:p>
        </w:tc>
        <w:tc>
          <w:tcPr>
            <w:tcW w:w="6655" w:type="dxa"/>
          </w:tcPr>
          <w:p w14:paraId="57CFF1DA" w14:textId="053B7EB0"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Booster dose for individuals 18 years and over</w:t>
            </w:r>
          </w:p>
        </w:tc>
      </w:tr>
      <w:tr w:rsidR="00343BC2" w14:paraId="169D568E"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05AB90BC" w14:textId="7A6D2332" w:rsidR="00343BC2" w:rsidRPr="00343BC2" w:rsidRDefault="00343BC2" w:rsidP="00343BC2">
            <w:r w:rsidRPr="00343BC2">
              <w:t>3 December 2021</w:t>
            </w:r>
          </w:p>
        </w:tc>
        <w:tc>
          <w:tcPr>
            <w:tcW w:w="6655" w:type="dxa"/>
          </w:tcPr>
          <w:p w14:paraId="21DC2C54" w14:textId="7124C36B"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For individuals 5 years and over</w:t>
            </w:r>
          </w:p>
        </w:tc>
      </w:tr>
      <w:tr w:rsidR="00343BC2" w14:paraId="17294660"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2D0E365E" w14:textId="03690731" w:rsidR="00343BC2" w:rsidRPr="00343BC2" w:rsidRDefault="00343BC2" w:rsidP="00343BC2">
            <w:r w:rsidRPr="00343BC2">
              <w:t>27 January 2022</w:t>
            </w:r>
          </w:p>
        </w:tc>
        <w:tc>
          <w:tcPr>
            <w:tcW w:w="6655" w:type="dxa"/>
          </w:tcPr>
          <w:p w14:paraId="15487125" w14:textId="064F1E00"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Booster dose for individuals 16-17 years old</w:t>
            </w:r>
          </w:p>
        </w:tc>
      </w:tr>
      <w:tr w:rsidR="00343BC2" w14:paraId="2FED2030"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257D919D" w14:textId="3BB3334D" w:rsidR="00343BC2" w:rsidRPr="00343BC2" w:rsidRDefault="00343BC2" w:rsidP="00343BC2">
            <w:r w:rsidRPr="00343BC2">
              <w:t>7 April 2022</w:t>
            </w:r>
          </w:p>
        </w:tc>
        <w:tc>
          <w:tcPr>
            <w:tcW w:w="6655" w:type="dxa"/>
          </w:tcPr>
          <w:p w14:paraId="5D480B7A" w14:textId="3AB8EA74"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Booster dose for individuals aged 12-15 years old</w:t>
            </w:r>
          </w:p>
        </w:tc>
      </w:tr>
      <w:tr w:rsidR="00343BC2" w14:paraId="1DA1D6C4"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36F89540" w14:textId="585B1936" w:rsidR="00343BC2" w:rsidRPr="00343BC2" w:rsidRDefault="00343BC2" w:rsidP="00343BC2">
            <w:r w:rsidRPr="00343BC2">
              <w:t>20 September 2022</w:t>
            </w:r>
          </w:p>
        </w:tc>
        <w:tc>
          <w:tcPr>
            <w:tcW w:w="6655" w:type="dxa"/>
          </w:tcPr>
          <w:p w14:paraId="79827A7C" w14:textId="5A399DF1"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Booster dose for individuals aged 5-11 years old</w:t>
            </w:r>
          </w:p>
        </w:tc>
      </w:tr>
      <w:tr w:rsidR="00343BC2" w14:paraId="2DD63B38" w14:textId="77777777" w:rsidTr="00684286">
        <w:tc>
          <w:tcPr>
            <w:cnfStyle w:val="001000000000" w:firstRow="0" w:lastRow="0" w:firstColumn="1" w:lastColumn="0" w:oddVBand="0" w:evenVBand="0" w:oddHBand="0" w:evenHBand="0" w:firstRowFirstColumn="0" w:firstRowLastColumn="0" w:lastRowFirstColumn="0" w:lastRowLastColumn="0"/>
            <w:tcW w:w="2405" w:type="dxa"/>
          </w:tcPr>
          <w:p w14:paraId="7DAE10E7" w14:textId="1283DE19" w:rsidR="00343BC2" w:rsidRPr="00343BC2" w:rsidRDefault="00343BC2" w:rsidP="00343BC2">
            <w:r w:rsidRPr="00343BC2">
              <w:t>29 September 2022</w:t>
            </w:r>
          </w:p>
        </w:tc>
        <w:tc>
          <w:tcPr>
            <w:tcW w:w="6655" w:type="dxa"/>
          </w:tcPr>
          <w:p w14:paraId="19CB7863" w14:textId="43CAFDEC" w:rsidR="00343BC2" w:rsidRPr="00343BC2" w:rsidRDefault="00343BC2" w:rsidP="00343BC2">
            <w:pPr>
              <w:cnfStyle w:val="000000000000" w:firstRow="0" w:lastRow="0" w:firstColumn="0" w:lastColumn="0" w:oddVBand="0" w:evenVBand="0" w:oddHBand="0" w:evenHBand="0" w:firstRowFirstColumn="0" w:firstRowLastColumn="0" w:lastRowFirstColumn="0" w:lastRowLastColumn="0"/>
            </w:pPr>
            <w:r>
              <w:t>For individuals aged 6 months and over</w:t>
            </w:r>
          </w:p>
        </w:tc>
      </w:tr>
    </w:tbl>
    <w:p w14:paraId="618EE0F9" w14:textId="6A4AAD2A" w:rsidR="00343BC2" w:rsidRPr="00343BC2" w:rsidRDefault="00343BC2" w:rsidP="00343BC2">
      <w:pPr>
        <w:pStyle w:val="Heading4"/>
      </w:pPr>
      <w:bookmarkStart w:id="35" w:name="_Toc144806154"/>
      <w:r>
        <w:lastRenderedPageBreak/>
        <w:t>International regulatory status</w:t>
      </w:r>
      <w:bookmarkEnd w:id="35"/>
    </w:p>
    <w:p w14:paraId="5DDDA89F" w14:textId="36126CAB" w:rsidR="00324B33" w:rsidRPr="00D76632" w:rsidRDefault="00324B33" w:rsidP="00D76632">
      <w:pPr>
        <w:rPr>
          <w:szCs w:val="22"/>
        </w:rPr>
      </w:pPr>
      <w:r w:rsidRPr="00BD5DBD">
        <w:rPr>
          <w:szCs w:val="22"/>
        </w:rPr>
        <w:t>At the time the TGA considered this submission, a similar submission had been approved</w:t>
      </w:r>
      <w:r w:rsidR="00D76632">
        <w:rPr>
          <w:szCs w:val="22"/>
        </w:rPr>
        <w:t xml:space="preserve"> in the European Union (EU) on 27 October 2022 and in the United States of America (USA) on </w:t>
      </w:r>
      <w:r w:rsidR="00D76632" w:rsidRPr="00D76632">
        <w:t>29</w:t>
      </w:r>
      <w:r w:rsidR="00D76632">
        <w:t> </w:t>
      </w:r>
      <w:r w:rsidR="00D76632" w:rsidRPr="00D76632">
        <w:t>March</w:t>
      </w:r>
      <w:r w:rsidR="00D76632">
        <w:rPr>
          <w:szCs w:val="22"/>
        </w:rPr>
        <w:t xml:space="preserve"> 2022</w:t>
      </w:r>
      <w:r w:rsidRPr="00BD5DBD">
        <w:rPr>
          <w:szCs w:val="22"/>
        </w:rPr>
        <w:t>.</w:t>
      </w:r>
    </w:p>
    <w:p w14:paraId="1B9AB90D" w14:textId="3E8AA98C" w:rsidR="00324B33" w:rsidRPr="00BD5DBD" w:rsidRDefault="00324B33" w:rsidP="00324B33">
      <w:pPr>
        <w:rPr>
          <w:szCs w:val="22"/>
        </w:rPr>
      </w:pPr>
      <w:r w:rsidRPr="00BD5DBD">
        <w:rPr>
          <w:szCs w:val="22"/>
        </w:rPr>
        <w:t>The following table summarises these submissions and provides the indications where approved.</w:t>
      </w:r>
    </w:p>
    <w:p w14:paraId="19B9E0AC" w14:textId="6E9CD748" w:rsidR="00324B33" w:rsidRDefault="00324B33" w:rsidP="00324B33">
      <w:pPr>
        <w:pStyle w:val="TableTitle"/>
      </w:pPr>
      <w:bookmarkStart w:id="36" w:name="_Ref99705479"/>
      <w:r>
        <w:t xml:space="preserve">Table </w:t>
      </w:r>
      <w:fldSimple w:instr=" SEQ Table \* ARABIC ">
        <w:r w:rsidR="00237257">
          <w:rPr>
            <w:noProof/>
          </w:rPr>
          <w:t>7</w:t>
        </w:r>
      </w:fldSimple>
      <w:bookmarkEnd w:id="36"/>
      <w:r>
        <w:t>: International regulatory status</w:t>
      </w:r>
    </w:p>
    <w:tbl>
      <w:tblPr>
        <w:tblStyle w:val="TableTGAblue2023"/>
        <w:tblW w:w="5000" w:type="pct"/>
        <w:tblLook w:val="04A0" w:firstRow="1" w:lastRow="0" w:firstColumn="1" w:lastColumn="0" w:noHBand="0" w:noVBand="1"/>
      </w:tblPr>
      <w:tblGrid>
        <w:gridCol w:w="1725"/>
        <w:gridCol w:w="2180"/>
        <w:gridCol w:w="2013"/>
        <w:gridCol w:w="3142"/>
      </w:tblGrid>
      <w:tr w:rsidR="00324B33" w:rsidRPr="00D01DDB" w14:paraId="405E5D78" w14:textId="16839333" w:rsidTr="00343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D01DDB" w:rsidRDefault="00324B33" w:rsidP="00CF66A8">
            <w:pPr>
              <w:spacing w:before="60" w:after="60"/>
              <w:rPr>
                <w:szCs w:val="22"/>
              </w:rPr>
            </w:pPr>
            <w:r w:rsidRPr="00D01DDB">
              <w:rPr>
                <w:szCs w:val="22"/>
              </w:rPr>
              <w:t>Region</w:t>
            </w:r>
          </w:p>
        </w:tc>
        <w:tc>
          <w:tcPr>
            <w:tcW w:w="1018" w:type="pct"/>
          </w:tcPr>
          <w:p w14:paraId="778C35C7" w14:textId="52D23C85" w:rsidR="00324B33" w:rsidRPr="00D01DDB" w:rsidRDefault="00324B33" w:rsidP="00CF66A8">
            <w:pPr>
              <w:spacing w:before="60" w:after="60"/>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3" w:type="pct"/>
          </w:tcPr>
          <w:p w14:paraId="58F81584" w14:textId="66689ABF" w:rsidR="00324B33" w:rsidRPr="00D01DDB" w:rsidRDefault="00324B33" w:rsidP="00CF66A8">
            <w:pPr>
              <w:spacing w:before="60" w:after="60"/>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795" w:type="pct"/>
          </w:tcPr>
          <w:p w14:paraId="50B2D435" w14:textId="560588D2" w:rsidR="00324B33" w:rsidRPr="00D01DDB" w:rsidRDefault="00324B33" w:rsidP="00CF66A8">
            <w:pPr>
              <w:spacing w:before="60" w:after="60"/>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324B33" w:rsidRPr="00D01DDB" w14:paraId="38D24E86" w14:textId="77777777" w:rsidTr="00343BC2">
        <w:tc>
          <w:tcPr>
            <w:cnfStyle w:val="001000000000" w:firstRow="0" w:lastRow="0" w:firstColumn="1" w:lastColumn="0" w:oddVBand="0" w:evenVBand="0" w:oddHBand="0" w:evenHBand="0" w:firstRowFirstColumn="0" w:firstRowLastColumn="0" w:lastRowFirstColumn="0" w:lastRowLastColumn="0"/>
            <w:tcW w:w="1014" w:type="pct"/>
          </w:tcPr>
          <w:p w14:paraId="4C540DE5" w14:textId="478F781F" w:rsidR="00324B33" w:rsidRPr="00D01DDB" w:rsidRDefault="00343BC2" w:rsidP="00CF66A8">
            <w:pPr>
              <w:spacing w:before="60" w:after="60"/>
              <w:rPr>
                <w:szCs w:val="22"/>
              </w:rPr>
            </w:pPr>
            <w:r>
              <w:rPr>
                <w:szCs w:val="22"/>
              </w:rPr>
              <w:t>European Union</w:t>
            </w:r>
          </w:p>
        </w:tc>
        <w:tc>
          <w:tcPr>
            <w:tcW w:w="1018" w:type="pct"/>
          </w:tcPr>
          <w:p w14:paraId="4FA5DDA9" w14:textId="3013DFEF" w:rsidR="00324B33" w:rsidRPr="00D01DDB" w:rsidRDefault="00343BC2"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14 September 2022</w:t>
            </w:r>
          </w:p>
        </w:tc>
        <w:tc>
          <w:tcPr>
            <w:tcW w:w="1173" w:type="pct"/>
          </w:tcPr>
          <w:p w14:paraId="29358393" w14:textId="47570109" w:rsidR="00A81A64" w:rsidRPr="00A81A64" w:rsidRDefault="00324B33" w:rsidP="00684286">
            <w:pPr>
              <w:spacing w:before="60" w:after="60"/>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sidR="00343BC2">
              <w:rPr>
                <w:szCs w:val="22"/>
              </w:rPr>
              <w:t>27 October 2022</w:t>
            </w:r>
          </w:p>
        </w:tc>
        <w:tc>
          <w:tcPr>
            <w:tcW w:w="1795" w:type="pct"/>
          </w:tcPr>
          <w:p w14:paraId="05055674" w14:textId="08C434C1" w:rsidR="00343BC2" w:rsidRPr="00D01DDB" w:rsidRDefault="00343BC2" w:rsidP="00684286">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Changes to indication: None</w:t>
            </w:r>
            <w:r w:rsidR="00684286">
              <w:rPr>
                <w:szCs w:val="22"/>
              </w:rPr>
              <w:t xml:space="preserve"> </w:t>
            </w:r>
            <w:r>
              <w:rPr>
                <w:szCs w:val="22"/>
              </w:rPr>
              <w:t xml:space="preserve">Changes to dosage: </w:t>
            </w:r>
            <w:r w:rsidR="00D76632">
              <w:rPr>
                <w:szCs w:val="22"/>
              </w:rPr>
              <w:t>Fourth dose in individuals 12 years of age and older.</w:t>
            </w:r>
          </w:p>
        </w:tc>
      </w:tr>
      <w:tr w:rsidR="00324B33" w:rsidRPr="00D01DDB" w14:paraId="18B6E2AA" w14:textId="7783D66F" w:rsidTr="00343BC2">
        <w:tc>
          <w:tcPr>
            <w:cnfStyle w:val="001000000000" w:firstRow="0" w:lastRow="0" w:firstColumn="1" w:lastColumn="0" w:oddVBand="0" w:evenVBand="0" w:oddHBand="0" w:evenHBand="0" w:firstRowFirstColumn="0" w:firstRowLastColumn="0" w:lastRowFirstColumn="0" w:lastRowLastColumn="0"/>
            <w:tcW w:w="1014" w:type="pct"/>
          </w:tcPr>
          <w:p w14:paraId="7F348960" w14:textId="7D4D1E40" w:rsidR="00324B33" w:rsidRPr="00D01DDB" w:rsidRDefault="00D76632" w:rsidP="00CF66A8">
            <w:pPr>
              <w:spacing w:before="60" w:after="60"/>
              <w:rPr>
                <w:szCs w:val="22"/>
              </w:rPr>
            </w:pPr>
            <w:r>
              <w:rPr>
                <w:szCs w:val="22"/>
              </w:rPr>
              <w:t>United States of America</w:t>
            </w:r>
          </w:p>
        </w:tc>
        <w:tc>
          <w:tcPr>
            <w:tcW w:w="1018" w:type="pct"/>
          </w:tcPr>
          <w:p w14:paraId="1D871E57" w14:textId="4381B797" w:rsidR="00324B33" w:rsidRPr="00D01DDB" w:rsidRDefault="00D76632"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14 March 2022</w:t>
            </w:r>
          </w:p>
        </w:tc>
        <w:tc>
          <w:tcPr>
            <w:tcW w:w="1173" w:type="pct"/>
          </w:tcPr>
          <w:p w14:paraId="63A3A9D3" w14:textId="1FC9C270" w:rsidR="00324B33" w:rsidRPr="00D01DDB" w:rsidRDefault="00D76632"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Authorised 29 March 2022</w:t>
            </w:r>
          </w:p>
        </w:tc>
        <w:tc>
          <w:tcPr>
            <w:tcW w:w="1795" w:type="pct"/>
          </w:tcPr>
          <w:p w14:paraId="17C650B8" w14:textId="2DD19A9A" w:rsidR="00343BC2" w:rsidRPr="00D01DDB" w:rsidRDefault="00343BC2" w:rsidP="00684286">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Changes to indication: None</w:t>
            </w:r>
            <w:r w:rsidR="00684286">
              <w:rPr>
                <w:szCs w:val="22"/>
              </w:rPr>
              <w:t xml:space="preserve"> </w:t>
            </w:r>
            <w:r>
              <w:rPr>
                <w:szCs w:val="22"/>
              </w:rPr>
              <w:t xml:space="preserve">Changes to dosage: </w:t>
            </w:r>
            <w:r w:rsidR="00D76632">
              <w:rPr>
                <w:szCs w:val="22"/>
              </w:rPr>
              <w:t>Second booster dose for older (50 years or older) and immunocompromised individuals (12 years or older).</w:t>
            </w:r>
          </w:p>
        </w:tc>
      </w:tr>
    </w:tbl>
    <w:p w14:paraId="56170D8F" w14:textId="7489435B" w:rsidR="00324B33" w:rsidRPr="00343BC2" w:rsidRDefault="00343BC2" w:rsidP="00343BC2">
      <w:pPr>
        <w:spacing w:before="120"/>
      </w:pPr>
      <w:r>
        <w:t xml:space="preserve">The sponsor stated that similar applications have not been deferred, </w:t>
      </w:r>
      <w:proofErr w:type="gramStart"/>
      <w:r>
        <w:t>withdrawn</w:t>
      </w:r>
      <w:proofErr w:type="gramEnd"/>
      <w:r>
        <w:t xml:space="preserve"> or rejected in any of the above countries/jurisdictions.</w:t>
      </w:r>
    </w:p>
    <w:p w14:paraId="064CCADF" w14:textId="77777777" w:rsidR="00324B33" w:rsidRDefault="00324B33" w:rsidP="00324B33">
      <w:pPr>
        <w:pStyle w:val="Heading3"/>
      </w:pPr>
      <w:bookmarkStart w:id="37" w:name="_Toc103679292"/>
      <w:bookmarkStart w:id="38" w:name="_Toc144806155"/>
      <w:r>
        <w:t>Product Information</w:t>
      </w:r>
      <w:bookmarkEnd w:id="37"/>
      <w:bookmarkEnd w:id="38"/>
    </w:p>
    <w:p w14:paraId="4B0F7D57" w14:textId="2BCECBF4" w:rsidR="00324B33" w:rsidRPr="00BD5DBD" w:rsidRDefault="00324B33" w:rsidP="00324B33">
      <w:pPr>
        <w:rPr>
          <w:szCs w:val="22"/>
        </w:rPr>
      </w:pPr>
      <w:bookmarkStart w:id="39" w:name="_Toc504480011"/>
      <w:r w:rsidRPr="00BD5DBD">
        <w:rPr>
          <w:szCs w:val="22"/>
        </w:rPr>
        <w:t xml:space="preserve">The </w:t>
      </w:r>
      <w:hyperlink r:id="rId47" w:history="1">
        <w:r w:rsidRPr="00BD5DBD">
          <w:rPr>
            <w:rStyle w:val="Hyperlink"/>
            <w:szCs w:val="22"/>
          </w:rPr>
          <w:t>Product Information</w:t>
        </w:r>
      </w:hyperlink>
      <w:r w:rsidRPr="00BD5DBD">
        <w:rPr>
          <w:szCs w:val="22"/>
        </w:rPr>
        <w:t xml:space="preserve"> (</w:t>
      </w:r>
      <w:hyperlink r:id="rId48" w:history="1">
        <w:r w:rsidRPr="00BD5DBD">
          <w:rPr>
            <w:rStyle w:val="Hyperlink"/>
            <w:szCs w:val="22"/>
          </w:rPr>
          <w:t>PI</w:t>
        </w:r>
      </w:hyperlink>
      <w:r w:rsidRPr="00BD5DBD">
        <w:rPr>
          <w:szCs w:val="22"/>
        </w:rPr>
        <w:t>) approved with the submission which is described in this AusPAR can be found as Attachment 1. For the most recent PI</w:t>
      </w:r>
      <w:r w:rsidR="00A93DC6" w:rsidRPr="00BD5DBD">
        <w:rPr>
          <w:szCs w:val="22"/>
        </w:rPr>
        <w:t xml:space="preserve"> and </w:t>
      </w:r>
      <w:hyperlink r:id="rId49" w:history="1">
        <w:r w:rsidR="00A93DC6" w:rsidRPr="00BD5DBD">
          <w:rPr>
            <w:rStyle w:val="Hyperlink"/>
            <w:szCs w:val="22"/>
          </w:rPr>
          <w:t>Consumer Medicines Information</w:t>
        </w:r>
      </w:hyperlink>
      <w:r w:rsidR="00A93DC6" w:rsidRPr="00BD5DBD">
        <w:rPr>
          <w:szCs w:val="22"/>
        </w:rPr>
        <w:t xml:space="preserve"> (CMI)</w:t>
      </w:r>
      <w:r w:rsidRPr="00BD5DBD">
        <w:rPr>
          <w:szCs w:val="22"/>
        </w:rPr>
        <w:t xml:space="preserve">, please refer to the TGA </w:t>
      </w:r>
      <w:hyperlink r:id="rId50" w:history="1">
        <w:r w:rsidRPr="00BD5DBD">
          <w:rPr>
            <w:rStyle w:val="Hyperlink"/>
            <w:szCs w:val="22"/>
          </w:rPr>
          <w:t>PI/CMI search facility.</w:t>
        </w:r>
      </w:hyperlink>
    </w:p>
    <w:p w14:paraId="6D92589C" w14:textId="77777777" w:rsidR="00324B33" w:rsidRDefault="00324B33" w:rsidP="00324B33">
      <w:pPr>
        <w:pStyle w:val="Heading2"/>
      </w:pPr>
      <w:bookmarkStart w:id="40" w:name="_Toc103679293"/>
      <w:bookmarkStart w:id="41" w:name="_Toc144806156"/>
      <w:r>
        <w:t>Registration timeline</w:t>
      </w:r>
      <w:bookmarkEnd w:id="39"/>
      <w:bookmarkEnd w:id="40"/>
      <w:bookmarkEnd w:id="41"/>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72677AE6" w14:textId="555C2443" w:rsidR="00535DFE" w:rsidRDefault="00535DFE" w:rsidP="00324B33">
      <w:pPr>
        <w:rPr>
          <w:szCs w:val="22"/>
        </w:rPr>
      </w:pPr>
      <w:r w:rsidRPr="00BD5DBD">
        <w:rPr>
          <w:szCs w:val="22"/>
        </w:rPr>
        <w:t xml:space="preserve">This submission was evaluated under the </w:t>
      </w:r>
      <w:hyperlink r:id="rId51" w:history="1">
        <w:r w:rsidRPr="00BD5DBD">
          <w:rPr>
            <w:rStyle w:val="Hyperlink"/>
            <w:szCs w:val="22"/>
          </w:rPr>
          <w:t>provisional registration process for COVID-19 vaccines</w:t>
        </w:r>
      </w:hyperlink>
      <w:r w:rsidRPr="00BD5DBD">
        <w:rPr>
          <w:szCs w:val="22"/>
        </w:rPr>
        <w:t>.</w:t>
      </w:r>
    </w:p>
    <w:p w14:paraId="2B9043AB" w14:textId="08CCEDB7" w:rsidR="00FE7494" w:rsidRPr="00BD5DBD" w:rsidRDefault="00FE7494" w:rsidP="00324B33">
      <w:pPr>
        <w:rPr>
          <w:szCs w:val="22"/>
        </w:rPr>
      </w:pPr>
      <w:r w:rsidRPr="00BD5DBD">
        <w:rPr>
          <w:szCs w:val="22"/>
        </w:rPr>
        <w:t>Data were provided as a rolling submission. Under normal circumstances, TGA's assessment (for both provisional and general registration) begins once all information to support registration is available. As part of the Department of Health and Aged Care's response to the pandemic, the TGA has agreed to accept rolling data for COVID-19 vaccines and treatments, to enable early evaluation of data as it becomes available.</w:t>
      </w:r>
    </w:p>
    <w:p w14:paraId="06850328" w14:textId="1A91393D" w:rsidR="00C22214" w:rsidRPr="00BD5DBD" w:rsidRDefault="00324B33" w:rsidP="00CF66A8">
      <w:pPr>
        <w:pStyle w:val="TableTitle"/>
      </w:pPr>
      <w:r w:rsidRPr="00CF66A8">
        <w:t xml:space="preserve">Table </w:t>
      </w:r>
      <w:fldSimple w:instr=" SEQ Table \* ARABIC ">
        <w:r w:rsidR="00237257">
          <w:rPr>
            <w:noProof/>
          </w:rPr>
          <w:t>8</w:t>
        </w:r>
      </w:fldSimple>
      <w:r w:rsidRPr="00CF66A8">
        <w:t>:</w:t>
      </w:r>
      <w:r w:rsidRPr="00D76632">
        <w:t xml:space="preserve"> Timeline for Submission </w:t>
      </w:r>
      <w:r w:rsidR="00D76632" w:rsidRPr="00D3609A">
        <w:t>PM-2022-04970-1-2</w:t>
      </w:r>
      <w:r w:rsidR="00C22214" w:rsidRPr="00BD5DBD">
        <w:t>.</w:t>
      </w:r>
    </w:p>
    <w:tbl>
      <w:tblPr>
        <w:tblStyle w:val="TableTGAblue2023"/>
        <w:tblW w:w="8780" w:type="dxa"/>
        <w:tblLook w:val="04A0" w:firstRow="1" w:lastRow="0" w:firstColumn="1" w:lastColumn="0" w:noHBand="0" w:noVBand="1"/>
      </w:tblPr>
      <w:tblGrid>
        <w:gridCol w:w="5949"/>
        <w:gridCol w:w="2831"/>
      </w:tblGrid>
      <w:tr w:rsidR="00C22214" w:rsidRPr="00D01DDB" w14:paraId="1E6392AD" w14:textId="77777777" w:rsidTr="00684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7E60B8C" w14:textId="0D831017" w:rsidR="00C22214" w:rsidRPr="00D01DDB" w:rsidRDefault="00C22214" w:rsidP="00CF66A8">
            <w:pPr>
              <w:spacing w:before="60" w:after="60"/>
              <w:rPr>
                <w:szCs w:val="22"/>
              </w:rPr>
            </w:pPr>
            <w:r w:rsidRPr="00D01DDB">
              <w:rPr>
                <w:szCs w:val="22"/>
              </w:rPr>
              <w:t>Description</w:t>
            </w:r>
          </w:p>
        </w:tc>
        <w:tc>
          <w:tcPr>
            <w:tcW w:w="2831" w:type="dxa"/>
          </w:tcPr>
          <w:p w14:paraId="0F55D5BA" w14:textId="780CEEDC" w:rsidR="00C22214" w:rsidRPr="00D01DDB" w:rsidRDefault="00C22214" w:rsidP="00CF66A8">
            <w:pPr>
              <w:spacing w:before="60" w:after="60"/>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C22214" w:rsidRPr="00D01DDB" w14:paraId="25F5A953"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10BB7432" w14:textId="2CD65A5B" w:rsidR="00C22214" w:rsidRPr="00D01DDB" w:rsidRDefault="00C22214" w:rsidP="00CF66A8">
            <w:pPr>
              <w:spacing w:before="60" w:after="60"/>
              <w:rPr>
                <w:szCs w:val="22"/>
              </w:rPr>
            </w:pPr>
            <w:r w:rsidRPr="00D01DDB">
              <w:rPr>
                <w:szCs w:val="22"/>
              </w:rPr>
              <w:t>Submission dossier accepted and first round evaluation commenced</w:t>
            </w:r>
          </w:p>
        </w:tc>
        <w:tc>
          <w:tcPr>
            <w:tcW w:w="2831" w:type="dxa"/>
          </w:tcPr>
          <w:p w14:paraId="026568FA" w14:textId="450ABD93" w:rsidR="00D76632" w:rsidRPr="00D76632" w:rsidRDefault="00F128A8" w:rsidP="00F128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9 January 2023</w:t>
            </w:r>
          </w:p>
        </w:tc>
      </w:tr>
      <w:tr w:rsidR="00C22214" w:rsidRPr="00D01DDB" w14:paraId="66817B4D"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43F1966F" w14:textId="36552DC6" w:rsidR="00C22214" w:rsidRPr="00D01DDB" w:rsidRDefault="00C22214" w:rsidP="00CF66A8">
            <w:pPr>
              <w:spacing w:before="60" w:after="60"/>
              <w:rPr>
                <w:szCs w:val="22"/>
              </w:rPr>
            </w:pPr>
            <w:r w:rsidRPr="00D01DDB">
              <w:rPr>
                <w:szCs w:val="22"/>
              </w:rPr>
              <w:t>Evaluation completed</w:t>
            </w:r>
          </w:p>
        </w:tc>
        <w:tc>
          <w:tcPr>
            <w:tcW w:w="2831" w:type="dxa"/>
          </w:tcPr>
          <w:p w14:paraId="2624F31D" w14:textId="6AAF37E4" w:rsidR="00D76632" w:rsidRPr="00D76632" w:rsidRDefault="00A80B0C" w:rsidP="00F128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1 May 2023</w:t>
            </w:r>
          </w:p>
        </w:tc>
      </w:tr>
      <w:tr w:rsidR="00C22214" w:rsidRPr="00D01DDB" w14:paraId="4F6872C6"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013F36F2" w14:textId="2B3D42F2" w:rsidR="00C22214" w:rsidRPr="00D01DDB" w:rsidRDefault="00C22214" w:rsidP="00CF66A8">
            <w:pPr>
              <w:spacing w:before="60" w:after="60"/>
              <w:rPr>
                <w:szCs w:val="22"/>
              </w:rPr>
            </w:pPr>
            <w:r w:rsidRPr="00D01DDB">
              <w:rPr>
                <w:szCs w:val="22"/>
              </w:rPr>
              <w:lastRenderedPageBreak/>
              <w:t xml:space="preserve">Delegate’s Overall benefit-risk assessment </w:t>
            </w:r>
            <w:r w:rsidRPr="00A81A64">
              <w:rPr>
                <w:color w:val="auto"/>
                <w:szCs w:val="22"/>
              </w:rPr>
              <w:t>and request for Advisory Committee advice</w:t>
            </w:r>
          </w:p>
        </w:tc>
        <w:tc>
          <w:tcPr>
            <w:tcW w:w="2831" w:type="dxa"/>
          </w:tcPr>
          <w:p w14:paraId="712B89B3" w14:textId="083BBE3C" w:rsidR="00C22214" w:rsidRPr="00D01DDB" w:rsidRDefault="00A81A64"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25 May 2023</w:t>
            </w:r>
          </w:p>
        </w:tc>
      </w:tr>
      <w:tr w:rsidR="00C22214" w:rsidRPr="00D01DDB" w14:paraId="3E7B1E31"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150B30FD" w14:textId="67CFF919" w:rsidR="00C22214" w:rsidRPr="00D01DDB" w:rsidRDefault="00C22214" w:rsidP="00CF66A8">
            <w:pPr>
              <w:spacing w:before="60" w:after="60"/>
              <w:rPr>
                <w:szCs w:val="22"/>
              </w:rPr>
            </w:pPr>
            <w:r w:rsidRPr="00D01DDB">
              <w:rPr>
                <w:szCs w:val="22"/>
              </w:rPr>
              <w:t>Sponsor’s pre-Advisory Committee response</w:t>
            </w:r>
          </w:p>
        </w:tc>
        <w:tc>
          <w:tcPr>
            <w:tcW w:w="2831" w:type="dxa"/>
          </w:tcPr>
          <w:p w14:paraId="69631301" w14:textId="3E415545" w:rsidR="00C22214" w:rsidRPr="00D01DDB" w:rsidRDefault="00A81A64"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1 June 2023</w:t>
            </w:r>
          </w:p>
        </w:tc>
      </w:tr>
      <w:tr w:rsidR="00C22214" w:rsidRPr="00D01DDB" w14:paraId="075CCA22"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6FFA2C67" w14:textId="30942334" w:rsidR="00C22214" w:rsidRPr="00D01DDB" w:rsidRDefault="00C22214" w:rsidP="00CF66A8">
            <w:pPr>
              <w:spacing w:before="60" w:after="60"/>
              <w:rPr>
                <w:szCs w:val="22"/>
              </w:rPr>
            </w:pPr>
            <w:r w:rsidRPr="00D01DDB">
              <w:rPr>
                <w:szCs w:val="22"/>
              </w:rPr>
              <w:t>Advisory Committee meeting</w:t>
            </w:r>
          </w:p>
        </w:tc>
        <w:tc>
          <w:tcPr>
            <w:tcW w:w="2831" w:type="dxa"/>
          </w:tcPr>
          <w:p w14:paraId="6B8655BD" w14:textId="48C0DF16" w:rsidR="00C22214" w:rsidRPr="00D01DDB" w:rsidRDefault="00D3609A"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7 June 2023</w:t>
            </w:r>
          </w:p>
        </w:tc>
      </w:tr>
      <w:tr w:rsidR="00C22214" w:rsidRPr="00D01DDB" w14:paraId="7EF4EDFC"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1E268797" w14:textId="3E1743AE" w:rsidR="00C22214" w:rsidRPr="00D01DDB" w:rsidRDefault="00C22214" w:rsidP="00CF66A8">
            <w:pPr>
              <w:spacing w:before="60" w:after="60"/>
              <w:rPr>
                <w:szCs w:val="22"/>
              </w:rPr>
            </w:pPr>
            <w:r w:rsidRPr="00D01DDB">
              <w:rPr>
                <w:szCs w:val="22"/>
              </w:rPr>
              <w:t>Registration decision (Outcome)</w:t>
            </w:r>
          </w:p>
        </w:tc>
        <w:tc>
          <w:tcPr>
            <w:tcW w:w="2831" w:type="dxa"/>
          </w:tcPr>
          <w:p w14:paraId="472C5C42" w14:textId="7A7426A8" w:rsidR="00C22214" w:rsidRPr="00D01DDB" w:rsidRDefault="00A80B0C"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23 August 2023</w:t>
            </w:r>
          </w:p>
        </w:tc>
      </w:tr>
      <w:tr w:rsidR="00C22214" w:rsidRPr="00D01DDB" w14:paraId="7545F43F"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1A313219" w14:textId="13622BD8" w:rsidR="00C22214" w:rsidRPr="00D01DDB" w:rsidRDefault="0013132F" w:rsidP="00CF66A8">
            <w:pPr>
              <w:spacing w:before="60" w:after="60"/>
              <w:rPr>
                <w:szCs w:val="22"/>
              </w:rPr>
            </w:pPr>
            <w:r>
              <w:t>Administrative activities and registration on the ARTG completed</w:t>
            </w:r>
          </w:p>
        </w:tc>
        <w:tc>
          <w:tcPr>
            <w:tcW w:w="2831" w:type="dxa"/>
          </w:tcPr>
          <w:p w14:paraId="6C5BA7F2" w14:textId="7A1DF5FA" w:rsidR="00C22214" w:rsidRPr="00D01DDB" w:rsidRDefault="00714AC8"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6 September 2023</w:t>
            </w:r>
          </w:p>
        </w:tc>
      </w:tr>
      <w:tr w:rsidR="00C22214" w:rsidRPr="00D01DDB" w14:paraId="2B3F361E" w14:textId="77777777" w:rsidTr="00684286">
        <w:tc>
          <w:tcPr>
            <w:cnfStyle w:val="001000000000" w:firstRow="0" w:lastRow="0" w:firstColumn="1" w:lastColumn="0" w:oddVBand="0" w:evenVBand="0" w:oddHBand="0" w:evenHBand="0" w:firstRowFirstColumn="0" w:firstRowLastColumn="0" w:lastRowFirstColumn="0" w:lastRowLastColumn="0"/>
            <w:tcW w:w="5949" w:type="dxa"/>
          </w:tcPr>
          <w:p w14:paraId="1FD7EBAF" w14:textId="261EDACC" w:rsidR="00C22214" w:rsidRPr="00D01DDB" w:rsidRDefault="00C22214" w:rsidP="00CF66A8">
            <w:pPr>
              <w:spacing w:before="60" w:after="60"/>
              <w:rPr>
                <w:szCs w:val="22"/>
              </w:rPr>
            </w:pPr>
            <w:r w:rsidRPr="00D01DDB">
              <w:rPr>
                <w:szCs w:val="22"/>
              </w:rPr>
              <w:t>Number of working days from submission dossier acceptance to registration decision*</w:t>
            </w:r>
          </w:p>
        </w:tc>
        <w:tc>
          <w:tcPr>
            <w:tcW w:w="2831" w:type="dxa"/>
          </w:tcPr>
          <w:p w14:paraId="397960F5" w14:textId="5821C0AD" w:rsidR="00C22214" w:rsidRPr="00D01DDB" w:rsidRDefault="00714AC8" w:rsidP="00CF66A8">
            <w:pPr>
              <w:spacing w:before="60" w:after="60"/>
              <w:cnfStyle w:val="000000000000" w:firstRow="0" w:lastRow="0" w:firstColumn="0" w:lastColumn="0" w:oddVBand="0" w:evenVBand="0" w:oddHBand="0" w:evenHBand="0" w:firstRowFirstColumn="0" w:firstRowLastColumn="0" w:lastRowFirstColumn="0" w:lastRowLastColumn="0"/>
              <w:rPr>
                <w:szCs w:val="22"/>
              </w:rPr>
            </w:pPr>
            <w:r>
              <w:rPr>
                <w:szCs w:val="22"/>
              </w:rPr>
              <w:t>156</w:t>
            </w:r>
          </w:p>
        </w:tc>
      </w:tr>
    </w:tbl>
    <w:p w14:paraId="34E07584" w14:textId="77777777" w:rsidR="00C22214" w:rsidRDefault="00C22214" w:rsidP="00C22214">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42" w:name="_Toc196046504"/>
      <w:bookmarkStart w:id="43" w:name="_Toc247691527"/>
      <w:bookmarkStart w:id="44" w:name="_Toc314842510"/>
      <w:bookmarkStart w:id="45" w:name="_Toc103679294"/>
      <w:bookmarkStart w:id="46" w:name="_Toc144806157"/>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42"/>
      <w:bookmarkEnd w:id="43"/>
      <w:bookmarkEnd w:id="44"/>
      <w:bookmarkEnd w:id="45"/>
      <w:bookmarkEnd w:id="46"/>
    </w:p>
    <w:p w14:paraId="540151FC" w14:textId="77777777" w:rsidR="00C22214" w:rsidRPr="00BD5DBD" w:rsidRDefault="00C22214" w:rsidP="00BD5DBD">
      <w:pPr>
        <w:rPr>
          <w:szCs w:val="22"/>
        </w:rPr>
      </w:pPr>
      <w:bookmarkStart w:id="47" w:name="_Toc247691528"/>
      <w:bookmarkStart w:id="48" w:name="_Toc314842511"/>
      <w:r w:rsidRPr="00BD5DBD">
        <w:rPr>
          <w:szCs w:val="22"/>
        </w:rPr>
        <w:t>A summary of the TGA’s assessment for this submission is provided below.</w:t>
      </w:r>
    </w:p>
    <w:p w14:paraId="37F5A1C0" w14:textId="77777777" w:rsidR="00C22214" w:rsidRDefault="00C22214" w:rsidP="00C22214">
      <w:pPr>
        <w:pStyle w:val="Heading3"/>
      </w:pPr>
      <w:bookmarkStart w:id="49" w:name="_Toc103679295"/>
      <w:bookmarkStart w:id="50" w:name="_Toc144806158"/>
      <w:r>
        <w:t>Quality</w:t>
      </w:r>
      <w:bookmarkEnd w:id="47"/>
      <w:bookmarkEnd w:id="48"/>
      <w:bookmarkEnd w:id="49"/>
      <w:bookmarkEnd w:id="50"/>
    </w:p>
    <w:p w14:paraId="29A3BB75" w14:textId="1AA34ACF" w:rsidR="00A01C56" w:rsidRPr="00BD5DBD" w:rsidRDefault="00FE7494" w:rsidP="00637F0E">
      <w:pPr>
        <w:rPr>
          <w:szCs w:val="22"/>
        </w:rPr>
      </w:pPr>
      <w:r>
        <w:rPr>
          <w:szCs w:val="22"/>
        </w:rPr>
        <w:t>A new q</w:t>
      </w:r>
      <w:r w:rsidR="00637F0E" w:rsidRPr="00BD5DBD">
        <w:rPr>
          <w:szCs w:val="22"/>
        </w:rPr>
        <w:t>uality evaluation is not required for this submission as there are no proposed changes to the quality of the currently approved product</w:t>
      </w:r>
      <w:r>
        <w:rPr>
          <w:szCs w:val="22"/>
        </w:rPr>
        <w:t>s available</w:t>
      </w:r>
      <w:r w:rsidR="00637F0E" w:rsidRPr="00BD5DBD">
        <w:rPr>
          <w:szCs w:val="22"/>
        </w:rPr>
        <w:t xml:space="preserve"> in Australia.</w:t>
      </w:r>
      <w:r w:rsidR="00C816C6" w:rsidRPr="00BD5DBD">
        <w:rPr>
          <w:szCs w:val="22"/>
        </w:rPr>
        <w:t xml:space="preserve"> The quality of the currently approved product is suitable for the proposed changes in this submission.</w:t>
      </w:r>
      <w:r w:rsidR="00637F0E" w:rsidRPr="00BD5DBD">
        <w:rPr>
          <w:szCs w:val="22"/>
        </w:rPr>
        <w:t xml:space="preserve"> A full quality evaluation was conducted at the time </w:t>
      </w:r>
      <w:r w:rsidR="003973A8">
        <w:rPr>
          <w:szCs w:val="22"/>
        </w:rPr>
        <w:t>the Comirnaty COVID-19 vaccine</w:t>
      </w:r>
      <w:r w:rsidR="003973A8" w:rsidRPr="00BD5DBD">
        <w:rPr>
          <w:szCs w:val="22"/>
        </w:rPr>
        <w:t xml:space="preserve"> </w:t>
      </w:r>
      <w:r w:rsidR="00637F0E" w:rsidRPr="00BD5DBD">
        <w:rPr>
          <w:szCs w:val="22"/>
        </w:rPr>
        <w:t>received initial registration</w:t>
      </w:r>
      <w:r w:rsidR="004C038C">
        <w:rPr>
          <w:szCs w:val="22"/>
        </w:rPr>
        <w:t>.</w:t>
      </w:r>
      <w:r w:rsidR="00A01C56" w:rsidRPr="00BD5DBD">
        <w:rPr>
          <w:rStyle w:val="FootnoteReference"/>
          <w:szCs w:val="22"/>
        </w:rPr>
        <w:footnoteReference w:id="14"/>
      </w:r>
      <w:r w:rsidR="003973A8">
        <w:rPr>
          <w:szCs w:val="22"/>
          <w:vertAlign w:val="superscript"/>
        </w:rPr>
        <w:t>,</w:t>
      </w:r>
      <w:r w:rsidR="00EB14B2">
        <w:rPr>
          <w:szCs w:val="22"/>
          <w:vertAlign w:val="superscript"/>
        </w:rPr>
        <w:t xml:space="preserve"> </w:t>
      </w:r>
      <w:r>
        <w:rPr>
          <w:rStyle w:val="FootnoteReference"/>
          <w:szCs w:val="22"/>
        </w:rPr>
        <w:footnoteReference w:id="15"/>
      </w:r>
    </w:p>
    <w:p w14:paraId="2BE90AAE" w14:textId="77777777" w:rsidR="00C22214" w:rsidRDefault="00C22214" w:rsidP="00C22214">
      <w:pPr>
        <w:pStyle w:val="Heading3"/>
      </w:pPr>
      <w:bookmarkStart w:id="51" w:name="_Toc314842512"/>
      <w:bookmarkStart w:id="52" w:name="_Toc103679296"/>
      <w:bookmarkStart w:id="53" w:name="_Toc144806159"/>
      <w:r>
        <w:t>Nonclinical</w:t>
      </w:r>
      <w:bookmarkEnd w:id="51"/>
      <w:bookmarkEnd w:id="52"/>
      <w:bookmarkEnd w:id="53"/>
    </w:p>
    <w:p w14:paraId="19418FC4" w14:textId="7264E310" w:rsidR="00EE36D0" w:rsidRPr="00CF66A8" w:rsidRDefault="008804CF" w:rsidP="008804CF">
      <w:pPr>
        <w:rPr>
          <w:szCs w:val="22"/>
        </w:rPr>
      </w:pPr>
      <w:bookmarkStart w:id="54" w:name="_Toc247691530"/>
      <w:bookmarkStart w:id="55" w:name="_Toc314842513"/>
      <w:bookmarkStart w:id="56" w:name="_Toc103679297"/>
      <w:r w:rsidRPr="00BD5DBD">
        <w:rPr>
          <w:szCs w:val="22"/>
        </w:rPr>
        <w:t>No new nonclinical data or further nonclinical evaluation were required for this submission.</w:t>
      </w:r>
      <w:r w:rsidR="008C754C" w:rsidRPr="00BD5DBD">
        <w:rPr>
          <w:szCs w:val="22"/>
        </w:rPr>
        <w:t xml:space="preserve"> </w:t>
      </w:r>
      <w:r w:rsidRPr="00BD5DBD">
        <w:rPr>
          <w:szCs w:val="22"/>
        </w:rPr>
        <w:t>The TGA considers that previously submitted and evaluated data satisfactorily address nonclinical aspects of safety/efficacy relating to this submission</w:t>
      </w:r>
      <w:r w:rsidR="00F865A7" w:rsidRPr="00BD5DBD">
        <w:rPr>
          <w:szCs w:val="22"/>
        </w:rPr>
        <w:t>.</w:t>
      </w:r>
    </w:p>
    <w:p w14:paraId="35B580A5" w14:textId="69B9BE44" w:rsidR="00C22214" w:rsidRDefault="00C22214" w:rsidP="008804CF">
      <w:pPr>
        <w:pStyle w:val="Heading3"/>
      </w:pPr>
      <w:bookmarkStart w:id="57" w:name="_Toc144806160"/>
      <w:r>
        <w:t>Clinical</w:t>
      </w:r>
      <w:bookmarkEnd w:id="54"/>
      <w:bookmarkEnd w:id="55"/>
      <w:bookmarkEnd w:id="56"/>
      <w:bookmarkEnd w:id="57"/>
    </w:p>
    <w:p w14:paraId="32B0DEDA" w14:textId="77777777" w:rsidR="00C22214" w:rsidRPr="00433318" w:rsidRDefault="00C22214" w:rsidP="00433318">
      <w:pPr>
        <w:pStyle w:val="Heading4"/>
      </w:pPr>
      <w:bookmarkStart w:id="58" w:name="_Toc98931928"/>
      <w:bookmarkStart w:id="59" w:name="_Toc144806161"/>
      <w:r>
        <w:t>Summary of clinical studies</w:t>
      </w:r>
      <w:bookmarkEnd w:id="58"/>
      <w:bookmarkEnd w:id="59"/>
    </w:p>
    <w:p w14:paraId="7E513C99" w14:textId="2367E209" w:rsidR="00EE36D0" w:rsidRDefault="004C038C" w:rsidP="004C038C">
      <w:r w:rsidRPr="004C038C">
        <w:t xml:space="preserve">The </w:t>
      </w:r>
      <w:r w:rsidR="00C56D8A">
        <w:t>sponsor</w:t>
      </w:r>
      <w:r w:rsidRPr="004C038C">
        <w:t xml:space="preserve"> </w:t>
      </w:r>
      <w:r w:rsidR="00EE36D0">
        <w:t>has presented</w:t>
      </w:r>
      <w:r w:rsidR="00EE36D0" w:rsidRPr="004C038C">
        <w:t xml:space="preserve"> </w:t>
      </w:r>
      <w:r w:rsidR="00EE36D0">
        <w:t>the following clinical data in support of this submission:</w:t>
      </w:r>
    </w:p>
    <w:p w14:paraId="39726C67" w14:textId="40B22165" w:rsidR="00EE36D0" w:rsidRDefault="00EE36D0" w:rsidP="00CF66A8">
      <w:pPr>
        <w:pStyle w:val="ListBullet"/>
      </w:pPr>
      <w:r>
        <w:t xml:space="preserve">Study C4591031, </w:t>
      </w:r>
      <w:proofErr w:type="spellStart"/>
      <w:r>
        <w:t>Substudy</w:t>
      </w:r>
      <w:proofErr w:type="spellEnd"/>
      <w:r>
        <w:t xml:space="preserve"> D:</w:t>
      </w:r>
    </w:p>
    <w:p w14:paraId="623B2ECC" w14:textId="59AB6C30" w:rsidR="009C07B5" w:rsidRDefault="009C07B5" w:rsidP="00CF66A8">
      <w:pPr>
        <w:pStyle w:val="ListBullet2"/>
      </w:pPr>
      <w:r>
        <w:t>Phase III, randomised, observer</w:t>
      </w:r>
      <w:r w:rsidR="00CF66A8">
        <w:t xml:space="preserve"> </w:t>
      </w:r>
      <w:r>
        <w:t>blind clinical trial.</w:t>
      </w:r>
    </w:p>
    <w:p w14:paraId="5FCB1CC5" w14:textId="1DABA23E" w:rsidR="00EE36D0" w:rsidRDefault="00EE36D0" w:rsidP="00CF66A8">
      <w:pPr>
        <w:pStyle w:val="ListBullet2"/>
      </w:pPr>
      <w:r>
        <w:lastRenderedPageBreak/>
        <w:t xml:space="preserve">Provided data from approximately 640 participants (Cohort 2) aged </w:t>
      </w:r>
      <w:r w:rsidR="003973A8">
        <w:t xml:space="preserve">from </w:t>
      </w:r>
      <w:r w:rsidR="004C038C" w:rsidRPr="004C038C">
        <w:t>18 to 55 years of age</w:t>
      </w:r>
      <w:r>
        <w:t xml:space="preserve"> who received a second booster (Dose 4) of Comirnaty (tozinameran) COVID-19 vaccine.</w:t>
      </w:r>
    </w:p>
    <w:p w14:paraId="687F03D2" w14:textId="44953E1A" w:rsidR="00EE36D0" w:rsidRDefault="00EE36D0" w:rsidP="00CF66A8">
      <w:pPr>
        <w:pStyle w:val="ListBullet"/>
      </w:pPr>
      <w:r>
        <w:rPr>
          <w:lang w:eastAsia="ja-JP"/>
        </w:rPr>
        <w:t xml:space="preserve">Study C4591031 </w:t>
      </w:r>
      <w:proofErr w:type="spellStart"/>
      <w:r>
        <w:rPr>
          <w:lang w:eastAsia="ja-JP"/>
        </w:rPr>
        <w:t>Substudy</w:t>
      </w:r>
      <w:proofErr w:type="spellEnd"/>
      <w:r>
        <w:rPr>
          <w:lang w:eastAsia="ja-JP"/>
        </w:rPr>
        <w:t xml:space="preserve"> E:</w:t>
      </w:r>
    </w:p>
    <w:p w14:paraId="517ABB88" w14:textId="198FA1D8" w:rsidR="009C07B5" w:rsidRDefault="009C07B5" w:rsidP="00CF66A8">
      <w:pPr>
        <w:pStyle w:val="ListBullet2"/>
      </w:pPr>
      <w:r>
        <w:t>Phase III, randomised, observer</w:t>
      </w:r>
      <w:r w:rsidR="00CF66A8">
        <w:t xml:space="preserve"> </w:t>
      </w:r>
      <w:r>
        <w:t>blind clinical trial.</w:t>
      </w:r>
    </w:p>
    <w:p w14:paraId="1A272328" w14:textId="62F9F8FC" w:rsidR="00EE36D0" w:rsidRDefault="00EE36D0" w:rsidP="00CF66A8">
      <w:pPr>
        <w:pStyle w:val="ListBullet2"/>
      </w:pPr>
      <w:r>
        <w:t>Provided data from approximately</w:t>
      </w:r>
      <w:r>
        <w:rPr>
          <w:lang w:eastAsia="ja-JP"/>
        </w:rPr>
        <w:t xml:space="preserve"> 1840 participants (expanded cohort) aged 55 year or older from Study C4591031 </w:t>
      </w:r>
      <w:proofErr w:type="spellStart"/>
      <w:r>
        <w:rPr>
          <w:lang w:eastAsia="ja-JP"/>
        </w:rPr>
        <w:t>Substudy</w:t>
      </w:r>
      <w:proofErr w:type="spellEnd"/>
      <w:r>
        <w:rPr>
          <w:lang w:eastAsia="ja-JP"/>
        </w:rPr>
        <w:t xml:space="preserve"> E (expanded cohort) </w:t>
      </w:r>
      <w:r>
        <w:t>who received a second booster (Dose 4) of Comirnaty (tozinameran) COVID-19 vaccine.</w:t>
      </w:r>
    </w:p>
    <w:p w14:paraId="2AD1BD7B" w14:textId="5A7EE9F0" w:rsidR="009C07B5" w:rsidRPr="009C07B5" w:rsidRDefault="009C07B5">
      <w:r>
        <w:t>Data from these studies has been previous evaluated in other submissions to the TGA.</w:t>
      </w:r>
      <w:r>
        <w:rPr>
          <w:rStyle w:val="FootnoteReference"/>
        </w:rPr>
        <w:footnoteReference w:id="16"/>
      </w:r>
      <w:r w:rsidR="00CF66A8">
        <w:rPr>
          <w:vertAlign w:val="superscript"/>
        </w:rPr>
        <w:t>,</w:t>
      </w:r>
      <w:r>
        <w:rPr>
          <w:rStyle w:val="FootnoteReference"/>
        </w:rPr>
        <w:footnoteReference w:id="17"/>
      </w:r>
    </w:p>
    <w:p w14:paraId="4B58EB4A" w14:textId="3BC4365A" w:rsidR="004C038C" w:rsidRPr="004C038C" w:rsidRDefault="004C038C" w:rsidP="004C038C">
      <w:r w:rsidRPr="004C038C">
        <w:t xml:space="preserve">Relevant data from Study C4591044 </w:t>
      </w:r>
      <w:r w:rsidR="00C56D8A">
        <w:t>and r</w:t>
      </w:r>
      <w:r w:rsidR="00C56D8A" w:rsidRPr="004C038C">
        <w:t>eal</w:t>
      </w:r>
      <w:r w:rsidR="00C56D8A">
        <w:t>-</w:t>
      </w:r>
      <w:r w:rsidR="00C56D8A" w:rsidRPr="004C038C">
        <w:t xml:space="preserve">word evidence data </w:t>
      </w:r>
      <w:r>
        <w:t>were</w:t>
      </w:r>
      <w:r w:rsidRPr="004C038C">
        <w:t xml:space="preserve"> also </w:t>
      </w:r>
      <w:r w:rsidR="00C56D8A">
        <w:t>provided</w:t>
      </w:r>
      <w:r w:rsidR="00AE037B">
        <w:t xml:space="preserve"> and are discussed below</w:t>
      </w:r>
      <w:r w:rsidR="00C56D8A">
        <w:t>.</w:t>
      </w:r>
    </w:p>
    <w:p w14:paraId="73B377B0" w14:textId="77777777" w:rsidR="004C038C" w:rsidRPr="004C038C" w:rsidRDefault="004C038C" w:rsidP="004C038C">
      <w:pPr>
        <w:pStyle w:val="Heading5"/>
      </w:pPr>
      <w:r w:rsidRPr="004C038C">
        <w:t>Study C4591031</w:t>
      </w:r>
    </w:p>
    <w:p w14:paraId="47038D81" w14:textId="18B07225" w:rsidR="004C038C" w:rsidRPr="004C038C" w:rsidRDefault="004C038C" w:rsidP="004C038C">
      <w:r w:rsidRPr="004C038C">
        <w:t xml:space="preserve">This is a Phase </w:t>
      </w:r>
      <w:r>
        <w:t>III</w:t>
      </w:r>
      <w:r w:rsidRPr="004C038C">
        <w:t xml:space="preserve"> master study to evaluate </w:t>
      </w:r>
      <w:r w:rsidR="003973A8">
        <w:t>Comirnaty (tozinameran/</w:t>
      </w:r>
      <w:r w:rsidR="003973A8" w:rsidRPr="004C038C">
        <w:t>BNT162b2</w:t>
      </w:r>
      <w:r w:rsidR="003973A8">
        <w:t>)</w:t>
      </w:r>
      <w:r w:rsidR="003973A8" w:rsidRPr="004C038C">
        <w:t xml:space="preserve"> </w:t>
      </w:r>
      <w:r w:rsidR="003973A8">
        <w:t xml:space="preserve">COVID-19 vaccine </w:t>
      </w:r>
      <w:r w:rsidRPr="004C038C">
        <w:t xml:space="preserve">boosting strategies in healthy individuals previously vaccinated with </w:t>
      </w:r>
      <w:r w:rsidR="003973A8">
        <w:t>Comirnaty (tozinameran) vaccine</w:t>
      </w:r>
      <w:r w:rsidRPr="004C038C">
        <w:t xml:space="preserve">. </w:t>
      </w:r>
      <w:proofErr w:type="spellStart"/>
      <w:r w:rsidRPr="004C038C">
        <w:t>Substudies</w:t>
      </w:r>
      <w:proofErr w:type="spellEnd"/>
      <w:r w:rsidRPr="004C038C">
        <w:t xml:space="preserve"> D and E have been designed to assess the safety, tolerability, and immunogenicity of monovalent and bivalent Omicron variant</w:t>
      </w:r>
      <w:r>
        <w:t xml:space="preserve"> </w:t>
      </w:r>
      <w:r w:rsidRPr="004C038C">
        <w:t>modified vaccine in BNT162b2</w:t>
      </w:r>
      <w:r>
        <w:t xml:space="preserve"> </w:t>
      </w:r>
      <w:r w:rsidRPr="004C038C">
        <w:t>experienced participants enrolled to receive booster dose(s) of either the BNT162b2 prototype vaccine or an Omicron BA.1 variant modified vaccine (BNT162b2 OMI).</w:t>
      </w:r>
    </w:p>
    <w:p w14:paraId="6E585D5C" w14:textId="716EF81A" w:rsidR="004C038C" w:rsidRPr="004C038C" w:rsidRDefault="004C038C" w:rsidP="004C038C">
      <w:proofErr w:type="spellStart"/>
      <w:r w:rsidRPr="004C038C">
        <w:t>Substudy</w:t>
      </w:r>
      <w:proofErr w:type="spellEnd"/>
      <w:r w:rsidRPr="004C038C">
        <w:t xml:space="preserve"> D (Cohort 2) evaluated an additional booster dose </w:t>
      </w:r>
      <w:r w:rsidR="00081C5A">
        <w:t xml:space="preserve">(Dose 4) </w:t>
      </w:r>
      <w:r w:rsidRPr="004C038C">
        <w:t>of BNT162b2 30</w:t>
      </w:r>
      <w:r>
        <w:t> </w:t>
      </w:r>
      <w:r>
        <w:sym w:font="Symbol" w:char="F06D"/>
      </w:r>
      <w:r w:rsidRPr="004C038C">
        <w:t xml:space="preserve">g and the Omicron </w:t>
      </w:r>
      <w:r w:rsidR="00F32401" w:rsidRPr="004C038C">
        <w:t>variant</w:t>
      </w:r>
      <w:r w:rsidR="00F32401">
        <w:t xml:space="preserve"> specific</w:t>
      </w:r>
      <w:r w:rsidRPr="004C038C">
        <w:t xml:space="preserve"> BNT162b2 OMI 30</w:t>
      </w:r>
      <w:r>
        <w:t> </w:t>
      </w:r>
      <w:r>
        <w:sym w:font="Symbol" w:char="F06D"/>
      </w:r>
      <w:r w:rsidRPr="004C038C">
        <w:t>g to approximately 640 BNT162b2</w:t>
      </w:r>
      <w:r>
        <w:t xml:space="preserve"> </w:t>
      </w:r>
      <w:r w:rsidRPr="004C038C">
        <w:t xml:space="preserve">experienced participants in Cohort 2 who have received </w:t>
      </w:r>
      <w:r>
        <w:t xml:space="preserve">three </w:t>
      </w:r>
      <w:r w:rsidRPr="004C038C">
        <w:t>doses of BNT162b2, with their last dose 90 to 180 days prior to randomi</w:t>
      </w:r>
      <w:r w:rsidR="00C56D8A">
        <w:t>s</w:t>
      </w:r>
      <w:r w:rsidRPr="004C038C">
        <w:t>ation at a ratio of 1:1. Randomi</w:t>
      </w:r>
      <w:r w:rsidR="00C56D8A">
        <w:t>s</w:t>
      </w:r>
      <w:r w:rsidRPr="004C038C">
        <w:t>ation was stratified by age (18</w:t>
      </w:r>
      <w:r>
        <w:t xml:space="preserve"> to </w:t>
      </w:r>
      <w:r w:rsidRPr="004C038C">
        <w:t>30</w:t>
      </w:r>
      <w:r w:rsidR="00AE037B">
        <w:t xml:space="preserve"> years</w:t>
      </w:r>
      <w:r w:rsidRPr="004C038C">
        <w:t>,</w:t>
      </w:r>
      <w:r w:rsidR="00AE037B">
        <w:t xml:space="preserve"> and</w:t>
      </w:r>
      <w:r w:rsidRPr="004C038C">
        <w:t xml:space="preserve"> 31</w:t>
      </w:r>
      <w:r>
        <w:t xml:space="preserve"> to </w:t>
      </w:r>
      <w:r w:rsidRPr="004C038C">
        <w:t xml:space="preserve">55 </w:t>
      </w:r>
      <w:r>
        <w:t>years of age</w:t>
      </w:r>
      <w:r w:rsidRPr="004C038C">
        <w:t>)</w:t>
      </w:r>
      <w:r>
        <w:t>.</w:t>
      </w:r>
    </w:p>
    <w:p w14:paraId="5AC68E3A" w14:textId="55B80FC0" w:rsidR="00081C5A" w:rsidRDefault="004C038C" w:rsidP="004C038C">
      <w:r w:rsidRPr="004C038C">
        <w:t xml:space="preserve">In </w:t>
      </w:r>
      <w:proofErr w:type="spellStart"/>
      <w:r w:rsidRPr="004C038C">
        <w:t>Substudy</w:t>
      </w:r>
      <w:proofErr w:type="spellEnd"/>
      <w:r w:rsidRPr="004C038C">
        <w:t xml:space="preserve"> E </w:t>
      </w:r>
      <w:r w:rsidR="00081C5A">
        <w:t xml:space="preserve">there were </w:t>
      </w:r>
      <w:r w:rsidRPr="004C038C">
        <w:t xml:space="preserve">approximately 1840 participants </w:t>
      </w:r>
      <w:r w:rsidR="00081C5A">
        <w:t xml:space="preserve">who were </w:t>
      </w:r>
      <w:r w:rsidRPr="004C038C">
        <w:t xml:space="preserve">55 years of age </w:t>
      </w:r>
      <w:r>
        <w:t xml:space="preserve">or older </w:t>
      </w:r>
      <w:r w:rsidRPr="004C038C">
        <w:t xml:space="preserve">and who had received </w:t>
      </w:r>
      <w:r>
        <w:t>three</w:t>
      </w:r>
      <w:r w:rsidRPr="004C038C">
        <w:t xml:space="preserve"> prior doses of BNT162b2 (30</w:t>
      </w:r>
      <w:r>
        <w:t> </w:t>
      </w:r>
      <w:r>
        <w:sym w:font="Symbol" w:char="F06D"/>
      </w:r>
      <w:r w:rsidRPr="004C038C">
        <w:t>g doses)</w:t>
      </w:r>
      <w:r w:rsidR="00081C5A">
        <w:t>. The</w:t>
      </w:r>
      <w:r w:rsidRPr="004C038C">
        <w:t xml:space="preserve"> most recent dose </w:t>
      </w:r>
      <w:r w:rsidR="00081C5A">
        <w:t>was given</w:t>
      </w:r>
      <w:r w:rsidR="00081C5A" w:rsidRPr="004C038C">
        <w:t xml:space="preserve"> </w:t>
      </w:r>
      <w:r w:rsidRPr="004C038C">
        <w:t>5 to 12 months prior</w:t>
      </w:r>
      <w:r w:rsidR="00081C5A">
        <w:t xml:space="preserve"> to the </w:t>
      </w:r>
      <w:proofErr w:type="spellStart"/>
      <w:proofErr w:type="gramStart"/>
      <w:r w:rsidR="00081C5A">
        <w:t>substudy</w:t>
      </w:r>
      <w:proofErr w:type="spellEnd"/>
      <w:proofErr w:type="gramEnd"/>
      <w:r w:rsidR="00081C5A">
        <w:t xml:space="preserve"> and participants</w:t>
      </w:r>
      <w:r w:rsidRPr="004C038C">
        <w:t xml:space="preserve"> were randomi</w:t>
      </w:r>
      <w:r w:rsidR="00C56D8A">
        <w:t>s</w:t>
      </w:r>
      <w:r w:rsidRPr="004C038C">
        <w:t xml:space="preserve">ed </w:t>
      </w:r>
      <w:r w:rsidR="00081C5A">
        <w:t>into six equal sized groups</w:t>
      </w:r>
      <w:r w:rsidRPr="004C038C">
        <w:t xml:space="preserve"> to receive BNT162b2 a</w:t>
      </w:r>
      <w:r w:rsidR="00081C5A">
        <w:t>s follows:</w:t>
      </w:r>
    </w:p>
    <w:p w14:paraId="2EB8F5FF" w14:textId="0A4EFD27" w:rsidR="00081C5A" w:rsidRDefault="00081C5A" w:rsidP="00F32401">
      <w:pPr>
        <w:pStyle w:val="ListBullet"/>
      </w:pPr>
      <w:r w:rsidRPr="004C038C">
        <w:t xml:space="preserve">BNT162b2 </w:t>
      </w:r>
      <w:r>
        <w:t>(</w:t>
      </w:r>
      <w:r w:rsidR="004C038C" w:rsidRPr="004C038C">
        <w:t>30</w:t>
      </w:r>
      <w:r w:rsidR="004C038C">
        <w:t> </w:t>
      </w:r>
      <w:r w:rsidR="004C038C">
        <w:sym w:font="Symbol" w:char="F06D"/>
      </w:r>
      <w:r w:rsidR="004C038C" w:rsidRPr="004C038C">
        <w:t>g</w:t>
      </w:r>
      <w:proofErr w:type="gramStart"/>
      <w:r>
        <w:t>);</w:t>
      </w:r>
      <w:proofErr w:type="gramEnd"/>
    </w:p>
    <w:p w14:paraId="3E12BC15" w14:textId="5F5FB7F2" w:rsidR="00081C5A" w:rsidRDefault="004C038C" w:rsidP="00F32401">
      <w:pPr>
        <w:pStyle w:val="ListBullet"/>
      </w:pPr>
      <w:r w:rsidRPr="004C038C">
        <w:t xml:space="preserve">BNT162b2 </w:t>
      </w:r>
      <w:r w:rsidR="00081C5A">
        <w:t>(</w:t>
      </w:r>
      <w:r w:rsidRPr="004C038C">
        <w:t xml:space="preserve">60 </w:t>
      </w:r>
      <w:r>
        <w:sym w:font="Symbol" w:char="F06D"/>
      </w:r>
      <w:r w:rsidRPr="004C038C">
        <w:t>g</w:t>
      </w:r>
      <w:proofErr w:type="gramStart"/>
      <w:r w:rsidR="00081C5A">
        <w:t>);</w:t>
      </w:r>
      <w:proofErr w:type="gramEnd"/>
    </w:p>
    <w:p w14:paraId="00B579CA" w14:textId="5D76BFED" w:rsidR="00081C5A" w:rsidRDefault="004C038C" w:rsidP="00F32401">
      <w:pPr>
        <w:pStyle w:val="ListBullet"/>
      </w:pPr>
      <w:r w:rsidRPr="004C038C">
        <w:t xml:space="preserve">BNT162b2 OMI </w:t>
      </w:r>
      <w:r w:rsidR="00081C5A">
        <w:t>(</w:t>
      </w:r>
      <w:r w:rsidRPr="004C038C">
        <w:t>30</w:t>
      </w:r>
      <w:r>
        <w:t> </w:t>
      </w:r>
      <w:r>
        <w:sym w:font="Symbol" w:char="F06D"/>
      </w:r>
      <w:r w:rsidRPr="004C038C">
        <w:t>g</w:t>
      </w:r>
      <w:proofErr w:type="gramStart"/>
      <w:r w:rsidR="00081C5A">
        <w:t>);</w:t>
      </w:r>
      <w:proofErr w:type="gramEnd"/>
    </w:p>
    <w:p w14:paraId="055CA5AF" w14:textId="3C9DD182" w:rsidR="00081C5A" w:rsidRDefault="004C038C" w:rsidP="00F32401">
      <w:pPr>
        <w:pStyle w:val="ListBullet"/>
      </w:pPr>
      <w:r w:rsidRPr="004C038C">
        <w:t xml:space="preserve">BNT162b2 OMI </w:t>
      </w:r>
      <w:r w:rsidR="00081C5A">
        <w:t>(</w:t>
      </w:r>
      <w:r w:rsidRPr="004C038C">
        <w:t>60</w:t>
      </w:r>
      <w:r>
        <w:t> </w:t>
      </w:r>
      <w:r>
        <w:sym w:font="Symbol" w:char="F06D"/>
      </w:r>
      <w:r w:rsidRPr="004C038C">
        <w:t>g</w:t>
      </w:r>
      <w:proofErr w:type="gramStart"/>
      <w:r w:rsidR="00081C5A">
        <w:t>);</w:t>
      </w:r>
      <w:proofErr w:type="gramEnd"/>
    </w:p>
    <w:p w14:paraId="700F006F" w14:textId="3DCC2536" w:rsidR="00081C5A" w:rsidRDefault="004C038C" w:rsidP="00F32401">
      <w:pPr>
        <w:pStyle w:val="ListBullet"/>
      </w:pPr>
      <w:r w:rsidRPr="004C038C">
        <w:t>a combination of BNT162b2 and BNT162b2</w:t>
      </w:r>
      <w:r>
        <w:t> </w:t>
      </w:r>
      <w:r w:rsidRPr="004C038C">
        <w:t xml:space="preserve">OMI </w:t>
      </w:r>
      <w:r w:rsidR="00081C5A">
        <w:t>(</w:t>
      </w:r>
      <w:r w:rsidRPr="004C038C">
        <w:t>30</w:t>
      </w:r>
      <w:r>
        <w:t> </w:t>
      </w:r>
      <w:r>
        <w:sym w:font="Symbol" w:char="F06D"/>
      </w:r>
      <w:r w:rsidRPr="004C038C">
        <w:t>g</w:t>
      </w:r>
      <w:r w:rsidR="00081C5A">
        <w:t xml:space="preserve"> total; </w:t>
      </w:r>
      <w:r w:rsidRPr="004C038C">
        <w:t>15</w:t>
      </w:r>
      <w:r>
        <w:t> </w:t>
      </w:r>
      <w:r>
        <w:sym w:font="Symbol" w:char="F06D"/>
      </w:r>
      <w:r w:rsidRPr="004C038C">
        <w:t>g each)</w:t>
      </w:r>
      <w:r w:rsidR="00081C5A">
        <w:t>;</w:t>
      </w:r>
      <w:r w:rsidRPr="004C038C">
        <w:t xml:space="preserve"> or</w:t>
      </w:r>
    </w:p>
    <w:p w14:paraId="41C17696" w14:textId="4765B840" w:rsidR="004C038C" w:rsidRPr="004C038C" w:rsidRDefault="004C038C" w:rsidP="00F32401">
      <w:pPr>
        <w:pStyle w:val="ListBullet"/>
      </w:pPr>
      <w:r w:rsidRPr="004C038C">
        <w:t xml:space="preserve">a combination of BNT162b2 and BNT162b2 OMI </w:t>
      </w:r>
      <w:r w:rsidR="00081C5A">
        <w:t>(</w:t>
      </w:r>
      <w:r w:rsidRPr="004C038C">
        <w:t>60</w:t>
      </w:r>
      <w:r>
        <w:t> </w:t>
      </w:r>
      <w:r>
        <w:sym w:font="Symbol" w:char="F06D"/>
      </w:r>
      <w:r w:rsidRPr="004C038C">
        <w:t xml:space="preserve">g </w:t>
      </w:r>
      <w:r w:rsidR="00081C5A">
        <w:t xml:space="preserve">total; </w:t>
      </w:r>
      <w:r w:rsidRPr="004C038C">
        <w:t>30</w:t>
      </w:r>
      <w:r>
        <w:t> </w:t>
      </w:r>
      <w:r>
        <w:sym w:font="Symbol" w:char="F06D"/>
      </w:r>
      <w:r w:rsidRPr="004C038C">
        <w:t>g each) as a fourth dose.</w:t>
      </w:r>
    </w:p>
    <w:p w14:paraId="35EF3B8C" w14:textId="1BE49C03" w:rsidR="004C038C" w:rsidRPr="004C038C" w:rsidRDefault="004C038C" w:rsidP="004C038C">
      <w:r w:rsidRPr="004C038C">
        <w:t>Immunogenicity analyses were conducted based on the evaluable and all</w:t>
      </w:r>
      <w:r>
        <w:t xml:space="preserve"> </w:t>
      </w:r>
      <w:r w:rsidRPr="004C038C">
        <w:t xml:space="preserve">available immunogenicity populations. </w:t>
      </w:r>
      <w:r w:rsidR="00081C5A">
        <w:t xml:space="preserve">The </w:t>
      </w:r>
      <w:r w:rsidRPr="004C038C">
        <w:t>BNT162b2 30</w:t>
      </w:r>
      <w:r>
        <w:t> </w:t>
      </w:r>
      <w:r>
        <w:sym w:font="Symbol" w:char="F06D"/>
      </w:r>
      <w:r w:rsidRPr="004C038C">
        <w:t xml:space="preserve">g vaccine group was used as the control group for all immunogenicity endpoints in </w:t>
      </w:r>
      <w:proofErr w:type="spellStart"/>
      <w:r w:rsidRPr="004C038C">
        <w:t>Substudy</w:t>
      </w:r>
      <w:proofErr w:type="spellEnd"/>
      <w:r w:rsidRPr="004C038C">
        <w:t xml:space="preserve"> D and E. Immunogenicity results were reported as:</w:t>
      </w:r>
    </w:p>
    <w:p w14:paraId="35CC48A5" w14:textId="6BD49FB5" w:rsidR="004C038C" w:rsidRPr="00673FB8" w:rsidRDefault="004C038C" w:rsidP="004C038C">
      <w:pPr>
        <w:pStyle w:val="ListBullet"/>
      </w:pPr>
      <w:r w:rsidRPr="00673FB8">
        <w:lastRenderedPageBreak/>
        <w:t>Geometric mean titres (GMTs)</w:t>
      </w:r>
    </w:p>
    <w:p w14:paraId="790BB329" w14:textId="0C4FD742" w:rsidR="004C038C" w:rsidRPr="00673FB8" w:rsidRDefault="004C038C" w:rsidP="004C038C">
      <w:pPr>
        <w:pStyle w:val="ListBullet"/>
      </w:pPr>
      <w:r w:rsidRPr="00673FB8">
        <w:t>Geometric mean ratio of GMTs (BNT162b2 OMI/BNT162b2)</w:t>
      </w:r>
    </w:p>
    <w:p w14:paraId="50E52833" w14:textId="6519B0F8" w:rsidR="004C038C" w:rsidRPr="00673FB8" w:rsidRDefault="004C038C" w:rsidP="004C038C">
      <w:pPr>
        <w:pStyle w:val="ListBullet"/>
      </w:pPr>
      <w:r w:rsidRPr="00673FB8">
        <w:t xml:space="preserve">Percentages/difference in percentages with </w:t>
      </w:r>
      <w:proofErr w:type="spellStart"/>
      <w:r w:rsidRPr="00673FB8">
        <w:t>seroresponse</w:t>
      </w:r>
      <w:proofErr w:type="spellEnd"/>
      <w:r w:rsidRPr="00673FB8">
        <w:t xml:space="preserve"> (BNT162b2 OMI</w:t>
      </w:r>
      <w:r w:rsidR="00C56D8A">
        <w:t>/</w:t>
      </w:r>
      <w:r w:rsidRPr="00673FB8">
        <w:t>BNT162b2)</w:t>
      </w:r>
    </w:p>
    <w:p w14:paraId="0244138F" w14:textId="13059EAB" w:rsidR="004C038C" w:rsidRPr="00673FB8" w:rsidRDefault="004C038C" w:rsidP="004C038C">
      <w:pPr>
        <w:pStyle w:val="ListBullet"/>
      </w:pPr>
      <w:r w:rsidRPr="00673FB8">
        <w:t>Geometric mean-fold rises (GMFRs) in titres</w:t>
      </w:r>
    </w:p>
    <w:p w14:paraId="08AEFF10" w14:textId="02AED60C" w:rsidR="004C038C" w:rsidRPr="004C038C" w:rsidRDefault="004C038C" w:rsidP="004C038C">
      <w:pPr>
        <w:pStyle w:val="Heading6"/>
      </w:pPr>
      <w:r w:rsidRPr="004C038C">
        <w:t>Efficacy</w:t>
      </w:r>
      <w:r>
        <w:t xml:space="preserve"> results</w:t>
      </w:r>
    </w:p>
    <w:p w14:paraId="3C7BBF70" w14:textId="77777777" w:rsidR="004C038C" w:rsidRPr="004C038C" w:rsidRDefault="004C038C" w:rsidP="004C038C">
      <w:pPr>
        <w:pStyle w:val="Heading7"/>
        <w:rPr>
          <w:szCs w:val="22"/>
        </w:rPr>
      </w:pPr>
      <w:proofErr w:type="spellStart"/>
      <w:r w:rsidRPr="004C038C">
        <w:rPr>
          <w:szCs w:val="22"/>
        </w:rPr>
        <w:t>Substudy</w:t>
      </w:r>
      <w:proofErr w:type="spellEnd"/>
      <w:r w:rsidRPr="004C038C">
        <w:rPr>
          <w:szCs w:val="22"/>
        </w:rPr>
        <w:t xml:space="preserve"> D</w:t>
      </w:r>
    </w:p>
    <w:p w14:paraId="14D6C98B" w14:textId="4CB91146" w:rsidR="001E678D" w:rsidRDefault="001E678D" w:rsidP="004C038C">
      <w:proofErr w:type="spellStart"/>
      <w:r>
        <w:t>Substudy</w:t>
      </w:r>
      <w:proofErr w:type="spellEnd"/>
      <w:r>
        <w:t xml:space="preserve"> D included</w:t>
      </w:r>
      <w:r w:rsidR="004C038C" w:rsidRPr="004C038C">
        <w:t xml:space="preserve"> 436 participants (208 in the BNT162b2 OMI group and 228 in the BNT162b2 group) without evidence of infection </w:t>
      </w:r>
      <w:r>
        <w:t>up</w:t>
      </w:r>
      <w:r w:rsidRPr="004C038C">
        <w:t xml:space="preserve"> </w:t>
      </w:r>
      <w:r w:rsidR="004C038C" w:rsidRPr="004C038C">
        <w:t xml:space="preserve">to </w:t>
      </w:r>
      <w:r w:rsidR="00F32401">
        <w:t>one</w:t>
      </w:r>
      <w:r w:rsidR="004C038C" w:rsidRPr="004C038C">
        <w:t xml:space="preserve"> month after Dose 4.</w:t>
      </w:r>
    </w:p>
    <w:p w14:paraId="0470367D" w14:textId="41097D25" w:rsidR="004C038C" w:rsidRDefault="004C038C" w:rsidP="004C038C">
      <w:r w:rsidRPr="004C038C">
        <w:t>SARS-CoV-2 50% neutrali</w:t>
      </w:r>
      <w:r w:rsidR="00C56D8A">
        <w:t>s</w:t>
      </w:r>
      <w:r w:rsidRPr="004C038C">
        <w:t>ing GMTs for the reference strain and the Omicron (BA.1) variant increased from pre</w:t>
      </w:r>
      <w:r>
        <w:noBreakHyphen/>
      </w:r>
      <w:r w:rsidRPr="004C038C">
        <w:t xml:space="preserve">vaccination to </w:t>
      </w:r>
      <w:proofErr w:type="gramStart"/>
      <w:r w:rsidR="00F32401">
        <w:t>one</w:t>
      </w:r>
      <w:r>
        <w:t xml:space="preserve"> </w:t>
      </w:r>
      <w:r w:rsidRPr="004C038C">
        <w:t>month</w:t>
      </w:r>
      <w:proofErr w:type="gramEnd"/>
      <w:r w:rsidRPr="004C038C">
        <w:t xml:space="preserve"> post</w:t>
      </w:r>
      <w:r w:rsidR="001E678D">
        <w:t>-</w:t>
      </w:r>
      <w:r w:rsidRPr="004C038C">
        <w:t>Dose 4 for participants who received BNT162b2</w:t>
      </w:r>
      <w:r w:rsidR="001E678D">
        <w:t> </w:t>
      </w:r>
      <w:r w:rsidRPr="004C038C">
        <w:t>30</w:t>
      </w:r>
      <w:r>
        <w:t> </w:t>
      </w:r>
      <w:r>
        <w:sym w:font="Symbol" w:char="F06D"/>
      </w:r>
      <w:r w:rsidRPr="004C038C">
        <w:t>g or the BNT162b2 OMI</w:t>
      </w:r>
      <w:r w:rsidR="00C56D8A">
        <w:t xml:space="preserve"> </w:t>
      </w:r>
      <w:r w:rsidRPr="004C038C">
        <w:t>(</w:t>
      </w:r>
      <w:r>
        <w:fldChar w:fldCharType="begin"/>
      </w:r>
      <w:r>
        <w:instrText xml:space="preserve"> REF _Ref136949411 \h </w:instrText>
      </w:r>
      <w:r>
        <w:fldChar w:fldCharType="separate"/>
      </w:r>
      <w:r w:rsidR="00237257">
        <w:t xml:space="preserve">Table </w:t>
      </w:r>
      <w:r w:rsidR="00237257">
        <w:rPr>
          <w:noProof/>
        </w:rPr>
        <w:t>9</w:t>
      </w:r>
      <w:r>
        <w:fldChar w:fldCharType="end"/>
      </w:r>
      <w:r w:rsidRPr="004C038C">
        <w:t>).</w:t>
      </w:r>
    </w:p>
    <w:p w14:paraId="5B43F90A" w14:textId="729C0850" w:rsidR="004C038C" w:rsidRDefault="004C038C" w:rsidP="004C038C">
      <w:pPr>
        <w:pStyle w:val="TableTitle"/>
      </w:pPr>
      <w:bookmarkStart w:id="60" w:name="_Ref136949411"/>
      <w:r>
        <w:t xml:space="preserve">Table </w:t>
      </w:r>
      <w:fldSimple w:instr=" SEQ Table \* ARABIC ">
        <w:r w:rsidR="00237257">
          <w:rPr>
            <w:noProof/>
          </w:rPr>
          <w:t>9</w:t>
        </w:r>
      </w:fldSimple>
      <w:bookmarkEnd w:id="60"/>
      <w:r>
        <w:t xml:space="preserve">: </w:t>
      </w:r>
      <w:r w:rsidR="001E678D">
        <w:t>Study C4591031 (</w:t>
      </w:r>
      <w:proofErr w:type="spellStart"/>
      <w:r w:rsidR="001E678D">
        <w:t>Substudy</w:t>
      </w:r>
      <w:proofErr w:type="spellEnd"/>
      <w:r w:rsidR="001E678D">
        <w:t xml:space="preserve"> D) </w:t>
      </w:r>
      <w:r>
        <w:t xml:space="preserve">Geometric mean titres </w:t>
      </w:r>
      <w:r w:rsidR="001E678D">
        <w:t xml:space="preserve">in </w:t>
      </w:r>
      <w:r>
        <w:t>participants without evidence of infection up to 1 month after vaccination (</w:t>
      </w:r>
      <w:r w:rsidR="00C56D8A">
        <w:t>D</w:t>
      </w:r>
      <w:r>
        <w:t>ose 4)</w:t>
      </w:r>
      <w:r w:rsidR="001E678D">
        <w:t xml:space="preserve"> (full expanded set; </w:t>
      </w:r>
      <w:r>
        <w:t>evaluable immunogenicity population</w:t>
      </w:r>
      <w:r w:rsidR="001E678D">
        <w:t>)</w:t>
      </w:r>
    </w:p>
    <w:p w14:paraId="56E5EE5B" w14:textId="57591E92" w:rsidR="004C038C" w:rsidRDefault="004C038C" w:rsidP="004C038C">
      <w:r>
        <w:rPr>
          <w:noProof/>
          <w:lang w:val="en-GB" w:eastAsia="en-GB"/>
        </w:rPr>
        <w:drawing>
          <wp:inline distT="0" distB="0" distL="0" distR="0" wp14:anchorId="3653DD9B" wp14:editId="1B7AFB4A">
            <wp:extent cx="5695950" cy="2270125"/>
            <wp:effectExtent l="0" t="0" r="0" b="0"/>
            <wp:docPr id="3" name="Picture 3" descr="Geometric mean titres dull expanded set for participants without evidence of infection up to 1 month after vaccination (Dose 4),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ometric mean titres dull expanded set for participants without evidence of infection up to 1 month after vaccination (Dose 4), evaluable immunogenicity population"/>
                    <pic:cNvPicPr/>
                  </pic:nvPicPr>
                  <pic:blipFill rotWithShape="1">
                    <a:blip r:embed="rId52"/>
                    <a:srcRect l="496" r="607"/>
                    <a:stretch/>
                  </pic:blipFill>
                  <pic:spPr bwMode="auto">
                    <a:xfrm>
                      <a:off x="0" y="0"/>
                      <a:ext cx="5695950" cy="2270125"/>
                    </a:xfrm>
                    <a:prstGeom prst="rect">
                      <a:avLst/>
                    </a:prstGeom>
                    <a:ln>
                      <a:noFill/>
                    </a:ln>
                    <a:extLst>
                      <a:ext uri="{53640926-AAD7-44D8-BBD7-CCE9431645EC}">
                        <a14:shadowObscured xmlns:a14="http://schemas.microsoft.com/office/drawing/2010/main"/>
                      </a:ext>
                    </a:extLst>
                  </pic:spPr>
                </pic:pic>
              </a:graphicData>
            </a:graphic>
          </wp:inline>
        </w:drawing>
      </w:r>
    </w:p>
    <w:p w14:paraId="764E0EED" w14:textId="02557F62" w:rsidR="004C038C" w:rsidRPr="004C038C" w:rsidRDefault="004C038C" w:rsidP="004C038C">
      <w:pPr>
        <w:pStyle w:val="TableDescription"/>
      </w:pPr>
      <w:bookmarkStart w:id="61" w:name="_Toc314842514"/>
      <w:r w:rsidRPr="004C038C">
        <w:t>Abbreviations: GMT = geometric mean tit</w:t>
      </w:r>
      <w:r w:rsidR="00A81A64">
        <w:t>re</w:t>
      </w:r>
      <w:r w:rsidRPr="004C038C">
        <w:t>, LLOQ = lower limit of quantitation, N-binding = SARS-CoV-2</w:t>
      </w:r>
      <w:r>
        <w:t xml:space="preserve"> </w:t>
      </w:r>
      <w:r w:rsidRPr="004C038C">
        <w:t>nucleoprotein</w:t>
      </w:r>
      <w:r>
        <w:rPr>
          <w:rFonts w:hint="eastAsia"/>
        </w:rPr>
        <w:t xml:space="preserve"> </w:t>
      </w:r>
      <w:r w:rsidRPr="004C038C">
        <w:t>binding, NAAT = nucleic acid amplification test, NT50 = 50% neutrali</w:t>
      </w:r>
      <w:r w:rsidR="00C56D8A">
        <w:t>s</w:t>
      </w:r>
      <w:r w:rsidRPr="004C038C">
        <w:t>ing tit</w:t>
      </w:r>
      <w:r w:rsidR="00A81A64">
        <w:t>re</w:t>
      </w:r>
      <w:r w:rsidRPr="004C038C">
        <w:t>, SARS-CoV-2 = severe acute respiratory syndrome coronavirus 2.</w:t>
      </w:r>
    </w:p>
    <w:p w14:paraId="2B9F8120" w14:textId="77777777" w:rsidR="004C038C" w:rsidRPr="004C038C" w:rsidRDefault="004C038C" w:rsidP="004C038C">
      <w:pPr>
        <w:pStyle w:val="TableDescription"/>
      </w:pPr>
      <w:r w:rsidRPr="004C038C">
        <w:t>Note: Full expanded set = Cohort 2 excluding the sentinel group.</w:t>
      </w:r>
    </w:p>
    <w:p w14:paraId="632D6118" w14:textId="76A3C666" w:rsidR="004C038C" w:rsidRPr="004C038C" w:rsidRDefault="004C038C" w:rsidP="004C038C">
      <w:pPr>
        <w:pStyle w:val="TableDescription"/>
      </w:pPr>
      <w:r w:rsidRPr="004C038C">
        <w:t>Note: Participants who had no serological or virological evidence (prior to the 1</w:t>
      </w:r>
      <w:r>
        <w:t xml:space="preserve"> </w:t>
      </w:r>
      <w:r w:rsidRPr="004C038C">
        <w:t>month post</w:t>
      </w:r>
      <w:r>
        <w:rPr>
          <w:rFonts w:hint="eastAsia"/>
        </w:rPr>
        <w:t xml:space="preserve"> </w:t>
      </w:r>
      <w:r w:rsidRPr="004C038C">
        <w:t>first study vaccination blood sample collection) of past SARS-CoV-2 infection (</w:t>
      </w:r>
      <w:r w:rsidR="00A81A64">
        <w:t>that is</w:t>
      </w:r>
      <w:r w:rsidRPr="004C038C">
        <w:t>, N-binding antibody (serum) negative at the first study vaccination and the 1</w:t>
      </w:r>
      <w:r>
        <w:t xml:space="preserve"> </w:t>
      </w:r>
      <w:r w:rsidRPr="004C038C">
        <w:t>month post</w:t>
      </w:r>
      <w:r>
        <w:rPr>
          <w:rFonts w:hint="eastAsia"/>
        </w:rPr>
        <w:t xml:space="preserve"> </w:t>
      </w:r>
      <w:r w:rsidRPr="004C038C">
        <w:t>first study vaccination visits, negative NAAT (nasal swab) at the first study vaccination visit, and any unscheduled visit prior to the 1</w:t>
      </w:r>
      <w:r>
        <w:t xml:space="preserve"> </w:t>
      </w:r>
      <w:r w:rsidRPr="004C038C">
        <w:t>month post</w:t>
      </w:r>
      <w:r w:rsidR="00A81A64">
        <w:rPr>
          <w:rFonts w:hint="eastAsia"/>
        </w:rPr>
        <w:t xml:space="preserve"> </w:t>
      </w:r>
      <w:r w:rsidRPr="004C038C">
        <w:t>first study vaccination blood sample collection) and had no medical history of COVID-19 were included in the analysis.</w:t>
      </w:r>
    </w:p>
    <w:p w14:paraId="5EF2B8D9" w14:textId="1874BE98" w:rsidR="004C038C" w:rsidRPr="004C038C" w:rsidRDefault="004C038C" w:rsidP="004C038C">
      <w:pPr>
        <w:pStyle w:val="TableDescription"/>
      </w:pPr>
      <w:r w:rsidRPr="004C038C">
        <w:t>a. Protocol</w:t>
      </w:r>
      <w:r>
        <w:t xml:space="preserve"> </w:t>
      </w:r>
      <w:r w:rsidRPr="004C038C">
        <w:t>specified timing for blood sample collection.</w:t>
      </w:r>
    </w:p>
    <w:p w14:paraId="3EC94198" w14:textId="22316A89" w:rsidR="004C038C" w:rsidRPr="004C038C" w:rsidRDefault="004C038C" w:rsidP="004C038C">
      <w:pPr>
        <w:pStyle w:val="TableDescription"/>
      </w:pPr>
      <w:r w:rsidRPr="004C038C">
        <w:t>b. n = Number of participants with valid and determinate assay results for the specified assay at the given sampling time point.</w:t>
      </w:r>
    </w:p>
    <w:p w14:paraId="49E63A89" w14:textId="547C2143" w:rsidR="004C038C" w:rsidRDefault="004C038C" w:rsidP="004C038C">
      <w:pPr>
        <w:pStyle w:val="TableDescription"/>
      </w:pPr>
      <w:r w:rsidRPr="004C038C">
        <w:t>c. GMTs and 2-sided 95% CIs were calculated by exponentiating the mean logarithm of the tit</w:t>
      </w:r>
      <w:r w:rsidR="00A81A64">
        <w:t>re</w:t>
      </w:r>
      <w:r w:rsidRPr="004C038C">
        <w:t xml:space="preserve">s and the corresponding CIs (based on the </w:t>
      </w:r>
      <w:proofErr w:type="gramStart"/>
      <w:r w:rsidRPr="004C038C">
        <w:t>Student</w:t>
      </w:r>
      <w:proofErr w:type="gramEnd"/>
      <w:r w:rsidRPr="004C038C">
        <w:t xml:space="preserve"> t distribution). Assay results below the LLOQ were set to 0.5</w:t>
      </w:r>
      <w:r>
        <w:t xml:space="preserve"> x</w:t>
      </w:r>
      <w:r w:rsidRPr="004C038C">
        <w:t> LLOQ.</w:t>
      </w:r>
    </w:p>
    <w:p w14:paraId="5A5ED017" w14:textId="77655F49" w:rsidR="004C038C" w:rsidRPr="00A81A64" w:rsidRDefault="004C038C" w:rsidP="00A81A64">
      <w:r w:rsidRPr="00A81A64">
        <w:t>For participants without prior evidence of infection up to 1 month after Dose 4 vaccination:</w:t>
      </w:r>
    </w:p>
    <w:p w14:paraId="0261F91F" w14:textId="36E74578" w:rsidR="004C038C" w:rsidRPr="00A81A64" w:rsidRDefault="00A81A64" w:rsidP="00A81A64">
      <w:pPr>
        <w:pStyle w:val="ListBullet"/>
      </w:pPr>
      <w:r>
        <w:t>Geometric mean titres (</w:t>
      </w:r>
      <w:r w:rsidR="004C038C" w:rsidRPr="00A81A64">
        <w:t>GMTs</w:t>
      </w:r>
      <w:r>
        <w:t>)</w:t>
      </w:r>
      <w:r w:rsidR="004C038C" w:rsidRPr="00A81A64">
        <w:t xml:space="preserve"> for the Omicron (BA.1) variant increased from 315.0 (pre</w:t>
      </w:r>
      <w:r>
        <w:noBreakHyphen/>
      </w:r>
      <w:r w:rsidR="004C038C" w:rsidRPr="00A81A64">
        <w:t xml:space="preserve">vaccination) to 1063.2 at </w:t>
      </w:r>
      <w:proofErr w:type="gramStart"/>
      <w:r w:rsidR="001E678D">
        <w:t>one</w:t>
      </w:r>
      <w:r>
        <w:t xml:space="preserve"> </w:t>
      </w:r>
      <w:r w:rsidR="004C038C" w:rsidRPr="00A81A64">
        <w:t>month</w:t>
      </w:r>
      <w:proofErr w:type="gramEnd"/>
      <w:r w:rsidR="004C038C" w:rsidRPr="00A81A64">
        <w:t xml:space="preserve"> post</w:t>
      </w:r>
      <w:r w:rsidR="001E678D">
        <w:t>-</w:t>
      </w:r>
      <w:r w:rsidR="004C038C" w:rsidRPr="00A81A64">
        <w:t>Dose 4 for those who received BNT162b2 30</w:t>
      </w:r>
      <w:r>
        <w:t> </w:t>
      </w:r>
      <w:r>
        <w:sym w:font="Symbol" w:char="F06D"/>
      </w:r>
      <w:r w:rsidR="004C038C" w:rsidRPr="00A81A64">
        <w:t xml:space="preserve">g. For the reference strain, GMTs were also higher at </w:t>
      </w:r>
      <w:proofErr w:type="gramStart"/>
      <w:r w:rsidR="001E678D">
        <w:t>one</w:t>
      </w:r>
      <w:r>
        <w:t xml:space="preserve"> </w:t>
      </w:r>
      <w:r w:rsidR="004C038C" w:rsidRPr="00A81A64">
        <w:t>month</w:t>
      </w:r>
      <w:proofErr w:type="gramEnd"/>
      <w:r w:rsidR="004C038C" w:rsidRPr="00A81A64">
        <w:t xml:space="preserve"> post</w:t>
      </w:r>
      <w:r w:rsidR="001E678D">
        <w:t>-</w:t>
      </w:r>
      <w:r w:rsidR="004C038C" w:rsidRPr="00A81A64">
        <w:t>Dose 4 compared to pre</w:t>
      </w:r>
      <w:r>
        <w:noBreakHyphen/>
      </w:r>
      <w:r w:rsidR="004C038C" w:rsidRPr="00A81A64">
        <w:t xml:space="preserve">vaccination (12009.9 </w:t>
      </w:r>
      <w:r>
        <w:t>versus</w:t>
      </w:r>
      <w:r w:rsidR="004C038C" w:rsidRPr="00A81A64">
        <w:t xml:space="preserve"> 3999.0) (</w:t>
      </w:r>
      <w:r w:rsidR="001E678D">
        <w:t xml:space="preserve">see </w:t>
      </w:r>
      <w:r>
        <w:fldChar w:fldCharType="begin"/>
      </w:r>
      <w:r>
        <w:instrText xml:space="preserve"> REF _Ref136949411 \h </w:instrText>
      </w:r>
      <w:r>
        <w:fldChar w:fldCharType="separate"/>
      </w:r>
      <w:r w:rsidR="00237257">
        <w:t xml:space="preserve">Table </w:t>
      </w:r>
      <w:r w:rsidR="00237257">
        <w:rPr>
          <w:noProof/>
        </w:rPr>
        <w:t>9</w:t>
      </w:r>
      <w:r>
        <w:fldChar w:fldCharType="end"/>
      </w:r>
      <w:r w:rsidR="004C038C" w:rsidRPr="00A81A64">
        <w:t>).</w:t>
      </w:r>
    </w:p>
    <w:p w14:paraId="039EC9EC" w14:textId="516004B5" w:rsidR="004C038C" w:rsidRPr="00A81A64" w:rsidRDefault="00A81A64" w:rsidP="00A81A64">
      <w:pPr>
        <w:pStyle w:val="ListBullet"/>
      </w:pPr>
      <w:r w:rsidRPr="00A81A64">
        <w:lastRenderedPageBreak/>
        <w:t xml:space="preserve">Geometric mean-fold rises </w:t>
      </w:r>
      <w:r>
        <w:t>(</w:t>
      </w:r>
      <w:r w:rsidR="004C038C" w:rsidRPr="00A81A64">
        <w:t>GMFRs</w:t>
      </w:r>
      <w:r>
        <w:t>)</w:t>
      </w:r>
      <w:r w:rsidR="004C038C" w:rsidRPr="00A81A64">
        <w:t xml:space="preserve"> from Dose 4 to </w:t>
      </w:r>
      <w:proofErr w:type="gramStart"/>
      <w:r w:rsidR="001E678D">
        <w:t>one</w:t>
      </w:r>
      <w:r>
        <w:t xml:space="preserve"> </w:t>
      </w:r>
      <w:r w:rsidR="004C038C" w:rsidRPr="00A81A64">
        <w:t>month</w:t>
      </w:r>
      <w:proofErr w:type="gramEnd"/>
      <w:r w:rsidR="004C038C" w:rsidRPr="00A81A64">
        <w:t xml:space="preserve"> post</w:t>
      </w:r>
      <w:r w:rsidR="001E678D">
        <w:t>-</w:t>
      </w:r>
      <w:r w:rsidR="004C038C" w:rsidRPr="00A81A64">
        <w:t xml:space="preserve">Dose 4 for the Omicron variant were 3.4 (95% </w:t>
      </w:r>
      <w:r>
        <w:t xml:space="preserve">confidence </w:t>
      </w:r>
      <w:r w:rsidRPr="00673FB8">
        <w:t>interval (</w:t>
      </w:r>
      <w:r w:rsidR="004C038C" w:rsidRPr="00673FB8">
        <w:t>CI</w:t>
      </w:r>
      <w:r w:rsidRPr="00673FB8">
        <w:t>)</w:t>
      </w:r>
      <w:r w:rsidR="004C038C" w:rsidRPr="00673FB8">
        <w:t>: 3.</w:t>
      </w:r>
      <w:r w:rsidR="004C038C" w:rsidRPr="00A81A64">
        <w:t>0, 3.8) in the BNT162b2</w:t>
      </w:r>
      <w:r>
        <w:t xml:space="preserve"> </w:t>
      </w:r>
      <w:r w:rsidR="004C038C" w:rsidRPr="00A81A64">
        <w:t xml:space="preserve">group. For the reference strain, the GMFRs from Dose 4 to </w:t>
      </w:r>
      <w:r w:rsidR="001E678D">
        <w:t>one</w:t>
      </w:r>
      <w:r>
        <w:t xml:space="preserve"> </w:t>
      </w:r>
      <w:r w:rsidR="004C038C" w:rsidRPr="00A81A64">
        <w:t>month post</w:t>
      </w:r>
      <w:r>
        <w:t xml:space="preserve"> </w:t>
      </w:r>
      <w:r w:rsidR="004C038C" w:rsidRPr="00A81A64">
        <w:t>Dose 4 w</w:t>
      </w:r>
      <w:r>
        <w:t>ere</w:t>
      </w:r>
      <w:r w:rsidR="004C038C" w:rsidRPr="00A81A64">
        <w:t xml:space="preserve"> 3.0 (95% CI 2.7, 3.3) for BNT162b2 group.</w:t>
      </w:r>
    </w:p>
    <w:p w14:paraId="7DB503ED" w14:textId="73279A86" w:rsidR="004C038C" w:rsidRPr="00A81A64" w:rsidRDefault="004C038C" w:rsidP="00A81A64">
      <w:pPr>
        <w:pStyle w:val="ListBullet"/>
      </w:pPr>
      <w:r w:rsidRPr="00A81A64">
        <w:t xml:space="preserve">The proportion of participants in the BNT162b2 group, who achieved </w:t>
      </w:r>
      <w:proofErr w:type="spellStart"/>
      <w:r w:rsidRPr="00A81A64">
        <w:t>seroresponse</w:t>
      </w:r>
      <w:proofErr w:type="spellEnd"/>
      <w:r w:rsidRPr="00A81A64">
        <w:t xml:space="preserve"> at </w:t>
      </w:r>
      <w:proofErr w:type="gramStart"/>
      <w:r w:rsidR="001E678D">
        <w:t>one </w:t>
      </w:r>
      <w:r w:rsidRPr="00A81A64">
        <w:t>month</w:t>
      </w:r>
      <w:proofErr w:type="gramEnd"/>
      <w:r w:rsidRPr="00A81A64">
        <w:t xml:space="preserve"> post</w:t>
      </w:r>
      <w:r w:rsidR="001E678D">
        <w:t>-</w:t>
      </w:r>
      <w:r w:rsidRPr="00A81A64">
        <w:t>Dose 4 for the Omicron variant was 40.3% (2-sided 95% CI: 33.8%, 47%) and 27% for the reference strain.</w:t>
      </w:r>
    </w:p>
    <w:p w14:paraId="2BAB4550" w14:textId="30C20E0D" w:rsidR="004C038C" w:rsidRPr="00A81A64" w:rsidRDefault="004C038C" w:rsidP="00A81A64">
      <w:r w:rsidRPr="00A81A64">
        <w:t>There were no clinically meaningful differences between subgroups for neutrali</w:t>
      </w:r>
      <w:r w:rsidR="00C56D8A">
        <w:t>s</w:t>
      </w:r>
      <w:r w:rsidRPr="00A81A64">
        <w:t xml:space="preserve">ing GMTs and </w:t>
      </w:r>
      <w:proofErr w:type="spellStart"/>
      <w:r w:rsidRPr="00A81A64">
        <w:t>seroresponse</w:t>
      </w:r>
      <w:proofErr w:type="spellEnd"/>
      <w:r w:rsidRPr="00A81A64">
        <w:t xml:space="preserve"> rates, for the Omicron variant except for baseline SARS-CoV-2 status.</w:t>
      </w:r>
    </w:p>
    <w:p w14:paraId="648EE859" w14:textId="7624D5A6" w:rsidR="004C038C" w:rsidRPr="00A81A64" w:rsidRDefault="00A81A64" w:rsidP="00A81A64">
      <w:r w:rsidRPr="00A81A64">
        <w:t xml:space="preserve">Geometric mean titres </w:t>
      </w:r>
      <w:r>
        <w:t>(</w:t>
      </w:r>
      <w:r w:rsidR="004C038C" w:rsidRPr="00A81A64">
        <w:t>GMTs</w:t>
      </w:r>
      <w:r>
        <w:t>)</w:t>
      </w:r>
      <w:r w:rsidR="004C038C" w:rsidRPr="00A81A64">
        <w:t xml:space="preserve">, GMFRs and </w:t>
      </w:r>
      <w:proofErr w:type="spellStart"/>
      <w:r w:rsidR="004C038C" w:rsidRPr="00A81A64">
        <w:t>seroresponse</w:t>
      </w:r>
      <w:proofErr w:type="spellEnd"/>
      <w:r w:rsidR="004C038C" w:rsidRPr="00A81A64">
        <w:t xml:space="preserve"> rates at </w:t>
      </w:r>
      <w:proofErr w:type="gramStart"/>
      <w:r w:rsidR="001E678D">
        <w:t xml:space="preserve">one </w:t>
      </w:r>
      <w:r w:rsidR="004C038C" w:rsidRPr="00A81A64">
        <w:t>month</w:t>
      </w:r>
      <w:proofErr w:type="gramEnd"/>
      <w:r w:rsidR="004C038C" w:rsidRPr="00A81A64">
        <w:t xml:space="preserve"> post</w:t>
      </w:r>
      <w:r w:rsidR="001E678D">
        <w:t>-</w:t>
      </w:r>
      <w:r w:rsidR="004C038C" w:rsidRPr="00A81A64">
        <w:t>Dose 4 were generally higher for participants who were positive for SARS-CoV-2</w:t>
      </w:r>
      <w:r w:rsidR="001E678D">
        <w:t xml:space="preserve"> at Baseline</w:t>
      </w:r>
      <w:r w:rsidR="004C038C" w:rsidRPr="00A81A64">
        <w:t>.</w:t>
      </w:r>
    </w:p>
    <w:p w14:paraId="739085A4" w14:textId="4F3ECBBA" w:rsidR="004C038C" w:rsidRDefault="004C038C" w:rsidP="00A81A64">
      <w:r w:rsidRPr="00F32401">
        <w:rPr>
          <w:i/>
        </w:rPr>
        <w:t>Confirmed COVID-19 cases:</w:t>
      </w:r>
      <w:r w:rsidRPr="00A81A64">
        <w:t xml:space="preserve"> There were </w:t>
      </w:r>
      <w:r w:rsidR="00A81A64">
        <w:t>four</w:t>
      </w:r>
      <w:r w:rsidR="001E678D">
        <w:t xml:space="preserve"> confirmed cases</w:t>
      </w:r>
      <w:r w:rsidRPr="00A81A64">
        <w:t xml:space="preserve"> in the BNT162b2 group and </w:t>
      </w:r>
      <w:r w:rsidR="00A81A64">
        <w:t>five</w:t>
      </w:r>
      <w:r w:rsidRPr="00A81A64">
        <w:t xml:space="preserve"> in the BNT162b2</w:t>
      </w:r>
      <w:r w:rsidR="00A81A64">
        <w:t> </w:t>
      </w:r>
      <w:r w:rsidRPr="00A81A64">
        <w:t>OMI group up to the data cut-off date. There were no cases meeting severe criteria.</w:t>
      </w:r>
    </w:p>
    <w:p w14:paraId="7D531C53" w14:textId="3EA0753A" w:rsidR="004C038C" w:rsidRDefault="004C038C" w:rsidP="004C038C">
      <w:pPr>
        <w:pStyle w:val="Heading7"/>
        <w:rPr>
          <w:szCs w:val="22"/>
        </w:rPr>
      </w:pPr>
      <w:proofErr w:type="spellStart"/>
      <w:r w:rsidRPr="004C038C">
        <w:rPr>
          <w:szCs w:val="22"/>
        </w:rPr>
        <w:t>Substudy</w:t>
      </w:r>
      <w:proofErr w:type="spellEnd"/>
      <w:r w:rsidRPr="004C038C">
        <w:rPr>
          <w:szCs w:val="22"/>
        </w:rPr>
        <w:t xml:space="preserve"> E</w:t>
      </w:r>
    </w:p>
    <w:p w14:paraId="4A9969F3" w14:textId="367EE9EB" w:rsidR="00BD5E85" w:rsidRDefault="00A81A64" w:rsidP="00A81A64">
      <w:r w:rsidRPr="00A81A64">
        <w:t xml:space="preserve">The evaluable immunogenicity population </w:t>
      </w:r>
      <w:r w:rsidR="001E678D">
        <w:t xml:space="preserve">(those </w:t>
      </w:r>
      <w:r w:rsidRPr="00A81A64">
        <w:t xml:space="preserve">without evidence of infection up to </w:t>
      </w:r>
      <w:proofErr w:type="gramStart"/>
      <w:r w:rsidR="001E678D">
        <w:t>one</w:t>
      </w:r>
      <w:r>
        <w:t xml:space="preserve"> </w:t>
      </w:r>
      <w:r w:rsidRPr="00A81A64">
        <w:t>month</w:t>
      </w:r>
      <w:proofErr w:type="gramEnd"/>
      <w:r w:rsidRPr="00A81A64">
        <w:t xml:space="preserve"> post</w:t>
      </w:r>
      <w:r w:rsidR="001E678D">
        <w:t>-D</w:t>
      </w:r>
      <w:r w:rsidRPr="00A81A64">
        <w:t>ose</w:t>
      </w:r>
      <w:r w:rsidR="001E678D">
        <w:t xml:space="preserve"> 4)</w:t>
      </w:r>
      <w:r w:rsidRPr="00A81A64">
        <w:t xml:space="preserve"> included a total of 1112 participants</w:t>
      </w:r>
      <w:r w:rsidR="001E678D">
        <w:t>.</w:t>
      </w:r>
      <w:r w:rsidR="00BD5E85">
        <w:t xml:space="preserve"> These were as follows:</w:t>
      </w:r>
    </w:p>
    <w:p w14:paraId="76F037D3" w14:textId="3DE09D1C" w:rsidR="00BD5E85" w:rsidRDefault="00A81A64" w:rsidP="00F32401">
      <w:pPr>
        <w:pStyle w:val="ListBullet"/>
      </w:pPr>
      <w:r w:rsidRPr="00A81A64">
        <w:t>182 and 198 participants in the BNT162b2 30</w:t>
      </w:r>
      <w:r>
        <w:t> </w:t>
      </w:r>
      <w:r>
        <w:sym w:font="Symbol" w:char="F06D"/>
      </w:r>
      <w:r w:rsidRPr="00A81A64">
        <w:t>g and BNT162b2 60</w:t>
      </w:r>
      <w:r>
        <w:t> </w:t>
      </w:r>
      <w:r>
        <w:sym w:font="Symbol" w:char="F06D"/>
      </w:r>
      <w:r w:rsidRPr="00A81A64">
        <w:t xml:space="preserve">g, </w:t>
      </w:r>
      <w:proofErr w:type="gramStart"/>
      <w:r w:rsidRPr="00A81A64">
        <w:t>respectively;</w:t>
      </w:r>
      <w:proofErr w:type="gramEnd"/>
    </w:p>
    <w:p w14:paraId="61D7BB92" w14:textId="6CF8129C" w:rsidR="00BD5E85" w:rsidRDefault="00A81A64" w:rsidP="00F32401">
      <w:pPr>
        <w:pStyle w:val="ListBullet"/>
      </w:pPr>
      <w:r w:rsidRPr="00A81A64">
        <w:t>180 and 185 participants in the BNT162b2 OMI 30</w:t>
      </w:r>
      <w:r>
        <w:t> </w:t>
      </w:r>
      <w:r>
        <w:sym w:font="Symbol" w:char="F06D"/>
      </w:r>
      <w:r w:rsidRPr="00A81A64">
        <w:t>g and BNT162b2 OMI 60</w:t>
      </w:r>
      <w:r>
        <w:t> </w:t>
      </w:r>
      <w:r>
        <w:sym w:font="Symbol" w:char="F06D"/>
      </w:r>
      <w:r w:rsidRPr="00A81A64">
        <w:t>g, respectively; and</w:t>
      </w:r>
    </w:p>
    <w:p w14:paraId="641469AE" w14:textId="03EEE9E7" w:rsidR="00BD5E85" w:rsidRDefault="00A81A64" w:rsidP="00F32401">
      <w:pPr>
        <w:pStyle w:val="ListBullet"/>
      </w:pPr>
      <w:r w:rsidRPr="00A81A64">
        <w:t xml:space="preserve">186 and 181 participants in the BNT162b2 </w:t>
      </w:r>
      <w:r w:rsidR="00C56D8A">
        <w:t>and</w:t>
      </w:r>
      <w:r w:rsidRPr="00A81A64">
        <w:t xml:space="preserve"> BNT162b2</w:t>
      </w:r>
      <w:r>
        <w:t> </w:t>
      </w:r>
      <w:r w:rsidRPr="00A81A64">
        <w:t>OMI 15</w:t>
      </w:r>
      <w:r>
        <w:t> </w:t>
      </w:r>
      <w:r>
        <w:sym w:font="Symbol" w:char="F06D"/>
      </w:r>
      <w:r w:rsidRPr="00A81A64">
        <w:t>g each (30</w:t>
      </w:r>
      <w:r>
        <w:t> </w:t>
      </w:r>
      <w:r>
        <w:sym w:font="Symbol" w:char="F06D"/>
      </w:r>
      <w:r w:rsidRPr="00A81A64">
        <w:t xml:space="preserve">g total) and BNT162b2 </w:t>
      </w:r>
      <w:r w:rsidR="00C56D8A">
        <w:t>and</w:t>
      </w:r>
      <w:r w:rsidRPr="00A81A64">
        <w:t xml:space="preserve"> BNT162b2 OMI 30</w:t>
      </w:r>
      <w:r>
        <w:t> </w:t>
      </w:r>
      <w:r>
        <w:sym w:font="Symbol" w:char="F06D"/>
      </w:r>
      <w:r w:rsidRPr="00A81A64">
        <w:t>g each (60</w:t>
      </w:r>
      <w:r>
        <w:t> </w:t>
      </w:r>
      <w:r>
        <w:sym w:font="Symbol" w:char="F06D"/>
      </w:r>
      <w:r w:rsidRPr="00A81A64">
        <w:t>g total), respectively</w:t>
      </w:r>
    </w:p>
    <w:p w14:paraId="2CBDFC1A" w14:textId="75F2C351" w:rsidR="00A81A64" w:rsidRDefault="00BD5E85" w:rsidP="00BD5E85">
      <w:r>
        <w:t xml:space="preserve">See </w:t>
      </w:r>
      <w:r w:rsidR="00C56D8A">
        <w:fldChar w:fldCharType="begin"/>
      </w:r>
      <w:r w:rsidR="00C56D8A">
        <w:instrText xml:space="preserve"> REF _Ref137107305 \h </w:instrText>
      </w:r>
      <w:r w:rsidR="00C56D8A">
        <w:fldChar w:fldCharType="separate"/>
      </w:r>
      <w:r w:rsidR="00237257">
        <w:t xml:space="preserve">Table </w:t>
      </w:r>
      <w:r w:rsidR="00237257">
        <w:rPr>
          <w:noProof/>
        </w:rPr>
        <w:t>10</w:t>
      </w:r>
      <w:r w:rsidR="00C56D8A">
        <w:fldChar w:fldCharType="end"/>
      </w:r>
      <w:r>
        <w:t xml:space="preserve"> (below) for results in these groups</w:t>
      </w:r>
      <w:r w:rsidR="00C56D8A">
        <w:t>.</w:t>
      </w:r>
    </w:p>
    <w:p w14:paraId="3DACCCA3" w14:textId="4A74D223" w:rsidR="00BD5E85" w:rsidRDefault="00BD5E85" w:rsidP="00BD5E85">
      <w:r>
        <w:br w:type="page"/>
      </w:r>
    </w:p>
    <w:p w14:paraId="0255D817" w14:textId="694C4246" w:rsidR="00A81A64" w:rsidRDefault="00A81A64" w:rsidP="00A81A64">
      <w:pPr>
        <w:pStyle w:val="TableTitle"/>
      </w:pPr>
      <w:bookmarkStart w:id="62" w:name="_Ref137107305"/>
      <w:r>
        <w:lastRenderedPageBreak/>
        <w:t xml:space="preserve">Table </w:t>
      </w:r>
      <w:fldSimple w:instr=" SEQ Table \* ARABIC ">
        <w:r w:rsidR="00237257">
          <w:rPr>
            <w:noProof/>
          </w:rPr>
          <w:t>10</w:t>
        </w:r>
      </w:fldSimple>
      <w:bookmarkEnd w:id="62"/>
      <w:r>
        <w:t xml:space="preserve">: </w:t>
      </w:r>
      <w:r w:rsidR="00BD5E85">
        <w:t>Study C4591031 (</w:t>
      </w:r>
      <w:proofErr w:type="spellStart"/>
      <w:r w:rsidR="00BD5E85">
        <w:t>Substudy</w:t>
      </w:r>
      <w:proofErr w:type="spellEnd"/>
      <w:r w:rsidR="00BD5E85">
        <w:t xml:space="preserve"> E) </w:t>
      </w:r>
      <w:r w:rsidRPr="00A81A64">
        <w:t xml:space="preserve">Geometric </w:t>
      </w:r>
      <w:r>
        <w:t>m</w:t>
      </w:r>
      <w:r w:rsidRPr="00A81A64">
        <w:t xml:space="preserve">ean </w:t>
      </w:r>
      <w:r>
        <w:t>t</w:t>
      </w:r>
      <w:r w:rsidRPr="00A81A64">
        <w:t xml:space="preserve">itres </w:t>
      </w:r>
      <w:r w:rsidR="00BD5E85">
        <w:t>in</w:t>
      </w:r>
      <w:r w:rsidRPr="00A81A64">
        <w:t xml:space="preserve"> </w:t>
      </w:r>
      <w:r>
        <w:t>p</w:t>
      </w:r>
      <w:r w:rsidRPr="00A81A64">
        <w:t xml:space="preserve">articipants </w:t>
      </w:r>
      <w:r>
        <w:t>w</w:t>
      </w:r>
      <w:r w:rsidRPr="00A81A64">
        <w:t xml:space="preserve">ithout </w:t>
      </w:r>
      <w:r>
        <w:t>e</w:t>
      </w:r>
      <w:r w:rsidRPr="00A81A64">
        <w:t>vidence of</w:t>
      </w:r>
      <w:r>
        <w:t xml:space="preserve"> i</w:t>
      </w:r>
      <w:r w:rsidRPr="00A81A64">
        <w:t xml:space="preserve">nfection up to </w:t>
      </w:r>
      <w:r w:rsidR="00BD5E85">
        <w:t xml:space="preserve">one </w:t>
      </w:r>
      <w:r>
        <w:t>m</w:t>
      </w:r>
      <w:r w:rsidRPr="00A81A64">
        <w:t xml:space="preserve">onth </w:t>
      </w:r>
      <w:r>
        <w:t>a</w:t>
      </w:r>
      <w:r w:rsidRPr="00A81A64">
        <w:t xml:space="preserve">fter </w:t>
      </w:r>
      <w:r>
        <w:t>s</w:t>
      </w:r>
      <w:r w:rsidRPr="00A81A64">
        <w:t xml:space="preserve">tudy </w:t>
      </w:r>
      <w:r>
        <w:t>v</w:t>
      </w:r>
      <w:r w:rsidRPr="00A81A64">
        <w:t xml:space="preserve">accination (Dose 4) </w:t>
      </w:r>
      <w:r w:rsidR="00BD5E85">
        <w:t>(f</w:t>
      </w:r>
      <w:r w:rsidR="00BD5E85" w:rsidRPr="00A81A64">
        <w:t xml:space="preserve">ull </w:t>
      </w:r>
      <w:r w:rsidR="00BD5E85">
        <w:t>e</w:t>
      </w:r>
      <w:r w:rsidR="00BD5E85" w:rsidRPr="00A81A64">
        <w:t xml:space="preserve">xpanded </w:t>
      </w:r>
      <w:r w:rsidR="00BD5E85">
        <w:t>s</w:t>
      </w:r>
      <w:r w:rsidR="00BD5E85" w:rsidRPr="00A81A64">
        <w:t>et</w:t>
      </w:r>
      <w:r w:rsidR="00F32401">
        <w:t>;</w:t>
      </w:r>
      <w:r w:rsidR="00BD5E85">
        <w:t xml:space="preserve"> </w:t>
      </w:r>
      <w:r>
        <w:t>e</w:t>
      </w:r>
      <w:r w:rsidRPr="00A81A64">
        <w:t xml:space="preserve">valuable </w:t>
      </w:r>
      <w:r>
        <w:t>i</w:t>
      </w:r>
      <w:r w:rsidRPr="00A81A64">
        <w:t xml:space="preserve">mmunogenicity </w:t>
      </w:r>
      <w:r>
        <w:t>p</w:t>
      </w:r>
      <w:r w:rsidRPr="00A81A64">
        <w:t>opulation</w:t>
      </w:r>
      <w:r w:rsidR="00BD5E85">
        <w:t>)</w:t>
      </w:r>
    </w:p>
    <w:p w14:paraId="0DF96DE4" w14:textId="49998FD1" w:rsidR="00A81A64" w:rsidRDefault="00A81A64" w:rsidP="00A81A64">
      <w:r>
        <w:rPr>
          <w:noProof/>
          <w:lang w:val="en-GB" w:eastAsia="en-GB"/>
        </w:rPr>
        <w:drawing>
          <wp:inline distT="0" distB="0" distL="0" distR="0" wp14:anchorId="135F9825" wp14:editId="0A0043D2">
            <wp:extent cx="5724525" cy="2307482"/>
            <wp:effectExtent l="0" t="0" r="0" b="0"/>
            <wp:docPr id="6" name="Picture 6" descr="Geometric mean titres full expanded set for participants without evidence of infection up to 1 month after study vaccination (Dose 4) -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eometric mean titres full expanded set for participants without evidence of infection up to 1 month after study vaccination (Dose 4) - evaluable immunogenicity population"/>
                    <pic:cNvPicPr/>
                  </pic:nvPicPr>
                  <pic:blipFill>
                    <a:blip r:embed="rId53"/>
                    <a:stretch>
                      <a:fillRect/>
                    </a:stretch>
                  </pic:blipFill>
                  <pic:spPr>
                    <a:xfrm>
                      <a:off x="0" y="0"/>
                      <a:ext cx="5748682" cy="2317219"/>
                    </a:xfrm>
                    <a:prstGeom prst="rect">
                      <a:avLst/>
                    </a:prstGeom>
                  </pic:spPr>
                </pic:pic>
              </a:graphicData>
            </a:graphic>
          </wp:inline>
        </w:drawing>
      </w:r>
    </w:p>
    <w:p w14:paraId="65EF892F" w14:textId="371D3B86" w:rsidR="00A81A64" w:rsidRDefault="00A81A64" w:rsidP="00A81A64">
      <w:pPr>
        <w:pStyle w:val="TableDescription"/>
      </w:pPr>
      <w:r>
        <w:t>Abbreviations: GMT = geometric mean titre, LLOQ = lower limit of quantitation, N</w:t>
      </w:r>
      <w:r>
        <w:noBreakHyphen/>
        <w:t>binding = SARS-CoV-2 nucleoprotein–binding, NAAT = nucleic acid amplification test, NT50 = 50% neutrali</w:t>
      </w:r>
      <w:r w:rsidR="00C56D8A">
        <w:t>s</w:t>
      </w:r>
      <w:r>
        <w:t>ing titre, SARS-CoV-2 = severe acute respiratory syndrome coronavirus 2.</w:t>
      </w:r>
    </w:p>
    <w:p w14:paraId="316EB6F4" w14:textId="77777777" w:rsidR="00A81A64" w:rsidRDefault="00A81A64" w:rsidP="00A81A64">
      <w:pPr>
        <w:pStyle w:val="TableDescription"/>
      </w:pPr>
      <w:r>
        <w:t>Note: Immunogenicity subset = a random sample of 230 participants in each vaccine group selected from the expanded cohort.</w:t>
      </w:r>
    </w:p>
    <w:p w14:paraId="03D1E088" w14:textId="688D1FD0" w:rsidR="00A81A64" w:rsidRDefault="00A81A64" w:rsidP="00A81A64">
      <w:pPr>
        <w:pStyle w:val="TableDescription"/>
      </w:pPr>
      <w:r>
        <w:t>Note: Participants who had no serological or virological evidence (prior to the 1 month post study vaccination blood sample collection) of past SARS-CoV-2 infection (that is, N-binding antibody (serum) result negative at the study vaccination and the 1 month post study vaccination visits, negative NAAT (nasal swab) result at the study vaccination visit, and any unscheduled visit prior to the 1 month post study vaccination blood sample collection) and had no medical history of COVID-19 were included in the analysis.</w:t>
      </w:r>
    </w:p>
    <w:p w14:paraId="259F6ED1" w14:textId="77777777" w:rsidR="00A81A64" w:rsidRDefault="00A81A64" w:rsidP="00A81A64">
      <w:pPr>
        <w:pStyle w:val="TableDescription"/>
      </w:pPr>
      <w:r>
        <w:t>a. Protocol-specified timing for blood sample collection.</w:t>
      </w:r>
    </w:p>
    <w:p w14:paraId="706AFE3F" w14:textId="77777777" w:rsidR="00A81A64" w:rsidRDefault="00A81A64" w:rsidP="00A81A64">
      <w:pPr>
        <w:pStyle w:val="TableDescription"/>
      </w:pPr>
      <w:r>
        <w:t>b. n = Number of participants with valid and determinate assay results for the specified assay at the given sampling time point.</w:t>
      </w:r>
    </w:p>
    <w:p w14:paraId="232F2A4E" w14:textId="5793116E" w:rsidR="00A81A64" w:rsidRDefault="00A81A64" w:rsidP="00A81A64">
      <w:pPr>
        <w:pStyle w:val="TableDescription"/>
      </w:pPr>
      <w:r>
        <w:t xml:space="preserve">c. GMTs and 2-sided 95% CIs were calculated by exponentiating the mean logarithm of the titres and the corresponding CIs (based on the </w:t>
      </w:r>
      <w:proofErr w:type="gramStart"/>
      <w:r>
        <w:t>Student</w:t>
      </w:r>
      <w:proofErr w:type="gramEnd"/>
      <w:r>
        <w:t xml:space="preserve"> t distribution). Assay results below the LLOQ were set to 0.5 x LLOQ.</w:t>
      </w:r>
    </w:p>
    <w:p w14:paraId="066CC02E" w14:textId="409392FE" w:rsidR="00A81A64" w:rsidRPr="00A81A64" w:rsidRDefault="00BD5E85" w:rsidP="00A81A64">
      <w:r>
        <w:t>The following was reported f</w:t>
      </w:r>
      <w:r w:rsidR="00A81A64" w:rsidRPr="00A81A64">
        <w:t>or participants without prior evidence of infection</w:t>
      </w:r>
      <w:r>
        <w:t>,</w:t>
      </w:r>
      <w:r w:rsidR="00A81A64" w:rsidRPr="00A81A64">
        <w:t xml:space="preserve"> up to </w:t>
      </w:r>
      <w:r>
        <w:t>one</w:t>
      </w:r>
      <w:r w:rsidR="00A81A64" w:rsidRPr="00A81A64">
        <w:t xml:space="preserve"> month after Dose 4 vaccin</w:t>
      </w:r>
      <w:r>
        <w:t>e</w:t>
      </w:r>
      <w:r w:rsidR="00A81A64" w:rsidRPr="00A81A64">
        <w:t>:</w:t>
      </w:r>
    </w:p>
    <w:p w14:paraId="151560F5" w14:textId="749B1928" w:rsidR="00A81A64" w:rsidRPr="00A81A64" w:rsidRDefault="00A81A64" w:rsidP="00A81A64">
      <w:pPr>
        <w:pStyle w:val="ListBullet"/>
      </w:pPr>
      <w:r>
        <w:t>G</w:t>
      </w:r>
      <w:r w:rsidRPr="00A81A64">
        <w:t>eometric mean titre</w:t>
      </w:r>
      <w:r>
        <w:t>s</w:t>
      </w:r>
      <w:r w:rsidRPr="00A81A64">
        <w:t xml:space="preserve"> </w:t>
      </w:r>
      <w:r>
        <w:t>(</w:t>
      </w:r>
      <w:r w:rsidRPr="00A81A64">
        <w:t>GMTs</w:t>
      </w:r>
      <w:r>
        <w:t>)</w:t>
      </w:r>
      <w:r w:rsidRPr="00A81A64">
        <w:t xml:space="preserve"> for the Omicron (BA.1) variant increased from 1389 (pre</w:t>
      </w:r>
      <w:r>
        <w:noBreakHyphen/>
      </w:r>
      <w:r w:rsidRPr="00A81A64">
        <w:t xml:space="preserve">vaccination) to 5999 at </w:t>
      </w:r>
      <w:r w:rsidR="00F32401">
        <w:t>one</w:t>
      </w:r>
      <w:r>
        <w:t xml:space="preserve"> </w:t>
      </w:r>
      <w:r w:rsidRPr="00A81A64">
        <w:t>month post</w:t>
      </w:r>
      <w:r>
        <w:t xml:space="preserve"> </w:t>
      </w:r>
      <w:r w:rsidRPr="00A81A64">
        <w:t>Dose 4 for those who received BNT162b2 30</w:t>
      </w:r>
      <w:r>
        <w:t> </w:t>
      </w:r>
      <w:r>
        <w:sym w:font="Symbol" w:char="F06D"/>
      </w:r>
      <w:r w:rsidRPr="00A81A64">
        <w:t xml:space="preserve">g. For the reference strain, GMTs were also higher at </w:t>
      </w:r>
      <w:proofErr w:type="gramStart"/>
      <w:r w:rsidR="00BD5E85">
        <w:t>one</w:t>
      </w:r>
      <w:r>
        <w:t xml:space="preserve"> </w:t>
      </w:r>
      <w:r w:rsidRPr="00A81A64">
        <w:t>month</w:t>
      </w:r>
      <w:proofErr w:type="gramEnd"/>
      <w:r w:rsidRPr="00A81A64">
        <w:t xml:space="preserve"> post</w:t>
      </w:r>
      <w:r w:rsidR="00BD5E85">
        <w:t>-</w:t>
      </w:r>
      <w:r w:rsidRPr="00A81A64">
        <w:t>Dose 4 compared to pre</w:t>
      </w:r>
      <w:r>
        <w:noBreakHyphen/>
      </w:r>
      <w:r w:rsidRPr="00A81A64">
        <w:t>vaccination (67.5 v</w:t>
      </w:r>
      <w:r>
        <w:t xml:space="preserve">ersus </w:t>
      </w:r>
      <w:r w:rsidRPr="00A81A64">
        <w:t>455.8) (</w:t>
      </w:r>
      <w:r>
        <w:fldChar w:fldCharType="begin"/>
      </w:r>
      <w:r>
        <w:instrText xml:space="preserve"> REF _Ref137107305 \h </w:instrText>
      </w:r>
      <w:r>
        <w:fldChar w:fldCharType="separate"/>
      </w:r>
      <w:r w:rsidR="00237257">
        <w:t xml:space="preserve">Table </w:t>
      </w:r>
      <w:r w:rsidR="00237257">
        <w:rPr>
          <w:noProof/>
        </w:rPr>
        <w:t>10</w:t>
      </w:r>
      <w:r>
        <w:fldChar w:fldCharType="end"/>
      </w:r>
      <w:r w:rsidRPr="00A81A64">
        <w:t>).</w:t>
      </w:r>
    </w:p>
    <w:p w14:paraId="70354BFA" w14:textId="77CF8843" w:rsidR="00A81A64" w:rsidRPr="00A81A64" w:rsidRDefault="00A81A64" w:rsidP="00A81A64">
      <w:pPr>
        <w:pStyle w:val="ListBullet"/>
      </w:pPr>
      <w:r w:rsidRPr="00A81A64">
        <w:t xml:space="preserve">Geometric mean-fold rises </w:t>
      </w:r>
      <w:r>
        <w:t>(</w:t>
      </w:r>
      <w:r w:rsidRPr="00A81A64">
        <w:t>GMFRs</w:t>
      </w:r>
      <w:r>
        <w:t>)</w:t>
      </w:r>
      <w:r w:rsidRPr="00A81A64">
        <w:t xml:space="preserve"> from Dose 4 to </w:t>
      </w:r>
      <w:proofErr w:type="gramStart"/>
      <w:r w:rsidR="00BD5E85">
        <w:t xml:space="preserve">one </w:t>
      </w:r>
      <w:r w:rsidRPr="00A81A64">
        <w:t>month</w:t>
      </w:r>
      <w:proofErr w:type="gramEnd"/>
      <w:r w:rsidRPr="00A81A64">
        <w:t xml:space="preserve"> post</w:t>
      </w:r>
      <w:r w:rsidR="00BD5E85">
        <w:t>-</w:t>
      </w:r>
      <w:r w:rsidRPr="00A81A64">
        <w:t>Dose 4 for the Omicron variant were 5.8 (2-sided 95% CI:4.6, 7.2) and 4.3 (2-sided 95% CI: 3.7, 5.0) for the reference strain in the BNT162b2 30</w:t>
      </w:r>
      <w:r>
        <w:t> </w:t>
      </w:r>
      <w:r>
        <w:sym w:font="Symbol" w:char="F06D"/>
      </w:r>
      <w:r w:rsidRPr="00A81A64">
        <w:t>g group.</w:t>
      </w:r>
    </w:p>
    <w:p w14:paraId="47B09FC5" w14:textId="31E147BE" w:rsidR="00A81A64" w:rsidRPr="00A81A64" w:rsidRDefault="00A81A64" w:rsidP="00A81A64">
      <w:pPr>
        <w:pStyle w:val="ListBullet"/>
      </w:pPr>
      <w:r>
        <w:t>T</w:t>
      </w:r>
      <w:r w:rsidRPr="00A81A64">
        <w:t xml:space="preserve">he proportion of participants who achieved </w:t>
      </w:r>
      <w:proofErr w:type="spellStart"/>
      <w:r w:rsidRPr="00A81A64">
        <w:t>seroresponse</w:t>
      </w:r>
      <w:proofErr w:type="spellEnd"/>
      <w:r w:rsidRPr="00A81A64">
        <w:t xml:space="preserve"> at </w:t>
      </w:r>
      <w:proofErr w:type="gramStart"/>
      <w:r w:rsidR="00BD5E85">
        <w:t xml:space="preserve">one </w:t>
      </w:r>
      <w:r w:rsidRPr="00A81A64">
        <w:t>month</w:t>
      </w:r>
      <w:proofErr w:type="gramEnd"/>
      <w:r w:rsidRPr="00A81A64">
        <w:t xml:space="preserve"> post</w:t>
      </w:r>
      <w:r w:rsidR="00BD5E85">
        <w:t>-</w:t>
      </w:r>
      <w:r w:rsidRPr="00A81A64">
        <w:t>Dose 4 for the Omicron variant was 57% and 49.2% for the reference strain in the BNT162b2 30</w:t>
      </w:r>
      <w:r>
        <w:t> </w:t>
      </w:r>
      <w:r>
        <w:sym w:font="Symbol" w:char="F06D"/>
      </w:r>
      <w:r w:rsidRPr="00A81A64">
        <w:t>g group.</w:t>
      </w:r>
    </w:p>
    <w:p w14:paraId="401084C0" w14:textId="1425197D" w:rsidR="00A81A64" w:rsidRDefault="00A81A64" w:rsidP="00A81A64">
      <w:r w:rsidRPr="00A81A64">
        <w:t>There were no clinically meaningful differences between subgroups for neutrali</w:t>
      </w:r>
      <w:r w:rsidR="00C56D8A">
        <w:t>s</w:t>
      </w:r>
      <w:r w:rsidRPr="00A81A64">
        <w:t xml:space="preserve">ing GMTs and </w:t>
      </w:r>
      <w:proofErr w:type="spellStart"/>
      <w:r w:rsidRPr="00A81A64">
        <w:t>seroresponse</w:t>
      </w:r>
      <w:proofErr w:type="spellEnd"/>
      <w:r w:rsidRPr="00A81A64">
        <w:t xml:space="preserve"> rates</w:t>
      </w:r>
      <w:r>
        <w:t xml:space="preserve"> </w:t>
      </w:r>
      <w:r w:rsidRPr="00A81A64">
        <w:t>for the Omicron variant except for baseline SARS-CoV-2 status.</w:t>
      </w:r>
    </w:p>
    <w:p w14:paraId="7C39D868" w14:textId="00F77B17" w:rsidR="00A81A64" w:rsidRDefault="00A81A64" w:rsidP="00A81A64">
      <w:r>
        <w:t>G</w:t>
      </w:r>
      <w:r w:rsidRPr="00A81A64">
        <w:t>eometric mean titre</w:t>
      </w:r>
      <w:r>
        <w:t>s</w:t>
      </w:r>
      <w:r w:rsidRPr="00A81A64">
        <w:t xml:space="preserve"> </w:t>
      </w:r>
      <w:r>
        <w:t xml:space="preserve">(GMTs), GMFRs and </w:t>
      </w:r>
      <w:proofErr w:type="spellStart"/>
      <w:r>
        <w:t>seroresponse</w:t>
      </w:r>
      <w:proofErr w:type="spellEnd"/>
      <w:r>
        <w:t xml:space="preserve"> rates at </w:t>
      </w:r>
      <w:proofErr w:type="gramStart"/>
      <w:r w:rsidR="00BD5E85">
        <w:t>one</w:t>
      </w:r>
      <w:r>
        <w:t xml:space="preserve"> month</w:t>
      </w:r>
      <w:proofErr w:type="gramEnd"/>
      <w:r>
        <w:t xml:space="preserve"> post</w:t>
      </w:r>
      <w:r w:rsidR="00BD5E85">
        <w:t>-</w:t>
      </w:r>
      <w:r>
        <w:t>Dose 4 were generally higher for participants who were positive for SARS-CoV-2</w:t>
      </w:r>
      <w:r w:rsidR="00BD5E85">
        <w:t xml:space="preserve"> at Baseline</w:t>
      </w:r>
      <w:r>
        <w:t>.</w:t>
      </w:r>
    </w:p>
    <w:p w14:paraId="02EFB6AB" w14:textId="3139CC4A" w:rsidR="00BD5E85" w:rsidRDefault="00A81A64" w:rsidP="00A81A64">
      <w:r w:rsidRPr="00F32401">
        <w:rPr>
          <w:i/>
        </w:rPr>
        <w:t>Confirmed COVID-19 cases</w:t>
      </w:r>
      <w:r>
        <w:t xml:space="preserve">: There were a total of 30 </w:t>
      </w:r>
      <w:r w:rsidR="00BD5E85">
        <w:t xml:space="preserve">confirmed cases </w:t>
      </w:r>
      <w:r>
        <w:t>across all vaccine groups up to the data cut-off date. These included</w:t>
      </w:r>
      <w:r w:rsidR="00BD5E85">
        <w:t>:</w:t>
      </w:r>
    </w:p>
    <w:p w14:paraId="0196AAD3" w14:textId="115F0FCC" w:rsidR="00BD5E85" w:rsidRDefault="00A81A64" w:rsidP="00F32401">
      <w:pPr>
        <w:pStyle w:val="ListBullet"/>
      </w:pPr>
      <w:r>
        <w:lastRenderedPageBreak/>
        <w:t>BNT162b2 30 </w:t>
      </w:r>
      <w:r>
        <w:sym w:font="Symbol" w:char="F06D"/>
      </w:r>
      <w:r>
        <w:t>g and 60 </w:t>
      </w:r>
      <w:r>
        <w:sym w:font="Symbol" w:char="F06D"/>
      </w:r>
      <w:r>
        <w:t xml:space="preserve">g groups: seven and six cases, </w:t>
      </w:r>
      <w:proofErr w:type="gramStart"/>
      <w:r>
        <w:t>respectively;</w:t>
      </w:r>
      <w:proofErr w:type="gramEnd"/>
    </w:p>
    <w:p w14:paraId="1935DCFB" w14:textId="06EDCD15" w:rsidR="00BD5E85" w:rsidRDefault="00A81A64" w:rsidP="00F32401">
      <w:pPr>
        <w:pStyle w:val="ListBullet"/>
      </w:pPr>
      <w:r>
        <w:t>BNT162b2 OMI 30 </w:t>
      </w:r>
      <w:r>
        <w:sym w:font="Symbol" w:char="F06D"/>
      </w:r>
      <w:r>
        <w:t>g and 60 </w:t>
      </w:r>
      <w:r>
        <w:sym w:font="Symbol" w:char="F06D"/>
      </w:r>
      <w:r>
        <w:t>g groups: seven and three cases, respectively</w:t>
      </w:r>
      <w:r w:rsidR="00BD5E85">
        <w:t>;</w:t>
      </w:r>
      <w:r w:rsidR="008953AA">
        <w:t xml:space="preserve"> and</w:t>
      </w:r>
    </w:p>
    <w:p w14:paraId="1CCC5E79" w14:textId="3DE559BE" w:rsidR="00BD5E85" w:rsidRDefault="00A81A64" w:rsidP="00F32401">
      <w:pPr>
        <w:pStyle w:val="ListBullet"/>
      </w:pPr>
      <w:r>
        <w:t xml:space="preserve">BNT162b2 </w:t>
      </w:r>
      <w:r w:rsidR="00C56D8A">
        <w:t>and</w:t>
      </w:r>
      <w:r>
        <w:t xml:space="preserve"> BNT162b2 OMI 30 </w:t>
      </w:r>
      <w:r>
        <w:sym w:font="Symbol" w:char="F06D"/>
      </w:r>
      <w:r>
        <w:t>g and 60 </w:t>
      </w:r>
      <w:r>
        <w:sym w:font="Symbol" w:char="F06D"/>
      </w:r>
      <w:r>
        <w:t>g groups: one and six cases, respectively.</w:t>
      </w:r>
    </w:p>
    <w:p w14:paraId="30A0697C" w14:textId="22B0B61A" w:rsidR="00A81A64" w:rsidRDefault="00A81A64">
      <w:r>
        <w:t>There were no severe cases.</w:t>
      </w:r>
    </w:p>
    <w:p w14:paraId="03C1FA6D" w14:textId="5191C047" w:rsidR="00A81A64" w:rsidRDefault="00A81A64" w:rsidP="00A81A64">
      <w:pPr>
        <w:pStyle w:val="Heading6"/>
      </w:pPr>
      <w:r>
        <w:t>Safety results</w:t>
      </w:r>
    </w:p>
    <w:p w14:paraId="5F8A420D" w14:textId="7046C262" w:rsidR="00A81A64" w:rsidRPr="00A81A64" w:rsidRDefault="00A81A64" w:rsidP="00A81A64">
      <w:r w:rsidRPr="00A81A64">
        <w:t xml:space="preserve">In </w:t>
      </w:r>
      <w:proofErr w:type="spellStart"/>
      <w:r w:rsidRPr="00A81A64">
        <w:t>Substudies</w:t>
      </w:r>
      <w:proofErr w:type="spellEnd"/>
      <w:r w:rsidRPr="00A81A64">
        <w:t xml:space="preserve"> D and E, adverse </w:t>
      </w:r>
      <w:r w:rsidRPr="00673FB8">
        <w:t xml:space="preserve">events were up to </w:t>
      </w:r>
      <w:r w:rsidR="00BD5E85">
        <w:t>one</w:t>
      </w:r>
      <w:r w:rsidRPr="00673FB8">
        <w:t xml:space="preserve"> month after the last dose administered, and serious adverse events were collected from study vaccination up to 6 months post </w:t>
      </w:r>
      <w:r w:rsidR="00C56D8A">
        <w:t>d</w:t>
      </w:r>
      <w:r w:rsidRPr="00673FB8">
        <w:t>ose.</w:t>
      </w:r>
    </w:p>
    <w:p w14:paraId="7E2CEC52" w14:textId="25B97780" w:rsidR="00A81A64" w:rsidRDefault="00A81A64" w:rsidP="00A81A64">
      <w:pPr>
        <w:pStyle w:val="Heading7"/>
        <w:rPr>
          <w:szCs w:val="22"/>
        </w:rPr>
      </w:pPr>
      <w:proofErr w:type="spellStart"/>
      <w:r w:rsidRPr="00A81A64">
        <w:rPr>
          <w:szCs w:val="22"/>
        </w:rPr>
        <w:t>Substudy</w:t>
      </w:r>
      <w:proofErr w:type="spellEnd"/>
      <w:r w:rsidRPr="00A81A64">
        <w:rPr>
          <w:szCs w:val="22"/>
        </w:rPr>
        <w:t xml:space="preserve"> D</w:t>
      </w:r>
    </w:p>
    <w:p w14:paraId="572A2764" w14:textId="54D43CC5" w:rsidR="00BD5E85" w:rsidRPr="0051367F" w:rsidRDefault="00BD5E85" w:rsidP="00F32401">
      <w:r>
        <w:t xml:space="preserve">Safety findings for the safety population of </w:t>
      </w:r>
      <w:proofErr w:type="spellStart"/>
      <w:r>
        <w:t>Substudy</w:t>
      </w:r>
      <w:proofErr w:type="spellEnd"/>
      <w:r>
        <w:t xml:space="preserve"> D are summarised as follows:</w:t>
      </w:r>
    </w:p>
    <w:p w14:paraId="248E3B9B" w14:textId="308FB185" w:rsidR="00BD5E85" w:rsidRDefault="00A81A64" w:rsidP="00A81A64">
      <w:pPr>
        <w:pStyle w:val="ListBullet"/>
      </w:pPr>
      <w:r w:rsidRPr="00A81A64">
        <w:t xml:space="preserve">The safety population included 640 participants (315 </w:t>
      </w:r>
      <w:r w:rsidR="00BD5E85">
        <w:t>receiving</w:t>
      </w:r>
      <w:r w:rsidR="00BD5E85" w:rsidRPr="00A81A64">
        <w:t xml:space="preserve"> </w:t>
      </w:r>
      <w:r w:rsidRPr="00A81A64">
        <w:t xml:space="preserve">BNT162b2 OMI, 325 </w:t>
      </w:r>
      <w:r w:rsidR="00BD5E85">
        <w:t>receiving</w:t>
      </w:r>
      <w:r w:rsidR="00BD5E85" w:rsidRPr="00A81A64">
        <w:t xml:space="preserve"> </w:t>
      </w:r>
      <w:r w:rsidRPr="00A81A64">
        <w:t xml:space="preserve">BNT162b2). No participants were excluded from </w:t>
      </w:r>
      <w:r w:rsidR="00C56D8A">
        <w:t xml:space="preserve">the </w:t>
      </w:r>
      <w:r w:rsidRPr="00A81A64">
        <w:t>safety population.</w:t>
      </w:r>
    </w:p>
    <w:p w14:paraId="73404810" w14:textId="1399FD1B" w:rsidR="00A81A64" w:rsidRPr="00A81A64" w:rsidRDefault="00A81A64" w:rsidP="00A81A64">
      <w:pPr>
        <w:pStyle w:val="ListBullet"/>
      </w:pPr>
      <w:r w:rsidRPr="00A81A64">
        <w:t>The median follow</w:t>
      </w:r>
      <w:r w:rsidR="00C56D8A">
        <w:t>-</w:t>
      </w:r>
      <w:r w:rsidRPr="00A81A64">
        <w:t>up time after Dose</w:t>
      </w:r>
      <w:r>
        <w:t> </w:t>
      </w:r>
      <w:r w:rsidRPr="00A81A64">
        <w:t>4 was 1.4 months (range: 1.0 to 1.7 months).</w:t>
      </w:r>
    </w:p>
    <w:p w14:paraId="041976A4" w14:textId="3B43F193" w:rsidR="00A81A64" w:rsidRPr="00A81A64" w:rsidRDefault="00A81A64" w:rsidP="00A81A64">
      <w:pPr>
        <w:pStyle w:val="ListBullet"/>
      </w:pPr>
      <w:r w:rsidRPr="00A81A64">
        <w:t xml:space="preserve">Overall, the reactogenicity profile (local reactions, systemic events) within </w:t>
      </w:r>
      <w:r w:rsidR="00C56D8A">
        <w:t>7</w:t>
      </w:r>
      <w:r w:rsidRPr="00A81A64">
        <w:t xml:space="preserve"> days following a fourth dose</w:t>
      </w:r>
      <w:r w:rsidR="00BD5E85">
        <w:t xml:space="preserve"> (Dose 4)</w:t>
      </w:r>
      <w:r w:rsidRPr="00A81A64">
        <w:t xml:space="preserve"> of either vaccination was </w:t>
      </w:r>
      <w:proofErr w:type="gramStart"/>
      <w:r w:rsidRPr="00A81A64">
        <w:t>similar to</w:t>
      </w:r>
      <w:proofErr w:type="gramEnd"/>
      <w:r w:rsidRPr="00A81A64">
        <w:t xml:space="preserve"> that observed after a third dose </w:t>
      </w:r>
      <w:r w:rsidR="00BD5E85">
        <w:t xml:space="preserve">(Dose 3) </w:t>
      </w:r>
      <w:r w:rsidRPr="00A81A64">
        <w:t>of BNT162b2</w:t>
      </w:r>
      <w:r w:rsidR="00BD5E85">
        <w:t xml:space="preserve"> vaccine</w:t>
      </w:r>
      <w:r w:rsidRPr="00A81A64">
        <w:t>.</w:t>
      </w:r>
    </w:p>
    <w:p w14:paraId="5FE9298C" w14:textId="45FAEA61" w:rsidR="00A81A64" w:rsidRPr="00A81A64" w:rsidRDefault="00A81A64" w:rsidP="00A81A64">
      <w:pPr>
        <w:pStyle w:val="ListBullet"/>
      </w:pPr>
      <w:r w:rsidRPr="00A81A64">
        <w:t xml:space="preserve">Injection site pain was the most frequently reported local reaction in </w:t>
      </w:r>
      <w:r w:rsidR="00BD5E85">
        <w:t xml:space="preserve">participants in both the </w:t>
      </w:r>
      <w:r w:rsidRPr="00A81A64">
        <w:t xml:space="preserve">BNT162b2 and BNT162b2 OMI </w:t>
      </w:r>
      <w:r w:rsidR="00BD5E85">
        <w:t>vaccine groups</w:t>
      </w:r>
      <w:r w:rsidRPr="00A81A64">
        <w:t xml:space="preserve">: 78.4% (2-sided 95% CI: 73.4%, 82.9%) and 77.9% (2-sided 95% CI: 72.7%, 82.5%), respectively. These events were severe in </w:t>
      </w:r>
      <w:r>
        <w:t>five</w:t>
      </w:r>
      <w:r w:rsidRPr="00A81A64">
        <w:t xml:space="preserve"> participants (</w:t>
      </w:r>
      <w:r>
        <w:t>three</w:t>
      </w:r>
      <w:r w:rsidR="00BD5E85">
        <w:t xml:space="preserve"> in those receiving</w:t>
      </w:r>
      <w:r w:rsidRPr="00A81A64">
        <w:t xml:space="preserve"> BNT162b2</w:t>
      </w:r>
      <w:r w:rsidR="00BD5E85">
        <w:t xml:space="preserve"> vaccine, and</w:t>
      </w:r>
      <w:r w:rsidRPr="00A81A64">
        <w:t xml:space="preserve"> </w:t>
      </w:r>
      <w:r>
        <w:t>two</w:t>
      </w:r>
      <w:r w:rsidRPr="00A81A64">
        <w:t xml:space="preserve"> in </w:t>
      </w:r>
      <w:r w:rsidR="00BD5E85">
        <w:t xml:space="preserve">those receiving </w:t>
      </w:r>
      <w:r w:rsidRPr="00A81A64">
        <w:t>BNT162b2 OMI</w:t>
      </w:r>
      <w:r w:rsidR="00BD5E85">
        <w:t xml:space="preserve"> vaccine</w:t>
      </w:r>
      <w:r w:rsidRPr="00A81A64">
        <w:t>).</w:t>
      </w:r>
    </w:p>
    <w:p w14:paraId="0EEBD400" w14:textId="48F49EE8" w:rsidR="00A81A64" w:rsidRPr="00A81A64" w:rsidRDefault="00A81A64" w:rsidP="00A81A64">
      <w:pPr>
        <w:pStyle w:val="ListBullet"/>
      </w:pPr>
      <w:r w:rsidRPr="00A81A64">
        <w:t xml:space="preserve">Systemic events reported within </w:t>
      </w:r>
      <w:r w:rsidR="008953AA">
        <w:t xml:space="preserve">the </w:t>
      </w:r>
      <w:r w:rsidR="00C56D8A">
        <w:t>7</w:t>
      </w:r>
      <w:r w:rsidRPr="00A81A64">
        <w:t xml:space="preserve"> days </w:t>
      </w:r>
      <w:r w:rsidR="008953AA">
        <w:t>following</w:t>
      </w:r>
      <w:r w:rsidR="008953AA" w:rsidRPr="00A81A64">
        <w:t xml:space="preserve"> </w:t>
      </w:r>
      <w:r>
        <w:t>D</w:t>
      </w:r>
      <w:r w:rsidRPr="00A81A64">
        <w:t xml:space="preserve">ose 4 </w:t>
      </w:r>
      <w:r w:rsidR="008953AA">
        <w:t xml:space="preserve">of vaccine </w:t>
      </w:r>
      <w:r w:rsidRPr="00A81A64">
        <w:t xml:space="preserve">were similar in the BNT162b2 OMI (77.6%) and BNT162b2 (72.9%) </w:t>
      </w:r>
      <w:r w:rsidR="008953AA">
        <w:t xml:space="preserve">vaccine </w:t>
      </w:r>
      <w:r w:rsidRPr="00A81A64">
        <w:t>groups, and most were mild/moderate in severity</w:t>
      </w:r>
      <w:r w:rsidR="008953AA">
        <w:t>. Most</w:t>
      </w:r>
      <w:r w:rsidRPr="00A81A64">
        <w:t xml:space="preserve"> occurred within 1 to 2 days after dosing and resolved within 1 to 2 days. No Grade 4 systemic events were reported.</w:t>
      </w:r>
      <w:bookmarkStart w:id="63" w:name="_Ref137109349"/>
      <w:r>
        <w:rPr>
          <w:rStyle w:val="FootnoteReference"/>
        </w:rPr>
        <w:footnoteReference w:id="18"/>
      </w:r>
      <w:bookmarkEnd w:id="63"/>
    </w:p>
    <w:p w14:paraId="0830CC4F" w14:textId="1DDA2826" w:rsidR="00A81A64" w:rsidRPr="00A81A64" w:rsidRDefault="00A81A64" w:rsidP="00A81A64">
      <w:pPr>
        <w:pStyle w:val="ListBullet"/>
      </w:pPr>
      <w:r w:rsidRPr="00A81A64">
        <w:t>There were no reported events of myocarditis or pericarditis</w:t>
      </w:r>
      <w:r>
        <w:t>.</w:t>
      </w:r>
    </w:p>
    <w:p w14:paraId="78DEAF12" w14:textId="29485546" w:rsidR="00A81A64" w:rsidRDefault="00A81A64" w:rsidP="00A81A64">
      <w:pPr>
        <w:pStyle w:val="ListBullet"/>
      </w:pPr>
      <w:r w:rsidRPr="00A81A64">
        <w:t xml:space="preserve">No </w:t>
      </w:r>
      <w:proofErr w:type="gramStart"/>
      <w:r w:rsidRPr="00A81A64">
        <w:t>life</w:t>
      </w:r>
      <w:r>
        <w:t xml:space="preserve"> </w:t>
      </w:r>
      <w:r w:rsidRPr="00A81A64">
        <w:t>threatening</w:t>
      </w:r>
      <w:proofErr w:type="gramEnd"/>
      <w:r w:rsidRPr="00A81A64">
        <w:t xml:space="preserve"> </w:t>
      </w:r>
      <w:r>
        <w:t>adverse events</w:t>
      </w:r>
      <w:r w:rsidRPr="00A81A64">
        <w:t xml:space="preserve"> were reported in either group. No study participants had any </w:t>
      </w:r>
      <w:r>
        <w:t>adverse events</w:t>
      </w:r>
      <w:r w:rsidRPr="00A81A64">
        <w:t xml:space="preserve"> leading to withdrawal from </w:t>
      </w:r>
      <w:r w:rsidR="008953AA">
        <w:t xml:space="preserve">receiving </w:t>
      </w:r>
      <w:r w:rsidRPr="00A81A64">
        <w:t>Dose 4</w:t>
      </w:r>
      <w:r w:rsidR="008953AA">
        <w:t xml:space="preserve"> </w:t>
      </w:r>
      <w:r w:rsidRPr="00A81A64">
        <w:t xml:space="preserve">to </w:t>
      </w:r>
      <w:r w:rsidR="008953AA">
        <w:t>one</w:t>
      </w:r>
      <w:r w:rsidRPr="00A81A64">
        <w:t xml:space="preserve"> month after Dose 4</w:t>
      </w:r>
      <w:r w:rsidR="008953AA">
        <w:t xml:space="preserve"> of vaccine, and there were no deaths in this study period.</w:t>
      </w:r>
    </w:p>
    <w:p w14:paraId="60789B09" w14:textId="58FC9E2B" w:rsidR="00A81A64" w:rsidRDefault="00A81A64" w:rsidP="00A81A64">
      <w:pPr>
        <w:pStyle w:val="Heading7"/>
        <w:rPr>
          <w:szCs w:val="22"/>
        </w:rPr>
      </w:pPr>
      <w:proofErr w:type="spellStart"/>
      <w:r w:rsidRPr="00A81A64">
        <w:rPr>
          <w:szCs w:val="22"/>
        </w:rPr>
        <w:t>Substudy</w:t>
      </w:r>
      <w:proofErr w:type="spellEnd"/>
      <w:r w:rsidRPr="00A81A64">
        <w:rPr>
          <w:szCs w:val="22"/>
        </w:rPr>
        <w:t xml:space="preserve"> E</w:t>
      </w:r>
    </w:p>
    <w:p w14:paraId="6E4CAD30" w14:textId="0F7E95F6" w:rsidR="008953AA" w:rsidRPr="0051367F" w:rsidRDefault="008953AA" w:rsidP="00F32401">
      <w:r>
        <w:t xml:space="preserve">Safety findings for the safety population of </w:t>
      </w:r>
      <w:proofErr w:type="spellStart"/>
      <w:r>
        <w:t>Substudy</w:t>
      </w:r>
      <w:proofErr w:type="spellEnd"/>
      <w:r>
        <w:t xml:space="preserve"> E are summarised as follows:</w:t>
      </w:r>
    </w:p>
    <w:p w14:paraId="342FDC23" w14:textId="77777777" w:rsidR="008953AA" w:rsidRDefault="00A81A64" w:rsidP="00A81A64">
      <w:pPr>
        <w:pStyle w:val="ListBullet"/>
      </w:pPr>
      <w:r w:rsidRPr="00A81A64">
        <w:t>The safety population included 1841 participants</w:t>
      </w:r>
      <w:r w:rsidR="008953AA">
        <w:t xml:space="preserve"> as follows</w:t>
      </w:r>
      <w:r w:rsidRPr="00A81A64">
        <w:t>:</w:t>
      </w:r>
    </w:p>
    <w:p w14:paraId="0C356013" w14:textId="31536BBD" w:rsidR="008953AA" w:rsidRDefault="00A81A64" w:rsidP="00F32401">
      <w:pPr>
        <w:pStyle w:val="ListBullet2"/>
      </w:pPr>
      <w:r w:rsidRPr="00A81A64">
        <w:t>305 and 302 in the BNT162b2 30</w:t>
      </w:r>
      <w:r>
        <w:t> </w:t>
      </w:r>
      <w:r>
        <w:sym w:font="Symbol" w:char="F06D"/>
      </w:r>
      <w:r w:rsidRPr="00A81A64">
        <w:t>g and BNT162b2 60</w:t>
      </w:r>
      <w:r>
        <w:t> </w:t>
      </w:r>
      <w:r>
        <w:sym w:font="Symbol" w:char="F06D"/>
      </w:r>
      <w:r w:rsidRPr="00A81A64">
        <w:t xml:space="preserve">g group, </w:t>
      </w:r>
      <w:proofErr w:type="gramStart"/>
      <w:r w:rsidRPr="00A81A64">
        <w:t>respectively;</w:t>
      </w:r>
      <w:proofErr w:type="gramEnd"/>
    </w:p>
    <w:p w14:paraId="5A657AE0" w14:textId="051D19C6" w:rsidR="008953AA" w:rsidRDefault="00A81A64" w:rsidP="00F32401">
      <w:pPr>
        <w:pStyle w:val="ListBullet2"/>
      </w:pPr>
      <w:r w:rsidRPr="00A81A64">
        <w:t>307 each in the BNT162b2 OMI 30</w:t>
      </w:r>
      <w:r>
        <w:t> </w:t>
      </w:r>
      <w:r>
        <w:sym w:font="Symbol" w:char="F06D"/>
      </w:r>
      <w:r w:rsidRPr="00A81A64">
        <w:t>g and BNT162b2</w:t>
      </w:r>
      <w:r>
        <w:t> </w:t>
      </w:r>
      <w:r w:rsidRPr="00A81A64">
        <w:t>OMI 60</w:t>
      </w:r>
      <w:r>
        <w:t> </w:t>
      </w:r>
      <w:r>
        <w:sym w:font="Symbol" w:char="F06D"/>
      </w:r>
      <w:r w:rsidRPr="00A81A64">
        <w:t>g group</w:t>
      </w:r>
      <w:r w:rsidR="008953AA">
        <w:t xml:space="preserve">; </w:t>
      </w:r>
      <w:r w:rsidRPr="00A81A64">
        <w:t>and</w:t>
      </w:r>
    </w:p>
    <w:p w14:paraId="72E3A8EF" w14:textId="6A6F1DAF" w:rsidR="008953AA" w:rsidRDefault="00A81A64" w:rsidP="00F32401">
      <w:pPr>
        <w:pStyle w:val="ListBullet2"/>
      </w:pPr>
      <w:r w:rsidRPr="00A81A64">
        <w:t xml:space="preserve">305 in the BNT162b2 </w:t>
      </w:r>
      <w:r w:rsidR="00C56D8A">
        <w:t>and</w:t>
      </w:r>
      <w:r w:rsidRPr="00A81A64">
        <w:t xml:space="preserve"> BNT162b2 OMI 15</w:t>
      </w:r>
      <w:r>
        <w:t> </w:t>
      </w:r>
      <w:r>
        <w:sym w:font="Symbol" w:char="F06D"/>
      </w:r>
      <w:r w:rsidRPr="00A81A64">
        <w:t>g each (30</w:t>
      </w:r>
      <w:r>
        <w:t> </w:t>
      </w:r>
      <w:r>
        <w:sym w:font="Symbol" w:char="F06D"/>
      </w:r>
      <w:r w:rsidRPr="00A81A64">
        <w:t>g total)</w:t>
      </w:r>
      <w:r w:rsidR="008953AA">
        <w:t>;</w:t>
      </w:r>
      <w:r w:rsidRPr="00A81A64">
        <w:t xml:space="preserve"> and</w:t>
      </w:r>
    </w:p>
    <w:p w14:paraId="1B1607E2" w14:textId="43D2B2AB" w:rsidR="00A81A64" w:rsidRPr="00A81A64" w:rsidRDefault="008953AA" w:rsidP="00F32401">
      <w:pPr>
        <w:pStyle w:val="ListBullet2"/>
      </w:pPr>
      <w:r w:rsidRPr="00A81A64">
        <w:t xml:space="preserve">316 </w:t>
      </w:r>
      <w:r>
        <w:t xml:space="preserve">in the </w:t>
      </w:r>
      <w:r w:rsidR="00A81A64" w:rsidRPr="00A81A64">
        <w:t xml:space="preserve">BNT162b2 </w:t>
      </w:r>
      <w:r w:rsidR="00C56D8A">
        <w:t>and</w:t>
      </w:r>
      <w:r w:rsidR="00A81A64" w:rsidRPr="00A81A64">
        <w:t xml:space="preserve"> BNT162b2 OMI 30</w:t>
      </w:r>
      <w:r w:rsidR="00A81A64">
        <w:t> </w:t>
      </w:r>
      <w:r w:rsidR="00A81A64">
        <w:sym w:font="Symbol" w:char="F06D"/>
      </w:r>
      <w:r w:rsidR="00A81A64" w:rsidRPr="00A81A64">
        <w:t>g each (60</w:t>
      </w:r>
      <w:r w:rsidR="00A81A64">
        <w:t> </w:t>
      </w:r>
      <w:r w:rsidR="00A81A64">
        <w:sym w:font="Symbol" w:char="F06D"/>
      </w:r>
      <w:r w:rsidR="00A81A64" w:rsidRPr="00A81A64">
        <w:t>g total) group, respectively</w:t>
      </w:r>
      <w:r w:rsidR="00A81A64">
        <w:t>.</w:t>
      </w:r>
    </w:p>
    <w:p w14:paraId="3739280B" w14:textId="48CA2B80" w:rsidR="00A81A64" w:rsidRPr="00A81A64" w:rsidRDefault="00A81A64" w:rsidP="00A81A64">
      <w:pPr>
        <w:pStyle w:val="ListBullet"/>
      </w:pPr>
      <w:r w:rsidRPr="00A81A64">
        <w:t>Median follow-up time after study vaccination was 1.7 to 1.8 months</w:t>
      </w:r>
      <w:r>
        <w:t>.</w:t>
      </w:r>
    </w:p>
    <w:p w14:paraId="26C1F7A7" w14:textId="0D0E1FAE" w:rsidR="00A81A64" w:rsidRPr="00A81A64" w:rsidRDefault="00A81A64" w:rsidP="00A81A64">
      <w:pPr>
        <w:pStyle w:val="ListBullet"/>
      </w:pPr>
      <w:r w:rsidRPr="00A81A64">
        <w:lastRenderedPageBreak/>
        <w:t xml:space="preserve">The reactogenicity profile (local and systemic) within </w:t>
      </w:r>
      <w:r w:rsidR="00C56D8A">
        <w:t xml:space="preserve">7 </w:t>
      </w:r>
      <w:r w:rsidRPr="00A81A64">
        <w:t xml:space="preserve">days after BNT162b2 OMI and BNT162b2 as a fourth dose was </w:t>
      </w:r>
      <w:proofErr w:type="gramStart"/>
      <w:r w:rsidRPr="00A81A64">
        <w:t>similar to</w:t>
      </w:r>
      <w:proofErr w:type="gramEnd"/>
      <w:r w:rsidRPr="00A81A64">
        <w:t xml:space="preserve"> that previously observed after a third dose of BNT162b2</w:t>
      </w:r>
      <w:r w:rsidR="008953AA">
        <w:t xml:space="preserve"> vaccine</w:t>
      </w:r>
      <w:r>
        <w:t>.</w:t>
      </w:r>
    </w:p>
    <w:p w14:paraId="7A468A58" w14:textId="15EB87C3" w:rsidR="00A81A64" w:rsidRPr="00A81A64" w:rsidRDefault="00A81A64" w:rsidP="00A81A64">
      <w:pPr>
        <w:pStyle w:val="ListBullet"/>
      </w:pPr>
      <w:r w:rsidRPr="00A81A64">
        <w:t>At the injection site: pain occurred in 60.1% of participants, swelling in 6% and redness in 6.4%.</w:t>
      </w:r>
    </w:p>
    <w:p w14:paraId="7F365983" w14:textId="04FF0413" w:rsidR="00A81A64" w:rsidRPr="00A81A64" w:rsidRDefault="00A81A64" w:rsidP="00A81A64">
      <w:pPr>
        <w:pStyle w:val="ListBullet"/>
      </w:pPr>
      <w:r w:rsidRPr="00A81A64">
        <w:t>Systemic reactions were as follows: fatigue 45.3%, headache 26.5%, muscle pain 19.8%, chills 16.4%, joint pain 9.1% and fever 3.7%.</w:t>
      </w:r>
    </w:p>
    <w:p w14:paraId="6314E70E" w14:textId="76D13E21" w:rsidR="00A81A64" w:rsidRPr="00A81A64" w:rsidRDefault="00A81A64" w:rsidP="00A81A64">
      <w:pPr>
        <w:pStyle w:val="ListBullet"/>
      </w:pPr>
      <w:r w:rsidRPr="00A81A64">
        <w:t>Most systemic events were mild/moderate in severity, and short-lived; with no Grade 4 events.</w:t>
      </w:r>
      <w:r>
        <w:fldChar w:fldCharType="begin"/>
      </w:r>
      <w:r>
        <w:instrText xml:space="preserve"> NOTEREF _Ref137109349 \f \h </w:instrText>
      </w:r>
      <w:r>
        <w:fldChar w:fldCharType="separate"/>
      </w:r>
      <w:r w:rsidR="00237257" w:rsidRPr="00237257">
        <w:rPr>
          <w:rStyle w:val="FootnoteReference"/>
        </w:rPr>
        <w:t>18</w:t>
      </w:r>
      <w:r>
        <w:fldChar w:fldCharType="end"/>
      </w:r>
    </w:p>
    <w:p w14:paraId="1F53829E" w14:textId="21657BB3" w:rsidR="00A81A64" w:rsidRDefault="00A81A64" w:rsidP="00A81A64">
      <w:pPr>
        <w:pStyle w:val="ListBullet"/>
      </w:pPr>
      <w:r w:rsidRPr="00A81A64">
        <w:t>There were no cases reported of myocarditis/pericarditis, Bell’s palsy (or facial paralysis/paresis), appendicitis, or vaccine</w:t>
      </w:r>
      <w:r>
        <w:t xml:space="preserve"> </w:t>
      </w:r>
      <w:r w:rsidRPr="00A81A64">
        <w:t>related anaphylaxis</w:t>
      </w:r>
      <w:r>
        <w:t>.</w:t>
      </w:r>
    </w:p>
    <w:p w14:paraId="1E0B26F2" w14:textId="48F6DFA4" w:rsidR="00A81A64" w:rsidRPr="00A81A64" w:rsidRDefault="00A81A64" w:rsidP="00A81A64">
      <w:pPr>
        <w:pStyle w:val="Heading5"/>
      </w:pPr>
      <w:r w:rsidRPr="00A81A64">
        <w:t>Study C4591044</w:t>
      </w:r>
    </w:p>
    <w:p w14:paraId="2CE1CE15" w14:textId="44192D1E" w:rsidR="00A81A64" w:rsidRPr="00A81A64" w:rsidRDefault="00A81A64" w:rsidP="00A81A64">
      <w:r w:rsidRPr="00A81A64">
        <w:t>This is an ongoing randomi</w:t>
      </w:r>
      <w:r w:rsidR="00C56D8A">
        <w:t>s</w:t>
      </w:r>
      <w:r w:rsidRPr="00A81A64">
        <w:t>ed, active</w:t>
      </w:r>
      <w:r w:rsidR="00C56D8A">
        <w:t xml:space="preserve"> </w:t>
      </w:r>
      <w:r w:rsidRPr="00A81A64">
        <w:t xml:space="preserve">controlled, Phase II/III study investigating the safety, tolerability, and immunogenicity of </w:t>
      </w:r>
      <w:r w:rsidR="006F7DEA" w:rsidRPr="00A81A64">
        <w:t>BNT162b</w:t>
      </w:r>
      <w:r w:rsidR="006F7DEA">
        <w:t>2</w:t>
      </w:r>
      <w:r w:rsidR="006F7DEA" w:rsidRPr="00A81A64">
        <w:t xml:space="preserve"> RNA</w:t>
      </w:r>
      <w:r w:rsidR="006F7DEA">
        <w:t xml:space="preserve">-based </w:t>
      </w:r>
      <w:r w:rsidR="006F7DEA" w:rsidRPr="006F7DEA">
        <w:t>Omic</w:t>
      </w:r>
      <w:r w:rsidR="006F7DEA">
        <w:t>ron BA.4/BA.5-adapted bivalent</w:t>
      </w:r>
      <w:r w:rsidRPr="00A81A64">
        <w:t xml:space="preserve"> </w:t>
      </w:r>
      <w:r>
        <w:t>v</w:t>
      </w:r>
      <w:r w:rsidRPr="00A81A64">
        <w:t xml:space="preserve">accine </w:t>
      </w:r>
      <w:r>
        <w:t>c</w:t>
      </w:r>
      <w:r w:rsidRPr="00A81A64">
        <w:t xml:space="preserve">andidates as a </w:t>
      </w:r>
      <w:r>
        <w:t>b</w:t>
      </w:r>
      <w:r w:rsidRPr="00A81A64">
        <w:t xml:space="preserve">ooster </w:t>
      </w:r>
      <w:r>
        <w:t>d</w:t>
      </w:r>
      <w:r w:rsidRPr="00A81A64">
        <w:t xml:space="preserve">ose in COVID-19 </w:t>
      </w:r>
      <w:r>
        <w:t>v</w:t>
      </w:r>
      <w:r w:rsidRPr="00A81A64">
        <w:t>accine</w:t>
      </w:r>
      <w:r>
        <w:t xml:space="preserve"> e</w:t>
      </w:r>
      <w:r w:rsidRPr="00A81A64">
        <w:t>xperienced healthy individuals.</w:t>
      </w:r>
      <w:r w:rsidR="008953AA">
        <w:t xml:space="preserve"> The study </w:t>
      </w:r>
      <w:r w:rsidR="008953AA" w:rsidRPr="00A81A64">
        <w:t xml:space="preserve">commenced </w:t>
      </w:r>
      <w:r w:rsidR="006F7DEA">
        <w:t xml:space="preserve">in </w:t>
      </w:r>
      <w:r w:rsidR="008953AA" w:rsidRPr="00A81A64">
        <w:t>October 2022</w:t>
      </w:r>
      <w:r w:rsidR="006F7DEA">
        <w:t>.</w:t>
      </w:r>
    </w:p>
    <w:p w14:paraId="74524500" w14:textId="0C479B6D" w:rsidR="00CC6372" w:rsidRDefault="00CC6372" w:rsidP="00A81A64">
      <w:r>
        <w:t xml:space="preserve">Immunogenicity results are shown in </w:t>
      </w:r>
      <w:r w:rsidR="00A81A64">
        <w:fldChar w:fldCharType="begin"/>
      </w:r>
      <w:r w:rsidR="00A81A64">
        <w:instrText xml:space="preserve"> REF _Ref137116234 \h </w:instrText>
      </w:r>
      <w:r w:rsidR="00A81A64">
        <w:fldChar w:fldCharType="separate"/>
      </w:r>
      <w:r w:rsidR="00237257">
        <w:t xml:space="preserve">Table </w:t>
      </w:r>
      <w:r w:rsidR="00237257">
        <w:rPr>
          <w:noProof/>
        </w:rPr>
        <w:t>11</w:t>
      </w:r>
      <w:r w:rsidR="00A81A64">
        <w:fldChar w:fldCharType="end"/>
      </w:r>
      <w:r w:rsidR="00A81A64" w:rsidRPr="00A81A64">
        <w:t xml:space="preserve"> and </w:t>
      </w:r>
      <w:r w:rsidR="00A81A64">
        <w:fldChar w:fldCharType="begin"/>
      </w:r>
      <w:r w:rsidR="00A81A64">
        <w:instrText xml:space="preserve"> REF _Ref137116240 \h </w:instrText>
      </w:r>
      <w:r w:rsidR="00A81A64">
        <w:fldChar w:fldCharType="separate"/>
      </w:r>
      <w:r w:rsidR="00237257">
        <w:t xml:space="preserve">Table </w:t>
      </w:r>
      <w:r w:rsidR="00237257">
        <w:rPr>
          <w:noProof/>
        </w:rPr>
        <w:t>12</w:t>
      </w:r>
      <w:r w:rsidR="00A81A64">
        <w:fldChar w:fldCharType="end"/>
      </w:r>
      <w:r w:rsidR="005E1944">
        <w:t xml:space="preserve"> (below); key findings include:</w:t>
      </w:r>
    </w:p>
    <w:p w14:paraId="765F29FB" w14:textId="66A8895D" w:rsidR="00A81A64" w:rsidRPr="00A81A64" w:rsidRDefault="00A81A64" w:rsidP="00A81A64">
      <w:pPr>
        <w:pStyle w:val="ListBullet"/>
      </w:pPr>
      <w:r w:rsidRPr="00A81A64">
        <w:t>A booster dose</w:t>
      </w:r>
      <w:r w:rsidR="006F7DEA">
        <w:t xml:space="preserve"> (Dose 4)</w:t>
      </w:r>
      <w:r w:rsidRPr="00A81A64">
        <w:t xml:space="preserve"> of </w:t>
      </w:r>
      <w:r w:rsidR="006F7DEA">
        <w:t xml:space="preserve">an </w:t>
      </w:r>
      <w:r w:rsidRPr="00A81A64">
        <w:t>Omicron BA.4/BA.5</w:t>
      </w:r>
      <w:r w:rsidR="006F7DEA">
        <w:t>-adapted bivalent</w:t>
      </w:r>
      <w:r w:rsidRPr="00A81A64">
        <w:t xml:space="preserve"> vaccine elicited substantially higher Omicron BA.4/BA.5</w:t>
      </w:r>
      <w:r w:rsidR="00F32401">
        <w:t>-</w:t>
      </w:r>
      <w:r w:rsidRPr="00A81A64">
        <w:t>specific neutrali</w:t>
      </w:r>
      <w:r w:rsidR="00C56D8A">
        <w:t>s</w:t>
      </w:r>
      <w:r w:rsidRPr="00A81A64">
        <w:t>ation titres and similar reference</w:t>
      </w:r>
      <w:r>
        <w:t xml:space="preserve"> </w:t>
      </w:r>
      <w:r w:rsidRPr="00A81A64">
        <w:t>strain neutrali</w:t>
      </w:r>
      <w:r w:rsidR="00C56D8A">
        <w:t>s</w:t>
      </w:r>
      <w:r w:rsidRPr="00A81A64">
        <w:t xml:space="preserve">ation titres </w:t>
      </w:r>
      <w:proofErr w:type="gramStart"/>
      <w:r w:rsidR="006F7DEA">
        <w:t>one</w:t>
      </w:r>
      <w:r>
        <w:t xml:space="preserve"> </w:t>
      </w:r>
      <w:r w:rsidRPr="00A81A64">
        <w:t>month</w:t>
      </w:r>
      <w:proofErr w:type="gramEnd"/>
      <w:r w:rsidRPr="00A81A64">
        <w:t xml:space="preserve"> post</w:t>
      </w:r>
      <w:r w:rsidR="006F7DEA">
        <w:t>-</w:t>
      </w:r>
      <w:r w:rsidRPr="00A81A64">
        <w:t xml:space="preserve">vaccination in both </w:t>
      </w:r>
      <w:r w:rsidR="006F7DEA">
        <w:t>those between</w:t>
      </w:r>
      <w:r w:rsidRPr="00A81A64">
        <w:t xml:space="preserve"> 18 </w:t>
      </w:r>
      <w:r w:rsidR="006F7DEA">
        <w:t>and</w:t>
      </w:r>
      <w:r w:rsidRPr="00A81A64">
        <w:t xml:space="preserve"> 55</w:t>
      </w:r>
      <w:r w:rsidR="006F7DEA">
        <w:t xml:space="preserve"> years of age, </w:t>
      </w:r>
      <w:r w:rsidRPr="00A81A64">
        <w:t xml:space="preserve">and </w:t>
      </w:r>
      <w:r w:rsidR="006F7DEA">
        <w:t xml:space="preserve">those aged </w:t>
      </w:r>
      <w:r>
        <w:t xml:space="preserve">over </w:t>
      </w:r>
      <w:r w:rsidRPr="00A81A64">
        <w:t>55 years</w:t>
      </w:r>
      <w:r w:rsidR="006F7DEA">
        <w:t>. This was</w:t>
      </w:r>
      <w:r w:rsidRPr="00A81A64">
        <w:t xml:space="preserve"> </w:t>
      </w:r>
      <w:r w:rsidR="006F7DEA">
        <w:t xml:space="preserve">in </w:t>
      </w:r>
      <w:r w:rsidRPr="00A81A64">
        <w:t>compar</w:t>
      </w:r>
      <w:r w:rsidR="006F7DEA">
        <w:t xml:space="preserve">ison to </w:t>
      </w:r>
      <w:r w:rsidRPr="00A81A64">
        <w:t xml:space="preserve">an adult comparator group from </w:t>
      </w:r>
      <w:r w:rsidR="00C56D8A">
        <w:t xml:space="preserve">Study </w:t>
      </w:r>
      <w:r w:rsidRPr="00A81A64">
        <w:t xml:space="preserve">C4591031 </w:t>
      </w:r>
      <w:proofErr w:type="spellStart"/>
      <w:r w:rsidRPr="00A81A64">
        <w:t>Substudy</w:t>
      </w:r>
      <w:proofErr w:type="spellEnd"/>
      <w:r w:rsidRPr="00A81A64">
        <w:t xml:space="preserve"> E (</w:t>
      </w:r>
      <w:r>
        <w:t xml:space="preserve">over </w:t>
      </w:r>
      <w:r w:rsidRPr="00A81A64">
        <w:t>55 years of age) who received a booster dose of BNT162b2 at the 30</w:t>
      </w:r>
      <w:r>
        <w:t> </w:t>
      </w:r>
      <w:r>
        <w:sym w:font="Symbol" w:char="F06D"/>
      </w:r>
      <w:r w:rsidRPr="00A81A64">
        <w:t>g dose level.</w:t>
      </w:r>
    </w:p>
    <w:p w14:paraId="5B07EA09" w14:textId="6ACE090D" w:rsidR="006F7DEA" w:rsidRDefault="00A81A64" w:rsidP="00A81A64">
      <w:pPr>
        <w:pStyle w:val="ListBullet"/>
      </w:pPr>
      <w:r w:rsidRPr="00A81A64">
        <w:t xml:space="preserve">Irrespective of prior SARS-CoV-2 exposure, </w:t>
      </w:r>
      <w:proofErr w:type="gramStart"/>
      <w:r w:rsidR="006F7DEA">
        <w:t>one</w:t>
      </w:r>
      <w:r>
        <w:t xml:space="preserve"> </w:t>
      </w:r>
      <w:r w:rsidRPr="00A81A64">
        <w:t>month</w:t>
      </w:r>
      <w:proofErr w:type="gramEnd"/>
      <w:r w:rsidRPr="00A81A64">
        <w:t xml:space="preserve"> post</w:t>
      </w:r>
      <w:r w:rsidR="006F7DEA">
        <w:t>-</w:t>
      </w:r>
      <w:r w:rsidRPr="00A81A64">
        <w:t xml:space="preserve">dose GMTs for the </w:t>
      </w:r>
      <w:r>
        <w:t>four</w:t>
      </w:r>
      <w:r w:rsidRPr="00A81A64">
        <w:t xml:space="preserve"> variants were higher for </w:t>
      </w:r>
      <w:r w:rsidR="006F7DEA">
        <w:t>the Omicron BA.4/BA.5-adapted bivalent vaccine (</w:t>
      </w:r>
      <w:r w:rsidRPr="00A81A64">
        <w:t>30</w:t>
      </w:r>
      <w:r>
        <w:t> </w:t>
      </w:r>
      <w:r>
        <w:sym w:font="Symbol" w:char="F06D"/>
      </w:r>
      <w:r w:rsidRPr="00A81A64">
        <w:t>g</w:t>
      </w:r>
      <w:r w:rsidR="006F7DEA">
        <w:t>)</w:t>
      </w:r>
      <w:r w:rsidRPr="00A81A64">
        <w:t xml:space="preserve"> groups compared to BNT162b2</w:t>
      </w:r>
      <w:r w:rsidR="006F7DEA">
        <w:t xml:space="preserve"> vaccine</w:t>
      </w:r>
      <w:r w:rsidR="00F32401">
        <w:t xml:space="preserve"> </w:t>
      </w:r>
      <w:r w:rsidR="006F7DEA">
        <w:t>treated</w:t>
      </w:r>
      <w:r w:rsidRPr="00A81A64">
        <w:t xml:space="preserve"> groups</w:t>
      </w:r>
      <w:r>
        <w:t>.</w:t>
      </w:r>
    </w:p>
    <w:p w14:paraId="735757B4" w14:textId="54734D9C" w:rsidR="00A81A64" w:rsidRDefault="00A81A64" w:rsidP="00A81A64">
      <w:pPr>
        <w:pStyle w:val="ListBullet"/>
      </w:pPr>
      <w:r>
        <w:t>I</w:t>
      </w:r>
      <w:r w:rsidRPr="00A81A64">
        <w:t xml:space="preserve">n terms of the </w:t>
      </w:r>
      <w:proofErr w:type="spellStart"/>
      <w:r w:rsidRPr="00A81A64">
        <w:t>seroresponse</w:t>
      </w:r>
      <w:proofErr w:type="spellEnd"/>
      <w:r w:rsidRPr="00A81A64">
        <w:t xml:space="preserve"> in the SARS-CoV-2 negative group, </w:t>
      </w:r>
      <w:proofErr w:type="spellStart"/>
      <w:r w:rsidRPr="00A81A64">
        <w:t>seroresponse</w:t>
      </w:r>
      <w:proofErr w:type="spellEnd"/>
      <w:r w:rsidRPr="00A81A64">
        <w:t xml:space="preserve"> were seen against Omicron</w:t>
      </w:r>
      <w:r w:rsidR="006F7DEA">
        <w:t xml:space="preserve"> subvariants</w:t>
      </w:r>
      <w:r w:rsidRPr="00A81A64">
        <w:t xml:space="preserve"> BA.4.6, BA.2.75.2, BQ.1.1, and XBB in 94.1%, 70.6%, 76.5%, and 41.2% of participants respectively in the </w:t>
      </w:r>
      <w:r w:rsidR="006F7DEA">
        <w:t>Omicron BA.4/BA.5-adapted bivalent vaccine</w:t>
      </w:r>
      <w:r w:rsidRPr="00A81A64">
        <w:t xml:space="preserve"> 30</w:t>
      </w:r>
      <w:r>
        <w:t> </w:t>
      </w:r>
      <w:r>
        <w:sym w:font="Symbol" w:char="F06D"/>
      </w:r>
      <w:r w:rsidRPr="00A81A64">
        <w:t>g group but only 15%, 5%, 0%, and 0% in the BNT162b2 30</w:t>
      </w:r>
      <w:r>
        <w:t> </w:t>
      </w:r>
      <w:r>
        <w:sym w:font="Symbol" w:char="F06D"/>
      </w:r>
      <w:r w:rsidRPr="00A81A64">
        <w:t>g group.</w:t>
      </w:r>
    </w:p>
    <w:p w14:paraId="56119EAD" w14:textId="17E97BB7" w:rsidR="005E1944" w:rsidRDefault="005E1944" w:rsidP="00F32401">
      <w:r>
        <w:t>In summary, d</w:t>
      </w:r>
      <w:r w:rsidR="00CC6372" w:rsidRPr="00A81A64">
        <w:t>escript</w:t>
      </w:r>
      <w:r>
        <w:t xml:space="preserve">ive immunogenicity analysis at </w:t>
      </w:r>
      <w:proofErr w:type="gramStart"/>
      <w:r>
        <w:t xml:space="preserve">one </w:t>
      </w:r>
      <w:r w:rsidR="00CC6372" w:rsidRPr="00A81A64">
        <w:t>month</w:t>
      </w:r>
      <w:proofErr w:type="gramEnd"/>
      <w:r w:rsidR="00CC6372" w:rsidRPr="00A81A64">
        <w:t xml:space="preserve"> post</w:t>
      </w:r>
      <w:r>
        <w:t>-</w:t>
      </w:r>
      <w:r w:rsidR="00CC6372" w:rsidRPr="00A81A64">
        <w:t>dose compared BNT162b2</w:t>
      </w:r>
      <w:r>
        <w:t xml:space="preserve"> vaccine</w:t>
      </w:r>
      <w:r w:rsidR="00F32401">
        <w:t xml:space="preserve"> </w:t>
      </w:r>
      <w:r w:rsidR="00CC6372" w:rsidRPr="00A81A64">
        <w:t xml:space="preserve">experienced adults </w:t>
      </w:r>
      <w:r>
        <w:t xml:space="preserve">(aged </w:t>
      </w:r>
      <w:r w:rsidR="00CC6372" w:rsidRPr="00A81A64">
        <w:t>18 to 55</w:t>
      </w:r>
      <w:r>
        <w:t xml:space="preserve"> years</w:t>
      </w:r>
      <w:r w:rsidR="00CC6372" w:rsidRPr="00A81A64">
        <w:t xml:space="preserve"> and </w:t>
      </w:r>
      <w:r w:rsidR="00CC6372">
        <w:t xml:space="preserve">over </w:t>
      </w:r>
      <w:r w:rsidR="00CC6372" w:rsidRPr="00A81A64">
        <w:t>55 y</w:t>
      </w:r>
      <w:r>
        <w:t xml:space="preserve">ears) </w:t>
      </w:r>
      <w:r w:rsidR="00CC6372" w:rsidRPr="00A81A64">
        <w:t>in</w:t>
      </w:r>
      <w:r w:rsidR="00CC6372">
        <w:t xml:space="preserve"> Study</w:t>
      </w:r>
      <w:r w:rsidR="00CC6372" w:rsidRPr="00A81A64">
        <w:t xml:space="preserve"> C4591044 </w:t>
      </w:r>
      <w:r>
        <w:t>(Cohort </w:t>
      </w:r>
      <w:r w:rsidR="00CC6372" w:rsidRPr="00A81A64">
        <w:t>2</w:t>
      </w:r>
      <w:r>
        <w:t>)</w:t>
      </w:r>
      <w:r w:rsidR="00CC6372" w:rsidRPr="00A81A64">
        <w:t xml:space="preserve"> who received </w:t>
      </w:r>
      <w:r>
        <w:t xml:space="preserve">an additional booster (Dose 4) of an </w:t>
      </w:r>
      <w:r w:rsidRPr="005E1944">
        <w:t xml:space="preserve">Omicron BA.4/BA.5-adapted bivalent vaccine </w:t>
      </w:r>
      <w:r>
        <w:t>(</w:t>
      </w:r>
      <w:r w:rsidR="00CC6372" w:rsidRPr="00A81A64">
        <w:t>30</w:t>
      </w:r>
      <w:r w:rsidR="00CC6372">
        <w:t> </w:t>
      </w:r>
      <w:r w:rsidR="00CC6372">
        <w:sym w:font="Symbol" w:char="F06D"/>
      </w:r>
      <w:r w:rsidR="00CC6372" w:rsidRPr="00A81A64">
        <w:t>g</w:t>
      </w:r>
      <w:r>
        <w:t xml:space="preserve">); </w:t>
      </w:r>
      <w:r w:rsidR="00CC6372" w:rsidRPr="00A81A64">
        <w:t>and BNT162b2</w:t>
      </w:r>
      <w:r>
        <w:t xml:space="preserve"> vaccine</w:t>
      </w:r>
      <w:r w:rsidR="00F32401">
        <w:t xml:space="preserve"> </w:t>
      </w:r>
      <w:r w:rsidR="00CC6372" w:rsidRPr="00A81A64">
        <w:t xml:space="preserve">experienced adults </w:t>
      </w:r>
      <w:r w:rsidR="00CC6372">
        <w:t xml:space="preserve">over </w:t>
      </w:r>
      <w:r w:rsidR="00CC6372" w:rsidRPr="00A81A64">
        <w:t>55 years of age in</w:t>
      </w:r>
      <w:r w:rsidR="00CC6372">
        <w:t xml:space="preserve"> Study</w:t>
      </w:r>
      <w:r w:rsidR="00CC6372" w:rsidRPr="00A81A64">
        <w:t xml:space="preserve"> C4591031 </w:t>
      </w:r>
      <w:proofErr w:type="spellStart"/>
      <w:r w:rsidR="00CC6372" w:rsidRPr="00A81A64">
        <w:t>Substudy</w:t>
      </w:r>
      <w:proofErr w:type="spellEnd"/>
      <w:r w:rsidR="00CC6372" w:rsidRPr="00A81A64">
        <w:t xml:space="preserve"> E who received BNT162b2 </w:t>
      </w:r>
      <w:r>
        <w:t>vaccine (</w:t>
      </w:r>
      <w:r w:rsidR="00CC6372" w:rsidRPr="00A81A64">
        <w:t>30</w:t>
      </w:r>
      <w:r w:rsidR="00CC6372">
        <w:t> </w:t>
      </w:r>
      <w:r w:rsidR="00CC6372">
        <w:sym w:font="Symbol" w:char="F06D"/>
      </w:r>
      <w:r>
        <w:t xml:space="preserve">g) </w:t>
      </w:r>
      <w:r w:rsidR="00CC6372" w:rsidRPr="00A81A64">
        <w:t>as a booster (</w:t>
      </w:r>
      <w:r>
        <w:t>Dose</w:t>
      </w:r>
      <w:r w:rsidR="00F32401">
        <w:t> </w:t>
      </w:r>
      <w:r>
        <w:t>4).</w:t>
      </w:r>
    </w:p>
    <w:p w14:paraId="700DA7AC" w14:textId="1CCDEEDD" w:rsidR="00CC6372" w:rsidRPr="0051367F" w:rsidRDefault="00CC6372" w:rsidP="00F32401">
      <w:r w:rsidRPr="00A81A64">
        <w:t xml:space="preserve">These data show that a booster </w:t>
      </w:r>
      <w:r w:rsidR="005E1944">
        <w:t xml:space="preserve">dose </w:t>
      </w:r>
      <w:r w:rsidRPr="00A81A64">
        <w:t>(</w:t>
      </w:r>
      <w:r w:rsidR="005E1944">
        <w:t>Dose 4)</w:t>
      </w:r>
      <w:r w:rsidRPr="00A81A64">
        <w:t xml:space="preserve"> of </w:t>
      </w:r>
      <w:r>
        <w:t>b</w:t>
      </w:r>
      <w:r w:rsidRPr="00A81A64">
        <w:t>ivalent Omicron BA.4/BA.5</w:t>
      </w:r>
      <w:r>
        <w:t xml:space="preserve"> </w:t>
      </w:r>
      <w:r w:rsidRPr="00A81A64">
        <w:t>modified variant vaccine elicited substan</w:t>
      </w:r>
      <w:r w:rsidR="005E1944">
        <w:t>tially higher Omicron BA.4/BA.5-</w:t>
      </w:r>
      <w:r w:rsidRPr="00A81A64">
        <w:t>specific neutrali</w:t>
      </w:r>
      <w:r>
        <w:t>s</w:t>
      </w:r>
      <w:r w:rsidRPr="00A81A64">
        <w:t>ation titres and similar reference</w:t>
      </w:r>
      <w:r>
        <w:t xml:space="preserve"> </w:t>
      </w:r>
      <w:r w:rsidRPr="00A81A64">
        <w:t>strain neutrali</w:t>
      </w:r>
      <w:r>
        <w:t>s</w:t>
      </w:r>
      <w:r w:rsidR="005E1944">
        <w:t xml:space="preserve">ation titres one </w:t>
      </w:r>
      <w:r w:rsidRPr="00A81A64">
        <w:t>month post</w:t>
      </w:r>
      <w:r w:rsidR="005E1944">
        <w:t>-</w:t>
      </w:r>
      <w:r w:rsidRPr="00A81A64">
        <w:t>vaccination in both age groups of 18</w:t>
      </w:r>
      <w:r w:rsidR="005E1944">
        <w:t xml:space="preserve"> to 55 years, </w:t>
      </w:r>
      <w:r w:rsidRPr="00A81A64">
        <w:t xml:space="preserve">and </w:t>
      </w:r>
      <w:r>
        <w:t xml:space="preserve">over </w:t>
      </w:r>
      <w:r w:rsidRPr="00A81A64">
        <w:t>55 years</w:t>
      </w:r>
      <w:r w:rsidR="005E1944">
        <w:t>,</w:t>
      </w:r>
      <w:r w:rsidRPr="00A81A64">
        <w:t xml:space="preserve"> compared with an adult comparator group from </w:t>
      </w:r>
      <w:r>
        <w:t xml:space="preserve">Study </w:t>
      </w:r>
      <w:r w:rsidRPr="00A81A64">
        <w:t xml:space="preserve">C4591031 </w:t>
      </w:r>
      <w:proofErr w:type="spellStart"/>
      <w:r w:rsidRPr="00A81A64">
        <w:t>Substudy</w:t>
      </w:r>
      <w:proofErr w:type="spellEnd"/>
      <w:r w:rsidRPr="00A81A64">
        <w:t xml:space="preserve"> E (</w:t>
      </w:r>
      <w:r>
        <w:t xml:space="preserve">over </w:t>
      </w:r>
      <w:r w:rsidRPr="00A81A64">
        <w:t>55 years of age) who received a booster dose of BNT162b2</w:t>
      </w:r>
      <w:r w:rsidR="005E1944">
        <w:t xml:space="preserve"> vaccine</w:t>
      </w:r>
      <w:r w:rsidRPr="00A81A64">
        <w:t xml:space="preserve"> at the 30</w:t>
      </w:r>
      <w:r>
        <w:t> </w:t>
      </w:r>
      <w:r>
        <w:sym w:font="Symbol" w:char="F06D"/>
      </w:r>
      <w:r w:rsidRPr="00A81A64">
        <w:t>g dose level. Note the different intervals from the last dose of BNT162b2 received (prior to study entry) to booster dose administration in the respective studies; the median interval was approximately 10 to 11</w:t>
      </w:r>
      <w:r>
        <w:t> </w:t>
      </w:r>
      <w:r w:rsidRPr="00A81A64">
        <w:t xml:space="preserve">months in Study C4591044 Cohort </w:t>
      </w:r>
      <w:r w:rsidR="005E1944">
        <w:t>2 compared with approximately 6 </w:t>
      </w:r>
      <w:r w:rsidRPr="00A81A64">
        <w:t>months in Study</w:t>
      </w:r>
      <w:r>
        <w:t> </w:t>
      </w:r>
      <w:r w:rsidRPr="00A81A64">
        <w:t xml:space="preserve">C4591031 </w:t>
      </w:r>
      <w:proofErr w:type="spellStart"/>
      <w:r w:rsidRPr="00A81A64">
        <w:t>Substudy</w:t>
      </w:r>
      <w:proofErr w:type="spellEnd"/>
      <w:r w:rsidRPr="00A81A64">
        <w:t xml:space="preserve"> E. Dosing interval is a potential factor in observed booster</w:t>
      </w:r>
      <w:r>
        <w:t xml:space="preserve"> </w:t>
      </w:r>
      <w:r w:rsidRPr="00A81A64">
        <w:t>elicited immune responses.</w:t>
      </w:r>
    </w:p>
    <w:p w14:paraId="2FA1CAD0" w14:textId="3FF627AA" w:rsidR="00A81A64" w:rsidRPr="00A81A64" w:rsidRDefault="00A81A64" w:rsidP="00A81A64">
      <w:pPr>
        <w:pStyle w:val="TableTitle"/>
      </w:pPr>
      <w:bookmarkStart w:id="64" w:name="_Ref137116234"/>
      <w:r>
        <w:lastRenderedPageBreak/>
        <w:t xml:space="preserve">Table </w:t>
      </w:r>
      <w:fldSimple w:instr=" SEQ Table \* ARABIC ">
        <w:r w:rsidR="00237257">
          <w:rPr>
            <w:noProof/>
          </w:rPr>
          <w:t>11</w:t>
        </w:r>
      </w:fldSimple>
      <w:bookmarkEnd w:id="64"/>
      <w:r>
        <w:t xml:space="preserve">: </w:t>
      </w:r>
      <w:r w:rsidR="00CC6372">
        <w:t xml:space="preserve">Study C4591044/C4591031 One month immunogenicity analysis; </w:t>
      </w:r>
      <w:r w:rsidRPr="00A81A64">
        <w:t xml:space="preserve">Geometric mean titres, by </w:t>
      </w:r>
      <w:r w:rsidR="00CC6372">
        <w:t>b</w:t>
      </w:r>
      <w:r w:rsidRPr="00A81A64">
        <w:t xml:space="preserve">aseline SARS-CoV-2 </w:t>
      </w:r>
      <w:r w:rsidR="00CC6372">
        <w:t>s</w:t>
      </w:r>
      <w:r w:rsidRPr="00A81A64">
        <w:t>tatus</w:t>
      </w:r>
      <w:r w:rsidR="00CC6372">
        <w:t xml:space="preserve"> up to one month after study vaccination</w:t>
      </w:r>
      <w:r w:rsidRPr="00A81A64">
        <w:t xml:space="preserve"> </w:t>
      </w:r>
      <w:r w:rsidR="00CC6372">
        <w:t>(</w:t>
      </w:r>
      <w:r>
        <w:t>s</w:t>
      </w:r>
      <w:r w:rsidRPr="00A81A64">
        <w:t xml:space="preserve">ubset of </w:t>
      </w:r>
      <w:r>
        <w:t>S</w:t>
      </w:r>
      <w:r w:rsidRPr="00A81A64">
        <w:t>tudy</w:t>
      </w:r>
      <w:r>
        <w:t> </w:t>
      </w:r>
      <w:r w:rsidRPr="00A81A64">
        <w:t xml:space="preserve">C4591044 Cohort 2 and Study C4591031 </w:t>
      </w:r>
      <w:proofErr w:type="spellStart"/>
      <w:r w:rsidRPr="00A81A64">
        <w:t>Substudy</w:t>
      </w:r>
      <w:proofErr w:type="spellEnd"/>
      <w:r w:rsidRPr="00A81A64">
        <w:t xml:space="preserve"> E </w:t>
      </w:r>
      <w:r w:rsidR="00CC6372">
        <w:t>e</w:t>
      </w:r>
      <w:r w:rsidRPr="00A81A64">
        <w:t xml:space="preserve">xpanded </w:t>
      </w:r>
      <w:r w:rsidR="00CC6372">
        <w:t>c</w:t>
      </w:r>
      <w:r w:rsidRPr="00A81A64">
        <w:t>ohort</w:t>
      </w:r>
      <w:r w:rsidR="00CC6372">
        <w:t xml:space="preserve">; </w:t>
      </w:r>
      <w:r>
        <w:t>e</w:t>
      </w:r>
      <w:r w:rsidRPr="00A81A64">
        <w:t xml:space="preserve">valuable </w:t>
      </w:r>
      <w:r>
        <w:t>i</w:t>
      </w:r>
      <w:r w:rsidRPr="00A81A64">
        <w:t xml:space="preserve">mmunogenicity </w:t>
      </w:r>
      <w:r>
        <w:t>p</w:t>
      </w:r>
      <w:r w:rsidRPr="00A81A64">
        <w:t>opulation</w:t>
      </w:r>
      <w:r w:rsidR="00CC6372">
        <w:t>)</w:t>
      </w:r>
    </w:p>
    <w:p w14:paraId="6FC6DCEA" w14:textId="5CCC9B54" w:rsidR="00A81A64" w:rsidRDefault="00A81A64" w:rsidP="00A81A64">
      <w:r>
        <w:rPr>
          <w:noProof/>
          <w:lang w:val="en-GB" w:eastAsia="en-GB"/>
        </w:rPr>
        <w:drawing>
          <wp:inline distT="0" distB="0" distL="0" distR="0" wp14:anchorId="2316DDA9" wp14:editId="19C68698">
            <wp:extent cx="5759450" cy="4052621"/>
            <wp:effectExtent l="0" t="0" r="0" b="5080"/>
            <wp:docPr id="7" name="Picture 7" descr="Geometric mean titres, by Baseline SARS-CoV-2 Status – 1 month immunogenicity analysis – subset of Study C4591044 Cohort 2 and Study C4591031 Substudy E Expanded Cohort – up to 1 month after study vaccination –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metric mean titres, by Baseline SARS-CoV-2 Status – 1 month immunogenicity analysis – subset of Study C4591044 Cohort 2 and Study C4591031 Substudy E Expanded Cohort – up to 1 month after study vaccination – evaluable immunogenicity population"/>
                    <pic:cNvPicPr/>
                  </pic:nvPicPr>
                  <pic:blipFill rotWithShape="1">
                    <a:blip r:embed="rId54"/>
                    <a:srcRect b="3302"/>
                    <a:stretch/>
                  </pic:blipFill>
                  <pic:spPr bwMode="auto">
                    <a:xfrm>
                      <a:off x="0" y="0"/>
                      <a:ext cx="5759450" cy="4052621"/>
                    </a:xfrm>
                    <a:prstGeom prst="rect">
                      <a:avLst/>
                    </a:prstGeom>
                    <a:ln>
                      <a:noFill/>
                    </a:ln>
                    <a:extLst>
                      <a:ext uri="{53640926-AAD7-44D8-BBD7-CCE9431645EC}">
                        <a14:shadowObscured xmlns:a14="http://schemas.microsoft.com/office/drawing/2010/main"/>
                      </a:ext>
                    </a:extLst>
                  </pic:spPr>
                </pic:pic>
              </a:graphicData>
            </a:graphic>
          </wp:inline>
        </w:drawing>
      </w:r>
    </w:p>
    <w:p w14:paraId="5F2ABC99" w14:textId="77777777" w:rsidR="00A80B0C" w:rsidRDefault="00A81A64" w:rsidP="00A81A64">
      <w:pPr>
        <w:pStyle w:val="TableDescription"/>
      </w:pPr>
      <w:r w:rsidRPr="00A81A64">
        <w:t>Abbreviations: FFRNT = fluorescent focus reduction neutrali</w:t>
      </w:r>
      <w:r w:rsidR="00C56D8A">
        <w:t>s</w:t>
      </w:r>
      <w:r w:rsidRPr="00A81A64">
        <w:t>ation test</w:t>
      </w:r>
      <w:r>
        <w:t>,</w:t>
      </w:r>
      <w:r w:rsidRPr="00A81A64">
        <w:t xml:space="preserve"> GMT = geometric mean titre</w:t>
      </w:r>
      <w:r>
        <w:t>,</w:t>
      </w:r>
      <w:r w:rsidRPr="00A81A64">
        <w:t xml:space="preserve"> LLOQ = lower limit of quantitation</w:t>
      </w:r>
      <w:r>
        <w:t>,</w:t>
      </w:r>
      <w:r w:rsidRPr="00A81A64">
        <w:t xml:space="preserve"> N-binding = SARS-CoV-2 nucleoprotein–binding</w:t>
      </w:r>
      <w:r>
        <w:t>,</w:t>
      </w:r>
      <w:r w:rsidRPr="00A81A64">
        <w:t xml:space="preserve"> NAAT</w:t>
      </w:r>
      <w:r>
        <w:t> </w:t>
      </w:r>
      <w:r w:rsidRPr="00A81A64">
        <w:t>= nucleic acid amplification test</w:t>
      </w:r>
      <w:r>
        <w:t>,</w:t>
      </w:r>
      <w:r w:rsidRPr="00A81A64">
        <w:t xml:space="preserve"> NT50 = 50% neutrali</w:t>
      </w:r>
      <w:r w:rsidR="00C56D8A">
        <w:t>s</w:t>
      </w:r>
      <w:r w:rsidRPr="00A81A64">
        <w:t>ing titre</w:t>
      </w:r>
      <w:r>
        <w:t>,</w:t>
      </w:r>
      <w:r w:rsidRPr="00A81A64">
        <w:t xml:space="preserve"> SARS-CoV-2 = severe acute respiratory syndrome coronavirus 2</w:t>
      </w:r>
      <w:r w:rsidR="00A80B0C">
        <w:t>.</w:t>
      </w:r>
    </w:p>
    <w:p w14:paraId="17C52A8F" w14:textId="74904EC4" w:rsidR="00A81A64" w:rsidRPr="00A81A64" w:rsidRDefault="00A81A64" w:rsidP="00A81A64">
      <w:pPr>
        <w:pStyle w:val="TableDescription"/>
      </w:pPr>
      <w:r w:rsidRPr="00A81A64">
        <w:t xml:space="preserve">Note: Approximately forty participants (20 baseline SARS-CoV-2 positive status and 20 negative status) were selected from </w:t>
      </w:r>
      <w:r>
        <w:t xml:space="preserve">over </w:t>
      </w:r>
      <w:r w:rsidRPr="00A81A64">
        <w:t>55 years age group in Study C4591044 Cohort 2 BNT162b2 Bivalent (WT/OMI BA.4/BA.5) 30</w:t>
      </w:r>
      <w:r>
        <w:t> </w:t>
      </w:r>
      <w:r>
        <w:sym w:font="Symbol" w:char="F06D"/>
      </w:r>
      <w:r w:rsidRPr="00A81A64">
        <w:t xml:space="preserve">g group and from Study C4591031 </w:t>
      </w:r>
      <w:proofErr w:type="spellStart"/>
      <w:r w:rsidRPr="00A81A64">
        <w:t>Substudy</w:t>
      </w:r>
      <w:proofErr w:type="spellEnd"/>
      <w:r w:rsidRPr="00A81A64">
        <w:t xml:space="preserve"> E expanded cohort (</w:t>
      </w:r>
      <w:r>
        <w:t xml:space="preserve">over </w:t>
      </w:r>
      <w:r w:rsidRPr="00A81A64">
        <w:t>55 years) BNT162b2 30</w:t>
      </w:r>
      <w:r>
        <w:t> </w:t>
      </w:r>
      <w:r>
        <w:sym w:font="Symbol" w:char="F06D"/>
      </w:r>
      <w:r w:rsidRPr="00A81A64">
        <w:t>g group.</w:t>
      </w:r>
    </w:p>
    <w:p w14:paraId="01FE7723" w14:textId="4BD069B7" w:rsidR="00A81A64" w:rsidRPr="00A81A64" w:rsidRDefault="00A81A64" w:rsidP="00A81A64">
      <w:pPr>
        <w:pStyle w:val="TableDescription"/>
      </w:pPr>
      <w:r w:rsidRPr="00A81A64">
        <w:t>a. Protocol specified timing for blood sample</w:t>
      </w:r>
      <w:r>
        <w:t>.</w:t>
      </w:r>
    </w:p>
    <w:p w14:paraId="1A2D1C42" w14:textId="790DCD2C" w:rsidR="00A81A64" w:rsidRPr="00A81A64" w:rsidRDefault="00A81A64" w:rsidP="00A81A64">
      <w:pPr>
        <w:pStyle w:val="TableDescription"/>
      </w:pPr>
      <w:r w:rsidRPr="00A81A64">
        <w:t>b. n = Number of participants with valid and determinate assay results for the specified assay at the given sampling time point.</w:t>
      </w:r>
    </w:p>
    <w:p w14:paraId="4FA1DFB4" w14:textId="45F23CA8" w:rsidR="00A81A64" w:rsidRPr="00A81A64" w:rsidRDefault="00A81A64" w:rsidP="00A81A64">
      <w:pPr>
        <w:pStyle w:val="TableDescription"/>
      </w:pPr>
      <w:r w:rsidRPr="00A81A64">
        <w:t xml:space="preserve">c. GMTs and 2-sided 95% CIs were calculated by exponentiating the mean logarithm of the titres and the corresponding CIs (based on the student t distribution). Assay results below the LLOQ were set to 0.5 </w:t>
      </w:r>
      <w:r>
        <w:t>x</w:t>
      </w:r>
      <w:r w:rsidRPr="00A81A64">
        <w:t xml:space="preserve"> LLOQ.</w:t>
      </w:r>
    </w:p>
    <w:p w14:paraId="514D58E7" w14:textId="77777777" w:rsidR="00A80B0C" w:rsidRDefault="00A81A64" w:rsidP="00A81A64">
      <w:pPr>
        <w:pStyle w:val="TableDescription"/>
      </w:pPr>
      <w:r w:rsidRPr="00A81A64">
        <w:t xml:space="preserve">d. Positive N-binding antibody result at </w:t>
      </w:r>
      <w:r>
        <w:t>B</w:t>
      </w:r>
      <w:r w:rsidRPr="00A81A64">
        <w:t xml:space="preserve">aseline, positive NAAT result at </w:t>
      </w:r>
      <w:r>
        <w:t>B</w:t>
      </w:r>
      <w:r w:rsidRPr="00A81A64">
        <w:t>aseline, or medical history of COVID-19</w:t>
      </w:r>
      <w:r w:rsidR="00A80B0C">
        <w:t>.</w:t>
      </w:r>
    </w:p>
    <w:p w14:paraId="306FDA41" w14:textId="05921C1E" w:rsidR="00A81A64" w:rsidRDefault="00A81A64" w:rsidP="00A81A64">
      <w:pPr>
        <w:pStyle w:val="TableDescription"/>
      </w:pPr>
      <w:r w:rsidRPr="00A81A64">
        <w:t xml:space="preserve">e. Negative N-binding antibody result at </w:t>
      </w:r>
      <w:r>
        <w:t>B</w:t>
      </w:r>
      <w:r w:rsidRPr="00A81A64">
        <w:t xml:space="preserve">aseline, negative NAAT result at </w:t>
      </w:r>
      <w:r>
        <w:t>B</w:t>
      </w:r>
      <w:r w:rsidRPr="00A81A64">
        <w:t>aseline, and no medical history of COVID-19</w:t>
      </w:r>
      <w:r>
        <w:t>.</w:t>
      </w:r>
    </w:p>
    <w:p w14:paraId="10DDE3AF" w14:textId="50FC5434" w:rsidR="00CC6372" w:rsidRPr="00A81A64" w:rsidRDefault="00A81A64" w:rsidP="00F32401">
      <w:pPr>
        <w:pStyle w:val="TableTitle"/>
        <w:keepLines/>
      </w:pPr>
      <w:bookmarkStart w:id="65" w:name="_Ref137116240"/>
      <w:r>
        <w:lastRenderedPageBreak/>
        <w:t xml:space="preserve">Table </w:t>
      </w:r>
      <w:fldSimple w:instr=" SEQ Table \* ARABIC ">
        <w:r w:rsidR="00237257">
          <w:rPr>
            <w:noProof/>
          </w:rPr>
          <w:t>12</w:t>
        </w:r>
      </w:fldSimple>
      <w:bookmarkEnd w:id="65"/>
      <w:r>
        <w:t xml:space="preserve">: </w:t>
      </w:r>
      <w:r w:rsidR="00CC6372">
        <w:t>Study C4591044/C4591031 New variant neutralisation/geometric mean titres</w:t>
      </w:r>
      <w:r w:rsidR="00CC6372" w:rsidRPr="00A81A64">
        <w:t xml:space="preserve"> by </w:t>
      </w:r>
      <w:r w:rsidR="00CC6372">
        <w:t>b</w:t>
      </w:r>
      <w:r w:rsidR="00CC6372" w:rsidRPr="00A81A64">
        <w:t xml:space="preserve">aseline SARS-CoV-2 </w:t>
      </w:r>
      <w:r w:rsidR="00CC6372">
        <w:t>s</w:t>
      </w:r>
      <w:r w:rsidR="00CC6372" w:rsidRPr="00A81A64">
        <w:t>tatus</w:t>
      </w:r>
      <w:r w:rsidR="00CC6372">
        <w:t xml:space="preserve"> up to one month after study vaccination</w:t>
      </w:r>
      <w:r w:rsidR="00CC6372" w:rsidRPr="00A81A64">
        <w:t xml:space="preserve"> </w:t>
      </w:r>
      <w:r w:rsidR="00CC6372">
        <w:t>(s</w:t>
      </w:r>
      <w:r w:rsidR="00CC6372" w:rsidRPr="00A81A64">
        <w:t xml:space="preserve">ubset of </w:t>
      </w:r>
      <w:r w:rsidR="00CC6372">
        <w:t>S</w:t>
      </w:r>
      <w:r w:rsidR="00CC6372" w:rsidRPr="00A81A64">
        <w:t>tudy</w:t>
      </w:r>
      <w:r w:rsidR="00CC6372">
        <w:t> </w:t>
      </w:r>
      <w:r w:rsidR="00CC6372" w:rsidRPr="00A81A64">
        <w:t xml:space="preserve">C4591044 Cohort 2 and Study C4591031 </w:t>
      </w:r>
      <w:proofErr w:type="spellStart"/>
      <w:r w:rsidR="00CC6372" w:rsidRPr="00A81A64">
        <w:t>Substudy</w:t>
      </w:r>
      <w:proofErr w:type="spellEnd"/>
      <w:r w:rsidR="00CC6372" w:rsidRPr="00A81A64">
        <w:t xml:space="preserve"> E </w:t>
      </w:r>
      <w:r w:rsidR="00CC6372">
        <w:t>e</w:t>
      </w:r>
      <w:r w:rsidR="00CC6372" w:rsidRPr="00A81A64">
        <w:t xml:space="preserve">xpanded </w:t>
      </w:r>
      <w:r w:rsidR="00CC6372">
        <w:t>c</w:t>
      </w:r>
      <w:r w:rsidR="00CC6372" w:rsidRPr="00A81A64">
        <w:t>ohort</w:t>
      </w:r>
      <w:r w:rsidR="00CC6372">
        <w:t>; e</w:t>
      </w:r>
      <w:r w:rsidR="00CC6372" w:rsidRPr="00A81A64">
        <w:t xml:space="preserve">valuable </w:t>
      </w:r>
      <w:r w:rsidR="00CC6372">
        <w:t>i</w:t>
      </w:r>
      <w:r w:rsidR="00CC6372" w:rsidRPr="00A81A64">
        <w:t xml:space="preserve">mmunogenicity </w:t>
      </w:r>
      <w:r w:rsidR="00CC6372">
        <w:t>p</w:t>
      </w:r>
      <w:r w:rsidR="00CC6372" w:rsidRPr="00A81A64">
        <w:t>opulation</w:t>
      </w:r>
      <w:r w:rsidR="00CC6372">
        <w:t>)</w:t>
      </w:r>
    </w:p>
    <w:p w14:paraId="4D4752BA" w14:textId="589675E0" w:rsidR="00A81A64" w:rsidRDefault="00A81A64" w:rsidP="00A81A64">
      <w:r w:rsidRPr="00A81A64">
        <w:rPr>
          <w:noProof/>
          <w:lang w:val="en-GB" w:eastAsia="en-GB"/>
        </w:rPr>
        <w:drawing>
          <wp:inline distT="0" distB="0" distL="0" distR="0" wp14:anchorId="2CC2970E" wp14:editId="2EE7EE90">
            <wp:extent cx="5759450" cy="5177155"/>
            <wp:effectExtent l="0" t="0" r="0" b="4445"/>
            <wp:docPr id="8" name="Picture 8" descr="Geometric mean titres, by Baseline SARS-CoV-2 status – new variants neutralisation – subset of Study C4591044 Cohort 2 and Study C4591031 Substudy E Expanded Cohort – up to 1 month after study vaccination – participants over 55 Years of age –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eometric mean titres, by Baseline SARS-CoV-2 status – new variants neutralisation – subset of Study C4591044 Cohort 2 and Study C4591031 Substudy E Expanded Cohort – up to 1 month after study vaccination – participants over 55 Years of age – evaluable immunogenicity population"/>
                    <pic:cNvPicPr/>
                  </pic:nvPicPr>
                  <pic:blipFill>
                    <a:blip r:embed="rId55"/>
                    <a:stretch>
                      <a:fillRect/>
                    </a:stretch>
                  </pic:blipFill>
                  <pic:spPr>
                    <a:xfrm>
                      <a:off x="0" y="0"/>
                      <a:ext cx="5759450" cy="5177155"/>
                    </a:xfrm>
                    <a:prstGeom prst="rect">
                      <a:avLst/>
                    </a:prstGeom>
                  </pic:spPr>
                </pic:pic>
              </a:graphicData>
            </a:graphic>
          </wp:inline>
        </w:drawing>
      </w:r>
    </w:p>
    <w:p w14:paraId="189AA97D" w14:textId="040B8CED" w:rsidR="00A81A64" w:rsidRDefault="00A81A64" w:rsidP="00A81A64">
      <w:pPr>
        <w:pStyle w:val="TableDescription"/>
      </w:pPr>
      <w:r>
        <w:t>Abbreviations: FFRNT = fluorescent focus reduction neutrali</w:t>
      </w:r>
      <w:r w:rsidR="00C56D8A">
        <w:t>s</w:t>
      </w:r>
      <w:r>
        <w:t>ation test, GMT = geometric mean titre, LLOQ = lower limit of quantitation, N-binding = SARS-CoV-2 nucleoprotein–binding, NAAT = nucleic acid amplification test, NT50 = 50% neutrali</w:t>
      </w:r>
      <w:r w:rsidR="00C56D8A">
        <w:t>s</w:t>
      </w:r>
      <w:r>
        <w:t>ing titre, SARS-CoV-2 = severe acute respiratory syndrome coronavirus 2.</w:t>
      </w:r>
    </w:p>
    <w:p w14:paraId="0064EC04" w14:textId="31371C2F" w:rsidR="00A81A64" w:rsidRDefault="00A81A64" w:rsidP="00A81A64">
      <w:pPr>
        <w:pStyle w:val="TableDescription"/>
      </w:pPr>
      <w:r>
        <w:t>Note: Approximately forty participants (20 baseline SARS-CoV-2 positive status and 20 negative status) were selected from over 55 years age group in Study C4591044 Cohort 2 BNT162b2 Bivalent (WT/OMI BA.4/BA.5) 30 </w:t>
      </w:r>
      <w:r>
        <w:sym w:font="Symbol" w:char="F06D"/>
      </w:r>
      <w:r>
        <w:t xml:space="preserve">g group and from Study C4591031 </w:t>
      </w:r>
      <w:proofErr w:type="spellStart"/>
      <w:r>
        <w:t>Substudy</w:t>
      </w:r>
      <w:proofErr w:type="spellEnd"/>
      <w:r>
        <w:t xml:space="preserve"> E expanded cohort (over 55 years) BNT162b2 30 </w:t>
      </w:r>
      <w:r>
        <w:sym w:font="Symbol" w:char="F06D"/>
      </w:r>
      <w:r>
        <w:t>g group.</w:t>
      </w:r>
    </w:p>
    <w:p w14:paraId="3ABF137F" w14:textId="2A40F4F7" w:rsidR="00A81A64" w:rsidRDefault="00A81A64" w:rsidP="00A81A64">
      <w:pPr>
        <w:pStyle w:val="TableDescription"/>
      </w:pPr>
      <w:r>
        <w:t>a. Protocol specified timing for blood sample.</w:t>
      </w:r>
    </w:p>
    <w:p w14:paraId="4F5BB1E6" w14:textId="77777777" w:rsidR="00A81A64" w:rsidRDefault="00A81A64" w:rsidP="00A81A64">
      <w:pPr>
        <w:pStyle w:val="TableDescription"/>
      </w:pPr>
      <w:r>
        <w:t>b. n = Number of participants with valid and determinate assay results for the specified assay at the given sampling time point.</w:t>
      </w:r>
    </w:p>
    <w:p w14:paraId="0BC4A6B7" w14:textId="1641D57D" w:rsidR="00A81A64" w:rsidRDefault="00A81A64" w:rsidP="00A81A64">
      <w:pPr>
        <w:pStyle w:val="TableDescription"/>
      </w:pPr>
      <w:r>
        <w:t xml:space="preserve">c. GMTs and 2-sided 95% CIs were calculated by exponentiating the mean logarithm of the titres and the corresponding CIs (based on the </w:t>
      </w:r>
      <w:proofErr w:type="gramStart"/>
      <w:r>
        <w:t>Student</w:t>
      </w:r>
      <w:proofErr w:type="gramEnd"/>
      <w:r>
        <w:t xml:space="preserve"> t distribution). Assay results below the LLOQ were set to 0.5 x LLOQ.</w:t>
      </w:r>
    </w:p>
    <w:p w14:paraId="123C6C03" w14:textId="27866944" w:rsidR="00A81A64" w:rsidRDefault="00A81A64" w:rsidP="00A81A64">
      <w:pPr>
        <w:pStyle w:val="TableDescription"/>
      </w:pPr>
      <w:r>
        <w:t>d. Positive N-binding antibody result at Baseline, positive NAAT result at Baseline, or medical history of COVID-19.</w:t>
      </w:r>
    </w:p>
    <w:p w14:paraId="1F34F056" w14:textId="47183DBD" w:rsidR="00A81A64" w:rsidRDefault="00A81A64" w:rsidP="00A81A64">
      <w:pPr>
        <w:pStyle w:val="TableDescription"/>
      </w:pPr>
      <w:r>
        <w:t>e. Negative N-binding antibody result at Baseline, negative NAAT result at Baseline, and no medical history of COVID-19.</w:t>
      </w:r>
    </w:p>
    <w:p w14:paraId="3D395544" w14:textId="275810A4" w:rsidR="00CC6372" w:rsidRPr="00CC6372" w:rsidRDefault="00CC6372" w:rsidP="00F32401">
      <w:r>
        <w:br w:type="page"/>
      </w:r>
    </w:p>
    <w:p w14:paraId="76ECD901" w14:textId="25D29F2A" w:rsidR="00A81A64" w:rsidRDefault="00A81A64" w:rsidP="00A81A64">
      <w:pPr>
        <w:pStyle w:val="Heading5"/>
      </w:pPr>
      <w:r w:rsidRPr="00A81A64">
        <w:lastRenderedPageBreak/>
        <w:t>Real</w:t>
      </w:r>
      <w:r w:rsidR="00FF4953">
        <w:t>-</w:t>
      </w:r>
      <w:r w:rsidRPr="00A81A64">
        <w:t>world effectiveness studies in adults</w:t>
      </w:r>
    </w:p>
    <w:p w14:paraId="31188315" w14:textId="7B3E8454" w:rsidR="00A81A64" w:rsidRDefault="005E1944" w:rsidP="00A81A64">
      <w:r>
        <w:t>As part of this submission, the sponsor provided the TGA with studies and data evaluating the real-world effectiveness of Comirnaty (tozinameran/BNT162b2) vaccine when given as an additional booster dose (Dose 4).</w:t>
      </w:r>
      <w:r w:rsidR="00EC0B18">
        <w:t xml:space="preserve"> </w:t>
      </w:r>
      <w:r w:rsidR="00A81A64">
        <w:t xml:space="preserve">The </w:t>
      </w:r>
      <w:r w:rsidR="00EC0B18">
        <w:t>following were provided</w:t>
      </w:r>
      <w:r w:rsidR="00A81A64">
        <w:t>:</w:t>
      </w:r>
    </w:p>
    <w:p w14:paraId="313104E7" w14:textId="7F2DB962" w:rsidR="00A81A64" w:rsidRPr="00A81A64" w:rsidRDefault="00A81A64" w:rsidP="00A81A64">
      <w:pPr>
        <w:pStyle w:val="ListBullet"/>
      </w:pPr>
      <w:r w:rsidRPr="00A81A64">
        <w:t xml:space="preserve">Clinical data from </w:t>
      </w:r>
      <w:r>
        <w:t>seven</w:t>
      </w:r>
      <w:r w:rsidRPr="00A81A64">
        <w:t xml:space="preserve"> studies </w:t>
      </w:r>
      <w:r w:rsidR="00EC0B18">
        <w:t xml:space="preserve">conducted in </w:t>
      </w:r>
      <w:r w:rsidRPr="00A81A64">
        <w:t>adults</w:t>
      </w:r>
      <w:r w:rsidR="00EC0B18">
        <w:t xml:space="preserve"> in Israel</w:t>
      </w:r>
      <w:r w:rsidRPr="00A81A64">
        <w:t xml:space="preserve"> evaluating real-world effectiveness of an additional booster (Dose 4) of </w:t>
      </w:r>
      <w:r w:rsidR="00EC0B18">
        <w:t xml:space="preserve">Comirnaty (tozinameran/BNT162b2) vaccine </w:t>
      </w:r>
      <w:r w:rsidRPr="00A81A64">
        <w:t>30</w:t>
      </w:r>
      <w:r>
        <w:t> </w:t>
      </w:r>
      <w:r>
        <w:sym w:font="Symbol" w:char="F06D"/>
      </w:r>
      <w:r w:rsidRPr="00A81A64">
        <w:t xml:space="preserve">g given 4 months </w:t>
      </w:r>
      <w:r>
        <w:t xml:space="preserve">or more </w:t>
      </w:r>
      <w:r w:rsidRPr="00A81A64">
        <w:t>after the first booster (Dose 3) (</w:t>
      </w:r>
      <w:r w:rsidR="00EC0B18">
        <w:t xml:space="preserve">see </w:t>
      </w:r>
      <w:r>
        <w:fldChar w:fldCharType="begin"/>
      </w:r>
      <w:r>
        <w:instrText xml:space="preserve"> REF _Ref137117465 \h </w:instrText>
      </w:r>
      <w:r>
        <w:fldChar w:fldCharType="separate"/>
      </w:r>
      <w:r w:rsidR="00237257">
        <w:t xml:space="preserve">Table </w:t>
      </w:r>
      <w:r w:rsidR="00237257">
        <w:rPr>
          <w:noProof/>
        </w:rPr>
        <w:t>13</w:t>
      </w:r>
      <w:r>
        <w:fldChar w:fldCharType="end"/>
      </w:r>
      <w:r w:rsidRPr="00A81A64">
        <w:t>)</w:t>
      </w:r>
      <w:r>
        <w:t>.</w:t>
      </w:r>
    </w:p>
    <w:p w14:paraId="4FC4EC95" w14:textId="5A1AB865" w:rsidR="00EC0B18" w:rsidRDefault="00A81A64" w:rsidP="00A81A64">
      <w:pPr>
        <w:pStyle w:val="ListBullet"/>
      </w:pPr>
      <w:r w:rsidRPr="00A81A64">
        <w:t xml:space="preserve">Studies examining </w:t>
      </w:r>
      <w:r>
        <w:t>vaccine effectiveness</w:t>
      </w:r>
      <w:r w:rsidRPr="00A81A64">
        <w:t xml:space="preserve"> of </w:t>
      </w:r>
      <w:r w:rsidR="00EC0B18">
        <w:t xml:space="preserve">Comirnaty (tozinameran/BNT162b2) vaccine </w:t>
      </w:r>
      <w:r w:rsidRPr="00A81A64">
        <w:t>30</w:t>
      </w:r>
      <w:r>
        <w:t> </w:t>
      </w:r>
      <w:r>
        <w:sym w:font="Symbol" w:char="F06D"/>
      </w:r>
      <w:r w:rsidRPr="00A81A64">
        <w:t xml:space="preserve">g and the </w:t>
      </w:r>
      <w:r w:rsidR="00EC0B18">
        <w:t>Spikevax</w:t>
      </w:r>
      <w:r w:rsidR="00EC0B18" w:rsidRPr="00A81A64">
        <w:t xml:space="preserve"> </w:t>
      </w:r>
      <w:r w:rsidRPr="00A81A64">
        <w:t xml:space="preserve">COVID-19 mRNA vaccine </w:t>
      </w:r>
      <w:r w:rsidR="00EC0B18">
        <w:t xml:space="preserve">(Moderna) </w:t>
      </w:r>
      <w:r w:rsidRPr="00A81A64">
        <w:t xml:space="preserve">when an additional booster was given 4 months </w:t>
      </w:r>
      <w:r>
        <w:t xml:space="preserve">or more </w:t>
      </w:r>
      <w:r w:rsidRPr="00A81A64">
        <w:t>following a third dose to:</w:t>
      </w:r>
    </w:p>
    <w:p w14:paraId="380CD347" w14:textId="3339A9F6" w:rsidR="00EC0B18" w:rsidRDefault="00A81A64" w:rsidP="00F32401">
      <w:pPr>
        <w:pStyle w:val="ListBullet2"/>
      </w:pPr>
      <w:r w:rsidRPr="00A81A64">
        <w:t xml:space="preserve">immunocompetent </w:t>
      </w:r>
      <w:r w:rsidRPr="00673FB8">
        <w:t>adults</w:t>
      </w:r>
      <w:r w:rsidRPr="00A81A64">
        <w:t xml:space="preserve"> </w:t>
      </w:r>
      <w:r w:rsidR="00EC0B18">
        <w:t xml:space="preserve">of </w:t>
      </w:r>
      <w:r w:rsidRPr="00A81A64">
        <w:t>50</w:t>
      </w:r>
      <w:r>
        <w:t xml:space="preserve"> years of age or older</w:t>
      </w:r>
      <w:r w:rsidR="00EC0B18">
        <w:t xml:space="preserve"> (USA)</w:t>
      </w:r>
      <w:r w:rsidRPr="00A81A64">
        <w:t>;</w:t>
      </w:r>
      <w:r w:rsidR="00F128A8">
        <w:fldChar w:fldCharType="begin"/>
      </w:r>
      <w:r w:rsidR="00F128A8">
        <w:instrText xml:space="preserve"> NOTEREF _Ref138145227 \f \h </w:instrText>
      </w:r>
      <w:r w:rsidR="00F128A8">
        <w:fldChar w:fldCharType="separate"/>
      </w:r>
      <w:r w:rsidR="00237257" w:rsidRPr="00237257">
        <w:rPr>
          <w:rStyle w:val="FootnoteReference"/>
        </w:rPr>
        <w:t>9</w:t>
      </w:r>
      <w:r w:rsidR="00F128A8">
        <w:fldChar w:fldCharType="end"/>
      </w:r>
    </w:p>
    <w:p w14:paraId="0FE756FA" w14:textId="3CF19F18" w:rsidR="00EC0B18" w:rsidRDefault="00A81A64" w:rsidP="00F32401">
      <w:pPr>
        <w:pStyle w:val="ListBullet2"/>
      </w:pPr>
      <w:r w:rsidRPr="00A81A64">
        <w:t>lon</w:t>
      </w:r>
      <w:r w:rsidR="00EC0B18">
        <w:t>g</w:t>
      </w:r>
      <w:r w:rsidR="00F32401">
        <w:t xml:space="preserve"> </w:t>
      </w:r>
      <w:r w:rsidRPr="00A81A64">
        <w:t xml:space="preserve">term care residents </w:t>
      </w:r>
      <w:r w:rsidR="00EC0B18">
        <w:t xml:space="preserve">of </w:t>
      </w:r>
      <w:r w:rsidRPr="00A81A64">
        <w:t xml:space="preserve">60 </w:t>
      </w:r>
      <w:r>
        <w:t>years of age or older</w:t>
      </w:r>
      <w:r w:rsidR="00EC0B18">
        <w:t xml:space="preserve"> (Canada)</w:t>
      </w:r>
      <w:r w:rsidRPr="00A81A64">
        <w:t>;</w:t>
      </w:r>
      <w:r w:rsidR="00F128A8">
        <w:fldChar w:fldCharType="begin"/>
      </w:r>
      <w:r w:rsidR="00F128A8">
        <w:instrText xml:space="preserve"> NOTEREF _Ref138145241 \f \h </w:instrText>
      </w:r>
      <w:r w:rsidR="00F128A8">
        <w:fldChar w:fldCharType="separate"/>
      </w:r>
      <w:r w:rsidR="00237257" w:rsidRPr="00237257">
        <w:rPr>
          <w:rStyle w:val="FootnoteReference"/>
        </w:rPr>
        <w:t>11</w:t>
      </w:r>
      <w:r w:rsidR="00F128A8">
        <w:fldChar w:fldCharType="end"/>
      </w:r>
      <w:r w:rsidRPr="00A81A64">
        <w:t xml:space="preserve"> and</w:t>
      </w:r>
    </w:p>
    <w:p w14:paraId="51CF7CA3" w14:textId="3AC5074A" w:rsidR="00EC0B18" w:rsidRDefault="00A81A64" w:rsidP="00F32401">
      <w:pPr>
        <w:pStyle w:val="ListBullet2"/>
      </w:pPr>
      <w:r w:rsidRPr="00A81A64">
        <w:t>long</w:t>
      </w:r>
      <w:r w:rsidR="00F32401">
        <w:t xml:space="preserve"> </w:t>
      </w:r>
      <w:r w:rsidRPr="00A81A64">
        <w:t>term care facility residents</w:t>
      </w:r>
      <w:r w:rsidR="00EC0B18">
        <w:t xml:space="preserve"> of</w:t>
      </w:r>
      <w:r w:rsidRPr="00A81A64">
        <w:t xml:space="preserve"> 80</w:t>
      </w:r>
      <w:r>
        <w:t> years of age or older</w:t>
      </w:r>
      <w:r w:rsidR="00EC0B18">
        <w:t xml:space="preserve"> (Sweden)</w:t>
      </w:r>
      <w:r>
        <w:t>.</w:t>
      </w:r>
      <w:r w:rsidR="00F128A8">
        <w:fldChar w:fldCharType="begin"/>
      </w:r>
      <w:r w:rsidR="00F128A8">
        <w:instrText xml:space="preserve"> NOTEREF _Ref138145250 \f \h </w:instrText>
      </w:r>
      <w:r w:rsidR="00F128A8">
        <w:fldChar w:fldCharType="separate"/>
      </w:r>
      <w:r w:rsidR="00237257" w:rsidRPr="00237257">
        <w:rPr>
          <w:rStyle w:val="FootnoteReference"/>
        </w:rPr>
        <w:t>10</w:t>
      </w:r>
      <w:r w:rsidR="00F128A8">
        <w:fldChar w:fldCharType="end"/>
      </w:r>
    </w:p>
    <w:p w14:paraId="79E5B274" w14:textId="5936D65D" w:rsidR="00A81A64" w:rsidRDefault="00EC0B18" w:rsidP="00F32401">
      <w:pPr>
        <w:pStyle w:val="ListBullet2"/>
        <w:numPr>
          <w:ilvl w:val="0"/>
          <w:numId w:val="0"/>
        </w:numPr>
        <w:ind w:left="425"/>
      </w:pPr>
      <w:r>
        <w:t>Note, these</w:t>
      </w:r>
      <w:r w:rsidR="00A81A64" w:rsidRPr="00A81A64">
        <w:t xml:space="preserve"> </w:t>
      </w:r>
      <w:r w:rsidR="00A81A64">
        <w:t>three</w:t>
      </w:r>
      <w:r w:rsidR="00A81A64" w:rsidRPr="00A81A64">
        <w:t xml:space="preserve"> studies were conducted in the Omicron era.</w:t>
      </w:r>
    </w:p>
    <w:p w14:paraId="3840D688" w14:textId="1A8CF2FB" w:rsidR="00A81A64" w:rsidRDefault="00A81A64" w:rsidP="00A81A64">
      <w:pPr>
        <w:pStyle w:val="TableTitle"/>
      </w:pPr>
      <w:bookmarkStart w:id="66" w:name="_Ref137117465"/>
      <w:r>
        <w:t xml:space="preserve">Table </w:t>
      </w:r>
      <w:fldSimple w:instr=" SEQ Table \* ARABIC ">
        <w:r w:rsidR="00237257">
          <w:rPr>
            <w:noProof/>
          </w:rPr>
          <w:t>13</w:t>
        </w:r>
      </w:fldSimple>
      <w:bookmarkEnd w:id="66"/>
      <w:r>
        <w:t>:</w:t>
      </w:r>
      <w:r w:rsidRPr="00A81A64">
        <w:t xml:space="preserve"> Vaccine effectiveness from Israeli studies of a </w:t>
      </w:r>
      <w:r w:rsidR="00C56D8A">
        <w:t xml:space="preserve">fourth </w:t>
      </w:r>
      <w:r w:rsidRPr="00A81A64">
        <w:t>dose of BNT162b2 30</w:t>
      </w:r>
      <w:r>
        <w:t> </w:t>
      </w:r>
      <w:r>
        <w:sym w:font="Symbol" w:char="F06D"/>
      </w:r>
      <w:r w:rsidRPr="00A81A64">
        <w:t>g (relative to 3 doses) administere</w:t>
      </w:r>
      <w:r>
        <w:t>d</w:t>
      </w:r>
      <w:r w:rsidRPr="00A81A64">
        <w:t xml:space="preserve"> 4 months </w:t>
      </w:r>
      <w:r>
        <w:t xml:space="preserve">or more </w:t>
      </w:r>
      <w:r w:rsidRPr="00A81A64">
        <w:t>after a</w:t>
      </w:r>
      <w:r w:rsidR="00C56D8A">
        <w:t xml:space="preserve"> third</w:t>
      </w:r>
      <w:r w:rsidRPr="00A81A64">
        <w:t xml:space="preserve"> dose during the initial Omicron wave in 2021/2022</w:t>
      </w:r>
    </w:p>
    <w:tbl>
      <w:tblPr>
        <w:tblStyle w:val="TableTGAblue2023"/>
        <w:tblW w:w="0" w:type="auto"/>
        <w:tblLayout w:type="fixed"/>
        <w:tblLook w:val="04A0" w:firstRow="1" w:lastRow="0" w:firstColumn="1" w:lastColumn="0" w:noHBand="0" w:noVBand="1"/>
      </w:tblPr>
      <w:tblGrid>
        <w:gridCol w:w="2875"/>
        <w:gridCol w:w="1080"/>
        <w:gridCol w:w="2430"/>
        <w:gridCol w:w="2675"/>
      </w:tblGrid>
      <w:tr w:rsidR="00E22AEA" w14:paraId="324F06C2" w14:textId="77777777" w:rsidTr="00D11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3A9B12F" w14:textId="1619C060" w:rsidR="00E22AEA" w:rsidRPr="00A81A64" w:rsidRDefault="00E22AEA" w:rsidP="00D1197A">
            <w:pPr>
              <w:ind w:left="0"/>
              <w:rPr>
                <w:sz w:val="20"/>
                <w:szCs w:val="20"/>
              </w:rPr>
            </w:pPr>
            <w:r>
              <w:rPr>
                <w:sz w:val="20"/>
                <w:szCs w:val="20"/>
              </w:rPr>
              <w:t>Publication/</w:t>
            </w:r>
            <w:r w:rsidRPr="00A81A64">
              <w:rPr>
                <w:sz w:val="20"/>
                <w:szCs w:val="20"/>
              </w:rPr>
              <w:t xml:space="preserve">Population studied </w:t>
            </w:r>
          </w:p>
        </w:tc>
        <w:tc>
          <w:tcPr>
            <w:tcW w:w="1080" w:type="dxa"/>
          </w:tcPr>
          <w:p w14:paraId="0FFF26AD" w14:textId="7AF80FD1" w:rsidR="00E22AEA" w:rsidRPr="00A81A64" w:rsidRDefault="00E22AEA" w:rsidP="00D1197A">
            <w:pPr>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Study vaccine doses (n)</w:t>
            </w:r>
          </w:p>
        </w:tc>
        <w:tc>
          <w:tcPr>
            <w:tcW w:w="2430" w:type="dxa"/>
          </w:tcPr>
          <w:p w14:paraId="4A7B8314" w14:textId="4694F874" w:rsidR="00E22AEA" w:rsidRPr="00A81A64" w:rsidRDefault="00D1197A" w:rsidP="00D1197A">
            <w:pPr>
              <w:ind w:lef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Time period of Dose 4 administration</w:t>
            </w:r>
          </w:p>
        </w:tc>
        <w:tc>
          <w:tcPr>
            <w:tcW w:w="2675" w:type="dxa"/>
          </w:tcPr>
          <w:p w14:paraId="7F6073FF" w14:textId="51CADCC2" w:rsidR="00E22AEA" w:rsidRPr="00A81A64" w:rsidRDefault="00E22AEA" w:rsidP="00D1197A">
            <w:pPr>
              <w:ind w:left="0"/>
              <w:cnfStyle w:val="100000000000" w:firstRow="1" w:lastRow="0" w:firstColumn="0" w:lastColumn="0" w:oddVBand="0" w:evenVBand="0" w:oddHBand="0" w:evenHBand="0" w:firstRowFirstColumn="0" w:firstRowLastColumn="0" w:lastRowFirstColumn="0" w:lastRowLastColumn="0"/>
              <w:rPr>
                <w:sz w:val="20"/>
                <w:szCs w:val="20"/>
              </w:rPr>
            </w:pPr>
            <w:r w:rsidRPr="00A81A64">
              <w:rPr>
                <w:sz w:val="20"/>
                <w:szCs w:val="20"/>
              </w:rPr>
              <w:t xml:space="preserve">Relative </w:t>
            </w:r>
            <w:r>
              <w:rPr>
                <w:sz w:val="20"/>
                <w:szCs w:val="20"/>
              </w:rPr>
              <w:t xml:space="preserve">vaccine efficacy </w:t>
            </w:r>
            <w:r w:rsidRPr="00A81A64">
              <w:rPr>
                <w:sz w:val="20"/>
                <w:szCs w:val="20"/>
              </w:rPr>
              <w:t xml:space="preserve">(95% CI) </w:t>
            </w:r>
            <w:r>
              <w:rPr>
                <w:sz w:val="20"/>
                <w:szCs w:val="20"/>
              </w:rPr>
              <w:t>and o</w:t>
            </w:r>
            <w:r w:rsidRPr="00A81A64">
              <w:rPr>
                <w:sz w:val="20"/>
                <w:szCs w:val="20"/>
              </w:rPr>
              <w:t xml:space="preserve">utcome(s) </w:t>
            </w:r>
          </w:p>
        </w:tc>
      </w:tr>
      <w:tr w:rsidR="00E22AEA" w14:paraId="4BCB8D3C" w14:textId="77777777" w:rsidTr="00D1197A">
        <w:tc>
          <w:tcPr>
            <w:cnfStyle w:val="001000000000" w:firstRow="0" w:lastRow="0" w:firstColumn="1" w:lastColumn="0" w:oddVBand="0" w:evenVBand="0" w:oddHBand="0" w:evenHBand="0" w:firstRowFirstColumn="0" w:firstRowLastColumn="0" w:lastRowFirstColumn="0" w:lastRowLastColumn="0"/>
            <w:tcW w:w="9060" w:type="dxa"/>
            <w:gridSpan w:val="4"/>
          </w:tcPr>
          <w:p w14:paraId="34DADFE1" w14:textId="0283934D" w:rsidR="00E22AEA" w:rsidRPr="00A81A64" w:rsidRDefault="00E22AEA" w:rsidP="00D1197A">
            <w:pPr>
              <w:ind w:left="0"/>
            </w:pPr>
            <w:r w:rsidRPr="00A81A64">
              <w:t>Regev-</w:t>
            </w:r>
            <w:proofErr w:type="spellStart"/>
            <w:r w:rsidRPr="00A81A64">
              <w:t>Yochay</w:t>
            </w:r>
            <w:proofErr w:type="spellEnd"/>
            <w:r w:rsidRPr="00A81A64">
              <w:t xml:space="preserve"> G</w:t>
            </w:r>
            <w:r w:rsidR="0051367F">
              <w:t xml:space="preserve"> et al. (2022)</w:t>
            </w:r>
            <w:r>
              <w:rPr>
                <w:rStyle w:val="FootnoteReference"/>
                <w:sz w:val="20"/>
                <w:szCs w:val="20"/>
              </w:rPr>
              <w:footnoteReference w:id="19"/>
            </w:r>
          </w:p>
        </w:tc>
      </w:tr>
      <w:tr w:rsidR="00E22AEA" w14:paraId="41A526A6"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5E9C41DB" w14:textId="6E83D59E" w:rsidR="00E22AEA" w:rsidRDefault="00E22AEA" w:rsidP="00D1197A">
            <w:pPr>
              <w:ind w:left="0"/>
              <w:rPr>
                <w:sz w:val="20"/>
                <w:szCs w:val="20"/>
              </w:rPr>
            </w:pPr>
            <w:r>
              <w:rPr>
                <w:sz w:val="20"/>
                <w:szCs w:val="20"/>
              </w:rPr>
              <w:t>Healthcare workers</w:t>
            </w:r>
          </w:p>
          <w:p w14:paraId="5FC12B37" w14:textId="52A6F1C1" w:rsidR="00E22AEA" w:rsidRDefault="00E22AEA" w:rsidP="00D1197A">
            <w:pPr>
              <w:ind w:left="0"/>
              <w:rPr>
                <w:sz w:val="20"/>
                <w:szCs w:val="20"/>
              </w:rPr>
            </w:pPr>
            <w:r w:rsidRPr="00A81A64">
              <w:rPr>
                <w:sz w:val="20"/>
                <w:szCs w:val="20"/>
              </w:rPr>
              <w:t>18 years of age or older</w:t>
            </w:r>
          </w:p>
          <w:p w14:paraId="006B8E6B" w14:textId="1FCD35A0" w:rsidR="00E22AEA" w:rsidRPr="00A81A64" w:rsidRDefault="00E22AEA" w:rsidP="00D1197A">
            <w:pPr>
              <w:ind w:left="0"/>
              <w:rPr>
                <w:sz w:val="20"/>
                <w:szCs w:val="20"/>
              </w:rPr>
            </w:pPr>
            <w:r>
              <w:rPr>
                <w:sz w:val="20"/>
                <w:szCs w:val="20"/>
              </w:rPr>
              <w:t>L</w:t>
            </w:r>
            <w:r w:rsidRPr="00A81A64">
              <w:rPr>
                <w:sz w:val="20"/>
                <w:szCs w:val="20"/>
              </w:rPr>
              <w:t>evels of pre-existing immunity in lowest 40th percentile</w:t>
            </w:r>
          </w:p>
        </w:tc>
        <w:tc>
          <w:tcPr>
            <w:tcW w:w="1080" w:type="dxa"/>
          </w:tcPr>
          <w:p w14:paraId="394344B6" w14:textId="30C792EA"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154</w:t>
            </w:r>
          </w:p>
        </w:tc>
        <w:tc>
          <w:tcPr>
            <w:tcW w:w="2430" w:type="dxa"/>
          </w:tcPr>
          <w:p w14:paraId="64AFC98A" w14:textId="22E1C776"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27</w:t>
            </w:r>
            <w:r>
              <w:rPr>
                <w:sz w:val="20"/>
                <w:szCs w:val="20"/>
              </w:rPr>
              <w:t xml:space="preserve"> December </w:t>
            </w:r>
            <w:r w:rsidR="0051367F">
              <w:rPr>
                <w:sz w:val="20"/>
                <w:szCs w:val="20"/>
              </w:rPr>
              <w:t>2021 to 30 </w:t>
            </w:r>
            <w:r>
              <w:rPr>
                <w:sz w:val="20"/>
                <w:szCs w:val="20"/>
              </w:rPr>
              <w:t xml:space="preserve">January </w:t>
            </w:r>
            <w:r w:rsidRPr="00A81A64">
              <w:rPr>
                <w:sz w:val="20"/>
                <w:szCs w:val="20"/>
              </w:rPr>
              <w:t>2022</w:t>
            </w:r>
          </w:p>
        </w:tc>
        <w:tc>
          <w:tcPr>
            <w:tcW w:w="2675" w:type="dxa"/>
          </w:tcPr>
          <w:p w14:paraId="4ECE0780" w14:textId="708BEBC4" w:rsidR="00E22AE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SARS-CoV-2 infection</w:t>
            </w:r>
            <w:r>
              <w:rPr>
                <w:sz w:val="20"/>
                <w:szCs w:val="20"/>
              </w:rPr>
              <w:t>:</w:t>
            </w:r>
            <w:r w:rsidR="0051367F">
              <w:rPr>
                <w:sz w:val="20"/>
                <w:szCs w:val="20"/>
              </w:rPr>
              <w:br/>
            </w:r>
            <w:r w:rsidRPr="00A81A64">
              <w:rPr>
                <w:sz w:val="20"/>
                <w:szCs w:val="20"/>
              </w:rPr>
              <w:t>30</w:t>
            </w:r>
            <w:r>
              <w:rPr>
                <w:sz w:val="20"/>
                <w:szCs w:val="20"/>
              </w:rPr>
              <w:t>%</w:t>
            </w:r>
            <w:r w:rsidRPr="00A81A64">
              <w:rPr>
                <w:sz w:val="20"/>
                <w:szCs w:val="20"/>
              </w:rPr>
              <w:t xml:space="preserve"> (-9, 55)</w:t>
            </w:r>
          </w:p>
          <w:p w14:paraId="46D3AD1E" w14:textId="39BF36D3"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t>
            </w:r>
            <w:r w:rsidRPr="00A81A64">
              <w:rPr>
                <w:sz w:val="20"/>
                <w:szCs w:val="20"/>
              </w:rPr>
              <w:t>ymptomatic COVID-19</w:t>
            </w:r>
            <w:r>
              <w:rPr>
                <w:sz w:val="20"/>
                <w:szCs w:val="20"/>
              </w:rPr>
              <w:t>:</w:t>
            </w:r>
            <w:r w:rsidR="0051367F">
              <w:rPr>
                <w:sz w:val="20"/>
                <w:szCs w:val="20"/>
              </w:rPr>
              <w:br/>
            </w:r>
            <w:r w:rsidRPr="00A81A64">
              <w:rPr>
                <w:sz w:val="20"/>
                <w:szCs w:val="20"/>
              </w:rPr>
              <w:t>43</w:t>
            </w:r>
            <w:r>
              <w:rPr>
                <w:sz w:val="20"/>
                <w:szCs w:val="20"/>
              </w:rPr>
              <w:t>%</w:t>
            </w:r>
            <w:r w:rsidRPr="00A81A64">
              <w:rPr>
                <w:sz w:val="20"/>
                <w:szCs w:val="20"/>
              </w:rPr>
              <w:t xml:space="preserve"> (7, 65)</w:t>
            </w:r>
          </w:p>
        </w:tc>
      </w:tr>
      <w:tr w:rsidR="00E22AEA" w14:paraId="68CE4B2F" w14:textId="77777777" w:rsidTr="0051367F">
        <w:tc>
          <w:tcPr>
            <w:cnfStyle w:val="001000000000" w:firstRow="0" w:lastRow="0" w:firstColumn="1" w:lastColumn="0" w:oddVBand="0" w:evenVBand="0" w:oddHBand="0" w:evenHBand="0" w:firstRowFirstColumn="0" w:firstRowLastColumn="0" w:lastRowFirstColumn="0" w:lastRowLastColumn="0"/>
            <w:tcW w:w="9060" w:type="dxa"/>
            <w:gridSpan w:val="4"/>
          </w:tcPr>
          <w:p w14:paraId="4FAE3258" w14:textId="1F44889B" w:rsidR="00E22AEA" w:rsidRPr="00A81A64" w:rsidRDefault="00E22AEA" w:rsidP="0051367F">
            <w:pPr>
              <w:ind w:left="0"/>
            </w:pPr>
            <w:r w:rsidRPr="00A81A64">
              <w:t>Cohen MJ</w:t>
            </w:r>
            <w:r w:rsidR="0051367F">
              <w:t xml:space="preserve"> et al (2022)</w:t>
            </w:r>
            <w:r>
              <w:rPr>
                <w:rStyle w:val="FootnoteReference"/>
                <w:sz w:val="20"/>
                <w:szCs w:val="20"/>
              </w:rPr>
              <w:footnoteReference w:id="20"/>
            </w:r>
          </w:p>
        </w:tc>
      </w:tr>
      <w:tr w:rsidR="00E22AEA" w14:paraId="1BDCAD0C"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628EEB73" w14:textId="77A70ED8" w:rsidR="00E22AEA" w:rsidRPr="00A81A64" w:rsidRDefault="00E22AEA" w:rsidP="00D1197A">
            <w:pPr>
              <w:ind w:left="0"/>
              <w:rPr>
                <w:sz w:val="20"/>
                <w:szCs w:val="20"/>
              </w:rPr>
            </w:pPr>
            <w:r>
              <w:rPr>
                <w:sz w:val="20"/>
                <w:szCs w:val="20"/>
              </w:rPr>
              <w:t>Healthcare workers</w:t>
            </w:r>
          </w:p>
        </w:tc>
        <w:tc>
          <w:tcPr>
            <w:tcW w:w="1080" w:type="dxa"/>
          </w:tcPr>
          <w:p w14:paraId="1FEB7E5C" w14:textId="192B5DEF"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4309</w:t>
            </w:r>
          </w:p>
        </w:tc>
        <w:tc>
          <w:tcPr>
            <w:tcW w:w="2430" w:type="dxa"/>
          </w:tcPr>
          <w:p w14:paraId="285B5242" w14:textId="22E01FFB"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January 2022</w:t>
            </w:r>
            <w:r w:rsidR="0051367F">
              <w:rPr>
                <w:sz w:val="20"/>
                <w:szCs w:val="20"/>
              </w:rPr>
              <w:t xml:space="preserve"> onwards</w:t>
            </w:r>
          </w:p>
        </w:tc>
        <w:tc>
          <w:tcPr>
            <w:tcW w:w="2675" w:type="dxa"/>
          </w:tcPr>
          <w:p w14:paraId="526F88B7" w14:textId="5EF17EA3"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Omicron-related infection</w:t>
            </w:r>
            <w:r>
              <w:rPr>
                <w:sz w:val="20"/>
                <w:szCs w:val="20"/>
              </w:rPr>
              <w:t>:</w:t>
            </w:r>
            <w:r>
              <w:rPr>
                <w:sz w:val="20"/>
                <w:szCs w:val="20"/>
              </w:rPr>
              <w:br/>
            </w:r>
            <w:r w:rsidRPr="00A81A64">
              <w:rPr>
                <w:sz w:val="20"/>
                <w:szCs w:val="20"/>
              </w:rPr>
              <w:t>39</w:t>
            </w:r>
            <w:r w:rsidR="0051367F">
              <w:rPr>
                <w:sz w:val="20"/>
                <w:szCs w:val="20"/>
              </w:rPr>
              <w:t>%</w:t>
            </w:r>
            <w:r w:rsidRPr="00A81A64">
              <w:rPr>
                <w:sz w:val="20"/>
                <w:szCs w:val="20"/>
              </w:rPr>
              <w:t xml:space="preserve"> (29, 46)</w:t>
            </w:r>
          </w:p>
        </w:tc>
      </w:tr>
      <w:tr w:rsidR="00E22AEA" w14:paraId="674BF862" w14:textId="77777777" w:rsidTr="0051367F">
        <w:tc>
          <w:tcPr>
            <w:cnfStyle w:val="001000000000" w:firstRow="0" w:lastRow="0" w:firstColumn="1" w:lastColumn="0" w:oddVBand="0" w:evenVBand="0" w:oddHBand="0" w:evenHBand="0" w:firstRowFirstColumn="0" w:firstRowLastColumn="0" w:lastRowFirstColumn="0" w:lastRowLastColumn="0"/>
            <w:tcW w:w="9060" w:type="dxa"/>
            <w:gridSpan w:val="4"/>
          </w:tcPr>
          <w:p w14:paraId="116192DE" w14:textId="54F652C4" w:rsidR="00E22AEA" w:rsidRPr="00A81A64" w:rsidRDefault="00E22AEA" w:rsidP="00D1197A">
            <w:pPr>
              <w:ind w:left="0"/>
            </w:pPr>
            <w:r w:rsidRPr="00A81A64">
              <w:t>Bar-On YM</w:t>
            </w:r>
            <w:r w:rsidR="0051367F">
              <w:t xml:space="preserve"> et al. (2022)</w:t>
            </w:r>
            <w:r w:rsidR="00F128A8">
              <w:rPr>
                <w:sz w:val="20"/>
              </w:rPr>
              <w:fldChar w:fldCharType="begin"/>
            </w:r>
            <w:r w:rsidR="00F128A8">
              <w:instrText xml:space="preserve"> NOTEREF _Ref138145274 \f \h </w:instrText>
            </w:r>
            <w:r w:rsidR="00F128A8">
              <w:rPr>
                <w:sz w:val="20"/>
              </w:rPr>
            </w:r>
            <w:r w:rsidR="00F128A8">
              <w:rPr>
                <w:sz w:val="20"/>
              </w:rPr>
              <w:fldChar w:fldCharType="separate"/>
            </w:r>
            <w:r w:rsidR="00237257" w:rsidRPr="00237257">
              <w:rPr>
                <w:rStyle w:val="FootnoteReference"/>
              </w:rPr>
              <w:t>12</w:t>
            </w:r>
            <w:r w:rsidR="00F128A8">
              <w:rPr>
                <w:sz w:val="20"/>
              </w:rPr>
              <w:fldChar w:fldCharType="end"/>
            </w:r>
          </w:p>
        </w:tc>
      </w:tr>
      <w:tr w:rsidR="00E22AEA" w14:paraId="5C825584"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24620BFD" w14:textId="77777777" w:rsidR="0051367F" w:rsidRDefault="0051367F" w:rsidP="00D1197A">
            <w:pPr>
              <w:ind w:left="0"/>
              <w:rPr>
                <w:sz w:val="20"/>
                <w:szCs w:val="20"/>
              </w:rPr>
            </w:pPr>
            <w:r>
              <w:rPr>
                <w:sz w:val="20"/>
                <w:szCs w:val="20"/>
              </w:rPr>
              <w:t>Adults</w:t>
            </w:r>
          </w:p>
          <w:p w14:paraId="794CED1D" w14:textId="2F53293E" w:rsidR="00E22AEA" w:rsidRPr="00A81A64" w:rsidRDefault="00E22AEA" w:rsidP="0051367F">
            <w:pPr>
              <w:ind w:left="0"/>
              <w:rPr>
                <w:sz w:val="20"/>
                <w:szCs w:val="20"/>
              </w:rPr>
            </w:pPr>
            <w:r w:rsidRPr="00A81A64">
              <w:rPr>
                <w:sz w:val="20"/>
                <w:szCs w:val="20"/>
              </w:rPr>
              <w:t>Israeli Ministry of Health data</w:t>
            </w:r>
          </w:p>
        </w:tc>
        <w:tc>
          <w:tcPr>
            <w:tcW w:w="1080" w:type="dxa"/>
          </w:tcPr>
          <w:p w14:paraId="17315FC2" w14:textId="4ED7118B"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623355</w:t>
            </w:r>
          </w:p>
        </w:tc>
        <w:tc>
          <w:tcPr>
            <w:tcW w:w="2430" w:type="dxa"/>
          </w:tcPr>
          <w:p w14:paraId="5C335072" w14:textId="65A1B64A"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10</w:t>
            </w:r>
            <w:r>
              <w:rPr>
                <w:sz w:val="20"/>
                <w:szCs w:val="20"/>
              </w:rPr>
              <w:t xml:space="preserve"> January </w:t>
            </w:r>
            <w:r w:rsidRPr="00A81A64">
              <w:rPr>
                <w:sz w:val="20"/>
                <w:szCs w:val="20"/>
              </w:rPr>
              <w:t>2022 to 2</w:t>
            </w:r>
            <w:r w:rsidR="0051367F">
              <w:rPr>
                <w:sz w:val="20"/>
                <w:szCs w:val="20"/>
              </w:rPr>
              <w:t> </w:t>
            </w:r>
            <w:r>
              <w:rPr>
                <w:sz w:val="20"/>
                <w:szCs w:val="20"/>
              </w:rPr>
              <w:t xml:space="preserve">March </w:t>
            </w:r>
            <w:r w:rsidRPr="00A81A64">
              <w:rPr>
                <w:sz w:val="20"/>
                <w:szCs w:val="20"/>
              </w:rPr>
              <w:t>2022 (infection) or 18</w:t>
            </w:r>
            <w:r>
              <w:rPr>
                <w:sz w:val="20"/>
                <w:szCs w:val="20"/>
              </w:rPr>
              <w:t xml:space="preserve"> February </w:t>
            </w:r>
            <w:r w:rsidRPr="00A81A64">
              <w:rPr>
                <w:sz w:val="20"/>
                <w:szCs w:val="20"/>
              </w:rPr>
              <w:t>2022 (severe illness)</w:t>
            </w:r>
          </w:p>
        </w:tc>
        <w:tc>
          <w:tcPr>
            <w:tcW w:w="2675" w:type="dxa"/>
          </w:tcPr>
          <w:p w14:paraId="11164D98" w14:textId="778AEF21" w:rsidR="0051367F" w:rsidRDefault="0051367F" w:rsidP="0051367F">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SARS-CoV-2 infection:</w:t>
            </w:r>
            <w:r>
              <w:rPr>
                <w:sz w:val="20"/>
                <w:szCs w:val="20"/>
              </w:rPr>
              <w:br/>
            </w:r>
            <w:r w:rsidRPr="00A81A64">
              <w:rPr>
                <w:sz w:val="20"/>
                <w:szCs w:val="20"/>
              </w:rPr>
              <w:t>50</w:t>
            </w:r>
            <w:r>
              <w:rPr>
                <w:sz w:val="20"/>
                <w:szCs w:val="20"/>
              </w:rPr>
              <w:t>%</w:t>
            </w:r>
            <w:r w:rsidRPr="00A81A64">
              <w:rPr>
                <w:sz w:val="20"/>
                <w:szCs w:val="20"/>
              </w:rPr>
              <w:t xml:space="preserve"> (47, 52)</w:t>
            </w:r>
          </w:p>
          <w:p w14:paraId="37A1FD61" w14:textId="549F8C09" w:rsidR="00E22AEA" w:rsidRPr="00A81A64" w:rsidRDefault="0051367F" w:rsidP="0051367F">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t>
            </w:r>
            <w:r w:rsidR="00E22AEA" w:rsidRPr="00A81A64">
              <w:rPr>
                <w:sz w:val="20"/>
                <w:szCs w:val="20"/>
              </w:rPr>
              <w:t>evere COVID-19</w:t>
            </w:r>
            <w:r>
              <w:rPr>
                <w:sz w:val="20"/>
                <w:szCs w:val="20"/>
              </w:rPr>
              <w:t>:</w:t>
            </w:r>
            <w:r>
              <w:rPr>
                <w:sz w:val="20"/>
                <w:szCs w:val="20"/>
              </w:rPr>
              <w:br/>
            </w:r>
            <w:r w:rsidRPr="00A81A64">
              <w:rPr>
                <w:sz w:val="20"/>
                <w:szCs w:val="20"/>
              </w:rPr>
              <w:t>71</w:t>
            </w:r>
            <w:r>
              <w:rPr>
                <w:sz w:val="20"/>
                <w:szCs w:val="20"/>
              </w:rPr>
              <w:t>%</w:t>
            </w:r>
            <w:r w:rsidRPr="00A81A64">
              <w:rPr>
                <w:sz w:val="20"/>
                <w:szCs w:val="20"/>
              </w:rPr>
              <w:t xml:space="preserve"> (63, 78)</w:t>
            </w:r>
          </w:p>
        </w:tc>
      </w:tr>
      <w:tr w:rsidR="00E22AEA" w14:paraId="54B59F53" w14:textId="77777777" w:rsidTr="0051367F">
        <w:tc>
          <w:tcPr>
            <w:cnfStyle w:val="001000000000" w:firstRow="0" w:lastRow="0" w:firstColumn="1" w:lastColumn="0" w:oddVBand="0" w:evenVBand="0" w:oddHBand="0" w:evenHBand="0" w:firstRowFirstColumn="0" w:firstRowLastColumn="0" w:lastRowFirstColumn="0" w:lastRowLastColumn="0"/>
            <w:tcW w:w="9060" w:type="dxa"/>
            <w:gridSpan w:val="4"/>
          </w:tcPr>
          <w:p w14:paraId="4E094555" w14:textId="7C41695D" w:rsidR="00E22AEA" w:rsidRPr="00A81A64" w:rsidRDefault="00E22AEA" w:rsidP="0051367F">
            <w:pPr>
              <w:ind w:left="0"/>
              <w:rPr>
                <w:sz w:val="20"/>
              </w:rPr>
            </w:pPr>
            <w:r w:rsidRPr="00A81A64">
              <w:rPr>
                <w:sz w:val="20"/>
                <w:szCs w:val="20"/>
              </w:rPr>
              <w:t>Magen O</w:t>
            </w:r>
            <w:r w:rsidR="00D1197A">
              <w:rPr>
                <w:sz w:val="20"/>
                <w:szCs w:val="20"/>
              </w:rPr>
              <w:t xml:space="preserve"> et al (2022)</w:t>
            </w:r>
            <w:r w:rsidR="00F128A8">
              <w:rPr>
                <w:sz w:val="20"/>
              </w:rPr>
              <w:fldChar w:fldCharType="begin"/>
            </w:r>
            <w:r w:rsidR="00F128A8">
              <w:rPr>
                <w:sz w:val="20"/>
                <w:szCs w:val="20"/>
              </w:rPr>
              <w:instrText xml:space="preserve"> NOTEREF _Ref138145281 \f \h </w:instrText>
            </w:r>
            <w:r w:rsidR="00F128A8">
              <w:rPr>
                <w:sz w:val="20"/>
              </w:rPr>
            </w:r>
            <w:r w:rsidR="00F128A8">
              <w:rPr>
                <w:sz w:val="20"/>
              </w:rPr>
              <w:fldChar w:fldCharType="separate"/>
            </w:r>
            <w:r w:rsidR="00237257" w:rsidRPr="00237257">
              <w:rPr>
                <w:rStyle w:val="FootnoteReference"/>
              </w:rPr>
              <w:t>13</w:t>
            </w:r>
            <w:r w:rsidR="00F128A8">
              <w:rPr>
                <w:sz w:val="20"/>
              </w:rPr>
              <w:fldChar w:fldCharType="end"/>
            </w:r>
          </w:p>
        </w:tc>
      </w:tr>
      <w:tr w:rsidR="00E22AEA" w14:paraId="1CF749AA"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0AE65475" w14:textId="77777777" w:rsidR="0051367F" w:rsidRDefault="0051367F" w:rsidP="00D1197A">
            <w:pPr>
              <w:ind w:left="0"/>
              <w:rPr>
                <w:sz w:val="20"/>
                <w:szCs w:val="20"/>
              </w:rPr>
            </w:pPr>
            <w:r>
              <w:rPr>
                <w:sz w:val="20"/>
                <w:szCs w:val="20"/>
              </w:rPr>
              <w:lastRenderedPageBreak/>
              <w:t>Adults</w:t>
            </w:r>
          </w:p>
          <w:p w14:paraId="538CD370" w14:textId="20177216" w:rsidR="00D1197A" w:rsidRDefault="00E22AEA" w:rsidP="0051367F">
            <w:pPr>
              <w:ind w:left="0"/>
              <w:rPr>
                <w:sz w:val="20"/>
                <w:szCs w:val="20"/>
              </w:rPr>
            </w:pPr>
            <w:r w:rsidRPr="00A81A64">
              <w:rPr>
                <w:sz w:val="20"/>
                <w:szCs w:val="20"/>
              </w:rPr>
              <w:t xml:space="preserve">60 </w:t>
            </w:r>
            <w:r>
              <w:rPr>
                <w:sz w:val="20"/>
                <w:szCs w:val="20"/>
              </w:rPr>
              <w:t>years of age or older</w:t>
            </w:r>
          </w:p>
          <w:p w14:paraId="3E808544" w14:textId="317101BB" w:rsidR="00D1197A" w:rsidRDefault="00D1197A" w:rsidP="0051367F">
            <w:pPr>
              <w:ind w:left="0"/>
              <w:rPr>
                <w:sz w:val="20"/>
                <w:szCs w:val="20"/>
              </w:rPr>
            </w:pPr>
            <w:r>
              <w:rPr>
                <w:sz w:val="20"/>
                <w:szCs w:val="20"/>
              </w:rPr>
              <w:t>N</w:t>
            </w:r>
            <w:r w:rsidRPr="00A81A64">
              <w:rPr>
                <w:sz w:val="20"/>
                <w:szCs w:val="20"/>
              </w:rPr>
              <w:t>o prior SARS-CoV-2 infection</w:t>
            </w:r>
          </w:p>
          <w:p w14:paraId="17E12ACE" w14:textId="017D7DAF" w:rsidR="00E22AEA" w:rsidRPr="00A81A64" w:rsidRDefault="00D1197A" w:rsidP="00D1197A">
            <w:pPr>
              <w:ind w:left="0"/>
              <w:rPr>
                <w:sz w:val="20"/>
                <w:szCs w:val="20"/>
              </w:rPr>
            </w:pPr>
            <w:r>
              <w:rPr>
                <w:sz w:val="20"/>
                <w:szCs w:val="20"/>
              </w:rPr>
              <w:t>Captures around 52% Israel population</w:t>
            </w:r>
            <w:r w:rsidR="00E22AEA" w:rsidRPr="00A81A64">
              <w:rPr>
                <w:sz w:val="20"/>
                <w:szCs w:val="20"/>
              </w:rPr>
              <w:t xml:space="preserve"> </w:t>
            </w:r>
          </w:p>
        </w:tc>
        <w:tc>
          <w:tcPr>
            <w:tcW w:w="1080" w:type="dxa"/>
          </w:tcPr>
          <w:p w14:paraId="3433D18A" w14:textId="73EFBED5"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182122</w:t>
            </w:r>
          </w:p>
        </w:tc>
        <w:tc>
          <w:tcPr>
            <w:tcW w:w="2430" w:type="dxa"/>
          </w:tcPr>
          <w:p w14:paraId="42FA7785" w14:textId="1A2BE750"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3</w:t>
            </w:r>
            <w:r>
              <w:rPr>
                <w:sz w:val="20"/>
                <w:szCs w:val="20"/>
              </w:rPr>
              <w:t xml:space="preserve"> January </w:t>
            </w:r>
            <w:r w:rsidRPr="00A81A64">
              <w:rPr>
                <w:sz w:val="20"/>
                <w:szCs w:val="20"/>
              </w:rPr>
              <w:t>2022 to 18</w:t>
            </w:r>
            <w:r w:rsidR="0051367F">
              <w:rPr>
                <w:sz w:val="20"/>
                <w:szCs w:val="20"/>
              </w:rPr>
              <w:t> </w:t>
            </w:r>
            <w:r>
              <w:rPr>
                <w:sz w:val="20"/>
                <w:szCs w:val="20"/>
              </w:rPr>
              <w:t xml:space="preserve">February </w:t>
            </w:r>
            <w:r w:rsidRPr="00A81A64">
              <w:rPr>
                <w:sz w:val="20"/>
                <w:szCs w:val="20"/>
              </w:rPr>
              <w:t>2022</w:t>
            </w:r>
          </w:p>
        </w:tc>
        <w:tc>
          <w:tcPr>
            <w:tcW w:w="2675" w:type="dxa"/>
          </w:tcPr>
          <w:p w14:paraId="6CF6159E" w14:textId="52B5B760" w:rsidR="0051367F" w:rsidRDefault="00D1197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SARS-CoV-2 infection:</w:t>
            </w:r>
            <w:r>
              <w:rPr>
                <w:sz w:val="20"/>
                <w:szCs w:val="20"/>
              </w:rPr>
              <w:br/>
            </w:r>
            <w:r w:rsidR="0051367F">
              <w:rPr>
                <w:sz w:val="20"/>
                <w:szCs w:val="20"/>
              </w:rPr>
              <w:t>45</w:t>
            </w:r>
            <w:r>
              <w:rPr>
                <w:sz w:val="20"/>
                <w:szCs w:val="20"/>
              </w:rPr>
              <w:t>%</w:t>
            </w:r>
            <w:r w:rsidR="0051367F">
              <w:rPr>
                <w:sz w:val="20"/>
                <w:szCs w:val="20"/>
              </w:rPr>
              <w:t xml:space="preserve"> (44, 47)</w:t>
            </w:r>
          </w:p>
          <w:p w14:paraId="56C3C90C" w14:textId="77777777" w:rsidR="00D1197A" w:rsidRDefault="00D1197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COVID-19:</w:t>
            </w:r>
            <w:r w:rsidR="00E22AEA" w:rsidRPr="00A81A64">
              <w:rPr>
                <w:sz w:val="20"/>
                <w:szCs w:val="20"/>
              </w:rPr>
              <w:t xml:space="preserve"> </w:t>
            </w:r>
            <w:r w:rsidR="0051367F" w:rsidRPr="00A81A64">
              <w:rPr>
                <w:sz w:val="20"/>
                <w:szCs w:val="20"/>
              </w:rPr>
              <w:t>55</w:t>
            </w:r>
            <w:r>
              <w:rPr>
                <w:sz w:val="20"/>
                <w:szCs w:val="20"/>
              </w:rPr>
              <w:t>% (53, 58)</w:t>
            </w:r>
          </w:p>
          <w:p w14:paraId="57F7A496" w14:textId="6549D19E" w:rsidR="00D1197A" w:rsidRDefault="00D1197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Hospitalisation:</w:t>
            </w:r>
            <w:r>
              <w:rPr>
                <w:sz w:val="20"/>
                <w:szCs w:val="20"/>
              </w:rPr>
              <w:br/>
            </w:r>
            <w:r w:rsidRPr="00A81A64">
              <w:rPr>
                <w:sz w:val="20"/>
                <w:szCs w:val="20"/>
              </w:rPr>
              <w:t>68</w:t>
            </w:r>
            <w:r>
              <w:rPr>
                <w:sz w:val="20"/>
                <w:szCs w:val="20"/>
              </w:rPr>
              <w:t>%</w:t>
            </w:r>
            <w:r w:rsidRPr="00A81A64">
              <w:rPr>
                <w:sz w:val="20"/>
                <w:szCs w:val="20"/>
              </w:rPr>
              <w:t xml:space="preserve"> (59, 74)</w:t>
            </w:r>
          </w:p>
          <w:p w14:paraId="4E7E0D1E" w14:textId="2B9AECC4" w:rsidR="00D1197A" w:rsidRDefault="00D1197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t>
            </w:r>
            <w:r w:rsidR="00E22AEA" w:rsidRPr="00A81A64">
              <w:rPr>
                <w:sz w:val="20"/>
                <w:szCs w:val="20"/>
              </w:rPr>
              <w:t xml:space="preserve">evere illness; </w:t>
            </w:r>
            <w:r w:rsidRPr="00A81A64">
              <w:rPr>
                <w:sz w:val="20"/>
                <w:szCs w:val="20"/>
              </w:rPr>
              <w:t>62</w:t>
            </w:r>
            <w:r>
              <w:rPr>
                <w:sz w:val="20"/>
                <w:szCs w:val="20"/>
              </w:rPr>
              <w:t>%</w:t>
            </w:r>
            <w:r w:rsidRPr="00A81A64">
              <w:rPr>
                <w:sz w:val="20"/>
                <w:szCs w:val="20"/>
              </w:rPr>
              <w:t xml:space="preserve"> (50, 74</w:t>
            </w:r>
            <w:r>
              <w:rPr>
                <w:sz w:val="20"/>
                <w:szCs w:val="20"/>
              </w:rPr>
              <w:t>)</w:t>
            </w:r>
          </w:p>
          <w:p w14:paraId="1DC801BC" w14:textId="6A0D1809" w:rsidR="00E22AEA" w:rsidRPr="00A81A64" w:rsidRDefault="00D1197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E22AEA" w:rsidRPr="00A81A64">
              <w:rPr>
                <w:sz w:val="20"/>
                <w:szCs w:val="20"/>
              </w:rPr>
              <w:t>eath</w:t>
            </w:r>
            <w:r w:rsidR="0051367F">
              <w:rPr>
                <w:sz w:val="20"/>
                <w:szCs w:val="20"/>
              </w:rPr>
              <w:t xml:space="preserve">: </w:t>
            </w:r>
            <w:r w:rsidR="0051367F" w:rsidRPr="00A81A64">
              <w:rPr>
                <w:sz w:val="20"/>
                <w:szCs w:val="20"/>
              </w:rPr>
              <w:t>74</w:t>
            </w:r>
            <w:r>
              <w:rPr>
                <w:sz w:val="20"/>
                <w:szCs w:val="20"/>
              </w:rPr>
              <w:t>%</w:t>
            </w:r>
            <w:r w:rsidR="0051367F" w:rsidRPr="00A81A64">
              <w:rPr>
                <w:sz w:val="20"/>
                <w:szCs w:val="20"/>
              </w:rPr>
              <w:t xml:space="preserve"> (50, 90)</w:t>
            </w:r>
          </w:p>
        </w:tc>
      </w:tr>
      <w:tr w:rsidR="0051367F" w14:paraId="00633596" w14:textId="77777777" w:rsidTr="0051367F">
        <w:tc>
          <w:tcPr>
            <w:cnfStyle w:val="001000000000" w:firstRow="0" w:lastRow="0" w:firstColumn="1" w:lastColumn="0" w:oddVBand="0" w:evenVBand="0" w:oddHBand="0" w:evenHBand="0" w:firstRowFirstColumn="0" w:firstRowLastColumn="0" w:lastRowFirstColumn="0" w:lastRowLastColumn="0"/>
            <w:tcW w:w="9060" w:type="dxa"/>
            <w:gridSpan w:val="4"/>
          </w:tcPr>
          <w:p w14:paraId="1FF47618" w14:textId="20C4D0DF" w:rsidR="0051367F" w:rsidRPr="00A81A64" w:rsidRDefault="0051367F" w:rsidP="00D1197A">
            <w:pPr>
              <w:ind w:left="0"/>
              <w:rPr>
                <w:sz w:val="20"/>
              </w:rPr>
            </w:pPr>
            <w:proofErr w:type="spellStart"/>
            <w:r w:rsidRPr="00A81A64">
              <w:rPr>
                <w:sz w:val="20"/>
                <w:szCs w:val="20"/>
              </w:rPr>
              <w:t>Arbel</w:t>
            </w:r>
            <w:proofErr w:type="spellEnd"/>
            <w:r w:rsidRPr="00A81A64">
              <w:rPr>
                <w:sz w:val="20"/>
                <w:szCs w:val="20"/>
              </w:rPr>
              <w:t xml:space="preserve"> R</w:t>
            </w:r>
            <w:r w:rsidR="00D1197A">
              <w:rPr>
                <w:sz w:val="20"/>
                <w:szCs w:val="20"/>
              </w:rPr>
              <w:t xml:space="preserve"> et al. (2022)</w:t>
            </w:r>
            <w:r>
              <w:rPr>
                <w:rStyle w:val="FootnoteReference"/>
                <w:sz w:val="20"/>
                <w:szCs w:val="20"/>
              </w:rPr>
              <w:footnoteReference w:id="21"/>
            </w:r>
          </w:p>
        </w:tc>
      </w:tr>
      <w:tr w:rsidR="00E22AEA" w14:paraId="6E27F225"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3AABCD57" w14:textId="77777777" w:rsidR="0051367F" w:rsidRDefault="0051367F" w:rsidP="00D1197A">
            <w:pPr>
              <w:ind w:left="0"/>
              <w:rPr>
                <w:sz w:val="20"/>
                <w:szCs w:val="20"/>
              </w:rPr>
            </w:pPr>
            <w:r>
              <w:rPr>
                <w:sz w:val="20"/>
                <w:szCs w:val="20"/>
              </w:rPr>
              <w:t>Adults</w:t>
            </w:r>
          </w:p>
          <w:p w14:paraId="55398C71" w14:textId="77777777" w:rsidR="00D1197A" w:rsidRDefault="0051367F" w:rsidP="00D1197A">
            <w:pPr>
              <w:ind w:left="0"/>
              <w:rPr>
                <w:sz w:val="20"/>
                <w:szCs w:val="20"/>
              </w:rPr>
            </w:pPr>
            <w:r>
              <w:rPr>
                <w:sz w:val="20"/>
                <w:szCs w:val="20"/>
              </w:rPr>
              <w:t xml:space="preserve">60 to </w:t>
            </w:r>
            <w:r w:rsidR="00E22AEA" w:rsidRPr="00A81A64">
              <w:rPr>
                <w:sz w:val="20"/>
                <w:szCs w:val="20"/>
              </w:rPr>
              <w:t xml:space="preserve">100 </w:t>
            </w:r>
            <w:r w:rsidR="00E22AEA">
              <w:rPr>
                <w:sz w:val="20"/>
                <w:szCs w:val="20"/>
              </w:rPr>
              <w:t>years of age</w:t>
            </w:r>
          </w:p>
          <w:p w14:paraId="497D63F8" w14:textId="77777777" w:rsidR="00D1197A" w:rsidRDefault="00D1197A" w:rsidP="00D1197A">
            <w:pPr>
              <w:ind w:left="0"/>
              <w:rPr>
                <w:sz w:val="20"/>
                <w:szCs w:val="20"/>
              </w:rPr>
            </w:pPr>
            <w:r>
              <w:rPr>
                <w:sz w:val="20"/>
                <w:szCs w:val="20"/>
              </w:rPr>
              <w:t>N</w:t>
            </w:r>
            <w:r w:rsidR="00E22AEA" w:rsidRPr="00A81A64">
              <w:rPr>
                <w:sz w:val="20"/>
                <w:szCs w:val="20"/>
              </w:rPr>
              <w:t>o known prior SARS-CoV-2 infectio</w:t>
            </w:r>
            <w:r>
              <w:rPr>
                <w:sz w:val="20"/>
                <w:szCs w:val="20"/>
              </w:rPr>
              <w:t>n</w:t>
            </w:r>
          </w:p>
          <w:p w14:paraId="68DA9787" w14:textId="697777BE" w:rsidR="00E22AEA" w:rsidRPr="00A81A64" w:rsidRDefault="00D1197A" w:rsidP="00D1197A">
            <w:pPr>
              <w:ind w:left="0"/>
              <w:rPr>
                <w:sz w:val="20"/>
                <w:szCs w:val="20"/>
              </w:rPr>
            </w:pPr>
            <w:r>
              <w:rPr>
                <w:sz w:val="20"/>
                <w:szCs w:val="20"/>
              </w:rPr>
              <w:t>Captures around 67% older Israel population</w:t>
            </w:r>
          </w:p>
        </w:tc>
        <w:tc>
          <w:tcPr>
            <w:tcW w:w="1080" w:type="dxa"/>
          </w:tcPr>
          <w:p w14:paraId="24F3FE58" w14:textId="1AA453E3"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328597</w:t>
            </w:r>
          </w:p>
        </w:tc>
        <w:tc>
          <w:tcPr>
            <w:tcW w:w="2430" w:type="dxa"/>
          </w:tcPr>
          <w:p w14:paraId="3F7149D0" w14:textId="6C10DCB6"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10</w:t>
            </w:r>
            <w:r>
              <w:rPr>
                <w:sz w:val="20"/>
                <w:szCs w:val="20"/>
              </w:rPr>
              <w:t xml:space="preserve"> January </w:t>
            </w:r>
            <w:r w:rsidRPr="00A81A64">
              <w:rPr>
                <w:sz w:val="20"/>
                <w:szCs w:val="20"/>
              </w:rPr>
              <w:t>2022 to 20</w:t>
            </w:r>
            <w:r w:rsidR="0051367F">
              <w:rPr>
                <w:sz w:val="20"/>
                <w:szCs w:val="20"/>
              </w:rPr>
              <w:t> </w:t>
            </w:r>
            <w:r>
              <w:rPr>
                <w:sz w:val="20"/>
                <w:szCs w:val="20"/>
              </w:rPr>
              <w:t xml:space="preserve">February </w:t>
            </w:r>
            <w:r w:rsidRPr="00A81A64">
              <w:rPr>
                <w:sz w:val="20"/>
                <w:szCs w:val="20"/>
              </w:rPr>
              <w:t>2022</w:t>
            </w:r>
          </w:p>
        </w:tc>
        <w:tc>
          <w:tcPr>
            <w:tcW w:w="2675" w:type="dxa"/>
          </w:tcPr>
          <w:p w14:paraId="2F7791E1" w14:textId="53EEFDAD" w:rsidR="0051367F" w:rsidRDefault="0051367F"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E22AEA" w:rsidRPr="00A81A64">
              <w:rPr>
                <w:sz w:val="20"/>
                <w:szCs w:val="20"/>
              </w:rPr>
              <w:t>eath</w:t>
            </w:r>
            <w:r>
              <w:rPr>
                <w:sz w:val="20"/>
                <w:szCs w:val="20"/>
              </w:rPr>
              <w:t xml:space="preserve">: </w:t>
            </w:r>
            <w:r w:rsidRPr="00A81A64">
              <w:rPr>
                <w:sz w:val="20"/>
                <w:szCs w:val="20"/>
              </w:rPr>
              <w:t>78</w:t>
            </w:r>
            <w:r w:rsidR="00D1197A">
              <w:rPr>
                <w:sz w:val="20"/>
                <w:szCs w:val="20"/>
              </w:rPr>
              <w:t>%</w:t>
            </w:r>
            <w:r w:rsidRPr="00A81A64">
              <w:rPr>
                <w:sz w:val="20"/>
                <w:szCs w:val="20"/>
              </w:rPr>
              <w:t xml:space="preserve"> (72, 83</w:t>
            </w:r>
            <w:proofErr w:type="gramStart"/>
            <w:r w:rsidRPr="00A81A64">
              <w:rPr>
                <w:sz w:val="20"/>
                <w:szCs w:val="20"/>
              </w:rPr>
              <w:t>)</w:t>
            </w:r>
            <w:r>
              <w:rPr>
                <w:sz w:val="20"/>
                <w:szCs w:val="20"/>
              </w:rPr>
              <w:t>;</w:t>
            </w:r>
            <w:proofErr w:type="gramEnd"/>
          </w:p>
          <w:p w14:paraId="78299437" w14:textId="496AE8DB" w:rsidR="00E22AEA" w:rsidRPr="00A81A64" w:rsidRDefault="0051367F" w:rsidP="0051367F">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w:t>
            </w:r>
            <w:r w:rsidR="00E22AEA" w:rsidRPr="00A81A64">
              <w:rPr>
                <w:sz w:val="20"/>
                <w:szCs w:val="20"/>
              </w:rPr>
              <w:t>ospitalisation</w:t>
            </w:r>
            <w:r>
              <w:rPr>
                <w:sz w:val="20"/>
                <w:szCs w:val="20"/>
              </w:rPr>
              <w:t>s:</w:t>
            </w:r>
            <w:r w:rsidR="00D1197A">
              <w:rPr>
                <w:sz w:val="20"/>
                <w:szCs w:val="20"/>
              </w:rPr>
              <w:br/>
            </w:r>
            <w:r w:rsidRPr="00A81A64">
              <w:rPr>
                <w:sz w:val="20"/>
                <w:szCs w:val="20"/>
              </w:rPr>
              <w:t>64</w:t>
            </w:r>
            <w:r w:rsidR="00D1197A">
              <w:rPr>
                <w:sz w:val="20"/>
                <w:szCs w:val="20"/>
              </w:rPr>
              <w:t>%</w:t>
            </w:r>
            <w:r w:rsidRPr="00A81A64">
              <w:rPr>
                <w:sz w:val="20"/>
                <w:szCs w:val="20"/>
              </w:rPr>
              <w:t xml:space="preserve"> (57, 69)</w:t>
            </w:r>
          </w:p>
        </w:tc>
      </w:tr>
      <w:tr w:rsidR="00D1197A" w14:paraId="0E0A7304" w14:textId="77777777" w:rsidTr="00C47F1C">
        <w:tc>
          <w:tcPr>
            <w:cnfStyle w:val="001000000000" w:firstRow="0" w:lastRow="0" w:firstColumn="1" w:lastColumn="0" w:oddVBand="0" w:evenVBand="0" w:oddHBand="0" w:evenHBand="0" w:firstRowFirstColumn="0" w:firstRowLastColumn="0" w:lastRowFirstColumn="0" w:lastRowLastColumn="0"/>
            <w:tcW w:w="9060" w:type="dxa"/>
            <w:gridSpan w:val="4"/>
          </w:tcPr>
          <w:p w14:paraId="3BB446BC" w14:textId="6202E2B8" w:rsidR="00D1197A" w:rsidRPr="00A81A64" w:rsidRDefault="00D1197A" w:rsidP="00F32401">
            <w:pPr>
              <w:ind w:left="0"/>
              <w:rPr>
                <w:sz w:val="20"/>
              </w:rPr>
            </w:pPr>
            <w:r w:rsidRPr="00A81A64">
              <w:rPr>
                <w:sz w:val="20"/>
                <w:szCs w:val="20"/>
              </w:rPr>
              <w:t>Gazit S</w:t>
            </w:r>
            <w:r>
              <w:rPr>
                <w:sz w:val="20"/>
                <w:szCs w:val="20"/>
              </w:rPr>
              <w:t xml:space="preserve"> et al (2022)</w:t>
            </w:r>
            <w:r>
              <w:rPr>
                <w:rStyle w:val="FootnoteReference"/>
                <w:sz w:val="20"/>
                <w:szCs w:val="20"/>
              </w:rPr>
              <w:footnoteReference w:id="22"/>
            </w:r>
          </w:p>
        </w:tc>
      </w:tr>
      <w:tr w:rsidR="00E22AEA" w14:paraId="719DC7ED"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28ACAE74" w14:textId="77777777" w:rsidR="00D1197A" w:rsidRDefault="00D1197A" w:rsidP="00D1197A">
            <w:pPr>
              <w:ind w:left="0"/>
              <w:rPr>
                <w:sz w:val="20"/>
                <w:szCs w:val="20"/>
              </w:rPr>
            </w:pPr>
            <w:r>
              <w:rPr>
                <w:sz w:val="20"/>
                <w:szCs w:val="20"/>
              </w:rPr>
              <w:t>Adults</w:t>
            </w:r>
          </w:p>
          <w:p w14:paraId="65354868" w14:textId="77777777" w:rsidR="00D1197A" w:rsidRDefault="00E22AEA" w:rsidP="00D1197A">
            <w:pPr>
              <w:ind w:left="0"/>
              <w:rPr>
                <w:sz w:val="20"/>
                <w:szCs w:val="20"/>
              </w:rPr>
            </w:pPr>
            <w:r w:rsidRPr="00A81A64">
              <w:rPr>
                <w:sz w:val="20"/>
                <w:szCs w:val="20"/>
              </w:rPr>
              <w:t xml:space="preserve">60 </w:t>
            </w:r>
            <w:r>
              <w:rPr>
                <w:sz w:val="20"/>
                <w:szCs w:val="20"/>
              </w:rPr>
              <w:t>years of age or older</w:t>
            </w:r>
          </w:p>
          <w:p w14:paraId="3A12521F" w14:textId="413FBDC6" w:rsidR="00E22AEA" w:rsidRPr="00A81A64" w:rsidRDefault="00D1197A" w:rsidP="00D1197A">
            <w:pPr>
              <w:ind w:left="0"/>
              <w:rPr>
                <w:sz w:val="20"/>
                <w:szCs w:val="20"/>
              </w:rPr>
            </w:pPr>
            <w:r>
              <w:rPr>
                <w:sz w:val="20"/>
                <w:szCs w:val="20"/>
              </w:rPr>
              <w:t>Captures around 26.7% of population Israel</w:t>
            </w:r>
          </w:p>
        </w:tc>
        <w:tc>
          <w:tcPr>
            <w:tcW w:w="1080" w:type="dxa"/>
          </w:tcPr>
          <w:p w14:paraId="6BE53CE3" w14:textId="178923A2"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27876</w:t>
            </w:r>
          </w:p>
        </w:tc>
        <w:tc>
          <w:tcPr>
            <w:tcW w:w="2430" w:type="dxa"/>
          </w:tcPr>
          <w:p w14:paraId="545DB132" w14:textId="2E059B2F"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10</w:t>
            </w:r>
            <w:r>
              <w:rPr>
                <w:sz w:val="20"/>
                <w:szCs w:val="20"/>
              </w:rPr>
              <w:t xml:space="preserve"> January </w:t>
            </w:r>
            <w:r w:rsidRPr="00A81A64">
              <w:rPr>
                <w:sz w:val="20"/>
                <w:szCs w:val="20"/>
              </w:rPr>
              <w:t>2022 to 13</w:t>
            </w:r>
            <w:r w:rsidR="00D1197A">
              <w:rPr>
                <w:sz w:val="20"/>
                <w:szCs w:val="20"/>
              </w:rPr>
              <w:t> </w:t>
            </w:r>
            <w:r>
              <w:rPr>
                <w:sz w:val="20"/>
                <w:szCs w:val="20"/>
              </w:rPr>
              <w:t xml:space="preserve">March </w:t>
            </w:r>
            <w:r w:rsidRPr="00A81A64">
              <w:rPr>
                <w:sz w:val="20"/>
                <w:szCs w:val="20"/>
              </w:rPr>
              <w:t>2022</w:t>
            </w:r>
          </w:p>
        </w:tc>
        <w:tc>
          <w:tcPr>
            <w:tcW w:w="2675" w:type="dxa"/>
          </w:tcPr>
          <w:p w14:paraId="6FF2808C" w14:textId="77777777" w:rsidR="00D1197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 xml:space="preserve">65.1 (63.0, 67.1) SARS-CoV-2 infection in </w:t>
            </w:r>
            <w:r>
              <w:rPr>
                <w:sz w:val="20"/>
                <w:szCs w:val="20"/>
              </w:rPr>
              <w:t xml:space="preserve">third </w:t>
            </w:r>
            <w:r w:rsidR="00D1197A">
              <w:rPr>
                <w:sz w:val="20"/>
                <w:szCs w:val="20"/>
              </w:rPr>
              <w:t>week post-</w:t>
            </w:r>
            <w:proofErr w:type="gramStart"/>
            <w:r w:rsidR="00D1197A">
              <w:rPr>
                <w:sz w:val="20"/>
                <w:szCs w:val="20"/>
              </w:rPr>
              <w:t>vaccine;</w:t>
            </w:r>
            <w:proofErr w:type="gramEnd"/>
          </w:p>
          <w:p w14:paraId="7F922E09" w14:textId="77777777" w:rsidR="00D1197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22 (4.9, 36.1) by end of 10t</w:t>
            </w:r>
            <w:r w:rsidR="00D1197A">
              <w:rPr>
                <w:sz w:val="20"/>
                <w:szCs w:val="20"/>
              </w:rPr>
              <w:t xml:space="preserve">h </w:t>
            </w:r>
            <w:proofErr w:type="gramStart"/>
            <w:r w:rsidR="00D1197A">
              <w:rPr>
                <w:sz w:val="20"/>
                <w:szCs w:val="20"/>
              </w:rPr>
              <w:t>week;</w:t>
            </w:r>
            <w:proofErr w:type="gramEnd"/>
          </w:p>
          <w:p w14:paraId="2963B830" w14:textId="21B0329B"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86.5 (63.4, 95.0) severe illness between 6th and 9th weeks</w:t>
            </w:r>
          </w:p>
        </w:tc>
      </w:tr>
      <w:tr w:rsidR="00D1197A" w14:paraId="532D2699" w14:textId="77777777" w:rsidTr="00233DD3">
        <w:tc>
          <w:tcPr>
            <w:cnfStyle w:val="001000000000" w:firstRow="0" w:lastRow="0" w:firstColumn="1" w:lastColumn="0" w:oddVBand="0" w:evenVBand="0" w:oddHBand="0" w:evenHBand="0" w:firstRowFirstColumn="0" w:firstRowLastColumn="0" w:lastRowFirstColumn="0" w:lastRowLastColumn="0"/>
            <w:tcW w:w="9060" w:type="dxa"/>
            <w:gridSpan w:val="4"/>
          </w:tcPr>
          <w:p w14:paraId="4B77EF89" w14:textId="6C228B4D" w:rsidR="00D1197A" w:rsidRPr="00A81A64" w:rsidRDefault="00D1197A" w:rsidP="00F32401">
            <w:pPr>
              <w:ind w:left="0"/>
              <w:rPr>
                <w:sz w:val="20"/>
              </w:rPr>
            </w:pPr>
            <w:proofErr w:type="spellStart"/>
            <w:r w:rsidRPr="00A81A64">
              <w:rPr>
                <w:sz w:val="20"/>
                <w:szCs w:val="20"/>
              </w:rPr>
              <w:t>Muhsen</w:t>
            </w:r>
            <w:proofErr w:type="spellEnd"/>
            <w:r w:rsidRPr="00A81A64">
              <w:rPr>
                <w:sz w:val="20"/>
                <w:szCs w:val="20"/>
              </w:rPr>
              <w:t xml:space="preserve"> K</w:t>
            </w:r>
            <w:r>
              <w:rPr>
                <w:sz w:val="20"/>
                <w:szCs w:val="20"/>
              </w:rPr>
              <w:t xml:space="preserve"> et al (2022)</w:t>
            </w:r>
            <w:r>
              <w:rPr>
                <w:rStyle w:val="FootnoteReference"/>
                <w:sz w:val="20"/>
                <w:szCs w:val="20"/>
              </w:rPr>
              <w:footnoteReference w:id="23"/>
            </w:r>
          </w:p>
        </w:tc>
      </w:tr>
      <w:tr w:rsidR="00E22AEA" w14:paraId="3ED5C92C" w14:textId="77777777" w:rsidTr="00D1197A">
        <w:tc>
          <w:tcPr>
            <w:cnfStyle w:val="001000000000" w:firstRow="0" w:lastRow="0" w:firstColumn="1" w:lastColumn="0" w:oddVBand="0" w:evenVBand="0" w:oddHBand="0" w:evenHBand="0" w:firstRowFirstColumn="0" w:firstRowLastColumn="0" w:lastRowFirstColumn="0" w:lastRowLastColumn="0"/>
            <w:tcW w:w="2875" w:type="dxa"/>
          </w:tcPr>
          <w:p w14:paraId="0A0013DC" w14:textId="77777777" w:rsidR="00D1197A" w:rsidRDefault="00D1197A" w:rsidP="00D1197A">
            <w:pPr>
              <w:ind w:left="0"/>
              <w:rPr>
                <w:sz w:val="20"/>
                <w:szCs w:val="20"/>
              </w:rPr>
            </w:pPr>
            <w:r>
              <w:rPr>
                <w:sz w:val="20"/>
                <w:szCs w:val="20"/>
              </w:rPr>
              <w:t>Long-term care residents</w:t>
            </w:r>
          </w:p>
          <w:p w14:paraId="562B709A" w14:textId="6E1228A0" w:rsidR="00E22AEA" w:rsidRPr="00A81A64" w:rsidRDefault="00D1197A" w:rsidP="00D1197A">
            <w:pPr>
              <w:ind w:left="0"/>
              <w:rPr>
                <w:sz w:val="20"/>
                <w:szCs w:val="20"/>
              </w:rPr>
            </w:pPr>
            <w:r>
              <w:rPr>
                <w:sz w:val="20"/>
                <w:szCs w:val="20"/>
              </w:rPr>
              <w:t>60 years of age or older</w:t>
            </w:r>
          </w:p>
        </w:tc>
        <w:tc>
          <w:tcPr>
            <w:tcW w:w="1080" w:type="dxa"/>
          </w:tcPr>
          <w:p w14:paraId="5B8BA9D9" w14:textId="65CCDAF5"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24088</w:t>
            </w:r>
          </w:p>
        </w:tc>
        <w:tc>
          <w:tcPr>
            <w:tcW w:w="2430" w:type="dxa"/>
          </w:tcPr>
          <w:p w14:paraId="17FFC4DF" w14:textId="2D89A1CF"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10</w:t>
            </w:r>
            <w:r>
              <w:rPr>
                <w:sz w:val="20"/>
                <w:szCs w:val="20"/>
              </w:rPr>
              <w:t xml:space="preserve"> January </w:t>
            </w:r>
            <w:r w:rsidRPr="00A81A64">
              <w:rPr>
                <w:sz w:val="20"/>
                <w:szCs w:val="20"/>
              </w:rPr>
              <w:t>2022 to 31</w:t>
            </w:r>
            <w:r w:rsidR="00D1197A">
              <w:rPr>
                <w:sz w:val="20"/>
                <w:szCs w:val="20"/>
              </w:rPr>
              <w:t> </w:t>
            </w:r>
            <w:r>
              <w:rPr>
                <w:sz w:val="20"/>
                <w:szCs w:val="20"/>
              </w:rPr>
              <w:t xml:space="preserve">March </w:t>
            </w:r>
            <w:r w:rsidRPr="00A81A64">
              <w:rPr>
                <w:sz w:val="20"/>
                <w:szCs w:val="20"/>
              </w:rPr>
              <w:t>2022</w:t>
            </w:r>
          </w:p>
        </w:tc>
        <w:tc>
          <w:tcPr>
            <w:tcW w:w="2675" w:type="dxa"/>
          </w:tcPr>
          <w:p w14:paraId="129C9DCC" w14:textId="77777777" w:rsidR="00D1197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34</w:t>
            </w:r>
            <w:r w:rsidR="00D1197A">
              <w:rPr>
                <w:sz w:val="20"/>
                <w:szCs w:val="20"/>
              </w:rPr>
              <w:t xml:space="preserve"> (30, 37) SARS-CoV-2 </w:t>
            </w:r>
            <w:proofErr w:type="gramStart"/>
            <w:r w:rsidR="00D1197A">
              <w:rPr>
                <w:sz w:val="20"/>
                <w:szCs w:val="20"/>
              </w:rPr>
              <w:t>infection;</w:t>
            </w:r>
            <w:proofErr w:type="gramEnd"/>
          </w:p>
          <w:p w14:paraId="087F1C6E" w14:textId="77777777" w:rsidR="00D1197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64 (56, 71) hospital</w:t>
            </w:r>
            <w:r w:rsidR="00D1197A">
              <w:rPr>
                <w:sz w:val="20"/>
                <w:szCs w:val="20"/>
              </w:rPr>
              <w:t>isation mild-moderate COVID-</w:t>
            </w:r>
            <w:proofErr w:type="gramStart"/>
            <w:r w:rsidR="00D1197A">
              <w:rPr>
                <w:sz w:val="20"/>
                <w:szCs w:val="20"/>
              </w:rPr>
              <w:t>19;</w:t>
            </w:r>
            <w:proofErr w:type="gramEnd"/>
          </w:p>
          <w:p w14:paraId="56F0031D" w14:textId="77777777" w:rsidR="00D1197A"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 xml:space="preserve">67 (57, 75) </w:t>
            </w:r>
            <w:proofErr w:type="gramStart"/>
            <w:r w:rsidRPr="00A81A64">
              <w:rPr>
                <w:sz w:val="20"/>
                <w:szCs w:val="20"/>
              </w:rPr>
              <w:t>h</w:t>
            </w:r>
            <w:r w:rsidR="00D1197A">
              <w:rPr>
                <w:sz w:val="20"/>
                <w:szCs w:val="20"/>
              </w:rPr>
              <w:t>ospitalisation</w:t>
            </w:r>
            <w:proofErr w:type="gramEnd"/>
            <w:r w:rsidR="00D1197A">
              <w:rPr>
                <w:sz w:val="20"/>
                <w:szCs w:val="20"/>
              </w:rPr>
              <w:t xml:space="preserve"> severe COVID-19;</w:t>
            </w:r>
          </w:p>
          <w:p w14:paraId="4A306D16" w14:textId="1D22B114" w:rsidR="00E22AEA" w:rsidRPr="00A81A64" w:rsidRDefault="00E22AEA" w:rsidP="00D1197A">
            <w:pPr>
              <w:ind w:left="0"/>
              <w:cnfStyle w:val="000000000000" w:firstRow="0" w:lastRow="0" w:firstColumn="0" w:lastColumn="0" w:oddVBand="0" w:evenVBand="0" w:oddHBand="0" w:evenHBand="0" w:firstRowFirstColumn="0" w:firstRowLastColumn="0" w:lastRowFirstColumn="0" w:lastRowLastColumn="0"/>
              <w:rPr>
                <w:sz w:val="20"/>
                <w:szCs w:val="20"/>
              </w:rPr>
            </w:pPr>
            <w:r w:rsidRPr="00A81A64">
              <w:rPr>
                <w:sz w:val="20"/>
                <w:szCs w:val="20"/>
              </w:rPr>
              <w:t>72 (54, 83) death</w:t>
            </w:r>
          </w:p>
        </w:tc>
      </w:tr>
    </w:tbl>
    <w:p w14:paraId="645A1EDE" w14:textId="035DA714" w:rsidR="00A81A64" w:rsidRDefault="00A81A64" w:rsidP="00A81A64">
      <w:pPr>
        <w:pStyle w:val="TableDescription"/>
      </w:pPr>
      <w:r>
        <w:t>Abbreviations: CI = confidence interval, VE = vaccine effectiveness.</w:t>
      </w:r>
    </w:p>
    <w:p w14:paraId="2A6115C7" w14:textId="21F1BB48" w:rsidR="00A81A64" w:rsidRPr="00A81A64" w:rsidRDefault="00A81A64" w:rsidP="00684286">
      <w:pPr>
        <w:pageBreakBefore/>
      </w:pPr>
      <w:r w:rsidRPr="00A81A64">
        <w:lastRenderedPageBreak/>
        <w:t xml:space="preserve">The </w:t>
      </w:r>
      <w:r w:rsidR="00756C58">
        <w:t>Link-</w:t>
      </w:r>
      <w:proofErr w:type="spellStart"/>
      <w:r w:rsidR="00756C58">
        <w:t>Gelles</w:t>
      </w:r>
      <w:proofErr w:type="spellEnd"/>
      <w:r w:rsidR="00756C58">
        <w:t xml:space="preserve"> et al. (2022);</w:t>
      </w:r>
      <w:r w:rsidR="00F128A8">
        <w:rPr>
          <w:vertAlign w:val="superscript"/>
        </w:rPr>
        <w:fldChar w:fldCharType="begin"/>
      </w:r>
      <w:r w:rsidR="00F128A8">
        <w:instrText xml:space="preserve"> NOTEREF _Ref138145227 \f \h </w:instrText>
      </w:r>
      <w:r w:rsidR="00F128A8">
        <w:rPr>
          <w:vertAlign w:val="superscript"/>
        </w:rPr>
      </w:r>
      <w:r w:rsidR="00F128A8">
        <w:rPr>
          <w:vertAlign w:val="superscript"/>
        </w:rPr>
        <w:fldChar w:fldCharType="separate"/>
      </w:r>
      <w:r w:rsidR="00237257" w:rsidRPr="00237257">
        <w:rPr>
          <w:rStyle w:val="FootnoteReference"/>
        </w:rPr>
        <w:t>9</w:t>
      </w:r>
      <w:r w:rsidR="00F128A8">
        <w:rPr>
          <w:vertAlign w:val="superscript"/>
        </w:rPr>
        <w:fldChar w:fldCharType="end"/>
      </w:r>
      <w:r w:rsidR="00756C58">
        <w:t xml:space="preserve"> study in the </w:t>
      </w:r>
      <w:r w:rsidRPr="00A81A64">
        <w:t>US</w:t>
      </w:r>
      <w:r w:rsidR="00756C58">
        <w:t>A</w:t>
      </w:r>
      <w:r w:rsidRPr="00A81A64">
        <w:t xml:space="preserve"> was notable for the following:</w:t>
      </w:r>
    </w:p>
    <w:p w14:paraId="698D2D36" w14:textId="7F4EF37D" w:rsidR="00A81A64" w:rsidRPr="00A81A64" w:rsidRDefault="00A81A64" w:rsidP="00A81A64">
      <w:pPr>
        <w:pStyle w:val="ListBullet"/>
      </w:pPr>
      <w:r w:rsidRPr="00A81A64">
        <w:t>Utilised data from the VISION network from 10 states between 18</w:t>
      </w:r>
      <w:r w:rsidR="00C56D8A">
        <w:t xml:space="preserve"> </w:t>
      </w:r>
      <w:r>
        <w:t xml:space="preserve">December </w:t>
      </w:r>
      <w:r w:rsidRPr="00A81A64">
        <w:t>2021 and 10</w:t>
      </w:r>
      <w:r>
        <w:t> </w:t>
      </w:r>
      <w:r w:rsidRPr="00A81A64">
        <w:t>June</w:t>
      </w:r>
      <w:r>
        <w:t xml:space="preserve"> </w:t>
      </w:r>
      <w:r w:rsidRPr="00A81A64">
        <w:t>2022</w:t>
      </w:r>
      <w:r w:rsidR="00C56D8A">
        <w:t>.</w:t>
      </w:r>
      <w:r w:rsidR="00C56D8A">
        <w:rPr>
          <w:rStyle w:val="FootnoteReference"/>
        </w:rPr>
        <w:footnoteReference w:id="24"/>
      </w:r>
    </w:p>
    <w:p w14:paraId="680C5A1D" w14:textId="72217CE5" w:rsidR="00A81A64" w:rsidRPr="00A81A64" w:rsidRDefault="00A81A64" w:rsidP="00A81A64">
      <w:pPr>
        <w:pStyle w:val="ListBullet"/>
      </w:pPr>
      <w:r w:rsidRPr="00A81A64">
        <w:t>In adults</w:t>
      </w:r>
      <w:r>
        <w:t xml:space="preserve"> </w:t>
      </w:r>
      <w:r w:rsidRPr="00A81A64">
        <w:t xml:space="preserve">50 </w:t>
      </w:r>
      <w:r>
        <w:t>years of age or older</w:t>
      </w:r>
      <w:r w:rsidRPr="00A81A64">
        <w:t xml:space="preserve"> during the period when Omicron BA.2/BA.2.12.1 </w:t>
      </w:r>
      <w:r w:rsidR="00756C58">
        <w:t xml:space="preserve">subvariant </w:t>
      </w:r>
      <w:r w:rsidRPr="00A81A64">
        <w:t>predominated:</w:t>
      </w:r>
    </w:p>
    <w:p w14:paraId="3CEA0126" w14:textId="74CB6426" w:rsidR="00A81A64" w:rsidRPr="00A81A64" w:rsidRDefault="00A81A64" w:rsidP="00A81A64">
      <w:pPr>
        <w:pStyle w:val="ListBullet2"/>
      </w:pPr>
      <w:r w:rsidRPr="00A81A64">
        <w:t xml:space="preserve">Compared to being unvaccinated, </w:t>
      </w:r>
      <w:r>
        <w:t>four</w:t>
      </w:r>
      <w:r w:rsidRPr="00A81A64">
        <w:t xml:space="preserve"> doses of a COVID-19 mRNA vaccine </w:t>
      </w:r>
      <w:proofErr w:type="gramStart"/>
      <w:r w:rsidRPr="00A81A64">
        <w:t>was</w:t>
      </w:r>
      <w:proofErr w:type="gramEnd"/>
      <w:r w:rsidRPr="00A81A64">
        <w:t xml:space="preserve"> associated with a </w:t>
      </w:r>
      <w:r>
        <w:t>vaccine effectiveness</w:t>
      </w:r>
      <w:r w:rsidRPr="00A81A64">
        <w:t xml:space="preserve"> against COVID-19 related hospitalisation of 80% (95% CI: 71, 85) 7 days </w:t>
      </w:r>
      <w:r>
        <w:t xml:space="preserve">or more </w:t>
      </w:r>
      <w:r w:rsidRPr="00A81A64">
        <w:t xml:space="preserve">after </w:t>
      </w:r>
      <w:r>
        <w:t>D</w:t>
      </w:r>
      <w:r w:rsidRPr="00A81A64">
        <w:t>ose 4.</w:t>
      </w:r>
    </w:p>
    <w:p w14:paraId="783AD6E2" w14:textId="5CFB032B" w:rsidR="00A81A64" w:rsidRPr="00A81A64" w:rsidRDefault="00A81A64" w:rsidP="00A81A64">
      <w:pPr>
        <w:pStyle w:val="ListBullet2"/>
      </w:pPr>
      <w:r w:rsidRPr="00A81A64">
        <w:t xml:space="preserve">Compared to being unvaccinated, </w:t>
      </w:r>
      <w:r>
        <w:t>three</w:t>
      </w:r>
      <w:r w:rsidRPr="00A81A64">
        <w:t xml:space="preserve"> doses of a COVID-19 mRNA vaccine </w:t>
      </w:r>
      <w:proofErr w:type="gramStart"/>
      <w:r w:rsidRPr="00A81A64">
        <w:t>was</w:t>
      </w:r>
      <w:proofErr w:type="gramEnd"/>
      <w:r w:rsidRPr="00A81A64">
        <w:t xml:space="preserve"> associated with a </w:t>
      </w:r>
      <w:r>
        <w:t>vaccine effectiveness</w:t>
      </w:r>
      <w:r w:rsidRPr="00A81A64">
        <w:t xml:space="preserve"> against COVID-19 related hospitalisation of 55% (95% CI:46, 62) 120 days </w:t>
      </w:r>
      <w:r>
        <w:t xml:space="preserve">or more </w:t>
      </w:r>
      <w:r w:rsidRPr="00A81A64">
        <w:t xml:space="preserve">after </w:t>
      </w:r>
      <w:r>
        <w:t>D</w:t>
      </w:r>
      <w:r w:rsidRPr="00A81A64">
        <w:t>ose 3.</w:t>
      </w:r>
    </w:p>
    <w:p w14:paraId="04529244" w14:textId="136F4502" w:rsidR="00A81A64" w:rsidRPr="00A81A64" w:rsidRDefault="00756C58" w:rsidP="00A81A64">
      <w:pPr>
        <w:pStyle w:val="ListBullet"/>
        <w:numPr>
          <w:ilvl w:val="0"/>
          <w:numId w:val="0"/>
        </w:numPr>
      </w:pPr>
      <w:r>
        <w:t xml:space="preserve">The </w:t>
      </w:r>
      <w:proofErr w:type="spellStart"/>
      <w:r>
        <w:t>Grewel</w:t>
      </w:r>
      <w:proofErr w:type="spellEnd"/>
      <w:r>
        <w:t xml:space="preserve"> R et al. (2022) </w:t>
      </w:r>
      <w:r w:rsidR="00A81A64" w:rsidRPr="00A81A64">
        <w:t>Canadian study</w:t>
      </w:r>
      <w:r>
        <w:t>;</w:t>
      </w:r>
      <w:r w:rsidR="00F128A8">
        <w:fldChar w:fldCharType="begin"/>
      </w:r>
      <w:r w:rsidR="00F128A8">
        <w:instrText xml:space="preserve"> NOTEREF _Ref138145241 \f \h </w:instrText>
      </w:r>
      <w:r w:rsidR="00F128A8">
        <w:fldChar w:fldCharType="separate"/>
      </w:r>
      <w:r w:rsidR="00237257" w:rsidRPr="00237257">
        <w:rPr>
          <w:rStyle w:val="FootnoteReference"/>
        </w:rPr>
        <w:t>11</w:t>
      </w:r>
      <w:r w:rsidR="00F128A8">
        <w:fldChar w:fldCharType="end"/>
      </w:r>
      <w:r w:rsidR="00A81A64" w:rsidRPr="00A81A64">
        <w:t xml:space="preserve"> was notable for the following:</w:t>
      </w:r>
    </w:p>
    <w:p w14:paraId="6EC1FF69" w14:textId="5EC11C3F" w:rsidR="00A81A64" w:rsidRPr="00A81A64" w:rsidRDefault="00A81A64" w:rsidP="00A81A64">
      <w:pPr>
        <w:pStyle w:val="ListBullet"/>
      </w:pPr>
      <w:r w:rsidRPr="00A81A64">
        <w:t>Utilised data between 30</w:t>
      </w:r>
      <w:r>
        <w:t xml:space="preserve"> December </w:t>
      </w:r>
      <w:r w:rsidRPr="00A81A64">
        <w:t>2021 and 27</w:t>
      </w:r>
      <w:r>
        <w:t xml:space="preserve"> April </w:t>
      </w:r>
      <w:r w:rsidRPr="00A81A64">
        <w:t xml:space="preserve">2022 (Omicron dominant period) from adults 60 </w:t>
      </w:r>
      <w:r>
        <w:t>years of age or older</w:t>
      </w:r>
      <w:r w:rsidRPr="00A81A64">
        <w:t xml:space="preserve"> residing in 626 long</w:t>
      </w:r>
      <w:r>
        <w:t xml:space="preserve"> </w:t>
      </w:r>
      <w:r w:rsidRPr="00A81A64">
        <w:t>term care facilities in Ontario.</w:t>
      </w:r>
    </w:p>
    <w:p w14:paraId="23704EA4" w14:textId="680A0FE5" w:rsidR="00A81A64" w:rsidRPr="00A81A64" w:rsidRDefault="00A81A64" w:rsidP="00A81A64">
      <w:pPr>
        <w:pStyle w:val="ListBullet"/>
      </w:pPr>
      <w:r w:rsidRPr="00A81A64">
        <w:t xml:space="preserve">The effectiveness of a fourth dose (95% received mRNA-1273 </w:t>
      </w:r>
      <w:r w:rsidR="00C56D8A">
        <w:t>(</w:t>
      </w:r>
      <w:r w:rsidRPr="00A81A64">
        <w:t>Moderna</w:t>
      </w:r>
      <w:r w:rsidR="00C56D8A">
        <w:t>)</w:t>
      </w:r>
      <w:r w:rsidRPr="00A81A64">
        <w:t xml:space="preserve"> as </w:t>
      </w:r>
      <w:r w:rsidR="00C56D8A">
        <w:t>fourth</w:t>
      </w:r>
      <w:r w:rsidRPr="00A81A64">
        <w:t xml:space="preserve"> dose) 7 </w:t>
      </w:r>
      <w:r>
        <w:t xml:space="preserve">or more </w:t>
      </w:r>
      <w:r w:rsidRPr="00A81A64">
        <w:t>days after vaccination v</w:t>
      </w:r>
      <w:r>
        <w:t>ersus</w:t>
      </w:r>
      <w:r w:rsidRPr="00A81A64">
        <w:t xml:space="preserve"> third dose received 84 days</w:t>
      </w:r>
      <w:r>
        <w:t xml:space="preserve"> or more</w:t>
      </w:r>
      <w:r w:rsidRPr="00A81A64">
        <w:t xml:space="preserve"> earlier was 19% (95% CI 12% to 26%) against infection, 31% (20% to 41%) against symptomatic infection, and 40% (24% to 52%) against severe outcomes.</w:t>
      </w:r>
    </w:p>
    <w:p w14:paraId="2685A7D8" w14:textId="40AB8319" w:rsidR="00A81A64" w:rsidRPr="00A81A64" w:rsidRDefault="00A81A64" w:rsidP="00A81A64">
      <w:r w:rsidRPr="00A81A64">
        <w:t xml:space="preserve">The </w:t>
      </w:r>
      <w:r w:rsidR="00756C58">
        <w:t xml:space="preserve">Nordstrom P et al. (2022) </w:t>
      </w:r>
      <w:r w:rsidRPr="00A81A64">
        <w:t>stud</w:t>
      </w:r>
      <w:r w:rsidR="00756C58">
        <w:t>y;</w:t>
      </w:r>
      <w:r w:rsidR="00F128A8">
        <w:fldChar w:fldCharType="begin"/>
      </w:r>
      <w:r w:rsidR="00F128A8">
        <w:instrText xml:space="preserve"> NOTEREF _Ref138145250 \f \h </w:instrText>
      </w:r>
      <w:r w:rsidR="00F128A8">
        <w:fldChar w:fldCharType="separate"/>
      </w:r>
      <w:r w:rsidR="00237257" w:rsidRPr="00237257">
        <w:rPr>
          <w:rStyle w:val="FootnoteReference"/>
        </w:rPr>
        <w:t>10</w:t>
      </w:r>
      <w:r w:rsidR="00F128A8">
        <w:fldChar w:fldCharType="end"/>
      </w:r>
      <w:r w:rsidR="00756C58">
        <w:t xml:space="preserve"> from Sweden</w:t>
      </w:r>
      <w:r w:rsidRPr="00A81A64">
        <w:t xml:space="preserve"> was notable for the following:</w:t>
      </w:r>
    </w:p>
    <w:p w14:paraId="7ADCF4FE" w14:textId="77777777" w:rsidR="00756C58" w:rsidRDefault="00A81A64" w:rsidP="00A81A64">
      <w:pPr>
        <w:pStyle w:val="ListBullet"/>
      </w:pPr>
      <w:r w:rsidRPr="00A81A64">
        <w:t xml:space="preserve">Utilised </w:t>
      </w:r>
      <w:r>
        <w:t>two</w:t>
      </w:r>
      <w:r w:rsidRPr="00A81A64">
        <w:t xml:space="preserve"> datasets from Swedish nationwide registers during an Omicron dominant period:</w:t>
      </w:r>
    </w:p>
    <w:p w14:paraId="473182A5" w14:textId="7210A583" w:rsidR="00756C58" w:rsidRDefault="00A81A64" w:rsidP="00F32401">
      <w:pPr>
        <w:pStyle w:val="ListBullet2"/>
      </w:pPr>
      <w:r w:rsidRPr="00A81A64">
        <w:t xml:space="preserve">residents of </w:t>
      </w:r>
      <w:proofErr w:type="gramStart"/>
      <w:r>
        <w:t>long term</w:t>
      </w:r>
      <w:proofErr w:type="gramEnd"/>
      <w:r>
        <w:t xml:space="preserve"> care facilities</w:t>
      </w:r>
      <w:r w:rsidRPr="00A81A64">
        <w:t xml:space="preserve"> given a </w:t>
      </w:r>
      <w:r w:rsidR="00C56D8A">
        <w:t>fourth</w:t>
      </w:r>
      <w:r w:rsidRPr="00A81A64">
        <w:t xml:space="preserve"> dose of a COVID-19 mRNA vaccine (</w:t>
      </w:r>
      <w:r>
        <w:t xml:space="preserve">approximately </w:t>
      </w:r>
      <w:r w:rsidRPr="00A81A64">
        <w:t>60% BNT162b2 30</w:t>
      </w:r>
      <w:r>
        <w:t> </w:t>
      </w:r>
      <w:r>
        <w:sym w:font="Symbol" w:char="F06D"/>
      </w:r>
      <w:r w:rsidRPr="00A81A64">
        <w:t xml:space="preserve">g and </w:t>
      </w:r>
      <w:r>
        <w:t xml:space="preserve">approximately </w:t>
      </w:r>
      <w:r w:rsidRPr="00A81A64">
        <w:t xml:space="preserve">40% mRNA-1273 </w:t>
      </w:r>
      <w:r w:rsidR="00C56D8A">
        <w:t>(</w:t>
      </w:r>
      <w:r w:rsidRPr="00A81A64">
        <w:t>Moderna</w:t>
      </w:r>
      <w:r w:rsidR="00C56D8A">
        <w:t>)</w:t>
      </w:r>
      <w:r w:rsidRPr="00A81A64">
        <w:t>) from 1</w:t>
      </w:r>
      <w:r>
        <w:t xml:space="preserve"> January </w:t>
      </w:r>
      <w:r w:rsidRPr="00A81A64">
        <w:t xml:space="preserve">2022 (matched 1:1 with residents given at least </w:t>
      </w:r>
      <w:r>
        <w:t>three</w:t>
      </w:r>
      <w:r w:rsidRPr="00A81A64">
        <w:t xml:space="preserve"> doses);</w:t>
      </w:r>
    </w:p>
    <w:p w14:paraId="003C4EF8" w14:textId="043FB3B0" w:rsidR="00756C58" w:rsidRDefault="00A81A64" w:rsidP="00F32401">
      <w:pPr>
        <w:pStyle w:val="ListBullet2"/>
      </w:pPr>
      <w:r w:rsidRPr="00A81A64">
        <w:t xml:space="preserve">all individuals 80 </w:t>
      </w:r>
      <w:r>
        <w:t>years of age or older</w:t>
      </w:r>
      <w:r w:rsidRPr="00A81A64">
        <w:t xml:space="preserve"> given a </w:t>
      </w:r>
      <w:r w:rsidR="00C56D8A">
        <w:t>fourth</w:t>
      </w:r>
      <w:r w:rsidRPr="00A81A64">
        <w:t xml:space="preserve"> dose (matched 1:1 with individuals given at least </w:t>
      </w:r>
      <w:r>
        <w:t>three</w:t>
      </w:r>
      <w:r w:rsidRPr="00A81A64">
        <w:t xml:space="preserve"> doses</w:t>
      </w:r>
      <w:proofErr w:type="gramStart"/>
      <w:r w:rsidRPr="00A81A64">
        <w:t>)</w:t>
      </w:r>
      <w:r w:rsidR="00F32401">
        <w:t>;</w:t>
      </w:r>
      <w:proofErr w:type="gramEnd"/>
    </w:p>
    <w:p w14:paraId="7084E122" w14:textId="5CC70F1E" w:rsidR="00A81A64" w:rsidRPr="00A81A64" w:rsidRDefault="00F32401" w:rsidP="00F32401">
      <w:pPr>
        <w:pStyle w:val="ListBullet2"/>
      </w:pPr>
      <w:r>
        <w:t>t</w:t>
      </w:r>
      <w:r w:rsidR="00A81A64" w:rsidRPr="00A81A64">
        <w:t>he outcome measure was all cause mortality.</w:t>
      </w:r>
    </w:p>
    <w:p w14:paraId="34BDC31F" w14:textId="2F3CC6D4" w:rsidR="00A81A64" w:rsidRPr="00A81A64" w:rsidRDefault="00A81A64" w:rsidP="00A81A64">
      <w:pPr>
        <w:pStyle w:val="ListBullet"/>
      </w:pPr>
      <w:r w:rsidRPr="00A81A64">
        <w:t xml:space="preserve">In the </w:t>
      </w:r>
      <w:proofErr w:type="gramStart"/>
      <w:r>
        <w:t>long term</w:t>
      </w:r>
      <w:proofErr w:type="gramEnd"/>
      <w:r>
        <w:t xml:space="preserve"> care facility </w:t>
      </w:r>
      <w:r w:rsidRPr="00A81A64">
        <w:t xml:space="preserve">cohort: During days 7 to 60, the </w:t>
      </w:r>
      <w:r>
        <w:t xml:space="preserve">vaccine effectiveness </w:t>
      </w:r>
      <w:r w:rsidRPr="00A81A64">
        <w:t>of the fourth dose was 39% (95% CI, 29</w:t>
      </w:r>
      <w:r w:rsidR="00756C58">
        <w:t xml:space="preserve"> to </w:t>
      </w:r>
      <w:r w:rsidRPr="00A81A64">
        <w:t>48), which declined to 27% (95% CI, -2</w:t>
      </w:r>
      <w:r w:rsidR="00756C58">
        <w:t xml:space="preserve"> to </w:t>
      </w:r>
      <w:r w:rsidRPr="00A81A64">
        <w:t>48) during days 61 to 126.</w:t>
      </w:r>
    </w:p>
    <w:p w14:paraId="6EF35A25" w14:textId="4601FEA8" w:rsidR="00A81A64" w:rsidRPr="00A81A64" w:rsidRDefault="00A81A64" w:rsidP="00A81A64">
      <w:pPr>
        <w:pStyle w:val="ListBullet"/>
      </w:pPr>
      <w:r w:rsidRPr="00A81A64">
        <w:t xml:space="preserve">In cohort of all individuals 80 </w:t>
      </w:r>
      <w:r>
        <w:t>years of age or older</w:t>
      </w:r>
      <w:r w:rsidRPr="00A81A64">
        <w:t>: During days 7 to 60, the</w:t>
      </w:r>
      <w:r>
        <w:t xml:space="preserve"> vaccine effectiveness</w:t>
      </w:r>
      <w:r w:rsidRPr="00A81A64">
        <w:t xml:space="preserve"> of the fourth dose was 71% (95% CI, 69</w:t>
      </w:r>
      <w:r w:rsidR="00756C58">
        <w:t xml:space="preserve"> to </w:t>
      </w:r>
      <w:r w:rsidRPr="00A81A64">
        <w:t>72), which declined to 54% (95% CI, 48</w:t>
      </w:r>
      <w:r w:rsidR="00756C58">
        <w:t xml:space="preserve"> to </w:t>
      </w:r>
      <w:r w:rsidRPr="00A81A64">
        <w:t>60) during days 61 to 143.</w:t>
      </w:r>
    </w:p>
    <w:p w14:paraId="3ADF61F0" w14:textId="3A8AFBD3" w:rsidR="00A81A64" w:rsidRDefault="00A81A64" w:rsidP="00A81A64">
      <w:pPr>
        <w:pStyle w:val="ListBullet"/>
      </w:pPr>
      <w:r w:rsidRPr="00A81A64">
        <w:t xml:space="preserve">The </w:t>
      </w:r>
      <w:r>
        <w:t xml:space="preserve">vaccine effectiveness </w:t>
      </w:r>
      <w:r w:rsidRPr="00A81A64">
        <w:t>of the fourth dose seemed stronger when it was compared to third</w:t>
      </w:r>
      <w:r w:rsidR="00C56D8A">
        <w:t xml:space="preserve"> </w:t>
      </w:r>
      <w:r w:rsidRPr="00A81A64">
        <w:t>dose recipients where at least four months had passed since vaccination (</w:t>
      </w:r>
      <w:r w:rsidR="00756C58">
        <w:t>p</w:t>
      </w:r>
      <w:r w:rsidRPr="00A81A64">
        <w:t xml:space="preserve"> </w:t>
      </w:r>
      <w:r w:rsidR="00756C58">
        <w:t>&lt;</w:t>
      </w:r>
      <w:r w:rsidRPr="00A81A64">
        <w:t xml:space="preserve"> 0</w:t>
      </w:r>
      <w:r w:rsidR="00756C58">
        <w:t>.</w:t>
      </w:r>
      <w:r w:rsidRPr="00A81A64">
        <w:t>001 for interaction).</w:t>
      </w:r>
    </w:p>
    <w:p w14:paraId="79F96AB0" w14:textId="420E6008" w:rsidR="005D3723" w:rsidRDefault="005D3723" w:rsidP="00F32401">
      <w:pPr>
        <w:pStyle w:val="Heading4"/>
      </w:pPr>
      <w:bookmarkStart w:id="67" w:name="_Toc144806162"/>
      <w:r>
        <w:lastRenderedPageBreak/>
        <w:t>Clinical data in the adolescent population</w:t>
      </w:r>
      <w:bookmarkEnd w:id="67"/>
    </w:p>
    <w:p w14:paraId="6FC1F03E" w14:textId="0B5CA91A" w:rsidR="00A81A64" w:rsidRPr="00A81A64" w:rsidRDefault="005D3723" w:rsidP="00A81A64">
      <w:r>
        <w:t>For use as an a</w:t>
      </w:r>
      <w:r w:rsidR="00A81A64">
        <w:t>dditional booster dose (</w:t>
      </w:r>
      <w:r>
        <w:t>D</w:t>
      </w:r>
      <w:r w:rsidR="00A81A64">
        <w:t>ose</w:t>
      </w:r>
      <w:r>
        <w:t xml:space="preserve"> 4</w:t>
      </w:r>
      <w:r w:rsidR="00A81A64">
        <w:t>) in adolescent population</w:t>
      </w:r>
      <w:r>
        <w:t>, n</w:t>
      </w:r>
      <w:r w:rsidR="00A81A64" w:rsidRPr="00A81A64">
        <w:t>o immunogenicity, safety, or vaccine effectiveness data for a fourth dose were presented for</w:t>
      </w:r>
      <w:r w:rsidR="00A81A64">
        <w:t xml:space="preserve"> </w:t>
      </w:r>
      <w:r w:rsidR="00A81A64" w:rsidRPr="00A81A64">
        <w:t xml:space="preserve">adolescents </w:t>
      </w:r>
      <w:r>
        <w:t xml:space="preserve">from </w:t>
      </w:r>
      <w:r w:rsidR="00A81A64" w:rsidRPr="00A81A64">
        <w:t>12 to</w:t>
      </w:r>
      <w:r w:rsidR="00FF4953">
        <w:t xml:space="preserve"> less than</w:t>
      </w:r>
      <w:r w:rsidR="00A81A64" w:rsidRPr="00A81A64">
        <w:t xml:space="preserve"> 18 </w:t>
      </w:r>
      <w:r w:rsidR="00A81A64">
        <w:t>years of age</w:t>
      </w:r>
      <w:r w:rsidR="00A81A64" w:rsidRPr="00A81A64">
        <w:t>. Adolescent participants were not included in Study</w:t>
      </w:r>
      <w:r w:rsidR="00C56D8A">
        <w:t> </w:t>
      </w:r>
      <w:r w:rsidR="00A81A64" w:rsidRPr="00A81A64">
        <w:t>C4591031, nor in the real</w:t>
      </w:r>
      <w:r w:rsidR="00FF4953">
        <w:t>-</w:t>
      </w:r>
      <w:r w:rsidR="00A81A64" w:rsidRPr="00A81A64">
        <w:t xml:space="preserve">world evidence provided. In relation to extending the age range for a fourth dose </w:t>
      </w:r>
      <w:r>
        <w:t xml:space="preserve">(Dose 4) </w:t>
      </w:r>
      <w:r w:rsidR="00A81A64" w:rsidRPr="00A81A64">
        <w:t>to 12</w:t>
      </w:r>
      <w:r>
        <w:t> </w:t>
      </w:r>
      <w:r w:rsidR="00A81A64">
        <w:t>years of age or older</w:t>
      </w:r>
      <w:r w:rsidR="00A81A64" w:rsidRPr="00A81A64">
        <w:t xml:space="preserve"> the </w:t>
      </w:r>
      <w:r w:rsidR="00C56D8A">
        <w:t>s</w:t>
      </w:r>
      <w:r w:rsidR="00A81A64" w:rsidRPr="00A81A64">
        <w:t>ponsor provided the following rationale:</w:t>
      </w:r>
    </w:p>
    <w:p w14:paraId="408FD37E" w14:textId="6FF98C9C" w:rsidR="00A81A64" w:rsidRDefault="00A81A64" w:rsidP="00A81A64">
      <w:pPr>
        <w:ind w:left="720"/>
      </w:pPr>
      <w:r>
        <w:t>‘</w:t>
      </w:r>
      <w:r w:rsidRPr="00A81A64">
        <w:t>Real-world effectiveness against symptomatic COVID-19 of two and three doses of BNT162b2 and the duration of protection post-Dose 2 have been shown to be similar among adolescents 12 to 15 years of age and adults ≥18 years of age during Omicron variant predominance.</w:t>
      </w:r>
      <w:r w:rsidR="00DA00A5">
        <w:rPr>
          <w:rStyle w:val="FootnoteReference"/>
        </w:rPr>
        <w:footnoteReference w:id="25"/>
      </w:r>
      <w:r w:rsidR="00DA00A5">
        <w:rPr>
          <w:vertAlign w:val="superscript"/>
        </w:rPr>
        <w:t>,</w:t>
      </w:r>
      <w:r w:rsidR="00DA00A5">
        <w:rPr>
          <w:rStyle w:val="FootnoteReference"/>
        </w:rPr>
        <w:footnoteReference w:id="26"/>
      </w:r>
      <w:r w:rsidR="00DA00A5">
        <w:t xml:space="preserve"> </w:t>
      </w:r>
      <w:r w:rsidRPr="00A81A64">
        <w:t xml:space="preserve">Based on the available clinical and real-world data, it is therefore expected that the protection offered by BNT162b2 30 </w:t>
      </w:r>
      <w:r>
        <w:sym w:font="Symbol" w:char="F06D"/>
      </w:r>
      <w:r w:rsidRPr="00A81A64">
        <w:t>g will be similar among adolescents and adults and supports an extension of the indication to ≥</w:t>
      </w:r>
      <w:r w:rsidR="005D3723">
        <w:t xml:space="preserve"> </w:t>
      </w:r>
      <w:r w:rsidRPr="00A81A64">
        <w:t>12 years of age.</w:t>
      </w:r>
      <w:r>
        <w:t>’</w:t>
      </w:r>
    </w:p>
    <w:p w14:paraId="2858B006" w14:textId="77777777" w:rsidR="00C22214" w:rsidRDefault="00C22214" w:rsidP="00C22214">
      <w:pPr>
        <w:pStyle w:val="Heading3"/>
        <w:rPr>
          <w:lang w:eastAsia="en-AU"/>
        </w:rPr>
      </w:pPr>
      <w:bookmarkStart w:id="68" w:name="_Toc103679298"/>
      <w:bookmarkStart w:id="69" w:name="_Toc144806163"/>
      <w:r>
        <w:rPr>
          <w:lang w:eastAsia="en-AU"/>
        </w:rPr>
        <w:t>Risk management plan</w:t>
      </w:r>
      <w:bookmarkEnd w:id="61"/>
      <w:bookmarkEnd w:id="68"/>
      <w:bookmarkEnd w:id="69"/>
    </w:p>
    <w:p w14:paraId="2E562C97" w14:textId="07F4DBC2" w:rsidR="005D3723" w:rsidRDefault="00FA1BC9" w:rsidP="00FA1BC9">
      <w:pPr>
        <w:rPr>
          <w:szCs w:val="22"/>
        </w:rPr>
      </w:pPr>
      <w:bookmarkStart w:id="70" w:name="_Toc247691531"/>
      <w:bookmarkStart w:id="71" w:name="_Toc314842515"/>
      <w:bookmarkStart w:id="72" w:name="_Toc103679299"/>
      <w:r w:rsidRPr="00BD5DBD">
        <w:rPr>
          <w:szCs w:val="22"/>
        </w:rPr>
        <w:t>The TGA decided a</w:t>
      </w:r>
      <w:r w:rsidR="005D3723">
        <w:rPr>
          <w:szCs w:val="22"/>
        </w:rPr>
        <w:t xml:space="preserve"> new</w:t>
      </w:r>
      <w:r w:rsidRPr="00BD5DBD">
        <w:rPr>
          <w:szCs w:val="22"/>
        </w:rPr>
        <w:t xml:space="preserve"> </w:t>
      </w:r>
      <w:r w:rsidR="00673FB8">
        <w:rPr>
          <w:szCs w:val="22"/>
        </w:rPr>
        <w:t>risk management plan (</w:t>
      </w:r>
      <w:r w:rsidRPr="00BD5DBD">
        <w:rPr>
          <w:szCs w:val="22"/>
        </w:rPr>
        <w:t>RMP</w:t>
      </w:r>
      <w:r w:rsidR="00673FB8">
        <w:rPr>
          <w:szCs w:val="22"/>
        </w:rPr>
        <w:t>)</w:t>
      </w:r>
      <w:r w:rsidRPr="00BD5DBD">
        <w:rPr>
          <w:szCs w:val="22"/>
        </w:rPr>
        <w:t xml:space="preserve"> was not required</w:t>
      </w:r>
      <w:r w:rsidR="005D3723">
        <w:rPr>
          <w:szCs w:val="22"/>
        </w:rPr>
        <w:t xml:space="preserve"> for this submission</w:t>
      </w:r>
      <w:r w:rsidRPr="00BD5DBD">
        <w:rPr>
          <w:szCs w:val="22"/>
        </w:rPr>
        <w:t xml:space="preserve"> (see </w:t>
      </w:r>
      <w:hyperlink r:id="rId56" w:history="1">
        <w:r w:rsidRPr="00BD5DBD">
          <w:rPr>
            <w:rStyle w:val="Hyperlink"/>
            <w:szCs w:val="22"/>
          </w:rPr>
          <w:t>TGA’s guidance</w:t>
        </w:r>
      </w:hyperlink>
      <w:r w:rsidRPr="00BD5DBD">
        <w:rPr>
          <w:szCs w:val="22"/>
        </w:rPr>
        <w:t xml:space="preserve"> on ‘when an RMP is required’)</w:t>
      </w:r>
      <w:r w:rsidR="00C56D8A">
        <w:rPr>
          <w:szCs w:val="22"/>
        </w:rPr>
        <w:t>.</w:t>
      </w:r>
      <w:r w:rsidR="005D3723">
        <w:rPr>
          <w:szCs w:val="22"/>
        </w:rPr>
        <w:t xml:space="preserve"> Extensive risk management activities are already in place </w:t>
      </w:r>
      <w:proofErr w:type="gramStart"/>
      <w:r w:rsidR="005D3723">
        <w:rPr>
          <w:szCs w:val="22"/>
        </w:rPr>
        <w:t>as a result of</w:t>
      </w:r>
      <w:proofErr w:type="gramEnd"/>
      <w:r w:rsidR="005D3723">
        <w:rPr>
          <w:szCs w:val="22"/>
        </w:rPr>
        <w:t xml:space="preserve"> multiple previous submissions for this vaccine in Australia.</w:t>
      </w:r>
    </w:p>
    <w:p w14:paraId="2D08CB50" w14:textId="01CF5030" w:rsidR="00FA1BC9" w:rsidRPr="00BD5DBD" w:rsidRDefault="005D3723" w:rsidP="00FA1BC9">
      <w:pPr>
        <w:rPr>
          <w:szCs w:val="22"/>
        </w:rPr>
      </w:pPr>
      <w:r w:rsidRPr="00BD5DBD">
        <w:rPr>
          <w:szCs w:val="22"/>
        </w:rPr>
        <w:t>The sponsor is required to comply with product vigilance and risk minimisation requirements</w:t>
      </w:r>
      <w:r w:rsidR="00CE770D">
        <w:rPr>
          <w:szCs w:val="22"/>
        </w:rPr>
        <w:t>.</w:t>
      </w:r>
    </w:p>
    <w:p w14:paraId="456C7934" w14:textId="36924DBB" w:rsidR="00FA1BC9" w:rsidRPr="00BD5DBD" w:rsidRDefault="00FA1BC9" w:rsidP="00FA1BC9">
      <w:pPr>
        <w:rPr>
          <w:szCs w:val="22"/>
        </w:rPr>
      </w:pPr>
      <w:r w:rsidRPr="00BD5DBD">
        <w:rPr>
          <w:szCs w:val="22"/>
        </w:rPr>
        <w:t>The TGA may request an updated RMP at any stage of a product's lifecycle, during both the pre</w:t>
      </w:r>
      <w:r w:rsidR="00C56D8A">
        <w:rPr>
          <w:szCs w:val="22"/>
        </w:rPr>
        <w:noBreakHyphen/>
      </w:r>
      <w:r w:rsidRPr="00BD5DBD">
        <w:rPr>
          <w:szCs w:val="22"/>
        </w:rPr>
        <w:t xml:space="preserve">approval and post-approval phases. Further information regarding the TGA’s risk management approach can be found in </w:t>
      </w:r>
      <w:hyperlink r:id="rId57" w:history="1">
        <w:r w:rsidRPr="00BD5DBD">
          <w:rPr>
            <w:rStyle w:val="Hyperlink"/>
            <w:szCs w:val="22"/>
          </w:rPr>
          <w:t>risk management plans for medicines and biologicals</w:t>
        </w:r>
      </w:hyperlink>
      <w:r w:rsidRPr="00BD5DBD">
        <w:rPr>
          <w:szCs w:val="22"/>
        </w:rPr>
        <w:t xml:space="preserve"> and </w:t>
      </w:r>
      <w:hyperlink r:id="rId58" w:history="1">
        <w:r w:rsidRPr="00BD5DBD">
          <w:rPr>
            <w:rStyle w:val="Hyperlink"/>
            <w:szCs w:val="22"/>
          </w:rPr>
          <w:t>the TGA's risk management approach</w:t>
        </w:r>
      </w:hyperlink>
      <w:r w:rsidRPr="00BD5DBD">
        <w:rPr>
          <w:szCs w:val="22"/>
        </w:rPr>
        <w:t xml:space="preserve">. Information on the </w:t>
      </w:r>
      <w:hyperlink r:id="rId59" w:history="1">
        <w:r w:rsidRPr="00BD5DBD">
          <w:rPr>
            <w:rStyle w:val="Hyperlink"/>
            <w:szCs w:val="22"/>
          </w:rPr>
          <w:t>Australia specific annex</w:t>
        </w:r>
      </w:hyperlink>
      <w:r w:rsidRPr="00BD5DBD">
        <w:rPr>
          <w:szCs w:val="22"/>
        </w:rPr>
        <w:t xml:space="preserve"> (</w:t>
      </w:r>
      <w:hyperlink r:id="rId60" w:history="1">
        <w:r w:rsidRPr="00BD5DBD">
          <w:rPr>
            <w:rStyle w:val="Hyperlink"/>
            <w:szCs w:val="22"/>
          </w:rPr>
          <w:t>ASA</w:t>
        </w:r>
      </w:hyperlink>
      <w:r w:rsidRPr="00BD5DBD">
        <w:rPr>
          <w:szCs w:val="22"/>
        </w:rPr>
        <w:t>) can be found on the TGA website.</w:t>
      </w:r>
    </w:p>
    <w:p w14:paraId="74A4F87F" w14:textId="77777777" w:rsidR="00C22214" w:rsidRDefault="00C22214" w:rsidP="00C22214">
      <w:pPr>
        <w:pStyle w:val="Heading3"/>
      </w:pPr>
      <w:bookmarkStart w:id="73" w:name="_Toc144806164"/>
      <w:r>
        <w:t>Risk-benefit analysis</w:t>
      </w:r>
      <w:bookmarkEnd w:id="70"/>
      <w:bookmarkEnd w:id="71"/>
      <w:bookmarkEnd w:id="72"/>
      <w:bookmarkEnd w:id="73"/>
    </w:p>
    <w:p w14:paraId="77DE2655" w14:textId="77777777" w:rsidR="00C22214" w:rsidRDefault="00C22214" w:rsidP="00C22214">
      <w:pPr>
        <w:pStyle w:val="Heading4"/>
      </w:pPr>
      <w:bookmarkStart w:id="74" w:name="_Toc98931932"/>
      <w:bookmarkStart w:id="75" w:name="_Toc144806165"/>
      <w:r>
        <w:t>Delegate’s considerations</w:t>
      </w:r>
      <w:bookmarkEnd w:id="74"/>
      <w:bookmarkEnd w:id="75"/>
    </w:p>
    <w:p w14:paraId="7ED9944C" w14:textId="1B086919" w:rsidR="00FF4953" w:rsidRDefault="00FF4953" w:rsidP="00FF4953">
      <w:r w:rsidRPr="00FF4953">
        <w:t xml:space="preserve">Severe acute respiratory syndrome coronavirus 2 </w:t>
      </w:r>
      <w:r>
        <w:t xml:space="preserve">(SARS-CoV-2) continues to cause substantial morbidity and mortality globally. Australia is experiencing ongoing COVID-19 cases, and hospitalisations, and further deaths </w:t>
      </w:r>
      <w:proofErr w:type="gramStart"/>
      <w:r>
        <w:t>as a result of</w:t>
      </w:r>
      <w:proofErr w:type="gramEnd"/>
      <w:r>
        <w:t xml:space="preserve"> Omicron subvariants. This leads to significant disruption to normal life and has health and economic implications for the country. Certain populations such as those aged 60 years of age or older, and people with immunosuppression and </w:t>
      </w:r>
      <w:r w:rsidR="005D3723">
        <w:t xml:space="preserve">people with </w:t>
      </w:r>
      <w:r>
        <w:t>a range of comorbid conditions are at increased risk.</w:t>
      </w:r>
    </w:p>
    <w:p w14:paraId="7C1B2AA8" w14:textId="2B5FE9FF" w:rsidR="00FF4953" w:rsidRDefault="00FF4953" w:rsidP="00FF4953">
      <w:r>
        <w:t xml:space="preserve">Real-world data have shown that after the initial booster dose of </w:t>
      </w:r>
      <w:r w:rsidR="007851C0">
        <w:t>Comirnaty (tozinameran) COVID-19 vaccine</w:t>
      </w:r>
      <w:r>
        <w:t>, in the presence of the Omicron variant, vaccine effectiveness against symptomatic COVID-19 is lower and wanes more quickly post</w:t>
      </w:r>
      <w:r w:rsidR="007851C0">
        <w:t>-</w:t>
      </w:r>
      <w:r>
        <w:t>Dose 3 compared to prior variants. This raises the potential need and likely benefit of an additional booster.</w:t>
      </w:r>
    </w:p>
    <w:p w14:paraId="39406365" w14:textId="19A0A60B" w:rsidR="00FF4953" w:rsidRDefault="00FF4953" w:rsidP="00FF4953">
      <w:r>
        <w:t xml:space="preserve">Clinical data from approximately 640 participants 18 to 55 years of age from Study C4591031 </w:t>
      </w:r>
      <w:proofErr w:type="spellStart"/>
      <w:r>
        <w:t>Substudy</w:t>
      </w:r>
      <w:proofErr w:type="spellEnd"/>
      <w:r>
        <w:t xml:space="preserve"> D (Cohort 2) and approximately 1840 participants over 55 years of age from Study C4591031 </w:t>
      </w:r>
      <w:proofErr w:type="spellStart"/>
      <w:r>
        <w:t>Substudy</w:t>
      </w:r>
      <w:proofErr w:type="spellEnd"/>
      <w:r>
        <w:t xml:space="preserve"> E (expanded cohort) who had received a fourth dose of </w:t>
      </w:r>
      <w:r w:rsidR="007851C0">
        <w:t xml:space="preserve">Comirnaty </w:t>
      </w:r>
      <w:r w:rsidR="007851C0">
        <w:lastRenderedPageBreak/>
        <w:t>COVID-19 vaccine</w:t>
      </w:r>
      <w:r w:rsidR="007851C0" w:rsidDel="007851C0">
        <w:t xml:space="preserve"> </w:t>
      </w:r>
      <w:r>
        <w:t>30 </w:t>
      </w:r>
      <w:r>
        <w:sym w:font="Symbol" w:char="F06D"/>
      </w:r>
      <w:r>
        <w:t>g have been presented in this submission. Real-world data have been included.</w:t>
      </w:r>
    </w:p>
    <w:p w14:paraId="7631F6F9" w14:textId="77777777" w:rsidR="00FF4953" w:rsidRDefault="00FF4953" w:rsidP="00FF4953">
      <w:r w:rsidRPr="00FF4953">
        <w:rPr>
          <w:rStyle w:val="Heading5Char"/>
          <w:rFonts w:eastAsiaTheme="minorHAnsi"/>
        </w:rPr>
        <w:t>Immunogenicity</w:t>
      </w:r>
    </w:p>
    <w:p w14:paraId="75DCB420" w14:textId="3A8DC06E" w:rsidR="00FF4953" w:rsidRDefault="00FF4953" w:rsidP="00FF4953">
      <w:r>
        <w:t xml:space="preserve">Immunogenicity data are derived from Study C45981031 </w:t>
      </w:r>
      <w:proofErr w:type="spellStart"/>
      <w:r>
        <w:t>Substudies</w:t>
      </w:r>
      <w:proofErr w:type="spellEnd"/>
      <w:r>
        <w:t xml:space="preserve"> D and E, which enrolled healthy adult participants, who had previously received three doses of </w:t>
      </w:r>
      <w:r w:rsidR="007851C0">
        <w:t xml:space="preserve">Comirnaty (tozinameran) COVID-19 vaccine </w:t>
      </w:r>
      <w:r>
        <w:t>30 </w:t>
      </w:r>
      <w:r>
        <w:sym w:font="Symbol" w:char="F06D"/>
      </w:r>
      <w:r>
        <w:t xml:space="preserve">g. </w:t>
      </w:r>
      <w:proofErr w:type="spellStart"/>
      <w:r>
        <w:t>Substudy</w:t>
      </w:r>
      <w:proofErr w:type="spellEnd"/>
      <w:r>
        <w:t xml:space="preserve"> D (Cohort 2) evaluated an additional booster (fourth) dose of </w:t>
      </w:r>
      <w:r w:rsidR="007851C0">
        <w:t>Comirnaty (tozinameran) COVID-19 vaccine</w:t>
      </w:r>
      <w:r w:rsidR="007851C0" w:rsidDel="007851C0">
        <w:t xml:space="preserve"> </w:t>
      </w:r>
      <w:r>
        <w:t>30 </w:t>
      </w:r>
      <w:r>
        <w:sym w:font="Symbol" w:char="F06D"/>
      </w:r>
      <w:r>
        <w:t>g and the Omicron</w:t>
      </w:r>
      <w:r w:rsidR="007851C0">
        <w:t xml:space="preserve"> </w:t>
      </w:r>
      <w:r>
        <w:t>variant</w:t>
      </w:r>
      <w:r w:rsidR="007851C0">
        <w:t>-</w:t>
      </w:r>
      <w:r>
        <w:t xml:space="preserve">specific </w:t>
      </w:r>
      <w:r w:rsidR="007851C0">
        <w:t>vaccine (</w:t>
      </w:r>
      <w:r>
        <w:t>BNT162b2 OMI</w:t>
      </w:r>
      <w:r w:rsidR="007851C0">
        <w:t>)</w:t>
      </w:r>
      <w:r>
        <w:t xml:space="preserve"> 30 </w:t>
      </w:r>
      <w:r>
        <w:sym w:font="Symbol" w:char="F06D"/>
      </w:r>
      <w:r>
        <w:t xml:space="preserve">g to approximately 640 participants randomised at a ratio of 1:1. In </w:t>
      </w:r>
      <w:proofErr w:type="spellStart"/>
      <w:r>
        <w:t>Substudy</w:t>
      </w:r>
      <w:proofErr w:type="spellEnd"/>
      <w:r>
        <w:t xml:space="preserve"> E, 1840 participants over 55 years of age were randomi</w:t>
      </w:r>
      <w:r w:rsidR="00C56D8A">
        <w:t>s</w:t>
      </w:r>
      <w:r>
        <w:t xml:space="preserve">ed </w:t>
      </w:r>
      <w:r w:rsidR="007851C0">
        <w:t>into 6 approximately equal sized groups</w:t>
      </w:r>
      <w:r>
        <w:t xml:space="preserve"> to receive </w:t>
      </w:r>
      <w:r w:rsidR="007851C0">
        <w:t>Comirnaty</w:t>
      </w:r>
      <w:r>
        <w:t xml:space="preserve"> at 30 </w:t>
      </w:r>
      <w:r>
        <w:sym w:font="Symbol" w:char="F06D"/>
      </w:r>
      <w:r>
        <w:t xml:space="preserve">g, </w:t>
      </w:r>
      <w:r w:rsidR="007851C0">
        <w:t xml:space="preserve">Comirnaty </w:t>
      </w:r>
      <w:r>
        <w:t>at 60 </w:t>
      </w:r>
      <w:r>
        <w:sym w:font="Symbol" w:char="F06D"/>
      </w:r>
      <w:r>
        <w:t>g, BNT162b2 OMI at 30 </w:t>
      </w:r>
      <w:r>
        <w:sym w:font="Symbol" w:char="F06D"/>
      </w:r>
      <w:r>
        <w:t>g, BNT162b2 OMI at 60 </w:t>
      </w:r>
      <w:r>
        <w:sym w:font="Symbol" w:char="F06D"/>
      </w:r>
      <w:r>
        <w:t xml:space="preserve">g, a combination of </w:t>
      </w:r>
      <w:r w:rsidR="007851C0">
        <w:t xml:space="preserve">Comirnaty vaccine </w:t>
      </w:r>
      <w:r>
        <w:t>and BNT162b2 OMI at 30 </w:t>
      </w:r>
      <w:r>
        <w:sym w:font="Symbol" w:char="F06D"/>
      </w:r>
      <w:r>
        <w:t>g (15 </w:t>
      </w:r>
      <w:r>
        <w:sym w:font="Symbol" w:char="F06D"/>
      </w:r>
      <w:r>
        <w:t xml:space="preserve">g each), or a combination of </w:t>
      </w:r>
      <w:r w:rsidR="007851C0">
        <w:t xml:space="preserve">Comirnaty </w:t>
      </w:r>
      <w:r>
        <w:t>and BNT162b2 OMI at 60 </w:t>
      </w:r>
      <w:r>
        <w:sym w:font="Symbol" w:char="F06D"/>
      </w:r>
      <w:r>
        <w:t>g (30 </w:t>
      </w:r>
      <w:r>
        <w:sym w:font="Symbol" w:char="F06D"/>
      </w:r>
      <w:r>
        <w:t>g each) as a fourth dose.</w:t>
      </w:r>
    </w:p>
    <w:p w14:paraId="2EF731A1" w14:textId="067F4573" w:rsidR="00FF4953" w:rsidRDefault="00FF4953" w:rsidP="00FF4953">
      <w:r>
        <w:t xml:space="preserve">These studies show that a fourth dose of </w:t>
      </w:r>
      <w:r w:rsidR="007851C0">
        <w:t>Comirnaty (tozinameran) COVID-19 vaccine</w:t>
      </w:r>
      <w:r w:rsidR="007851C0" w:rsidDel="007851C0">
        <w:t xml:space="preserve"> </w:t>
      </w:r>
      <w:r>
        <w:t>30 </w:t>
      </w:r>
      <w:r>
        <w:sym w:font="Symbol" w:char="F06D"/>
      </w:r>
      <w:r>
        <w:t xml:space="preserve">g elicits immune response against the reference strain and Omicron BA.1 variant. </w:t>
      </w:r>
      <w:proofErr w:type="spellStart"/>
      <w:r>
        <w:t>Substudy</w:t>
      </w:r>
      <w:proofErr w:type="spellEnd"/>
      <w:r>
        <w:t xml:space="preserve"> E also shows against other Omicron </w:t>
      </w:r>
      <w:proofErr w:type="spellStart"/>
      <w:r>
        <w:t>sublineages</w:t>
      </w:r>
      <w:proofErr w:type="spellEnd"/>
      <w:r>
        <w:t xml:space="preserve">, </w:t>
      </w:r>
      <w:r w:rsidR="007851C0">
        <w:t xml:space="preserve">Comirnaty </w:t>
      </w:r>
      <w:r>
        <w:t>30 </w:t>
      </w:r>
      <w:r>
        <w:sym w:font="Symbol" w:char="F06D"/>
      </w:r>
      <w:r>
        <w:t xml:space="preserve">g elicited neutralisation titres to other Omicron </w:t>
      </w:r>
      <w:proofErr w:type="spellStart"/>
      <w:r>
        <w:t>sublineages</w:t>
      </w:r>
      <w:proofErr w:type="spellEnd"/>
      <w:r>
        <w:t xml:space="preserve"> including the more recent circulating </w:t>
      </w:r>
      <w:r w:rsidR="007851C0">
        <w:t>O</w:t>
      </w:r>
      <w:r>
        <w:t>micron variants.</w:t>
      </w:r>
    </w:p>
    <w:p w14:paraId="5C37A6A8" w14:textId="77777777" w:rsidR="00FF4953" w:rsidRDefault="00FF4953" w:rsidP="00FF4953">
      <w:pPr>
        <w:pStyle w:val="Heading5"/>
      </w:pPr>
      <w:r>
        <w:t>Vaccine efficacy</w:t>
      </w:r>
    </w:p>
    <w:p w14:paraId="5E016B92" w14:textId="428EC639" w:rsidR="00FF4953" w:rsidRDefault="00FF4953" w:rsidP="00FF4953">
      <w:r>
        <w:t xml:space="preserve">The clinical evidence for </w:t>
      </w:r>
      <w:r w:rsidR="007851C0">
        <w:t>Comirnaty (tozinameran) COVID-19 vaccine</w:t>
      </w:r>
      <w:r w:rsidR="007851C0" w:rsidDel="007851C0">
        <w:t xml:space="preserve"> </w:t>
      </w:r>
      <w:r>
        <w:t>effectiveness (greater than 95%; pre-Omicron era) includes induction of strong immune responses and high vaccine efficacy accompanied by a satisfactory safety profile associated with the primary series. Vaccine efficacy and the immune responsiveness both began to decline post</w:t>
      </w:r>
      <w:r w:rsidR="007851C0">
        <w:t>-</w:t>
      </w:r>
      <w:r>
        <w:t>Dose 2, with previous submissions supporting a third dose (</w:t>
      </w:r>
      <w:r w:rsidR="007851C0">
        <w:t xml:space="preserve">Dose 3 or </w:t>
      </w:r>
      <w:r>
        <w:t>booster Dose 1</w:t>
      </w:r>
      <w:r w:rsidR="007851C0">
        <w:t>)</w:t>
      </w:r>
      <w:r>
        <w:t xml:space="preserve"> where a booster dose of </w:t>
      </w:r>
      <w:r w:rsidR="007851C0">
        <w:t xml:space="preserve">Comirnaty vaccine </w:t>
      </w:r>
      <w:r>
        <w:t>at the same dose level restored the vaccine efficacy to greater than 95% (median follow up time of 2.5 months post booster) in Phase III Study C4591031.</w:t>
      </w:r>
    </w:p>
    <w:p w14:paraId="7788B97F" w14:textId="7A574282" w:rsidR="00FF4953" w:rsidRDefault="00FF4953" w:rsidP="00FF4953">
      <w:r>
        <w:t xml:space="preserve">In this submission, vaccine efficacy was not the main endpoint in Study C4591031, however available data from Study C4591031 and real-world evidence show that four doses of </w:t>
      </w:r>
      <w:r w:rsidR="007851C0">
        <w:t xml:space="preserve">Comirnaty vaccine </w:t>
      </w:r>
      <w:r>
        <w:t>(relative to only three doses) improves protection against the Omicron variant across a spectrum of COVID-19 outcomes, including infection, symptomatic disease, severe illness, hospitalisation, and mortality. It is noted that the vaccine efficacy in the real-world studies presented varies considerably, and this likely reflects study methodology, including the specific populations studied.</w:t>
      </w:r>
    </w:p>
    <w:p w14:paraId="534127D5" w14:textId="77777777" w:rsidR="00FF4953" w:rsidRDefault="00FF4953" w:rsidP="00FF4953">
      <w:pPr>
        <w:pStyle w:val="Heading5"/>
      </w:pPr>
      <w:r>
        <w:t>Safety</w:t>
      </w:r>
    </w:p>
    <w:p w14:paraId="46F7403B" w14:textId="49F82CF2" w:rsidR="00FF4953" w:rsidRDefault="00FF4953" w:rsidP="00FF4953">
      <w:r>
        <w:t xml:space="preserve">The safety profile of </w:t>
      </w:r>
      <w:r w:rsidR="007851C0">
        <w:t>Comirnaty (tozinameran) COVID-19 vaccine</w:t>
      </w:r>
      <w:r w:rsidR="007851C0" w:rsidDel="007851C0">
        <w:t xml:space="preserve"> </w:t>
      </w:r>
      <w:r>
        <w:t>30 </w:t>
      </w:r>
      <w:r>
        <w:sym w:font="Symbol" w:char="F06D"/>
      </w:r>
      <w:r>
        <w:t xml:space="preserve">g is known and has been documented previously and extensively when utilised as a primary vaccine series and as a first booster (third dose). Overall, the reactogenicity profile (local reactions, systemic events) within seven days following a fourth dose was </w:t>
      </w:r>
      <w:proofErr w:type="gramStart"/>
      <w:r>
        <w:t>similar to</w:t>
      </w:r>
      <w:proofErr w:type="gramEnd"/>
      <w:r>
        <w:t xml:space="preserve"> that observed after a third dose of </w:t>
      </w:r>
      <w:r w:rsidR="007851C0">
        <w:t>Comirnaty vaccine</w:t>
      </w:r>
      <w:r>
        <w:t>. There were no cases reported of myocarditis/pericarditis, Bell’s palsy (or facial paralysis/paresis), appendicitis, or vaccine related anaphylaxis and no deaths reported in Study</w:t>
      </w:r>
      <w:r w:rsidR="007851C0">
        <w:t> </w:t>
      </w:r>
      <w:r>
        <w:t>C4591031. No new safety concerns were identified. However, follow up time</w:t>
      </w:r>
      <w:r w:rsidRPr="00FF4953">
        <w:t xml:space="preserve"> </w:t>
      </w:r>
      <w:r>
        <w:t>following the fourth dose was short (less than two months), and the only data available was in adult populations. Furthermore, data for the first booster dose (Dose 3) only pertain to participants 16 years of age or older.</w:t>
      </w:r>
    </w:p>
    <w:p w14:paraId="1667E583" w14:textId="25853701" w:rsidR="00FF4953" w:rsidRDefault="00FF4953" w:rsidP="00684286">
      <w:pPr>
        <w:pStyle w:val="Heading5"/>
        <w:pageBreakBefore/>
      </w:pPr>
      <w:r>
        <w:lastRenderedPageBreak/>
        <w:t>Data limitations</w:t>
      </w:r>
    </w:p>
    <w:p w14:paraId="029BF476" w14:textId="482C6F66" w:rsidR="007851C0" w:rsidRPr="00D86759" w:rsidRDefault="007851C0" w:rsidP="00F32401">
      <w:r>
        <w:t>The following are considered limitations of the available data:</w:t>
      </w:r>
    </w:p>
    <w:p w14:paraId="2ADC9068" w14:textId="2C017414" w:rsidR="00FF4953" w:rsidRDefault="00FF4953" w:rsidP="00FF4953">
      <w:pPr>
        <w:pStyle w:val="ListBullet"/>
      </w:pPr>
      <w:r>
        <w:t>Safety and immunogenicity data for second booster vaccine available only for less than two months post second booster dose.</w:t>
      </w:r>
    </w:p>
    <w:p w14:paraId="6A9CBA00" w14:textId="59BBDC48" w:rsidR="00FF4953" w:rsidRDefault="00FF4953" w:rsidP="00FF4953">
      <w:pPr>
        <w:pStyle w:val="ListBullet"/>
      </w:pPr>
      <w:r>
        <w:t>Immunogenicity data from booster dose against the currently circulating variants is limited</w:t>
      </w:r>
      <w:r w:rsidR="00C56D8A">
        <w:t>.</w:t>
      </w:r>
    </w:p>
    <w:p w14:paraId="19987223" w14:textId="05F110E5" w:rsidR="00FF4953" w:rsidRDefault="00FF4953" w:rsidP="00FF4953">
      <w:pPr>
        <w:pStyle w:val="ListBullet"/>
      </w:pPr>
      <w:r>
        <w:t>Data related to persistence of immune response was not available.</w:t>
      </w:r>
    </w:p>
    <w:p w14:paraId="085F5DEB" w14:textId="0447DC57" w:rsidR="00FF4953" w:rsidRDefault="00FF4953" w:rsidP="00FF4953">
      <w:pPr>
        <w:pStyle w:val="ListBullet"/>
      </w:pPr>
      <w:r>
        <w:t>No immunogenicity, safety, or real-world evidence for second booster dose in those 12 to less than 18 years of age.</w:t>
      </w:r>
    </w:p>
    <w:p w14:paraId="4DA2B27F" w14:textId="16A71811" w:rsidR="00FF4953" w:rsidRDefault="00FF4953" w:rsidP="00FF4953">
      <w:pPr>
        <w:pStyle w:val="ListBullet"/>
      </w:pPr>
      <w:r>
        <w:t>No safety data on pregnant women and breastfeeding women.</w:t>
      </w:r>
    </w:p>
    <w:p w14:paraId="47F2ACD7" w14:textId="6A3FC139" w:rsidR="00FF4953" w:rsidRDefault="00FF4953" w:rsidP="00FF4953">
      <w:pPr>
        <w:pStyle w:val="ListBullet"/>
      </w:pPr>
      <w:r>
        <w:t>Short term safety data may not provide information on</w:t>
      </w:r>
      <w:r w:rsidRPr="00FF4953">
        <w:t xml:space="preserve"> rare </w:t>
      </w:r>
      <w:r>
        <w:t>adverse events</w:t>
      </w:r>
      <w:r w:rsidRPr="00FF4953">
        <w:t xml:space="preserve"> and there may be </w:t>
      </w:r>
      <w:r>
        <w:t>adverse events</w:t>
      </w:r>
      <w:r w:rsidRPr="00FF4953">
        <w:t xml:space="preserve"> that have a long latency period including </w:t>
      </w:r>
      <w:r>
        <w:t>adverse events</w:t>
      </w:r>
      <w:r w:rsidRPr="00FF4953">
        <w:t xml:space="preserve"> of special interest.</w:t>
      </w:r>
    </w:p>
    <w:p w14:paraId="5703F5D3" w14:textId="77777777" w:rsidR="00FF4953" w:rsidRDefault="00FF4953" w:rsidP="00FF4953">
      <w:pPr>
        <w:pStyle w:val="Heading5"/>
      </w:pPr>
      <w:r>
        <w:t>Conclusions</w:t>
      </w:r>
    </w:p>
    <w:p w14:paraId="40D92D16" w14:textId="5261448F" w:rsidR="00FF4953" w:rsidRPr="00FF4953" w:rsidRDefault="00FF4953" w:rsidP="00FF4953">
      <w:r>
        <w:t xml:space="preserve">From the currently available data, it can be concluded for many populations a second booster dose (Dose 4) of </w:t>
      </w:r>
      <w:r w:rsidR="007851C0">
        <w:t>Comirnaty (tozinameran) COVID-19 vaccine</w:t>
      </w:r>
      <w:r w:rsidR="007851C0" w:rsidDel="007851C0">
        <w:t xml:space="preserve"> </w:t>
      </w:r>
      <w:r>
        <w:t>30 </w:t>
      </w:r>
      <w:r>
        <w:sym w:font="Symbol" w:char="F06D"/>
      </w:r>
      <w:r>
        <w:t xml:space="preserve">g is efficacious in protecting individuals against symptomatic COVID-19. The safety profile is </w:t>
      </w:r>
      <w:proofErr w:type="gramStart"/>
      <w:r>
        <w:t>similar to</w:t>
      </w:r>
      <w:proofErr w:type="gramEnd"/>
      <w:r>
        <w:t xml:space="preserve"> that observed in adults previously; with no new safety signals identified. Thus, in individuals 18 years of age or older, it is expected that the known and potential benefits outweigh the known and potential risks </w:t>
      </w:r>
      <w:proofErr w:type="gramStart"/>
      <w:r>
        <w:t>at this time</w:t>
      </w:r>
      <w:proofErr w:type="gramEnd"/>
      <w:r>
        <w:t>. However, given the lack of data pertaining to the adolescent population, the risk</w:t>
      </w:r>
      <w:r w:rsidR="007851C0">
        <w:t>-</w:t>
      </w:r>
      <w:r>
        <w:t>benefit assessment is not possible.</w:t>
      </w:r>
    </w:p>
    <w:p w14:paraId="3916F296" w14:textId="77777777" w:rsidR="00C22214" w:rsidRDefault="00C22214" w:rsidP="00C22214">
      <w:pPr>
        <w:pStyle w:val="Heading4"/>
      </w:pPr>
      <w:bookmarkStart w:id="76" w:name="_Toc98931933"/>
      <w:bookmarkStart w:id="77" w:name="_Toc144806166"/>
      <w:r w:rsidRPr="00D23139">
        <w:t>Proposed action</w:t>
      </w:r>
      <w:bookmarkEnd w:id="76"/>
      <w:bookmarkEnd w:id="77"/>
    </w:p>
    <w:p w14:paraId="153C14ED" w14:textId="6B6B4DDC" w:rsidR="00FF4953" w:rsidRPr="00FF4953" w:rsidRDefault="00FF4953" w:rsidP="00FF4953">
      <w:r w:rsidRPr="00FF4953">
        <w:t xml:space="preserve">The </w:t>
      </w:r>
      <w:r w:rsidR="007851C0">
        <w:t>D</w:t>
      </w:r>
      <w:r w:rsidRPr="00FF4953">
        <w:t xml:space="preserve">elegate is of the view approval of </w:t>
      </w:r>
      <w:r>
        <w:t xml:space="preserve">the </w:t>
      </w:r>
      <w:r w:rsidRPr="00FF4953">
        <w:t xml:space="preserve">variation to the </w:t>
      </w:r>
      <w:r w:rsidR="007851C0">
        <w:t>Comirnaty (tozinameran) COVID-19 vaccine</w:t>
      </w:r>
      <w:r w:rsidR="007851C0" w:rsidRPr="00FF4953" w:rsidDel="007851C0">
        <w:t xml:space="preserve"> </w:t>
      </w:r>
      <w:r w:rsidRPr="00FF4953">
        <w:t>30</w:t>
      </w:r>
      <w:r>
        <w:t> </w:t>
      </w:r>
      <w:r>
        <w:sym w:font="Symbol" w:char="F06D"/>
      </w:r>
      <w:r w:rsidRPr="00FF4953">
        <w:t>g to be used as a second booster (</w:t>
      </w:r>
      <w:r>
        <w:t>that is</w:t>
      </w:r>
      <w:r w:rsidRPr="00FF4953">
        <w:t xml:space="preserve">, </w:t>
      </w:r>
      <w:r>
        <w:t>D</w:t>
      </w:r>
      <w:r w:rsidRPr="00FF4953">
        <w:t>ose 4) for individuals aged 18 years of age is appropriate.</w:t>
      </w:r>
    </w:p>
    <w:p w14:paraId="3CFB9593" w14:textId="3F2C58CB" w:rsidR="00FF4953" w:rsidRPr="00FF4953" w:rsidRDefault="00FF4953" w:rsidP="00FF4953">
      <w:r w:rsidRPr="00FF4953">
        <w:t xml:space="preserve">The </w:t>
      </w:r>
      <w:r w:rsidR="007851C0">
        <w:t>D</w:t>
      </w:r>
      <w:r w:rsidRPr="00FF4953">
        <w:t xml:space="preserve">elegate does not propose to approve the use of </w:t>
      </w:r>
      <w:r w:rsidR="007851C0">
        <w:t>Comirnaty (tozinameran) COVID-19 vaccine</w:t>
      </w:r>
      <w:r w:rsidR="007851C0" w:rsidRPr="00FF4953" w:rsidDel="007851C0">
        <w:t xml:space="preserve"> </w:t>
      </w:r>
      <w:r w:rsidRPr="00FF4953">
        <w:t>30</w:t>
      </w:r>
      <w:r>
        <w:t> </w:t>
      </w:r>
      <w:r>
        <w:sym w:font="Symbol" w:char="F06D"/>
      </w:r>
      <w:r w:rsidRPr="00FF4953">
        <w:t xml:space="preserve">g in individuals aged 12 to </w:t>
      </w:r>
      <w:r>
        <w:t>less than</w:t>
      </w:r>
      <w:r w:rsidRPr="00FF4953">
        <w:t xml:space="preserve"> 18 </w:t>
      </w:r>
      <w:r>
        <w:t>years of age</w:t>
      </w:r>
      <w:r w:rsidRPr="00FF4953">
        <w:t xml:space="preserve"> and will seek advice from the </w:t>
      </w:r>
      <w:r>
        <w:t>Advisory Committee on Vaccines (</w:t>
      </w:r>
      <w:r w:rsidRPr="00FF4953">
        <w:t>ACV</w:t>
      </w:r>
      <w:r>
        <w:t>)</w:t>
      </w:r>
      <w:r w:rsidRPr="00FF4953">
        <w:t xml:space="preserve"> on this issue.</w:t>
      </w:r>
    </w:p>
    <w:p w14:paraId="13C2BEAD" w14:textId="6C09A83C" w:rsidR="00FF4953" w:rsidRPr="00FF4953" w:rsidRDefault="00FF4953" w:rsidP="00FF4953">
      <w:r w:rsidRPr="00FF4953">
        <w:t xml:space="preserve">The final decision will be made following the ACV discussion and the satisfactory negotiation of the Product Information and the </w:t>
      </w:r>
      <w:r>
        <w:t>c</w:t>
      </w:r>
      <w:r w:rsidRPr="00FF4953">
        <w:t>onditions of registration.</w:t>
      </w:r>
    </w:p>
    <w:p w14:paraId="318CFABC" w14:textId="77777777" w:rsidR="00C22214" w:rsidRPr="00F73346" w:rsidRDefault="00C22214" w:rsidP="00C22214">
      <w:pPr>
        <w:pStyle w:val="Heading4"/>
      </w:pPr>
      <w:bookmarkStart w:id="78" w:name="_Toc98931936"/>
      <w:bookmarkStart w:id="79" w:name="_Toc144806167"/>
      <w:bookmarkStart w:id="80" w:name="_Toc247691532"/>
      <w:bookmarkStart w:id="81" w:name="_Toc314842516"/>
      <w:r w:rsidRPr="00F73346">
        <w:t>Advisory Committee considerations</w:t>
      </w:r>
      <w:bookmarkEnd w:id="78"/>
      <w:bookmarkEnd w:id="79"/>
    </w:p>
    <w:p w14:paraId="087BB9CB" w14:textId="57BB4246" w:rsidR="00C22214" w:rsidRPr="00BD5DBD" w:rsidRDefault="00C22214" w:rsidP="00C22214">
      <w:pPr>
        <w:rPr>
          <w:bCs/>
          <w:szCs w:val="22"/>
        </w:rPr>
      </w:pPr>
      <w:r w:rsidRPr="00BD5DBD">
        <w:rPr>
          <w:bCs/>
          <w:szCs w:val="22"/>
        </w:rPr>
        <w:t xml:space="preserve">The </w:t>
      </w:r>
      <w:hyperlink r:id="rId61" w:history="1">
        <w:r w:rsidRPr="00BD5DBD">
          <w:rPr>
            <w:rStyle w:val="Hyperlink"/>
            <w:szCs w:val="22"/>
          </w:rPr>
          <w:t>Advisory Committee on Vaccines (ACV)</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71B4E380" w14:textId="52485328" w:rsidR="00F32401" w:rsidRPr="00F32401" w:rsidRDefault="00F32401" w:rsidP="00F32401">
      <w:r w:rsidRPr="00F32401">
        <w:t>The ACV advised the following in response to the Delegate’s specific request for advice:</w:t>
      </w:r>
    </w:p>
    <w:p w14:paraId="43889585" w14:textId="34CFEE93" w:rsidR="00F32401" w:rsidRPr="00F32401" w:rsidRDefault="00F32401" w:rsidP="00F32401">
      <w:pPr>
        <w:pStyle w:val="Numberbullet0"/>
        <w:rPr>
          <w:b/>
          <w:bCs/>
          <w:i/>
          <w:iCs/>
        </w:rPr>
      </w:pPr>
      <w:r w:rsidRPr="00F32401">
        <w:rPr>
          <w:b/>
          <w:bCs/>
          <w:i/>
          <w:iCs/>
        </w:rPr>
        <w:t>Does ACV consider that there is a favourable benefit-risk balance to recommend provisional approval of the Comirnaty (original) vaccine as a second booster (Dose 4) in individuals 18 years and older?</w:t>
      </w:r>
    </w:p>
    <w:p w14:paraId="69DCD812" w14:textId="77777777" w:rsidR="00F32401" w:rsidRDefault="00F32401" w:rsidP="00F32401">
      <w:r>
        <w:lastRenderedPageBreak/>
        <w:t>The ACV advised that there is a favourable benefit-risk balance for provisional approval of Comirnaty (tozinameran) as a second and subsequent booster in individuals 18 years and older, at least 4 months after an earlier booster dose.</w:t>
      </w:r>
    </w:p>
    <w:p w14:paraId="6566AF37" w14:textId="128BD636" w:rsidR="00F32401" w:rsidRDefault="00F32401" w:rsidP="00F32401">
      <w:r>
        <w:t>The ACV advice reflected:</w:t>
      </w:r>
    </w:p>
    <w:p w14:paraId="4B826BE1" w14:textId="7DCDE1A7" w:rsidR="00F32401" w:rsidRDefault="00F32401" w:rsidP="00F32401">
      <w:pPr>
        <w:pStyle w:val="ListBullet"/>
      </w:pPr>
      <w:r>
        <w:t>substantial real-world experience in Australia of Comirnaty used as a second booster dose prior to the availability of the bivalent vaccines</w:t>
      </w:r>
    </w:p>
    <w:p w14:paraId="6571694F" w14:textId="345B7199" w:rsidR="00F32401" w:rsidRDefault="00F32401" w:rsidP="00F32401">
      <w:pPr>
        <w:pStyle w:val="ListBullet"/>
      </w:pPr>
      <w:r>
        <w:t>real-world effectiveness on rates of severe infection, hospitalisation and mortality are supportive</w:t>
      </w:r>
    </w:p>
    <w:p w14:paraId="4AE1DBFB" w14:textId="02910B6E" w:rsidR="00F32401" w:rsidRDefault="00F32401" w:rsidP="00F32401">
      <w:pPr>
        <w:pStyle w:val="ListBullet"/>
      </w:pPr>
      <w:proofErr w:type="spellStart"/>
      <w:r>
        <w:t>AusVaxSafety</w:t>
      </w:r>
      <w:proofErr w:type="spellEnd"/>
      <w:r>
        <w:t xml:space="preserve"> data on 1.1 million doses of Comirnaty Dose 3/boosters in adults, with less than 1% of patients reporting a medical attendance, and the adverse effect profile </w:t>
      </w:r>
      <w:proofErr w:type="gramStart"/>
      <w:r>
        <w:t>similar to</w:t>
      </w:r>
      <w:proofErr w:type="gramEnd"/>
      <w:r>
        <w:t xml:space="preserve"> that following Dose 2.</w:t>
      </w:r>
    </w:p>
    <w:p w14:paraId="55C115AE" w14:textId="1ED660E3" w:rsidR="00F32401" w:rsidRPr="00F32401" w:rsidRDefault="00F32401" w:rsidP="00F32401">
      <w:pPr>
        <w:pStyle w:val="Numberbullet0"/>
        <w:rPr>
          <w:b/>
          <w:bCs/>
          <w:i/>
          <w:iCs/>
        </w:rPr>
      </w:pPr>
      <w:r w:rsidRPr="00F32401">
        <w:rPr>
          <w:b/>
          <w:bCs/>
          <w:i/>
          <w:iCs/>
        </w:rPr>
        <w:t>Does ACV consider that the indication for Comirnaty (original) vaccine as a second booster (Dose 4) should include individuals 12 to 17 years of age?</w:t>
      </w:r>
    </w:p>
    <w:p w14:paraId="6B69AAD2" w14:textId="77777777" w:rsidR="00F32401" w:rsidRDefault="00F32401" w:rsidP="00F32401">
      <w:r>
        <w:t>The ACV advised that as there was no clinical trial data on safety or reactogenicity after Dose 4 in adolescents it was not possible to find a favourable benefit-risk balance for provisional approval of Comirnaty (tozinameran) as a second booster in individuals 12 to 17 years of age.</w:t>
      </w:r>
    </w:p>
    <w:p w14:paraId="4FCB28BC" w14:textId="43CF06E2" w:rsidR="00F32401" w:rsidRDefault="00F32401" w:rsidP="00F32401">
      <w:r>
        <w:t xml:space="preserve">The ACV noted that use of an additional dose has been recommended by the </w:t>
      </w:r>
      <w:r w:rsidRPr="00F32401">
        <w:t>Australian Technical Advisory Group on Immunisation</w:t>
      </w:r>
      <w:r>
        <w:t xml:space="preserve"> (ATAGI) for individuals in this age group who have underlying risk factors for developing severe COVID-19, for example immunocompromise, but this is not the indication proposed by the sponsor.</w:t>
      </w:r>
    </w:p>
    <w:p w14:paraId="3FE6843F" w14:textId="5BC173EF" w:rsidR="00F32401" w:rsidRDefault="00F32401" w:rsidP="00F32401">
      <w:r>
        <w:t>The ACV noted the unknown risk of myocarditis/ pericarditis following a second booster (Dose 4) in individuals 12 to 17 years of age.</w:t>
      </w:r>
    </w:p>
    <w:p w14:paraId="096C3776" w14:textId="5A3F2CC0" w:rsidR="00F32401" w:rsidRPr="00F32401" w:rsidRDefault="00F32401" w:rsidP="00F32401">
      <w:pPr>
        <w:pStyle w:val="Numberbullet0"/>
        <w:rPr>
          <w:b/>
          <w:bCs/>
          <w:i/>
          <w:iCs/>
        </w:rPr>
      </w:pPr>
      <w:r w:rsidRPr="00F32401">
        <w:rPr>
          <w:b/>
          <w:bCs/>
          <w:i/>
          <w:iCs/>
        </w:rPr>
        <w:t>Can the ACV comment on the real-world data influence (if any) on decision making regarding this submission?</w:t>
      </w:r>
    </w:p>
    <w:p w14:paraId="179863CA" w14:textId="629F2CB6" w:rsidR="00F32401" w:rsidRDefault="00F32401" w:rsidP="00F32401">
      <w:r>
        <w:t>The ACV advised that the real-world data is highly complementary to the immunogenicity and safety data from controlled trials.</w:t>
      </w:r>
    </w:p>
    <w:p w14:paraId="4C38FF85" w14:textId="637AA325" w:rsidR="00F32401" w:rsidRDefault="00F32401" w:rsidP="00F32401">
      <w:r>
        <w:t xml:space="preserve">Real-world effectiveness data against severe infection, </w:t>
      </w:r>
      <w:proofErr w:type="gramStart"/>
      <w:r>
        <w:t>hospitalisation</w:t>
      </w:r>
      <w:proofErr w:type="gramEnd"/>
      <w:r>
        <w:t xml:space="preserve"> and mortality, particularly in the elderly and people in residential care facilities, appears favourable, including data recently analysed from Australia.</w:t>
      </w:r>
    </w:p>
    <w:p w14:paraId="41AF6191" w14:textId="72985775" w:rsidR="00F32401" w:rsidRDefault="00F32401" w:rsidP="00F32401">
      <w:r>
        <w:t>While vaccine effectiveness estimates from real-world data do vary considerably, likely due to differences in study methodology, including the specific populations studied, and circulating strains at the time of the studies, they still indicate a positive benefit-risk profile.</w:t>
      </w:r>
    </w:p>
    <w:p w14:paraId="003EBFC3" w14:textId="56DC0753" w:rsidR="00F32401" w:rsidRPr="00F32401" w:rsidRDefault="00F32401" w:rsidP="00F32401">
      <w:pPr>
        <w:pStyle w:val="Numberbullet0"/>
        <w:rPr>
          <w:b/>
          <w:bCs/>
          <w:i/>
          <w:iCs/>
        </w:rPr>
      </w:pPr>
      <w:r w:rsidRPr="00F32401">
        <w:rPr>
          <w:b/>
          <w:bCs/>
          <w:i/>
          <w:iCs/>
        </w:rPr>
        <w:t>Can the ACV comment on any specific risk mitigation strategies required for the booster dose?</w:t>
      </w:r>
    </w:p>
    <w:p w14:paraId="024F4547" w14:textId="77777777" w:rsidR="00F32401" w:rsidRDefault="00F32401" w:rsidP="00F32401">
      <w:r>
        <w:t>The ACV advised that robust communication strategies continue to be needed for primary care as to the vaccines approved for which age groups and the interval since the prior dose and/or infection to ensure vaccines are delivered appropriately.</w:t>
      </w:r>
    </w:p>
    <w:p w14:paraId="3621796E" w14:textId="2B687372" w:rsidR="00F32401" w:rsidRPr="00F32401" w:rsidRDefault="00F32401" w:rsidP="00F32401">
      <w:pPr>
        <w:pStyle w:val="Numberbullet0"/>
        <w:rPr>
          <w:b/>
          <w:bCs/>
          <w:i/>
          <w:iCs/>
        </w:rPr>
      </w:pPr>
      <w:r w:rsidRPr="00F32401">
        <w:rPr>
          <w:b/>
          <w:bCs/>
          <w:i/>
          <w:iCs/>
        </w:rPr>
        <w:t xml:space="preserve">The committee is also requested to provide advice on any other issues that it thinks may be relevant to a decision on </w:t>
      </w:r>
      <w:proofErr w:type="gramStart"/>
      <w:r w:rsidRPr="00F32401">
        <w:rPr>
          <w:b/>
          <w:bCs/>
          <w:i/>
          <w:iCs/>
        </w:rPr>
        <w:t>whether or not</w:t>
      </w:r>
      <w:proofErr w:type="gramEnd"/>
      <w:r w:rsidRPr="00F32401">
        <w:rPr>
          <w:b/>
          <w:bCs/>
          <w:i/>
          <w:iCs/>
        </w:rPr>
        <w:t xml:space="preserve"> to approve this application.</w:t>
      </w:r>
    </w:p>
    <w:p w14:paraId="3D3C417F" w14:textId="4CCAAC8F" w:rsidR="00F32401" w:rsidRDefault="00F32401" w:rsidP="00F32401">
      <w:r>
        <w:t>The ACV noted that the use of ordinal numbers to describe additional COVID-19 vaccine doses (for example, third dose; Dose 4) is becoming problematic as, for example, the primary series may be 2 or 3 doses and the first dose of a bivalent vaccine may be the fifth dose of any COVID</w:t>
      </w:r>
      <w:r>
        <w:noBreakHyphen/>
        <w:t xml:space="preserve">19 vaccine. The use of the term ‘booster’ is also becoming dated. The ACV supported consistency in terminology across clinical and consumer documents, including with the official </w:t>
      </w:r>
      <w:r>
        <w:lastRenderedPageBreak/>
        <w:t>guidelines mentioned in the approved indication, potentially using more generic terms such as additional or repeat doses.</w:t>
      </w:r>
    </w:p>
    <w:p w14:paraId="19A59B27" w14:textId="4BA9892A" w:rsidR="00F32401" w:rsidRPr="00F32401" w:rsidRDefault="00F32401" w:rsidP="00F32401">
      <w:r>
        <w:t>The ACV comments on this point apply across the range of COVID-19 vaccines.</w:t>
      </w:r>
    </w:p>
    <w:p w14:paraId="5291EA2A" w14:textId="77777777" w:rsidR="00C22214" w:rsidRPr="00F73346" w:rsidRDefault="00C22214" w:rsidP="00C22214">
      <w:pPr>
        <w:pStyle w:val="Heading5"/>
      </w:pPr>
      <w:r w:rsidRPr="00F73346">
        <w:t>Conclusion</w:t>
      </w:r>
    </w:p>
    <w:p w14:paraId="2C69BEA8" w14:textId="77777777" w:rsidR="00F32401" w:rsidRPr="00F32401" w:rsidRDefault="00F32401" w:rsidP="00F32401">
      <w:pPr>
        <w:rPr>
          <w:szCs w:val="22"/>
        </w:rPr>
      </w:pPr>
      <w:r w:rsidRPr="00F32401">
        <w:rPr>
          <w:szCs w:val="22"/>
        </w:rPr>
        <w:t>The ACV considered this vaccine to have an overall positive benefit-risk profile for the dosage:</w:t>
      </w:r>
    </w:p>
    <w:p w14:paraId="1496124C" w14:textId="03DC4F6D" w:rsidR="00F32401" w:rsidRPr="00BD5DBD" w:rsidRDefault="00F32401" w:rsidP="00F32401">
      <w:pPr>
        <w:ind w:left="720"/>
        <w:rPr>
          <w:szCs w:val="22"/>
        </w:rPr>
      </w:pPr>
      <w:r w:rsidRPr="00F32401">
        <w:rPr>
          <w:i/>
          <w:iCs/>
          <w:szCs w:val="22"/>
        </w:rPr>
        <w:t>C</w:t>
      </w:r>
      <w:r>
        <w:rPr>
          <w:i/>
          <w:iCs/>
          <w:szCs w:val="22"/>
        </w:rPr>
        <w:t xml:space="preserve">omirnaty </w:t>
      </w:r>
      <w:r w:rsidRPr="00F32401">
        <w:rPr>
          <w:i/>
          <w:iCs/>
          <w:szCs w:val="22"/>
        </w:rPr>
        <w:t xml:space="preserve">COVID-19 </w:t>
      </w:r>
      <w:r>
        <w:rPr>
          <w:i/>
          <w:iCs/>
          <w:szCs w:val="22"/>
        </w:rPr>
        <w:t>vaccine</w:t>
      </w:r>
      <w:r w:rsidRPr="00F32401">
        <w:rPr>
          <w:i/>
          <w:iCs/>
          <w:szCs w:val="22"/>
        </w:rPr>
        <w:t xml:space="preserve"> 30 micrograms may be administered to individuals 18 years of age and older at least 4 months after a previous booster dose of any COVID</w:t>
      </w:r>
      <w:r>
        <w:rPr>
          <w:i/>
          <w:iCs/>
          <w:szCs w:val="22"/>
        </w:rPr>
        <w:t>-</w:t>
      </w:r>
      <w:r w:rsidRPr="00F32401">
        <w:rPr>
          <w:i/>
          <w:iCs/>
          <w:szCs w:val="22"/>
        </w:rPr>
        <w:t>19 vaccine</w:t>
      </w:r>
      <w:r w:rsidRPr="00F32401">
        <w:rPr>
          <w:szCs w:val="22"/>
        </w:rPr>
        <w:t>.</w:t>
      </w:r>
    </w:p>
    <w:p w14:paraId="307F236C" w14:textId="77777777" w:rsidR="00C22214" w:rsidRPr="002E238E" w:rsidRDefault="00C22214" w:rsidP="00C22214">
      <w:pPr>
        <w:pStyle w:val="Heading2"/>
      </w:pPr>
      <w:bookmarkStart w:id="82" w:name="_Toc103679300"/>
      <w:bookmarkStart w:id="83" w:name="_Toc144806168"/>
      <w:r>
        <w:t>Outcome</w:t>
      </w:r>
      <w:bookmarkEnd w:id="80"/>
      <w:bookmarkEnd w:id="81"/>
      <w:bookmarkEnd w:id="82"/>
      <w:bookmarkEnd w:id="83"/>
    </w:p>
    <w:p w14:paraId="0F83A17A" w14:textId="6EB205DF" w:rsidR="002E77AA" w:rsidRDefault="00C22214" w:rsidP="002E77AA">
      <w:r w:rsidRPr="00BD5DBD">
        <w:t xml:space="preserve">Based on a review of quality, safety, and efficacy, the TGA approved </w:t>
      </w:r>
      <w:r w:rsidR="002E77AA">
        <w:t>the registration of Comirnaty (</w:t>
      </w:r>
      <w:r w:rsidR="002E77AA" w:rsidRPr="00D3609A">
        <w:rPr>
          <w:szCs w:val="22"/>
        </w:rPr>
        <w:t>tozinameran</w:t>
      </w:r>
      <w:r w:rsidR="002E77AA">
        <w:rPr>
          <w:szCs w:val="22"/>
        </w:rPr>
        <w:t xml:space="preserve">) </w:t>
      </w:r>
      <w:r w:rsidR="002E77AA" w:rsidRPr="00D3609A">
        <w:rPr>
          <w:szCs w:val="22"/>
        </w:rPr>
        <w:t xml:space="preserve">30 </w:t>
      </w:r>
      <w:r w:rsidR="002E77AA">
        <w:rPr>
          <w:szCs w:val="22"/>
        </w:rPr>
        <w:sym w:font="Symbol" w:char="F06D"/>
      </w:r>
      <w:r w:rsidR="002E77AA" w:rsidRPr="00D3609A">
        <w:rPr>
          <w:szCs w:val="22"/>
        </w:rPr>
        <w:t>g/ 0.3</w:t>
      </w:r>
      <w:r w:rsidR="002E77AA">
        <w:rPr>
          <w:szCs w:val="22"/>
        </w:rPr>
        <w:t xml:space="preserve"> </w:t>
      </w:r>
      <w:r w:rsidR="002E77AA" w:rsidRPr="00D3609A">
        <w:rPr>
          <w:szCs w:val="22"/>
        </w:rPr>
        <w:t>mL</w:t>
      </w:r>
      <w:r w:rsidR="002E77AA">
        <w:rPr>
          <w:szCs w:val="22"/>
        </w:rPr>
        <w:t xml:space="preserve"> suspension for injection,</w:t>
      </w:r>
      <w:r w:rsidR="00CE770D">
        <w:rPr>
          <w:szCs w:val="22"/>
        </w:rPr>
        <w:t xml:space="preserve"> </w:t>
      </w:r>
      <w:r w:rsidR="002E77AA">
        <w:rPr>
          <w:szCs w:val="22"/>
        </w:rPr>
        <w:t>vial, change in dose regimen to:</w:t>
      </w:r>
    </w:p>
    <w:p w14:paraId="79EBC40F" w14:textId="77777777" w:rsidR="002E77AA" w:rsidRPr="00867496" w:rsidRDefault="002E77AA" w:rsidP="00867496">
      <w:pPr>
        <w:ind w:left="720"/>
        <w:rPr>
          <w:i/>
          <w:iCs/>
        </w:rPr>
      </w:pPr>
      <w:r w:rsidRPr="00867496">
        <w:rPr>
          <w:i/>
          <w:iCs/>
        </w:rPr>
        <w:t>Individuals 12 years of age and older</w:t>
      </w:r>
    </w:p>
    <w:p w14:paraId="3706146C" w14:textId="5C74B0BB" w:rsidR="002E77AA" w:rsidRPr="00867496" w:rsidRDefault="002E77AA" w:rsidP="00867496">
      <w:pPr>
        <w:ind w:left="720"/>
      </w:pPr>
      <w:r w:rsidRPr="00867496">
        <w:t>Comirnaty is administered intramuscularly after dilution as a primary course of 2 doses at least 21 days apart. See dosing instructions below.</w:t>
      </w:r>
    </w:p>
    <w:p w14:paraId="7F4A39D0" w14:textId="77777777" w:rsidR="002E77AA" w:rsidRPr="00867496" w:rsidRDefault="002E77AA" w:rsidP="00867496">
      <w:pPr>
        <w:ind w:left="720"/>
        <w:rPr>
          <w:i/>
          <w:iCs/>
        </w:rPr>
      </w:pPr>
      <w:r w:rsidRPr="00867496">
        <w:rPr>
          <w:i/>
          <w:iCs/>
        </w:rPr>
        <w:t>Booster dose in individuals 12 years of age and older</w:t>
      </w:r>
    </w:p>
    <w:p w14:paraId="79E6F0BA" w14:textId="7FBD4439" w:rsidR="002E77AA" w:rsidRPr="00867496" w:rsidRDefault="002E77AA" w:rsidP="00867496">
      <w:pPr>
        <w:ind w:left="720"/>
      </w:pPr>
      <w:r w:rsidRPr="00867496">
        <w:t>A first booster dose of Comirnaty may be administered intramuscularly at least 6 months after the completion of a COVID-19 vaccine primary series in individuals 12 years of age and older.</w:t>
      </w:r>
    </w:p>
    <w:p w14:paraId="504C68EB" w14:textId="3305A796" w:rsidR="002E77AA" w:rsidRPr="00867496" w:rsidRDefault="002E77AA" w:rsidP="00867496">
      <w:pPr>
        <w:ind w:left="720"/>
      </w:pPr>
      <w:r w:rsidRPr="00867496">
        <w:t>Subsequent doses of Comirnaty may be administered to individuals 18 years of age and older at least 3 months after a previous booster dose of Comirnaty.</w:t>
      </w:r>
    </w:p>
    <w:p w14:paraId="1E427D11" w14:textId="78922FA8" w:rsidR="002E77AA" w:rsidRPr="00867496" w:rsidRDefault="002E77AA" w:rsidP="00867496">
      <w:pPr>
        <w:ind w:left="720"/>
      </w:pPr>
      <w:r w:rsidRPr="00867496">
        <w:t>The decision when and for whom to implement a booster dose of Comirnaty should be made based on available vaccine safety and effectiveness data (see sections 4.4 Special warnings and precautions for use and 5.1 Pharmacodynamic properties), in accordance with official recommendations.</w:t>
      </w:r>
    </w:p>
    <w:p w14:paraId="77C4BEC1" w14:textId="77777777" w:rsidR="002E77AA" w:rsidRPr="00867496" w:rsidRDefault="002E77AA" w:rsidP="00867496">
      <w:pPr>
        <w:ind w:left="720"/>
        <w:rPr>
          <w:i/>
          <w:iCs/>
        </w:rPr>
      </w:pPr>
      <w:r w:rsidRPr="00867496">
        <w:rPr>
          <w:i/>
          <w:iCs/>
        </w:rPr>
        <w:t>Interchangeability</w:t>
      </w:r>
    </w:p>
    <w:p w14:paraId="29BBC7C9" w14:textId="123776B7" w:rsidR="002E77AA" w:rsidRPr="00867496" w:rsidRDefault="002E77AA" w:rsidP="00867496">
      <w:pPr>
        <w:ind w:left="720"/>
      </w:pPr>
      <w:r w:rsidRPr="00867496">
        <w:t>There are limited data on the interchangeability of Comirnaty with other COVID-19 vaccines to complete the primary vaccination course or the booster dose. Individuals who have received 1 dose of Comirnaty should preferably receive a second dose of Comirnaty to complete the primary vaccination course and for any additional doses.</w:t>
      </w:r>
    </w:p>
    <w:p w14:paraId="23EC254A" w14:textId="77777777" w:rsidR="002E77AA" w:rsidRPr="00867496" w:rsidRDefault="002E77AA" w:rsidP="00867496">
      <w:pPr>
        <w:ind w:left="720"/>
        <w:rPr>
          <w:i/>
          <w:iCs/>
        </w:rPr>
      </w:pPr>
      <w:r w:rsidRPr="00867496">
        <w:rPr>
          <w:i/>
          <w:iCs/>
        </w:rPr>
        <w:t>Severely immunocompromised aged 12 years and older</w:t>
      </w:r>
    </w:p>
    <w:p w14:paraId="1B829C2C" w14:textId="7EBDE778" w:rsidR="002E77AA" w:rsidRPr="00867496" w:rsidRDefault="002E77AA" w:rsidP="00867496">
      <w:pPr>
        <w:ind w:left="720"/>
      </w:pPr>
      <w:r w:rsidRPr="00867496">
        <w:t>In accordance with official recommendations, a third dose may be given, as part of the primary series, at least 28 days after the second dose to individuals who are severely immunocompromised (see section 4.4 Special warnings and precautions for use).</w:t>
      </w:r>
    </w:p>
    <w:p w14:paraId="7CADFAC1" w14:textId="77777777" w:rsidR="002E77AA" w:rsidRPr="00867496" w:rsidRDefault="002E77AA" w:rsidP="00867496">
      <w:pPr>
        <w:ind w:left="720"/>
        <w:rPr>
          <w:i/>
          <w:iCs/>
        </w:rPr>
      </w:pPr>
      <w:r w:rsidRPr="00867496">
        <w:rPr>
          <w:i/>
          <w:iCs/>
        </w:rPr>
        <w:t>Elderly population</w:t>
      </w:r>
    </w:p>
    <w:p w14:paraId="0DE364AD" w14:textId="7DD13738" w:rsidR="002E77AA" w:rsidRPr="00867496" w:rsidRDefault="002E77AA" w:rsidP="00867496">
      <w:pPr>
        <w:ind w:left="720"/>
      </w:pPr>
      <w:r w:rsidRPr="00867496">
        <w:t>No dosage adjustment is required in elderly individuals ≥ 65 years of age.</w:t>
      </w:r>
    </w:p>
    <w:p w14:paraId="451DC3FC" w14:textId="77777777" w:rsidR="00C22214" w:rsidRDefault="00C22214" w:rsidP="00C22214">
      <w:pPr>
        <w:pStyle w:val="Heading2"/>
      </w:pPr>
      <w:bookmarkStart w:id="84" w:name="_Toc103679303"/>
      <w:bookmarkStart w:id="85" w:name="_Toc144806169"/>
      <w:r>
        <w:t>Attachment 1. Product Information</w:t>
      </w:r>
      <w:bookmarkEnd w:id="84"/>
      <w:bookmarkEnd w:id="85"/>
    </w:p>
    <w:p w14:paraId="40740B65" w14:textId="4C337399" w:rsidR="00C22214" w:rsidRPr="002E77AA" w:rsidRDefault="00C22214" w:rsidP="002E77AA">
      <w:pPr>
        <w:rPr>
          <w:szCs w:val="22"/>
        </w:rPr>
      </w:pPr>
      <w:r w:rsidRPr="00BD5DBD">
        <w:rPr>
          <w:szCs w:val="22"/>
        </w:rPr>
        <w:t xml:space="preserve">The PI for </w:t>
      </w:r>
      <w:r w:rsidR="002E77AA">
        <w:rPr>
          <w:szCs w:val="22"/>
        </w:rPr>
        <w:t>Comirnaty</w:t>
      </w:r>
      <w:r w:rsidRPr="00BD5DBD">
        <w:rPr>
          <w:szCs w:val="22"/>
        </w:rPr>
        <w:t xml:space="preserve"> approved with the submission which is described in this AusPAR is at Attachment 1. For the most recent PI, please refer to the TGA </w:t>
      </w:r>
      <w:hyperlink r:id="rId62" w:history="1">
        <w:r w:rsidRPr="00BD5DBD">
          <w:rPr>
            <w:rStyle w:val="Hyperlink"/>
            <w:szCs w:val="22"/>
          </w:rPr>
          <w:t>PI/CMI search facility.</w:t>
        </w:r>
      </w:hyperlink>
      <w:r w:rsidRPr="00C80137">
        <w:rPr>
          <w:b/>
        </w:rPr>
        <w:br w:type="page"/>
      </w:r>
    </w:p>
    <w:p w14:paraId="53357BF3" w14:textId="276457B5" w:rsidR="00C22214" w:rsidRDefault="00C22214" w:rsidP="00C22214">
      <w:pPr>
        <w:rPr>
          <w:lang w:eastAsia="ja-JP"/>
        </w:rPr>
        <w:sectPr w:rsidR="00C22214" w:rsidSect="007452E8">
          <w:headerReference w:type="default" r:id="rId63"/>
          <w:footerReference w:type="default" r:id="rId6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65E6F7BF" w:rsidR="00F02AEC" w:rsidRDefault="00F02AEC">
            <w:pPr>
              <w:pStyle w:val="Address"/>
              <w:jc w:val="center"/>
              <w:rPr>
                <w:sz w:val="22"/>
                <w:szCs w:val="22"/>
              </w:rPr>
            </w:pPr>
            <w:r w:rsidRPr="00215D48">
              <w:t xml:space="preserve">Email: </w:t>
            </w:r>
            <w:hyperlink r:id="rId65" w:history="1">
              <w:r w:rsidRPr="00215D48">
                <w:rPr>
                  <w:rStyle w:val="Hyperlink"/>
                </w:rPr>
                <w:t>info@tga.gov.au</w:t>
              </w:r>
            </w:hyperlink>
            <w:r w:rsidR="00A80B0C">
              <w:t xml:space="preserve"> </w:t>
            </w:r>
            <w:r w:rsidRPr="00215D48">
              <w:t>Phone: 1800 020 653</w:t>
            </w:r>
            <w:r w:rsidR="00A80B0C">
              <w:t xml:space="preserve"> </w:t>
            </w:r>
            <w:r w:rsidRPr="00215D48">
              <w:t xml:space="preserve">Fax: </w:t>
            </w:r>
            <w:r w:rsidRPr="00BA0DFC">
              <w:t>02 6203 1605</w:t>
            </w:r>
          </w:p>
          <w:p w14:paraId="4533D80F" w14:textId="765B66DA" w:rsidR="00F02AEC" w:rsidRPr="00215D48" w:rsidRDefault="00B30EE0">
            <w:pPr>
              <w:pStyle w:val="Address"/>
              <w:jc w:val="center"/>
              <w:rPr>
                <w:rStyle w:val="Hyperlink"/>
                <w:b/>
                <w:color w:val="auto"/>
                <w:sz w:val="22"/>
              </w:rPr>
            </w:pPr>
            <w:hyperlink r:id="rId66"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67"/>
      <w:footerReference w:type="first" r:id="rId6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1A05" w14:textId="77777777" w:rsidR="001840DC" w:rsidRDefault="001840DC" w:rsidP="00F02AEC">
      <w:pPr>
        <w:spacing w:after="0" w:line="240" w:lineRule="auto"/>
      </w:pPr>
      <w:r>
        <w:separator/>
      </w:r>
    </w:p>
  </w:endnote>
  <w:endnote w:type="continuationSeparator" w:id="0">
    <w:p w14:paraId="166DD84A" w14:textId="77777777" w:rsidR="001840DC" w:rsidRDefault="001840DC"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1367F" w:rsidRPr="00257138" w14:paraId="162D69C2" w14:textId="77777777" w:rsidTr="007452E8">
      <w:trPr>
        <w:trHeight w:val="423"/>
      </w:trPr>
      <w:tc>
        <w:tcPr>
          <w:tcW w:w="4360" w:type="dxa"/>
          <w:tcBorders>
            <w:top w:val="single" w:sz="4" w:space="0" w:color="auto"/>
          </w:tcBorders>
        </w:tcPr>
        <w:p w14:paraId="32E1B782" w14:textId="77777777" w:rsidR="0051367F" w:rsidRDefault="0051367F" w:rsidP="007452E8">
          <w:pPr>
            <w:pStyle w:val="Footer"/>
          </w:pPr>
        </w:p>
        <w:p w14:paraId="1849C07C" w14:textId="77777777" w:rsidR="0051367F" w:rsidRPr="00257138" w:rsidRDefault="0051367F"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51367F" w:rsidRDefault="0051367F" w:rsidP="007452E8">
              <w:pPr>
                <w:pStyle w:val="Footer"/>
                <w:jc w:val="right"/>
              </w:pPr>
            </w:p>
            <w:p w14:paraId="5EDE6DF6" w14:textId="77777777" w:rsidR="0051367F" w:rsidRPr="00257138" w:rsidRDefault="0051367F"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51367F" w:rsidRPr="00257138" w14:paraId="280F09C8" w14:textId="77777777" w:rsidTr="007452E8">
      <w:trPr>
        <w:trHeight w:val="263"/>
      </w:trPr>
      <w:tc>
        <w:tcPr>
          <w:tcW w:w="4360" w:type="dxa"/>
        </w:tcPr>
        <w:p w14:paraId="673F06D3" w14:textId="77777777" w:rsidR="0051367F" w:rsidRPr="00257138" w:rsidRDefault="0051367F" w:rsidP="007452E8">
          <w:pPr>
            <w:pStyle w:val="Footer"/>
          </w:pPr>
          <w:r w:rsidRPr="00257138">
            <w:t xml:space="preserve">V1.0 </w:t>
          </w:r>
          <w:r>
            <w:t>Month</w:t>
          </w:r>
          <w:r w:rsidRPr="00257138">
            <w:t xml:space="preserve"> 201</w:t>
          </w:r>
          <w:r>
            <w:t>2</w:t>
          </w:r>
        </w:p>
      </w:tc>
      <w:tc>
        <w:tcPr>
          <w:tcW w:w="4360" w:type="dxa"/>
        </w:tcPr>
        <w:p w14:paraId="77F5B433" w14:textId="77777777" w:rsidR="0051367F" w:rsidRPr="00257138" w:rsidRDefault="0051367F" w:rsidP="007452E8">
          <w:pPr>
            <w:pStyle w:val="Footer"/>
            <w:jc w:val="right"/>
          </w:pPr>
        </w:p>
      </w:tc>
    </w:tr>
  </w:tbl>
  <w:p w14:paraId="63F6FDDE" w14:textId="77777777" w:rsidR="0051367F" w:rsidRPr="00826007" w:rsidRDefault="0051367F"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51367F" w:rsidRDefault="0051367F"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51367F" w:rsidRPr="004A3084" w14:paraId="6266BC33" w14:textId="77777777" w:rsidTr="007452E8">
      <w:trPr>
        <w:trHeight w:val="423"/>
      </w:trPr>
      <w:tc>
        <w:tcPr>
          <w:tcW w:w="7338" w:type="dxa"/>
          <w:tcBorders>
            <w:top w:val="single" w:sz="4" w:space="0" w:color="auto"/>
          </w:tcBorders>
        </w:tcPr>
        <w:p w14:paraId="3C421323" w14:textId="7721B78E" w:rsidR="0051367F" w:rsidRPr="004A3084" w:rsidRDefault="0051367F" w:rsidP="007452E8">
          <w:pPr>
            <w:pStyle w:val="Footer"/>
          </w:pPr>
          <w:r w:rsidRPr="00487162">
            <w:t>AusPA</w:t>
          </w:r>
          <w:r>
            <w:t>R - Comirnaty -</w:t>
          </w:r>
          <w:r w:rsidRPr="00460036">
            <w:t xml:space="preserve"> </w:t>
          </w:r>
          <w:r w:rsidRPr="00D3609A">
            <w:t>tozinameran - Pfizer Australia Pty Ltd - PM-2022-04970-1-2</w:t>
          </w:r>
          <w:r>
            <w:br/>
          </w:r>
          <w:r w:rsidR="00237257">
            <w:t>FINAL</w:t>
          </w:r>
          <w:r w:rsidR="00867496">
            <w:t xml:space="preserve"> </w:t>
          </w:r>
          <w:r w:rsidR="00714AC8">
            <w:t>11</w:t>
          </w:r>
          <w:r w:rsidR="000064F8">
            <w:t xml:space="preserve"> September </w:t>
          </w:r>
          <w:r w:rsidR="00867496">
            <w:t>2023</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3710CAFE" w:rsidR="0051367F" w:rsidRPr="004A3084" w:rsidRDefault="0051367F" w:rsidP="007452E8">
              <w:pPr>
                <w:pStyle w:val="Footer"/>
                <w:jc w:val="right"/>
              </w:pPr>
              <w:r w:rsidRPr="004A3084">
                <w:t xml:space="preserve">Page </w:t>
              </w:r>
              <w:r>
                <w:fldChar w:fldCharType="begin"/>
              </w:r>
              <w:r>
                <w:instrText xml:space="preserve"> PAGE </w:instrText>
              </w:r>
              <w:r>
                <w:fldChar w:fldCharType="separate"/>
              </w:r>
              <w:r w:rsidR="002E74E6">
                <w:rPr>
                  <w:noProof/>
                </w:rPr>
                <w:t>7</w:t>
              </w:r>
              <w:r>
                <w:rPr>
                  <w:noProof/>
                </w:rPr>
                <w:fldChar w:fldCharType="end"/>
              </w:r>
              <w:r w:rsidRPr="004A3084">
                <w:t xml:space="preserve"> of </w:t>
              </w:r>
              <w:fldSimple w:instr=" NUMPAGES  ">
                <w:r w:rsidR="002E74E6">
                  <w:rPr>
                    <w:noProof/>
                  </w:rPr>
                  <w:t>32</w:t>
                </w:r>
              </w:fldSimple>
            </w:p>
          </w:sdtContent>
        </w:sdt>
      </w:tc>
    </w:tr>
  </w:tbl>
  <w:p w14:paraId="1A4EDE60" w14:textId="77777777" w:rsidR="0051367F" w:rsidRPr="00826007" w:rsidRDefault="0051367F"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51367F" w:rsidRPr="008E3C43" w:rsidRDefault="0051367F"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2033" w14:textId="77777777" w:rsidR="001840DC" w:rsidRDefault="001840DC" w:rsidP="00F02AEC">
      <w:pPr>
        <w:spacing w:after="0" w:line="240" w:lineRule="auto"/>
      </w:pPr>
      <w:r>
        <w:separator/>
      </w:r>
    </w:p>
  </w:footnote>
  <w:footnote w:type="continuationSeparator" w:id="0">
    <w:p w14:paraId="6E3426DA" w14:textId="77777777" w:rsidR="001840DC" w:rsidRDefault="001840DC" w:rsidP="00F02AEC">
      <w:pPr>
        <w:spacing w:after="0" w:line="240" w:lineRule="auto"/>
      </w:pPr>
      <w:r>
        <w:continuationSeparator/>
      </w:r>
    </w:p>
  </w:footnote>
  <w:footnote w:id="1">
    <w:p w14:paraId="28E2A209" w14:textId="0C35AF57" w:rsidR="00E849F1" w:rsidRDefault="00E849F1">
      <w:pPr>
        <w:pStyle w:val="FootnoteText"/>
      </w:pPr>
      <w:r>
        <w:rPr>
          <w:rStyle w:val="FootnoteReference"/>
        </w:rPr>
        <w:footnoteRef/>
      </w:r>
      <w:r>
        <w:t xml:space="preserve"> At the time this submission was considered by the TGA Comirnaty (tozinameran) was provisionally registered in Australia. Full registration was obtained for Comirnaty (tozinameran) on 13 July 2023.</w:t>
      </w:r>
    </w:p>
  </w:footnote>
  <w:footnote w:id="2">
    <w:p w14:paraId="10108E1E" w14:textId="31AF3789" w:rsidR="0051367F" w:rsidRDefault="0051367F">
      <w:pPr>
        <w:pStyle w:val="FootnoteText"/>
      </w:pPr>
      <w:r>
        <w:rPr>
          <w:rStyle w:val="FootnoteReference"/>
        </w:rPr>
        <w:footnoteRef/>
      </w:r>
      <w:r>
        <w:t xml:space="preserve"> Note that other presentations of Comirnaty (tozinameran) COVID-19 vaccine have been provisionally registered for use in younger age groups (from 6 months of age). No changes to the following presentations or dosage changes to the indicated populations are proposed in this submission:</w:t>
      </w:r>
    </w:p>
    <w:p w14:paraId="3C74A7F9" w14:textId="3079592B" w:rsidR="0051367F" w:rsidRDefault="0051367F" w:rsidP="00CF66A8">
      <w:pPr>
        <w:pStyle w:val="FootnoteText"/>
        <w:numPr>
          <w:ilvl w:val="0"/>
          <w:numId w:val="8"/>
        </w:numPr>
        <w:rPr>
          <w:i/>
        </w:rPr>
      </w:pPr>
      <w:r>
        <w:t xml:space="preserve">Comirnaty (tozinameran) COVID-19 3 µg/0.2 mL concentrated suspension for injection vial (ARTG R 393433) </w:t>
      </w:r>
      <w:r w:rsidR="00237257">
        <w:t>has provisional</w:t>
      </w:r>
      <w:r w:rsidR="00E849F1">
        <w:t xml:space="preserve"> </w:t>
      </w:r>
      <w:r>
        <w:t xml:space="preserve">registration, indicated for: </w:t>
      </w:r>
      <w:r w:rsidRPr="00CF66A8">
        <w:rPr>
          <w:i/>
        </w:rPr>
        <w:t>Active immunisation to prevent coronavirus disease 2019 (COVID-19) caused by SARS-CoV-2, in individuals 6 months of age to less than 5 years of age.</w:t>
      </w:r>
    </w:p>
    <w:p w14:paraId="5646731D" w14:textId="4E398952" w:rsidR="0051367F" w:rsidRPr="00CF66A8" w:rsidRDefault="0051367F" w:rsidP="00CF66A8">
      <w:pPr>
        <w:pStyle w:val="FootnoteText"/>
        <w:numPr>
          <w:ilvl w:val="0"/>
          <w:numId w:val="8"/>
        </w:numPr>
        <w:rPr>
          <w:i/>
        </w:rPr>
      </w:pPr>
      <w:r>
        <w:t xml:space="preserve">Comirnaty (tozinameran) COVID-19 10 µg/0.2 mL concentrated suspension for injection vial (ARTG R 377111) </w:t>
      </w:r>
      <w:r w:rsidR="00237257">
        <w:t>has provisional</w:t>
      </w:r>
      <w:r w:rsidR="00E849F1">
        <w:t xml:space="preserve"> </w:t>
      </w:r>
      <w:r>
        <w:t xml:space="preserve">registration, indicated for: </w:t>
      </w:r>
      <w:r w:rsidRPr="00CF66A8">
        <w:rPr>
          <w:i/>
        </w:rPr>
        <w:t>Active immunisation to prevent coronavirus disease 2019 (COVID-19) caused by SARS-CoV-2, in individuals 5 years of age to less than 12 years of age</w:t>
      </w:r>
      <w:r w:rsidRPr="00FD7CDA">
        <w:rPr>
          <w:i/>
        </w:rPr>
        <w:t>.</w:t>
      </w:r>
    </w:p>
  </w:footnote>
  <w:footnote w:id="3">
    <w:p w14:paraId="75DE4BA1" w14:textId="69B6110B" w:rsidR="0051367F" w:rsidRPr="00F2602C" w:rsidRDefault="0051367F" w:rsidP="00E1659D">
      <w:pPr>
        <w:pStyle w:val="FootnoteText"/>
        <w:rPr>
          <w:lang w:val="en-GB"/>
        </w:rPr>
      </w:pPr>
      <w:r>
        <w:rPr>
          <w:rStyle w:val="FootnoteReference"/>
        </w:rPr>
        <w:footnoteRef/>
      </w:r>
      <w:r>
        <w:t xml:space="preserve"> </w:t>
      </w:r>
      <w:r>
        <w:rPr>
          <w:lang w:val="en-GB"/>
        </w:rPr>
        <w:t>A variation of the primary series consisting of three doses, with the third dose (Dose 3) given at least 28 days after Dose 2 may be given to individuals with severe immunocompromise.</w:t>
      </w:r>
    </w:p>
  </w:footnote>
  <w:footnote w:id="4">
    <w:p w14:paraId="223332B0" w14:textId="4F644CEF" w:rsidR="0051367F" w:rsidRDefault="0051367F" w:rsidP="002C5362">
      <w:pPr>
        <w:pStyle w:val="FootnoteText"/>
      </w:pPr>
      <w:r>
        <w:rPr>
          <w:rStyle w:val="FootnoteReference"/>
        </w:rPr>
        <w:footnoteRef/>
      </w:r>
      <w:r>
        <w:t xml:space="preserve"> Department of Health and Aged Care (2023), Coronavirus (COVID-19) case numbers and statistics. Available at: </w:t>
      </w:r>
      <w:hyperlink r:id="rId1" w:history="1">
        <w:r>
          <w:rPr>
            <w:rStyle w:val="Hyperlink"/>
          </w:rPr>
          <w:t>https://www.health.gov.au/health-alerts/covid-19/case-numbers-and-statistics</w:t>
        </w:r>
      </w:hyperlink>
      <w:r>
        <w:t xml:space="preserve"> (accessed on </w:t>
      </w:r>
      <w:r w:rsidR="002E77AA">
        <w:t>24</w:t>
      </w:r>
      <w:r>
        <w:t xml:space="preserve"> </w:t>
      </w:r>
      <w:r w:rsidR="002E77AA">
        <w:t>August</w:t>
      </w:r>
      <w:r>
        <w:t xml:space="preserve"> 2023).</w:t>
      </w:r>
    </w:p>
  </w:footnote>
  <w:footnote w:id="5">
    <w:p w14:paraId="212C6128" w14:textId="0A3B392D" w:rsidR="0051367F" w:rsidRDefault="0051367F" w:rsidP="002C5362">
      <w:pPr>
        <w:pStyle w:val="FootnoteText"/>
      </w:pPr>
      <w:r>
        <w:rPr>
          <w:rStyle w:val="FootnoteReference"/>
        </w:rPr>
        <w:footnoteRef/>
      </w:r>
      <w:r>
        <w:t xml:space="preserve"> World Health Organization (2023) WHO Health Emergency Dashboard WHO (COVID-19) Homepage, Australia Situation. Available at: </w:t>
      </w:r>
      <w:hyperlink r:id="rId2" w:history="1">
        <w:r>
          <w:rPr>
            <w:rStyle w:val="Hyperlink"/>
          </w:rPr>
          <w:t>https://covid19.who.int/region/wpro/country/au</w:t>
        </w:r>
      </w:hyperlink>
      <w:r>
        <w:t xml:space="preserve"> (accessed on </w:t>
      </w:r>
      <w:r w:rsidR="002E77AA">
        <w:t>24</w:t>
      </w:r>
      <w:r>
        <w:t xml:space="preserve"> </w:t>
      </w:r>
      <w:r w:rsidR="002E77AA">
        <w:t>August</w:t>
      </w:r>
      <w:r>
        <w:t xml:space="preserve"> 2023).</w:t>
      </w:r>
    </w:p>
  </w:footnote>
  <w:footnote w:id="6">
    <w:p w14:paraId="3E97FF7E" w14:textId="77777777" w:rsidR="0051367F" w:rsidRDefault="0051367F" w:rsidP="002C5362">
      <w:pPr>
        <w:pStyle w:val="FootnoteText"/>
      </w:pPr>
      <w:r>
        <w:rPr>
          <w:rStyle w:val="FootnoteReference"/>
        </w:rPr>
        <w:footnoteRef/>
      </w:r>
      <w:r>
        <w:t xml:space="preserve"> </w:t>
      </w:r>
      <w:r>
        <w:t xml:space="preserve">Centers for Disease Control and Prevention (2022) Benefits of Getting A COVID-19 Vaccine. Available at: </w:t>
      </w:r>
      <w:hyperlink r:id="rId3" w:history="1">
        <w:r>
          <w:rPr>
            <w:rStyle w:val="Hyperlink"/>
          </w:rPr>
          <w:t>https://www.cdc.gov/coronavirus/2019-ncov/vaccines/vaccine-benefits.html</w:t>
        </w:r>
      </w:hyperlink>
      <w:r>
        <w:t xml:space="preserve"> (accessed on 28 February 2023).</w:t>
      </w:r>
    </w:p>
  </w:footnote>
  <w:footnote w:id="7">
    <w:p w14:paraId="683154F2" w14:textId="77777777" w:rsidR="0051367F" w:rsidRDefault="0051367F" w:rsidP="002C5362">
      <w:pPr>
        <w:pStyle w:val="FootnoteText"/>
      </w:pPr>
      <w:r>
        <w:rPr>
          <w:rStyle w:val="FootnoteReference"/>
        </w:rPr>
        <w:footnoteRef/>
      </w:r>
      <w:r>
        <w:t xml:space="preserve"> As part of the </w:t>
      </w:r>
      <w:r>
        <w:rPr>
          <w:b/>
          <w:bCs/>
        </w:rPr>
        <w:t>provisional approval pathway</w:t>
      </w:r>
      <w:r>
        <w:t xml:space="preserve">, the provisional registration process will allow certain medicines to be provisionally registered in the Australian Register of Therapeutic Goods (ARTG) for a limited duration. These medicines are registered </w:t>
      </w:r>
      <w:r>
        <w:t>on the basis of preliminary clinical data, where there is the potential for a substantial benefit to Australian patients. The TGA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4794AF64" w14:textId="77777777" w:rsidR="0051367F" w:rsidRDefault="0051367F" w:rsidP="002C5362">
      <w:pPr>
        <w:pStyle w:val="FootnoteText"/>
      </w:pPr>
      <w:r>
        <w:t>The sponsor may apply to transition to full registration at any time up until the provisional registration lapse date, once they have completed the obligations outlined for the provisional registration period and complete confirmatory data on safety and efficacy are available.</w:t>
      </w:r>
    </w:p>
  </w:footnote>
  <w:footnote w:id="8">
    <w:p w14:paraId="2E196340" w14:textId="1353E26A" w:rsidR="0051367F" w:rsidRDefault="0051367F" w:rsidP="002C5362">
      <w:pPr>
        <w:pStyle w:val="FootnoteText"/>
      </w:pPr>
      <w:r>
        <w:rPr>
          <w:rStyle w:val="FootnoteReference"/>
        </w:rPr>
        <w:footnoteRef/>
      </w:r>
      <w:r>
        <w:t xml:space="preserve"> Department of Health and Aged Care (2023) COVID-19 vaccine: Provisional registrations. Available at: </w:t>
      </w:r>
      <w:hyperlink r:id="rId4" w:history="1">
        <w:r>
          <w:rPr>
            <w:rStyle w:val="Hyperlink"/>
          </w:rPr>
          <w:t>https://www.tga.gov.au/products/covid-19/covid-19-vaccines/covid-19-vaccine-provisional-registrations</w:t>
        </w:r>
      </w:hyperlink>
    </w:p>
  </w:footnote>
  <w:footnote w:id="9">
    <w:p w14:paraId="694CD662" w14:textId="77777777" w:rsidR="0051367F" w:rsidRPr="00B63816" w:rsidRDefault="0051367F" w:rsidP="004F1F0E">
      <w:pPr>
        <w:pStyle w:val="FootnoteText"/>
        <w:rPr>
          <w:lang w:val="en-GB"/>
        </w:rPr>
      </w:pPr>
      <w:r>
        <w:rPr>
          <w:rStyle w:val="FootnoteReference"/>
        </w:rPr>
        <w:footnoteRef/>
      </w:r>
      <w:r>
        <w:t xml:space="preserve"> </w:t>
      </w:r>
      <w:r w:rsidRPr="00BA1154">
        <w:t>Link-</w:t>
      </w:r>
      <w:r w:rsidRPr="00BA1154">
        <w:t>Gelles R, Levy ME, Gaglani M, et al. Effectiveness of 2, 3, and 4 CO</w:t>
      </w:r>
      <w:r>
        <w:t xml:space="preserve">VID-19 mRNA vaccine doses among </w:t>
      </w:r>
      <w:r w:rsidRPr="00BA1154">
        <w:t>immunocompetent adults during periods when SARS</w:t>
      </w:r>
      <w:r>
        <w:t>-</w:t>
      </w:r>
      <w:r w:rsidRPr="00BA1154">
        <w:t>CoV- 2 O</w:t>
      </w:r>
      <w:r>
        <w:t>micron BA.1 and BA.2/BA.2.12.1 sublineages p</w:t>
      </w:r>
      <w:r w:rsidRPr="00BA1154">
        <w:t xml:space="preserve">redominated - VISION Network, 10 </w:t>
      </w:r>
      <w:r>
        <w:t>US s</w:t>
      </w:r>
      <w:r w:rsidRPr="00BA1154">
        <w:t xml:space="preserve">tates, December 2021-June 2022. </w:t>
      </w:r>
      <w:r w:rsidRPr="00B63816">
        <w:rPr>
          <w:i/>
        </w:rPr>
        <w:t>MMWR Morb Mortal Wkly Rep.</w:t>
      </w:r>
      <w:r w:rsidRPr="00BA1154">
        <w:t xml:space="preserve"> 2022;71(29):931-939</w:t>
      </w:r>
      <w:r>
        <w:t>.</w:t>
      </w:r>
    </w:p>
  </w:footnote>
  <w:footnote w:id="10">
    <w:p w14:paraId="43C96410" w14:textId="77777777" w:rsidR="0051367F" w:rsidRPr="000802EB" w:rsidRDefault="0051367F" w:rsidP="004F1F0E">
      <w:pPr>
        <w:pStyle w:val="FootnoteText"/>
        <w:rPr>
          <w:lang w:val="en-GB"/>
        </w:rPr>
      </w:pPr>
      <w:r>
        <w:rPr>
          <w:rStyle w:val="FootnoteReference"/>
        </w:rPr>
        <w:footnoteRef/>
      </w:r>
      <w:r>
        <w:t xml:space="preserve"> </w:t>
      </w:r>
      <w:r>
        <w:rPr>
          <w:lang w:eastAsia="ja-JP"/>
        </w:rPr>
        <w:t xml:space="preserve">Nordström P, Ballin M, Nordström A. Effectiveness of a fourth dose of mRNA COVID- 19 vaccine against all-cause mortality in long-term care facility residents and in the oldest old: A nationwide, retrospective cohort study in Sweden. </w:t>
      </w:r>
      <w:r w:rsidRPr="000802EB">
        <w:rPr>
          <w:i/>
          <w:lang w:eastAsia="ja-JP"/>
        </w:rPr>
        <w:t>Lancet Reg Health Eur.</w:t>
      </w:r>
      <w:r>
        <w:rPr>
          <w:lang w:eastAsia="ja-JP"/>
        </w:rPr>
        <w:t xml:space="preserve"> 2022;100466.</w:t>
      </w:r>
    </w:p>
  </w:footnote>
  <w:footnote w:id="11">
    <w:p w14:paraId="20109A53" w14:textId="77777777" w:rsidR="0051367F" w:rsidRPr="000802EB" w:rsidRDefault="0051367F" w:rsidP="004F1F0E">
      <w:pPr>
        <w:pStyle w:val="FootnoteText"/>
        <w:rPr>
          <w:lang w:val="en-GB"/>
        </w:rPr>
      </w:pPr>
      <w:r>
        <w:rPr>
          <w:rStyle w:val="FootnoteReference"/>
        </w:rPr>
        <w:footnoteRef/>
      </w:r>
      <w:r>
        <w:t xml:space="preserve"> </w:t>
      </w:r>
      <w:r>
        <w:rPr>
          <w:lang w:eastAsia="ja-JP"/>
        </w:rPr>
        <w:t>Grewal R, Kitchen SA, Nguyen L, et al. Effectiveness of a fourth dose of covid-19 mRNA vaccine against the omicron variant among long term care residents in Ontario, Canada: test negative design study. BMJ. 2022;</w:t>
      </w:r>
      <w:r>
        <w:rPr>
          <w:lang w:eastAsia="ja-JP"/>
        </w:rPr>
        <w:t>378:e071502.</w:t>
      </w:r>
    </w:p>
  </w:footnote>
  <w:footnote w:id="12">
    <w:p w14:paraId="37FD13D5" w14:textId="77777777" w:rsidR="0051367F" w:rsidRPr="000802EB" w:rsidRDefault="0051367F" w:rsidP="004F1F0E">
      <w:pPr>
        <w:pStyle w:val="FootnoteText"/>
        <w:rPr>
          <w:lang w:val="en-GB"/>
        </w:rPr>
      </w:pPr>
      <w:r>
        <w:rPr>
          <w:rStyle w:val="FootnoteReference"/>
        </w:rPr>
        <w:footnoteRef/>
      </w:r>
      <w:r>
        <w:t xml:space="preserve"> </w:t>
      </w:r>
      <w:r>
        <w:rPr>
          <w:lang w:eastAsia="ja-JP"/>
        </w:rPr>
        <w:t xml:space="preserve">Bar-On YM, Goldberg Y, Mandel M, et al. Protection by a Fourth Dose of BNT162b2 against Omicron in Israel. </w:t>
      </w:r>
      <w:r w:rsidRPr="000802EB">
        <w:rPr>
          <w:i/>
          <w:lang w:eastAsia="ja-JP"/>
        </w:rPr>
        <w:t xml:space="preserve">N </w:t>
      </w:r>
      <w:r w:rsidRPr="000802EB">
        <w:rPr>
          <w:i/>
          <w:lang w:eastAsia="ja-JP"/>
        </w:rPr>
        <w:t>Engl J Med.</w:t>
      </w:r>
      <w:r>
        <w:rPr>
          <w:lang w:eastAsia="ja-JP"/>
        </w:rPr>
        <w:t xml:space="preserve"> 2022 May 5;386(18):1712-1720.</w:t>
      </w:r>
    </w:p>
  </w:footnote>
  <w:footnote w:id="13">
    <w:p w14:paraId="02EE9645" w14:textId="77777777" w:rsidR="0051367F" w:rsidRPr="000802EB" w:rsidRDefault="0051367F" w:rsidP="004F1F0E">
      <w:pPr>
        <w:pStyle w:val="FootnoteText"/>
        <w:rPr>
          <w:lang w:val="en-GB"/>
        </w:rPr>
      </w:pPr>
      <w:r>
        <w:rPr>
          <w:rStyle w:val="FootnoteReference"/>
        </w:rPr>
        <w:footnoteRef/>
      </w:r>
      <w:r>
        <w:t xml:space="preserve"> </w:t>
      </w:r>
      <w:r>
        <w:rPr>
          <w:lang w:eastAsia="ja-JP"/>
        </w:rPr>
        <w:t xml:space="preserve">Magen O, Waxman JG, </w:t>
      </w:r>
      <w:r>
        <w:rPr>
          <w:lang w:eastAsia="ja-JP"/>
        </w:rPr>
        <w:t xml:space="preserve">Makov-Assif M, et al. Fourth Dose of BNT162b2 mRNA Covid-19 Vaccine in a Nationwide Setting. </w:t>
      </w:r>
      <w:r w:rsidRPr="000802EB">
        <w:rPr>
          <w:i/>
          <w:lang w:eastAsia="ja-JP"/>
        </w:rPr>
        <w:t>N Engl J Med.</w:t>
      </w:r>
      <w:r>
        <w:rPr>
          <w:lang w:eastAsia="ja-JP"/>
        </w:rPr>
        <w:t xml:space="preserve"> 2022 Apr 28;386(17):1603- 1614.</w:t>
      </w:r>
    </w:p>
  </w:footnote>
  <w:footnote w:id="14">
    <w:p w14:paraId="096AAFA8" w14:textId="2C44DE59" w:rsidR="0051367F" w:rsidRPr="007F50D3" w:rsidRDefault="0051367F" w:rsidP="00E5579B">
      <w:pPr>
        <w:pStyle w:val="TableText"/>
      </w:pPr>
      <w:r w:rsidRPr="00EB14B2">
        <w:rPr>
          <w:rStyle w:val="FootnoteReference"/>
          <w:sz w:val="17"/>
          <w:szCs w:val="17"/>
        </w:rPr>
        <w:footnoteRef/>
      </w:r>
      <w:r w:rsidRPr="00EB14B2">
        <w:rPr>
          <w:sz w:val="17"/>
          <w:szCs w:val="17"/>
        </w:rPr>
        <w:t xml:space="preserve"> </w:t>
      </w:r>
      <w:r w:rsidRPr="00C56D8A">
        <w:rPr>
          <w:rStyle w:val="FootnoteTextChar"/>
        </w:rPr>
        <w:t>AusPAR for Comirnaty (</w:t>
      </w:r>
      <w:r>
        <w:rPr>
          <w:rStyle w:val="FootnoteTextChar"/>
        </w:rPr>
        <w:t>tozinameran/</w:t>
      </w:r>
      <w:r w:rsidRPr="00C56D8A">
        <w:rPr>
          <w:rStyle w:val="FootnoteTextChar"/>
        </w:rPr>
        <w:t>BNT162b2 (mRNA)) new biological entity, published on 25 January 2021. Available at:</w:t>
      </w:r>
      <w:r w:rsidRPr="00C56D8A">
        <w:rPr>
          <w:rStyle w:val="FootnoteTextChar"/>
          <w:szCs w:val="17"/>
        </w:rPr>
        <w:t xml:space="preserve"> </w:t>
      </w:r>
      <w:hyperlink r:id="rId5" w:history="1">
        <w:r w:rsidRPr="00C56D8A">
          <w:rPr>
            <w:rStyle w:val="Hyperlink"/>
            <w:sz w:val="17"/>
            <w:szCs w:val="17"/>
          </w:rPr>
          <w:t>AusPAR: BNT162b2 (mRNA) - COMIRNATY | Therapeutic Goods Administration (TGA)</w:t>
        </w:r>
      </w:hyperlink>
    </w:p>
  </w:footnote>
  <w:footnote w:id="15">
    <w:p w14:paraId="509954B8" w14:textId="5D8BD2F7" w:rsidR="0051367F" w:rsidRPr="0051367F" w:rsidRDefault="0051367F">
      <w:pPr>
        <w:pStyle w:val="FootnoteText"/>
      </w:pPr>
      <w:r>
        <w:rPr>
          <w:rStyle w:val="FootnoteReference"/>
        </w:rPr>
        <w:footnoteRef/>
      </w:r>
      <w:r>
        <w:t xml:space="preserve"> AusPAR</w:t>
      </w:r>
      <w:r w:rsidRPr="00FE7494">
        <w:t xml:space="preserve"> for </w:t>
      </w:r>
      <w:r>
        <w:t>Comirnaty (tozinameran/</w:t>
      </w:r>
      <w:r w:rsidRPr="00FE7494">
        <w:t>BNT162b2 (mRNA)</w:t>
      </w:r>
      <w:r>
        <w:t>)</w:t>
      </w:r>
      <w:r w:rsidRPr="00FE7494">
        <w:t>. Approved: 25 Ja</w:t>
      </w:r>
      <w:r>
        <w:t>nuary 2021; published on 13</w:t>
      </w:r>
      <w:r w:rsidRPr="00FE7494">
        <w:t xml:space="preserve"> </w:t>
      </w:r>
      <w:r>
        <w:t>December</w:t>
      </w:r>
      <w:r w:rsidRPr="00FE7494">
        <w:t xml:space="preserve"> 2021.</w:t>
      </w:r>
      <w:r>
        <w:t xml:space="preserve"> Available at: </w:t>
      </w:r>
      <w:hyperlink r:id="rId6" w:history="1">
        <w:r w:rsidRPr="00571C72">
          <w:rPr>
            <w:rStyle w:val="Hyperlink"/>
          </w:rPr>
          <w:t>https://www.tga.gov.au/resources/auspar/auspar-tozinameran-mrna-covid-19-vaccine</w:t>
        </w:r>
      </w:hyperlink>
    </w:p>
  </w:footnote>
  <w:footnote w:id="16">
    <w:p w14:paraId="3CC8629B" w14:textId="540CCE30" w:rsidR="009C07B5" w:rsidRPr="00F32401" w:rsidRDefault="009C07B5">
      <w:pPr>
        <w:pStyle w:val="FootnoteText"/>
        <w:rPr>
          <w:lang w:val="en-GB"/>
        </w:rPr>
      </w:pPr>
      <w:r>
        <w:rPr>
          <w:rStyle w:val="FootnoteReference"/>
        </w:rPr>
        <w:footnoteRef/>
      </w:r>
      <w:r>
        <w:t xml:space="preserve"> </w:t>
      </w:r>
      <w:r>
        <w:rPr>
          <w:lang w:val="en"/>
        </w:rPr>
        <w:t>AusPAR for Comirnaty Original / Omicron BA.1 COVID-19 Vaccine (</w:t>
      </w:r>
      <w:r>
        <w:t xml:space="preserve">tozinameran and </w:t>
      </w:r>
      <w:r>
        <w:t xml:space="preserve">riltozinameran); available at: </w:t>
      </w:r>
      <w:hyperlink r:id="rId7" w:history="1">
        <w:r w:rsidRPr="00571C72">
          <w:rPr>
            <w:rStyle w:val="Hyperlink"/>
          </w:rPr>
          <w:t>https://www.tga.gov.au/resources/auspar/auspar-comirnaty-original-omicron-ba1-covid-19-vaccine</w:t>
        </w:r>
      </w:hyperlink>
    </w:p>
  </w:footnote>
  <w:footnote w:id="17">
    <w:p w14:paraId="2716FF75" w14:textId="31EC5F32" w:rsidR="009C07B5" w:rsidRPr="00F32401" w:rsidRDefault="009C07B5">
      <w:pPr>
        <w:pStyle w:val="FootnoteText"/>
        <w:rPr>
          <w:lang w:val="en-GB"/>
        </w:rPr>
      </w:pPr>
      <w:r>
        <w:rPr>
          <w:rStyle w:val="FootnoteReference"/>
        </w:rPr>
        <w:footnoteRef/>
      </w:r>
      <w:r>
        <w:t xml:space="preserve"> </w:t>
      </w:r>
      <w:r>
        <w:rPr>
          <w:lang w:val="en"/>
        </w:rPr>
        <w:t>AusPAR for Comirnaty Original / Omicron BA.4 5 COVID-19 Vaccine (</w:t>
      </w:r>
      <w:r>
        <w:t xml:space="preserve">tozinameran and </w:t>
      </w:r>
      <w:r>
        <w:t>famtozinameran)</w:t>
      </w:r>
      <w:r>
        <w:rPr>
          <w:lang w:val="en"/>
        </w:rPr>
        <w:t xml:space="preserve">; available at: </w:t>
      </w:r>
      <w:hyperlink r:id="rId8" w:history="1">
        <w:r w:rsidRPr="00571C72">
          <w:rPr>
            <w:rStyle w:val="Hyperlink"/>
            <w:lang w:val="en"/>
          </w:rPr>
          <w:t>https://www.tga.gov.au/resources/auspar/auspar-comirnaty-original-omicron-ba4-5-covid-19-vaccine</w:t>
        </w:r>
      </w:hyperlink>
    </w:p>
  </w:footnote>
  <w:footnote w:id="18">
    <w:p w14:paraId="098E2237" w14:textId="41AEBC22" w:rsidR="0051367F" w:rsidRDefault="0051367F">
      <w:pPr>
        <w:pStyle w:val="FootnoteText"/>
      </w:pPr>
      <w:r>
        <w:rPr>
          <w:rStyle w:val="FootnoteReference"/>
        </w:rPr>
        <w:footnoteRef/>
      </w:r>
      <w:r>
        <w:t xml:space="preserve"> Grades are based on Common Terminology Criteria for Adverse Events (CTCAE) available from </w:t>
      </w:r>
      <w:hyperlink r:id="rId9" w:history="1">
        <w:r w:rsidRPr="00CB093C">
          <w:rPr>
            <w:rStyle w:val="Hyperlink"/>
          </w:rPr>
          <w:t>nih.gov</w:t>
        </w:r>
      </w:hyperlink>
      <w:r>
        <w:rPr>
          <w:rStyle w:val="Hyperlink"/>
        </w:rPr>
        <w:t xml:space="preserve"> </w:t>
      </w:r>
      <w:r>
        <w:rPr>
          <w:rStyle w:val="Hyperlink"/>
        </w:rPr>
        <w:br/>
      </w:r>
      <w:r>
        <w:t>Grade 4 events are characterised as Life-threatening consequences; urgent intervention indicated.</w:t>
      </w:r>
    </w:p>
  </w:footnote>
  <w:footnote w:id="19">
    <w:p w14:paraId="1A45164E" w14:textId="77777777" w:rsidR="0051367F" w:rsidRDefault="0051367F" w:rsidP="00E22AEA">
      <w:pPr>
        <w:pStyle w:val="FootnoteText"/>
      </w:pPr>
      <w:r>
        <w:rPr>
          <w:rStyle w:val="FootnoteReference"/>
        </w:rPr>
        <w:footnoteRef/>
      </w:r>
      <w:r>
        <w:t xml:space="preserve"> </w:t>
      </w:r>
      <w:r w:rsidRPr="00A81A64">
        <w:t>Regev-</w:t>
      </w:r>
      <w:r w:rsidRPr="00A81A64">
        <w:t>Yochay</w:t>
      </w:r>
      <w:r>
        <w:t>,</w:t>
      </w:r>
      <w:r w:rsidRPr="00A81A64">
        <w:t xml:space="preserve"> G</w:t>
      </w:r>
      <w:r>
        <w:t xml:space="preserve">. et al. </w:t>
      </w:r>
      <w:r w:rsidRPr="00A81A64">
        <w:t>Efficacy of a Fourth Dose of Covid-19 mRNA Vaccine against Omicron</w:t>
      </w:r>
      <w:r>
        <w:t>,</w:t>
      </w:r>
      <w:r w:rsidRPr="00A81A64">
        <w:t xml:space="preserve"> </w:t>
      </w:r>
      <w:r w:rsidRPr="00A81A64">
        <w:rPr>
          <w:i/>
          <w:iCs/>
        </w:rPr>
        <w:t>New England Journal of Medicine</w:t>
      </w:r>
      <w:r>
        <w:t>,</w:t>
      </w:r>
      <w:r w:rsidRPr="00A81A64">
        <w:t xml:space="preserve"> 2022;</w:t>
      </w:r>
      <w:r>
        <w:t xml:space="preserve"> </w:t>
      </w:r>
      <w:r w:rsidRPr="00A81A64">
        <w:t>386</w:t>
      </w:r>
      <w:r>
        <w:t xml:space="preserve"> </w:t>
      </w:r>
      <w:r w:rsidRPr="00A81A64">
        <w:t>(14):</w:t>
      </w:r>
      <w:r>
        <w:t xml:space="preserve"> </w:t>
      </w:r>
      <w:r w:rsidRPr="00A81A64">
        <w:t>1377-1380.</w:t>
      </w:r>
    </w:p>
  </w:footnote>
  <w:footnote w:id="20">
    <w:p w14:paraId="278D92E7" w14:textId="77777777" w:rsidR="0051367F" w:rsidRDefault="0051367F" w:rsidP="00E22AEA">
      <w:pPr>
        <w:pStyle w:val="FootnoteText"/>
      </w:pPr>
      <w:r>
        <w:rPr>
          <w:rStyle w:val="FootnoteReference"/>
        </w:rPr>
        <w:footnoteRef/>
      </w:r>
      <w:r>
        <w:t xml:space="preserve"> </w:t>
      </w:r>
      <w:r w:rsidRPr="00A81A64">
        <w:t>Cohen</w:t>
      </w:r>
      <w:r>
        <w:t>,</w:t>
      </w:r>
      <w:r w:rsidRPr="00A81A64">
        <w:t xml:space="preserve"> MJ</w:t>
      </w:r>
      <w:r>
        <w:t>. et al.</w:t>
      </w:r>
      <w:r w:rsidRPr="00A81A64">
        <w:t xml:space="preserve"> Israeli-Hospitals 4th Vaccine Working Group. Association of Receiving a Fourth Dose of the BNT162b Vaccine With SARS-CoV-2 Infection Among Health Care Workers in Israel</w:t>
      </w:r>
      <w:r>
        <w:t>,</w:t>
      </w:r>
      <w:r w:rsidRPr="00A81A64">
        <w:t xml:space="preserve"> </w:t>
      </w:r>
      <w:r w:rsidRPr="00A81A64">
        <w:rPr>
          <w:i/>
          <w:iCs/>
        </w:rPr>
        <w:t>JAMA Network Open</w:t>
      </w:r>
      <w:r>
        <w:rPr>
          <w:i/>
          <w:iCs/>
        </w:rPr>
        <w:t xml:space="preserve">, </w:t>
      </w:r>
      <w:r>
        <w:t xml:space="preserve">2022; </w:t>
      </w:r>
      <w:r w:rsidRPr="00A81A64">
        <w:t>5</w:t>
      </w:r>
      <w:r>
        <w:t xml:space="preserve"> </w:t>
      </w:r>
      <w:r w:rsidRPr="00A81A64">
        <w:t>(8)</w:t>
      </w:r>
      <w:r>
        <w:t>.</w:t>
      </w:r>
    </w:p>
  </w:footnote>
  <w:footnote w:id="21">
    <w:p w14:paraId="0D4A2951" w14:textId="77777777" w:rsidR="0051367F" w:rsidRDefault="0051367F" w:rsidP="00E22AEA">
      <w:pPr>
        <w:pStyle w:val="FootnoteText"/>
      </w:pPr>
      <w:r>
        <w:rPr>
          <w:rStyle w:val="FootnoteReference"/>
        </w:rPr>
        <w:footnoteRef/>
      </w:r>
      <w:r>
        <w:t xml:space="preserve"> </w:t>
      </w:r>
      <w:r w:rsidRPr="00A81A64">
        <w:t>Arbel</w:t>
      </w:r>
      <w:r>
        <w:t>,</w:t>
      </w:r>
      <w:r w:rsidRPr="00A81A64">
        <w:t xml:space="preserve"> R</w:t>
      </w:r>
      <w:r>
        <w:t xml:space="preserve">. et al. </w:t>
      </w:r>
      <w:r w:rsidRPr="00A81A64">
        <w:t>Effectiveness of a second BNT162b2 booster vaccine against hospitalization and death from COVID-19 in adults aged over 60 years</w:t>
      </w:r>
      <w:r>
        <w:t>,</w:t>
      </w:r>
      <w:r w:rsidRPr="00A81A64">
        <w:t xml:space="preserve"> </w:t>
      </w:r>
      <w:r w:rsidRPr="00A81A64">
        <w:rPr>
          <w:i/>
          <w:iCs/>
        </w:rPr>
        <w:t>Nature Medicine</w:t>
      </w:r>
      <w:r>
        <w:t xml:space="preserve">, </w:t>
      </w:r>
      <w:r w:rsidRPr="00A81A64">
        <w:t>202</w:t>
      </w:r>
      <w:r>
        <w:t>2</w:t>
      </w:r>
      <w:r w:rsidRPr="00A81A64">
        <w:t>.</w:t>
      </w:r>
    </w:p>
  </w:footnote>
  <w:footnote w:id="22">
    <w:p w14:paraId="23D8A3B3" w14:textId="77777777" w:rsidR="00D1197A" w:rsidRDefault="00D1197A" w:rsidP="00E22AEA">
      <w:pPr>
        <w:pStyle w:val="FootnoteText"/>
      </w:pPr>
      <w:r>
        <w:rPr>
          <w:rStyle w:val="FootnoteReference"/>
        </w:rPr>
        <w:footnoteRef/>
      </w:r>
      <w:r>
        <w:t xml:space="preserve"> </w:t>
      </w:r>
      <w:r w:rsidRPr="00A81A64">
        <w:t>Gazit</w:t>
      </w:r>
      <w:r>
        <w:t xml:space="preserve">, </w:t>
      </w:r>
      <w:r w:rsidRPr="00A81A64">
        <w:t>S</w:t>
      </w:r>
      <w:r>
        <w:t xml:space="preserve">. et al. </w:t>
      </w:r>
      <w:r w:rsidRPr="00A81A64">
        <w:t>Short term, relative effectiveness of four doses versus three doses of BNT162b2 vaccine in people aged 60 years and older in Israel: retrospective, test negative, case-control study</w:t>
      </w:r>
      <w:r>
        <w:t xml:space="preserve">, </w:t>
      </w:r>
      <w:r w:rsidRPr="00A81A64">
        <w:rPr>
          <w:i/>
          <w:iCs/>
        </w:rPr>
        <w:t>British Medical Journal</w:t>
      </w:r>
      <w:r>
        <w:t>,</w:t>
      </w:r>
      <w:r w:rsidRPr="00A81A64">
        <w:t xml:space="preserve"> 2022;</w:t>
      </w:r>
      <w:r>
        <w:t xml:space="preserve"> </w:t>
      </w:r>
      <w:r w:rsidRPr="00A81A64">
        <w:t>377</w:t>
      </w:r>
      <w:r>
        <w:t>.</w:t>
      </w:r>
    </w:p>
  </w:footnote>
  <w:footnote w:id="23">
    <w:p w14:paraId="642C671C" w14:textId="77777777" w:rsidR="00D1197A" w:rsidRDefault="00D1197A" w:rsidP="00E22AEA">
      <w:pPr>
        <w:pStyle w:val="FootnoteText"/>
      </w:pPr>
      <w:r>
        <w:rPr>
          <w:rStyle w:val="FootnoteReference"/>
        </w:rPr>
        <w:footnoteRef/>
      </w:r>
      <w:r>
        <w:t xml:space="preserve"> </w:t>
      </w:r>
      <w:r w:rsidRPr="00A81A64">
        <w:t>Muhsen</w:t>
      </w:r>
      <w:r>
        <w:t>,</w:t>
      </w:r>
      <w:r w:rsidRPr="00A81A64">
        <w:t xml:space="preserve"> K</w:t>
      </w:r>
      <w:r>
        <w:t>.</w:t>
      </w:r>
      <w:r w:rsidRPr="00A81A64">
        <w:t xml:space="preserve"> et al. Association of Receipt of the Fourth BNT162b2 Dose </w:t>
      </w:r>
      <w:r>
        <w:t>w</w:t>
      </w:r>
      <w:r w:rsidRPr="00A81A64">
        <w:t xml:space="preserve">ith Omicron Infection and COVID-19 Hospitalizations Among Residents of Long-term Care Facilities. </w:t>
      </w:r>
      <w:r w:rsidRPr="00A81A64">
        <w:rPr>
          <w:i/>
          <w:iCs/>
        </w:rPr>
        <w:t>JAMA Internal Medicine</w:t>
      </w:r>
      <w:r>
        <w:t>,</w:t>
      </w:r>
      <w:r w:rsidRPr="00A81A64">
        <w:t xml:space="preserve"> 2022;</w:t>
      </w:r>
      <w:r>
        <w:t xml:space="preserve"> </w:t>
      </w:r>
      <w:r w:rsidRPr="00A81A64">
        <w:t>182</w:t>
      </w:r>
      <w:r>
        <w:t xml:space="preserve"> </w:t>
      </w:r>
      <w:r w:rsidRPr="00A81A64">
        <w:t>(8)</w:t>
      </w:r>
      <w:r>
        <w:t xml:space="preserve"> </w:t>
      </w:r>
      <w:r w:rsidRPr="00A81A64">
        <w:t>:859-867</w:t>
      </w:r>
      <w:r>
        <w:t>.</w:t>
      </w:r>
    </w:p>
  </w:footnote>
  <w:footnote w:id="24">
    <w:p w14:paraId="12DFF368" w14:textId="058F2C0A" w:rsidR="0051367F" w:rsidRDefault="0051367F">
      <w:pPr>
        <w:pStyle w:val="FootnoteText"/>
      </w:pPr>
      <w:r>
        <w:rPr>
          <w:rStyle w:val="FootnoteReference"/>
        </w:rPr>
        <w:footnoteRef/>
      </w:r>
      <w:r>
        <w:t xml:space="preserve"> </w:t>
      </w:r>
      <w:r w:rsidRPr="00C56D8A">
        <w:t xml:space="preserve">Established in 2019, the VISION Vaccine Effectiveness (VE) Network is a research collaboration between CDC, </w:t>
      </w:r>
      <w:r w:rsidRPr="00C56D8A">
        <w:t>Westat, and multiple sites with integrated clinical, laboratory, and vaccination records in the United States that evaluate how well seasonal influenza (flu) vaccines protect people against flu and how well different COVID-19 vaccines protect against COVID</w:t>
      </w:r>
      <w:r>
        <w:noBreakHyphen/>
      </w:r>
      <w:r w:rsidRPr="00C56D8A">
        <w:t>19</w:t>
      </w:r>
      <w:r>
        <w:t xml:space="preserve">. </w:t>
      </w:r>
      <w:hyperlink r:id="rId10" w:history="1">
        <w:r>
          <w:rPr>
            <w:rStyle w:val="Hyperlink"/>
          </w:rPr>
          <w:t>VISION Vaccine Effectiveness Network | CDC</w:t>
        </w:r>
      </w:hyperlink>
    </w:p>
  </w:footnote>
  <w:footnote w:id="25">
    <w:p w14:paraId="52A01249" w14:textId="7830EFFA" w:rsidR="00DA00A5" w:rsidRPr="00DA00A5" w:rsidRDefault="00DA00A5" w:rsidP="00DA00A5">
      <w:pPr>
        <w:pStyle w:val="FootnoteText"/>
      </w:pPr>
      <w:r>
        <w:rPr>
          <w:rStyle w:val="FootnoteReference"/>
        </w:rPr>
        <w:footnoteRef/>
      </w:r>
      <w:r>
        <w:t xml:space="preserve"> Fleming-Dutra </w:t>
      </w:r>
      <w:r>
        <w:t xml:space="preserve">K,E, et al. Association of Prior BNT162b2 COVID-19 Vaccination With Symptomatic SARS-CoV-2 Infection in Children and Adolescents During Omicron Predominance, </w:t>
      </w:r>
      <w:r w:rsidRPr="00DA00A5">
        <w:rPr>
          <w:i/>
          <w:iCs/>
        </w:rPr>
        <w:t>Journal of the American Medical Association</w:t>
      </w:r>
      <w:r>
        <w:t>, 2022; 327 (22): 2210-2219.</w:t>
      </w:r>
    </w:p>
  </w:footnote>
  <w:footnote w:id="26">
    <w:p w14:paraId="17CCF0A1" w14:textId="50074088" w:rsidR="00DA00A5" w:rsidRPr="00DA00A5" w:rsidRDefault="00DA00A5" w:rsidP="00DA00A5">
      <w:pPr>
        <w:pStyle w:val="FootnoteText"/>
      </w:pPr>
      <w:r>
        <w:rPr>
          <w:rStyle w:val="FootnoteReference"/>
        </w:rPr>
        <w:footnoteRef/>
      </w:r>
      <w:r>
        <w:t xml:space="preserve"> Accorsi E.K, et al. Association Between 3 Doses of mRNA COVID-19 Vaccine and Symptomatic Infection Caused by the SARS-CoV-2 Omicron and Delta Variants, </w:t>
      </w:r>
      <w:r w:rsidRPr="00DA00A5">
        <w:rPr>
          <w:i/>
          <w:iCs/>
        </w:rPr>
        <w:t>Journal of the American Medical Association</w:t>
      </w:r>
      <w:r>
        <w:t>, 2022; 327 (7): 639-51.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51367F" w:rsidRPr="00CB0550" w:rsidRDefault="0051367F"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1367F" w:rsidRPr="002B29B2" w14:paraId="3E15C3BC" w14:textId="77777777" w:rsidTr="007452E8">
      <w:trPr>
        <w:trHeight w:hRule="exact" w:val="8845"/>
      </w:trPr>
      <w:tc>
        <w:tcPr>
          <w:tcW w:w="11964" w:type="dxa"/>
          <w:vAlign w:val="center"/>
        </w:tcPr>
        <w:p w14:paraId="6FDE4BFB" w14:textId="77777777" w:rsidR="0051367F" w:rsidRPr="002B29B2" w:rsidRDefault="00B30EE0" w:rsidP="007452E8">
          <w:pPr>
            <w:ind w:left="-57"/>
            <w:rPr>
              <w:noProof/>
            </w:rPr>
          </w:pPr>
          <w:sdt>
            <w:sdtPr>
              <w:rPr>
                <w:noProof/>
              </w:rPr>
              <w:id w:val="1926993388"/>
              <w:showingPlcHdr/>
              <w:picture/>
            </w:sdtPr>
            <w:sdtEndPr/>
            <w:sdtContent>
              <w:r w:rsidR="0051367F"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51367F" w:rsidRDefault="0051367F"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51367F" w:rsidRDefault="0051367F"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51367F" w:rsidRPr="00FE501F" w:rsidRDefault="0051367F"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4E824B24"/>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 w15:restartNumberingAfterBreak="0">
    <w:nsid w:val="31346472"/>
    <w:multiLevelType w:val="hybridMultilevel"/>
    <w:tmpl w:val="5F362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7569710">
    <w:abstractNumId w:val="2"/>
  </w:num>
  <w:num w:numId="2" w16cid:durableId="1180855111">
    <w:abstractNumId w:val="0"/>
    <w:lvlOverride w:ilvl="0">
      <w:lvl w:ilvl="0">
        <w:start w:val="1"/>
        <w:numFmt w:val="decimal"/>
        <w:pStyle w:val="Numberbullet0"/>
        <w:lvlText w:val="%1."/>
        <w:lvlJc w:val="left"/>
        <w:pPr>
          <w:ind w:left="360" w:hanging="360"/>
        </w:pPr>
        <w:rPr>
          <w:rFonts w:ascii="Cambria" w:hAnsi="Cambria" w:hint="default"/>
        </w:rPr>
      </w:lvl>
    </w:lvlOverride>
  </w:num>
  <w:num w:numId="3" w16cid:durableId="301274760">
    <w:abstractNumId w:val="1"/>
  </w:num>
  <w:num w:numId="4" w16cid:durableId="2017341997">
    <w:abstractNumId w:val="6"/>
  </w:num>
  <w:num w:numId="5" w16cid:durableId="1766339922">
    <w:abstractNumId w:val="3"/>
  </w:num>
  <w:num w:numId="6" w16cid:durableId="1953904019">
    <w:abstractNumId w:val="5"/>
  </w:num>
  <w:num w:numId="7" w16cid:durableId="1000692769">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395615754">
    <w:abstractNumId w:val="4"/>
  </w:num>
  <w:num w:numId="9" w16cid:durableId="19789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64F8"/>
    <w:rsid w:val="0007573B"/>
    <w:rsid w:val="00077844"/>
    <w:rsid w:val="00081C5A"/>
    <w:rsid w:val="00090CB3"/>
    <w:rsid w:val="00094B81"/>
    <w:rsid w:val="00097178"/>
    <w:rsid w:val="000975AA"/>
    <w:rsid w:val="000D7934"/>
    <w:rsid w:val="000F1866"/>
    <w:rsid w:val="00101FB1"/>
    <w:rsid w:val="0012473C"/>
    <w:rsid w:val="0013132F"/>
    <w:rsid w:val="0013528C"/>
    <w:rsid w:val="00142E42"/>
    <w:rsid w:val="00165D28"/>
    <w:rsid w:val="00175CD8"/>
    <w:rsid w:val="001840DC"/>
    <w:rsid w:val="001C1C2E"/>
    <w:rsid w:val="001D0C39"/>
    <w:rsid w:val="001E678D"/>
    <w:rsid w:val="0020369B"/>
    <w:rsid w:val="00226F39"/>
    <w:rsid w:val="00237257"/>
    <w:rsid w:val="00241B60"/>
    <w:rsid w:val="002C5362"/>
    <w:rsid w:val="002C5E29"/>
    <w:rsid w:val="002D7127"/>
    <w:rsid w:val="002E74E6"/>
    <w:rsid w:val="002E77AA"/>
    <w:rsid w:val="003008D8"/>
    <w:rsid w:val="00303959"/>
    <w:rsid w:val="00312AC3"/>
    <w:rsid w:val="00314430"/>
    <w:rsid w:val="00324B33"/>
    <w:rsid w:val="00343BC2"/>
    <w:rsid w:val="00346EC2"/>
    <w:rsid w:val="0035444D"/>
    <w:rsid w:val="00377CB2"/>
    <w:rsid w:val="00395140"/>
    <w:rsid w:val="003973A8"/>
    <w:rsid w:val="003B149C"/>
    <w:rsid w:val="003B39BC"/>
    <w:rsid w:val="003D71A1"/>
    <w:rsid w:val="0041688F"/>
    <w:rsid w:val="0042376F"/>
    <w:rsid w:val="004246B8"/>
    <w:rsid w:val="00433318"/>
    <w:rsid w:val="00436212"/>
    <w:rsid w:val="00477C4E"/>
    <w:rsid w:val="00491A55"/>
    <w:rsid w:val="004A185C"/>
    <w:rsid w:val="004B18CA"/>
    <w:rsid w:val="004B3081"/>
    <w:rsid w:val="004C038C"/>
    <w:rsid w:val="004F1F0E"/>
    <w:rsid w:val="0051367F"/>
    <w:rsid w:val="00535DFE"/>
    <w:rsid w:val="00562F42"/>
    <w:rsid w:val="0056663D"/>
    <w:rsid w:val="0056766D"/>
    <w:rsid w:val="0058575E"/>
    <w:rsid w:val="0058783C"/>
    <w:rsid w:val="005911AE"/>
    <w:rsid w:val="0059313A"/>
    <w:rsid w:val="005B023F"/>
    <w:rsid w:val="005B5EAF"/>
    <w:rsid w:val="005D0961"/>
    <w:rsid w:val="005D0AF7"/>
    <w:rsid w:val="005D2089"/>
    <w:rsid w:val="005D3723"/>
    <w:rsid w:val="005D7514"/>
    <w:rsid w:val="005E1944"/>
    <w:rsid w:val="005E1A7B"/>
    <w:rsid w:val="006277A1"/>
    <w:rsid w:val="006316A2"/>
    <w:rsid w:val="006351D9"/>
    <w:rsid w:val="00637130"/>
    <w:rsid w:val="00637F0E"/>
    <w:rsid w:val="006423F2"/>
    <w:rsid w:val="00673FB8"/>
    <w:rsid w:val="00684286"/>
    <w:rsid w:val="00692CCD"/>
    <w:rsid w:val="00694585"/>
    <w:rsid w:val="006A1F0B"/>
    <w:rsid w:val="006A277A"/>
    <w:rsid w:val="006D6B44"/>
    <w:rsid w:val="006F7DEA"/>
    <w:rsid w:val="007072A1"/>
    <w:rsid w:val="00710BC5"/>
    <w:rsid w:val="007111AB"/>
    <w:rsid w:val="00714AC8"/>
    <w:rsid w:val="0072003B"/>
    <w:rsid w:val="007357B9"/>
    <w:rsid w:val="007452E8"/>
    <w:rsid w:val="00746990"/>
    <w:rsid w:val="00750D70"/>
    <w:rsid w:val="00756C58"/>
    <w:rsid w:val="007851C0"/>
    <w:rsid w:val="00793272"/>
    <w:rsid w:val="007B04DE"/>
    <w:rsid w:val="007B0595"/>
    <w:rsid w:val="007C57BC"/>
    <w:rsid w:val="007D4138"/>
    <w:rsid w:val="007F0A77"/>
    <w:rsid w:val="007F50D3"/>
    <w:rsid w:val="007F51CE"/>
    <w:rsid w:val="008329DB"/>
    <w:rsid w:val="008361C5"/>
    <w:rsid w:val="0083628F"/>
    <w:rsid w:val="00837AB9"/>
    <w:rsid w:val="0084071A"/>
    <w:rsid w:val="00850637"/>
    <w:rsid w:val="00854D98"/>
    <w:rsid w:val="0085569E"/>
    <w:rsid w:val="00860B29"/>
    <w:rsid w:val="008612DD"/>
    <w:rsid w:val="00863274"/>
    <w:rsid w:val="00867496"/>
    <w:rsid w:val="008804CF"/>
    <w:rsid w:val="008953AA"/>
    <w:rsid w:val="008964B3"/>
    <w:rsid w:val="008B1865"/>
    <w:rsid w:val="008C49C6"/>
    <w:rsid w:val="008C754C"/>
    <w:rsid w:val="008D6A54"/>
    <w:rsid w:val="0090605E"/>
    <w:rsid w:val="009108CE"/>
    <w:rsid w:val="00915A9F"/>
    <w:rsid w:val="00917536"/>
    <w:rsid w:val="00930D58"/>
    <w:rsid w:val="00966EF1"/>
    <w:rsid w:val="0098350E"/>
    <w:rsid w:val="00996FA5"/>
    <w:rsid w:val="009C07B5"/>
    <w:rsid w:val="009E6F8C"/>
    <w:rsid w:val="00A01C56"/>
    <w:rsid w:val="00A358E7"/>
    <w:rsid w:val="00A51A2D"/>
    <w:rsid w:val="00A63D9B"/>
    <w:rsid w:val="00A80B0C"/>
    <w:rsid w:val="00A81A64"/>
    <w:rsid w:val="00A93DC6"/>
    <w:rsid w:val="00AB7CBF"/>
    <w:rsid w:val="00AE037B"/>
    <w:rsid w:val="00AE1947"/>
    <w:rsid w:val="00B15C6D"/>
    <w:rsid w:val="00B30EE0"/>
    <w:rsid w:val="00B46BC0"/>
    <w:rsid w:val="00B55681"/>
    <w:rsid w:val="00B919B7"/>
    <w:rsid w:val="00B967FF"/>
    <w:rsid w:val="00BA1154"/>
    <w:rsid w:val="00BA7F7D"/>
    <w:rsid w:val="00BB0D28"/>
    <w:rsid w:val="00BB1C14"/>
    <w:rsid w:val="00BB64D1"/>
    <w:rsid w:val="00BD0135"/>
    <w:rsid w:val="00BD07DF"/>
    <w:rsid w:val="00BD5DBD"/>
    <w:rsid w:val="00BD5E85"/>
    <w:rsid w:val="00BF4638"/>
    <w:rsid w:val="00C00B49"/>
    <w:rsid w:val="00C07551"/>
    <w:rsid w:val="00C22214"/>
    <w:rsid w:val="00C25838"/>
    <w:rsid w:val="00C407AB"/>
    <w:rsid w:val="00C56D8A"/>
    <w:rsid w:val="00C570FF"/>
    <w:rsid w:val="00C6574E"/>
    <w:rsid w:val="00C816C6"/>
    <w:rsid w:val="00C91D40"/>
    <w:rsid w:val="00CB0550"/>
    <w:rsid w:val="00CC6372"/>
    <w:rsid w:val="00CD1C1A"/>
    <w:rsid w:val="00CE770D"/>
    <w:rsid w:val="00CF66A8"/>
    <w:rsid w:val="00D01DDB"/>
    <w:rsid w:val="00D078BE"/>
    <w:rsid w:val="00D1197A"/>
    <w:rsid w:val="00D13F8A"/>
    <w:rsid w:val="00D3609A"/>
    <w:rsid w:val="00D62877"/>
    <w:rsid w:val="00D63760"/>
    <w:rsid w:val="00D76632"/>
    <w:rsid w:val="00D86759"/>
    <w:rsid w:val="00D9009F"/>
    <w:rsid w:val="00D918D5"/>
    <w:rsid w:val="00D94C8E"/>
    <w:rsid w:val="00DA00A5"/>
    <w:rsid w:val="00DB192C"/>
    <w:rsid w:val="00DB1CF3"/>
    <w:rsid w:val="00DB599F"/>
    <w:rsid w:val="00DC3AD0"/>
    <w:rsid w:val="00DF1273"/>
    <w:rsid w:val="00DF5BFE"/>
    <w:rsid w:val="00E1659D"/>
    <w:rsid w:val="00E22AEA"/>
    <w:rsid w:val="00E34668"/>
    <w:rsid w:val="00E47E0C"/>
    <w:rsid w:val="00E51813"/>
    <w:rsid w:val="00E53D3F"/>
    <w:rsid w:val="00E5579B"/>
    <w:rsid w:val="00E55E36"/>
    <w:rsid w:val="00E670A1"/>
    <w:rsid w:val="00E70E97"/>
    <w:rsid w:val="00E849F1"/>
    <w:rsid w:val="00EB14B2"/>
    <w:rsid w:val="00EC0B18"/>
    <w:rsid w:val="00EE36D0"/>
    <w:rsid w:val="00EF285B"/>
    <w:rsid w:val="00F02AEC"/>
    <w:rsid w:val="00F128A8"/>
    <w:rsid w:val="00F157FC"/>
    <w:rsid w:val="00F30AF3"/>
    <w:rsid w:val="00F32401"/>
    <w:rsid w:val="00F647C8"/>
    <w:rsid w:val="00F657B4"/>
    <w:rsid w:val="00F865A7"/>
    <w:rsid w:val="00FA0754"/>
    <w:rsid w:val="00FA1BC9"/>
    <w:rsid w:val="00FA49C3"/>
    <w:rsid w:val="00FB11F9"/>
    <w:rsid w:val="00FB236E"/>
    <w:rsid w:val="00FC6F56"/>
    <w:rsid w:val="00FD7CDA"/>
    <w:rsid w:val="00FE087C"/>
    <w:rsid w:val="00FE7494"/>
    <w:rsid w:val="00FF4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AF"/>
    <w:rPr>
      <w:rFonts w:ascii="Cambria" w:hAnsi="Cambria"/>
      <w:sz w:val="22"/>
    </w:rPr>
  </w:style>
  <w:style w:type="paragraph" w:styleId="Heading1">
    <w:name w:val="heading 1"/>
    <w:basedOn w:val="Normal"/>
    <w:next w:val="Normal"/>
    <w:link w:val="Heading1Char"/>
    <w:uiPriority w:val="9"/>
    <w:qFormat/>
    <w:rsid w:val="00863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A81A64"/>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9"/>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A81A64"/>
    <w:pPr>
      <w:keepLines/>
      <w:spacing w:after="0" w:line="240" w:lineRule="atLeast"/>
    </w:pPr>
    <w:rPr>
      <w:rFonts w:eastAsia="Cambria" w:cs="Times New Roman"/>
      <w:sz w:val="17"/>
    </w:rPr>
  </w:style>
  <w:style w:type="character" w:customStyle="1" w:styleId="FootnoteTextChar">
    <w:name w:val="Footnote Text Char"/>
    <w:basedOn w:val="DefaultParagraphFont"/>
    <w:link w:val="FootnoteText"/>
    <w:uiPriority w:val="99"/>
    <w:rsid w:val="00A81A64"/>
    <w:rPr>
      <w:rFonts w:ascii="Cambria" w:eastAsia="Cambria" w:hAnsi="Cambria" w:cs="Times New Roman"/>
      <w:sz w:val="17"/>
    </w:rPr>
  </w:style>
  <w:style w:type="character" w:styleId="FootnoteReference">
    <w:name w:val="footnote reference"/>
    <w:basedOn w:val="DefaultParagraphFont"/>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qFormat/>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customStyle="1" w:styleId="UnresolvedMention1">
    <w:name w:val="Unresolved Mention1"/>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customStyle="1" w:styleId="Default">
    <w:name w:val="Default"/>
    <w:rsid w:val="00D3609A"/>
    <w:pPr>
      <w:autoSpaceDE w:val="0"/>
      <w:autoSpaceDN w:val="0"/>
      <w:adjustRightInd w:val="0"/>
      <w:spacing w:after="0" w:line="240" w:lineRule="auto"/>
    </w:pPr>
    <w:rPr>
      <w:rFonts w:ascii="Calibri" w:hAnsi="Calibri" w:cs="Calibri"/>
      <w:color w:val="000000"/>
      <w:sz w:val="24"/>
      <w:szCs w:val="24"/>
    </w:rPr>
  </w:style>
  <w:style w:type="character" w:customStyle="1" w:styleId="Heading7Char">
    <w:name w:val="Heading 7 Char"/>
    <w:basedOn w:val="DefaultParagraphFont"/>
    <w:link w:val="Heading7"/>
    <w:uiPriority w:val="9"/>
    <w:rsid w:val="00A81A64"/>
    <w:rPr>
      <w:rFonts w:asciiTheme="majorHAnsi" w:eastAsiaTheme="majorEastAsia" w:hAnsiTheme="majorHAnsi" w:cstheme="majorBidi"/>
      <w:i/>
      <w:iCs/>
      <w:color w:val="1F3763" w:themeColor="accent1" w:themeShade="7F"/>
      <w:sz w:val="24"/>
    </w:rPr>
  </w:style>
  <w:style w:type="character" w:customStyle="1" w:styleId="Heading1Char">
    <w:name w:val="Heading 1 Char"/>
    <w:basedOn w:val="DefaultParagraphFont"/>
    <w:link w:val="Heading1"/>
    <w:uiPriority w:val="9"/>
    <w:rsid w:val="008632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552">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59370571">
      <w:bodyDiv w:val="1"/>
      <w:marLeft w:val="0"/>
      <w:marRight w:val="0"/>
      <w:marTop w:val="0"/>
      <w:marBottom w:val="0"/>
      <w:divBdr>
        <w:top w:val="none" w:sz="0" w:space="0" w:color="auto"/>
        <w:left w:val="none" w:sz="0" w:space="0" w:color="auto"/>
        <w:bottom w:val="none" w:sz="0" w:space="0" w:color="auto"/>
        <w:right w:val="none" w:sz="0" w:space="0" w:color="auto"/>
      </w:divBdr>
    </w:div>
    <w:div w:id="849833960">
      <w:bodyDiv w:val="1"/>
      <w:marLeft w:val="0"/>
      <w:marRight w:val="0"/>
      <w:marTop w:val="0"/>
      <w:marBottom w:val="0"/>
      <w:divBdr>
        <w:top w:val="none" w:sz="0" w:space="0" w:color="auto"/>
        <w:left w:val="none" w:sz="0" w:space="0" w:color="auto"/>
        <w:bottom w:val="none" w:sz="0" w:space="0" w:color="auto"/>
        <w:right w:val="none" w:sz="0" w:space="0" w:color="auto"/>
      </w:divBdr>
    </w:div>
    <w:div w:id="1117482125">
      <w:bodyDiv w:val="1"/>
      <w:marLeft w:val="0"/>
      <w:marRight w:val="0"/>
      <w:marTop w:val="0"/>
      <w:marBottom w:val="0"/>
      <w:divBdr>
        <w:top w:val="none" w:sz="0" w:space="0" w:color="auto"/>
        <w:left w:val="none" w:sz="0" w:space="0" w:color="auto"/>
        <w:bottom w:val="none" w:sz="0" w:space="0" w:color="auto"/>
        <w:right w:val="none" w:sz="0" w:space="0" w:color="auto"/>
      </w:divBdr>
    </w:div>
    <w:div w:id="1264848765">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794396145">
      <w:bodyDiv w:val="1"/>
      <w:marLeft w:val="0"/>
      <w:marRight w:val="0"/>
      <w:marTop w:val="0"/>
      <w:marBottom w:val="0"/>
      <w:divBdr>
        <w:top w:val="none" w:sz="0" w:space="0" w:color="auto"/>
        <w:left w:val="none" w:sz="0" w:space="0" w:color="auto"/>
        <w:bottom w:val="none" w:sz="0" w:space="0" w:color="auto"/>
        <w:right w:val="none" w:sz="0" w:space="0" w:color="auto"/>
      </w:divBdr>
    </w:div>
    <w:div w:id="2074087158">
      <w:bodyDiv w:val="1"/>
      <w:marLeft w:val="0"/>
      <w:marRight w:val="0"/>
      <w:marTop w:val="0"/>
      <w:marBottom w:val="0"/>
      <w:divBdr>
        <w:top w:val="none" w:sz="0" w:space="0" w:color="auto"/>
        <w:left w:val="none" w:sz="0" w:space="0" w:color="auto"/>
        <w:bottom w:val="none" w:sz="0" w:space="0" w:color="auto"/>
        <w:right w:val="none" w:sz="0" w:space="0" w:color="auto"/>
      </w:divBdr>
    </w:div>
    <w:div w:id="21219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resources/auspar/auspar-bnt162b2-mrna-0" TargetMode="External"/><Relationship Id="rId26" Type="http://schemas.openxmlformats.org/officeDocument/2006/relationships/hyperlink" Target="https://www.tga.gov.au/resources/auspar/auspar-chadox-1-s" TargetMode="External"/><Relationship Id="rId39" Type="http://schemas.openxmlformats.org/officeDocument/2006/relationships/hyperlink" Target="https://immunisationhandbook.health.gov.au/" TargetMode="External"/><Relationship Id="rId21" Type="http://schemas.openxmlformats.org/officeDocument/2006/relationships/hyperlink" Target="https://www.tga.gov.au/resources/auspar/auspar-tozinameran-0" TargetMode="External"/><Relationship Id="rId34" Type="http://schemas.openxmlformats.org/officeDocument/2006/relationships/hyperlink" Target="https://www.tga.gov.au/resources/auspar/auspar-spikevax-1" TargetMode="External"/><Relationship Id="rId42" Type="http://schemas.openxmlformats.org/officeDocument/2006/relationships/hyperlink" Target="https://www.tga.gov.au/resources/auspar/auspar-spikevax-bivalent-originalomicron-ba4-5" TargetMode="External"/><Relationship Id="rId47" Type="http://schemas.openxmlformats.org/officeDocument/2006/relationships/hyperlink" Target="https://www.tga.gov.au/products/australian-register-therapeutic-goods-artg/product-information-one" TargetMode="External"/><Relationship Id="rId50" Type="http://schemas.openxmlformats.org/officeDocument/2006/relationships/hyperlink" Target="https://www.tga.gov.au/picmi-search-facility" TargetMode="External"/><Relationship Id="rId55" Type="http://schemas.openxmlformats.org/officeDocument/2006/relationships/image" Target="media/image7.png"/><Relationship Id="rId63" Type="http://schemas.openxmlformats.org/officeDocument/2006/relationships/header" Target="header3.xm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resources/auspar/auspar-bnt162b2-mrna-comirnaty" TargetMode="External"/><Relationship Id="rId29" Type="http://schemas.openxmlformats.org/officeDocument/2006/relationships/hyperlink" Target="https://www.tga.gov.au/resources/auspar/auspar-elasomeran-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news/media-releases/tga-approves-name-change-covid-19-vaccine-astrazeneca-vaxzevria" TargetMode="External"/><Relationship Id="rId32" Type="http://schemas.openxmlformats.org/officeDocument/2006/relationships/hyperlink" Target="https://www.tga.gov.au/resources/auspar/auspar-spikevax" TargetMode="External"/><Relationship Id="rId37" Type="http://schemas.openxmlformats.org/officeDocument/2006/relationships/hyperlink" Target="https://www.tga.gov.au/resources/auspar/auspar-nuvaxovid-heterologous-booster" TargetMode="External"/><Relationship Id="rId40" Type="http://schemas.openxmlformats.org/officeDocument/2006/relationships/hyperlink" Target="https://www.health.gov.au/initiatives-and-progr%C3%A4ms/covid-19-vaccines" TargetMode="External"/><Relationship Id="rId45" Type="http://schemas.openxmlformats.org/officeDocument/2006/relationships/hyperlink" Target="https://www.tga.gov.au/products/australian-register-therapeutic-goods-artg" TargetMode="External"/><Relationship Id="rId53" Type="http://schemas.openxmlformats.org/officeDocument/2006/relationships/image" Target="media/image5.png"/><Relationship Id="rId58" Type="http://schemas.openxmlformats.org/officeDocument/2006/relationships/hyperlink" Target="https://www.tga.gov.au/tgas-risk-management-approach" TargetMode="External"/><Relationship Id="rId66"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resources/auspar/auspar-tozinameran-1" TargetMode="External"/><Relationship Id="rId28" Type="http://schemas.openxmlformats.org/officeDocument/2006/relationships/hyperlink" Target="https://www.tga.gov.au/resources/auspar/auspar-elasomeran" TargetMode="External"/><Relationship Id="rId36" Type="http://schemas.openxmlformats.org/officeDocument/2006/relationships/hyperlink" Target="https://www.tga.gov.au/resources/auspar/auspar-nuvaxovid-homologous-booster" TargetMode="External"/><Relationship Id="rId49" Type="http://schemas.openxmlformats.org/officeDocument/2006/relationships/hyperlink" Target="https://www.tga.gov.au/products/australian-register-therapeutic-goods-artg/consumer-medicines-information-cmi" TargetMode="External"/><Relationship Id="rId57" Type="http://schemas.openxmlformats.org/officeDocument/2006/relationships/hyperlink" Target="https://www.tga.gov.au/publication/risk-management-plans-medicines-and-biologicals" TargetMode="External"/><Relationship Id="rId61" Type="http://schemas.openxmlformats.org/officeDocument/2006/relationships/hyperlink" Target="https://www.tga.gov.au/committee/advisory-committee-vaccines-acv" TargetMode="External"/><Relationship Id="rId10" Type="http://schemas.openxmlformats.org/officeDocument/2006/relationships/header" Target="header2.xml"/><Relationship Id="rId19" Type="http://schemas.openxmlformats.org/officeDocument/2006/relationships/hyperlink" Target="https://www.tga.gov.au/resources/auspar/auspar-tozinameran-mrna-covid-19-vaccine" TargetMode="External"/><Relationship Id="rId31" Type="http://schemas.openxmlformats.org/officeDocument/2006/relationships/hyperlink" Target="https://www.tga.gov.au/resources/auspar/auspar-elasomeran-1" TargetMode="External"/><Relationship Id="rId44" Type="http://schemas.openxmlformats.org/officeDocument/2006/relationships/hyperlink" Target="https://www.tga.gov.au/resources/auspar/auspar-comirnaty-original-omicron-ba4-5-covid-19-vaccine" TargetMode="External"/><Relationship Id="rId52" Type="http://schemas.openxmlformats.org/officeDocument/2006/relationships/image" Target="media/image4.png"/><Relationship Id="rId60" Type="http://schemas.openxmlformats.org/officeDocument/2006/relationships/hyperlink" Target="https://www.tga.gov.au/resources/resource/guidance/risk-management-plans-medicines-and-biologicals/australia-specific-annex-eu-rmp" TargetMode="External"/><Relationship Id="rId65"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resources/auspar/auspar-comirnaty" TargetMode="External"/><Relationship Id="rId27" Type="http://schemas.openxmlformats.org/officeDocument/2006/relationships/hyperlink" Target="https://www.tga.gov.au/resources/auspar/auspar-ad26cov2s" TargetMode="External"/><Relationship Id="rId30" Type="http://schemas.openxmlformats.org/officeDocument/2006/relationships/hyperlink" Target="https://www.tga.gov.au/resources/auspar/auspar-elasomeran-mrna-1273" TargetMode="External"/><Relationship Id="rId35" Type="http://schemas.openxmlformats.org/officeDocument/2006/relationships/hyperlink" Target="https://www.tga.gov.au/resources/auspar/auspar-sars-cov-2-rs-matrix-m-adjuvant" TargetMode="External"/><Relationship Id="rId43" Type="http://schemas.openxmlformats.org/officeDocument/2006/relationships/hyperlink" Target="https://www.tga.gov.au/resources/auspar/auspar-comirnaty-original-omicron-ba1-covid-19-vaccine" TargetMode="External"/><Relationship Id="rId48" Type="http://schemas.openxmlformats.org/officeDocument/2006/relationships/hyperlink" Target="https://www.tga.gov.au/products/australian-register-therapeutic-goods-artg/product-information-one" TargetMode="External"/><Relationship Id="rId56" Type="http://schemas.openxmlformats.org/officeDocument/2006/relationships/hyperlink" Target="https://www.tga.gov.au/resources/resource/guidance/risk-management-plans-medicines-and-biologicals/when-rmp-required" TargetMode="External"/><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tga.gov.au/products/covid-19/covid-19-vaccines/covid-19-vaccine-approval-process" TargetMode="External"/><Relationship Id="rId3"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hyperlink" Target="https://www.tga.gov.au/resources/auspar/auspar-bnt162b2-mrna-comirnaty" TargetMode="External"/><Relationship Id="rId25" Type="http://schemas.openxmlformats.org/officeDocument/2006/relationships/hyperlink" Target="https://www.tga.gov.au/resources/auspar/auspar-chadox1-s" TargetMode="External"/><Relationship Id="rId33" Type="http://schemas.openxmlformats.org/officeDocument/2006/relationships/hyperlink" Target="https://www.tga.gov.au/resources/auspar/auspar-spikevax-0" TargetMode="External"/><Relationship Id="rId38" Type="http://schemas.openxmlformats.org/officeDocument/2006/relationships/hyperlink" Target="https://www.tga.gov.au/products/covid-19/covid-19-vaccines" TargetMode="External"/><Relationship Id="rId46" Type="http://schemas.openxmlformats.org/officeDocument/2006/relationships/hyperlink" Target="https://www.tga.gov.au/products/australian-register-therapeutic-goods-artg" TargetMode="External"/><Relationship Id="rId59" Type="http://schemas.openxmlformats.org/officeDocument/2006/relationships/hyperlink" Target="https://www.tga.gov.au/resources/resource/guidance/risk-management-plans-medicines-and-biologicals/australia-specific-annex-eu-rmp" TargetMode="External"/><Relationship Id="rId67" Type="http://schemas.openxmlformats.org/officeDocument/2006/relationships/header" Target="header4.xml"/><Relationship Id="rId20" Type="http://schemas.openxmlformats.org/officeDocument/2006/relationships/hyperlink" Target="https://www.tga.gov.au/resources/auspar/auspar-tozinameran-mrna-covid-19-vaccine" TargetMode="External"/><Relationship Id="rId41" Type="http://schemas.openxmlformats.org/officeDocument/2006/relationships/hyperlink" Target="https://www.tga.gov.au/resources/auspar/auspar-spikevax-bivalent-originalomicron" TargetMode="External"/><Relationship Id="rId54" Type="http://schemas.openxmlformats.org/officeDocument/2006/relationships/image" Target="media/image6.png"/><Relationship Id="rId62" Type="http://schemas.openxmlformats.org/officeDocument/2006/relationships/hyperlink" Target="https://www.tga.gov.au/picmi-search-facility"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resources/auspar/auspar-comirnaty-original-omicron-ba4-5-covid-19-vaccine" TargetMode="External"/><Relationship Id="rId3" Type="http://schemas.openxmlformats.org/officeDocument/2006/relationships/hyperlink" Target="https://www.cdc.gov/coronavirus/2019-ncov/vaccines/vaccine-benefits.html" TargetMode="External"/><Relationship Id="rId7" Type="http://schemas.openxmlformats.org/officeDocument/2006/relationships/hyperlink" Target="https://www.tga.gov.au/resources/auspar/auspar-comirnaty-original-omicron-ba1-covid-19-vaccine" TargetMode="External"/><Relationship Id="rId2" Type="http://schemas.openxmlformats.org/officeDocument/2006/relationships/hyperlink" Target="https://covid19.who.int/region/wpro/country/au" TargetMode="External"/><Relationship Id="rId1" Type="http://schemas.openxmlformats.org/officeDocument/2006/relationships/hyperlink" Target="https://www.health.gov.au/health-alerts/covid-19/case-numbers-and-statistics" TargetMode="External"/><Relationship Id="rId6" Type="http://schemas.openxmlformats.org/officeDocument/2006/relationships/hyperlink" Target="https://www.tga.gov.au/resources/auspar/auspar-tozinameran-mrna-covid-19-vaccine" TargetMode="External"/><Relationship Id="rId5" Type="http://schemas.openxmlformats.org/officeDocument/2006/relationships/hyperlink" Target="https://www.tga.gov.au/resources/auspar/auspar-bnt162b2-mrna-comirnaty" TargetMode="External"/><Relationship Id="rId10" Type="http://schemas.openxmlformats.org/officeDocument/2006/relationships/hyperlink" Target="https://www.cdc.gov/flu/vaccines-work/vision-network.html" TargetMode="External"/><Relationship Id="rId4" Type="http://schemas.openxmlformats.org/officeDocument/2006/relationships/hyperlink" Target="https://www.tga.gov.au/products/covid-19/covid-19-vaccines/covid-19-vaccine-provisional-registrations" TargetMode="External"/><Relationship Id="rId9" Type="http://schemas.openxmlformats.org/officeDocument/2006/relationships/hyperlink" Target="https://www.nih.go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D641-C3F4-44DB-B0B3-20F8E467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11247</Words>
  <Characters>61300</Characters>
  <Application>Microsoft Office Word</Application>
  <DocSecurity>0</DocSecurity>
  <Lines>1751</Lines>
  <Paragraphs>1007</Paragraphs>
  <ScaleCrop>false</ScaleCrop>
  <HeadingPairs>
    <vt:vector size="2" baseType="variant">
      <vt:variant>
        <vt:lpstr>Title</vt:lpstr>
      </vt:variant>
      <vt:variant>
        <vt:i4>1</vt:i4>
      </vt:variant>
    </vt:vector>
  </HeadingPairs>
  <TitlesOfParts>
    <vt:vector size="1" baseType="lpstr">
      <vt:lpstr>Australian public assessment report for Comirnaty</vt:lpstr>
    </vt:vector>
  </TitlesOfParts>
  <Company>Department of Health and Aged Care</Company>
  <LinksUpToDate>false</LinksUpToDate>
  <CharactersWithSpaces>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Comirnaty</dc:title>
  <dc:subject>Prescription medicines</dc:subject>
  <dc:creator>Therapeutic Goods Administration</dc:creator>
  <cp:keywords/>
  <dc:description/>
  <cp:lastModifiedBy>LACK, Janet</cp:lastModifiedBy>
  <cp:revision>3</cp:revision>
  <dcterms:created xsi:type="dcterms:W3CDTF">2023-09-13T00:13:00Z</dcterms:created>
  <dcterms:modified xsi:type="dcterms:W3CDTF">2023-09-13T00:51:00Z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2023-08-27T22:40:01Z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516fb7a1-5280-45d7-b215-8c27341678aa</vt:lpwstr>
  </property>
  <property fmtid="{D5CDD505-2E9C-101B-9397-08002B2CF9AE}" pid="8" name="MSIP_Label_4791b42f-c435-42ca-9531-75a3f42aae3d_ContentBits">
    <vt:lpwstr>0</vt:lpwstr>
  </property>
</Properties>
</file>