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83F7A27" w:rsidR="00F02AEC" w:rsidRPr="00215D48" w:rsidRDefault="00346EC2" w:rsidP="007452E8">
            <w:pPr>
              <w:pStyle w:val="Title"/>
            </w:pPr>
            <w:r w:rsidRPr="00346EC2">
              <w:t xml:space="preserve">Australian Public Assessment Report for </w:t>
            </w:r>
            <w:r w:rsidR="0088139F">
              <w:t>Gardasil 9</w:t>
            </w:r>
          </w:p>
        </w:tc>
      </w:tr>
      <w:tr w:rsidR="00F02AEC" w:rsidRPr="00215D48" w14:paraId="318A40A3" w14:textId="77777777" w:rsidTr="00346EC2">
        <w:trPr>
          <w:trHeight w:val="995"/>
        </w:trPr>
        <w:tc>
          <w:tcPr>
            <w:tcW w:w="8720" w:type="dxa"/>
          </w:tcPr>
          <w:p w14:paraId="1AA7C701" w14:textId="723FA1B9" w:rsidR="00F02AEC" w:rsidRPr="00215D48" w:rsidRDefault="00346EC2" w:rsidP="007452E8">
            <w:pPr>
              <w:pStyle w:val="Subtitle"/>
              <w:ind w:left="0"/>
            </w:pPr>
            <w:r w:rsidRPr="00346EC2">
              <w:t xml:space="preserve">Active ingredient/s: </w:t>
            </w:r>
            <w:r w:rsidR="0088139F" w:rsidRPr="0088139F">
              <w:t>Human papillomavirus 9-valent vaccine, recombinant</w:t>
            </w:r>
          </w:p>
        </w:tc>
      </w:tr>
      <w:tr w:rsidR="00346EC2" w:rsidRPr="00215D48" w14:paraId="362CCAE4" w14:textId="77777777" w:rsidTr="007452E8">
        <w:trPr>
          <w:trHeight w:val="1916"/>
        </w:trPr>
        <w:tc>
          <w:tcPr>
            <w:tcW w:w="8720" w:type="dxa"/>
          </w:tcPr>
          <w:p w14:paraId="709C45C0" w14:textId="7DAAB7FF" w:rsidR="00346EC2" w:rsidRPr="00215D48" w:rsidRDefault="00346EC2" w:rsidP="007452E8">
            <w:pPr>
              <w:pStyle w:val="Subtitle"/>
              <w:ind w:left="0"/>
            </w:pPr>
            <w:r w:rsidRPr="00346EC2">
              <w:t>Sponsor:</w:t>
            </w:r>
            <w:r w:rsidR="0088139F">
              <w:t xml:space="preserve"> </w:t>
            </w:r>
            <w:r w:rsidR="0088139F" w:rsidRPr="0088139F">
              <w:t>Merck Sharp &amp; Dohme (Australia) Pty Ltd</w:t>
            </w:r>
          </w:p>
        </w:tc>
      </w:tr>
      <w:tr w:rsidR="00F02AEC" w:rsidRPr="00215D48" w14:paraId="37F2AA1F" w14:textId="77777777" w:rsidTr="007452E8">
        <w:tc>
          <w:tcPr>
            <w:tcW w:w="8720" w:type="dxa"/>
          </w:tcPr>
          <w:p w14:paraId="1FDE8DCD" w14:textId="5552A3BE" w:rsidR="00F02AEC" w:rsidRPr="00215D48" w:rsidRDefault="00DF602B" w:rsidP="007452E8">
            <w:pPr>
              <w:pStyle w:val="Date"/>
            </w:pPr>
            <w:r>
              <w:t>August</w:t>
            </w:r>
            <w:r w:rsidRPr="00215D48">
              <w:t xml:space="preserve"> </w:t>
            </w:r>
            <w:r w:rsidR="0088139F">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77777777"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77777777"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D4BD18A"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53C9ECA" w14:textId="4A66AE61" w:rsidR="00C816C6"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29703121" w:history="1">
            <w:r w:rsidR="00C816C6" w:rsidRPr="00ED1B38">
              <w:rPr>
                <w:rStyle w:val="Hyperlink"/>
                <w:noProof/>
              </w:rPr>
              <w:t>List of abbreviations</w:t>
            </w:r>
            <w:r w:rsidR="00C816C6">
              <w:rPr>
                <w:noProof/>
                <w:webHidden/>
              </w:rPr>
              <w:tab/>
            </w:r>
            <w:r w:rsidR="00C816C6">
              <w:rPr>
                <w:noProof/>
                <w:webHidden/>
              </w:rPr>
              <w:fldChar w:fldCharType="begin"/>
            </w:r>
            <w:r w:rsidR="00C816C6">
              <w:rPr>
                <w:noProof/>
                <w:webHidden/>
              </w:rPr>
              <w:instrText xml:space="preserve"> PAGEREF _Toc129703121 \h </w:instrText>
            </w:r>
            <w:r w:rsidR="00C816C6">
              <w:rPr>
                <w:noProof/>
                <w:webHidden/>
              </w:rPr>
            </w:r>
            <w:r w:rsidR="00C816C6">
              <w:rPr>
                <w:noProof/>
                <w:webHidden/>
              </w:rPr>
              <w:fldChar w:fldCharType="separate"/>
            </w:r>
            <w:r w:rsidR="00C816C6">
              <w:rPr>
                <w:noProof/>
                <w:webHidden/>
              </w:rPr>
              <w:t>4</w:t>
            </w:r>
            <w:r w:rsidR="00C816C6">
              <w:rPr>
                <w:noProof/>
                <w:webHidden/>
              </w:rPr>
              <w:fldChar w:fldCharType="end"/>
            </w:r>
          </w:hyperlink>
        </w:p>
        <w:p w14:paraId="21A4739E" w14:textId="20C5EAD5" w:rsidR="00C816C6" w:rsidRDefault="005C10C9">
          <w:pPr>
            <w:pStyle w:val="TOC1"/>
            <w:rPr>
              <w:rFonts w:asciiTheme="minorHAnsi" w:eastAsiaTheme="minorEastAsia" w:hAnsiTheme="minorHAnsi" w:cstheme="minorBidi"/>
              <w:b w:val="0"/>
              <w:noProof/>
              <w:color w:val="auto"/>
              <w:sz w:val="22"/>
              <w:szCs w:val="22"/>
              <w:lang w:eastAsia="en-AU"/>
            </w:rPr>
          </w:pPr>
          <w:hyperlink w:anchor="_Toc129703122" w:history="1">
            <w:r w:rsidR="00C816C6" w:rsidRPr="00ED1B38">
              <w:rPr>
                <w:rStyle w:val="Hyperlink"/>
                <w:noProof/>
              </w:rPr>
              <w:t>Product submission</w:t>
            </w:r>
            <w:r w:rsidR="00C816C6">
              <w:rPr>
                <w:noProof/>
                <w:webHidden/>
              </w:rPr>
              <w:tab/>
            </w:r>
            <w:r w:rsidR="00C816C6">
              <w:rPr>
                <w:noProof/>
                <w:webHidden/>
              </w:rPr>
              <w:fldChar w:fldCharType="begin"/>
            </w:r>
            <w:r w:rsidR="00C816C6">
              <w:rPr>
                <w:noProof/>
                <w:webHidden/>
              </w:rPr>
              <w:instrText xml:space="preserve"> PAGEREF _Toc129703122 \h </w:instrText>
            </w:r>
            <w:r w:rsidR="00C816C6">
              <w:rPr>
                <w:noProof/>
                <w:webHidden/>
              </w:rPr>
            </w:r>
            <w:r w:rsidR="00C816C6">
              <w:rPr>
                <w:noProof/>
                <w:webHidden/>
              </w:rPr>
              <w:fldChar w:fldCharType="separate"/>
            </w:r>
            <w:r w:rsidR="00C816C6">
              <w:rPr>
                <w:noProof/>
                <w:webHidden/>
              </w:rPr>
              <w:t>5</w:t>
            </w:r>
            <w:r w:rsidR="00C816C6">
              <w:rPr>
                <w:noProof/>
                <w:webHidden/>
              </w:rPr>
              <w:fldChar w:fldCharType="end"/>
            </w:r>
          </w:hyperlink>
        </w:p>
        <w:p w14:paraId="3CF42BC5" w14:textId="3D0D9A97"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23" w:history="1">
            <w:r w:rsidR="00C816C6" w:rsidRPr="00ED1B38">
              <w:rPr>
                <w:rStyle w:val="Hyperlink"/>
                <w:noProof/>
                <w:lang w:eastAsia="en-AU"/>
              </w:rPr>
              <w:t>Submission details</w:t>
            </w:r>
            <w:r w:rsidR="00C816C6">
              <w:rPr>
                <w:noProof/>
                <w:webHidden/>
              </w:rPr>
              <w:tab/>
            </w:r>
            <w:r w:rsidR="00C816C6">
              <w:rPr>
                <w:noProof/>
                <w:webHidden/>
              </w:rPr>
              <w:fldChar w:fldCharType="begin"/>
            </w:r>
            <w:r w:rsidR="00C816C6">
              <w:rPr>
                <w:noProof/>
                <w:webHidden/>
              </w:rPr>
              <w:instrText xml:space="preserve"> PAGEREF _Toc129703123 \h </w:instrText>
            </w:r>
            <w:r w:rsidR="00C816C6">
              <w:rPr>
                <w:noProof/>
                <w:webHidden/>
              </w:rPr>
            </w:r>
            <w:r w:rsidR="00C816C6">
              <w:rPr>
                <w:noProof/>
                <w:webHidden/>
              </w:rPr>
              <w:fldChar w:fldCharType="separate"/>
            </w:r>
            <w:r w:rsidR="00C816C6">
              <w:rPr>
                <w:noProof/>
                <w:webHidden/>
              </w:rPr>
              <w:t>5</w:t>
            </w:r>
            <w:r w:rsidR="00C816C6">
              <w:rPr>
                <w:noProof/>
                <w:webHidden/>
              </w:rPr>
              <w:fldChar w:fldCharType="end"/>
            </w:r>
          </w:hyperlink>
        </w:p>
        <w:p w14:paraId="7E400752" w14:textId="5DFF7D0E"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24" w:history="1">
            <w:r w:rsidR="00C816C6" w:rsidRPr="00ED1B38">
              <w:rPr>
                <w:rStyle w:val="Hyperlink"/>
                <w:noProof/>
              </w:rPr>
              <w:t>Product background</w:t>
            </w:r>
            <w:r w:rsidR="00C816C6">
              <w:rPr>
                <w:noProof/>
                <w:webHidden/>
              </w:rPr>
              <w:tab/>
            </w:r>
            <w:r w:rsidR="00C816C6">
              <w:rPr>
                <w:noProof/>
                <w:webHidden/>
              </w:rPr>
              <w:fldChar w:fldCharType="begin"/>
            </w:r>
            <w:r w:rsidR="00C816C6">
              <w:rPr>
                <w:noProof/>
                <w:webHidden/>
              </w:rPr>
              <w:instrText xml:space="preserve"> PAGEREF _Toc129703124 \h </w:instrText>
            </w:r>
            <w:r w:rsidR="00C816C6">
              <w:rPr>
                <w:noProof/>
                <w:webHidden/>
              </w:rPr>
            </w:r>
            <w:r w:rsidR="00C816C6">
              <w:rPr>
                <w:noProof/>
                <w:webHidden/>
              </w:rPr>
              <w:fldChar w:fldCharType="separate"/>
            </w:r>
            <w:r w:rsidR="00C816C6">
              <w:rPr>
                <w:noProof/>
                <w:webHidden/>
              </w:rPr>
              <w:t>6</w:t>
            </w:r>
            <w:r w:rsidR="00C816C6">
              <w:rPr>
                <w:noProof/>
                <w:webHidden/>
              </w:rPr>
              <w:fldChar w:fldCharType="end"/>
            </w:r>
          </w:hyperlink>
        </w:p>
        <w:p w14:paraId="7965BE0F" w14:textId="07FCF303"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25" w:history="1">
            <w:r w:rsidR="00C816C6" w:rsidRPr="00ED1B38">
              <w:rPr>
                <w:rStyle w:val="Hyperlink"/>
                <w:noProof/>
              </w:rPr>
              <w:t>Regulatory status</w:t>
            </w:r>
            <w:r w:rsidR="00C816C6">
              <w:rPr>
                <w:noProof/>
                <w:webHidden/>
              </w:rPr>
              <w:tab/>
            </w:r>
            <w:r w:rsidR="00C816C6">
              <w:rPr>
                <w:noProof/>
                <w:webHidden/>
              </w:rPr>
              <w:fldChar w:fldCharType="begin"/>
            </w:r>
            <w:r w:rsidR="00C816C6">
              <w:rPr>
                <w:noProof/>
                <w:webHidden/>
              </w:rPr>
              <w:instrText xml:space="preserve"> PAGEREF _Toc129703125 \h </w:instrText>
            </w:r>
            <w:r w:rsidR="00C816C6">
              <w:rPr>
                <w:noProof/>
                <w:webHidden/>
              </w:rPr>
            </w:r>
            <w:r w:rsidR="00C816C6">
              <w:rPr>
                <w:noProof/>
                <w:webHidden/>
              </w:rPr>
              <w:fldChar w:fldCharType="separate"/>
            </w:r>
            <w:r w:rsidR="00C816C6">
              <w:rPr>
                <w:noProof/>
                <w:webHidden/>
              </w:rPr>
              <w:t>7</w:t>
            </w:r>
            <w:r w:rsidR="00C816C6">
              <w:rPr>
                <w:noProof/>
                <w:webHidden/>
              </w:rPr>
              <w:fldChar w:fldCharType="end"/>
            </w:r>
          </w:hyperlink>
        </w:p>
        <w:p w14:paraId="4F394D98" w14:textId="55B293B5"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26" w:history="1">
            <w:r w:rsidR="00C816C6" w:rsidRPr="00ED1B38">
              <w:rPr>
                <w:rStyle w:val="Hyperlink"/>
                <w:noProof/>
              </w:rPr>
              <w:t>Product Information</w:t>
            </w:r>
            <w:r w:rsidR="00C816C6">
              <w:rPr>
                <w:noProof/>
                <w:webHidden/>
              </w:rPr>
              <w:tab/>
            </w:r>
            <w:r w:rsidR="00C816C6">
              <w:rPr>
                <w:noProof/>
                <w:webHidden/>
              </w:rPr>
              <w:fldChar w:fldCharType="begin"/>
            </w:r>
            <w:r w:rsidR="00C816C6">
              <w:rPr>
                <w:noProof/>
                <w:webHidden/>
              </w:rPr>
              <w:instrText xml:space="preserve"> PAGEREF _Toc129703126 \h </w:instrText>
            </w:r>
            <w:r w:rsidR="00C816C6">
              <w:rPr>
                <w:noProof/>
                <w:webHidden/>
              </w:rPr>
            </w:r>
            <w:r w:rsidR="00C816C6">
              <w:rPr>
                <w:noProof/>
                <w:webHidden/>
              </w:rPr>
              <w:fldChar w:fldCharType="separate"/>
            </w:r>
            <w:r w:rsidR="00C816C6">
              <w:rPr>
                <w:noProof/>
                <w:webHidden/>
              </w:rPr>
              <w:t>8</w:t>
            </w:r>
            <w:r w:rsidR="00C816C6">
              <w:rPr>
                <w:noProof/>
                <w:webHidden/>
              </w:rPr>
              <w:fldChar w:fldCharType="end"/>
            </w:r>
          </w:hyperlink>
        </w:p>
        <w:p w14:paraId="64629BB4" w14:textId="47867CE7" w:rsidR="00C816C6" w:rsidRDefault="005C10C9">
          <w:pPr>
            <w:pStyle w:val="TOC1"/>
            <w:rPr>
              <w:rFonts w:asciiTheme="minorHAnsi" w:eastAsiaTheme="minorEastAsia" w:hAnsiTheme="minorHAnsi" w:cstheme="minorBidi"/>
              <w:b w:val="0"/>
              <w:noProof/>
              <w:color w:val="auto"/>
              <w:sz w:val="22"/>
              <w:szCs w:val="22"/>
              <w:lang w:eastAsia="en-AU"/>
            </w:rPr>
          </w:pPr>
          <w:hyperlink w:anchor="_Toc129703127" w:history="1">
            <w:r w:rsidR="00C816C6" w:rsidRPr="00ED1B38">
              <w:rPr>
                <w:rStyle w:val="Hyperlink"/>
                <w:noProof/>
              </w:rPr>
              <w:t>Registration timeline</w:t>
            </w:r>
            <w:r w:rsidR="00C816C6">
              <w:rPr>
                <w:noProof/>
                <w:webHidden/>
              </w:rPr>
              <w:tab/>
            </w:r>
            <w:r w:rsidR="00C816C6">
              <w:rPr>
                <w:noProof/>
                <w:webHidden/>
              </w:rPr>
              <w:fldChar w:fldCharType="begin"/>
            </w:r>
            <w:r w:rsidR="00C816C6">
              <w:rPr>
                <w:noProof/>
                <w:webHidden/>
              </w:rPr>
              <w:instrText xml:space="preserve"> PAGEREF _Toc129703127 \h </w:instrText>
            </w:r>
            <w:r w:rsidR="00C816C6">
              <w:rPr>
                <w:noProof/>
                <w:webHidden/>
              </w:rPr>
            </w:r>
            <w:r w:rsidR="00C816C6">
              <w:rPr>
                <w:noProof/>
                <w:webHidden/>
              </w:rPr>
              <w:fldChar w:fldCharType="separate"/>
            </w:r>
            <w:r w:rsidR="00C816C6">
              <w:rPr>
                <w:noProof/>
                <w:webHidden/>
              </w:rPr>
              <w:t>8</w:t>
            </w:r>
            <w:r w:rsidR="00C816C6">
              <w:rPr>
                <w:noProof/>
                <w:webHidden/>
              </w:rPr>
              <w:fldChar w:fldCharType="end"/>
            </w:r>
          </w:hyperlink>
        </w:p>
        <w:p w14:paraId="35FC4047" w14:textId="2ED7BDFF" w:rsidR="00C816C6" w:rsidRDefault="005C10C9">
          <w:pPr>
            <w:pStyle w:val="TOC1"/>
            <w:rPr>
              <w:rFonts w:asciiTheme="minorHAnsi" w:eastAsiaTheme="minorEastAsia" w:hAnsiTheme="minorHAnsi" w:cstheme="minorBidi"/>
              <w:b w:val="0"/>
              <w:noProof/>
              <w:color w:val="auto"/>
              <w:sz w:val="22"/>
              <w:szCs w:val="22"/>
              <w:lang w:eastAsia="en-AU"/>
            </w:rPr>
          </w:pPr>
          <w:hyperlink w:anchor="_Toc129703128" w:history="1">
            <w:r w:rsidR="00C816C6" w:rsidRPr="00ED1B38">
              <w:rPr>
                <w:rStyle w:val="Hyperlink"/>
                <w:noProof/>
              </w:rPr>
              <w:t>Submission overview and risk/benefit assessment</w:t>
            </w:r>
            <w:r w:rsidR="00C816C6">
              <w:rPr>
                <w:noProof/>
                <w:webHidden/>
              </w:rPr>
              <w:tab/>
            </w:r>
            <w:r w:rsidR="00C816C6">
              <w:rPr>
                <w:noProof/>
                <w:webHidden/>
              </w:rPr>
              <w:fldChar w:fldCharType="begin"/>
            </w:r>
            <w:r w:rsidR="00C816C6">
              <w:rPr>
                <w:noProof/>
                <w:webHidden/>
              </w:rPr>
              <w:instrText xml:space="preserve"> PAGEREF _Toc129703128 \h </w:instrText>
            </w:r>
            <w:r w:rsidR="00C816C6">
              <w:rPr>
                <w:noProof/>
                <w:webHidden/>
              </w:rPr>
            </w:r>
            <w:r w:rsidR="00C816C6">
              <w:rPr>
                <w:noProof/>
                <w:webHidden/>
              </w:rPr>
              <w:fldChar w:fldCharType="separate"/>
            </w:r>
            <w:r w:rsidR="00C816C6">
              <w:rPr>
                <w:noProof/>
                <w:webHidden/>
              </w:rPr>
              <w:t>10</w:t>
            </w:r>
            <w:r w:rsidR="00C816C6">
              <w:rPr>
                <w:noProof/>
                <w:webHidden/>
              </w:rPr>
              <w:fldChar w:fldCharType="end"/>
            </w:r>
          </w:hyperlink>
        </w:p>
        <w:p w14:paraId="293AAF3F" w14:textId="0A6F4EB1"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29" w:history="1">
            <w:r w:rsidR="00C816C6" w:rsidRPr="00ED1B38">
              <w:rPr>
                <w:rStyle w:val="Hyperlink"/>
                <w:noProof/>
              </w:rPr>
              <w:t>Quality</w:t>
            </w:r>
            <w:r w:rsidR="00C816C6">
              <w:rPr>
                <w:noProof/>
                <w:webHidden/>
              </w:rPr>
              <w:tab/>
            </w:r>
            <w:r w:rsidR="00C816C6">
              <w:rPr>
                <w:noProof/>
                <w:webHidden/>
              </w:rPr>
              <w:fldChar w:fldCharType="begin"/>
            </w:r>
            <w:r w:rsidR="00C816C6">
              <w:rPr>
                <w:noProof/>
                <w:webHidden/>
              </w:rPr>
              <w:instrText xml:space="preserve"> PAGEREF _Toc129703129 \h </w:instrText>
            </w:r>
            <w:r w:rsidR="00C816C6">
              <w:rPr>
                <w:noProof/>
                <w:webHidden/>
              </w:rPr>
            </w:r>
            <w:r w:rsidR="00C816C6">
              <w:rPr>
                <w:noProof/>
                <w:webHidden/>
              </w:rPr>
              <w:fldChar w:fldCharType="separate"/>
            </w:r>
            <w:r w:rsidR="00C816C6">
              <w:rPr>
                <w:noProof/>
                <w:webHidden/>
              </w:rPr>
              <w:t>10</w:t>
            </w:r>
            <w:r w:rsidR="00C816C6">
              <w:rPr>
                <w:noProof/>
                <w:webHidden/>
              </w:rPr>
              <w:fldChar w:fldCharType="end"/>
            </w:r>
          </w:hyperlink>
        </w:p>
        <w:p w14:paraId="4B61DA5B" w14:textId="6CAB88C6"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30" w:history="1">
            <w:r w:rsidR="00C816C6" w:rsidRPr="00ED1B38">
              <w:rPr>
                <w:rStyle w:val="Hyperlink"/>
                <w:noProof/>
              </w:rPr>
              <w:t>Nonclinical</w:t>
            </w:r>
            <w:r w:rsidR="00C816C6">
              <w:rPr>
                <w:noProof/>
                <w:webHidden/>
              </w:rPr>
              <w:tab/>
            </w:r>
            <w:r w:rsidR="00C816C6">
              <w:rPr>
                <w:noProof/>
                <w:webHidden/>
              </w:rPr>
              <w:fldChar w:fldCharType="begin"/>
            </w:r>
            <w:r w:rsidR="00C816C6">
              <w:rPr>
                <w:noProof/>
                <w:webHidden/>
              </w:rPr>
              <w:instrText xml:space="preserve"> PAGEREF _Toc129703130 \h </w:instrText>
            </w:r>
            <w:r w:rsidR="00C816C6">
              <w:rPr>
                <w:noProof/>
                <w:webHidden/>
              </w:rPr>
            </w:r>
            <w:r w:rsidR="00C816C6">
              <w:rPr>
                <w:noProof/>
                <w:webHidden/>
              </w:rPr>
              <w:fldChar w:fldCharType="separate"/>
            </w:r>
            <w:r w:rsidR="00C816C6">
              <w:rPr>
                <w:noProof/>
                <w:webHidden/>
              </w:rPr>
              <w:t>11</w:t>
            </w:r>
            <w:r w:rsidR="00C816C6">
              <w:rPr>
                <w:noProof/>
                <w:webHidden/>
              </w:rPr>
              <w:fldChar w:fldCharType="end"/>
            </w:r>
          </w:hyperlink>
        </w:p>
        <w:p w14:paraId="0402A011" w14:textId="4D408219"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31" w:history="1">
            <w:r w:rsidR="00C816C6" w:rsidRPr="00ED1B38">
              <w:rPr>
                <w:rStyle w:val="Hyperlink"/>
                <w:noProof/>
              </w:rPr>
              <w:t>Clinical</w:t>
            </w:r>
            <w:r w:rsidR="00C816C6">
              <w:rPr>
                <w:noProof/>
                <w:webHidden/>
              </w:rPr>
              <w:tab/>
            </w:r>
            <w:r w:rsidR="00C816C6">
              <w:rPr>
                <w:noProof/>
                <w:webHidden/>
              </w:rPr>
              <w:fldChar w:fldCharType="begin"/>
            </w:r>
            <w:r w:rsidR="00C816C6">
              <w:rPr>
                <w:noProof/>
                <w:webHidden/>
              </w:rPr>
              <w:instrText xml:space="preserve"> PAGEREF _Toc129703131 \h </w:instrText>
            </w:r>
            <w:r w:rsidR="00C816C6">
              <w:rPr>
                <w:noProof/>
                <w:webHidden/>
              </w:rPr>
            </w:r>
            <w:r w:rsidR="00C816C6">
              <w:rPr>
                <w:noProof/>
                <w:webHidden/>
              </w:rPr>
              <w:fldChar w:fldCharType="separate"/>
            </w:r>
            <w:r w:rsidR="00C816C6">
              <w:rPr>
                <w:noProof/>
                <w:webHidden/>
              </w:rPr>
              <w:t>11</w:t>
            </w:r>
            <w:r w:rsidR="00C816C6">
              <w:rPr>
                <w:noProof/>
                <w:webHidden/>
              </w:rPr>
              <w:fldChar w:fldCharType="end"/>
            </w:r>
          </w:hyperlink>
        </w:p>
        <w:p w14:paraId="73C358D5" w14:textId="3B283989" w:rsidR="00C816C6" w:rsidRDefault="005C10C9">
          <w:pPr>
            <w:pStyle w:val="TOC3"/>
            <w:rPr>
              <w:rFonts w:asciiTheme="minorHAnsi" w:eastAsiaTheme="minorEastAsia" w:hAnsiTheme="minorHAnsi" w:cstheme="minorBidi"/>
              <w:b w:val="0"/>
              <w:noProof/>
              <w:color w:val="auto"/>
              <w:szCs w:val="22"/>
              <w:lang w:eastAsia="en-AU"/>
            </w:rPr>
          </w:pPr>
          <w:hyperlink w:anchor="_Toc129703132" w:history="1">
            <w:r w:rsidR="00C816C6" w:rsidRPr="00ED1B38">
              <w:rPr>
                <w:rStyle w:val="Hyperlink"/>
                <w:noProof/>
              </w:rPr>
              <w:t>Summary of clinical studies</w:t>
            </w:r>
            <w:r w:rsidR="00C816C6">
              <w:rPr>
                <w:noProof/>
                <w:webHidden/>
              </w:rPr>
              <w:tab/>
            </w:r>
            <w:r w:rsidR="00C816C6">
              <w:rPr>
                <w:noProof/>
                <w:webHidden/>
              </w:rPr>
              <w:fldChar w:fldCharType="begin"/>
            </w:r>
            <w:r w:rsidR="00C816C6">
              <w:rPr>
                <w:noProof/>
                <w:webHidden/>
              </w:rPr>
              <w:instrText xml:space="preserve"> PAGEREF _Toc129703132 \h </w:instrText>
            </w:r>
            <w:r w:rsidR="00C816C6">
              <w:rPr>
                <w:noProof/>
                <w:webHidden/>
              </w:rPr>
            </w:r>
            <w:r w:rsidR="00C816C6">
              <w:rPr>
                <w:noProof/>
                <w:webHidden/>
              </w:rPr>
              <w:fldChar w:fldCharType="separate"/>
            </w:r>
            <w:r w:rsidR="00C816C6">
              <w:rPr>
                <w:noProof/>
                <w:webHidden/>
              </w:rPr>
              <w:t>11</w:t>
            </w:r>
            <w:r w:rsidR="00C816C6">
              <w:rPr>
                <w:noProof/>
                <w:webHidden/>
              </w:rPr>
              <w:fldChar w:fldCharType="end"/>
            </w:r>
          </w:hyperlink>
        </w:p>
        <w:p w14:paraId="2833C71C" w14:textId="15B71568" w:rsidR="00C816C6" w:rsidRDefault="005C10C9">
          <w:pPr>
            <w:pStyle w:val="TOC3"/>
            <w:rPr>
              <w:rFonts w:asciiTheme="minorHAnsi" w:eastAsiaTheme="minorEastAsia" w:hAnsiTheme="minorHAnsi" w:cstheme="minorBidi"/>
              <w:b w:val="0"/>
              <w:noProof/>
              <w:color w:val="auto"/>
              <w:szCs w:val="22"/>
              <w:lang w:eastAsia="en-AU"/>
            </w:rPr>
          </w:pPr>
          <w:hyperlink w:anchor="_Toc129703133" w:history="1">
            <w:r w:rsidR="00C816C6" w:rsidRPr="00ED1B38">
              <w:rPr>
                <w:rStyle w:val="Hyperlink"/>
                <w:noProof/>
              </w:rPr>
              <w:t>Recommendation following the clinical evaluation</w:t>
            </w:r>
            <w:r w:rsidR="00C816C6">
              <w:rPr>
                <w:noProof/>
                <w:webHidden/>
              </w:rPr>
              <w:tab/>
            </w:r>
            <w:r w:rsidR="00C816C6">
              <w:rPr>
                <w:noProof/>
                <w:webHidden/>
              </w:rPr>
              <w:fldChar w:fldCharType="begin"/>
            </w:r>
            <w:r w:rsidR="00C816C6">
              <w:rPr>
                <w:noProof/>
                <w:webHidden/>
              </w:rPr>
              <w:instrText xml:space="preserve"> PAGEREF _Toc129703133 \h </w:instrText>
            </w:r>
            <w:r w:rsidR="00C816C6">
              <w:rPr>
                <w:noProof/>
                <w:webHidden/>
              </w:rPr>
            </w:r>
            <w:r w:rsidR="00C816C6">
              <w:rPr>
                <w:noProof/>
                <w:webHidden/>
              </w:rPr>
              <w:fldChar w:fldCharType="separate"/>
            </w:r>
            <w:r w:rsidR="00C816C6">
              <w:rPr>
                <w:noProof/>
                <w:webHidden/>
              </w:rPr>
              <w:t>11</w:t>
            </w:r>
            <w:r w:rsidR="00C816C6">
              <w:rPr>
                <w:noProof/>
                <w:webHidden/>
              </w:rPr>
              <w:fldChar w:fldCharType="end"/>
            </w:r>
          </w:hyperlink>
        </w:p>
        <w:p w14:paraId="656A4E04" w14:textId="51FBEBB9"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34" w:history="1">
            <w:r w:rsidR="00C816C6" w:rsidRPr="00ED1B38">
              <w:rPr>
                <w:rStyle w:val="Hyperlink"/>
                <w:noProof/>
                <w:lang w:eastAsia="en-AU"/>
              </w:rPr>
              <w:t>Risk management plan</w:t>
            </w:r>
            <w:r w:rsidR="00C816C6">
              <w:rPr>
                <w:noProof/>
                <w:webHidden/>
              </w:rPr>
              <w:tab/>
            </w:r>
            <w:r w:rsidR="00C816C6">
              <w:rPr>
                <w:noProof/>
                <w:webHidden/>
              </w:rPr>
              <w:fldChar w:fldCharType="begin"/>
            </w:r>
            <w:r w:rsidR="00C816C6">
              <w:rPr>
                <w:noProof/>
                <w:webHidden/>
              </w:rPr>
              <w:instrText xml:space="preserve"> PAGEREF _Toc129703134 \h </w:instrText>
            </w:r>
            <w:r w:rsidR="00C816C6">
              <w:rPr>
                <w:noProof/>
                <w:webHidden/>
              </w:rPr>
            </w:r>
            <w:r w:rsidR="00C816C6">
              <w:rPr>
                <w:noProof/>
                <w:webHidden/>
              </w:rPr>
              <w:fldChar w:fldCharType="separate"/>
            </w:r>
            <w:r w:rsidR="00C816C6">
              <w:rPr>
                <w:noProof/>
                <w:webHidden/>
              </w:rPr>
              <w:t>11</w:t>
            </w:r>
            <w:r w:rsidR="00C816C6">
              <w:rPr>
                <w:noProof/>
                <w:webHidden/>
              </w:rPr>
              <w:fldChar w:fldCharType="end"/>
            </w:r>
          </w:hyperlink>
        </w:p>
        <w:p w14:paraId="3A3FEF48" w14:textId="4C2EBB7E"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35" w:history="1">
            <w:r w:rsidR="00C816C6" w:rsidRPr="00ED1B38">
              <w:rPr>
                <w:rStyle w:val="Hyperlink"/>
                <w:noProof/>
              </w:rPr>
              <w:t>Risk-benefit analysis</w:t>
            </w:r>
            <w:r w:rsidR="00C816C6">
              <w:rPr>
                <w:noProof/>
                <w:webHidden/>
              </w:rPr>
              <w:tab/>
            </w:r>
            <w:r w:rsidR="00C816C6">
              <w:rPr>
                <w:noProof/>
                <w:webHidden/>
              </w:rPr>
              <w:fldChar w:fldCharType="begin"/>
            </w:r>
            <w:r w:rsidR="00C816C6">
              <w:rPr>
                <w:noProof/>
                <w:webHidden/>
              </w:rPr>
              <w:instrText xml:space="preserve"> PAGEREF _Toc129703135 \h </w:instrText>
            </w:r>
            <w:r w:rsidR="00C816C6">
              <w:rPr>
                <w:noProof/>
                <w:webHidden/>
              </w:rPr>
            </w:r>
            <w:r w:rsidR="00C816C6">
              <w:rPr>
                <w:noProof/>
                <w:webHidden/>
              </w:rPr>
              <w:fldChar w:fldCharType="separate"/>
            </w:r>
            <w:r w:rsidR="00C816C6">
              <w:rPr>
                <w:noProof/>
                <w:webHidden/>
              </w:rPr>
              <w:t>12</w:t>
            </w:r>
            <w:r w:rsidR="00C816C6">
              <w:rPr>
                <w:noProof/>
                <w:webHidden/>
              </w:rPr>
              <w:fldChar w:fldCharType="end"/>
            </w:r>
          </w:hyperlink>
        </w:p>
        <w:p w14:paraId="41CB725A" w14:textId="1A14DF1D" w:rsidR="00C816C6" w:rsidRDefault="005C10C9">
          <w:pPr>
            <w:pStyle w:val="TOC3"/>
            <w:rPr>
              <w:rFonts w:asciiTheme="minorHAnsi" w:eastAsiaTheme="minorEastAsia" w:hAnsiTheme="minorHAnsi" w:cstheme="minorBidi"/>
              <w:b w:val="0"/>
              <w:noProof/>
              <w:color w:val="auto"/>
              <w:szCs w:val="22"/>
              <w:lang w:eastAsia="en-AU"/>
            </w:rPr>
          </w:pPr>
          <w:hyperlink w:anchor="_Toc129703136" w:history="1">
            <w:r w:rsidR="00C816C6" w:rsidRPr="00ED1B38">
              <w:rPr>
                <w:rStyle w:val="Hyperlink"/>
                <w:noProof/>
              </w:rPr>
              <w:t>Delegate’s considerations</w:t>
            </w:r>
            <w:r w:rsidR="00C816C6">
              <w:rPr>
                <w:noProof/>
                <w:webHidden/>
              </w:rPr>
              <w:tab/>
            </w:r>
            <w:r w:rsidR="00C816C6">
              <w:rPr>
                <w:noProof/>
                <w:webHidden/>
              </w:rPr>
              <w:fldChar w:fldCharType="begin"/>
            </w:r>
            <w:r w:rsidR="00C816C6">
              <w:rPr>
                <w:noProof/>
                <w:webHidden/>
              </w:rPr>
              <w:instrText xml:space="preserve"> PAGEREF _Toc129703136 \h </w:instrText>
            </w:r>
            <w:r w:rsidR="00C816C6">
              <w:rPr>
                <w:noProof/>
                <w:webHidden/>
              </w:rPr>
            </w:r>
            <w:r w:rsidR="00C816C6">
              <w:rPr>
                <w:noProof/>
                <w:webHidden/>
              </w:rPr>
              <w:fldChar w:fldCharType="separate"/>
            </w:r>
            <w:r w:rsidR="00C816C6">
              <w:rPr>
                <w:noProof/>
                <w:webHidden/>
              </w:rPr>
              <w:t>12</w:t>
            </w:r>
            <w:r w:rsidR="00C816C6">
              <w:rPr>
                <w:noProof/>
                <w:webHidden/>
              </w:rPr>
              <w:fldChar w:fldCharType="end"/>
            </w:r>
          </w:hyperlink>
        </w:p>
        <w:p w14:paraId="34EEAE54" w14:textId="1D963C89" w:rsidR="00C816C6" w:rsidRDefault="005C10C9">
          <w:pPr>
            <w:pStyle w:val="TOC3"/>
            <w:rPr>
              <w:rFonts w:asciiTheme="minorHAnsi" w:eastAsiaTheme="minorEastAsia" w:hAnsiTheme="minorHAnsi" w:cstheme="minorBidi"/>
              <w:b w:val="0"/>
              <w:noProof/>
              <w:color w:val="auto"/>
              <w:szCs w:val="22"/>
              <w:lang w:eastAsia="en-AU"/>
            </w:rPr>
          </w:pPr>
          <w:hyperlink w:anchor="_Toc129703137" w:history="1">
            <w:r w:rsidR="00C816C6" w:rsidRPr="00ED1B38">
              <w:rPr>
                <w:rStyle w:val="Hyperlink"/>
                <w:noProof/>
              </w:rPr>
              <w:t>Proposed action</w:t>
            </w:r>
            <w:r w:rsidR="00C816C6">
              <w:rPr>
                <w:noProof/>
                <w:webHidden/>
              </w:rPr>
              <w:tab/>
            </w:r>
            <w:r w:rsidR="00C816C6">
              <w:rPr>
                <w:noProof/>
                <w:webHidden/>
              </w:rPr>
              <w:fldChar w:fldCharType="begin"/>
            </w:r>
            <w:r w:rsidR="00C816C6">
              <w:rPr>
                <w:noProof/>
                <w:webHidden/>
              </w:rPr>
              <w:instrText xml:space="preserve"> PAGEREF _Toc129703137 \h </w:instrText>
            </w:r>
            <w:r w:rsidR="00C816C6">
              <w:rPr>
                <w:noProof/>
                <w:webHidden/>
              </w:rPr>
            </w:r>
            <w:r w:rsidR="00C816C6">
              <w:rPr>
                <w:noProof/>
                <w:webHidden/>
              </w:rPr>
              <w:fldChar w:fldCharType="separate"/>
            </w:r>
            <w:r w:rsidR="00C816C6">
              <w:rPr>
                <w:noProof/>
                <w:webHidden/>
              </w:rPr>
              <w:t>12</w:t>
            </w:r>
            <w:r w:rsidR="00C816C6">
              <w:rPr>
                <w:noProof/>
                <w:webHidden/>
              </w:rPr>
              <w:fldChar w:fldCharType="end"/>
            </w:r>
          </w:hyperlink>
        </w:p>
        <w:p w14:paraId="43A298DE" w14:textId="50792474" w:rsidR="00C816C6" w:rsidRDefault="005C10C9">
          <w:pPr>
            <w:pStyle w:val="TOC3"/>
            <w:rPr>
              <w:rFonts w:asciiTheme="minorHAnsi" w:eastAsiaTheme="minorEastAsia" w:hAnsiTheme="minorHAnsi" w:cstheme="minorBidi"/>
              <w:b w:val="0"/>
              <w:noProof/>
              <w:color w:val="auto"/>
              <w:szCs w:val="22"/>
              <w:lang w:eastAsia="en-AU"/>
            </w:rPr>
          </w:pPr>
          <w:hyperlink w:anchor="_Toc129703138" w:history="1">
            <w:r w:rsidR="00C816C6" w:rsidRPr="00ED1B38">
              <w:rPr>
                <w:rStyle w:val="Hyperlink"/>
                <w:noProof/>
              </w:rPr>
              <w:t>Questions for the sponsor</w:t>
            </w:r>
            <w:r w:rsidR="00C816C6">
              <w:rPr>
                <w:noProof/>
                <w:webHidden/>
              </w:rPr>
              <w:tab/>
            </w:r>
            <w:r w:rsidR="00C816C6">
              <w:rPr>
                <w:noProof/>
                <w:webHidden/>
              </w:rPr>
              <w:fldChar w:fldCharType="begin"/>
            </w:r>
            <w:r w:rsidR="00C816C6">
              <w:rPr>
                <w:noProof/>
                <w:webHidden/>
              </w:rPr>
              <w:instrText xml:space="preserve"> PAGEREF _Toc129703138 \h </w:instrText>
            </w:r>
            <w:r w:rsidR="00C816C6">
              <w:rPr>
                <w:noProof/>
                <w:webHidden/>
              </w:rPr>
            </w:r>
            <w:r w:rsidR="00C816C6">
              <w:rPr>
                <w:noProof/>
                <w:webHidden/>
              </w:rPr>
              <w:fldChar w:fldCharType="separate"/>
            </w:r>
            <w:r w:rsidR="00C816C6">
              <w:rPr>
                <w:noProof/>
                <w:webHidden/>
              </w:rPr>
              <w:t>12</w:t>
            </w:r>
            <w:r w:rsidR="00C816C6">
              <w:rPr>
                <w:noProof/>
                <w:webHidden/>
              </w:rPr>
              <w:fldChar w:fldCharType="end"/>
            </w:r>
          </w:hyperlink>
        </w:p>
        <w:p w14:paraId="4FCF5A02" w14:textId="4ACA5696" w:rsidR="00C816C6" w:rsidRDefault="005C10C9">
          <w:pPr>
            <w:pStyle w:val="TOC3"/>
            <w:rPr>
              <w:rFonts w:asciiTheme="minorHAnsi" w:eastAsiaTheme="minorEastAsia" w:hAnsiTheme="minorHAnsi" w:cstheme="minorBidi"/>
              <w:b w:val="0"/>
              <w:noProof/>
              <w:color w:val="auto"/>
              <w:szCs w:val="22"/>
              <w:lang w:eastAsia="en-AU"/>
            </w:rPr>
          </w:pPr>
          <w:hyperlink w:anchor="_Toc129703139" w:history="1">
            <w:r w:rsidR="00C816C6" w:rsidRPr="00ED1B38">
              <w:rPr>
                <w:rStyle w:val="Hyperlink"/>
                <w:noProof/>
              </w:rPr>
              <w:t>Independent expert advice</w:t>
            </w:r>
            <w:r w:rsidR="00C816C6">
              <w:rPr>
                <w:noProof/>
                <w:webHidden/>
              </w:rPr>
              <w:tab/>
            </w:r>
            <w:r w:rsidR="00C816C6">
              <w:rPr>
                <w:noProof/>
                <w:webHidden/>
              </w:rPr>
              <w:fldChar w:fldCharType="begin"/>
            </w:r>
            <w:r w:rsidR="00C816C6">
              <w:rPr>
                <w:noProof/>
                <w:webHidden/>
              </w:rPr>
              <w:instrText xml:space="preserve"> PAGEREF _Toc129703139 \h </w:instrText>
            </w:r>
            <w:r w:rsidR="00C816C6">
              <w:rPr>
                <w:noProof/>
                <w:webHidden/>
              </w:rPr>
            </w:r>
            <w:r w:rsidR="00C816C6">
              <w:rPr>
                <w:noProof/>
                <w:webHidden/>
              </w:rPr>
              <w:fldChar w:fldCharType="separate"/>
            </w:r>
            <w:r w:rsidR="00C816C6">
              <w:rPr>
                <w:noProof/>
                <w:webHidden/>
              </w:rPr>
              <w:t>12</w:t>
            </w:r>
            <w:r w:rsidR="00C816C6">
              <w:rPr>
                <w:noProof/>
                <w:webHidden/>
              </w:rPr>
              <w:fldChar w:fldCharType="end"/>
            </w:r>
          </w:hyperlink>
        </w:p>
        <w:p w14:paraId="60BCE501" w14:textId="2A9F2AB8" w:rsidR="00C816C6" w:rsidRDefault="005C10C9">
          <w:pPr>
            <w:pStyle w:val="TOC3"/>
            <w:rPr>
              <w:rFonts w:asciiTheme="minorHAnsi" w:eastAsiaTheme="minorEastAsia" w:hAnsiTheme="minorHAnsi" w:cstheme="minorBidi"/>
              <w:b w:val="0"/>
              <w:noProof/>
              <w:color w:val="auto"/>
              <w:szCs w:val="22"/>
              <w:lang w:eastAsia="en-AU"/>
            </w:rPr>
          </w:pPr>
          <w:hyperlink w:anchor="_Toc129703140" w:history="1">
            <w:r w:rsidR="00C816C6" w:rsidRPr="00ED1B38">
              <w:rPr>
                <w:rStyle w:val="Hyperlink"/>
                <w:noProof/>
              </w:rPr>
              <w:t>Advisory Committee considerations</w:t>
            </w:r>
            <w:r w:rsidR="00C816C6">
              <w:rPr>
                <w:noProof/>
                <w:webHidden/>
              </w:rPr>
              <w:tab/>
            </w:r>
            <w:r w:rsidR="00C816C6">
              <w:rPr>
                <w:noProof/>
                <w:webHidden/>
              </w:rPr>
              <w:fldChar w:fldCharType="begin"/>
            </w:r>
            <w:r w:rsidR="00C816C6">
              <w:rPr>
                <w:noProof/>
                <w:webHidden/>
              </w:rPr>
              <w:instrText xml:space="preserve"> PAGEREF _Toc129703140 \h </w:instrText>
            </w:r>
            <w:r w:rsidR="00C816C6">
              <w:rPr>
                <w:noProof/>
                <w:webHidden/>
              </w:rPr>
            </w:r>
            <w:r w:rsidR="00C816C6">
              <w:rPr>
                <w:noProof/>
                <w:webHidden/>
              </w:rPr>
              <w:fldChar w:fldCharType="separate"/>
            </w:r>
            <w:r w:rsidR="00C816C6">
              <w:rPr>
                <w:noProof/>
                <w:webHidden/>
              </w:rPr>
              <w:t>12</w:t>
            </w:r>
            <w:r w:rsidR="00C816C6">
              <w:rPr>
                <w:noProof/>
                <w:webHidden/>
              </w:rPr>
              <w:fldChar w:fldCharType="end"/>
            </w:r>
          </w:hyperlink>
        </w:p>
        <w:p w14:paraId="49AA2EE1" w14:textId="5B030B49" w:rsidR="00C816C6" w:rsidRDefault="005C10C9">
          <w:pPr>
            <w:pStyle w:val="TOC1"/>
            <w:rPr>
              <w:rFonts w:asciiTheme="minorHAnsi" w:eastAsiaTheme="minorEastAsia" w:hAnsiTheme="minorHAnsi" w:cstheme="minorBidi"/>
              <w:b w:val="0"/>
              <w:noProof/>
              <w:color w:val="auto"/>
              <w:sz w:val="22"/>
              <w:szCs w:val="22"/>
              <w:lang w:eastAsia="en-AU"/>
            </w:rPr>
          </w:pPr>
          <w:hyperlink w:anchor="_Toc129703141" w:history="1">
            <w:r w:rsidR="00C816C6" w:rsidRPr="00ED1B38">
              <w:rPr>
                <w:rStyle w:val="Hyperlink"/>
                <w:noProof/>
              </w:rPr>
              <w:t>Outcome</w:t>
            </w:r>
            <w:r w:rsidR="00C816C6">
              <w:rPr>
                <w:noProof/>
                <w:webHidden/>
              </w:rPr>
              <w:tab/>
            </w:r>
            <w:r w:rsidR="00C816C6">
              <w:rPr>
                <w:noProof/>
                <w:webHidden/>
              </w:rPr>
              <w:fldChar w:fldCharType="begin"/>
            </w:r>
            <w:r w:rsidR="00C816C6">
              <w:rPr>
                <w:noProof/>
                <w:webHidden/>
              </w:rPr>
              <w:instrText xml:space="preserve"> PAGEREF _Toc129703141 \h </w:instrText>
            </w:r>
            <w:r w:rsidR="00C816C6">
              <w:rPr>
                <w:noProof/>
                <w:webHidden/>
              </w:rPr>
            </w:r>
            <w:r w:rsidR="00C816C6">
              <w:rPr>
                <w:noProof/>
                <w:webHidden/>
              </w:rPr>
              <w:fldChar w:fldCharType="separate"/>
            </w:r>
            <w:r w:rsidR="00C816C6">
              <w:rPr>
                <w:noProof/>
                <w:webHidden/>
              </w:rPr>
              <w:t>13</w:t>
            </w:r>
            <w:r w:rsidR="00C816C6">
              <w:rPr>
                <w:noProof/>
                <w:webHidden/>
              </w:rPr>
              <w:fldChar w:fldCharType="end"/>
            </w:r>
          </w:hyperlink>
        </w:p>
        <w:p w14:paraId="20D54D93" w14:textId="0C65C704"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42" w:history="1">
            <w:r w:rsidR="00C816C6" w:rsidRPr="00ED1B38">
              <w:rPr>
                <w:rStyle w:val="Hyperlink"/>
                <w:noProof/>
              </w:rPr>
              <w:t>Specific conditions of registration applying to these goods</w:t>
            </w:r>
            <w:r w:rsidR="00C816C6">
              <w:rPr>
                <w:noProof/>
                <w:webHidden/>
              </w:rPr>
              <w:tab/>
            </w:r>
            <w:r w:rsidR="00C816C6">
              <w:rPr>
                <w:noProof/>
                <w:webHidden/>
              </w:rPr>
              <w:fldChar w:fldCharType="begin"/>
            </w:r>
            <w:r w:rsidR="00C816C6">
              <w:rPr>
                <w:noProof/>
                <w:webHidden/>
              </w:rPr>
              <w:instrText xml:space="preserve"> PAGEREF _Toc129703142 \h </w:instrText>
            </w:r>
            <w:r w:rsidR="00C816C6">
              <w:rPr>
                <w:noProof/>
                <w:webHidden/>
              </w:rPr>
            </w:r>
            <w:r w:rsidR="00C816C6">
              <w:rPr>
                <w:noProof/>
                <w:webHidden/>
              </w:rPr>
              <w:fldChar w:fldCharType="separate"/>
            </w:r>
            <w:r w:rsidR="00C816C6">
              <w:rPr>
                <w:noProof/>
                <w:webHidden/>
              </w:rPr>
              <w:t>13</w:t>
            </w:r>
            <w:r w:rsidR="00C816C6">
              <w:rPr>
                <w:noProof/>
                <w:webHidden/>
              </w:rPr>
              <w:fldChar w:fldCharType="end"/>
            </w:r>
          </w:hyperlink>
        </w:p>
        <w:p w14:paraId="320DC018" w14:textId="695DE46A" w:rsidR="00C816C6" w:rsidRDefault="005C10C9">
          <w:pPr>
            <w:pStyle w:val="TOC2"/>
            <w:rPr>
              <w:rFonts w:asciiTheme="minorHAnsi" w:eastAsiaTheme="minorEastAsia" w:hAnsiTheme="minorHAnsi" w:cstheme="minorBidi"/>
              <w:b w:val="0"/>
              <w:noProof/>
              <w:color w:val="auto"/>
              <w:sz w:val="22"/>
              <w:szCs w:val="22"/>
              <w:lang w:eastAsia="en-AU"/>
            </w:rPr>
          </w:pPr>
          <w:hyperlink w:anchor="_Toc129703143" w:history="1">
            <w:r w:rsidR="00C816C6" w:rsidRPr="00ED1B38">
              <w:rPr>
                <w:rStyle w:val="Hyperlink"/>
                <w:noProof/>
              </w:rPr>
              <w:t>Final outcome</w:t>
            </w:r>
            <w:r w:rsidR="00C816C6">
              <w:rPr>
                <w:noProof/>
                <w:webHidden/>
              </w:rPr>
              <w:tab/>
            </w:r>
            <w:r w:rsidR="00C816C6">
              <w:rPr>
                <w:noProof/>
                <w:webHidden/>
              </w:rPr>
              <w:fldChar w:fldCharType="begin"/>
            </w:r>
            <w:r w:rsidR="00C816C6">
              <w:rPr>
                <w:noProof/>
                <w:webHidden/>
              </w:rPr>
              <w:instrText xml:space="preserve"> PAGEREF _Toc129703143 \h </w:instrText>
            </w:r>
            <w:r w:rsidR="00C816C6">
              <w:rPr>
                <w:noProof/>
                <w:webHidden/>
              </w:rPr>
            </w:r>
            <w:r w:rsidR="00C816C6">
              <w:rPr>
                <w:noProof/>
                <w:webHidden/>
              </w:rPr>
              <w:fldChar w:fldCharType="separate"/>
            </w:r>
            <w:r w:rsidR="00C816C6">
              <w:rPr>
                <w:noProof/>
                <w:webHidden/>
              </w:rPr>
              <w:t>13</w:t>
            </w:r>
            <w:r w:rsidR="00C816C6">
              <w:rPr>
                <w:noProof/>
                <w:webHidden/>
              </w:rPr>
              <w:fldChar w:fldCharType="end"/>
            </w:r>
          </w:hyperlink>
        </w:p>
        <w:p w14:paraId="548F1B54" w14:textId="7516DFA7" w:rsidR="00C816C6" w:rsidRDefault="005C10C9">
          <w:pPr>
            <w:pStyle w:val="TOC3"/>
            <w:rPr>
              <w:rFonts w:asciiTheme="minorHAnsi" w:eastAsiaTheme="minorEastAsia" w:hAnsiTheme="minorHAnsi" w:cstheme="minorBidi"/>
              <w:b w:val="0"/>
              <w:noProof/>
              <w:color w:val="auto"/>
              <w:szCs w:val="22"/>
              <w:lang w:eastAsia="en-AU"/>
            </w:rPr>
          </w:pPr>
          <w:hyperlink w:anchor="_Toc129703144" w:history="1">
            <w:r w:rsidR="00C816C6" w:rsidRPr="00ED1B38">
              <w:rPr>
                <w:rStyle w:val="Hyperlink"/>
                <w:noProof/>
              </w:rPr>
              <w:t>Appeal to the administrative appeals tribunal</w:t>
            </w:r>
            <w:r w:rsidR="00C816C6">
              <w:rPr>
                <w:noProof/>
                <w:webHidden/>
              </w:rPr>
              <w:tab/>
            </w:r>
            <w:r w:rsidR="00C816C6">
              <w:rPr>
                <w:noProof/>
                <w:webHidden/>
              </w:rPr>
              <w:fldChar w:fldCharType="begin"/>
            </w:r>
            <w:r w:rsidR="00C816C6">
              <w:rPr>
                <w:noProof/>
                <w:webHidden/>
              </w:rPr>
              <w:instrText xml:space="preserve"> PAGEREF _Toc129703144 \h </w:instrText>
            </w:r>
            <w:r w:rsidR="00C816C6">
              <w:rPr>
                <w:noProof/>
                <w:webHidden/>
              </w:rPr>
            </w:r>
            <w:r w:rsidR="00C816C6">
              <w:rPr>
                <w:noProof/>
                <w:webHidden/>
              </w:rPr>
              <w:fldChar w:fldCharType="separate"/>
            </w:r>
            <w:r w:rsidR="00C816C6">
              <w:rPr>
                <w:noProof/>
                <w:webHidden/>
              </w:rPr>
              <w:t>14</w:t>
            </w:r>
            <w:r w:rsidR="00C816C6">
              <w:rPr>
                <w:noProof/>
                <w:webHidden/>
              </w:rPr>
              <w:fldChar w:fldCharType="end"/>
            </w:r>
          </w:hyperlink>
        </w:p>
        <w:p w14:paraId="111851B7" w14:textId="781EA049" w:rsidR="00C816C6" w:rsidRDefault="005C10C9">
          <w:pPr>
            <w:pStyle w:val="TOC1"/>
            <w:rPr>
              <w:rFonts w:asciiTheme="minorHAnsi" w:eastAsiaTheme="minorEastAsia" w:hAnsiTheme="minorHAnsi" w:cstheme="minorBidi"/>
              <w:b w:val="0"/>
              <w:noProof/>
              <w:color w:val="auto"/>
              <w:sz w:val="22"/>
              <w:szCs w:val="22"/>
              <w:lang w:eastAsia="en-AU"/>
            </w:rPr>
          </w:pPr>
          <w:hyperlink w:anchor="_Toc129703145" w:history="1">
            <w:r w:rsidR="00C816C6" w:rsidRPr="00ED1B38">
              <w:rPr>
                <w:rStyle w:val="Hyperlink"/>
                <w:noProof/>
              </w:rPr>
              <w:t>Attachment 1. Product Information</w:t>
            </w:r>
            <w:r w:rsidR="00C816C6">
              <w:rPr>
                <w:noProof/>
                <w:webHidden/>
              </w:rPr>
              <w:tab/>
            </w:r>
            <w:r w:rsidR="00C816C6">
              <w:rPr>
                <w:noProof/>
                <w:webHidden/>
              </w:rPr>
              <w:fldChar w:fldCharType="begin"/>
            </w:r>
            <w:r w:rsidR="00C816C6">
              <w:rPr>
                <w:noProof/>
                <w:webHidden/>
              </w:rPr>
              <w:instrText xml:space="preserve"> PAGEREF _Toc129703145 \h </w:instrText>
            </w:r>
            <w:r w:rsidR="00C816C6">
              <w:rPr>
                <w:noProof/>
                <w:webHidden/>
              </w:rPr>
            </w:r>
            <w:r w:rsidR="00C816C6">
              <w:rPr>
                <w:noProof/>
                <w:webHidden/>
              </w:rPr>
              <w:fldChar w:fldCharType="separate"/>
            </w:r>
            <w:r w:rsidR="00C816C6">
              <w:rPr>
                <w:noProof/>
                <w:webHidden/>
              </w:rPr>
              <w:t>14</w:t>
            </w:r>
            <w:r w:rsidR="00C816C6">
              <w:rPr>
                <w:noProof/>
                <w:webHidden/>
              </w:rPr>
              <w:fldChar w:fldCharType="end"/>
            </w:r>
          </w:hyperlink>
        </w:p>
        <w:p w14:paraId="77659F2D" w14:textId="5060025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29703121"/>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2B2F50" w:rsidRPr="00D01DDB" w14:paraId="4D9F9023" w14:textId="77777777" w:rsidTr="0044014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A5FA1CB" w14:textId="77777777" w:rsidR="002B2F50" w:rsidRPr="00D01DDB" w:rsidRDefault="002B2F50" w:rsidP="00440147">
            <w:pPr>
              <w:rPr>
                <w:szCs w:val="22"/>
              </w:rPr>
            </w:pPr>
            <w:r w:rsidRPr="00D01DDB">
              <w:rPr>
                <w:szCs w:val="22"/>
              </w:rPr>
              <w:t>Abbreviation</w:t>
            </w:r>
          </w:p>
        </w:tc>
        <w:tc>
          <w:tcPr>
            <w:tcW w:w="3800" w:type="pct"/>
          </w:tcPr>
          <w:p w14:paraId="61CE97B9" w14:textId="77777777" w:rsidR="002B2F50" w:rsidRPr="00D01DDB" w:rsidRDefault="002B2F50" w:rsidP="00440147">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2B2F50" w:rsidRPr="00D01DDB" w14:paraId="08CA4E19"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69792F" w14:textId="77777777" w:rsidR="002B2F50" w:rsidRPr="00D01DDB" w:rsidRDefault="002B2F50" w:rsidP="00440147">
            <w:pPr>
              <w:rPr>
                <w:szCs w:val="22"/>
              </w:rPr>
            </w:pPr>
            <w:r>
              <w:rPr>
                <w:szCs w:val="22"/>
              </w:rPr>
              <w:t>9vHPV</w:t>
            </w:r>
          </w:p>
        </w:tc>
        <w:tc>
          <w:tcPr>
            <w:tcW w:w="3800" w:type="pct"/>
          </w:tcPr>
          <w:p w14:paraId="525B048C"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40051C">
              <w:rPr>
                <w:szCs w:val="22"/>
              </w:rPr>
              <w:t xml:space="preserve">9-valent </w:t>
            </w:r>
            <w:r>
              <w:t>human papillomavirus</w:t>
            </w:r>
            <w:r w:rsidRPr="0040051C">
              <w:rPr>
                <w:szCs w:val="22"/>
              </w:rPr>
              <w:t xml:space="preserve"> vaccine</w:t>
            </w:r>
          </w:p>
        </w:tc>
      </w:tr>
      <w:tr w:rsidR="002B2F50" w:rsidRPr="00D01DDB" w14:paraId="47EC0DB2"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22C363" w14:textId="77777777" w:rsidR="002B2F50" w:rsidRPr="00D01DDB" w:rsidRDefault="002B2F50" w:rsidP="00440147">
            <w:pPr>
              <w:rPr>
                <w:szCs w:val="22"/>
              </w:rPr>
            </w:pPr>
            <w:r w:rsidRPr="00D01DDB">
              <w:rPr>
                <w:szCs w:val="22"/>
              </w:rPr>
              <w:t>ACV</w:t>
            </w:r>
          </w:p>
        </w:tc>
        <w:tc>
          <w:tcPr>
            <w:tcW w:w="3800" w:type="pct"/>
          </w:tcPr>
          <w:p w14:paraId="54AE908B"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2B2F50" w:rsidRPr="00D01DDB" w14:paraId="697A9CD8"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D64067" w14:textId="77777777" w:rsidR="002B2F50" w:rsidRDefault="002B2F50" w:rsidP="00440147">
            <w:pPr>
              <w:rPr>
                <w:szCs w:val="22"/>
              </w:rPr>
            </w:pPr>
            <w:r>
              <w:rPr>
                <w:szCs w:val="22"/>
              </w:rPr>
              <w:t>AE</w:t>
            </w:r>
          </w:p>
        </w:tc>
        <w:tc>
          <w:tcPr>
            <w:tcW w:w="3800" w:type="pct"/>
          </w:tcPr>
          <w:p w14:paraId="477187FC" w14:textId="77777777" w:rsidR="002B2F50" w:rsidRDefault="002B2F50" w:rsidP="00440147">
            <w:pPr>
              <w:cnfStyle w:val="000000000000" w:firstRow="0" w:lastRow="0" w:firstColumn="0" w:lastColumn="0" w:oddVBand="0" w:evenVBand="0" w:oddHBand="0" w:evenHBand="0" w:firstRowFirstColumn="0" w:firstRowLastColumn="0" w:lastRowFirstColumn="0" w:lastRowLastColumn="0"/>
            </w:pPr>
            <w:r>
              <w:t>Adverse event</w:t>
            </w:r>
          </w:p>
        </w:tc>
      </w:tr>
      <w:tr w:rsidR="002B2F50" w:rsidRPr="00D01DDB" w14:paraId="2AD09E4F"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E0038E" w14:textId="77777777" w:rsidR="002B2F50" w:rsidRPr="00D01DDB" w:rsidRDefault="002B2F50" w:rsidP="00440147">
            <w:pPr>
              <w:rPr>
                <w:szCs w:val="22"/>
              </w:rPr>
            </w:pPr>
            <w:r>
              <w:rPr>
                <w:szCs w:val="22"/>
              </w:rPr>
              <w:t>AIS</w:t>
            </w:r>
          </w:p>
        </w:tc>
        <w:tc>
          <w:tcPr>
            <w:tcW w:w="3800" w:type="pct"/>
          </w:tcPr>
          <w:p w14:paraId="6FF52671"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9E5AB7">
              <w:rPr>
                <w:szCs w:val="22"/>
              </w:rPr>
              <w:t xml:space="preserve">denocarcinoma </w:t>
            </w:r>
            <w:r w:rsidRPr="00AF3535">
              <w:rPr>
                <w:i/>
                <w:iCs/>
                <w:szCs w:val="22"/>
              </w:rPr>
              <w:t>in situ</w:t>
            </w:r>
          </w:p>
        </w:tc>
      </w:tr>
      <w:tr w:rsidR="002B2F50" w:rsidRPr="00D01DDB" w14:paraId="531E25E8"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560DD9" w14:textId="77777777" w:rsidR="002B2F50" w:rsidRPr="00D01DDB" w:rsidRDefault="002B2F50" w:rsidP="00440147">
            <w:pPr>
              <w:rPr>
                <w:szCs w:val="22"/>
              </w:rPr>
            </w:pPr>
            <w:r w:rsidRPr="00D01DDB">
              <w:rPr>
                <w:szCs w:val="22"/>
              </w:rPr>
              <w:t>ARTG</w:t>
            </w:r>
          </w:p>
        </w:tc>
        <w:tc>
          <w:tcPr>
            <w:tcW w:w="3800" w:type="pct"/>
          </w:tcPr>
          <w:p w14:paraId="205E0CCF"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2B2F50" w:rsidRPr="00D01DDB" w14:paraId="1311D99E"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A124C6" w14:textId="77777777" w:rsidR="002B2F50" w:rsidRPr="00D01DDB" w:rsidRDefault="002B2F50" w:rsidP="00440147">
            <w:pPr>
              <w:rPr>
                <w:szCs w:val="22"/>
              </w:rPr>
            </w:pPr>
            <w:r w:rsidRPr="00D01DDB">
              <w:rPr>
                <w:szCs w:val="22"/>
              </w:rPr>
              <w:t>ASA</w:t>
            </w:r>
          </w:p>
        </w:tc>
        <w:tc>
          <w:tcPr>
            <w:tcW w:w="3800" w:type="pct"/>
          </w:tcPr>
          <w:p w14:paraId="2F0CA48F"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2B2F50" w:rsidRPr="00D01DDB" w14:paraId="691540AA"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D649CE" w14:textId="77777777" w:rsidR="002B2F50" w:rsidRPr="00D01DDB" w:rsidRDefault="002B2F50" w:rsidP="00440147">
            <w:pPr>
              <w:rPr>
                <w:szCs w:val="22"/>
              </w:rPr>
            </w:pPr>
            <w:r>
              <w:rPr>
                <w:szCs w:val="22"/>
              </w:rPr>
              <w:t>CI</w:t>
            </w:r>
          </w:p>
        </w:tc>
        <w:tc>
          <w:tcPr>
            <w:tcW w:w="3800" w:type="pct"/>
          </w:tcPr>
          <w:p w14:paraId="6DDA41A5"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2B2F50" w:rsidRPr="00D01DDB" w14:paraId="30044489"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5E9EFC" w14:textId="77777777" w:rsidR="002B2F50" w:rsidRPr="00D01DDB" w:rsidRDefault="002B2F50" w:rsidP="00440147">
            <w:pPr>
              <w:rPr>
                <w:szCs w:val="22"/>
              </w:rPr>
            </w:pPr>
            <w:r>
              <w:rPr>
                <w:szCs w:val="22"/>
              </w:rPr>
              <w:t>CIN</w:t>
            </w:r>
          </w:p>
        </w:tc>
        <w:tc>
          <w:tcPr>
            <w:tcW w:w="3800" w:type="pct"/>
          </w:tcPr>
          <w:p w14:paraId="1C061299"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9E5AB7">
              <w:rPr>
                <w:szCs w:val="22"/>
              </w:rPr>
              <w:t>Cervical intraepithelial neoplasia</w:t>
            </w:r>
          </w:p>
        </w:tc>
      </w:tr>
      <w:tr w:rsidR="002B2F50" w:rsidRPr="00D01DDB" w14:paraId="1A9D4FD6"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C60427" w14:textId="77777777" w:rsidR="002B2F50" w:rsidRDefault="002B2F50" w:rsidP="00440147">
            <w:pPr>
              <w:rPr>
                <w:szCs w:val="22"/>
              </w:rPr>
            </w:pPr>
            <w:r>
              <w:rPr>
                <w:szCs w:val="22"/>
              </w:rPr>
              <w:t>cLIA</w:t>
            </w:r>
          </w:p>
        </w:tc>
        <w:tc>
          <w:tcPr>
            <w:tcW w:w="3800" w:type="pct"/>
          </w:tcPr>
          <w:p w14:paraId="7D9A1179" w14:textId="77777777" w:rsidR="002B2F50" w:rsidRDefault="002B2F50" w:rsidP="00440147">
            <w:pPr>
              <w:cnfStyle w:val="000000000000" w:firstRow="0" w:lastRow="0" w:firstColumn="0" w:lastColumn="0" w:oddVBand="0" w:evenVBand="0" w:oddHBand="0" w:evenHBand="0" w:firstRowFirstColumn="0" w:firstRowLastColumn="0" w:lastRowFirstColumn="0" w:lastRowLastColumn="0"/>
            </w:pPr>
            <w:r>
              <w:rPr>
                <w:lang w:eastAsia="ja-JP"/>
              </w:rPr>
              <w:t>C</w:t>
            </w:r>
            <w:r w:rsidRPr="00CA4A9A">
              <w:rPr>
                <w:lang w:eastAsia="ja-JP"/>
              </w:rPr>
              <w:t>hemiluminescence immunoassay</w:t>
            </w:r>
          </w:p>
        </w:tc>
      </w:tr>
      <w:tr w:rsidR="002B2F50" w:rsidRPr="00D01DDB" w14:paraId="0991A13B"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0C8868" w14:textId="77777777" w:rsidR="002B2F50" w:rsidRPr="00D01DDB" w:rsidRDefault="002B2F50" w:rsidP="00440147">
            <w:pPr>
              <w:rPr>
                <w:szCs w:val="22"/>
              </w:rPr>
            </w:pPr>
            <w:r w:rsidRPr="00D01DDB">
              <w:rPr>
                <w:szCs w:val="22"/>
              </w:rPr>
              <w:t>CMI</w:t>
            </w:r>
          </w:p>
        </w:tc>
        <w:tc>
          <w:tcPr>
            <w:tcW w:w="3800" w:type="pct"/>
          </w:tcPr>
          <w:p w14:paraId="1BD9B215"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2B2F50" w:rsidRPr="00D01DDB" w14:paraId="3588D4A4"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E3007E" w14:textId="77777777" w:rsidR="002B2F50" w:rsidRPr="00D01DDB" w:rsidRDefault="002B2F50" w:rsidP="00440147">
            <w:pPr>
              <w:rPr>
                <w:szCs w:val="22"/>
              </w:rPr>
            </w:pPr>
            <w:r w:rsidRPr="00D01DDB">
              <w:rPr>
                <w:szCs w:val="22"/>
              </w:rPr>
              <w:t>DLP</w:t>
            </w:r>
          </w:p>
        </w:tc>
        <w:tc>
          <w:tcPr>
            <w:tcW w:w="3800" w:type="pct"/>
          </w:tcPr>
          <w:p w14:paraId="4996B41F"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2B2F50" w:rsidRPr="00D01DDB" w14:paraId="3D2B83F9"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526713" w14:textId="77777777" w:rsidR="002B2F50" w:rsidRPr="00D01DDB" w:rsidRDefault="002B2F50" w:rsidP="00440147">
            <w:pPr>
              <w:rPr>
                <w:szCs w:val="22"/>
              </w:rPr>
            </w:pPr>
            <w:r>
              <w:rPr>
                <w:szCs w:val="22"/>
              </w:rPr>
              <w:t>EMA</w:t>
            </w:r>
          </w:p>
        </w:tc>
        <w:tc>
          <w:tcPr>
            <w:tcW w:w="3800" w:type="pct"/>
          </w:tcPr>
          <w:p w14:paraId="3D493964"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Pr>
                <w:szCs w:val="22"/>
              </w:rPr>
              <w:t>European Medicines Agency</w:t>
            </w:r>
          </w:p>
        </w:tc>
      </w:tr>
      <w:tr w:rsidR="002B2F50" w:rsidRPr="00D01DDB" w14:paraId="089377FA"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72CEB5" w14:textId="77777777" w:rsidR="002B2F50" w:rsidRPr="00D01DDB" w:rsidRDefault="002B2F50" w:rsidP="00440147">
            <w:pPr>
              <w:rPr>
                <w:szCs w:val="22"/>
              </w:rPr>
            </w:pPr>
            <w:r>
              <w:rPr>
                <w:szCs w:val="22"/>
              </w:rPr>
              <w:t>EU</w:t>
            </w:r>
          </w:p>
        </w:tc>
        <w:tc>
          <w:tcPr>
            <w:tcW w:w="3800" w:type="pct"/>
          </w:tcPr>
          <w:p w14:paraId="5470DB22"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2B2F50" w:rsidRPr="00D01DDB" w14:paraId="6FB5809D"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6E7662" w14:textId="77777777" w:rsidR="002B2F50" w:rsidRPr="00D01DDB" w:rsidRDefault="002B2F50" w:rsidP="00440147">
            <w:pPr>
              <w:rPr>
                <w:szCs w:val="22"/>
              </w:rPr>
            </w:pPr>
            <w:r>
              <w:rPr>
                <w:szCs w:val="22"/>
              </w:rPr>
              <w:t>FDA</w:t>
            </w:r>
          </w:p>
        </w:tc>
        <w:tc>
          <w:tcPr>
            <w:tcW w:w="3800" w:type="pct"/>
          </w:tcPr>
          <w:p w14:paraId="54C048CB"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FC61E9">
              <w:rPr>
                <w:szCs w:val="22"/>
              </w:rPr>
              <w:t>Food and Drug Administration</w:t>
            </w:r>
            <w:r>
              <w:rPr>
                <w:szCs w:val="22"/>
              </w:rPr>
              <w:t xml:space="preserve"> (United States)</w:t>
            </w:r>
          </w:p>
        </w:tc>
      </w:tr>
      <w:tr w:rsidR="002B2F50" w:rsidRPr="00D01DDB" w14:paraId="62AF2308"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140451" w14:textId="77777777" w:rsidR="002B2F50" w:rsidRPr="00D01DDB" w:rsidRDefault="002B2F50" w:rsidP="00440147">
            <w:pPr>
              <w:rPr>
                <w:szCs w:val="22"/>
              </w:rPr>
            </w:pPr>
            <w:r>
              <w:rPr>
                <w:szCs w:val="22"/>
              </w:rPr>
              <w:t>GMR</w:t>
            </w:r>
          </w:p>
        </w:tc>
        <w:tc>
          <w:tcPr>
            <w:tcW w:w="3800" w:type="pct"/>
          </w:tcPr>
          <w:p w14:paraId="17F665E1"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t>Geometric mean ratio</w:t>
            </w:r>
          </w:p>
        </w:tc>
      </w:tr>
      <w:tr w:rsidR="002B2F50" w:rsidRPr="00D01DDB" w14:paraId="13194321"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DFCFE1" w14:textId="77777777" w:rsidR="002B2F50" w:rsidRPr="00D01DDB" w:rsidRDefault="002B2F50" w:rsidP="00440147">
            <w:pPr>
              <w:rPr>
                <w:szCs w:val="22"/>
              </w:rPr>
            </w:pPr>
            <w:r>
              <w:rPr>
                <w:szCs w:val="22"/>
              </w:rPr>
              <w:t>GMT</w:t>
            </w:r>
          </w:p>
        </w:tc>
        <w:tc>
          <w:tcPr>
            <w:tcW w:w="3800" w:type="pct"/>
          </w:tcPr>
          <w:p w14:paraId="6C36F31B"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t>Geometric mean titre</w:t>
            </w:r>
          </w:p>
        </w:tc>
      </w:tr>
      <w:tr w:rsidR="002B2F50" w:rsidRPr="00D01DDB" w14:paraId="41133190"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310741" w14:textId="77777777" w:rsidR="002B2F50" w:rsidRPr="00D01DDB" w:rsidRDefault="002B2F50" w:rsidP="00440147">
            <w:pPr>
              <w:rPr>
                <w:szCs w:val="22"/>
              </w:rPr>
            </w:pPr>
            <w:r>
              <w:rPr>
                <w:szCs w:val="22"/>
              </w:rPr>
              <w:t>HPV</w:t>
            </w:r>
          </w:p>
        </w:tc>
        <w:tc>
          <w:tcPr>
            <w:tcW w:w="3800" w:type="pct"/>
          </w:tcPr>
          <w:p w14:paraId="32F02048"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t>Human Papillomavirus</w:t>
            </w:r>
          </w:p>
        </w:tc>
      </w:tr>
      <w:tr w:rsidR="002B2F50" w:rsidRPr="00D01DDB" w14:paraId="7C84B5B2"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613F20" w14:textId="77777777" w:rsidR="002B2F50" w:rsidRPr="00D01DDB" w:rsidRDefault="002B2F50" w:rsidP="00440147">
            <w:pPr>
              <w:rPr>
                <w:szCs w:val="22"/>
              </w:rPr>
            </w:pPr>
            <w:r>
              <w:rPr>
                <w:szCs w:val="22"/>
              </w:rPr>
              <w:t>L1</w:t>
            </w:r>
          </w:p>
        </w:tc>
        <w:tc>
          <w:tcPr>
            <w:tcW w:w="3800" w:type="pct"/>
          </w:tcPr>
          <w:p w14:paraId="65BF71FC"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t>Recombinant major capsid (L1) protein from HPV</w:t>
            </w:r>
          </w:p>
        </w:tc>
      </w:tr>
      <w:tr w:rsidR="002B2F50" w:rsidRPr="00D01DDB" w14:paraId="6F811605"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3B761D" w14:textId="77777777" w:rsidR="002B2F50" w:rsidRPr="00D01DDB" w:rsidRDefault="002B2F50" w:rsidP="00440147">
            <w:pPr>
              <w:rPr>
                <w:szCs w:val="22"/>
              </w:rPr>
            </w:pPr>
            <w:r>
              <w:rPr>
                <w:szCs w:val="22"/>
              </w:rPr>
              <w:t>MAP</w:t>
            </w:r>
          </w:p>
        </w:tc>
        <w:tc>
          <w:tcPr>
            <w:tcW w:w="3800" w:type="pct"/>
          </w:tcPr>
          <w:p w14:paraId="262EE12C"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Pr>
                <w:szCs w:val="22"/>
              </w:rPr>
              <w:t>Middle adult person</w:t>
            </w:r>
          </w:p>
        </w:tc>
      </w:tr>
      <w:tr w:rsidR="002B2F50" w:rsidRPr="00D01DDB" w14:paraId="28882A7A"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36B122" w14:textId="77777777" w:rsidR="002B2F50" w:rsidRDefault="002B2F50" w:rsidP="00440147">
            <w:pPr>
              <w:rPr>
                <w:szCs w:val="22"/>
              </w:rPr>
            </w:pPr>
            <w:r>
              <w:rPr>
                <w:szCs w:val="22"/>
              </w:rPr>
              <w:t>mMU</w:t>
            </w:r>
          </w:p>
        </w:tc>
        <w:tc>
          <w:tcPr>
            <w:tcW w:w="3800" w:type="pct"/>
          </w:tcPr>
          <w:p w14:paraId="3B362DCF" w14:textId="77777777" w:rsidR="002B2F50" w:rsidRDefault="002B2F50" w:rsidP="00440147">
            <w:pPr>
              <w:cnfStyle w:val="000000000000" w:firstRow="0" w:lastRow="0" w:firstColumn="0" w:lastColumn="0" w:oddVBand="0" w:evenVBand="0" w:oddHBand="0" w:evenHBand="0" w:firstRowFirstColumn="0" w:firstRowLastColumn="0" w:lastRowFirstColumn="0" w:lastRowLastColumn="0"/>
            </w:pPr>
            <w:r w:rsidRPr="00714F56">
              <w:t>milli-Merck unit</w:t>
            </w:r>
          </w:p>
        </w:tc>
      </w:tr>
      <w:tr w:rsidR="002B2F50" w:rsidRPr="00D01DDB" w14:paraId="5FE76F18"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D260B7" w14:textId="77777777" w:rsidR="002B2F50" w:rsidRPr="00D01DDB" w:rsidRDefault="002B2F50" w:rsidP="00440147">
            <w:pPr>
              <w:rPr>
                <w:szCs w:val="22"/>
              </w:rPr>
            </w:pPr>
            <w:r w:rsidRPr="00D01DDB">
              <w:rPr>
                <w:szCs w:val="22"/>
              </w:rPr>
              <w:t>PI</w:t>
            </w:r>
          </w:p>
        </w:tc>
        <w:tc>
          <w:tcPr>
            <w:tcW w:w="3800" w:type="pct"/>
          </w:tcPr>
          <w:p w14:paraId="43D51084"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2B2F50" w:rsidRPr="00D01DDB" w14:paraId="5E2EC544"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9DCF13" w14:textId="77777777" w:rsidR="002B2F50" w:rsidRDefault="002B2F50" w:rsidP="00440147">
            <w:pPr>
              <w:rPr>
                <w:szCs w:val="22"/>
              </w:rPr>
            </w:pPr>
            <w:r>
              <w:rPr>
                <w:szCs w:val="22"/>
              </w:rPr>
              <w:t>PPE</w:t>
            </w:r>
          </w:p>
        </w:tc>
        <w:tc>
          <w:tcPr>
            <w:tcW w:w="3800" w:type="pct"/>
          </w:tcPr>
          <w:p w14:paraId="5D1DE032" w14:textId="77777777" w:rsidR="002B2F50" w:rsidRDefault="002B2F50" w:rsidP="00440147">
            <w:pPr>
              <w:cnfStyle w:val="000000000000" w:firstRow="0" w:lastRow="0" w:firstColumn="0" w:lastColumn="0" w:oddVBand="0" w:evenVBand="0" w:oddHBand="0" w:evenHBand="0" w:firstRowFirstColumn="0" w:firstRowLastColumn="0" w:lastRowFirstColumn="0" w:lastRowLastColumn="0"/>
            </w:pPr>
            <w:r>
              <w:t>Per-protocol efficacy</w:t>
            </w:r>
          </w:p>
        </w:tc>
      </w:tr>
      <w:tr w:rsidR="002B2F50" w:rsidRPr="00D01DDB" w14:paraId="296E0F83"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529925" w14:textId="77777777" w:rsidR="002B2F50" w:rsidRDefault="002B2F50" w:rsidP="00440147">
            <w:pPr>
              <w:rPr>
                <w:szCs w:val="22"/>
              </w:rPr>
            </w:pPr>
            <w:r>
              <w:rPr>
                <w:szCs w:val="22"/>
              </w:rPr>
              <w:t>PPI</w:t>
            </w:r>
          </w:p>
        </w:tc>
        <w:tc>
          <w:tcPr>
            <w:tcW w:w="3800" w:type="pct"/>
          </w:tcPr>
          <w:p w14:paraId="52C9F94E" w14:textId="77777777" w:rsidR="002B2F50" w:rsidRDefault="002B2F50" w:rsidP="00440147">
            <w:pPr>
              <w:cnfStyle w:val="000000000000" w:firstRow="0" w:lastRow="0" w:firstColumn="0" w:lastColumn="0" w:oddVBand="0" w:evenVBand="0" w:oddHBand="0" w:evenHBand="0" w:firstRowFirstColumn="0" w:firstRowLastColumn="0" w:lastRowFirstColumn="0" w:lastRowLastColumn="0"/>
            </w:pPr>
            <w:r>
              <w:t>Per-protocol immunogenicity</w:t>
            </w:r>
          </w:p>
        </w:tc>
      </w:tr>
      <w:tr w:rsidR="002B2F50" w:rsidRPr="00D01DDB" w14:paraId="51C1ABC2"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55D6D3" w14:textId="77777777" w:rsidR="002B2F50" w:rsidRPr="00D01DDB" w:rsidRDefault="002B2F50" w:rsidP="00440147">
            <w:pPr>
              <w:rPr>
                <w:szCs w:val="22"/>
              </w:rPr>
            </w:pPr>
            <w:r w:rsidRPr="00D01DDB">
              <w:rPr>
                <w:szCs w:val="22"/>
              </w:rPr>
              <w:t>PSUR</w:t>
            </w:r>
          </w:p>
        </w:tc>
        <w:tc>
          <w:tcPr>
            <w:tcW w:w="3800" w:type="pct"/>
          </w:tcPr>
          <w:p w14:paraId="3E1F4C5F"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2B2F50" w:rsidRPr="00D01DDB" w14:paraId="583E7583"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E703C0" w14:textId="77777777" w:rsidR="002B2F50" w:rsidRPr="00D01DDB" w:rsidRDefault="002B2F50" w:rsidP="00440147">
            <w:pPr>
              <w:rPr>
                <w:szCs w:val="22"/>
              </w:rPr>
            </w:pPr>
            <w:r>
              <w:rPr>
                <w:szCs w:val="22"/>
              </w:rPr>
              <w:t>qHPV</w:t>
            </w:r>
          </w:p>
        </w:tc>
        <w:tc>
          <w:tcPr>
            <w:tcW w:w="3800" w:type="pct"/>
          </w:tcPr>
          <w:p w14:paraId="7287A128"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t>Quadrivalent human papillomavirus vaccine</w:t>
            </w:r>
          </w:p>
        </w:tc>
      </w:tr>
      <w:tr w:rsidR="002B2F50" w:rsidRPr="00D01DDB" w14:paraId="1A468598"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2F17B3" w14:textId="77777777" w:rsidR="002B2F50" w:rsidRPr="00D01DDB" w:rsidRDefault="002B2F50" w:rsidP="00440147">
            <w:pPr>
              <w:rPr>
                <w:szCs w:val="22"/>
              </w:rPr>
            </w:pPr>
            <w:r w:rsidRPr="00D01DDB">
              <w:rPr>
                <w:szCs w:val="22"/>
              </w:rPr>
              <w:t>RMP</w:t>
            </w:r>
          </w:p>
        </w:tc>
        <w:tc>
          <w:tcPr>
            <w:tcW w:w="3800" w:type="pct"/>
          </w:tcPr>
          <w:p w14:paraId="7CAD2A8E"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2B2F50" w:rsidRPr="00D01DDB" w14:paraId="34469B15"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7FE360" w14:textId="77777777" w:rsidR="002B2F50" w:rsidRDefault="002B2F50" w:rsidP="00440147">
            <w:pPr>
              <w:rPr>
                <w:szCs w:val="22"/>
              </w:rPr>
            </w:pPr>
            <w:r>
              <w:rPr>
                <w:szCs w:val="22"/>
              </w:rPr>
              <w:t>SAE</w:t>
            </w:r>
          </w:p>
        </w:tc>
        <w:tc>
          <w:tcPr>
            <w:tcW w:w="3800" w:type="pct"/>
          </w:tcPr>
          <w:p w14:paraId="2B429478" w14:textId="77777777" w:rsidR="002B2F50" w:rsidRDefault="002B2F50" w:rsidP="00440147">
            <w:pPr>
              <w:cnfStyle w:val="000000000000" w:firstRow="0" w:lastRow="0" w:firstColumn="0" w:lastColumn="0" w:oddVBand="0" w:evenVBand="0" w:oddHBand="0" w:evenHBand="0" w:firstRowFirstColumn="0" w:firstRowLastColumn="0" w:lastRowFirstColumn="0" w:lastRowLastColumn="0"/>
            </w:pPr>
            <w:r>
              <w:t>Serious adverse event</w:t>
            </w:r>
          </w:p>
        </w:tc>
      </w:tr>
      <w:tr w:rsidR="002B2F50" w:rsidRPr="00D01DDB" w14:paraId="7678D73A"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B84627" w14:textId="77777777" w:rsidR="002B2F50" w:rsidRPr="00D01DDB" w:rsidRDefault="002B2F50" w:rsidP="00440147">
            <w:pPr>
              <w:rPr>
                <w:szCs w:val="22"/>
              </w:rPr>
            </w:pPr>
            <w:r w:rsidRPr="00D01DDB">
              <w:rPr>
                <w:szCs w:val="22"/>
              </w:rPr>
              <w:t>TGA</w:t>
            </w:r>
          </w:p>
        </w:tc>
        <w:tc>
          <w:tcPr>
            <w:tcW w:w="3800" w:type="pct"/>
          </w:tcPr>
          <w:p w14:paraId="1F6811A0"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2B2F50" w:rsidRPr="00D01DDB" w14:paraId="61D8975A" w14:textId="77777777" w:rsidTr="0044014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E5BD71" w14:textId="77777777" w:rsidR="002B2F50" w:rsidRPr="00D01DDB" w:rsidRDefault="002B2F50" w:rsidP="00440147">
            <w:pPr>
              <w:rPr>
                <w:szCs w:val="22"/>
              </w:rPr>
            </w:pPr>
            <w:r>
              <w:rPr>
                <w:szCs w:val="22"/>
              </w:rPr>
              <w:t>USA</w:t>
            </w:r>
          </w:p>
        </w:tc>
        <w:tc>
          <w:tcPr>
            <w:tcW w:w="3800" w:type="pct"/>
          </w:tcPr>
          <w:p w14:paraId="4CA144C8" w14:textId="77777777" w:rsidR="002B2F50" w:rsidRPr="00D01DDB" w:rsidRDefault="002B2F50" w:rsidP="00440147">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bl>
    <w:p w14:paraId="02FB1F38" w14:textId="7768D6D0"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29703122"/>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29703123"/>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7C145424" w:rsidR="00324B33" w:rsidRPr="00BD5DBD" w:rsidRDefault="0083048D" w:rsidP="007452E8">
            <w:pPr>
              <w:rPr>
                <w:szCs w:val="22"/>
              </w:rPr>
            </w:pPr>
            <w:r>
              <w:rPr>
                <w:szCs w:val="22"/>
              </w:rPr>
              <w:t>Extension of indication</w:t>
            </w:r>
          </w:p>
        </w:tc>
      </w:tr>
      <w:tr w:rsidR="00324B33" w:rsidRPr="00BD5DBD" w14:paraId="13482B61" w14:textId="77777777" w:rsidTr="00F865A7">
        <w:tc>
          <w:tcPr>
            <w:tcW w:w="1577" w:type="pct"/>
          </w:tcPr>
          <w:p w14:paraId="2C427FCF" w14:textId="340896AB" w:rsidR="00324B33" w:rsidRPr="00BD5DBD" w:rsidRDefault="00324B33" w:rsidP="007452E8">
            <w:pPr>
              <w:rPr>
                <w:i/>
                <w:szCs w:val="22"/>
              </w:rPr>
            </w:pPr>
            <w:r w:rsidRPr="00BD5DBD">
              <w:rPr>
                <w:i/>
                <w:szCs w:val="22"/>
              </w:rPr>
              <w:t>Product name:</w:t>
            </w:r>
          </w:p>
        </w:tc>
        <w:tc>
          <w:tcPr>
            <w:tcW w:w="3423" w:type="pct"/>
          </w:tcPr>
          <w:p w14:paraId="0E2DEF76" w14:textId="631F9159" w:rsidR="00324B33" w:rsidRPr="00BD5DBD" w:rsidRDefault="0088139F" w:rsidP="007452E8">
            <w:pPr>
              <w:rPr>
                <w:szCs w:val="22"/>
              </w:rPr>
            </w:pPr>
            <w:r>
              <w:rPr>
                <w:szCs w:val="22"/>
              </w:rPr>
              <w:t>Gardasil 9</w:t>
            </w:r>
          </w:p>
        </w:tc>
      </w:tr>
      <w:tr w:rsidR="00324B33" w:rsidRPr="00BD5DBD" w14:paraId="01255B5B" w14:textId="77777777" w:rsidTr="00F865A7">
        <w:tc>
          <w:tcPr>
            <w:tcW w:w="1577" w:type="pct"/>
          </w:tcPr>
          <w:p w14:paraId="52B4F3D7" w14:textId="75BEE3E8" w:rsidR="00324B33" w:rsidRPr="00BD5DBD" w:rsidRDefault="00324B33" w:rsidP="007452E8">
            <w:pPr>
              <w:rPr>
                <w:i/>
                <w:szCs w:val="22"/>
              </w:rPr>
            </w:pPr>
            <w:r w:rsidRPr="00BD5DBD">
              <w:rPr>
                <w:i/>
                <w:szCs w:val="22"/>
              </w:rPr>
              <w:t>Active ingredient:</w:t>
            </w:r>
          </w:p>
        </w:tc>
        <w:tc>
          <w:tcPr>
            <w:tcW w:w="3423" w:type="pct"/>
          </w:tcPr>
          <w:p w14:paraId="02FB6383" w14:textId="20D1F812" w:rsidR="00324B33" w:rsidRPr="00BD5DBD" w:rsidRDefault="0083048D" w:rsidP="007452E8">
            <w:pPr>
              <w:rPr>
                <w:szCs w:val="22"/>
              </w:rPr>
            </w:pPr>
            <w:r w:rsidRPr="0088139F">
              <w:t>Human papillomavirus 9-valent vaccine</w:t>
            </w:r>
            <w:r>
              <w:t>, recombinant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6033DCD"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162F1124" w:rsidR="00AE1947" w:rsidRPr="002B30DC" w:rsidRDefault="00AE1947" w:rsidP="002B30DC">
            <w:pPr>
              <w:rPr>
                <w:i/>
                <w:szCs w:val="22"/>
              </w:rPr>
            </w:pPr>
            <w:r w:rsidRPr="00BD5DBD">
              <w:rPr>
                <w:i/>
                <w:szCs w:val="22"/>
              </w:rPr>
              <w:t>Date of decision:</w:t>
            </w:r>
          </w:p>
        </w:tc>
        <w:tc>
          <w:tcPr>
            <w:tcW w:w="3423" w:type="pct"/>
          </w:tcPr>
          <w:p w14:paraId="7B381CD6" w14:textId="66E893EE" w:rsidR="00AE1947" w:rsidRPr="00BD5DBD" w:rsidRDefault="002B30DC" w:rsidP="00602658">
            <w:pPr>
              <w:rPr>
                <w:szCs w:val="22"/>
              </w:rPr>
            </w:pPr>
            <w:r>
              <w:rPr>
                <w:szCs w:val="22"/>
              </w:rPr>
              <w:t>6 April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5B2F5C8" w:rsidR="00324B33" w:rsidRPr="00BD5DBD" w:rsidRDefault="002B30DC" w:rsidP="007452E8">
            <w:pPr>
              <w:rPr>
                <w:szCs w:val="22"/>
              </w:rPr>
            </w:pPr>
            <w:r>
              <w:rPr>
                <w:szCs w:val="22"/>
              </w:rPr>
              <w:t>11 April 202</w:t>
            </w:r>
            <w:r w:rsidR="00DF3DDA">
              <w:rPr>
                <w:szCs w:val="22"/>
              </w:rPr>
              <w:t>3</w:t>
            </w:r>
            <w:r w:rsidR="00324B33" w:rsidRPr="00BD5DBD">
              <w:rPr>
                <w:szCs w:val="22"/>
              </w:rPr>
              <w:t xml:space="preserve"> </w:t>
            </w:r>
          </w:p>
        </w:tc>
      </w:tr>
      <w:tr w:rsidR="00324B33" w:rsidRPr="00BD5DBD" w14:paraId="547E08D7" w14:textId="77777777" w:rsidTr="00F865A7">
        <w:tc>
          <w:tcPr>
            <w:tcW w:w="1577" w:type="pct"/>
          </w:tcPr>
          <w:p w14:paraId="5030EF30" w14:textId="5954E27D" w:rsidR="00324B33" w:rsidRPr="00BD5DBD" w:rsidRDefault="00324B33" w:rsidP="007452E8">
            <w:pPr>
              <w:rPr>
                <w:i/>
                <w:szCs w:val="22"/>
              </w:rPr>
            </w:pPr>
            <w:r w:rsidRPr="00BD5DBD">
              <w:rPr>
                <w:i/>
                <w:szCs w:val="22"/>
              </w:rPr>
              <w:t>ARTG number</w:t>
            </w:r>
            <w:r w:rsidR="002B30DC">
              <w:rPr>
                <w:i/>
                <w:szCs w:val="22"/>
              </w:rPr>
              <w:t>s</w:t>
            </w:r>
            <w:r w:rsidRPr="00BD5DBD">
              <w:rPr>
                <w:i/>
                <w:szCs w:val="22"/>
              </w:rPr>
              <w:t>:</w:t>
            </w:r>
          </w:p>
        </w:tc>
        <w:tc>
          <w:tcPr>
            <w:tcW w:w="3423" w:type="pct"/>
          </w:tcPr>
          <w:p w14:paraId="0054E912" w14:textId="7C854F33" w:rsidR="00324B33" w:rsidRPr="00BD5DBD" w:rsidRDefault="002B30DC" w:rsidP="007452E8">
            <w:pPr>
              <w:rPr>
                <w:szCs w:val="22"/>
              </w:rPr>
            </w:pPr>
            <w:r>
              <w:rPr>
                <w:szCs w:val="22"/>
              </w:rPr>
              <w:t>224092, 224093</w:t>
            </w:r>
          </w:p>
        </w:tc>
      </w:tr>
      <w:tr w:rsidR="00324B33" w:rsidRPr="00BD5DBD" w14:paraId="7618393F" w14:textId="77777777" w:rsidTr="00F865A7">
        <w:tc>
          <w:tcPr>
            <w:tcW w:w="1577" w:type="pct"/>
          </w:tcPr>
          <w:p w14:paraId="6C24CEB6" w14:textId="77777777" w:rsidR="00E47E0C" w:rsidRPr="00BD5DBD" w:rsidRDefault="00324B33" w:rsidP="007452E8">
            <w:pPr>
              <w:rPr>
                <w:rStyle w:val="Hyperlink"/>
                <w:i/>
                <w:szCs w:val="22"/>
              </w:rPr>
            </w:pPr>
            <w:r w:rsidRPr="00BD5DBD">
              <w:rPr>
                <w:rFonts w:ascii="Wingdings 3" w:hAnsi="Wingdings 3"/>
                <w:szCs w:val="22"/>
                <w:lang w:eastAsia="en-AU"/>
              </w:rPr>
              <w:t></w:t>
            </w:r>
            <w:hyperlink r:id="rId17"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104006FC" w:rsidR="00324B33" w:rsidRPr="00BD5DBD" w:rsidRDefault="00324B33" w:rsidP="005C6941">
            <w:pPr>
              <w:rPr>
                <w:szCs w:val="22"/>
              </w:rPr>
            </w:pPr>
            <w:r w:rsidRPr="00BD5DBD">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DFC3801" w14:textId="77777777" w:rsidR="002B30DC" w:rsidRPr="002B30DC" w:rsidRDefault="002B30DC" w:rsidP="002B30DC">
            <w:pPr>
              <w:rPr>
                <w:szCs w:val="22"/>
              </w:rPr>
            </w:pPr>
            <w:r w:rsidRPr="002B30DC">
              <w:rPr>
                <w:szCs w:val="22"/>
              </w:rPr>
              <w:t>Merck Sharp &amp; Dohme (Australia) Pty Limited</w:t>
            </w:r>
          </w:p>
          <w:p w14:paraId="5FFD5E92" w14:textId="77777777" w:rsidR="002B30DC" w:rsidRPr="002B30DC" w:rsidRDefault="002B30DC" w:rsidP="002B30DC">
            <w:pPr>
              <w:rPr>
                <w:szCs w:val="22"/>
              </w:rPr>
            </w:pPr>
            <w:r w:rsidRPr="002B30DC">
              <w:rPr>
                <w:szCs w:val="22"/>
              </w:rPr>
              <w:t>Level 1, Building A,</w:t>
            </w:r>
          </w:p>
          <w:p w14:paraId="1621E993" w14:textId="77777777" w:rsidR="002B30DC" w:rsidRPr="002B30DC" w:rsidRDefault="002B30DC" w:rsidP="002B30DC">
            <w:pPr>
              <w:rPr>
                <w:szCs w:val="22"/>
              </w:rPr>
            </w:pPr>
            <w:r w:rsidRPr="002B30DC">
              <w:rPr>
                <w:szCs w:val="22"/>
              </w:rPr>
              <w:t>26 Talavera Road</w:t>
            </w:r>
          </w:p>
          <w:p w14:paraId="68DD94B0" w14:textId="2E0A5A69" w:rsidR="00324B33" w:rsidRPr="00BD5DBD" w:rsidRDefault="002B30DC" w:rsidP="002B30DC">
            <w:pPr>
              <w:rPr>
                <w:szCs w:val="22"/>
              </w:rPr>
            </w:pPr>
            <w:r w:rsidRPr="002B30DC">
              <w:rPr>
                <w:szCs w:val="22"/>
              </w:rPr>
              <w:t>Macquarie Park NSW 2113</w:t>
            </w:r>
          </w:p>
        </w:tc>
      </w:tr>
      <w:tr w:rsidR="00324B33" w:rsidRPr="00BD5DBD" w14:paraId="5322B989" w14:textId="77777777" w:rsidTr="00F865A7">
        <w:tc>
          <w:tcPr>
            <w:tcW w:w="1577" w:type="pct"/>
          </w:tcPr>
          <w:p w14:paraId="24F217E3" w14:textId="5079AA2B" w:rsidR="00324B33" w:rsidRPr="00BD5DBD" w:rsidRDefault="00324B33" w:rsidP="007452E8">
            <w:pPr>
              <w:rPr>
                <w:i/>
                <w:szCs w:val="22"/>
              </w:rPr>
            </w:pPr>
            <w:r w:rsidRPr="00BD5DBD">
              <w:rPr>
                <w:i/>
                <w:szCs w:val="22"/>
              </w:rPr>
              <w:t>Dose form:</w:t>
            </w:r>
          </w:p>
        </w:tc>
        <w:tc>
          <w:tcPr>
            <w:tcW w:w="3423" w:type="pct"/>
          </w:tcPr>
          <w:p w14:paraId="768B254C" w14:textId="3545E6DC" w:rsidR="00324B33" w:rsidRPr="00BD5DBD" w:rsidRDefault="00066617" w:rsidP="007452E8">
            <w:pPr>
              <w:rPr>
                <w:szCs w:val="22"/>
              </w:rPr>
            </w:pPr>
            <w:r>
              <w:rPr>
                <w:szCs w:val="22"/>
              </w:rPr>
              <w:t>Suspension for injection</w:t>
            </w:r>
          </w:p>
        </w:tc>
      </w:tr>
      <w:tr w:rsidR="00324B33" w:rsidRPr="00BD5DBD" w14:paraId="115243E6" w14:textId="77777777" w:rsidTr="00F865A7">
        <w:tc>
          <w:tcPr>
            <w:tcW w:w="1577" w:type="pct"/>
          </w:tcPr>
          <w:p w14:paraId="7634B062" w14:textId="63D8178B" w:rsidR="00324B33" w:rsidRPr="00BD5DBD" w:rsidRDefault="00324B33" w:rsidP="007452E8">
            <w:pPr>
              <w:rPr>
                <w:i/>
                <w:szCs w:val="22"/>
              </w:rPr>
            </w:pPr>
            <w:r w:rsidRPr="00BD5DBD">
              <w:rPr>
                <w:i/>
                <w:szCs w:val="22"/>
              </w:rPr>
              <w:t>Strength:</w:t>
            </w:r>
          </w:p>
        </w:tc>
        <w:tc>
          <w:tcPr>
            <w:tcW w:w="3423" w:type="pct"/>
          </w:tcPr>
          <w:p w14:paraId="5E5F83DB" w14:textId="4A162C07" w:rsidR="00324B33" w:rsidRPr="00D0315D" w:rsidRDefault="00066617" w:rsidP="007452E8">
            <w:pPr>
              <w:rPr>
                <w:szCs w:val="22"/>
                <w:highlight w:val="yellow"/>
              </w:rPr>
            </w:pPr>
            <w:r w:rsidRPr="00D0315D">
              <w:rPr>
                <w:szCs w:val="22"/>
              </w:rPr>
              <w:t>30 µg of HPV 6 L1 protein, 40 µg of HPV 11 L1 protein, 60 µg of HPV 16 L1 protein, 40 µg of HPV 18 L1 protein, 20 µg of HPV 31 L1 protein, 20 µg of HPV 33 L1 protein, 20 µg of HPV 45 L1 protein, 20 µg of HPV 52 L1 protein, and 20 µg of HPV 58 L1 protein/0.5 mL</w:t>
            </w:r>
          </w:p>
        </w:tc>
      </w:tr>
      <w:tr w:rsidR="00324B33" w:rsidRPr="00BD5DBD" w14:paraId="34B07BA6" w14:textId="77777777" w:rsidTr="00F865A7">
        <w:tc>
          <w:tcPr>
            <w:tcW w:w="1577" w:type="pct"/>
          </w:tcPr>
          <w:p w14:paraId="1C039224" w14:textId="186F6A9D" w:rsidR="00324B33" w:rsidRPr="00BD5DBD" w:rsidRDefault="00324B33" w:rsidP="007452E8">
            <w:pPr>
              <w:rPr>
                <w:i/>
                <w:szCs w:val="22"/>
              </w:rPr>
            </w:pPr>
            <w:r w:rsidRPr="00BD5DBD">
              <w:rPr>
                <w:i/>
                <w:szCs w:val="22"/>
              </w:rPr>
              <w:t>Container</w:t>
            </w:r>
            <w:r w:rsidR="00066617">
              <w:rPr>
                <w:i/>
                <w:szCs w:val="22"/>
              </w:rPr>
              <w:t>s</w:t>
            </w:r>
            <w:r w:rsidRPr="00BD5DBD">
              <w:rPr>
                <w:i/>
                <w:szCs w:val="22"/>
              </w:rPr>
              <w:t>:</w:t>
            </w:r>
          </w:p>
        </w:tc>
        <w:tc>
          <w:tcPr>
            <w:tcW w:w="3423" w:type="pct"/>
          </w:tcPr>
          <w:p w14:paraId="500A42C6" w14:textId="059162A9" w:rsidR="00324B33" w:rsidRPr="00BD5DBD" w:rsidRDefault="00066617" w:rsidP="007452E8">
            <w:pPr>
              <w:rPr>
                <w:szCs w:val="22"/>
              </w:rPr>
            </w:pPr>
            <w:r>
              <w:rPr>
                <w:szCs w:val="22"/>
              </w:rPr>
              <w:t>Syringe and vial</w:t>
            </w:r>
          </w:p>
        </w:tc>
      </w:tr>
      <w:tr w:rsidR="00324B33" w:rsidRPr="00BD5DBD" w14:paraId="176B6773" w14:textId="77777777" w:rsidTr="00F865A7">
        <w:tc>
          <w:tcPr>
            <w:tcW w:w="1577" w:type="pct"/>
          </w:tcPr>
          <w:p w14:paraId="71846159" w14:textId="4DEDF4B3" w:rsidR="00324B33" w:rsidRPr="00BD5DBD" w:rsidRDefault="00324B33" w:rsidP="007452E8">
            <w:pPr>
              <w:rPr>
                <w:i/>
                <w:szCs w:val="22"/>
              </w:rPr>
            </w:pPr>
            <w:r w:rsidRPr="00BD5DBD">
              <w:rPr>
                <w:i/>
                <w:szCs w:val="22"/>
              </w:rPr>
              <w:t>Pack siz</w:t>
            </w:r>
            <w:r w:rsidR="00066617">
              <w:rPr>
                <w:i/>
                <w:szCs w:val="22"/>
              </w:rPr>
              <w:t>es</w:t>
            </w:r>
            <w:r w:rsidRPr="00BD5DBD">
              <w:rPr>
                <w:i/>
                <w:szCs w:val="22"/>
              </w:rPr>
              <w:t>:</w:t>
            </w:r>
          </w:p>
        </w:tc>
        <w:tc>
          <w:tcPr>
            <w:tcW w:w="3423" w:type="pct"/>
          </w:tcPr>
          <w:p w14:paraId="7E978F8F" w14:textId="74246439" w:rsidR="00324B33" w:rsidRPr="00BD5DBD" w:rsidRDefault="00066617" w:rsidP="007452E8">
            <w:pPr>
              <w:rPr>
                <w:szCs w:val="22"/>
              </w:rPr>
            </w:pPr>
            <w:r>
              <w:rPr>
                <w:szCs w:val="22"/>
              </w:rPr>
              <w:t>1 and 10</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9862134" w14:textId="5613B982" w:rsidR="004053E8" w:rsidRPr="004053E8" w:rsidRDefault="004053E8" w:rsidP="004053E8">
            <w:pPr>
              <w:rPr>
                <w:i/>
                <w:iCs/>
              </w:rPr>
            </w:pPr>
            <w:r w:rsidRPr="004053E8">
              <w:rPr>
                <w:i/>
                <w:iCs/>
              </w:rPr>
              <w:t xml:space="preserve">Gardasil 9 is indicated in males aged 9 to 45 years* for the prevention of anal cancer, precancerous or dysplastic lesions, external genital lesions, and infection caused by Human Papillomavirus (HPV) types 6, 11, 16, 18, 31, 33, 45, 52 and 58 (which are included in the vaccine). </w:t>
            </w:r>
          </w:p>
          <w:p w14:paraId="6E143E2E" w14:textId="710F15B9" w:rsidR="00324B33" w:rsidRPr="00BD5DBD" w:rsidRDefault="004053E8" w:rsidP="004053E8">
            <w:r w:rsidRPr="004053E8">
              <w:rPr>
                <w:i/>
                <w:iCs/>
              </w:rPr>
              <w:t xml:space="preserve">*Evidence of vaccine efficacy is based on the core efficacy population of females aged </w:t>
            </w:r>
            <w:r w:rsidR="00641F08">
              <w:rPr>
                <w:i/>
                <w:iCs/>
              </w:rPr>
              <w:t>16 to</w:t>
            </w:r>
            <w:r w:rsidR="00641F08" w:rsidRPr="004053E8">
              <w:rPr>
                <w:i/>
                <w:iCs/>
              </w:rPr>
              <w:t xml:space="preserve"> </w:t>
            </w:r>
            <w:r w:rsidRPr="004053E8">
              <w:rPr>
                <w:i/>
                <w:iCs/>
              </w:rPr>
              <w:t>26 years. Immunogenicity studies have been conducted to link efficacy to younger</w:t>
            </w:r>
            <w:r w:rsidR="00ED7F65">
              <w:rPr>
                <w:i/>
                <w:iCs/>
              </w:rPr>
              <w:t xml:space="preserve"> </w:t>
            </w:r>
            <w:r w:rsidRPr="004053E8">
              <w:rPr>
                <w:i/>
                <w:iCs/>
              </w:rPr>
              <w:t>populations (females and males aged 9 to 15 years). Immunogenicity studies of</w:t>
            </w:r>
            <w:r>
              <w:rPr>
                <w:i/>
                <w:iCs/>
              </w:rPr>
              <w:t xml:space="preserve"> </w:t>
            </w:r>
            <w:r w:rsidRPr="004053E8">
              <w:rPr>
                <w:i/>
                <w:iCs/>
              </w:rPr>
              <w:t>Gardasil 9 have been conducted relating to females over 26 years of age (see section</w:t>
            </w:r>
            <w:r w:rsidR="00D0315D">
              <w:rPr>
                <w:i/>
                <w:iCs/>
              </w:rPr>
              <w:t xml:space="preserve"> </w:t>
            </w:r>
            <w:r w:rsidRPr="004053E8">
              <w:rPr>
                <w:i/>
                <w:iCs/>
              </w:rPr>
              <w:t>5.1 C</w:t>
            </w:r>
            <w:r w:rsidR="00ED7F65">
              <w:rPr>
                <w:i/>
                <w:iCs/>
              </w:rPr>
              <w:t>linical Trials</w:t>
            </w:r>
            <w:r w:rsidRPr="004053E8">
              <w:rPr>
                <w:i/>
                <w:iCs/>
              </w:rPr>
              <w:t xml:space="preserve"> for Gardasil 9).</w:t>
            </w:r>
          </w:p>
        </w:tc>
      </w:tr>
      <w:tr w:rsidR="00324B33" w:rsidRPr="00BD5DBD" w14:paraId="5AFDEED3" w14:textId="77777777" w:rsidTr="00F865A7">
        <w:tc>
          <w:tcPr>
            <w:tcW w:w="1577" w:type="pct"/>
          </w:tcPr>
          <w:p w14:paraId="03884BD1" w14:textId="6303DE54" w:rsidR="00324B33" w:rsidRPr="00BD5DBD" w:rsidRDefault="00324B33" w:rsidP="007452E8">
            <w:pPr>
              <w:rPr>
                <w:i/>
                <w:szCs w:val="22"/>
              </w:rPr>
            </w:pPr>
            <w:r w:rsidRPr="00BD5DBD">
              <w:rPr>
                <w:i/>
                <w:szCs w:val="22"/>
              </w:rPr>
              <w:t>Route of administration:</w:t>
            </w:r>
          </w:p>
        </w:tc>
        <w:tc>
          <w:tcPr>
            <w:tcW w:w="3423" w:type="pct"/>
          </w:tcPr>
          <w:p w14:paraId="1ED1357E" w14:textId="41FAA9FC" w:rsidR="00324B33" w:rsidRPr="00BD5DBD" w:rsidRDefault="00066617" w:rsidP="007452E8">
            <w:pPr>
              <w:rPr>
                <w:szCs w:val="22"/>
              </w:rPr>
            </w:pPr>
            <w:r>
              <w:rPr>
                <w:szCs w:val="22"/>
              </w:rPr>
              <w:t>Intramuscularly</w:t>
            </w:r>
          </w:p>
        </w:tc>
      </w:tr>
      <w:tr w:rsidR="00324B33" w:rsidRPr="00BD5DBD" w14:paraId="70D7E9FA" w14:textId="77777777" w:rsidTr="00F865A7">
        <w:tc>
          <w:tcPr>
            <w:tcW w:w="1577" w:type="pct"/>
          </w:tcPr>
          <w:p w14:paraId="5ABFFC80" w14:textId="340506F0" w:rsidR="00E128D1" w:rsidRPr="00E128D1" w:rsidRDefault="00324B33" w:rsidP="005C6941">
            <w:pPr>
              <w:rPr>
                <w:szCs w:val="22"/>
              </w:rPr>
            </w:pPr>
            <w:r w:rsidRPr="00BD5DBD">
              <w:rPr>
                <w:i/>
                <w:szCs w:val="22"/>
              </w:rPr>
              <w:t>Dosage:</w:t>
            </w:r>
          </w:p>
        </w:tc>
        <w:tc>
          <w:tcPr>
            <w:tcW w:w="3423" w:type="pct"/>
          </w:tcPr>
          <w:p w14:paraId="25F7DE4E" w14:textId="1D0B0BCC" w:rsidR="00066617" w:rsidRPr="00066617" w:rsidRDefault="00066617" w:rsidP="00066617">
            <w:pPr>
              <w:rPr>
                <w:szCs w:val="22"/>
              </w:rPr>
            </w:pPr>
            <w:r w:rsidRPr="00066617">
              <w:rPr>
                <w:szCs w:val="22"/>
              </w:rPr>
              <w:t>G</w:t>
            </w:r>
            <w:r>
              <w:rPr>
                <w:szCs w:val="22"/>
              </w:rPr>
              <w:t>ardasil</w:t>
            </w:r>
            <w:r w:rsidRPr="00066617">
              <w:rPr>
                <w:szCs w:val="22"/>
              </w:rPr>
              <w:t xml:space="preserve"> 9 should be administered intramuscularly as </w:t>
            </w:r>
            <w:r>
              <w:rPr>
                <w:szCs w:val="22"/>
              </w:rPr>
              <w:t>three</w:t>
            </w:r>
            <w:r w:rsidRPr="00066617">
              <w:rPr>
                <w:szCs w:val="22"/>
              </w:rPr>
              <w:t xml:space="preserve"> separate 0.5</w:t>
            </w:r>
            <w:r>
              <w:rPr>
                <w:szCs w:val="22"/>
              </w:rPr>
              <w:t xml:space="preserve"> </w:t>
            </w:r>
            <w:r w:rsidRPr="00066617">
              <w:rPr>
                <w:szCs w:val="22"/>
              </w:rPr>
              <w:t>mL doses according to the following schedule:</w:t>
            </w:r>
          </w:p>
          <w:p w14:paraId="31181F51" w14:textId="77777777" w:rsidR="00066617" w:rsidRPr="00066617" w:rsidRDefault="00066617" w:rsidP="00066617">
            <w:pPr>
              <w:rPr>
                <w:szCs w:val="22"/>
              </w:rPr>
            </w:pPr>
            <w:r w:rsidRPr="00066617">
              <w:rPr>
                <w:szCs w:val="22"/>
              </w:rPr>
              <w:lastRenderedPageBreak/>
              <w:t>First dose: at elected date</w:t>
            </w:r>
          </w:p>
          <w:p w14:paraId="05763D1F" w14:textId="77777777" w:rsidR="00066617" w:rsidRPr="00066617" w:rsidRDefault="00066617" w:rsidP="00066617">
            <w:pPr>
              <w:rPr>
                <w:szCs w:val="22"/>
              </w:rPr>
            </w:pPr>
            <w:r w:rsidRPr="00066617">
              <w:rPr>
                <w:szCs w:val="22"/>
              </w:rPr>
              <w:t>Second dose: 2 months after the first dose</w:t>
            </w:r>
          </w:p>
          <w:p w14:paraId="1246B144" w14:textId="4BD05059" w:rsidR="00324B33" w:rsidRDefault="00066617" w:rsidP="00066617">
            <w:pPr>
              <w:rPr>
                <w:szCs w:val="22"/>
              </w:rPr>
            </w:pPr>
            <w:r w:rsidRPr="00066617">
              <w:rPr>
                <w:szCs w:val="22"/>
              </w:rPr>
              <w:t>Third dose: 6 months after the first dose</w:t>
            </w:r>
          </w:p>
          <w:p w14:paraId="11A74BDD" w14:textId="7BCC4760" w:rsidR="00066617" w:rsidRPr="00BD5DBD" w:rsidRDefault="00066617" w:rsidP="00066617">
            <w:pPr>
              <w:rPr>
                <w:szCs w:val="22"/>
              </w:rPr>
            </w:pPr>
            <w:r w:rsidRPr="00066617">
              <w:rPr>
                <w:szCs w:val="22"/>
              </w:rPr>
              <w:t>Alternatively, in individuals 9 to 14 years of age, G</w:t>
            </w:r>
            <w:r>
              <w:rPr>
                <w:szCs w:val="22"/>
              </w:rPr>
              <w:t>ardasil 9</w:t>
            </w:r>
            <w:r w:rsidRPr="00066617">
              <w:rPr>
                <w:szCs w:val="22"/>
              </w:rPr>
              <w:t xml:space="preserve"> can be administered according to a </w:t>
            </w:r>
            <w:r>
              <w:rPr>
                <w:szCs w:val="22"/>
              </w:rPr>
              <w:t xml:space="preserve">two </w:t>
            </w:r>
            <w:r w:rsidRPr="00066617">
              <w:rPr>
                <w:szCs w:val="22"/>
              </w:rPr>
              <w:t>dose schedule; the second dose should be administered between 5 and 13 months after the first dose. If the second vaccine dose is administered earlier than 5 months after the first dose, a third dose should always be administered.</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22BE3C35" w14:textId="77777777" w:rsidR="00066617" w:rsidRPr="00066617" w:rsidRDefault="00066617" w:rsidP="00066617">
            <w:pPr>
              <w:rPr>
                <w:szCs w:val="22"/>
              </w:rPr>
            </w:pPr>
            <w:r w:rsidRPr="00066617">
              <w:rPr>
                <w:szCs w:val="22"/>
              </w:rPr>
              <w:t>Category B2</w:t>
            </w:r>
          </w:p>
          <w:p w14:paraId="036F5C28" w14:textId="3D2B1421" w:rsidR="00066617" w:rsidRPr="00066617" w:rsidRDefault="00066617" w:rsidP="00066617">
            <w:pPr>
              <w:rPr>
                <w:szCs w:val="22"/>
              </w:rPr>
            </w:pPr>
            <w:r w:rsidRPr="00066617">
              <w:rPr>
                <w:szCs w:val="22"/>
              </w:rPr>
              <w:t>Drugs which have been taken by only a limited number of pregnant women and women of childbearing age, without an increase in the frequency of malformation or other direct or indirect harmful effects on the human fetus having been observed.</w:t>
            </w:r>
          </w:p>
          <w:p w14:paraId="5E2AA3D6" w14:textId="44098B20" w:rsidR="00324B33" w:rsidRPr="00BD5DBD" w:rsidRDefault="00066617" w:rsidP="00066617">
            <w:pPr>
              <w:rPr>
                <w:szCs w:val="22"/>
              </w:rPr>
            </w:pPr>
            <w:r w:rsidRPr="00066617">
              <w:rPr>
                <w:szCs w:val="22"/>
              </w:rPr>
              <w:t xml:space="preserve">Studies in animals are inadequate or may be lacking, but available data show no evidence of an increased occurrence of fetal damage. </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29703124"/>
      <w:r>
        <w:t>Product background</w:t>
      </w:r>
      <w:bookmarkEnd w:id="11"/>
      <w:bookmarkEnd w:id="12"/>
      <w:bookmarkEnd w:id="13"/>
      <w:bookmarkEnd w:id="14"/>
    </w:p>
    <w:p w14:paraId="56B27CF2" w14:textId="6AC14880" w:rsidR="00324B33" w:rsidRDefault="00324B33" w:rsidP="00324B33">
      <w:pPr>
        <w:rPr>
          <w:szCs w:val="22"/>
        </w:rPr>
      </w:pPr>
      <w:r w:rsidRPr="00BD5DBD">
        <w:rPr>
          <w:szCs w:val="22"/>
        </w:rPr>
        <w:t xml:space="preserve">This AusPAR describes the submission by </w:t>
      </w:r>
      <w:r w:rsidR="00E128D1">
        <w:rPr>
          <w:szCs w:val="22"/>
        </w:rPr>
        <w:t xml:space="preserve">Merck </w:t>
      </w:r>
      <w:r w:rsidR="00641F08">
        <w:rPr>
          <w:szCs w:val="22"/>
        </w:rPr>
        <w:t>Sharp and</w:t>
      </w:r>
      <w:r w:rsidR="00E128D1">
        <w:rPr>
          <w:szCs w:val="22"/>
        </w:rPr>
        <w:t xml:space="preserve"> Dohme (Australia) Pty Ltd</w:t>
      </w:r>
      <w:r w:rsidRPr="00BD5DBD">
        <w:rPr>
          <w:szCs w:val="22"/>
        </w:rPr>
        <w:t xml:space="preserve"> (the sponsor) to register </w:t>
      </w:r>
      <w:r w:rsidR="00E128D1">
        <w:t>Gardasil 9 (h</w:t>
      </w:r>
      <w:r w:rsidR="00E128D1" w:rsidRPr="0088139F">
        <w:t>uman papillomavirus 9-valent vaccine, recombinant</w:t>
      </w:r>
      <w:r w:rsidRPr="00BD5DBD">
        <w:rPr>
          <w:szCs w:val="22"/>
        </w:rPr>
        <w:t>)</w:t>
      </w:r>
      <w:r w:rsidR="00E128D1">
        <w:rPr>
          <w:szCs w:val="22"/>
        </w:rPr>
        <w:t>,</w:t>
      </w:r>
      <w:r w:rsidRPr="00BD5DBD">
        <w:rPr>
          <w:szCs w:val="22"/>
        </w:rPr>
        <w:t xml:space="preserve"> </w:t>
      </w:r>
      <w:r w:rsidR="00E128D1" w:rsidRPr="00066617">
        <w:rPr>
          <w:szCs w:val="22"/>
        </w:rPr>
        <w:t xml:space="preserve">30 </w:t>
      </w:r>
      <w:r w:rsidR="00E128D1">
        <w:rPr>
          <w:szCs w:val="22"/>
        </w:rPr>
        <w:t>µg</w:t>
      </w:r>
      <w:r w:rsidR="00E128D1" w:rsidRPr="00066617">
        <w:rPr>
          <w:szCs w:val="22"/>
        </w:rPr>
        <w:t xml:space="preserve"> of </w:t>
      </w:r>
      <w:r w:rsidR="00ED7F65">
        <w:t>h</w:t>
      </w:r>
      <w:r w:rsidR="00ED7F65" w:rsidRPr="0088139F">
        <w:t>uman papillomavirus</w:t>
      </w:r>
      <w:r w:rsidR="00ED7F65">
        <w:t xml:space="preserve"> (</w:t>
      </w:r>
      <w:r w:rsidR="00E128D1" w:rsidRPr="00066617">
        <w:rPr>
          <w:szCs w:val="22"/>
        </w:rPr>
        <w:t>HPV</w:t>
      </w:r>
      <w:r w:rsidR="00ED7F65">
        <w:rPr>
          <w:szCs w:val="22"/>
        </w:rPr>
        <w:t>)</w:t>
      </w:r>
      <w:r w:rsidR="00E128D1" w:rsidRPr="00066617">
        <w:rPr>
          <w:szCs w:val="22"/>
        </w:rPr>
        <w:t xml:space="preserve"> 6 </w:t>
      </w:r>
      <w:r w:rsidR="00ED7F65">
        <w:rPr>
          <w:szCs w:val="22"/>
        </w:rPr>
        <w:t>recombinant major capsid (</w:t>
      </w:r>
      <w:r w:rsidR="00E128D1" w:rsidRPr="00066617">
        <w:rPr>
          <w:szCs w:val="22"/>
        </w:rPr>
        <w:t>L1</w:t>
      </w:r>
      <w:r w:rsidR="00ED7F65">
        <w:rPr>
          <w:szCs w:val="22"/>
        </w:rPr>
        <w:t>)</w:t>
      </w:r>
      <w:r w:rsidR="00E128D1" w:rsidRPr="00066617">
        <w:rPr>
          <w:szCs w:val="22"/>
        </w:rPr>
        <w:t xml:space="preserve"> protein, 40 </w:t>
      </w:r>
      <w:r w:rsidR="00E128D1">
        <w:rPr>
          <w:szCs w:val="22"/>
        </w:rPr>
        <w:t>µg</w:t>
      </w:r>
      <w:r w:rsidR="00E128D1" w:rsidRPr="00066617">
        <w:rPr>
          <w:szCs w:val="22"/>
        </w:rPr>
        <w:t xml:space="preserve"> of HPV 11 L1 protein, 60 </w:t>
      </w:r>
      <w:r w:rsidR="00E128D1">
        <w:rPr>
          <w:szCs w:val="22"/>
        </w:rPr>
        <w:t>µg</w:t>
      </w:r>
      <w:r w:rsidR="00E128D1" w:rsidRPr="00066617">
        <w:rPr>
          <w:szCs w:val="22"/>
        </w:rPr>
        <w:t xml:space="preserve"> of HPV 16 L1 protein, 40 </w:t>
      </w:r>
      <w:r w:rsidR="00E128D1">
        <w:rPr>
          <w:szCs w:val="22"/>
        </w:rPr>
        <w:t>µg</w:t>
      </w:r>
      <w:r w:rsidR="00E128D1" w:rsidRPr="00066617">
        <w:rPr>
          <w:szCs w:val="22"/>
        </w:rPr>
        <w:t xml:space="preserve"> of HPV 18 L1 protein, 20 </w:t>
      </w:r>
      <w:r w:rsidR="00E128D1">
        <w:rPr>
          <w:szCs w:val="22"/>
        </w:rPr>
        <w:t>µg</w:t>
      </w:r>
      <w:r w:rsidR="00E128D1" w:rsidRPr="00066617">
        <w:rPr>
          <w:szCs w:val="22"/>
        </w:rPr>
        <w:t xml:space="preserve"> of HPV 31 L1 protein, 20 </w:t>
      </w:r>
      <w:r w:rsidR="00E128D1">
        <w:rPr>
          <w:szCs w:val="22"/>
        </w:rPr>
        <w:t>µg</w:t>
      </w:r>
      <w:r w:rsidR="00E128D1" w:rsidRPr="00066617">
        <w:rPr>
          <w:szCs w:val="22"/>
        </w:rPr>
        <w:t xml:space="preserve"> of HPV 33 L1 protein, 20 </w:t>
      </w:r>
      <w:r w:rsidR="00E128D1">
        <w:rPr>
          <w:szCs w:val="22"/>
        </w:rPr>
        <w:t>µg</w:t>
      </w:r>
      <w:r w:rsidR="00E128D1" w:rsidRPr="00066617">
        <w:rPr>
          <w:szCs w:val="22"/>
        </w:rPr>
        <w:t xml:space="preserve"> of HPV 45 L1 protein, 20 </w:t>
      </w:r>
      <w:r w:rsidR="00E128D1">
        <w:rPr>
          <w:szCs w:val="22"/>
        </w:rPr>
        <w:t>µg</w:t>
      </w:r>
      <w:r w:rsidR="00E128D1" w:rsidRPr="00066617">
        <w:rPr>
          <w:szCs w:val="22"/>
        </w:rPr>
        <w:t xml:space="preserve"> of HPV 52 L1 protein, and 20 </w:t>
      </w:r>
      <w:r w:rsidR="00E128D1">
        <w:rPr>
          <w:szCs w:val="22"/>
        </w:rPr>
        <w:t>µg</w:t>
      </w:r>
      <w:r w:rsidR="00E128D1" w:rsidRPr="00066617">
        <w:rPr>
          <w:szCs w:val="22"/>
        </w:rPr>
        <w:t xml:space="preserve"> of HPV 58 L1 protein</w:t>
      </w:r>
      <w:r w:rsidR="00E128D1">
        <w:rPr>
          <w:szCs w:val="22"/>
        </w:rPr>
        <w:t>/0.5 mL</w:t>
      </w:r>
      <w:r w:rsidRPr="00BD5DBD">
        <w:rPr>
          <w:szCs w:val="22"/>
        </w:rPr>
        <w:t xml:space="preserve">, </w:t>
      </w:r>
      <w:r w:rsidR="00E128D1">
        <w:rPr>
          <w:szCs w:val="22"/>
        </w:rPr>
        <w:t>suspension for injection</w:t>
      </w:r>
      <w:r w:rsidR="00D62877" w:rsidRPr="00BD5DBD">
        <w:rPr>
          <w:szCs w:val="22"/>
        </w:rPr>
        <w:t xml:space="preserve">, </w:t>
      </w:r>
      <w:r w:rsidR="00E128D1">
        <w:rPr>
          <w:szCs w:val="22"/>
        </w:rPr>
        <w:t>syringe and vial,</w:t>
      </w:r>
      <w:r w:rsidRPr="00BD5DBD">
        <w:rPr>
          <w:szCs w:val="22"/>
        </w:rPr>
        <w:t xml:space="preserve"> for the following proposed extension of indications:</w:t>
      </w:r>
      <w:r w:rsidR="00D63760" w:rsidRPr="00BD5DBD">
        <w:rPr>
          <w:rStyle w:val="FootnoteReference"/>
          <w:szCs w:val="22"/>
        </w:rPr>
        <w:footnoteReference w:id="1"/>
      </w:r>
    </w:p>
    <w:p w14:paraId="185B57D9" w14:textId="75E73C7F" w:rsidR="00E128D1" w:rsidRPr="004053E8" w:rsidRDefault="00E128D1" w:rsidP="004053E8">
      <w:pPr>
        <w:ind w:left="720"/>
        <w:rPr>
          <w:i/>
          <w:iCs/>
          <w:szCs w:val="22"/>
        </w:rPr>
      </w:pPr>
      <w:r w:rsidRPr="004053E8">
        <w:rPr>
          <w:i/>
          <w:iCs/>
          <w:szCs w:val="22"/>
        </w:rPr>
        <w:t>G</w:t>
      </w:r>
      <w:r w:rsidR="004053E8" w:rsidRPr="004053E8">
        <w:rPr>
          <w:i/>
          <w:iCs/>
          <w:szCs w:val="22"/>
        </w:rPr>
        <w:t>ardasil</w:t>
      </w:r>
      <w:r w:rsidRPr="004053E8">
        <w:rPr>
          <w:i/>
          <w:iCs/>
          <w:szCs w:val="22"/>
        </w:rPr>
        <w:t xml:space="preserve"> 9 is indicated in females aged 9 to 45 years* for the prevention of cervical, vulvar, vaginal, anal, oropharyngeal and other head and neck cancers, precancerous or dysplastic</w:t>
      </w:r>
      <w:r w:rsidR="0040051C" w:rsidRPr="004053E8">
        <w:rPr>
          <w:i/>
          <w:iCs/>
          <w:szCs w:val="22"/>
        </w:rPr>
        <w:t xml:space="preserve"> </w:t>
      </w:r>
      <w:r w:rsidRPr="004053E8">
        <w:rPr>
          <w:i/>
          <w:iCs/>
          <w:szCs w:val="22"/>
        </w:rPr>
        <w:t>lesions, genital warts, and infection caused by Human Papillomavirus (HPV) Types 6, 11, 16,</w:t>
      </w:r>
      <w:r w:rsidR="0040051C" w:rsidRPr="004053E8">
        <w:rPr>
          <w:i/>
          <w:iCs/>
          <w:szCs w:val="22"/>
        </w:rPr>
        <w:t xml:space="preserve"> </w:t>
      </w:r>
      <w:r w:rsidRPr="004053E8">
        <w:rPr>
          <w:i/>
          <w:iCs/>
          <w:szCs w:val="22"/>
        </w:rPr>
        <w:t>18, 31, 33, 45, 52 and 58 (which are included in the vaccine).</w:t>
      </w:r>
    </w:p>
    <w:p w14:paraId="7EF09FA8" w14:textId="74FE3272" w:rsidR="00E128D1" w:rsidRPr="004053E8" w:rsidRDefault="00E128D1" w:rsidP="004053E8">
      <w:pPr>
        <w:ind w:left="720"/>
        <w:rPr>
          <w:i/>
          <w:iCs/>
          <w:szCs w:val="22"/>
        </w:rPr>
      </w:pPr>
      <w:r w:rsidRPr="004053E8">
        <w:rPr>
          <w:i/>
          <w:iCs/>
          <w:szCs w:val="22"/>
        </w:rPr>
        <w:t>G</w:t>
      </w:r>
      <w:r w:rsidR="004053E8" w:rsidRPr="004053E8">
        <w:rPr>
          <w:i/>
          <w:iCs/>
          <w:szCs w:val="22"/>
        </w:rPr>
        <w:t>ardasil</w:t>
      </w:r>
      <w:r w:rsidRPr="004053E8">
        <w:rPr>
          <w:i/>
          <w:iCs/>
          <w:szCs w:val="22"/>
        </w:rPr>
        <w:t xml:space="preserve"> 9 is indicated in males 9 to 45* years of age for the prevention of anal,</w:t>
      </w:r>
      <w:r w:rsidR="0040051C" w:rsidRPr="004053E8">
        <w:rPr>
          <w:i/>
          <w:iCs/>
          <w:szCs w:val="22"/>
        </w:rPr>
        <w:t xml:space="preserve"> </w:t>
      </w:r>
      <w:r w:rsidRPr="004053E8">
        <w:rPr>
          <w:i/>
          <w:iCs/>
          <w:szCs w:val="22"/>
        </w:rPr>
        <w:t>oropharyngeal and other head and neck cancers, precancerous or dysplastic lesions, external</w:t>
      </w:r>
      <w:r w:rsidR="0040051C" w:rsidRPr="004053E8">
        <w:rPr>
          <w:i/>
          <w:iCs/>
          <w:szCs w:val="22"/>
        </w:rPr>
        <w:t xml:space="preserve"> </w:t>
      </w:r>
      <w:r w:rsidRPr="004053E8">
        <w:rPr>
          <w:i/>
          <w:iCs/>
          <w:szCs w:val="22"/>
        </w:rPr>
        <w:t>genital lesions and infection caused by HPV types 6, 11, 16, 18, 31, 33, 45, 52 and 58 (which</w:t>
      </w:r>
      <w:r w:rsidR="0040051C" w:rsidRPr="004053E8">
        <w:rPr>
          <w:i/>
          <w:iCs/>
          <w:szCs w:val="22"/>
        </w:rPr>
        <w:t xml:space="preserve"> </w:t>
      </w:r>
      <w:r w:rsidRPr="004053E8">
        <w:rPr>
          <w:i/>
          <w:iCs/>
          <w:szCs w:val="22"/>
        </w:rPr>
        <w:t>are included in the vaccine).</w:t>
      </w:r>
    </w:p>
    <w:p w14:paraId="0EB7B9C8" w14:textId="77777777" w:rsidR="0040051C" w:rsidRDefault="0040051C" w:rsidP="0040051C">
      <w:pPr>
        <w:rPr>
          <w:szCs w:val="22"/>
        </w:rPr>
      </w:pPr>
      <w:r>
        <w:t>H</w:t>
      </w:r>
      <w:r w:rsidRPr="0088139F">
        <w:t>uman papillomavirus</w:t>
      </w:r>
      <w:r>
        <w:t xml:space="preserve"> (HPV)</w:t>
      </w:r>
      <w:r w:rsidRPr="0088139F">
        <w:t xml:space="preserve"> </w:t>
      </w:r>
      <w:r w:rsidRPr="0040051C">
        <w:rPr>
          <w:szCs w:val="22"/>
        </w:rPr>
        <w:t>is a group of more than 200 related viruses, some of which are spread through vaginal, anal, or oral sex. In most cases, HPV infection is cleared by the immune system. However, in some cases the infection may persist, and certain HPV types may cause disease.</w:t>
      </w:r>
    </w:p>
    <w:p w14:paraId="4997A530" w14:textId="22FDECB5" w:rsidR="0040051C" w:rsidRPr="0040051C" w:rsidRDefault="0040051C" w:rsidP="0040051C">
      <w:pPr>
        <w:rPr>
          <w:szCs w:val="22"/>
        </w:rPr>
      </w:pPr>
      <w:r w:rsidRPr="0040051C">
        <w:rPr>
          <w:szCs w:val="22"/>
        </w:rPr>
        <w:lastRenderedPageBreak/>
        <w:t>High</w:t>
      </w:r>
      <w:r w:rsidR="00ED7F65">
        <w:rPr>
          <w:szCs w:val="22"/>
        </w:rPr>
        <w:t xml:space="preserve"> </w:t>
      </w:r>
      <w:r w:rsidRPr="0040051C">
        <w:rPr>
          <w:szCs w:val="22"/>
        </w:rPr>
        <w:t>risk HPVs can cause several types of cancer. These include:</w:t>
      </w:r>
    </w:p>
    <w:p w14:paraId="59A8EC51" w14:textId="7C17D35E" w:rsidR="0040051C" w:rsidRPr="0040051C" w:rsidRDefault="0040051C" w:rsidP="0040051C">
      <w:pPr>
        <w:pStyle w:val="ListBullet"/>
      </w:pPr>
      <w:r w:rsidRPr="0040051C">
        <w:t>Cervical cancer (nearly all cervical cancers are caused by HPV).</w:t>
      </w:r>
    </w:p>
    <w:p w14:paraId="407EBD03" w14:textId="350A1E6D" w:rsidR="0040051C" w:rsidRPr="0040051C" w:rsidRDefault="0040051C" w:rsidP="0040051C">
      <w:pPr>
        <w:pStyle w:val="ListBullet"/>
      </w:pPr>
      <w:r w:rsidRPr="0040051C">
        <w:t xml:space="preserve">Oropharyngeal cancers (Most </w:t>
      </w:r>
      <w:r w:rsidR="00ED7F65">
        <w:t>(</w:t>
      </w:r>
      <w:r>
        <w:t xml:space="preserve">about </w:t>
      </w:r>
      <w:r w:rsidRPr="0040051C">
        <w:t>70%) are thought to be caused by HPV and now the most common HPV-related cancer in the United States</w:t>
      </w:r>
      <w:r w:rsidR="00ED7F65">
        <w:t xml:space="preserve"> of America (USA)</w:t>
      </w:r>
      <w:r w:rsidRPr="0040051C">
        <w:t>).</w:t>
      </w:r>
    </w:p>
    <w:p w14:paraId="5925F0E8" w14:textId="718119CC" w:rsidR="0040051C" w:rsidRPr="0040051C" w:rsidRDefault="0040051C" w:rsidP="0040051C">
      <w:pPr>
        <w:pStyle w:val="ListBullet"/>
      </w:pPr>
      <w:r w:rsidRPr="0040051C">
        <w:t>Anal cancer (Over 90% are caused by HPV).</w:t>
      </w:r>
    </w:p>
    <w:p w14:paraId="1F97E5CD" w14:textId="19FB4CD0" w:rsidR="0040051C" w:rsidRPr="0040051C" w:rsidRDefault="0040051C" w:rsidP="0040051C">
      <w:pPr>
        <w:rPr>
          <w:szCs w:val="22"/>
        </w:rPr>
      </w:pPr>
      <w:r w:rsidRPr="0040051C">
        <w:rPr>
          <w:szCs w:val="22"/>
        </w:rPr>
        <w:t xml:space="preserve">In addition, HPV is associated with rare cancers (annual incidence </w:t>
      </w:r>
      <w:r w:rsidR="00ED7F65">
        <w:rPr>
          <w:szCs w:val="22"/>
        </w:rPr>
        <w:t>less than</w:t>
      </w:r>
      <w:r>
        <w:rPr>
          <w:szCs w:val="22"/>
        </w:rPr>
        <w:t xml:space="preserve"> </w:t>
      </w:r>
      <w:r w:rsidRPr="0040051C">
        <w:rPr>
          <w:szCs w:val="22"/>
        </w:rPr>
        <w:t>1 per 100,000):</w:t>
      </w:r>
    </w:p>
    <w:p w14:paraId="2157A412" w14:textId="4FE6C7FD" w:rsidR="0040051C" w:rsidRPr="0040051C" w:rsidRDefault="0040051C" w:rsidP="0040051C">
      <w:pPr>
        <w:pStyle w:val="ListBullet"/>
      </w:pPr>
      <w:r w:rsidRPr="0040051C">
        <w:t>Penile cancer: over 60% are caused by HPV.</w:t>
      </w:r>
    </w:p>
    <w:p w14:paraId="3A3DFBAA" w14:textId="1B859113" w:rsidR="0040051C" w:rsidRPr="0040051C" w:rsidRDefault="0040051C" w:rsidP="0040051C">
      <w:pPr>
        <w:pStyle w:val="ListBullet"/>
      </w:pPr>
      <w:r w:rsidRPr="0040051C">
        <w:t>Vaginal cancer: around 75% are caused by HPV.</w:t>
      </w:r>
    </w:p>
    <w:p w14:paraId="76EC7A47" w14:textId="24D9D6E5" w:rsidR="0040051C" w:rsidRPr="0040051C" w:rsidRDefault="0040051C" w:rsidP="0040051C">
      <w:pPr>
        <w:pStyle w:val="ListBullet"/>
      </w:pPr>
      <w:r w:rsidRPr="0040051C">
        <w:t>Vulvar cancer: around 70% are caused by HPV.</w:t>
      </w:r>
    </w:p>
    <w:p w14:paraId="691BE79B" w14:textId="673473B2" w:rsidR="0040051C" w:rsidRPr="0040051C" w:rsidRDefault="0040051C" w:rsidP="0040051C">
      <w:pPr>
        <w:rPr>
          <w:szCs w:val="22"/>
        </w:rPr>
      </w:pPr>
      <w:r w:rsidRPr="0040051C">
        <w:rPr>
          <w:szCs w:val="22"/>
        </w:rPr>
        <w:t>There are at least 14 high</w:t>
      </w:r>
      <w:r w:rsidR="00ED7F65">
        <w:rPr>
          <w:szCs w:val="22"/>
        </w:rPr>
        <w:t xml:space="preserve"> </w:t>
      </w:r>
      <w:r w:rsidRPr="0040051C">
        <w:rPr>
          <w:szCs w:val="22"/>
        </w:rPr>
        <w:t>risk HPV types including HPV 16, 18, 31, 33, 35, 39, 45, 51, 52, 56, 58, 59, 66, and 68. Two of these (16 and 18) are responsible for most HPV-related cancers, and cause 70% of cervical cancers and pre-cancerous cervical lesions.</w:t>
      </w:r>
    </w:p>
    <w:p w14:paraId="6E912236" w14:textId="77777777" w:rsidR="0040051C" w:rsidRPr="0040051C" w:rsidRDefault="0040051C" w:rsidP="0040051C">
      <w:pPr>
        <w:pStyle w:val="Heading4"/>
      </w:pPr>
      <w:r w:rsidRPr="0040051C">
        <w:t>Head and neck cancers</w:t>
      </w:r>
    </w:p>
    <w:p w14:paraId="50DA69F4" w14:textId="3D925088" w:rsidR="0040051C" w:rsidRPr="0040051C" w:rsidRDefault="0040051C" w:rsidP="0040051C">
      <w:pPr>
        <w:rPr>
          <w:szCs w:val="22"/>
        </w:rPr>
      </w:pPr>
      <w:r>
        <w:t>H</w:t>
      </w:r>
      <w:r w:rsidRPr="0088139F">
        <w:t xml:space="preserve">uman papillomavirus </w:t>
      </w:r>
      <w:r w:rsidRPr="0040051C">
        <w:rPr>
          <w:szCs w:val="22"/>
        </w:rPr>
        <w:t xml:space="preserve">related head and neck cancer is a serious disease that can lead to significant morbidity and mortality. Head and neck cancers are a heterogeneous group of tumours at different anatomic sites with various aetiologies. Most head and neck cancers are </w:t>
      </w:r>
      <w:r>
        <w:rPr>
          <w:szCs w:val="22"/>
        </w:rPr>
        <w:t>s</w:t>
      </w:r>
      <w:r w:rsidRPr="0040051C">
        <w:rPr>
          <w:szCs w:val="22"/>
        </w:rPr>
        <w:t>quamous cell carcinoma arising from the mucosal surfaces of the oral cavity, pharynx, and larynx. HPV can infect the mouth and throat and cause cancers of the oropharynx; most head and neck cancers caused by HPV are in these regions. Currently, there is no validated test or test algorithm to identify HPV-driven head and neck cancers at non-oropharyngeal sites; however, it is postulated that some non-oropharyngeal cancers can also be attributed to HPV.</w:t>
      </w:r>
    </w:p>
    <w:p w14:paraId="661F84B0" w14:textId="6E9FA6CD" w:rsidR="0040051C" w:rsidRPr="0040051C" w:rsidRDefault="0040051C" w:rsidP="0040051C">
      <w:pPr>
        <w:rPr>
          <w:szCs w:val="22"/>
        </w:rPr>
      </w:pPr>
      <w:r w:rsidRPr="0040051C">
        <w:rPr>
          <w:szCs w:val="22"/>
        </w:rPr>
        <w:t>In Australia, 5,104 individuals (3,755 males and 1,349 females) have been estimated to be diagnosed with head and neck cancer (including oropharyngeal cancer) in 2021. (3.4% of all new cancers diagnosed). The estimated number of deaths from head and neck cancer in 2021 was 1,201 (888 males and 313 females) (2.4% of all cancer deaths). The 5</w:t>
      </w:r>
      <w:r w:rsidR="00ED7F65">
        <w:rPr>
          <w:szCs w:val="22"/>
        </w:rPr>
        <w:t xml:space="preserve"> </w:t>
      </w:r>
      <w:r w:rsidRPr="0040051C">
        <w:rPr>
          <w:szCs w:val="22"/>
        </w:rPr>
        <w:t>year survival rate between 2013 and 2017 was 72%.</w:t>
      </w:r>
    </w:p>
    <w:p w14:paraId="623245FA" w14:textId="0BD8F1E3" w:rsidR="0040051C" w:rsidRPr="0040051C" w:rsidRDefault="0040051C" w:rsidP="0040051C">
      <w:pPr>
        <w:pStyle w:val="Heading4"/>
      </w:pPr>
      <w:r w:rsidRPr="0040051C">
        <w:t>Current treatment options</w:t>
      </w:r>
    </w:p>
    <w:p w14:paraId="3DB37331" w14:textId="2EAACAAB" w:rsidR="0040051C" w:rsidRPr="0040051C" w:rsidRDefault="0040051C" w:rsidP="0040051C">
      <w:pPr>
        <w:rPr>
          <w:szCs w:val="22"/>
        </w:rPr>
      </w:pPr>
      <w:r w:rsidRPr="0040051C">
        <w:rPr>
          <w:szCs w:val="22"/>
        </w:rPr>
        <w:t xml:space="preserve">The initial exposure to HPV occurs during teenage years for most individuals. As a primary prevention, the </w:t>
      </w:r>
      <w:r w:rsidR="00ED7F65">
        <w:rPr>
          <w:szCs w:val="22"/>
        </w:rPr>
        <w:t>W</w:t>
      </w:r>
      <w:r w:rsidR="00ED7F65" w:rsidRPr="00ED7F65">
        <w:rPr>
          <w:szCs w:val="22"/>
        </w:rPr>
        <w:t xml:space="preserve">orld </w:t>
      </w:r>
      <w:r w:rsidR="00ED7F65">
        <w:rPr>
          <w:szCs w:val="22"/>
        </w:rPr>
        <w:t>H</w:t>
      </w:r>
      <w:r w:rsidR="00ED7F65" w:rsidRPr="00ED7F65">
        <w:rPr>
          <w:szCs w:val="22"/>
        </w:rPr>
        <w:t xml:space="preserve">ealth </w:t>
      </w:r>
      <w:r w:rsidR="00ED7F65">
        <w:rPr>
          <w:szCs w:val="22"/>
        </w:rPr>
        <w:t>O</w:t>
      </w:r>
      <w:r w:rsidR="00ED7F65" w:rsidRPr="00ED7F65">
        <w:rPr>
          <w:szCs w:val="22"/>
        </w:rPr>
        <w:t>rgani</w:t>
      </w:r>
      <w:r w:rsidR="005B2303">
        <w:rPr>
          <w:szCs w:val="22"/>
        </w:rPr>
        <w:t>z</w:t>
      </w:r>
      <w:r w:rsidR="00ED7F65" w:rsidRPr="00ED7F65">
        <w:rPr>
          <w:szCs w:val="22"/>
        </w:rPr>
        <w:t>ation</w:t>
      </w:r>
      <w:r w:rsidRPr="0040051C">
        <w:rPr>
          <w:szCs w:val="22"/>
        </w:rPr>
        <w:t xml:space="preserve"> recommends HPV vaccination at 9</w:t>
      </w:r>
      <w:r>
        <w:rPr>
          <w:szCs w:val="22"/>
        </w:rPr>
        <w:t xml:space="preserve"> to </w:t>
      </w:r>
      <w:r w:rsidRPr="0040051C">
        <w:rPr>
          <w:szCs w:val="22"/>
        </w:rPr>
        <w:t>14</w:t>
      </w:r>
      <w:r>
        <w:rPr>
          <w:szCs w:val="22"/>
        </w:rPr>
        <w:t xml:space="preserve"> years of age</w:t>
      </w:r>
      <w:r w:rsidRPr="0040051C">
        <w:rPr>
          <w:szCs w:val="22"/>
        </w:rPr>
        <w:t xml:space="preserve">. The Australian Immunisation Handbook recommends the 9-valent </w:t>
      </w:r>
      <w:r w:rsidR="00ED7F65">
        <w:t>human papillomavirus</w:t>
      </w:r>
      <w:r w:rsidRPr="0040051C">
        <w:rPr>
          <w:szCs w:val="22"/>
        </w:rPr>
        <w:t xml:space="preserve"> vaccine (9vHPV, </w:t>
      </w:r>
      <w:r>
        <w:rPr>
          <w:szCs w:val="22"/>
        </w:rPr>
        <w:t>that is</w:t>
      </w:r>
      <w:r w:rsidRPr="0040051C">
        <w:rPr>
          <w:szCs w:val="22"/>
        </w:rPr>
        <w:t xml:space="preserve"> G</w:t>
      </w:r>
      <w:r>
        <w:rPr>
          <w:szCs w:val="22"/>
        </w:rPr>
        <w:t>ardasil</w:t>
      </w:r>
      <w:r w:rsidRPr="0040051C">
        <w:rPr>
          <w:szCs w:val="22"/>
        </w:rPr>
        <w:t xml:space="preserve"> 9) for adolescents 9</w:t>
      </w:r>
      <w:r>
        <w:rPr>
          <w:szCs w:val="22"/>
        </w:rPr>
        <w:t xml:space="preserve"> to </w:t>
      </w:r>
      <w:r w:rsidRPr="0040051C">
        <w:rPr>
          <w:szCs w:val="22"/>
        </w:rPr>
        <w:t>18</w:t>
      </w:r>
      <w:r>
        <w:rPr>
          <w:szCs w:val="22"/>
        </w:rPr>
        <w:t xml:space="preserve"> years of age</w:t>
      </w:r>
      <w:r w:rsidRPr="0040051C">
        <w:rPr>
          <w:szCs w:val="22"/>
        </w:rPr>
        <w:t>, with the optimal age for vaccination at 12</w:t>
      </w:r>
      <w:r>
        <w:rPr>
          <w:szCs w:val="22"/>
        </w:rPr>
        <w:t xml:space="preserve"> to </w:t>
      </w:r>
      <w:r w:rsidRPr="0040051C">
        <w:rPr>
          <w:szCs w:val="22"/>
        </w:rPr>
        <w:t>13</w:t>
      </w:r>
      <w:r>
        <w:rPr>
          <w:szCs w:val="22"/>
        </w:rPr>
        <w:t xml:space="preserve"> years of age</w:t>
      </w:r>
      <w:r w:rsidRPr="0040051C">
        <w:rPr>
          <w:szCs w:val="22"/>
        </w:rPr>
        <w:t>. Catch</w:t>
      </w:r>
      <w:r w:rsidR="00ED7F65">
        <w:rPr>
          <w:szCs w:val="22"/>
        </w:rPr>
        <w:t xml:space="preserve"> </w:t>
      </w:r>
      <w:r w:rsidRPr="0040051C">
        <w:rPr>
          <w:szCs w:val="22"/>
        </w:rPr>
        <w:t xml:space="preserve">up vaccines are available through </w:t>
      </w:r>
      <w:r w:rsidR="00ED7F65" w:rsidRPr="00ED7F65">
        <w:rPr>
          <w:szCs w:val="22"/>
        </w:rPr>
        <w:t>general practitioner</w:t>
      </w:r>
      <w:r w:rsidR="00ED7F65">
        <w:rPr>
          <w:szCs w:val="22"/>
        </w:rPr>
        <w:t>s</w:t>
      </w:r>
      <w:r w:rsidRPr="0040051C">
        <w:rPr>
          <w:szCs w:val="22"/>
        </w:rPr>
        <w:t xml:space="preserve"> and other immunisation providers for young people up to 19</w:t>
      </w:r>
      <w:r>
        <w:rPr>
          <w:szCs w:val="22"/>
        </w:rPr>
        <w:t xml:space="preserve"> years of age.</w:t>
      </w:r>
    </w:p>
    <w:p w14:paraId="285703CE" w14:textId="77777777" w:rsidR="0040051C" w:rsidRPr="0040051C" w:rsidRDefault="0040051C" w:rsidP="0040051C">
      <w:pPr>
        <w:rPr>
          <w:szCs w:val="22"/>
        </w:rPr>
      </w:pPr>
      <w:r w:rsidRPr="0040051C">
        <w:rPr>
          <w:szCs w:val="22"/>
        </w:rPr>
        <w:t>Currently, the following HPV vaccine products are registered in Australia:</w:t>
      </w:r>
    </w:p>
    <w:p w14:paraId="2D39C9FB" w14:textId="1E6E947E" w:rsidR="0040051C" w:rsidRPr="0040051C" w:rsidRDefault="0040051C" w:rsidP="0040051C">
      <w:pPr>
        <w:pStyle w:val="ListBullet"/>
      </w:pPr>
      <w:r w:rsidRPr="0040051C">
        <w:t>G</w:t>
      </w:r>
      <w:r>
        <w:t>ardasil</w:t>
      </w:r>
      <w:r w:rsidR="004154EC">
        <w:t xml:space="preserve"> c</w:t>
      </w:r>
      <w:r w:rsidRPr="0040051C">
        <w:t>ontains HPV type 6, 11, 16, 18 proteins.</w:t>
      </w:r>
      <w:r w:rsidR="004154EC">
        <w:rPr>
          <w:rStyle w:val="FootnoteReference"/>
        </w:rPr>
        <w:footnoteReference w:id="2"/>
      </w:r>
    </w:p>
    <w:p w14:paraId="1D067B5A" w14:textId="2C3055E0" w:rsidR="0040051C" w:rsidRPr="0040051C" w:rsidRDefault="0040051C" w:rsidP="0040051C">
      <w:pPr>
        <w:pStyle w:val="ListBullet"/>
      </w:pPr>
      <w:r w:rsidRPr="0040051C">
        <w:t>C</w:t>
      </w:r>
      <w:r>
        <w:t>ervarix</w:t>
      </w:r>
      <w:r w:rsidR="004154EC">
        <w:t xml:space="preserve"> c</w:t>
      </w:r>
      <w:r w:rsidRPr="0040051C">
        <w:t>ontains HPV type 16 and 18 proteins.</w:t>
      </w:r>
      <w:r w:rsidR="004154EC">
        <w:rPr>
          <w:rStyle w:val="FootnoteReference"/>
        </w:rPr>
        <w:footnoteReference w:id="3"/>
      </w:r>
    </w:p>
    <w:p w14:paraId="1CB6E505" w14:textId="35C26934" w:rsidR="0040051C" w:rsidRPr="0040051C" w:rsidRDefault="0040051C" w:rsidP="0040051C">
      <w:pPr>
        <w:pStyle w:val="ListBullet"/>
      </w:pPr>
      <w:r w:rsidRPr="0040051C">
        <w:lastRenderedPageBreak/>
        <w:t>G</w:t>
      </w:r>
      <w:r>
        <w:t>ardasil</w:t>
      </w:r>
      <w:r w:rsidRPr="0040051C">
        <w:t xml:space="preserve"> 9</w:t>
      </w:r>
      <w:r w:rsidR="004154EC">
        <w:t xml:space="preserve"> c</w:t>
      </w:r>
      <w:r w:rsidRPr="0040051C">
        <w:t>ontains HPV type 6, 11, 16, 18, 31, 33, 45, 52, 58 proteins.</w:t>
      </w:r>
      <w:r w:rsidR="004154EC">
        <w:rPr>
          <w:rStyle w:val="FootnoteReference"/>
        </w:rPr>
        <w:footnoteReference w:id="4"/>
      </w:r>
    </w:p>
    <w:p w14:paraId="2F7CA292" w14:textId="77777777" w:rsidR="0040051C" w:rsidRPr="0040051C" w:rsidRDefault="0040051C" w:rsidP="0040051C">
      <w:pPr>
        <w:rPr>
          <w:szCs w:val="22"/>
        </w:rPr>
      </w:pPr>
      <w:r w:rsidRPr="0040051C">
        <w:rPr>
          <w:szCs w:val="22"/>
        </w:rPr>
        <w:t>There is no specific antiviral therapy for HPV infection.</w:t>
      </w:r>
    </w:p>
    <w:p w14:paraId="7EFB1678" w14:textId="5B7585E4" w:rsidR="0040051C" w:rsidRPr="00BD5DBD" w:rsidRDefault="0040051C" w:rsidP="0040051C">
      <w:pPr>
        <w:rPr>
          <w:szCs w:val="22"/>
        </w:rPr>
      </w:pPr>
      <w:r w:rsidRPr="0040051C">
        <w:rPr>
          <w:szCs w:val="22"/>
        </w:rPr>
        <w:t>The main treatments for head and neck cancers are surgery, radiotherapy and chemotherapy (including targeted therapy). These treatments may be given individually, or as a combination. The treatment will depend on the tumour type, size and location, as well as patient factors including age, health, and symptoms.</w:t>
      </w:r>
    </w:p>
    <w:p w14:paraId="0D615854" w14:textId="77777777" w:rsidR="00324B33" w:rsidRPr="003F31A2" w:rsidRDefault="00324B33" w:rsidP="00324B33">
      <w:pPr>
        <w:pStyle w:val="Heading3"/>
      </w:pPr>
      <w:bookmarkStart w:id="15" w:name="_Toc314842485"/>
      <w:bookmarkStart w:id="16" w:name="_Toc247691504"/>
      <w:bookmarkStart w:id="17" w:name="_Toc103679291"/>
      <w:bookmarkStart w:id="18" w:name="_Toc129703125"/>
      <w:r>
        <w:t>Regulatory status</w:t>
      </w:r>
      <w:bookmarkEnd w:id="15"/>
      <w:bookmarkEnd w:id="16"/>
      <w:bookmarkEnd w:id="17"/>
      <w:bookmarkEnd w:id="18"/>
    </w:p>
    <w:p w14:paraId="53C00F10" w14:textId="47543B5E" w:rsidR="00324B33" w:rsidRDefault="00324B33" w:rsidP="00324B33">
      <w:pPr>
        <w:rPr>
          <w:szCs w:val="22"/>
        </w:rPr>
      </w:pPr>
      <w:r w:rsidRPr="00BD5DBD">
        <w:rPr>
          <w:szCs w:val="22"/>
        </w:rPr>
        <w:t xml:space="preserve">The product received initial registration on the </w:t>
      </w:r>
      <w:hyperlink r:id="rId18" w:history="1">
        <w:r w:rsidRPr="00BD5DBD">
          <w:rPr>
            <w:rStyle w:val="Hyperlink"/>
            <w:szCs w:val="22"/>
          </w:rPr>
          <w:t>Australian Register of Therapeutic Goods</w:t>
        </w:r>
      </w:hyperlink>
      <w:r w:rsidRPr="00BD5DBD">
        <w:rPr>
          <w:szCs w:val="22"/>
        </w:rPr>
        <w:t xml:space="preserve"> (</w:t>
      </w:r>
      <w:hyperlink r:id="rId19" w:history="1">
        <w:r w:rsidRPr="00BD5DBD">
          <w:rPr>
            <w:rStyle w:val="Hyperlink"/>
            <w:szCs w:val="22"/>
          </w:rPr>
          <w:t>ARTG</w:t>
        </w:r>
      </w:hyperlink>
      <w:r w:rsidRPr="00BD5DBD">
        <w:rPr>
          <w:szCs w:val="22"/>
        </w:rPr>
        <w:t xml:space="preserve">) </w:t>
      </w:r>
      <w:r w:rsidR="004154EC">
        <w:rPr>
          <w:szCs w:val="22"/>
        </w:rPr>
        <w:t>on 29 June 2015.</w:t>
      </w:r>
      <w:r w:rsidR="00E51813" w:rsidRPr="00BD5DBD">
        <w:rPr>
          <w:szCs w:val="22"/>
        </w:rPr>
        <w:t xml:space="preserve"> </w:t>
      </w:r>
      <w:r w:rsidR="00750D70" w:rsidRPr="00BD5DBD">
        <w:rPr>
          <w:szCs w:val="22"/>
        </w:rPr>
        <w:t>At the time that this submission was considered it was approved for the following indications:</w:t>
      </w:r>
    </w:p>
    <w:p w14:paraId="16978309" w14:textId="4AFC5226" w:rsidR="004154EC" w:rsidRPr="005363A3" w:rsidRDefault="004154EC" w:rsidP="005363A3">
      <w:pPr>
        <w:ind w:left="720"/>
        <w:rPr>
          <w:i/>
          <w:iCs/>
        </w:rPr>
      </w:pPr>
      <w:r w:rsidRPr="005363A3">
        <w:rPr>
          <w:i/>
          <w:iCs/>
        </w:rPr>
        <w:t>Gardasil 9 is indicated in females aged 9 to 45 years for the prevention of cervical, vulvar, vaginal and anal cancers, precancerous or dysplastic lesions, genital warts, and infection caused by Human Papillomavirus (HPV) Types 6, 11, 16, 18, 31, 33, 45, 52 and 58 (which are included in the vaccine).</w:t>
      </w:r>
    </w:p>
    <w:p w14:paraId="05766283" w14:textId="13FEA25A" w:rsidR="004154EC" w:rsidRDefault="004154EC" w:rsidP="005363A3">
      <w:pPr>
        <w:ind w:left="720"/>
      </w:pPr>
      <w:r w:rsidRPr="005363A3">
        <w:rPr>
          <w:i/>
          <w:iCs/>
        </w:rPr>
        <w:t>Gardasil 9 is indicated in males 9 to 26 years of age for the prevention of anal cancer, precancerous or dysplastic lesions, external genital lesions and infection caused by HPV types 6, 11, 16, 18, 31, 33, 45, 52 and 58 (which</w:t>
      </w:r>
      <w:r w:rsidRPr="005363A3">
        <w:rPr>
          <w:i/>
          <w:iCs/>
          <w:color w:val="0070C1"/>
        </w:rPr>
        <w:t xml:space="preserve"> </w:t>
      </w:r>
      <w:r w:rsidRPr="005363A3">
        <w:rPr>
          <w:i/>
          <w:iCs/>
        </w:rPr>
        <w:t>are included in the vaccine).</w:t>
      </w:r>
    </w:p>
    <w:p w14:paraId="129E2224" w14:textId="6F085387" w:rsidR="005363A3" w:rsidRPr="005363A3" w:rsidRDefault="000F3590" w:rsidP="005363A3">
      <w:pPr>
        <w:rPr>
          <w:szCs w:val="22"/>
        </w:rPr>
      </w:pPr>
      <w:r>
        <w:t xml:space="preserve">Nine valent </w:t>
      </w:r>
      <w:r w:rsidR="00ED7F65">
        <w:t>h</w:t>
      </w:r>
      <w:r>
        <w:t xml:space="preserve">uman </w:t>
      </w:r>
      <w:r w:rsidR="00ED7F65">
        <w:t>p</w:t>
      </w:r>
      <w:r>
        <w:t>apillomavirus vaccine</w:t>
      </w:r>
      <w:r w:rsidR="005363A3" w:rsidRPr="005363A3">
        <w:rPr>
          <w:szCs w:val="22"/>
        </w:rPr>
        <w:t xml:space="preserve"> was initially licensed in the U</w:t>
      </w:r>
      <w:r w:rsidR="00837761">
        <w:rPr>
          <w:szCs w:val="22"/>
        </w:rPr>
        <w:t>SA</w:t>
      </w:r>
      <w:r w:rsidR="005363A3" w:rsidRPr="005363A3">
        <w:rPr>
          <w:szCs w:val="22"/>
        </w:rPr>
        <w:t xml:space="preserve">. in December 2014, in Canada in February 2015, and in the </w:t>
      </w:r>
      <w:r w:rsidR="00837761" w:rsidRPr="005363A3">
        <w:rPr>
          <w:szCs w:val="22"/>
        </w:rPr>
        <w:t>E</w:t>
      </w:r>
      <w:r w:rsidR="00837761">
        <w:rPr>
          <w:szCs w:val="22"/>
        </w:rPr>
        <w:t xml:space="preserve">uropean </w:t>
      </w:r>
      <w:r w:rsidR="005363A3" w:rsidRPr="005363A3">
        <w:rPr>
          <w:szCs w:val="22"/>
        </w:rPr>
        <w:t>U</w:t>
      </w:r>
      <w:r w:rsidR="00837761">
        <w:rPr>
          <w:szCs w:val="22"/>
        </w:rPr>
        <w:t>nion (EU)</w:t>
      </w:r>
      <w:r w:rsidR="005363A3" w:rsidRPr="005363A3">
        <w:rPr>
          <w:szCs w:val="22"/>
        </w:rPr>
        <w:t xml:space="preserve"> and Australia in June 2015 under the name G</w:t>
      </w:r>
      <w:r w:rsidR="005363A3">
        <w:rPr>
          <w:szCs w:val="22"/>
        </w:rPr>
        <w:t>ardasil 9</w:t>
      </w:r>
      <w:r w:rsidR="005363A3" w:rsidRPr="005363A3">
        <w:rPr>
          <w:szCs w:val="22"/>
        </w:rPr>
        <w:t>. As of December 2020, 9vHPV vaccine has been licensed in more than 80 countries under the name G</w:t>
      </w:r>
      <w:r w:rsidR="005363A3">
        <w:rPr>
          <w:szCs w:val="22"/>
        </w:rPr>
        <w:t xml:space="preserve">ardasil 9 </w:t>
      </w:r>
      <w:r w:rsidR="005363A3" w:rsidRPr="005363A3">
        <w:rPr>
          <w:szCs w:val="22"/>
        </w:rPr>
        <w:t xml:space="preserve">and under the name </w:t>
      </w:r>
      <w:r w:rsidR="005363A3">
        <w:rPr>
          <w:szCs w:val="22"/>
        </w:rPr>
        <w:t xml:space="preserve">Silgard </w:t>
      </w:r>
      <w:r w:rsidR="005363A3" w:rsidRPr="005363A3">
        <w:rPr>
          <w:szCs w:val="22"/>
        </w:rPr>
        <w:t>9 in Japan.</w:t>
      </w:r>
    </w:p>
    <w:p w14:paraId="57907D44" w14:textId="7CB321B2" w:rsidR="005363A3" w:rsidRPr="005363A3" w:rsidRDefault="005363A3" w:rsidP="005363A3">
      <w:pPr>
        <w:rPr>
          <w:szCs w:val="22"/>
        </w:rPr>
      </w:pPr>
      <w:r w:rsidRPr="005363A3">
        <w:rPr>
          <w:szCs w:val="22"/>
        </w:rPr>
        <w:t xml:space="preserve">In June 2020, 9vHPV vaccine was licensed under accelerated approval in the US for the prevention of oropharyngeal and other head and neck cancers related to HPV 16, 18, 31, 33, 45, 52, or 58. </w:t>
      </w:r>
      <w:r w:rsidR="00544497">
        <w:rPr>
          <w:szCs w:val="22"/>
        </w:rPr>
        <w:t xml:space="preserve">In April 2022, </w:t>
      </w:r>
      <w:r w:rsidRPr="005363A3">
        <w:rPr>
          <w:szCs w:val="22"/>
        </w:rPr>
        <w:t xml:space="preserve">9vHPV vaccine </w:t>
      </w:r>
      <w:r w:rsidR="00544497">
        <w:rPr>
          <w:szCs w:val="22"/>
        </w:rPr>
        <w:t xml:space="preserve">was approved under the Notice of Compliance with conditions (NoC/c) </w:t>
      </w:r>
      <w:r w:rsidRPr="005363A3">
        <w:rPr>
          <w:szCs w:val="22"/>
        </w:rPr>
        <w:t>for the prevention of head and neck cancers caused by HPV (</w:t>
      </w:r>
      <w:r w:rsidR="00954C3F">
        <w:rPr>
          <w:szCs w:val="22"/>
          <w:highlight w:val="yellow"/>
        </w:rPr>
        <w:fldChar w:fldCharType="begin"/>
      </w:r>
      <w:r w:rsidR="00954C3F">
        <w:rPr>
          <w:szCs w:val="22"/>
        </w:rPr>
        <w:instrText xml:space="preserve"> REF _Ref138339708 \h </w:instrText>
      </w:r>
      <w:r w:rsidR="00954C3F">
        <w:rPr>
          <w:szCs w:val="22"/>
          <w:highlight w:val="yellow"/>
        </w:rPr>
      </w:r>
      <w:r w:rsidR="00954C3F">
        <w:rPr>
          <w:szCs w:val="22"/>
          <w:highlight w:val="yellow"/>
        </w:rPr>
        <w:fldChar w:fldCharType="separate"/>
      </w:r>
      <w:r w:rsidR="00954C3F" w:rsidRPr="00954C3F">
        <w:t>Table 1</w:t>
      </w:r>
      <w:r w:rsidR="00954C3F">
        <w:rPr>
          <w:szCs w:val="22"/>
          <w:highlight w:val="yellow"/>
        </w:rPr>
        <w:fldChar w:fldCharType="end"/>
      </w:r>
      <w:r w:rsidRPr="005363A3">
        <w:rPr>
          <w:szCs w:val="22"/>
        </w:rPr>
        <w:t>).</w:t>
      </w:r>
    </w:p>
    <w:p w14:paraId="3009F45F" w14:textId="033E2E73" w:rsidR="005363A3" w:rsidRDefault="005363A3" w:rsidP="005363A3">
      <w:pPr>
        <w:rPr>
          <w:szCs w:val="22"/>
        </w:rPr>
      </w:pPr>
      <w:r w:rsidRPr="005363A3">
        <w:rPr>
          <w:szCs w:val="22"/>
        </w:rPr>
        <w:t xml:space="preserve">The sponsor has not provided information on the overseas status of the extension of the age range in the population to 45 years of age. The </w:t>
      </w:r>
      <w:r w:rsidR="00837761">
        <w:rPr>
          <w:szCs w:val="22"/>
        </w:rPr>
        <w:t>European Medicines Agency (</w:t>
      </w:r>
      <w:r w:rsidRPr="005363A3">
        <w:rPr>
          <w:szCs w:val="22"/>
        </w:rPr>
        <w:t>EMA</w:t>
      </w:r>
      <w:r w:rsidR="00837761">
        <w:rPr>
          <w:szCs w:val="22"/>
        </w:rPr>
        <w:t>)</w:t>
      </w:r>
      <w:r w:rsidRPr="005363A3">
        <w:rPr>
          <w:szCs w:val="22"/>
        </w:rPr>
        <w:t xml:space="preserve"> and the </w:t>
      </w:r>
      <w:r w:rsidR="00837761" w:rsidRPr="00FC61E9">
        <w:rPr>
          <w:szCs w:val="22"/>
        </w:rPr>
        <w:t>Food and Drug Administration</w:t>
      </w:r>
      <w:r w:rsidR="00837761">
        <w:rPr>
          <w:szCs w:val="22"/>
        </w:rPr>
        <w:t xml:space="preserve"> (</w:t>
      </w:r>
      <w:r w:rsidRPr="005363A3">
        <w:rPr>
          <w:szCs w:val="22"/>
        </w:rPr>
        <w:t>FDA</w:t>
      </w:r>
      <w:r w:rsidR="00837761">
        <w:rPr>
          <w:szCs w:val="22"/>
        </w:rPr>
        <w:t>) United States</w:t>
      </w:r>
      <w:r w:rsidRPr="005363A3">
        <w:rPr>
          <w:szCs w:val="22"/>
        </w:rPr>
        <w:t xml:space="preserve"> appeared to have approved the 9vHPV vaccine for use in individuals older than 26 years (with no upper age limit in the EU, and an upper age limit of 45 years in the US</w:t>
      </w:r>
      <w:r w:rsidR="00837761">
        <w:rPr>
          <w:szCs w:val="22"/>
        </w:rPr>
        <w:t>A</w:t>
      </w:r>
      <w:r w:rsidRPr="005363A3">
        <w:rPr>
          <w:szCs w:val="22"/>
        </w:rPr>
        <w:t>) in June 2015 and October 2018, respectively.</w:t>
      </w:r>
    </w:p>
    <w:p w14:paraId="306B0AC0" w14:textId="21138E24" w:rsidR="00954C3F" w:rsidRDefault="00324B33" w:rsidP="009E5AB7">
      <w:pPr>
        <w:rPr>
          <w:szCs w:val="22"/>
        </w:rPr>
      </w:pPr>
      <w:r w:rsidRPr="00BD5DBD">
        <w:rPr>
          <w:szCs w:val="22"/>
        </w:rPr>
        <w:t>The following table summarises these submissions and provides the indications where approved.</w:t>
      </w:r>
    </w:p>
    <w:p w14:paraId="0640AD5C" w14:textId="7A9544AE" w:rsidR="00954C3F" w:rsidRPr="009E5AB7" w:rsidRDefault="00954C3F" w:rsidP="00954C3F">
      <w:pPr>
        <w:pStyle w:val="TableTitle"/>
      </w:pPr>
      <w:bookmarkStart w:id="19" w:name="_Ref138339708"/>
      <w:r w:rsidRPr="00954C3F">
        <w:t xml:space="preserve">Table </w:t>
      </w:r>
      <w:r w:rsidR="005C10C9">
        <w:fldChar w:fldCharType="begin"/>
      </w:r>
      <w:r w:rsidR="005C10C9">
        <w:instrText xml:space="preserve"> SEQ Table \* ARABIC </w:instrText>
      </w:r>
      <w:r w:rsidR="005C10C9">
        <w:fldChar w:fldCharType="separate"/>
      </w:r>
      <w:r w:rsidR="00193AA8">
        <w:rPr>
          <w:noProof/>
        </w:rPr>
        <w:t>1</w:t>
      </w:r>
      <w:r w:rsidR="005C10C9">
        <w:rPr>
          <w:noProof/>
        </w:rPr>
        <w:fldChar w:fldCharType="end"/>
      </w:r>
      <w:bookmarkEnd w:id="19"/>
      <w:r>
        <w:t>: International regulatory status</w:t>
      </w:r>
    </w:p>
    <w:tbl>
      <w:tblPr>
        <w:tblStyle w:val="TableTGAblue"/>
        <w:tblW w:w="5000" w:type="pct"/>
        <w:tblLook w:val="04A0" w:firstRow="1" w:lastRow="0" w:firstColumn="1" w:lastColumn="0" w:noHBand="0" w:noVBand="1"/>
      </w:tblPr>
      <w:tblGrid>
        <w:gridCol w:w="1837"/>
        <w:gridCol w:w="1845"/>
        <w:gridCol w:w="2125"/>
        <w:gridCol w:w="3253"/>
      </w:tblGrid>
      <w:tr w:rsidR="00954C3F" w:rsidRPr="00D01DDB" w14:paraId="405E5D78" w14:textId="16839333" w:rsidTr="00954C3F">
        <w:trPr>
          <w:cnfStyle w:val="100000000000" w:firstRow="1" w:lastRow="0" w:firstColumn="0" w:lastColumn="0" w:oddVBand="0" w:evenVBand="0" w:oddHBand="0" w:evenHBand="0" w:firstRowFirstColumn="0" w:firstRowLastColumn="0" w:lastRowFirstColumn="0" w:lastRowLastColumn="0"/>
        </w:trPr>
        <w:tc>
          <w:tcPr>
            <w:tcW w:w="1014" w:type="pct"/>
            <w:tcBorders>
              <w:top w:val="single" w:sz="4" w:space="0" w:color="auto"/>
              <w:left w:val="single" w:sz="4" w:space="0" w:color="auto"/>
              <w:bottom w:val="single" w:sz="4" w:space="0" w:color="auto"/>
              <w:right w:val="single" w:sz="4" w:space="0" w:color="auto"/>
            </w:tcBorders>
            <w:shd w:val="clear" w:color="auto" w:fill="DEEAF6"/>
          </w:tcPr>
          <w:p w14:paraId="185B099B" w14:textId="7A4C0E6C" w:rsidR="00324B33" w:rsidRPr="00954C3F" w:rsidRDefault="00324B33" w:rsidP="00324B33">
            <w:pPr>
              <w:rPr>
                <w:color w:val="263287"/>
                <w:szCs w:val="22"/>
              </w:rPr>
            </w:pPr>
            <w:r w:rsidRPr="00954C3F">
              <w:rPr>
                <w:color w:val="263287"/>
                <w:szCs w:val="22"/>
              </w:rPr>
              <w:t>Region</w:t>
            </w:r>
          </w:p>
        </w:tc>
        <w:tc>
          <w:tcPr>
            <w:tcW w:w="1018" w:type="pct"/>
            <w:tcBorders>
              <w:top w:val="single" w:sz="4" w:space="0" w:color="auto"/>
              <w:left w:val="single" w:sz="4" w:space="0" w:color="auto"/>
              <w:bottom w:val="single" w:sz="4" w:space="0" w:color="auto"/>
              <w:right w:val="single" w:sz="4" w:space="0" w:color="auto"/>
            </w:tcBorders>
            <w:shd w:val="clear" w:color="auto" w:fill="DEEAF6"/>
          </w:tcPr>
          <w:p w14:paraId="778C35C7" w14:textId="52D23C85" w:rsidR="00324B33" w:rsidRPr="00954C3F" w:rsidRDefault="00324B33" w:rsidP="00324B33">
            <w:pPr>
              <w:rPr>
                <w:color w:val="263287"/>
                <w:szCs w:val="22"/>
              </w:rPr>
            </w:pPr>
            <w:r w:rsidRPr="00954C3F">
              <w:rPr>
                <w:color w:val="263287"/>
                <w:szCs w:val="22"/>
              </w:rPr>
              <w:t>Submission date</w:t>
            </w:r>
          </w:p>
        </w:tc>
        <w:tc>
          <w:tcPr>
            <w:tcW w:w="1173" w:type="pct"/>
            <w:tcBorders>
              <w:top w:val="single" w:sz="4" w:space="0" w:color="auto"/>
              <w:left w:val="single" w:sz="4" w:space="0" w:color="auto"/>
              <w:bottom w:val="single" w:sz="4" w:space="0" w:color="auto"/>
              <w:right w:val="single" w:sz="4" w:space="0" w:color="auto"/>
            </w:tcBorders>
            <w:shd w:val="clear" w:color="auto" w:fill="DEEAF6"/>
          </w:tcPr>
          <w:p w14:paraId="58F81584" w14:textId="66689ABF" w:rsidR="00324B33" w:rsidRPr="00954C3F" w:rsidRDefault="00324B33" w:rsidP="00324B33">
            <w:pPr>
              <w:rPr>
                <w:color w:val="263287"/>
                <w:szCs w:val="22"/>
              </w:rPr>
            </w:pPr>
            <w:r w:rsidRPr="00954C3F">
              <w:rPr>
                <w:color w:val="263287"/>
                <w:szCs w:val="22"/>
              </w:rPr>
              <w:t>Status</w:t>
            </w:r>
          </w:p>
        </w:tc>
        <w:tc>
          <w:tcPr>
            <w:tcW w:w="1795" w:type="pct"/>
            <w:tcBorders>
              <w:top w:val="single" w:sz="4" w:space="0" w:color="auto"/>
              <w:left w:val="single" w:sz="4" w:space="0" w:color="auto"/>
              <w:bottom w:val="single" w:sz="4" w:space="0" w:color="auto"/>
              <w:right w:val="single" w:sz="4" w:space="0" w:color="auto"/>
            </w:tcBorders>
            <w:shd w:val="clear" w:color="auto" w:fill="DEEAF6"/>
          </w:tcPr>
          <w:p w14:paraId="50B2D435" w14:textId="560588D2" w:rsidR="00324B33" w:rsidRPr="00954C3F" w:rsidRDefault="00324B33" w:rsidP="00324B33">
            <w:pPr>
              <w:rPr>
                <w:color w:val="263287"/>
                <w:szCs w:val="22"/>
              </w:rPr>
            </w:pPr>
            <w:r w:rsidRPr="00954C3F">
              <w:rPr>
                <w:color w:val="263287"/>
                <w:szCs w:val="22"/>
              </w:rPr>
              <w:t>Approved indications</w:t>
            </w:r>
          </w:p>
        </w:tc>
      </w:tr>
      <w:tr w:rsidR="00324B33" w:rsidRPr="00D01DDB" w14:paraId="38D24E86" w14:textId="77777777" w:rsidTr="00954C3F">
        <w:tc>
          <w:tcPr>
            <w:tcW w:w="1014" w:type="pct"/>
            <w:tcBorders>
              <w:top w:val="single" w:sz="4" w:space="0" w:color="auto"/>
            </w:tcBorders>
          </w:tcPr>
          <w:p w14:paraId="4C540DE5" w14:textId="5C3B3EFC" w:rsidR="00324B33" w:rsidRPr="00D01DDB" w:rsidRDefault="005363A3" w:rsidP="00324B33">
            <w:pPr>
              <w:rPr>
                <w:szCs w:val="22"/>
              </w:rPr>
            </w:pPr>
            <w:r>
              <w:rPr>
                <w:szCs w:val="22"/>
              </w:rPr>
              <w:t>United States of America</w:t>
            </w:r>
          </w:p>
        </w:tc>
        <w:tc>
          <w:tcPr>
            <w:tcW w:w="1018" w:type="pct"/>
            <w:tcBorders>
              <w:top w:val="single" w:sz="4" w:space="0" w:color="auto"/>
            </w:tcBorders>
          </w:tcPr>
          <w:p w14:paraId="4FA5DDA9" w14:textId="261D02C0" w:rsidR="00324B33" w:rsidRPr="00D01DDB" w:rsidRDefault="005363A3" w:rsidP="00324B33">
            <w:pPr>
              <w:rPr>
                <w:szCs w:val="22"/>
              </w:rPr>
            </w:pPr>
            <w:r>
              <w:rPr>
                <w:szCs w:val="22"/>
              </w:rPr>
              <w:t>13 December 2019</w:t>
            </w:r>
          </w:p>
        </w:tc>
        <w:tc>
          <w:tcPr>
            <w:tcW w:w="1173" w:type="pct"/>
            <w:tcBorders>
              <w:top w:val="single" w:sz="4" w:space="0" w:color="auto"/>
            </w:tcBorders>
          </w:tcPr>
          <w:p w14:paraId="29358393" w14:textId="3DB6F50C" w:rsidR="00324B33" w:rsidRPr="00D01DDB" w:rsidRDefault="00324B33" w:rsidP="00324B33">
            <w:pPr>
              <w:rPr>
                <w:szCs w:val="22"/>
              </w:rPr>
            </w:pPr>
            <w:r w:rsidRPr="00D01DDB">
              <w:rPr>
                <w:szCs w:val="22"/>
              </w:rPr>
              <w:t xml:space="preserve">Approved on </w:t>
            </w:r>
            <w:r w:rsidR="005363A3">
              <w:rPr>
                <w:szCs w:val="22"/>
              </w:rPr>
              <w:t>12 June 2020</w:t>
            </w:r>
          </w:p>
        </w:tc>
        <w:tc>
          <w:tcPr>
            <w:tcW w:w="1795" w:type="pct"/>
            <w:tcBorders>
              <w:top w:val="single" w:sz="4" w:space="0" w:color="auto"/>
            </w:tcBorders>
          </w:tcPr>
          <w:p w14:paraId="2E0E5496" w14:textId="2C71FDB4" w:rsidR="005363A3" w:rsidRPr="009E5AB7" w:rsidRDefault="00837761" w:rsidP="00837761">
            <w:pPr>
              <w:spacing w:before="80" w:after="40" w:line="264" w:lineRule="auto"/>
              <w:ind w:left="0"/>
              <w:rPr>
                <w:b/>
                <w:bCs/>
                <w:szCs w:val="22"/>
              </w:rPr>
            </w:pPr>
            <w:r>
              <w:rPr>
                <w:b/>
                <w:bCs/>
                <w:szCs w:val="22"/>
              </w:rPr>
              <w:t>G</w:t>
            </w:r>
            <w:r w:rsidR="005363A3" w:rsidRPr="009E5AB7">
              <w:rPr>
                <w:b/>
                <w:bCs/>
                <w:szCs w:val="22"/>
              </w:rPr>
              <w:t>irls and Women</w:t>
            </w:r>
          </w:p>
          <w:p w14:paraId="10EA0702" w14:textId="2B7143A3" w:rsidR="005363A3" w:rsidRPr="005363A3" w:rsidRDefault="005363A3" w:rsidP="00837761">
            <w:pPr>
              <w:spacing w:before="80" w:after="40" w:line="264" w:lineRule="auto"/>
              <w:ind w:left="0"/>
              <w:rPr>
                <w:szCs w:val="22"/>
              </w:rPr>
            </w:pPr>
            <w:r w:rsidRPr="005363A3">
              <w:rPr>
                <w:szCs w:val="22"/>
              </w:rPr>
              <w:t>G</w:t>
            </w:r>
            <w:r w:rsidR="009E5AB7">
              <w:rPr>
                <w:szCs w:val="22"/>
              </w:rPr>
              <w:t xml:space="preserve">ardasil </w:t>
            </w:r>
            <w:r w:rsidRPr="005363A3">
              <w:rPr>
                <w:szCs w:val="22"/>
              </w:rPr>
              <w:t>9 is a vaccine indicated in girls and</w:t>
            </w:r>
            <w:r>
              <w:rPr>
                <w:szCs w:val="22"/>
              </w:rPr>
              <w:t xml:space="preserve"> </w:t>
            </w:r>
            <w:r w:rsidRPr="005363A3">
              <w:rPr>
                <w:szCs w:val="22"/>
              </w:rPr>
              <w:t>women 9 through 45 years of age for the prevention of</w:t>
            </w:r>
            <w:r>
              <w:rPr>
                <w:szCs w:val="22"/>
              </w:rPr>
              <w:t xml:space="preserve"> </w:t>
            </w:r>
            <w:r w:rsidRPr="005363A3">
              <w:rPr>
                <w:szCs w:val="22"/>
              </w:rPr>
              <w:t>the following diseases:</w:t>
            </w:r>
          </w:p>
          <w:p w14:paraId="46B287C8" w14:textId="5634C850" w:rsidR="005363A3" w:rsidRPr="005363A3" w:rsidRDefault="005363A3" w:rsidP="005363A3">
            <w:pPr>
              <w:spacing w:before="80" w:after="40" w:line="264" w:lineRule="auto"/>
              <w:ind w:left="113"/>
              <w:rPr>
                <w:szCs w:val="22"/>
              </w:rPr>
            </w:pPr>
            <w:r w:rsidRPr="005363A3">
              <w:rPr>
                <w:szCs w:val="22"/>
              </w:rPr>
              <w:lastRenderedPageBreak/>
              <w:t>• Cervical, vulvar, vaginal, anal, oropharyngeal and</w:t>
            </w:r>
            <w:r>
              <w:rPr>
                <w:szCs w:val="22"/>
              </w:rPr>
              <w:t xml:space="preserve"> </w:t>
            </w:r>
            <w:r w:rsidRPr="005363A3">
              <w:rPr>
                <w:szCs w:val="22"/>
              </w:rPr>
              <w:t>other head and neck cancers caused by Human</w:t>
            </w:r>
            <w:r>
              <w:rPr>
                <w:szCs w:val="22"/>
              </w:rPr>
              <w:t xml:space="preserve"> </w:t>
            </w:r>
            <w:r w:rsidRPr="005363A3">
              <w:rPr>
                <w:szCs w:val="22"/>
              </w:rPr>
              <w:t>Papillomavirus (HPV) types 16, 18, 31, 33, 45,</w:t>
            </w:r>
            <w:r>
              <w:rPr>
                <w:szCs w:val="22"/>
              </w:rPr>
              <w:t xml:space="preserve"> </w:t>
            </w:r>
            <w:r w:rsidRPr="005363A3">
              <w:rPr>
                <w:szCs w:val="22"/>
              </w:rPr>
              <w:t>52, and 58</w:t>
            </w:r>
          </w:p>
          <w:p w14:paraId="23DD139B" w14:textId="77777777" w:rsidR="009E5AB7" w:rsidRDefault="005363A3" w:rsidP="005363A3">
            <w:pPr>
              <w:rPr>
                <w:szCs w:val="22"/>
              </w:rPr>
            </w:pPr>
            <w:r w:rsidRPr="005363A3">
              <w:rPr>
                <w:szCs w:val="22"/>
              </w:rPr>
              <w:t>• Genital warts (Condyloma acuminata) caused by</w:t>
            </w:r>
            <w:r>
              <w:rPr>
                <w:szCs w:val="22"/>
              </w:rPr>
              <w:t xml:space="preserve"> </w:t>
            </w:r>
            <w:r w:rsidRPr="005363A3">
              <w:rPr>
                <w:szCs w:val="22"/>
              </w:rPr>
              <w:t>HPV types 6 and 11</w:t>
            </w:r>
            <w:r>
              <w:rPr>
                <w:szCs w:val="22"/>
              </w:rPr>
              <w:t xml:space="preserve"> </w:t>
            </w:r>
          </w:p>
          <w:p w14:paraId="0EEE9E19" w14:textId="25AAC890" w:rsidR="005363A3" w:rsidRPr="005363A3" w:rsidRDefault="005363A3" w:rsidP="00837761">
            <w:pPr>
              <w:spacing w:before="80" w:after="40" w:line="264" w:lineRule="auto"/>
              <w:ind w:left="0"/>
              <w:rPr>
                <w:szCs w:val="22"/>
              </w:rPr>
            </w:pPr>
            <w:r w:rsidRPr="005363A3">
              <w:rPr>
                <w:szCs w:val="22"/>
              </w:rPr>
              <w:t>And the following precancerous or dysplastic lesions</w:t>
            </w:r>
            <w:r>
              <w:rPr>
                <w:szCs w:val="22"/>
              </w:rPr>
              <w:t xml:space="preserve"> </w:t>
            </w:r>
            <w:r w:rsidRPr="005363A3">
              <w:rPr>
                <w:szCs w:val="22"/>
              </w:rPr>
              <w:t>caused by HPV types 6, 11, 16, 18, 31, 33, 45, 52, and</w:t>
            </w:r>
            <w:r>
              <w:rPr>
                <w:szCs w:val="22"/>
              </w:rPr>
              <w:t xml:space="preserve"> </w:t>
            </w:r>
            <w:r w:rsidRPr="005363A3">
              <w:rPr>
                <w:szCs w:val="22"/>
              </w:rPr>
              <w:t>58:</w:t>
            </w:r>
          </w:p>
          <w:p w14:paraId="2635E110" w14:textId="460CC009" w:rsidR="005363A3" w:rsidRPr="005363A3" w:rsidRDefault="005363A3" w:rsidP="009E5AB7">
            <w:pPr>
              <w:spacing w:before="80" w:after="40" w:line="264" w:lineRule="auto"/>
              <w:ind w:left="113"/>
              <w:rPr>
                <w:szCs w:val="22"/>
              </w:rPr>
            </w:pPr>
            <w:r w:rsidRPr="005363A3">
              <w:rPr>
                <w:szCs w:val="22"/>
              </w:rPr>
              <w:t>• Cervical intraepithelial neoplasia (CIN) grade 2/3</w:t>
            </w:r>
            <w:r w:rsidR="009E5AB7">
              <w:rPr>
                <w:szCs w:val="22"/>
              </w:rPr>
              <w:t xml:space="preserve"> </w:t>
            </w:r>
            <w:r w:rsidRPr="005363A3">
              <w:rPr>
                <w:szCs w:val="22"/>
              </w:rPr>
              <w:t>and cervical adenocarcinoma in situ (AIS)</w:t>
            </w:r>
          </w:p>
          <w:p w14:paraId="7C07F634" w14:textId="77777777" w:rsidR="005363A3" w:rsidRPr="005363A3" w:rsidRDefault="005363A3" w:rsidP="005363A3">
            <w:pPr>
              <w:spacing w:before="80" w:after="40" w:line="264" w:lineRule="auto"/>
              <w:rPr>
                <w:szCs w:val="22"/>
              </w:rPr>
            </w:pPr>
            <w:r w:rsidRPr="005363A3">
              <w:rPr>
                <w:szCs w:val="22"/>
              </w:rPr>
              <w:t>• Cervical intraepithelial neoplasia (CIN) grade 1</w:t>
            </w:r>
          </w:p>
          <w:p w14:paraId="5592A466" w14:textId="35D03C5C" w:rsidR="005363A3" w:rsidRPr="005363A3" w:rsidRDefault="005363A3" w:rsidP="009E5AB7">
            <w:pPr>
              <w:spacing w:before="80" w:after="40" w:line="264" w:lineRule="auto"/>
              <w:ind w:left="113"/>
              <w:rPr>
                <w:szCs w:val="22"/>
              </w:rPr>
            </w:pPr>
            <w:r w:rsidRPr="005363A3">
              <w:rPr>
                <w:szCs w:val="22"/>
              </w:rPr>
              <w:t>• Vulvar intraepithelial neoplasia (VIN) grade 2</w:t>
            </w:r>
            <w:r w:rsidR="009E5AB7">
              <w:rPr>
                <w:szCs w:val="22"/>
              </w:rPr>
              <w:t xml:space="preserve"> </w:t>
            </w:r>
            <w:r w:rsidRPr="005363A3">
              <w:rPr>
                <w:szCs w:val="22"/>
              </w:rPr>
              <w:t>and grade 3</w:t>
            </w:r>
          </w:p>
          <w:p w14:paraId="6FD86A4D" w14:textId="2887B19A" w:rsidR="005363A3" w:rsidRPr="005363A3" w:rsidRDefault="005363A3" w:rsidP="009E5AB7">
            <w:pPr>
              <w:spacing w:before="80" w:after="40" w:line="264" w:lineRule="auto"/>
              <w:ind w:left="113"/>
              <w:rPr>
                <w:szCs w:val="22"/>
              </w:rPr>
            </w:pPr>
            <w:r w:rsidRPr="005363A3">
              <w:rPr>
                <w:szCs w:val="22"/>
              </w:rPr>
              <w:t>• Vaginal intraepithelial neoplasia (VaIN) grade 2</w:t>
            </w:r>
            <w:r w:rsidR="009E5AB7">
              <w:rPr>
                <w:szCs w:val="22"/>
              </w:rPr>
              <w:t xml:space="preserve"> </w:t>
            </w:r>
            <w:r w:rsidRPr="005363A3">
              <w:rPr>
                <w:szCs w:val="22"/>
              </w:rPr>
              <w:t>and grade 3</w:t>
            </w:r>
          </w:p>
          <w:p w14:paraId="3580082B" w14:textId="7345EC3C" w:rsidR="005363A3" w:rsidRDefault="005363A3" w:rsidP="009E5AB7">
            <w:pPr>
              <w:rPr>
                <w:szCs w:val="22"/>
              </w:rPr>
            </w:pPr>
            <w:r w:rsidRPr="005363A3">
              <w:rPr>
                <w:szCs w:val="22"/>
              </w:rPr>
              <w:t>• Anal intraepithelial neoplasia (AIN) grades 1, 2</w:t>
            </w:r>
            <w:r w:rsidR="009E5AB7">
              <w:rPr>
                <w:szCs w:val="22"/>
              </w:rPr>
              <w:t xml:space="preserve">, </w:t>
            </w:r>
            <w:r w:rsidRPr="005363A3">
              <w:rPr>
                <w:szCs w:val="22"/>
              </w:rPr>
              <w:t>and 3</w:t>
            </w:r>
          </w:p>
          <w:p w14:paraId="5D2029E3" w14:textId="77777777" w:rsidR="009E5AB7" w:rsidRPr="009E5AB7" w:rsidRDefault="009E5AB7" w:rsidP="00837761">
            <w:pPr>
              <w:spacing w:before="80" w:after="40" w:line="264" w:lineRule="auto"/>
              <w:ind w:left="0"/>
              <w:rPr>
                <w:b/>
                <w:bCs/>
                <w:szCs w:val="22"/>
              </w:rPr>
            </w:pPr>
            <w:r w:rsidRPr="009E5AB7">
              <w:rPr>
                <w:b/>
                <w:bCs/>
                <w:szCs w:val="22"/>
              </w:rPr>
              <w:t>Boys and Men</w:t>
            </w:r>
          </w:p>
          <w:p w14:paraId="291879E5" w14:textId="34CF5BB6" w:rsidR="009E5AB7" w:rsidRPr="009E5AB7" w:rsidRDefault="009E5AB7" w:rsidP="00837761">
            <w:pPr>
              <w:spacing w:before="80" w:after="40" w:line="264" w:lineRule="auto"/>
              <w:ind w:left="0"/>
              <w:rPr>
                <w:szCs w:val="22"/>
              </w:rPr>
            </w:pPr>
            <w:r w:rsidRPr="009E5AB7">
              <w:rPr>
                <w:szCs w:val="22"/>
              </w:rPr>
              <w:t>G</w:t>
            </w:r>
            <w:r>
              <w:rPr>
                <w:szCs w:val="22"/>
              </w:rPr>
              <w:t>ardasil</w:t>
            </w:r>
            <w:r w:rsidRPr="009E5AB7">
              <w:rPr>
                <w:szCs w:val="22"/>
              </w:rPr>
              <w:t xml:space="preserve"> 9 is indicated in boys and men 9 through</w:t>
            </w:r>
            <w:r>
              <w:rPr>
                <w:szCs w:val="22"/>
              </w:rPr>
              <w:t xml:space="preserve"> </w:t>
            </w:r>
            <w:r w:rsidRPr="009E5AB7">
              <w:rPr>
                <w:szCs w:val="22"/>
              </w:rPr>
              <w:t>45 years of age for the prevention of the following</w:t>
            </w:r>
            <w:r>
              <w:rPr>
                <w:szCs w:val="22"/>
              </w:rPr>
              <w:t xml:space="preserve"> </w:t>
            </w:r>
            <w:r w:rsidRPr="009E5AB7">
              <w:rPr>
                <w:szCs w:val="22"/>
              </w:rPr>
              <w:t>diseases:</w:t>
            </w:r>
          </w:p>
          <w:p w14:paraId="4BF01FEB" w14:textId="2F7FFA21" w:rsidR="009E5AB7" w:rsidRPr="009E5AB7" w:rsidRDefault="009E5AB7" w:rsidP="009E5AB7">
            <w:pPr>
              <w:spacing w:before="80" w:after="40" w:line="264" w:lineRule="auto"/>
              <w:ind w:left="113"/>
              <w:rPr>
                <w:szCs w:val="22"/>
              </w:rPr>
            </w:pPr>
            <w:r w:rsidRPr="009E5AB7">
              <w:rPr>
                <w:szCs w:val="22"/>
              </w:rPr>
              <w:t>• Anal, oropharyngeal and other head and neck</w:t>
            </w:r>
            <w:r>
              <w:rPr>
                <w:szCs w:val="22"/>
              </w:rPr>
              <w:t xml:space="preserve"> </w:t>
            </w:r>
            <w:r w:rsidRPr="009E5AB7">
              <w:rPr>
                <w:szCs w:val="22"/>
              </w:rPr>
              <w:t>cancers caused by HPV types 16, 18, 31, 33, 45,</w:t>
            </w:r>
            <w:r>
              <w:rPr>
                <w:szCs w:val="22"/>
              </w:rPr>
              <w:t xml:space="preserve"> </w:t>
            </w:r>
            <w:r w:rsidRPr="009E5AB7">
              <w:rPr>
                <w:szCs w:val="22"/>
              </w:rPr>
              <w:t>52, and 58</w:t>
            </w:r>
          </w:p>
          <w:p w14:paraId="277376A9" w14:textId="5F4BDCC9" w:rsidR="009E5AB7" w:rsidRPr="009E5AB7" w:rsidRDefault="009E5AB7" w:rsidP="009E5AB7">
            <w:pPr>
              <w:spacing w:before="80" w:after="40" w:line="264" w:lineRule="auto"/>
              <w:ind w:left="113"/>
              <w:rPr>
                <w:szCs w:val="22"/>
              </w:rPr>
            </w:pPr>
            <w:r w:rsidRPr="009E5AB7">
              <w:rPr>
                <w:szCs w:val="22"/>
              </w:rPr>
              <w:t>• Genital warts (Condyloma acuminata) caused by</w:t>
            </w:r>
            <w:r>
              <w:rPr>
                <w:szCs w:val="22"/>
              </w:rPr>
              <w:t xml:space="preserve"> </w:t>
            </w:r>
            <w:r w:rsidRPr="009E5AB7">
              <w:rPr>
                <w:szCs w:val="22"/>
              </w:rPr>
              <w:t>HPV types 6 and 11</w:t>
            </w:r>
          </w:p>
          <w:p w14:paraId="5FBEE423" w14:textId="537E731E" w:rsidR="009E5AB7" w:rsidRPr="009E5AB7" w:rsidRDefault="009E5AB7" w:rsidP="009E5AB7">
            <w:pPr>
              <w:spacing w:before="80" w:after="40" w:line="264" w:lineRule="auto"/>
              <w:ind w:left="113"/>
              <w:rPr>
                <w:szCs w:val="22"/>
              </w:rPr>
            </w:pPr>
            <w:r w:rsidRPr="009E5AB7">
              <w:rPr>
                <w:szCs w:val="22"/>
              </w:rPr>
              <w:t>And the following precancerous or dysplastic lesions</w:t>
            </w:r>
            <w:r>
              <w:rPr>
                <w:szCs w:val="22"/>
              </w:rPr>
              <w:t xml:space="preserve"> </w:t>
            </w:r>
            <w:r w:rsidRPr="009E5AB7">
              <w:rPr>
                <w:szCs w:val="22"/>
              </w:rPr>
              <w:t xml:space="preserve">caused by HPV types </w:t>
            </w:r>
            <w:r w:rsidRPr="009E5AB7">
              <w:rPr>
                <w:szCs w:val="22"/>
              </w:rPr>
              <w:lastRenderedPageBreak/>
              <w:t>6, 11, 16, 18, 31, 33, 45, 52, and</w:t>
            </w:r>
          </w:p>
          <w:p w14:paraId="3943025C" w14:textId="77777777" w:rsidR="009E5AB7" w:rsidRPr="009E5AB7" w:rsidRDefault="009E5AB7" w:rsidP="009E5AB7">
            <w:pPr>
              <w:spacing w:before="80" w:after="40" w:line="264" w:lineRule="auto"/>
              <w:ind w:left="113"/>
              <w:rPr>
                <w:szCs w:val="22"/>
              </w:rPr>
            </w:pPr>
            <w:r w:rsidRPr="009E5AB7">
              <w:rPr>
                <w:szCs w:val="22"/>
              </w:rPr>
              <w:t>58:</w:t>
            </w:r>
          </w:p>
          <w:p w14:paraId="05055674" w14:textId="75F3D121" w:rsidR="009E5AB7" w:rsidRPr="00D01DDB" w:rsidRDefault="009E5AB7" w:rsidP="009E5AB7">
            <w:pPr>
              <w:ind w:left="113"/>
              <w:rPr>
                <w:szCs w:val="22"/>
              </w:rPr>
            </w:pPr>
            <w:r w:rsidRPr="009E5AB7">
              <w:rPr>
                <w:szCs w:val="22"/>
              </w:rPr>
              <w:t>• Anal intraepithelial neoplasia (AIN) grades 1, 2</w:t>
            </w:r>
            <w:r>
              <w:rPr>
                <w:szCs w:val="22"/>
              </w:rPr>
              <w:t xml:space="preserve">, </w:t>
            </w:r>
            <w:r w:rsidRPr="009E5AB7">
              <w:rPr>
                <w:szCs w:val="22"/>
              </w:rPr>
              <w:t>and 3</w:t>
            </w:r>
          </w:p>
        </w:tc>
      </w:tr>
      <w:tr w:rsidR="00324B33" w:rsidRPr="00D01DDB" w14:paraId="18B6E2AA" w14:textId="7783D66F" w:rsidTr="005D2231">
        <w:tc>
          <w:tcPr>
            <w:tcW w:w="1014" w:type="pct"/>
          </w:tcPr>
          <w:p w14:paraId="7F348960" w14:textId="65F7C775" w:rsidR="00324B33" w:rsidRPr="00D01DDB" w:rsidRDefault="009E5AB7" w:rsidP="00324B33">
            <w:pPr>
              <w:rPr>
                <w:szCs w:val="22"/>
              </w:rPr>
            </w:pPr>
            <w:r>
              <w:rPr>
                <w:szCs w:val="22"/>
              </w:rPr>
              <w:lastRenderedPageBreak/>
              <w:t>Canada</w:t>
            </w:r>
          </w:p>
        </w:tc>
        <w:tc>
          <w:tcPr>
            <w:tcW w:w="1018" w:type="pct"/>
          </w:tcPr>
          <w:p w14:paraId="1D871E57" w14:textId="35F45193" w:rsidR="00324B33" w:rsidRPr="00D01DDB" w:rsidRDefault="009E5AB7" w:rsidP="00324B33">
            <w:pPr>
              <w:rPr>
                <w:szCs w:val="22"/>
              </w:rPr>
            </w:pPr>
            <w:r>
              <w:rPr>
                <w:szCs w:val="22"/>
              </w:rPr>
              <w:t>7 April 2021</w:t>
            </w:r>
          </w:p>
        </w:tc>
        <w:tc>
          <w:tcPr>
            <w:tcW w:w="1173" w:type="pct"/>
          </w:tcPr>
          <w:p w14:paraId="63A3A9D3" w14:textId="2C359E78" w:rsidR="00324B33" w:rsidRPr="00D01DDB" w:rsidRDefault="009E5AB7" w:rsidP="00324B33">
            <w:pPr>
              <w:rPr>
                <w:szCs w:val="22"/>
              </w:rPr>
            </w:pPr>
            <w:r>
              <w:rPr>
                <w:szCs w:val="22"/>
              </w:rPr>
              <w:t>Approved 6 April 2022</w:t>
            </w:r>
          </w:p>
        </w:tc>
        <w:tc>
          <w:tcPr>
            <w:tcW w:w="1795" w:type="pct"/>
          </w:tcPr>
          <w:p w14:paraId="4F6AF4A2" w14:textId="733DD1BC" w:rsidR="009E5AB7" w:rsidRPr="009E5AB7" w:rsidRDefault="009E5AB7" w:rsidP="00837761">
            <w:pPr>
              <w:spacing w:before="80" w:after="40" w:line="264" w:lineRule="auto"/>
              <w:ind w:left="0"/>
              <w:rPr>
                <w:szCs w:val="22"/>
              </w:rPr>
            </w:pPr>
            <w:r w:rsidRPr="009E5AB7">
              <w:rPr>
                <w:szCs w:val="22"/>
              </w:rPr>
              <w:t>G</w:t>
            </w:r>
            <w:r>
              <w:rPr>
                <w:szCs w:val="22"/>
              </w:rPr>
              <w:t xml:space="preserve">ardasil </w:t>
            </w:r>
            <w:r w:rsidRPr="009E5AB7">
              <w:rPr>
                <w:szCs w:val="22"/>
              </w:rPr>
              <w:t>9, is a vaccine indicated for:</w:t>
            </w:r>
          </w:p>
          <w:p w14:paraId="5F671B1C" w14:textId="77777777" w:rsidR="00324B33" w:rsidRDefault="009E5AB7" w:rsidP="009E5AB7">
            <w:pPr>
              <w:rPr>
                <w:szCs w:val="22"/>
              </w:rPr>
            </w:pPr>
            <w:r w:rsidRPr="009E5AB7">
              <w:rPr>
                <w:szCs w:val="22"/>
              </w:rPr>
              <w:t>• individuals 9 through 45 years of age for the</w:t>
            </w:r>
            <w:r>
              <w:rPr>
                <w:szCs w:val="22"/>
              </w:rPr>
              <w:t xml:space="preserve"> </w:t>
            </w:r>
            <w:r w:rsidRPr="009E5AB7">
              <w:rPr>
                <w:szCs w:val="22"/>
              </w:rPr>
              <w:t>prevention of infection caused by the Human</w:t>
            </w:r>
            <w:r>
              <w:rPr>
                <w:szCs w:val="22"/>
              </w:rPr>
              <w:t xml:space="preserve"> </w:t>
            </w:r>
            <w:r w:rsidRPr="009E5AB7">
              <w:rPr>
                <w:szCs w:val="22"/>
              </w:rPr>
              <w:t>Papillomavirus (HPV) types 6, 11, 16, 18, 31,</w:t>
            </w:r>
            <w:r>
              <w:rPr>
                <w:szCs w:val="22"/>
              </w:rPr>
              <w:t xml:space="preserve"> </w:t>
            </w:r>
            <w:r w:rsidRPr="009E5AB7">
              <w:rPr>
                <w:szCs w:val="22"/>
              </w:rPr>
              <w:t>33, 45, 52 and 58 and the following diseases</w:t>
            </w:r>
            <w:r>
              <w:rPr>
                <w:szCs w:val="22"/>
              </w:rPr>
              <w:t xml:space="preserve"> </w:t>
            </w:r>
            <w:r w:rsidRPr="009E5AB7">
              <w:rPr>
                <w:szCs w:val="22"/>
              </w:rPr>
              <w:t>associated with the HPV types included in the</w:t>
            </w:r>
            <w:r>
              <w:rPr>
                <w:szCs w:val="22"/>
              </w:rPr>
              <w:t xml:space="preserve"> </w:t>
            </w:r>
            <w:r w:rsidRPr="009E5AB7">
              <w:rPr>
                <w:szCs w:val="22"/>
              </w:rPr>
              <w:t>vaccine:</w:t>
            </w:r>
            <w:r>
              <w:rPr>
                <w:szCs w:val="22"/>
              </w:rPr>
              <w:t xml:space="preserve"> </w:t>
            </w:r>
            <w:r w:rsidRPr="009E5AB7">
              <w:rPr>
                <w:szCs w:val="22"/>
              </w:rPr>
              <w:t>Oropharyngeal and other head and neck</w:t>
            </w:r>
            <w:r>
              <w:rPr>
                <w:szCs w:val="22"/>
              </w:rPr>
              <w:t xml:space="preserve"> </w:t>
            </w:r>
            <w:r w:rsidRPr="009E5AB7">
              <w:rPr>
                <w:szCs w:val="22"/>
              </w:rPr>
              <w:t>cancers caused by HPV types 16, 18,</w:t>
            </w:r>
            <w:r>
              <w:rPr>
                <w:szCs w:val="22"/>
              </w:rPr>
              <w:t xml:space="preserve"> </w:t>
            </w:r>
            <w:r w:rsidRPr="009E5AB7">
              <w:rPr>
                <w:szCs w:val="22"/>
              </w:rPr>
              <w:t>31, 33, 45, 52, and 58</w:t>
            </w:r>
          </w:p>
          <w:p w14:paraId="3732C74E" w14:textId="77777777" w:rsidR="009E5AB7" w:rsidRDefault="009E5AB7" w:rsidP="009E5AB7">
            <w:pPr>
              <w:rPr>
                <w:szCs w:val="22"/>
              </w:rPr>
            </w:pPr>
            <w:r w:rsidRPr="009E5AB7">
              <w:rPr>
                <w:szCs w:val="22"/>
              </w:rPr>
              <w:t>has been issued market authorization with conditions,</w:t>
            </w:r>
            <w:r>
              <w:rPr>
                <w:szCs w:val="22"/>
              </w:rPr>
              <w:t xml:space="preserve"> </w:t>
            </w:r>
            <w:r w:rsidRPr="009E5AB7">
              <w:rPr>
                <w:szCs w:val="22"/>
              </w:rPr>
              <w:t>pending the results of trials to verify its clinical</w:t>
            </w:r>
            <w:r>
              <w:rPr>
                <w:szCs w:val="22"/>
              </w:rPr>
              <w:t xml:space="preserve"> </w:t>
            </w:r>
            <w:r w:rsidRPr="009E5AB7">
              <w:rPr>
                <w:szCs w:val="22"/>
              </w:rPr>
              <w:t>benefit. Patients should be advised of the nature of the</w:t>
            </w:r>
            <w:r>
              <w:rPr>
                <w:szCs w:val="22"/>
              </w:rPr>
              <w:t xml:space="preserve"> </w:t>
            </w:r>
            <w:r w:rsidRPr="009E5AB7">
              <w:rPr>
                <w:szCs w:val="22"/>
              </w:rPr>
              <w:t>authorization. For further information for</w:t>
            </w:r>
            <w:r>
              <w:rPr>
                <w:szCs w:val="22"/>
              </w:rPr>
              <w:t xml:space="preserve"> </w:t>
            </w:r>
            <w:r w:rsidRPr="009E5AB7">
              <w:rPr>
                <w:szCs w:val="22"/>
              </w:rPr>
              <w:t>G</w:t>
            </w:r>
            <w:r>
              <w:rPr>
                <w:szCs w:val="22"/>
              </w:rPr>
              <w:t xml:space="preserve">ardasil </w:t>
            </w:r>
            <w:r w:rsidRPr="009E5AB7">
              <w:rPr>
                <w:szCs w:val="22"/>
              </w:rPr>
              <w:t>9 please refer to Health Canada’s</w:t>
            </w:r>
            <w:r>
              <w:rPr>
                <w:szCs w:val="22"/>
              </w:rPr>
              <w:t xml:space="preserve"> </w:t>
            </w:r>
            <w:r w:rsidRPr="009E5AB7">
              <w:rPr>
                <w:szCs w:val="22"/>
              </w:rPr>
              <w:t>Notice of Compliance with conditions - drug products</w:t>
            </w:r>
            <w:r>
              <w:rPr>
                <w:szCs w:val="22"/>
              </w:rPr>
              <w:t xml:space="preserve"> </w:t>
            </w:r>
            <w:r w:rsidRPr="009E5AB7">
              <w:rPr>
                <w:szCs w:val="22"/>
              </w:rPr>
              <w:t>web site</w:t>
            </w:r>
          </w:p>
          <w:p w14:paraId="3211E3C7" w14:textId="44E47303" w:rsidR="009E5AB7" w:rsidRPr="009E5AB7" w:rsidRDefault="009E5AB7" w:rsidP="00837761">
            <w:pPr>
              <w:spacing w:before="80" w:after="40" w:line="264" w:lineRule="auto"/>
              <w:ind w:left="0"/>
              <w:rPr>
                <w:szCs w:val="22"/>
              </w:rPr>
            </w:pPr>
            <w:r w:rsidRPr="009E5AB7">
              <w:rPr>
                <w:szCs w:val="22"/>
              </w:rPr>
              <w:t>G</w:t>
            </w:r>
            <w:r>
              <w:rPr>
                <w:szCs w:val="22"/>
              </w:rPr>
              <w:t xml:space="preserve">ardasil </w:t>
            </w:r>
            <w:r w:rsidRPr="009E5AB7">
              <w:rPr>
                <w:szCs w:val="22"/>
              </w:rPr>
              <w:t>9, is a vaccine indicated for:</w:t>
            </w:r>
          </w:p>
          <w:p w14:paraId="6B83F2C0" w14:textId="77777777" w:rsidR="009E5AB7" w:rsidRDefault="009E5AB7" w:rsidP="009E5AB7">
            <w:pPr>
              <w:rPr>
                <w:szCs w:val="22"/>
              </w:rPr>
            </w:pPr>
            <w:r w:rsidRPr="009E5AB7">
              <w:rPr>
                <w:szCs w:val="22"/>
              </w:rPr>
              <w:t>• individuals 9 through 45 years of age for the</w:t>
            </w:r>
            <w:r>
              <w:rPr>
                <w:szCs w:val="22"/>
              </w:rPr>
              <w:t xml:space="preserve"> </w:t>
            </w:r>
            <w:r w:rsidRPr="009E5AB7">
              <w:rPr>
                <w:szCs w:val="22"/>
              </w:rPr>
              <w:t>prevention of infection caused by the Human</w:t>
            </w:r>
            <w:r>
              <w:rPr>
                <w:szCs w:val="22"/>
              </w:rPr>
              <w:t xml:space="preserve"> </w:t>
            </w:r>
            <w:r w:rsidRPr="009E5AB7">
              <w:rPr>
                <w:szCs w:val="22"/>
              </w:rPr>
              <w:t>Papillomavirus (HPV) types 6, 11, 16, 18, 31,</w:t>
            </w:r>
            <w:r>
              <w:rPr>
                <w:szCs w:val="22"/>
              </w:rPr>
              <w:t xml:space="preserve"> </w:t>
            </w:r>
            <w:r w:rsidRPr="009E5AB7">
              <w:rPr>
                <w:szCs w:val="22"/>
              </w:rPr>
              <w:t>33, 45, 52 and 58 and the following diseases</w:t>
            </w:r>
            <w:r>
              <w:rPr>
                <w:szCs w:val="22"/>
              </w:rPr>
              <w:t xml:space="preserve"> </w:t>
            </w:r>
            <w:r w:rsidRPr="009E5AB7">
              <w:rPr>
                <w:szCs w:val="22"/>
              </w:rPr>
              <w:t>associated with the HPV types included in the</w:t>
            </w:r>
            <w:r>
              <w:rPr>
                <w:szCs w:val="22"/>
              </w:rPr>
              <w:t xml:space="preserve"> </w:t>
            </w:r>
            <w:r w:rsidRPr="009E5AB7">
              <w:rPr>
                <w:szCs w:val="22"/>
              </w:rPr>
              <w:t>vaccine:</w:t>
            </w:r>
          </w:p>
          <w:p w14:paraId="1F9385B7" w14:textId="1922EA51" w:rsidR="009E5AB7" w:rsidRPr="009E5AB7" w:rsidRDefault="009E5AB7" w:rsidP="009E5AB7">
            <w:pPr>
              <w:spacing w:before="80" w:after="40" w:line="264" w:lineRule="auto"/>
              <w:ind w:left="113"/>
              <w:rPr>
                <w:szCs w:val="22"/>
              </w:rPr>
            </w:pPr>
            <w:r w:rsidRPr="009E5AB7">
              <w:rPr>
                <w:szCs w:val="22"/>
              </w:rPr>
              <w:t>o Cervical, vulvar, vaginal, and anal</w:t>
            </w:r>
            <w:r>
              <w:rPr>
                <w:szCs w:val="22"/>
              </w:rPr>
              <w:t xml:space="preserve"> </w:t>
            </w:r>
            <w:r w:rsidRPr="009E5AB7">
              <w:rPr>
                <w:szCs w:val="22"/>
              </w:rPr>
              <w:t>cancer caused by HPV types 16, 18, 31,</w:t>
            </w:r>
            <w:r>
              <w:rPr>
                <w:szCs w:val="22"/>
              </w:rPr>
              <w:t xml:space="preserve"> </w:t>
            </w:r>
            <w:r w:rsidRPr="009E5AB7">
              <w:rPr>
                <w:szCs w:val="22"/>
              </w:rPr>
              <w:t>33, 45, 52, and 58</w:t>
            </w:r>
          </w:p>
          <w:p w14:paraId="5E406335" w14:textId="5E408441" w:rsidR="009E5AB7" w:rsidRPr="009E5AB7" w:rsidRDefault="009E5AB7" w:rsidP="009E5AB7">
            <w:pPr>
              <w:spacing w:before="80" w:after="40" w:line="264" w:lineRule="auto"/>
              <w:ind w:left="113"/>
              <w:rPr>
                <w:szCs w:val="22"/>
              </w:rPr>
            </w:pPr>
            <w:r w:rsidRPr="009E5AB7">
              <w:rPr>
                <w:szCs w:val="22"/>
              </w:rPr>
              <w:lastRenderedPageBreak/>
              <w:t>o Genital warts (condyloma acuminata)</w:t>
            </w:r>
            <w:r>
              <w:rPr>
                <w:szCs w:val="22"/>
              </w:rPr>
              <w:t xml:space="preserve"> </w:t>
            </w:r>
            <w:r w:rsidRPr="009E5AB7">
              <w:rPr>
                <w:szCs w:val="22"/>
              </w:rPr>
              <w:t>caused by HPV types 6 and 11</w:t>
            </w:r>
          </w:p>
          <w:p w14:paraId="259BC0F9" w14:textId="3F58C425" w:rsidR="009E5AB7" w:rsidRPr="009E5AB7" w:rsidRDefault="009E5AB7" w:rsidP="00954C3F">
            <w:pPr>
              <w:spacing w:before="80" w:after="40" w:line="264" w:lineRule="auto"/>
              <w:ind w:left="113"/>
              <w:rPr>
                <w:szCs w:val="22"/>
              </w:rPr>
            </w:pPr>
            <w:r w:rsidRPr="009E5AB7">
              <w:rPr>
                <w:szCs w:val="22"/>
              </w:rPr>
              <w:t>And the following precancerous or dysplastic lesions</w:t>
            </w:r>
            <w:r>
              <w:rPr>
                <w:szCs w:val="22"/>
              </w:rPr>
              <w:t xml:space="preserve"> </w:t>
            </w:r>
            <w:r w:rsidRPr="009E5AB7">
              <w:rPr>
                <w:szCs w:val="22"/>
              </w:rPr>
              <w:t>caused by HPV types 6, 11, 16, 18, 31, 33, 45, 52, and</w:t>
            </w:r>
            <w:r w:rsidR="00954C3F">
              <w:rPr>
                <w:szCs w:val="22"/>
              </w:rPr>
              <w:t xml:space="preserve"> </w:t>
            </w:r>
            <w:r w:rsidRPr="009E5AB7">
              <w:rPr>
                <w:szCs w:val="22"/>
              </w:rPr>
              <w:t>58:</w:t>
            </w:r>
          </w:p>
          <w:p w14:paraId="6346D65D" w14:textId="77777777" w:rsidR="009E5AB7" w:rsidRPr="009E5AB7" w:rsidRDefault="009E5AB7" w:rsidP="009E5AB7">
            <w:pPr>
              <w:spacing w:before="80" w:after="40" w:line="264" w:lineRule="auto"/>
              <w:ind w:left="113"/>
              <w:rPr>
                <w:szCs w:val="22"/>
              </w:rPr>
            </w:pPr>
            <w:r w:rsidRPr="009E5AB7">
              <w:rPr>
                <w:szCs w:val="22"/>
              </w:rPr>
              <w:t xml:space="preserve">o Cervical adenocarcinoma </w:t>
            </w:r>
            <w:r w:rsidRPr="00AF3535">
              <w:rPr>
                <w:i/>
                <w:iCs/>
                <w:szCs w:val="22"/>
              </w:rPr>
              <w:t>in situ</w:t>
            </w:r>
            <w:r w:rsidRPr="009E5AB7">
              <w:rPr>
                <w:szCs w:val="22"/>
              </w:rPr>
              <w:t xml:space="preserve"> (AIS)</w:t>
            </w:r>
          </w:p>
          <w:p w14:paraId="590697A1" w14:textId="08A5FC7C" w:rsidR="009E5AB7" w:rsidRPr="009E5AB7" w:rsidRDefault="009E5AB7" w:rsidP="009E5AB7">
            <w:pPr>
              <w:spacing w:before="80" w:after="40" w:line="264" w:lineRule="auto"/>
              <w:ind w:left="113"/>
              <w:rPr>
                <w:szCs w:val="22"/>
              </w:rPr>
            </w:pPr>
            <w:r w:rsidRPr="009E5AB7">
              <w:rPr>
                <w:szCs w:val="22"/>
              </w:rPr>
              <w:t>o Cervical intraepithelial neoplasia (CIN)</w:t>
            </w:r>
            <w:r>
              <w:rPr>
                <w:szCs w:val="22"/>
              </w:rPr>
              <w:t xml:space="preserve"> </w:t>
            </w:r>
            <w:r w:rsidRPr="009E5AB7">
              <w:rPr>
                <w:szCs w:val="22"/>
              </w:rPr>
              <w:t>grade 2 and grade 3</w:t>
            </w:r>
          </w:p>
          <w:p w14:paraId="61DE6297" w14:textId="758C9354" w:rsidR="009E5AB7" w:rsidRPr="009E5AB7" w:rsidRDefault="009E5AB7" w:rsidP="009E5AB7">
            <w:pPr>
              <w:spacing w:before="80" w:after="40" w:line="264" w:lineRule="auto"/>
              <w:ind w:left="113"/>
              <w:rPr>
                <w:szCs w:val="22"/>
              </w:rPr>
            </w:pPr>
            <w:r w:rsidRPr="009E5AB7">
              <w:rPr>
                <w:szCs w:val="22"/>
              </w:rPr>
              <w:t>o Cervical intraepithelial neoplasia (CIN)</w:t>
            </w:r>
            <w:r>
              <w:rPr>
                <w:szCs w:val="22"/>
              </w:rPr>
              <w:t xml:space="preserve"> </w:t>
            </w:r>
            <w:r w:rsidRPr="009E5AB7">
              <w:rPr>
                <w:szCs w:val="22"/>
              </w:rPr>
              <w:t>grade 1</w:t>
            </w:r>
          </w:p>
          <w:p w14:paraId="620CE073" w14:textId="7FDAD662" w:rsidR="009E5AB7" w:rsidRPr="009E5AB7" w:rsidRDefault="009E5AB7" w:rsidP="009E5AB7">
            <w:pPr>
              <w:spacing w:before="80" w:after="40" w:line="264" w:lineRule="auto"/>
              <w:ind w:left="113"/>
              <w:rPr>
                <w:szCs w:val="22"/>
              </w:rPr>
            </w:pPr>
            <w:r w:rsidRPr="009E5AB7">
              <w:rPr>
                <w:szCs w:val="22"/>
              </w:rPr>
              <w:t>o Vulvar intraepithelial neoplasia (VIN)</w:t>
            </w:r>
            <w:r>
              <w:rPr>
                <w:szCs w:val="22"/>
              </w:rPr>
              <w:t xml:space="preserve"> </w:t>
            </w:r>
            <w:r w:rsidRPr="009E5AB7">
              <w:rPr>
                <w:szCs w:val="22"/>
              </w:rPr>
              <w:t>grade 2 and grade 3</w:t>
            </w:r>
          </w:p>
          <w:p w14:paraId="0E85C834" w14:textId="29FF0C73" w:rsidR="009E5AB7" w:rsidRPr="009E5AB7" w:rsidRDefault="009E5AB7" w:rsidP="009E5AB7">
            <w:pPr>
              <w:spacing w:before="80" w:after="40" w:line="264" w:lineRule="auto"/>
              <w:ind w:left="113"/>
              <w:rPr>
                <w:szCs w:val="22"/>
              </w:rPr>
            </w:pPr>
            <w:r w:rsidRPr="009E5AB7">
              <w:rPr>
                <w:szCs w:val="22"/>
              </w:rPr>
              <w:t>o Vaginal intraepithelial neoplasia (VaIN)</w:t>
            </w:r>
            <w:r>
              <w:rPr>
                <w:szCs w:val="22"/>
              </w:rPr>
              <w:t xml:space="preserve"> </w:t>
            </w:r>
            <w:r w:rsidRPr="009E5AB7">
              <w:rPr>
                <w:szCs w:val="22"/>
              </w:rPr>
              <w:t>grade 2 and grade 3</w:t>
            </w:r>
          </w:p>
          <w:p w14:paraId="634B4F48" w14:textId="20F9DDDD" w:rsidR="009E5AB7" w:rsidRPr="009E5AB7" w:rsidRDefault="009E5AB7" w:rsidP="009E5AB7">
            <w:pPr>
              <w:spacing w:before="80" w:after="40" w:line="264" w:lineRule="auto"/>
              <w:ind w:left="113"/>
              <w:rPr>
                <w:szCs w:val="22"/>
              </w:rPr>
            </w:pPr>
            <w:r w:rsidRPr="009E5AB7">
              <w:rPr>
                <w:szCs w:val="22"/>
              </w:rPr>
              <w:t>o Anal intraepithelial neoplasia (AIN)</w:t>
            </w:r>
            <w:r>
              <w:rPr>
                <w:szCs w:val="22"/>
              </w:rPr>
              <w:t xml:space="preserve"> </w:t>
            </w:r>
            <w:r w:rsidRPr="009E5AB7">
              <w:rPr>
                <w:szCs w:val="22"/>
              </w:rPr>
              <w:t>grades 1, 2, and 3.</w:t>
            </w:r>
          </w:p>
          <w:p w14:paraId="17C650B8" w14:textId="092945A0" w:rsidR="009E5AB7" w:rsidRPr="00D01DDB" w:rsidRDefault="009E5AB7" w:rsidP="009E5AB7">
            <w:pPr>
              <w:ind w:left="113"/>
              <w:rPr>
                <w:szCs w:val="22"/>
              </w:rPr>
            </w:pPr>
            <w:r w:rsidRPr="009E5AB7">
              <w:rPr>
                <w:szCs w:val="22"/>
              </w:rPr>
              <w:t>has been issued market authorization without</w:t>
            </w:r>
            <w:r>
              <w:rPr>
                <w:szCs w:val="22"/>
              </w:rPr>
              <w:t xml:space="preserve"> </w:t>
            </w:r>
            <w:r w:rsidRPr="009E5AB7">
              <w:rPr>
                <w:szCs w:val="22"/>
              </w:rPr>
              <w:t>conditions.</w:t>
            </w:r>
          </w:p>
        </w:tc>
      </w:tr>
    </w:tbl>
    <w:p w14:paraId="064CCADF" w14:textId="77777777" w:rsidR="00324B33" w:rsidRDefault="00324B33" w:rsidP="00324B33">
      <w:pPr>
        <w:pStyle w:val="Heading3"/>
      </w:pPr>
      <w:bookmarkStart w:id="20" w:name="_Toc103679292"/>
      <w:bookmarkStart w:id="21" w:name="_Toc129703126"/>
      <w:r>
        <w:lastRenderedPageBreak/>
        <w:t>Product Information</w:t>
      </w:r>
      <w:bookmarkEnd w:id="20"/>
      <w:bookmarkEnd w:id="21"/>
    </w:p>
    <w:p w14:paraId="4B0F7D57" w14:textId="419C46B8" w:rsidR="00324B33" w:rsidRPr="00BD5DBD" w:rsidRDefault="00324B33" w:rsidP="00324B33">
      <w:pPr>
        <w:rPr>
          <w:szCs w:val="22"/>
        </w:rPr>
      </w:pPr>
      <w:bookmarkStart w:id="22" w:name="_Toc504480011"/>
      <w:r w:rsidRPr="00BD5DBD">
        <w:rPr>
          <w:szCs w:val="22"/>
        </w:rPr>
        <w:t xml:space="preserve">The </w:t>
      </w:r>
      <w:hyperlink r:id="rId20" w:history="1">
        <w:r w:rsidRPr="00BD5DBD">
          <w:rPr>
            <w:rStyle w:val="Hyperlink"/>
            <w:szCs w:val="22"/>
          </w:rPr>
          <w:t>Product Information</w:t>
        </w:r>
      </w:hyperlink>
      <w:r w:rsidRPr="00BD5DBD">
        <w:rPr>
          <w:szCs w:val="22"/>
        </w:rPr>
        <w:t xml:space="preserve"> (</w:t>
      </w:r>
      <w:hyperlink r:id="rId21"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2"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3" w:history="1">
        <w:r w:rsidRPr="00BD5DBD">
          <w:rPr>
            <w:rStyle w:val="Hyperlink"/>
            <w:szCs w:val="22"/>
          </w:rPr>
          <w:t>PI/CMI search facility.</w:t>
        </w:r>
      </w:hyperlink>
    </w:p>
    <w:p w14:paraId="6D92589C" w14:textId="77777777" w:rsidR="00324B33" w:rsidRDefault="00324B33" w:rsidP="00324B33">
      <w:pPr>
        <w:pStyle w:val="Heading2"/>
      </w:pPr>
      <w:bookmarkStart w:id="23" w:name="_Toc103679293"/>
      <w:bookmarkStart w:id="24" w:name="_Toc129703127"/>
      <w:r>
        <w:t>Registration timeline</w:t>
      </w:r>
      <w:bookmarkEnd w:id="22"/>
      <w:bookmarkEnd w:id="23"/>
      <w:bookmarkEnd w:id="24"/>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1DCFE258" w:rsidR="00477C4E" w:rsidRPr="00BD5DBD" w:rsidRDefault="00477C4E" w:rsidP="00324B33">
      <w:pPr>
        <w:rPr>
          <w:szCs w:val="22"/>
        </w:rPr>
      </w:pPr>
      <w:r w:rsidRPr="00BD5DBD">
        <w:rPr>
          <w:szCs w:val="22"/>
        </w:rPr>
        <w:t xml:space="preserve">This submission was evaluated under the </w:t>
      </w:r>
      <w:hyperlink r:id="rId24" w:history="1">
        <w:r w:rsidRPr="00BD5DBD">
          <w:rPr>
            <w:rStyle w:val="Hyperlink"/>
            <w:szCs w:val="22"/>
          </w:rPr>
          <w:t>standard prescription medicines registration process</w:t>
        </w:r>
      </w:hyperlink>
      <w:r w:rsidRPr="00BD5DBD">
        <w:rPr>
          <w:szCs w:val="22"/>
        </w:rPr>
        <w:t>.</w:t>
      </w:r>
    </w:p>
    <w:p w14:paraId="44628C5F" w14:textId="74BC33C7" w:rsidR="00324B33" w:rsidRDefault="00324B33" w:rsidP="0013528C">
      <w:pPr>
        <w:pStyle w:val="TableTitle"/>
      </w:pPr>
      <w:r>
        <w:lastRenderedPageBreak/>
        <w:t xml:space="preserve">Table </w:t>
      </w:r>
      <w:r w:rsidR="0013528C">
        <w:fldChar w:fldCharType="begin"/>
      </w:r>
      <w:r w:rsidR="0013528C">
        <w:rPr>
          <w:b w:val="0"/>
        </w:rPr>
        <w:instrText xml:space="preserve"> SEQ Table \* ARABIC </w:instrText>
      </w:r>
      <w:r w:rsidR="0013528C">
        <w:fldChar w:fldCharType="separate"/>
      </w:r>
      <w:r w:rsidR="00193AA8">
        <w:rPr>
          <w:b w:val="0"/>
          <w:noProof/>
        </w:rPr>
        <w:t>2</w:t>
      </w:r>
      <w:r w:rsidR="0013528C">
        <w:rPr>
          <w:noProof/>
        </w:rPr>
        <w:fldChar w:fldCharType="end"/>
      </w:r>
      <w:r>
        <w:t>:</w:t>
      </w:r>
      <w:r w:rsidRPr="006A58A8">
        <w:t xml:space="preserve"> Timeline for Submission PM-20</w:t>
      </w:r>
      <w:r>
        <w:t>2</w:t>
      </w:r>
      <w:r w:rsidR="00954C3F">
        <w:t>1</w:t>
      </w:r>
      <w:r w:rsidRPr="006A58A8">
        <w:t>-</w:t>
      </w:r>
      <w:r w:rsidR="00954C3F">
        <w:t>01645</w:t>
      </w:r>
      <w:r w:rsidRPr="006A58A8">
        <w:t>-1-</w:t>
      </w:r>
      <w:r w:rsidR="00954C3F">
        <w:t>2</w:t>
      </w:r>
    </w:p>
    <w:tbl>
      <w:tblPr>
        <w:tblStyle w:val="TableTGAblue2023"/>
        <w:tblW w:w="8642" w:type="dxa"/>
        <w:tblLook w:val="04A0" w:firstRow="1" w:lastRow="0" w:firstColumn="1" w:lastColumn="0" w:noHBand="0" w:noVBand="1"/>
      </w:tblPr>
      <w:tblGrid>
        <w:gridCol w:w="5949"/>
        <w:gridCol w:w="2693"/>
      </w:tblGrid>
      <w:tr w:rsidR="00324B33" w:rsidRPr="00D01DDB" w14:paraId="6C59BE9C" w14:textId="77777777" w:rsidTr="005C6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D80E78" w14:textId="3EC0CCAF" w:rsidR="00324B33" w:rsidRPr="00D01DDB" w:rsidRDefault="00324B33" w:rsidP="00324B33">
            <w:pPr>
              <w:rPr>
                <w:szCs w:val="22"/>
              </w:rPr>
            </w:pPr>
            <w:r w:rsidRPr="00D01DDB">
              <w:rPr>
                <w:szCs w:val="22"/>
              </w:rPr>
              <w:t>Description</w:t>
            </w:r>
          </w:p>
        </w:tc>
        <w:tc>
          <w:tcPr>
            <w:tcW w:w="2693"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D422BA" w:rsidRPr="00D01DDB" w14:paraId="79ECD4E7"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684116D9" w14:textId="77777777" w:rsidR="00D422BA" w:rsidRDefault="00D422BA" w:rsidP="00324B33">
            <w:pPr>
              <w:rPr>
                <w:szCs w:val="22"/>
              </w:rPr>
            </w:pPr>
            <w:r>
              <w:rPr>
                <w:szCs w:val="22"/>
              </w:rPr>
              <w:t>Provisional determination</w:t>
            </w:r>
          </w:p>
          <w:p w14:paraId="383F6AE2" w14:textId="2E105C27" w:rsidR="00D422BA" w:rsidRPr="00D01DDB" w:rsidRDefault="00D422BA" w:rsidP="00324B33">
            <w:pPr>
              <w:rPr>
                <w:szCs w:val="22"/>
              </w:rPr>
            </w:pPr>
            <w:r>
              <w:rPr>
                <w:szCs w:val="22"/>
              </w:rPr>
              <w:t>Provisional determination revoked;</w:t>
            </w:r>
            <w:r>
              <w:rPr>
                <w:rStyle w:val="FootnoteReference"/>
                <w:szCs w:val="22"/>
              </w:rPr>
              <w:footnoteReference w:id="5"/>
            </w:r>
          </w:p>
        </w:tc>
        <w:tc>
          <w:tcPr>
            <w:tcW w:w="2693" w:type="dxa"/>
          </w:tcPr>
          <w:p w14:paraId="5BE1341C" w14:textId="6139EE04" w:rsidR="00D422BA" w:rsidRDefault="0005161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January 202</w:t>
            </w:r>
            <w:r w:rsidR="00E01C94">
              <w:rPr>
                <w:szCs w:val="22"/>
              </w:rPr>
              <w:t>1</w:t>
            </w:r>
          </w:p>
          <w:p w14:paraId="73F43046" w14:textId="030F00B0" w:rsidR="00051616" w:rsidRPr="00D01DDB" w:rsidRDefault="0005161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April 2023</w:t>
            </w:r>
          </w:p>
        </w:tc>
      </w:tr>
      <w:tr w:rsidR="00324B33" w:rsidRPr="00D01DDB" w14:paraId="23610C53"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693" w:type="dxa"/>
          </w:tcPr>
          <w:p w14:paraId="2963D9D8" w14:textId="76172F58" w:rsidR="00324B33" w:rsidRPr="00D01DDB" w:rsidRDefault="008377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June 2021</w:t>
            </w:r>
          </w:p>
        </w:tc>
      </w:tr>
      <w:tr w:rsidR="00324B33" w:rsidRPr="00D01DDB" w14:paraId="53437815"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4C037D4E" w14:textId="2B0CE255" w:rsidR="00324B33" w:rsidRPr="00D01DDB" w:rsidRDefault="00324B33" w:rsidP="00324B33">
            <w:pPr>
              <w:rPr>
                <w:szCs w:val="22"/>
              </w:rPr>
            </w:pPr>
            <w:r w:rsidRPr="00D01DDB">
              <w:rPr>
                <w:szCs w:val="22"/>
              </w:rPr>
              <w:t>First round evaluation completed</w:t>
            </w:r>
          </w:p>
        </w:tc>
        <w:tc>
          <w:tcPr>
            <w:tcW w:w="2693" w:type="dxa"/>
          </w:tcPr>
          <w:p w14:paraId="3CEAFAAB" w14:textId="654CA585" w:rsidR="00324B33" w:rsidRPr="00D01DDB" w:rsidRDefault="008377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2022</w:t>
            </w:r>
          </w:p>
        </w:tc>
      </w:tr>
      <w:tr w:rsidR="00324B33" w:rsidRPr="00D01DDB" w14:paraId="60DA57CC"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2693" w:type="dxa"/>
          </w:tcPr>
          <w:p w14:paraId="68A577C1" w14:textId="0EC23A19" w:rsidR="00324B33" w:rsidRPr="00D01DDB" w:rsidRDefault="008377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March 2022</w:t>
            </w:r>
          </w:p>
        </w:tc>
      </w:tr>
      <w:tr w:rsidR="00324B33" w:rsidRPr="00D01DDB" w14:paraId="767E33A4"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4AFC5B50" w14:textId="2BCC6A3E" w:rsidR="00324B33" w:rsidRPr="00D01DDB" w:rsidRDefault="00324B33" w:rsidP="00324B33">
            <w:pPr>
              <w:rPr>
                <w:szCs w:val="22"/>
              </w:rPr>
            </w:pPr>
            <w:r w:rsidRPr="00D01DDB">
              <w:rPr>
                <w:szCs w:val="22"/>
              </w:rPr>
              <w:t>Second round evaluation completed</w:t>
            </w:r>
          </w:p>
        </w:tc>
        <w:tc>
          <w:tcPr>
            <w:tcW w:w="2693" w:type="dxa"/>
          </w:tcPr>
          <w:p w14:paraId="4E47DF62" w14:textId="197916F2" w:rsidR="00324B33" w:rsidRPr="00D01DDB" w:rsidRDefault="008377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April 2023</w:t>
            </w:r>
          </w:p>
        </w:tc>
      </w:tr>
      <w:tr w:rsidR="00324B33" w:rsidRPr="00D01DDB" w14:paraId="302FCB45"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716E9DC1" w14:textId="6BEE0C8E" w:rsidR="00324B33" w:rsidRPr="00D01DDB" w:rsidRDefault="00324B33" w:rsidP="00324B33">
            <w:pPr>
              <w:rPr>
                <w:szCs w:val="22"/>
              </w:rPr>
            </w:pPr>
            <w:r w:rsidRPr="00D01DDB">
              <w:rPr>
                <w:szCs w:val="22"/>
              </w:rPr>
              <w:t xml:space="preserve">Delegate’s Overall benefit-risk assessment </w:t>
            </w:r>
            <w:r w:rsidRPr="00954C3F">
              <w:rPr>
                <w:color w:val="auto"/>
                <w:szCs w:val="22"/>
              </w:rPr>
              <w:t>and request for Advisory Committee advice</w:t>
            </w:r>
          </w:p>
        </w:tc>
        <w:tc>
          <w:tcPr>
            <w:tcW w:w="2693" w:type="dxa"/>
          </w:tcPr>
          <w:p w14:paraId="3BA6EF79" w14:textId="07BBA2FC" w:rsidR="00324B33" w:rsidRPr="00D01DDB" w:rsidRDefault="008377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July 2022</w:t>
            </w:r>
          </w:p>
        </w:tc>
      </w:tr>
      <w:tr w:rsidR="00324B33" w:rsidRPr="00D01DDB" w14:paraId="5832EBC8"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720592DE" w14:textId="1F72CD22" w:rsidR="00324B33" w:rsidRPr="00D01DDB" w:rsidRDefault="00324B33" w:rsidP="00324B33">
            <w:pPr>
              <w:rPr>
                <w:szCs w:val="22"/>
              </w:rPr>
            </w:pPr>
            <w:r w:rsidRPr="00D01DDB">
              <w:rPr>
                <w:szCs w:val="22"/>
              </w:rPr>
              <w:t>Sponsor’s pre-Advisory Committee response</w:t>
            </w:r>
          </w:p>
        </w:tc>
        <w:tc>
          <w:tcPr>
            <w:tcW w:w="2693" w:type="dxa"/>
          </w:tcPr>
          <w:p w14:paraId="5AE04841" w14:textId="4DBD42C9" w:rsidR="00324B33" w:rsidRPr="00D01DDB" w:rsidRDefault="0005161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July 2022</w:t>
            </w:r>
          </w:p>
        </w:tc>
      </w:tr>
      <w:tr w:rsidR="00324B33" w:rsidRPr="00D01DDB" w14:paraId="5754F7AC"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789DE187" w14:textId="123446EE" w:rsidR="00324B33" w:rsidRPr="00D01DDB" w:rsidRDefault="00324B33" w:rsidP="00324B33">
            <w:pPr>
              <w:rPr>
                <w:szCs w:val="22"/>
              </w:rPr>
            </w:pPr>
            <w:r w:rsidRPr="00D01DDB">
              <w:rPr>
                <w:szCs w:val="22"/>
              </w:rPr>
              <w:t>Advisory Committee meeting</w:t>
            </w:r>
          </w:p>
        </w:tc>
        <w:tc>
          <w:tcPr>
            <w:tcW w:w="2693" w:type="dxa"/>
          </w:tcPr>
          <w:p w14:paraId="5BE1EDE7" w14:textId="52888178" w:rsidR="00324B33" w:rsidRPr="00D01DDB" w:rsidRDefault="008377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August 2022</w:t>
            </w:r>
          </w:p>
        </w:tc>
      </w:tr>
      <w:tr w:rsidR="00324B33" w:rsidRPr="00D01DDB" w14:paraId="6E5D32FE"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4E95C44C" w14:textId="7A91C710" w:rsidR="00324B33" w:rsidRPr="00D01DDB" w:rsidRDefault="00324B33" w:rsidP="00324B33">
            <w:pPr>
              <w:rPr>
                <w:szCs w:val="22"/>
              </w:rPr>
            </w:pPr>
            <w:r w:rsidRPr="00D01DDB">
              <w:rPr>
                <w:szCs w:val="22"/>
              </w:rPr>
              <w:t>Registration decision (Outcome)</w:t>
            </w:r>
          </w:p>
        </w:tc>
        <w:tc>
          <w:tcPr>
            <w:tcW w:w="2693" w:type="dxa"/>
          </w:tcPr>
          <w:p w14:paraId="62987ABD" w14:textId="2EF175B0" w:rsidR="00324B33" w:rsidRPr="00D01DDB" w:rsidRDefault="008377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April 2023</w:t>
            </w:r>
          </w:p>
        </w:tc>
      </w:tr>
      <w:tr w:rsidR="00324B33" w:rsidRPr="00D01DDB" w14:paraId="6DDCDDA4"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192FD19D" w14:textId="7D5F96C5" w:rsidR="00324B33" w:rsidRPr="00D01DDB" w:rsidRDefault="0013132F" w:rsidP="00324B33">
            <w:pPr>
              <w:rPr>
                <w:szCs w:val="22"/>
              </w:rPr>
            </w:pPr>
            <w:r>
              <w:t>Administrative activities and registration on the ARTG completed</w:t>
            </w:r>
          </w:p>
        </w:tc>
        <w:tc>
          <w:tcPr>
            <w:tcW w:w="2693" w:type="dxa"/>
          </w:tcPr>
          <w:p w14:paraId="5A8923FD" w14:textId="38FAC8D6" w:rsidR="00324B33" w:rsidRPr="00D01DDB" w:rsidRDefault="008377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April 2023</w:t>
            </w:r>
          </w:p>
        </w:tc>
      </w:tr>
      <w:tr w:rsidR="00324B33" w:rsidRPr="00D01DDB" w14:paraId="56D922E2" w14:textId="77777777" w:rsidTr="005C6941">
        <w:tc>
          <w:tcPr>
            <w:cnfStyle w:val="001000000000" w:firstRow="0" w:lastRow="0" w:firstColumn="1" w:lastColumn="0" w:oddVBand="0" w:evenVBand="0" w:oddHBand="0" w:evenHBand="0" w:firstRowFirstColumn="0" w:firstRowLastColumn="0" w:lastRowFirstColumn="0" w:lastRowLastColumn="0"/>
            <w:tcW w:w="5949"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2693" w:type="dxa"/>
          </w:tcPr>
          <w:p w14:paraId="5BAF9FA1" w14:textId="0D7F4647" w:rsidR="00324B33" w:rsidRPr="00D01DDB" w:rsidRDefault="0083776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212</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25" w:name="_Toc196046504"/>
      <w:bookmarkStart w:id="26" w:name="_Toc247691527"/>
      <w:bookmarkStart w:id="27" w:name="_Toc314842510"/>
      <w:bookmarkStart w:id="28" w:name="_Toc103679294"/>
      <w:bookmarkStart w:id="29" w:name="_Toc129703128"/>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5"/>
      <w:bookmarkEnd w:id="26"/>
      <w:bookmarkEnd w:id="27"/>
      <w:bookmarkEnd w:id="28"/>
      <w:bookmarkEnd w:id="29"/>
    </w:p>
    <w:p w14:paraId="540151FC" w14:textId="77777777" w:rsidR="00C22214" w:rsidRPr="00BD5DBD" w:rsidRDefault="00C22214" w:rsidP="00BD5DBD">
      <w:pPr>
        <w:rPr>
          <w:szCs w:val="22"/>
        </w:rPr>
      </w:pPr>
      <w:bookmarkStart w:id="30" w:name="_Toc247691528"/>
      <w:bookmarkStart w:id="31"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32" w:name="_Toc103679295"/>
      <w:bookmarkStart w:id="33" w:name="_Toc129703129"/>
      <w:r>
        <w:t>Quality</w:t>
      </w:r>
      <w:bookmarkEnd w:id="30"/>
      <w:bookmarkEnd w:id="31"/>
      <w:bookmarkEnd w:id="32"/>
      <w:bookmarkEnd w:id="33"/>
    </w:p>
    <w:p w14:paraId="29A3BB75" w14:textId="7CD6EE9B" w:rsidR="00A01C56" w:rsidRPr="00BD5DBD" w:rsidRDefault="00637F0E" w:rsidP="00637F0E">
      <w:pPr>
        <w:rPr>
          <w:szCs w:val="22"/>
        </w:rPr>
      </w:pPr>
      <w:r w:rsidRPr="00BD5DBD">
        <w:rPr>
          <w:szCs w:val="22"/>
        </w:rPr>
        <w:t>Quality evaluation is not required for this submission as there 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Pr="00BD5DBD">
        <w:rPr>
          <w:szCs w:val="22"/>
        </w:rPr>
        <w:t xml:space="preserve"> A full quality evaluation was conducted at the time this product received initial registration </w:t>
      </w:r>
    </w:p>
    <w:p w14:paraId="2BE90AAE" w14:textId="77777777" w:rsidR="00C22214" w:rsidRDefault="00C22214" w:rsidP="00C22214">
      <w:pPr>
        <w:pStyle w:val="Heading3"/>
      </w:pPr>
      <w:bookmarkStart w:id="34" w:name="_Toc314842512"/>
      <w:bookmarkStart w:id="35" w:name="_Toc103679296"/>
      <w:bookmarkStart w:id="36" w:name="_Toc129703130"/>
      <w:r>
        <w:lastRenderedPageBreak/>
        <w:t>Nonclinical</w:t>
      </w:r>
      <w:bookmarkEnd w:id="34"/>
      <w:bookmarkEnd w:id="35"/>
      <w:bookmarkEnd w:id="36"/>
    </w:p>
    <w:p w14:paraId="15C51A23" w14:textId="0153F15D" w:rsidR="008804CF" w:rsidRPr="00BD5DBD" w:rsidRDefault="008804CF" w:rsidP="008804CF">
      <w:pPr>
        <w:rPr>
          <w:b/>
          <w:bCs/>
          <w:szCs w:val="22"/>
        </w:rPr>
      </w:pPr>
      <w:bookmarkStart w:id="37" w:name="_Toc247691530"/>
      <w:bookmarkStart w:id="38" w:name="_Toc314842513"/>
      <w:bookmarkStart w:id="39"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p>
    <w:p w14:paraId="35B580A5" w14:textId="69B9BE44" w:rsidR="00C22214" w:rsidRDefault="00C22214" w:rsidP="008804CF">
      <w:pPr>
        <w:pStyle w:val="Heading3"/>
      </w:pPr>
      <w:bookmarkStart w:id="40" w:name="_Toc129703131"/>
      <w:r>
        <w:t>Clinical</w:t>
      </w:r>
      <w:bookmarkEnd w:id="37"/>
      <w:bookmarkEnd w:id="38"/>
      <w:bookmarkEnd w:id="39"/>
      <w:bookmarkEnd w:id="40"/>
    </w:p>
    <w:p w14:paraId="214B0D82" w14:textId="40E6DDFA" w:rsidR="00AE1D85" w:rsidRDefault="00AE1D85" w:rsidP="00AE1D85">
      <w:pPr>
        <w:pStyle w:val="Heading4"/>
      </w:pPr>
      <w:r>
        <w:t>Pharmacology</w:t>
      </w:r>
    </w:p>
    <w:p w14:paraId="5751ECF2" w14:textId="3AD099AA" w:rsidR="00AE1D85" w:rsidRDefault="00AE1D85" w:rsidP="00AE1D85">
      <w:r>
        <w:t>Pharmacokinetic studies are usually not required for vaccines.</w:t>
      </w:r>
      <w:r w:rsidR="00AF3535">
        <w:rPr>
          <w:rStyle w:val="FootnoteReference"/>
        </w:rPr>
        <w:footnoteReference w:id="6"/>
      </w:r>
    </w:p>
    <w:p w14:paraId="7CFBED02" w14:textId="0F3DEE8A" w:rsidR="00AE1D85" w:rsidRDefault="00AE1D85" w:rsidP="00AE1D85">
      <w:pPr>
        <w:pStyle w:val="Heading4"/>
      </w:pPr>
      <w:r>
        <w:t>Efficacy</w:t>
      </w:r>
    </w:p>
    <w:p w14:paraId="67C0518C" w14:textId="77777777" w:rsidR="00AE1D85" w:rsidRDefault="00AE1D85" w:rsidP="00AE1D85">
      <w:r>
        <w:t>The following efficacy studies were included (some have been previously evaluated):</w:t>
      </w:r>
    </w:p>
    <w:p w14:paraId="58055062" w14:textId="03DEC597" w:rsidR="00AE1D85" w:rsidRDefault="00AE1D85" w:rsidP="00AF3535">
      <w:pPr>
        <w:pStyle w:val="ListBullet"/>
      </w:pPr>
      <w:r>
        <w:t xml:space="preserve">Mid </w:t>
      </w:r>
      <w:r w:rsidR="00AF3535">
        <w:t>adult</w:t>
      </w:r>
      <w:r>
        <w:t xml:space="preserve"> </w:t>
      </w:r>
      <w:r w:rsidR="00AF3535">
        <w:t>p</w:t>
      </w:r>
      <w:r>
        <w:t>erson (MAP) (women and men from 27 to 45 years of age)</w:t>
      </w:r>
    </w:p>
    <w:p w14:paraId="5EE9A85A" w14:textId="12965AEF" w:rsidR="00AE1D85" w:rsidRDefault="00AE1D85" w:rsidP="00AF3535">
      <w:pPr>
        <w:pStyle w:val="ListBullet2"/>
      </w:pPr>
      <w:r>
        <w:t xml:space="preserve">Gardasil 9: </w:t>
      </w:r>
      <w:r w:rsidR="00AF3535">
        <w:t xml:space="preserve">Study </w:t>
      </w:r>
      <w:r>
        <w:t xml:space="preserve">V503-004 (comparing the immunogenicity of Gardasil 9 in women 16 to 26 years of age to women 27 to 45 years of age), </w:t>
      </w:r>
      <w:r w:rsidR="00AF3535">
        <w:t xml:space="preserve">Study </w:t>
      </w:r>
      <w:r>
        <w:t>V503-020 (comparing the immunogenicity of Gardasil 9 to Gardasil in men 16 to 26 years of age)</w:t>
      </w:r>
    </w:p>
    <w:p w14:paraId="44EC5BFD" w14:textId="633711E9" w:rsidR="00AE1D85" w:rsidRDefault="00AE1D85" w:rsidP="00AF3535">
      <w:pPr>
        <w:pStyle w:val="ListBullet2"/>
      </w:pPr>
      <w:r>
        <w:t>Gardasil: Cross-study immunogenicity analysis (</w:t>
      </w:r>
      <w:r w:rsidR="00AF3535">
        <w:t xml:space="preserve">Study </w:t>
      </w:r>
      <w:r>
        <w:t>V501-108 [men 27 to 45 years of age] v</w:t>
      </w:r>
      <w:r w:rsidR="00AF3535">
        <w:t>ersus Study</w:t>
      </w:r>
      <w:r>
        <w:t xml:space="preserve"> V501-020 [men 16 to 26 years of age])</w:t>
      </w:r>
    </w:p>
    <w:p w14:paraId="3A91C3D7" w14:textId="0B54CD5B" w:rsidR="00AE1D85" w:rsidRDefault="00AE1D85" w:rsidP="00AE1D85">
      <w:r>
        <w:t xml:space="preserve">No study data concerning Gardasil 9 in men aged 27 to 45 years has been presented in the </w:t>
      </w:r>
      <w:r w:rsidR="00366312">
        <w:t xml:space="preserve">sponsor </w:t>
      </w:r>
      <w:r>
        <w:t>dossier.</w:t>
      </w:r>
    </w:p>
    <w:p w14:paraId="0512DB29" w14:textId="28FDEBE1" w:rsidR="00AE1D85" w:rsidRDefault="00AE1D85" w:rsidP="00AF3535">
      <w:pPr>
        <w:pStyle w:val="ListBullet"/>
      </w:pPr>
      <w:r>
        <w:t xml:space="preserve">Long </w:t>
      </w:r>
      <w:r w:rsidR="00366312">
        <w:t>t</w:t>
      </w:r>
      <w:r>
        <w:t xml:space="preserve">erm </w:t>
      </w:r>
      <w:r w:rsidR="00366312">
        <w:t>f</w:t>
      </w:r>
      <w:r>
        <w:t xml:space="preserve">ollow </w:t>
      </w:r>
      <w:r w:rsidR="00366312">
        <w:t>u</w:t>
      </w:r>
      <w:r>
        <w:t>p for both Gardasil and Gardasil 9</w:t>
      </w:r>
    </w:p>
    <w:p w14:paraId="3F6E7562" w14:textId="0CF2532D" w:rsidR="00AE1D85" w:rsidRDefault="00AE1D85" w:rsidP="00AF3535">
      <w:pPr>
        <w:pStyle w:val="ListBullet2"/>
      </w:pPr>
      <w:r>
        <w:t xml:space="preserve">Gardasil 9: Extension studies V503-001-04, V503-002-20, V503-010-01, V503-021-01. </w:t>
      </w:r>
    </w:p>
    <w:p w14:paraId="0B9A0101" w14:textId="5202AE88" w:rsidR="00AE1D85" w:rsidRDefault="00AE1D85" w:rsidP="00AF3535">
      <w:pPr>
        <w:pStyle w:val="ListBullet2"/>
      </w:pPr>
      <w:r>
        <w:t>Gardasil: Extension studies V501-167, V501-015-021, V501-018, V501-019-21, V501-020-21.</w:t>
      </w:r>
    </w:p>
    <w:p w14:paraId="2E253305" w14:textId="77777777" w:rsidR="00AE1D85" w:rsidRDefault="00AE1D85" w:rsidP="00AF3535">
      <w:pPr>
        <w:pStyle w:val="ListBullet"/>
      </w:pPr>
      <w:r>
        <w:t>Oropharyngeal and other head and neck cancers</w:t>
      </w:r>
    </w:p>
    <w:p w14:paraId="64230E5F" w14:textId="5BA5DB86" w:rsidR="00AE1D85" w:rsidRDefault="00AE1D85" w:rsidP="00AF3535">
      <w:pPr>
        <w:pStyle w:val="ListBullet2"/>
      </w:pPr>
      <w:r>
        <w:t xml:space="preserve">Gardasil 9: </w:t>
      </w:r>
      <w:r w:rsidR="00AF3535">
        <w:t xml:space="preserve">Study </w:t>
      </w:r>
      <w:r>
        <w:t>V503-049</w:t>
      </w:r>
    </w:p>
    <w:p w14:paraId="2FEB3E43" w14:textId="594AD8D6" w:rsidR="00AE1D85" w:rsidRDefault="00AE1D85" w:rsidP="00AF3535">
      <w:pPr>
        <w:pStyle w:val="ListBullet2"/>
      </w:pPr>
      <w:r>
        <w:t>General evidence regarding HPV infection prevention from previous Gardasil and Gardasil 9 studies</w:t>
      </w:r>
    </w:p>
    <w:p w14:paraId="621BAD68" w14:textId="45679366" w:rsidR="00AE1D85" w:rsidRPr="00A83339" w:rsidRDefault="00A83339" w:rsidP="00A83339">
      <w:pPr>
        <w:pStyle w:val="Heading5"/>
      </w:pPr>
      <w:r>
        <w:t>S</w:t>
      </w:r>
      <w:r w:rsidR="00AE1D85" w:rsidRPr="00A83339">
        <w:t>tudy V503-004</w:t>
      </w:r>
    </w:p>
    <w:p w14:paraId="5AD849D1" w14:textId="77777777" w:rsidR="00AE1D85" w:rsidRDefault="00AE1D85" w:rsidP="00A83339">
      <w:pPr>
        <w:pStyle w:val="Heading6"/>
      </w:pPr>
      <w:r>
        <w:t>Design</w:t>
      </w:r>
    </w:p>
    <w:p w14:paraId="3694CB5E" w14:textId="285E5174" w:rsidR="00AE1D85" w:rsidRDefault="00A83339" w:rsidP="00AE1D85">
      <w:r>
        <w:t xml:space="preserve">Study V503-004 is </w:t>
      </w:r>
      <w:r w:rsidR="00AE1D85">
        <w:t>Phase III, open</w:t>
      </w:r>
      <w:r>
        <w:t xml:space="preserve"> </w:t>
      </w:r>
      <w:r w:rsidR="00AE1D85">
        <w:t xml:space="preserve">label, multicentre (24 sites in </w:t>
      </w:r>
      <w:r>
        <w:t>six</w:t>
      </w:r>
      <w:r w:rsidR="00AE1D85">
        <w:t xml:space="preserve"> European countries) randomised, controlled, safety and immunogenicity study of 9vHPV vaccine in 1210 healthy women aged 16</w:t>
      </w:r>
      <w:r>
        <w:t xml:space="preserve"> to </w:t>
      </w:r>
      <w:r w:rsidR="00AE1D85">
        <w:t>45</w:t>
      </w:r>
      <w:r>
        <w:t xml:space="preserve"> years</w:t>
      </w:r>
      <w:r w:rsidR="00AE1D85">
        <w:t xml:space="preserve"> between </w:t>
      </w:r>
      <w:r>
        <w:t>September</w:t>
      </w:r>
      <w:r w:rsidR="00AE1D85">
        <w:t xml:space="preserve"> 2017 and </w:t>
      </w:r>
      <w:r>
        <w:t>November</w:t>
      </w:r>
      <w:r w:rsidR="00AE1D85">
        <w:t xml:space="preserve"> 2018. The study was conduct post-licensure in the </w:t>
      </w:r>
      <w:r>
        <w:t>EU</w:t>
      </w:r>
      <w:r w:rsidR="00AE1D85">
        <w:t>.</w:t>
      </w:r>
    </w:p>
    <w:p w14:paraId="054A92F8" w14:textId="050148F2" w:rsidR="00AE1D85" w:rsidRDefault="00AE1D85" w:rsidP="00AE1D85">
      <w:r>
        <w:t xml:space="preserve">The study was designed to demonstrate non-inferior antibody responses to HPV 16, 18, 31, 33, 45, 52, and 58 (the </w:t>
      </w:r>
      <w:r w:rsidR="00AF3535">
        <w:t>seven</w:t>
      </w:r>
      <w:r>
        <w:t xml:space="preserve"> high</w:t>
      </w:r>
      <w:r w:rsidR="00AF3535">
        <w:t xml:space="preserve"> </w:t>
      </w:r>
      <w:r>
        <w:t>risk HPV types in the vaccine) in 27 to 45 year</w:t>
      </w:r>
      <w:r w:rsidR="00A83339">
        <w:t>s old</w:t>
      </w:r>
      <w:r>
        <w:t xml:space="preserve"> women, </w:t>
      </w:r>
      <w:r>
        <w:lastRenderedPageBreak/>
        <w:t>compared with 16 to 26 year</w:t>
      </w:r>
      <w:r w:rsidR="00A83339">
        <w:t xml:space="preserve">s </w:t>
      </w:r>
      <w:r>
        <w:t>old women (in whom 9vHPV vaccine has been previously demonstrated to be efficacious).</w:t>
      </w:r>
    </w:p>
    <w:p w14:paraId="59A7C15D" w14:textId="77777777" w:rsidR="00A83339" w:rsidRDefault="00AE1D85" w:rsidP="00A83339">
      <w:pPr>
        <w:pStyle w:val="Heading6"/>
      </w:pPr>
      <w:r>
        <w:t>Inclusion criteria</w:t>
      </w:r>
    </w:p>
    <w:p w14:paraId="18F4E1F4" w14:textId="520E49B5" w:rsidR="00AE1D85" w:rsidRDefault="00AE1D85" w:rsidP="00AE1D85">
      <w:r>
        <w:t>Patients were to have no previous evidence of HPV infection, cervical disease (including abnormal Pap smear results), and never received a prophylactic HPV vaccine.</w:t>
      </w:r>
    </w:p>
    <w:p w14:paraId="058D076A" w14:textId="1AE5ED98" w:rsidR="00AE1D85" w:rsidRDefault="0034584A" w:rsidP="00AE1D85">
      <w:r>
        <w:t>P</w:t>
      </w:r>
      <w:r w:rsidR="00AE1D85">
        <w:t xml:space="preserve">atients received a </w:t>
      </w:r>
      <w:r w:rsidR="00A83339">
        <w:t xml:space="preserve">three </w:t>
      </w:r>
      <w:r w:rsidR="00AE1D85">
        <w:t xml:space="preserve">dose </w:t>
      </w:r>
      <w:r w:rsidR="00A83339">
        <w:t>intramuscular d</w:t>
      </w:r>
      <w:r w:rsidR="00AE1D85">
        <w:t xml:space="preserve">eltoid injection regimen (Day 1, Month 2, and Month 6) of the 9vHPV vaccine. Serum samples for immunogenicity testing were collected on Day 1 and Month 7. The time point for comparison of immune responses across age groups was Month 7, or approximately 4 weeks after the administration of </w:t>
      </w:r>
      <w:r w:rsidR="00A83339">
        <w:t>third dose</w:t>
      </w:r>
      <w:r w:rsidR="00AE1D85">
        <w:t>. Antibody responses to low</w:t>
      </w:r>
      <w:r>
        <w:t xml:space="preserve"> </w:t>
      </w:r>
      <w:r w:rsidR="00AE1D85">
        <w:t>risk HPV types 6 and 11, which are responsible for genital warts, were evaluated as a secondary objective.</w:t>
      </w:r>
    </w:p>
    <w:p w14:paraId="0E6222B6" w14:textId="42CE5F8D" w:rsidR="00AE1D85" w:rsidRDefault="00AE1D85" w:rsidP="00AE1D85">
      <w:r>
        <w:t>Primary objective statistics</w:t>
      </w:r>
      <w:r w:rsidR="0034584A">
        <w:t xml:space="preserve"> u</w:t>
      </w:r>
      <w:r>
        <w:t xml:space="preserve">sing ANOVA models (1 per HPV type) with a response of log individual Month 7 </w:t>
      </w:r>
      <w:r w:rsidR="00A83339" w:rsidRPr="00A83339">
        <w:t>geometric mean titr</w:t>
      </w:r>
      <w:r w:rsidR="00A83339">
        <w:t>es (</w:t>
      </w:r>
      <w:r>
        <w:t>GMT</w:t>
      </w:r>
      <w:r w:rsidR="00A83339">
        <w:t>)</w:t>
      </w:r>
      <w:r>
        <w:t xml:space="preserve"> and a fixed effect for age group, the statistical criterion for non-inferiority corresponded to the lower bound of the </w:t>
      </w:r>
      <w:r w:rsidR="00A83339">
        <w:t xml:space="preserve">two </w:t>
      </w:r>
      <w:r>
        <w:t xml:space="preserve">sided 95% </w:t>
      </w:r>
      <w:r w:rsidR="00A83339">
        <w:t>confidence interval (</w:t>
      </w:r>
      <w:r>
        <w:t>CI</w:t>
      </w:r>
      <w:r w:rsidR="00A83339">
        <w:t>)</w:t>
      </w:r>
      <w:r>
        <w:t xml:space="preserve"> for the </w:t>
      </w:r>
      <w:r w:rsidR="00A83339" w:rsidRPr="00A83339">
        <w:t xml:space="preserve">geometric mean </w:t>
      </w:r>
      <w:r w:rsidR="00A83339">
        <w:t>ratio (</w:t>
      </w:r>
      <w:r>
        <w:t>GMR</w:t>
      </w:r>
      <w:r w:rsidR="00A83339">
        <w:t>)</w:t>
      </w:r>
      <w:r>
        <w:t xml:space="preserve"> of 27 to 45</w:t>
      </w:r>
      <w:r w:rsidR="00A83339">
        <w:t xml:space="preserve"> </w:t>
      </w:r>
      <w:r>
        <w:t>year</w:t>
      </w:r>
      <w:r w:rsidR="00A83339">
        <w:t xml:space="preserve">s </w:t>
      </w:r>
      <w:r>
        <w:t>old subjects v</w:t>
      </w:r>
      <w:r w:rsidR="00A83339">
        <w:t>ersu</w:t>
      </w:r>
      <w:r>
        <w:t>s 16 to 26 year</w:t>
      </w:r>
      <w:r w:rsidR="00A83339">
        <w:t xml:space="preserve">s </w:t>
      </w:r>
      <w:r>
        <w:t xml:space="preserve">old subjects being </w:t>
      </w:r>
      <w:r w:rsidR="0034584A">
        <w:t>greater than</w:t>
      </w:r>
      <w:r w:rsidR="00A83339">
        <w:t xml:space="preserve"> </w:t>
      </w:r>
      <w:r>
        <w:t>0.5. Non-inferiority would have to be confirmed for all tested HPV types. No adjustment for multiplicity was deemed necessary.</w:t>
      </w:r>
    </w:p>
    <w:p w14:paraId="20D19768" w14:textId="77777777" w:rsidR="00A83339" w:rsidRDefault="00AE1D85" w:rsidP="00A83339">
      <w:pPr>
        <w:pStyle w:val="Heading6"/>
      </w:pPr>
      <w:r>
        <w:t>Disposition</w:t>
      </w:r>
    </w:p>
    <w:p w14:paraId="65DA523E" w14:textId="2B62C381" w:rsidR="00AE1D85" w:rsidRDefault="00AE1D85" w:rsidP="00AE1D85">
      <w:r>
        <w:t xml:space="preserve">1212 subjects were enrolled, and 1210 subjects received at least </w:t>
      </w:r>
      <w:r w:rsidR="00A83339">
        <w:t>one</w:t>
      </w:r>
      <w:r>
        <w:t xml:space="preserve"> dose of the 9vHPV vaccine. 32</w:t>
      </w:r>
      <w:r w:rsidR="00A83339">
        <w:t xml:space="preserve"> out of </w:t>
      </w:r>
      <w:r>
        <w:t>1212 subjects (2.6%) discontinued (similar across vaccination groups); most subjects who discontinued prior to Month 7 either withdrew voluntarily or were lost to follow</w:t>
      </w:r>
      <w:r w:rsidR="00A83339">
        <w:t xml:space="preserve"> </w:t>
      </w:r>
      <w:r>
        <w:t xml:space="preserve">up. 29 </w:t>
      </w:r>
      <w:r w:rsidR="00A83339">
        <w:t xml:space="preserve">subjects </w:t>
      </w:r>
      <w:r>
        <w:t xml:space="preserve">were not randomised (28 did not meet certain inclusion/exclusion criteria, and </w:t>
      </w:r>
      <w:r w:rsidR="00A83339">
        <w:t>one</w:t>
      </w:r>
      <w:r>
        <w:t xml:space="preserve"> had missing information).</w:t>
      </w:r>
    </w:p>
    <w:p w14:paraId="66FEF749" w14:textId="77777777" w:rsidR="00A83339" w:rsidRDefault="00AE1D85" w:rsidP="00A83339">
      <w:pPr>
        <w:pStyle w:val="Heading6"/>
      </w:pPr>
      <w:r>
        <w:t>Baseline characteristics</w:t>
      </w:r>
    </w:p>
    <w:p w14:paraId="03920239" w14:textId="51405B16" w:rsidR="00AE1D85" w:rsidRDefault="00AE1D85" w:rsidP="00AE1D85">
      <w:r>
        <w:t xml:space="preserve">The </w:t>
      </w:r>
      <w:r w:rsidR="00A83339">
        <w:t>two</w:t>
      </w:r>
      <w:r>
        <w:t xml:space="preserve"> vaccination groups in the study were generally balanced for baseline characteristics except for certain concomitant medications (</w:t>
      </w:r>
      <w:r w:rsidR="00A83339">
        <w:t>for example</w:t>
      </w:r>
      <w:r>
        <w:t xml:space="preserve">, ethinyl oestradiol + levonorgestrel </w:t>
      </w:r>
      <w:r w:rsidR="0034584A">
        <w:t>oral contraceptive pill</w:t>
      </w:r>
      <w:r>
        <w:t xml:space="preserve"> (11.2% v</w:t>
      </w:r>
      <w:r w:rsidR="00A83339">
        <w:t>ersus</w:t>
      </w:r>
      <w:r>
        <w:t xml:space="preserve"> 2.8%)), but this was not considered clinically meaningful. Most subjects were </w:t>
      </w:r>
      <w:r w:rsidR="0034584A">
        <w:t>W</w:t>
      </w:r>
      <w:r>
        <w:t>hite.</w:t>
      </w:r>
    </w:p>
    <w:p w14:paraId="5C0F691C" w14:textId="77777777" w:rsidR="00A83339" w:rsidRDefault="00AE1D85" w:rsidP="00A83339">
      <w:pPr>
        <w:pStyle w:val="Heading6"/>
      </w:pPr>
      <w:r>
        <w:t>Primary immunogenicity analysi</w:t>
      </w:r>
      <w:r w:rsidR="00A83339">
        <w:t>s</w:t>
      </w:r>
    </w:p>
    <w:p w14:paraId="4DF038BE" w14:textId="094D0068" w:rsidR="00AE1D85" w:rsidRDefault="00AE1D85" w:rsidP="00AE1D85">
      <w:r>
        <w:t>The GMTs of anti-HPV 16, 18, 31, 33, 45, 52, and 58 at 4 weeks post Dose 3 (Month 7) in 27 to 45</w:t>
      </w:r>
      <w:r w:rsidR="0034584A">
        <w:t> </w:t>
      </w:r>
      <w:r>
        <w:t>year</w:t>
      </w:r>
      <w:r w:rsidR="00A83339">
        <w:t xml:space="preserve">s </w:t>
      </w:r>
      <w:r>
        <w:t>old women were non-inferior to the corresponding GMTs in 16 to 26 year</w:t>
      </w:r>
      <w:r w:rsidR="00A83339">
        <w:t xml:space="preserve">s </w:t>
      </w:r>
      <w:r>
        <w:t>old women</w:t>
      </w:r>
      <w:r w:rsidR="00A83339">
        <w:t xml:space="preserve"> (</w:t>
      </w:r>
      <w:r w:rsidR="00A83339">
        <w:fldChar w:fldCharType="begin"/>
      </w:r>
      <w:r w:rsidR="00A83339">
        <w:instrText xml:space="preserve"> REF _Ref138756088 \h </w:instrText>
      </w:r>
      <w:r w:rsidR="00A83339">
        <w:fldChar w:fldCharType="separate"/>
      </w:r>
      <w:r w:rsidR="00A83339" w:rsidRPr="00A83339">
        <w:t>Table 3</w:t>
      </w:r>
      <w:r w:rsidR="00A83339">
        <w:fldChar w:fldCharType="end"/>
      </w:r>
      <w:r w:rsidR="00A83339">
        <w:t>).</w:t>
      </w:r>
    </w:p>
    <w:p w14:paraId="50B89109" w14:textId="1886B07D" w:rsidR="00A83339" w:rsidRPr="00A83339" w:rsidRDefault="00A83339" w:rsidP="00A83339">
      <w:pPr>
        <w:pStyle w:val="TableTitle"/>
      </w:pPr>
      <w:bookmarkStart w:id="41" w:name="_Ref138756088"/>
      <w:r w:rsidRPr="00A83339">
        <w:lastRenderedPageBreak/>
        <w:t xml:space="preserve">Table </w:t>
      </w:r>
      <w:r w:rsidR="005C10C9">
        <w:fldChar w:fldCharType="begin"/>
      </w:r>
      <w:r w:rsidR="005C10C9">
        <w:instrText xml:space="preserve"> SEQ Table \* ARABIC </w:instrText>
      </w:r>
      <w:r w:rsidR="005C10C9">
        <w:fldChar w:fldCharType="separate"/>
      </w:r>
      <w:r w:rsidR="00193AA8">
        <w:rPr>
          <w:noProof/>
        </w:rPr>
        <w:t>3</w:t>
      </w:r>
      <w:r w:rsidR="005C10C9">
        <w:rPr>
          <w:noProof/>
        </w:rPr>
        <w:fldChar w:fldCharType="end"/>
      </w:r>
      <w:bookmarkEnd w:id="41"/>
      <w:r>
        <w:t>: S</w:t>
      </w:r>
      <w:r w:rsidRPr="00BA6E84">
        <w:t>tudy V503-004</w:t>
      </w:r>
      <w:r>
        <w:t xml:space="preserve"> Primary endpoint results </w:t>
      </w:r>
      <w:r w:rsidRPr="00BA6E84">
        <w:t>(</w:t>
      </w:r>
      <w:r>
        <w:t>p</w:t>
      </w:r>
      <w:r w:rsidRPr="00BA6E84">
        <w:t>er-</w:t>
      </w:r>
      <w:r>
        <w:t>p</w:t>
      </w:r>
      <w:r w:rsidRPr="00BA6E84">
        <w:t xml:space="preserve">rotocol </w:t>
      </w:r>
      <w:r>
        <w:t>i</w:t>
      </w:r>
      <w:r w:rsidRPr="00BA6E84">
        <w:t xml:space="preserve">mmunogenicity </w:t>
      </w:r>
      <w:r>
        <w:t>p</w:t>
      </w:r>
      <w:r w:rsidRPr="00BA6E84">
        <w:t>opulation)</w:t>
      </w:r>
    </w:p>
    <w:p w14:paraId="54F3EBA2" w14:textId="5BBBF05C" w:rsidR="00A83339" w:rsidRDefault="00A83339" w:rsidP="00A83339">
      <w:r w:rsidRPr="00A10EE6">
        <w:rPr>
          <w:rFonts w:asciiTheme="minorHAnsi" w:hAnsiTheme="minorHAnsi" w:cs="TimesNewRoman"/>
          <w:noProof/>
        </w:rPr>
        <w:drawing>
          <wp:inline distT="0" distB="0" distL="0" distR="0" wp14:anchorId="0F01171C" wp14:editId="7D1598BA">
            <wp:extent cx="5759450" cy="3690970"/>
            <wp:effectExtent l="0" t="0" r="0" b="5080"/>
            <wp:docPr id="14" name="Picture 14" descr="Study V503-004 Primary endpoint results (per-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V503-004 Primary endpoint results (per-protocol immunogenicity popul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690970"/>
                    </a:xfrm>
                    <a:prstGeom prst="rect">
                      <a:avLst/>
                    </a:prstGeom>
                    <a:noFill/>
                    <a:ln>
                      <a:noFill/>
                    </a:ln>
                  </pic:spPr>
                </pic:pic>
              </a:graphicData>
            </a:graphic>
          </wp:inline>
        </w:drawing>
      </w:r>
    </w:p>
    <w:p w14:paraId="5DA26FAD" w14:textId="6E514693" w:rsidR="00A83339" w:rsidRDefault="00A83339" w:rsidP="00A83339">
      <w:r>
        <w:t>Secondary immunogenicity analyses (</w:t>
      </w:r>
      <w:r w:rsidR="00286CFB">
        <w:t>p</w:t>
      </w:r>
      <w:r>
        <w:t>er-</w:t>
      </w:r>
      <w:r w:rsidR="00286CFB">
        <w:t>p</w:t>
      </w:r>
      <w:r>
        <w:t xml:space="preserve">rotocol </w:t>
      </w:r>
      <w:r w:rsidR="00286CFB">
        <w:t>i</w:t>
      </w:r>
      <w:r>
        <w:t xml:space="preserve">mmunogenicity </w:t>
      </w:r>
      <w:r w:rsidR="00286CFB">
        <w:t>p</w:t>
      </w:r>
      <w:r>
        <w:t>opulation)</w:t>
      </w:r>
    </w:p>
    <w:p w14:paraId="3BA32D05" w14:textId="74921F33" w:rsidR="00A83339" w:rsidRDefault="00A83339" w:rsidP="00A83339">
      <w:pPr>
        <w:pStyle w:val="ListBullet"/>
      </w:pPr>
      <w:r>
        <w:t>At Day 1, the seropositivity for all nine HPV antigens were 0% in both age groups.</w:t>
      </w:r>
    </w:p>
    <w:p w14:paraId="7E02E53D" w14:textId="66161AD3" w:rsidR="00A83339" w:rsidRDefault="00A83339" w:rsidP="00A83339">
      <w:pPr>
        <w:pStyle w:val="ListBullet"/>
      </w:pPr>
      <w:r>
        <w:t xml:space="preserve">Anti-HPV 16, 18, 31, 33, 45, 52, and 58 seroconversions at 4 weeks post </w:t>
      </w:r>
      <w:r w:rsidR="00286CFB">
        <w:t>third dose</w:t>
      </w:r>
      <w:r>
        <w:t xml:space="preserve"> (Month 7):</w:t>
      </w:r>
    </w:p>
    <w:p w14:paraId="50215FDA" w14:textId="07D4E2C2" w:rsidR="00A83339" w:rsidRDefault="00A83339" w:rsidP="00A83339">
      <w:pPr>
        <w:pStyle w:val="ListBullet2"/>
      </w:pPr>
      <w:r>
        <w:t>in 27 to 45 year</w:t>
      </w:r>
      <w:r w:rsidR="00286CFB">
        <w:t xml:space="preserve">s </w:t>
      </w:r>
      <w:r>
        <w:t>old women ranged from 99.2% to 100% (</w:t>
      </w:r>
      <w:r w:rsidR="00286CFB">
        <w:fldChar w:fldCharType="begin"/>
      </w:r>
      <w:r w:rsidR="00286CFB">
        <w:instrText xml:space="preserve"> REF _Ref138756255 \h </w:instrText>
      </w:r>
      <w:r w:rsidR="00286CFB">
        <w:fldChar w:fldCharType="separate"/>
      </w:r>
      <w:r w:rsidR="00286CFB" w:rsidRPr="00286CFB">
        <w:t xml:space="preserve">Table </w:t>
      </w:r>
      <w:r w:rsidR="00286CFB">
        <w:rPr>
          <w:noProof/>
        </w:rPr>
        <w:t>4</w:t>
      </w:r>
      <w:r w:rsidR="00286CFB">
        <w:fldChar w:fldCharType="end"/>
      </w:r>
      <w:r w:rsidR="00286CFB">
        <w:t xml:space="preserve">, </w:t>
      </w:r>
      <w:r w:rsidR="00286CFB">
        <w:fldChar w:fldCharType="begin"/>
      </w:r>
      <w:r w:rsidR="00286CFB">
        <w:instrText xml:space="preserve"> REF _Ref138756260 \h </w:instrText>
      </w:r>
      <w:r w:rsidR="00286CFB">
        <w:fldChar w:fldCharType="separate"/>
      </w:r>
      <w:r w:rsidR="00286CFB" w:rsidRPr="00286CFB">
        <w:t>Table 6</w:t>
      </w:r>
      <w:r w:rsidR="00286CFB">
        <w:fldChar w:fldCharType="end"/>
      </w:r>
      <w:r>
        <w:t>).</w:t>
      </w:r>
    </w:p>
    <w:p w14:paraId="2B67106E" w14:textId="1A8491DC" w:rsidR="00A83339" w:rsidRDefault="00A83339" w:rsidP="00A83339">
      <w:pPr>
        <w:pStyle w:val="ListBullet2"/>
      </w:pPr>
      <w:r>
        <w:t>in 16 to 26 year</w:t>
      </w:r>
      <w:r w:rsidR="00286CFB">
        <w:t xml:space="preserve">s </w:t>
      </w:r>
      <w:r>
        <w:t>old women ranged from 99.6% to 100% (</w:t>
      </w:r>
      <w:r w:rsidR="00286CFB">
        <w:fldChar w:fldCharType="begin"/>
      </w:r>
      <w:r w:rsidR="00286CFB">
        <w:instrText xml:space="preserve"> REF _Ref138756260 \h </w:instrText>
      </w:r>
      <w:r w:rsidR="00286CFB">
        <w:fldChar w:fldCharType="separate"/>
      </w:r>
      <w:r w:rsidR="00286CFB" w:rsidRPr="00286CFB">
        <w:t>Table 6</w:t>
      </w:r>
      <w:r w:rsidR="00286CFB">
        <w:fldChar w:fldCharType="end"/>
      </w:r>
      <w:r>
        <w:t>).</w:t>
      </w:r>
    </w:p>
    <w:p w14:paraId="2BEE0475" w14:textId="7F209781" w:rsidR="00A83339" w:rsidRDefault="00A83339" w:rsidP="00A83339">
      <w:pPr>
        <w:pStyle w:val="ListBullet"/>
      </w:pPr>
      <w:r>
        <w:t>A trend for lower anti-HPV GMTs were observed for the 27 to 45 year</w:t>
      </w:r>
      <w:r w:rsidR="00286CFB">
        <w:t xml:space="preserve">s </w:t>
      </w:r>
      <w:r>
        <w:t>old group compared to the 16 to 26 year</w:t>
      </w:r>
      <w:r w:rsidR="00286CFB">
        <w:t xml:space="preserve">s </w:t>
      </w:r>
      <w:r>
        <w:t>old group (</w:t>
      </w:r>
      <w:r w:rsidR="00286CFB">
        <w:fldChar w:fldCharType="begin"/>
      </w:r>
      <w:r w:rsidR="00286CFB">
        <w:instrText xml:space="preserve"> REF _Ref138756271 \h </w:instrText>
      </w:r>
      <w:r w:rsidR="00286CFB">
        <w:fldChar w:fldCharType="separate"/>
      </w:r>
      <w:r w:rsidR="00286CFB" w:rsidRPr="00286CFB">
        <w:t xml:space="preserve">Table </w:t>
      </w:r>
      <w:r w:rsidR="00286CFB">
        <w:rPr>
          <w:noProof/>
        </w:rPr>
        <w:t>5</w:t>
      </w:r>
      <w:r w:rsidR="00286CFB">
        <w:fldChar w:fldCharType="end"/>
      </w:r>
      <w:r>
        <w:t>).</w:t>
      </w:r>
    </w:p>
    <w:p w14:paraId="09085299" w14:textId="2CEABCF2" w:rsidR="00286CFB" w:rsidRDefault="00286CFB" w:rsidP="00286CFB">
      <w:pPr>
        <w:pStyle w:val="TableTitle"/>
      </w:pPr>
      <w:bookmarkStart w:id="42" w:name="_Ref138756255"/>
      <w:r w:rsidRPr="00286CFB">
        <w:lastRenderedPageBreak/>
        <w:t xml:space="preserve">Table </w:t>
      </w:r>
      <w:r w:rsidR="005C10C9">
        <w:fldChar w:fldCharType="begin"/>
      </w:r>
      <w:r w:rsidR="005C10C9">
        <w:instrText xml:space="preserve"> SEQ Table \* ARABIC </w:instrText>
      </w:r>
      <w:r w:rsidR="005C10C9">
        <w:fldChar w:fldCharType="separate"/>
      </w:r>
      <w:r w:rsidR="00193AA8">
        <w:rPr>
          <w:noProof/>
        </w:rPr>
        <w:t>4</w:t>
      </w:r>
      <w:r w:rsidR="005C10C9">
        <w:rPr>
          <w:noProof/>
        </w:rPr>
        <w:fldChar w:fldCharType="end"/>
      </w:r>
      <w:bookmarkEnd w:id="42"/>
      <w:r w:rsidRPr="00286CFB">
        <w:t>:</w:t>
      </w:r>
      <w:r>
        <w:t xml:space="preserve"> </w:t>
      </w:r>
      <w:r w:rsidRPr="00286CFB">
        <w:t>Study V503-004 Secondary endpoint results: seroconversion percentages at 4 weeks in 27 to 45 year</w:t>
      </w:r>
      <w:r>
        <w:t xml:space="preserve">s </w:t>
      </w:r>
      <w:r w:rsidRPr="00286CFB">
        <w:t>old women (</w:t>
      </w:r>
      <w:r>
        <w:t>p</w:t>
      </w:r>
      <w:r w:rsidRPr="00286CFB">
        <w:t>er-</w:t>
      </w:r>
      <w:r>
        <w:t>p</w:t>
      </w:r>
      <w:r w:rsidRPr="00286CFB">
        <w:t xml:space="preserve">rotocol </w:t>
      </w:r>
      <w:r>
        <w:t>i</w:t>
      </w:r>
      <w:r w:rsidRPr="00286CFB">
        <w:t xml:space="preserve">mmunogenicity </w:t>
      </w:r>
      <w:r>
        <w:t>p</w:t>
      </w:r>
      <w:r w:rsidRPr="00286CFB">
        <w:t>opulation).</w:t>
      </w:r>
    </w:p>
    <w:p w14:paraId="1E16060E" w14:textId="308C421A" w:rsidR="00286CFB" w:rsidRDefault="00286CFB" w:rsidP="00286CFB">
      <w:r w:rsidRPr="007C10DC">
        <w:rPr>
          <w:rFonts w:asciiTheme="minorHAnsi" w:eastAsia="Times New Roman" w:hAnsiTheme="minorHAnsi"/>
          <w:noProof/>
        </w:rPr>
        <w:drawing>
          <wp:inline distT="0" distB="0" distL="0" distR="0" wp14:anchorId="6A8D12E3" wp14:editId="69FC6AD6">
            <wp:extent cx="5641145" cy="3916205"/>
            <wp:effectExtent l="0" t="0" r="0" b="8255"/>
            <wp:docPr id="15" name="Picture 15" descr="Study V503-004 Secondary endpoint results: seroconversion percentages at 4 weeks in 27 to 45 years old women (per-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V503-004 Secondary endpoint results: seroconversion percentages at 4 weeks in 27 to 45 years old women (per-protocol immunogenicity popul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8748" cy="3928426"/>
                    </a:xfrm>
                    <a:prstGeom prst="rect">
                      <a:avLst/>
                    </a:prstGeom>
                    <a:noFill/>
                    <a:ln>
                      <a:noFill/>
                    </a:ln>
                  </pic:spPr>
                </pic:pic>
              </a:graphicData>
            </a:graphic>
          </wp:inline>
        </w:drawing>
      </w:r>
    </w:p>
    <w:p w14:paraId="0FD0AFFF" w14:textId="36B6A14F" w:rsidR="00286CFB" w:rsidRDefault="00286CFB" w:rsidP="00286CFB">
      <w:pPr>
        <w:pStyle w:val="TableTitle"/>
      </w:pPr>
      <w:bookmarkStart w:id="43" w:name="_Ref138756271"/>
      <w:r w:rsidRPr="00286CFB">
        <w:t xml:space="preserve">Table </w:t>
      </w:r>
      <w:r w:rsidR="005C10C9">
        <w:fldChar w:fldCharType="begin"/>
      </w:r>
      <w:r w:rsidR="005C10C9">
        <w:instrText xml:space="preserve"> SEQ Table \* ARABIC </w:instrText>
      </w:r>
      <w:r w:rsidR="005C10C9">
        <w:fldChar w:fldCharType="separate"/>
      </w:r>
      <w:r w:rsidR="00193AA8">
        <w:rPr>
          <w:noProof/>
        </w:rPr>
        <w:t>5</w:t>
      </w:r>
      <w:r w:rsidR="005C10C9">
        <w:rPr>
          <w:noProof/>
        </w:rPr>
        <w:fldChar w:fldCharType="end"/>
      </w:r>
      <w:bookmarkEnd w:id="43"/>
      <w:r>
        <w:t xml:space="preserve">: </w:t>
      </w:r>
      <w:r w:rsidRPr="00286CFB">
        <w:t>Study V503-004</w:t>
      </w:r>
      <w:r>
        <w:t xml:space="preserve"> </w:t>
      </w:r>
      <w:r w:rsidRPr="00286CFB">
        <w:t xml:space="preserve">Secondary endpoint results: comparison of </w:t>
      </w:r>
      <w:r w:rsidRPr="00A83339">
        <w:t>geometric mean titr</w:t>
      </w:r>
      <w:r>
        <w:t>es</w:t>
      </w:r>
      <w:r w:rsidRPr="00286CFB">
        <w:t xml:space="preserve"> between the age groups (</w:t>
      </w:r>
      <w:r>
        <w:t>p</w:t>
      </w:r>
      <w:r w:rsidRPr="00286CFB">
        <w:t>er-</w:t>
      </w:r>
      <w:r>
        <w:t>p</w:t>
      </w:r>
      <w:r w:rsidRPr="00286CFB">
        <w:t xml:space="preserve">rotocol </w:t>
      </w:r>
      <w:r>
        <w:t>i</w:t>
      </w:r>
      <w:r w:rsidRPr="00286CFB">
        <w:t xml:space="preserve">mmunogenicity </w:t>
      </w:r>
      <w:r>
        <w:t>p</w:t>
      </w:r>
      <w:r w:rsidRPr="00286CFB">
        <w:t>opulation)</w:t>
      </w:r>
    </w:p>
    <w:p w14:paraId="37D44895" w14:textId="3073C863" w:rsidR="00286CFB" w:rsidRDefault="00286CFB" w:rsidP="00286CFB">
      <w:r w:rsidRPr="009C4A23">
        <w:rPr>
          <w:rFonts w:asciiTheme="minorHAnsi" w:eastAsia="Times New Roman" w:hAnsiTheme="minorHAnsi"/>
          <w:noProof/>
        </w:rPr>
        <w:drawing>
          <wp:inline distT="0" distB="0" distL="0" distR="0" wp14:anchorId="304DC24A" wp14:editId="3139D324">
            <wp:extent cx="5731510" cy="2906395"/>
            <wp:effectExtent l="0" t="0" r="2540" b="8255"/>
            <wp:docPr id="16" name="Picture 16" descr="Study V503-004 Secondary endpoint results: comparison of geometric mean titres between the age groups (per-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V503-004 Secondary endpoint results: comparison of geometric mean titres between the age groups (per-protocol immunogenicity popul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06395"/>
                    </a:xfrm>
                    <a:prstGeom prst="rect">
                      <a:avLst/>
                    </a:prstGeom>
                    <a:noFill/>
                    <a:ln>
                      <a:noFill/>
                    </a:ln>
                  </pic:spPr>
                </pic:pic>
              </a:graphicData>
            </a:graphic>
          </wp:inline>
        </w:drawing>
      </w:r>
      <w:r w:rsidRPr="009C4A23">
        <w:rPr>
          <w:rFonts w:asciiTheme="minorHAnsi" w:eastAsia="Times New Roman" w:hAnsiTheme="minorHAnsi"/>
          <w:noProof/>
        </w:rPr>
        <w:drawing>
          <wp:inline distT="0" distB="0" distL="0" distR="0" wp14:anchorId="6822A0D5" wp14:editId="1380F7F4">
            <wp:extent cx="5731510" cy="4775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77520"/>
                    </a:xfrm>
                    <a:prstGeom prst="rect">
                      <a:avLst/>
                    </a:prstGeom>
                    <a:noFill/>
                    <a:ln>
                      <a:noFill/>
                    </a:ln>
                  </pic:spPr>
                </pic:pic>
              </a:graphicData>
            </a:graphic>
          </wp:inline>
        </w:drawing>
      </w:r>
    </w:p>
    <w:p w14:paraId="64DB4BAA" w14:textId="2124EA78" w:rsidR="00286CFB" w:rsidRDefault="00286CFB" w:rsidP="00286CFB">
      <w:pPr>
        <w:pStyle w:val="TableTitle"/>
      </w:pPr>
      <w:bookmarkStart w:id="44" w:name="_Ref138756260"/>
      <w:r w:rsidRPr="00286CFB">
        <w:lastRenderedPageBreak/>
        <w:t xml:space="preserve">Table </w:t>
      </w:r>
      <w:r w:rsidR="005C10C9">
        <w:fldChar w:fldCharType="begin"/>
      </w:r>
      <w:r w:rsidR="005C10C9">
        <w:instrText xml:space="preserve"> SEQ Table \* ARABIC </w:instrText>
      </w:r>
      <w:r w:rsidR="005C10C9">
        <w:fldChar w:fldCharType="separate"/>
      </w:r>
      <w:r w:rsidR="00193AA8">
        <w:rPr>
          <w:noProof/>
        </w:rPr>
        <w:t>6</w:t>
      </w:r>
      <w:r w:rsidR="005C10C9">
        <w:rPr>
          <w:noProof/>
        </w:rPr>
        <w:fldChar w:fldCharType="end"/>
      </w:r>
      <w:bookmarkEnd w:id="44"/>
      <w:r w:rsidRPr="00286CFB">
        <w:t>:</w:t>
      </w:r>
      <w:r>
        <w:t xml:space="preserve"> </w:t>
      </w:r>
      <w:r w:rsidRPr="00286CFB">
        <w:t>Study V503-004. Secondary endpoint results: seroconversion percentages at 4 weeks in all participants (</w:t>
      </w:r>
      <w:r>
        <w:t>p</w:t>
      </w:r>
      <w:r w:rsidRPr="00286CFB">
        <w:t>er-</w:t>
      </w:r>
      <w:r>
        <w:t>p</w:t>
      </w:r>
      <w:r w:rsidRPr="00286CFB">
        <w:t xml:space="preserve">rotocol </w:t>
      </w:r>
      <w:r>
        <w:t>i</w:t>
      </w:r>
      <w:r w:rsidRPr="00286CFB">
        <w:t xml:space="preserve">mmunogenicity </w:t>
      </w:r>
      <w:r>
        <w:t>p</w:t>
      </w:r>
      <w:r w:rsidRPr="00286CFB">
        <w:t>opulation).</w:t>
      </w:r>
    </w:p>
    <w:p w14:paraId="15367D3A" w14:textId="71CC1D0F" w:rsidR="00286CFB" w:rsidRPr="00286CFB" w:rsidRDefault="00286CFB" w:rsidP="00286CFB">
      <w:r w:rsidRPr="009C4A23">
        <w:rPr>
          <w:rFonts w:asciiTheme="minorHAnsi" w:hAnsiTheme="minorHAnsi" w:cs="TimesNewRoman"/>
          <w:noProof/>
        </w:rPr>
        <w:drawing>
          <wp:inline distT="0" distB="0" distL="0" distR="0" wp14:anchorId="442F2143" wp14:editId="713F44A7">
            <wp:extent cx="5731510" cy="2553970"/>
            <wp:effectExtent l="0" t="0" r="2540" b="0"/>
            <wp:docPr id="18" name="Picture 18" descr="Study V503-004. Secondary endpoint results: seroconversion percentages at 4 weeks in all participants (per-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V503-004. Secondary endpoint results: seroconversion percentages at 4 weeks in all participants (per-protocol immunogenicity popul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553970"/>
                    </a:xfrm>
                    <a:prstGeom prst="rect">
                      <a:avLst/>
                    </a:prstGeom>
                    <a:noFill/>
                    <a:ln>
                      <a:noFill/>
                    </a:ln>
                  </pic:spPr>
                </pic:pic>
              </a:graphicData>
            </a:graphic>
          </wp:inline>
        </w:drawing>
      </w:r>
      <w:r w:rsidRPr="009C4A23">
        <w:rPr>
          <w:noProof/>
          <w:lang w:eastAsia="ja-JP"/>
        </w:rPr>
        <w:drawing>
          <wp:inline distT="0" distB="0" distL="0" distR="0" wp14:anchorId="3E83AEA7" wp14:editId="61E8701B">
            <wp:extent cx="5731510" cy="1221105"/>
            <wp:effectExtent l="0" t="0" r="2540" b="0"/>
            <wp:docPr id="19" name="Picture 19" descr="Study V503-004. Secondary endpoint results: seroconversion percentages at 4 weeks in all participants (per-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V503-004. Secondary endpoint results: seroconversion percentages at 4 weeks in all participants (per-protocol immunogenicity popul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221105"/>
                    </a:xfrm>
                    <a:prstGeom prst="rect">
                      <a:avLst/>
                    </a:prstGeom>
                    <a:noFill/>
                    <a:ln>
                      <a:noFill/>
                    </a:ln>
                  </pic:spPr>
                </pic:pic>
              </a:graphicData>
            </a:graphic>
          </wp:inline>
        </w:drawing>
      </w:r>
    </w:p>
    <w:p w14:paraId="652DD4B1" w14:textId="6CC360EB" w:rsidR="00A83339" w:rsidRDefault="00A83339" w:rsidP="00286CFB">
      <w:pPr>
        <w:pStyle w:val="Heading6"/>
      </w:pPr>
      <w:r>
        <w:t>Exploratory immunogenicity analyses</w:t>
      </w:r>
    </w:p>
    <w:p w14:paraId="2A45827D" w14:textId="15EC67DE" w:rsidR="00A83339" w:rsidRDefault="00A83339" w:rsidP="00A83339">
      <w:r>
        <w:t xml:space="preserve">The trends of decreasing anti-HPV GMTs with increasing age observed in the </w:t>
      </w:r>
      <w:r w:rsidR="00286CFB">
        <w:t>two</w:t>
      </w:r>
      <w:r>
        <w:t xml:space="preserve"> age groups (16 to 26 v</w:t>
      </w:r>
      <w:r w:rsidR="00286CFB">
        <w:t>ersu</w:t>
      </w:r>
      <w:r>
        <w:t>s 27 to 45 year</w:t>
      </w:r>
      <w:r w:rsidR="00286CFB">
        <w:t xml:space="preserve">s </w:t>
      </w:r>
      <w:r>
        <w:t xml:space="preserve">old group) were consistently observed in the </w:t>
      </w:r>
      <w:r w:rsidR="00286CFB">
        <w:t>four</w:t>
      </w:r>
      <w:r>
        <w:t xml:space="preserve"> age subgroups (16 to 20 years, 21 to 26 years, 27 to 36 years, and 37 to 45 years).</w:t>
      </w:r>
    </w:p>
    <w:p w14:paraId="47ABB65F" w14:textId="2339B733" w:rsidR="00A83339" w:rsidRDefault="00286CFB" w:rsidP="00286CFB">
      <w:pPr>
        <w:pStyle w:val="Heading5"/>
      </w:pPr>
      <w:r>
        <w:t>S</w:t>
      </w:r>
      <w:r w:rsidR="00A83339">
        <w:t>tudy V503-020</w:t>
      </w:r>
    </w:p>
    <w:p w14:paraId="218046DC" w14:textId="77777777" w:rsidR="00A83339" w:rsidRDefault="00A83339" w:rsidP="00286CFB">
      <w:pPr>
        <w:pStyle w:val="Heading6"/>
      </w:pPr>
      <w:r>
        <w:t>Design</w:t>
      </w:r>
    </w:p>
    <w:p w14:paraId="512B326C" w14:textId="3BA20CE3" w:rsidR="00A83339" w:rsidRDefault="00286CFB" w:rsidP="00A83339">
      <w:r>
        <w:t xml:space="preserve">Study V503-020 is </w:t>
      </w:r>
      <w:r w:rsidR="00A83339">
        <w:t>Phase III, double</w:t>
      </w:r>
      <w:r>
        <w:t xml:space="preserve"> </w:t>
      </w:r>
      <w:r w:rsidR="00A83339">
        <w:t>blind, multicentre (</w:t>
      </w:r>
      <w:r>
        <w:t>seven</w:t>
      </w:r>
      <w:r w:rsidR="00A83339">
        <w:t xml:space="preserve"> sites in </w:t>
      </w:r>
      <w:r>
        <w:t>three</w:t>
      </w:r>
      <w:r w:rsidR="00A83339">
        <w:t xml:space="preserve"> European countries) randomised, controlled, immunogenicity and tolerability study of 9vHPV vaccine in 500 healthy men aged 16</w:t>
      </w:r>
      <w:r>
        <w:t xml:space="preserve"> to </w:t>
      </w:r>
      <w:r w:rsidR="00A83339">
        <w:t>26</w:t>
      </w:r>
      <w:r>
        <w:t xml:space="preserve"> years old</w:t>
      </w:r>
      <w:r w:rsidR="00A83339">
        <w:t xml:space="preserve"> between</w:t>
      </w:r>
      <w:r>
        <w:t xml:space="preserve"> </w:t>
      </w:r>
      <w:r w:rsidR="00A83339">
        <w:t>March 2014 and April 2015.</w:t>
      </w:r>
    </w:p>
    <w:p w14:paraId="013A4489" w14:textId="115164C2" w:rsidR="00A83339" w:rsidRDefault="00A83339" w:rsidP="00A83339">
      <w:r>
        <w:t xml:space="preserve">The study was designed to demonstrate non-inferior HPV 6, 11, 16 and 18 antibody responses elicited by 9vHPV vaccine compared with responses elicited by </w:t>
      </w:r>
      <w:r w:rsidR="000F3590">
        <w:t xml:space="preserve">quadrivalent </w:t>
      </w:r>
      <w:r w:rsidR="0034584A">
        <w:t>h</w:t>
      </w:r>
      <w:r w:rsidR="000F3590">
        <w:t xml:space="preserve">uman </w:t>
      </w:r>
      <w:r w:rsidR="0034584A">
        <w:t>p</w:t>
      </w:r>
      <w:r w:rsidR="000F3590">
        <w:t>apillomavirus vaccine (q</w:t>
      </w:r>
      <w:r w:rsidR="0034584A">
        <w:t>HPV</w:t>
      </w:r>
      <w:r w:rsidR="000F3590">
        <w:t>)</w:t>
      </w:r>
      <w:r>
        <w:t xml:space="preserve"> vaccine in men aged 16 to 26</w:t>
      </w:r>
      <w:r w:rsidR="00286CFB">
        <w:t xml:space="preserve"> years old</w:t>
      </w:r>
      <w:r>
        <w:t xml:space="preserve"> (a population in which the efficacy of qHPV vaccine was previously demonstrated).</w:t>
      </w:r>
    </w:p>
    <w:p w14:paraId="72F54766" w14:textId="77A0603E" w:rsidR="00286CFB" w:rsidRDefault="00A83339" w:rsidP="00286CFB">
      <w:pPr>
        <w:pStyle w:val="Heading6"/>
      </w:pPr>
      <w:r>
        <w:t>Main inclusion criteria</w:t>
      </w:r>
    </w:p>
    <w:p w14:paraId="3363F371" w14:textId="14E3FB39" w:rsidR="00A83339" w:rsidRDefault="00A83339" w:rsidP="00A83339">
      <w:r>
        <w:t>16</w:t>
      </w:r>
      <w:r w:rsidR="00286CFB">
        <w:t xml:space="preserve"> to </w:t>
      </w:r>
      <w:r>
        <w:t>26 year</w:t>
      </w:r>
      <w:r w:rsidR="00286CFB">
        <w:t>s</w:t>
      </w:r>
      <w:r>
        <w:t xml:space="preserve"> old healthy men with a history of no more than </w:t>
      </w:r>
      <w:r w:rsidR="00286CFB">
        <w:t>five</w:t>
      </w:r>
      <w:r>
        <w:t xml:space="preserve"> lifetime female sexual partners.</w:t>
      </w:r>
    </w:p>
    <w:p w14:paraId="2423DE71" w14:textId="77777777" w:rsidR="00286CFB" w:rsidRDefault="00A83339" w:rsidP="00286CFB">
      <w:pPr>
        <w:pStyle w:val="Heading6"/>
      </w:pPr>
      <w:r>
        <w:t>Main exclusion criteria</w:t>
      </w:r>
    </w:p>
    <w:p w14:paraId="1C7F0E52" w14:textId="3F7819E7" w:rsidR="00A83339" w:rsidRDefault="00286CFB" w:rsidP="00A83339">
      <w:r>
        <w:t>M</w:t>
      </w:r>
      <w:r w:rsidR="00A83339">
        <w:t xml:space="preserve">ale sexual partners, history of HPV-related external genital or anal lesions, known allergy to any vaccine component, history of severe allergic reaction that required medical intervention, immunosuppressive condition or treatment, autoimmune condition, previously received a </w:t>
      </w:r>
      <w:r w:rsidR="00A83339">
        <w:lastRenderedPageBreak/>
        <w:t xml:space="preserve">marketed HPV vaccine, have participated in an HPV vaccine clinical trial, and any circumstance that might confound the results of the study. HPV seropositivity at </w:t>
      </w:r>
      <w:r>
        <w:t>B</w:t>
      </w:r>
      <w:r w:rsidR="00A83339">
        <w:t xml:space="preserve">aseline was allowed but these were excluded from the </w:t>
      </w:r>
      <w:r>
        <w:t>per-protocol immunogenicity (</w:t>
      </w:r>
      <w:r w:rsidR="00A83339">
        <w:t>PPI</w:t>
      </w:r>
      <w:r>
        <w:t>)</w:t>
      </w:r>
      <w:r w:rsidR="00A83339">
        <w:t xml:space="preserve"> dataset.</w:t>
      </w:r>
    </w:p>
    <w:p w14:paraId="0D0F3082" w14:textId="77777777" w:rsidR="00286CFB" w:rsidRDefault="00A83339" w:rsidP="00286CFB">
      <w:pPr>
        <w:pStyle w:val="Heading6"/>
      </w:pPr>
      <w:r>
        <w:t>Treatments and visits</w:t>
      </w:r>
    </w:p>
    <w:p w14:paraId="51551DB7" w14:textId="68E81EC1" w:rsidR="00A83339" w:rsidRDefault="00A83339" w:rsidP="00A83339">
      <w:r>
        <w:t xml:space="preserve">Patients received a </w:t>
      </w:r>
      <w:r w:rsidR="005C6941">
        <w:t>three-dose</w:t>
      </w:r>
      <w:r w:rsidR="00286CFB">
        <w:t xml:space="preserve"> intramuscular</w:t>
      </w:r>
      <w:r>
        <w:t xml:space="preserve"> deltoid injection regimen (Day 1, Month 2, and Month 6) of the 9vHPV vaccine or qHPV vaccine. Serum samples for immunogenicity testing were collected on Day 1 and Month 7. The time point for comparison of immune responses across age groups was Month 7, or approximately 4 weeks after the administration of </w:t>
      </w:r>
      <w:r w:rsidR="00286CFB">
        <w:t>third dose</w:t>
      </w:r>
      <w:r>
        <w:t>.</w:t>
      </w:r>
    </w:p>
    <w:p w14:paraId="7429FF1E" w14:textId="77777777" w:rsidR="00286CFB" w:rsidRDefault="00A83339" w:rsidP="00286CFB">
      <w:pPr>
        <w:pStyle w:val="Heading6"/>
      </w:pPr>
      <w:r>
        <w:t>Disposition</w:t>
      </w:r>
    </w:p>
    <w:p w14:paraId="4961E755" w14:textId="1A634160" w:rsidR="00A83339" w:rsidRDefault="00A83339" w:rsidP="00A83339">
      <w:r>
        <w:t>Initially 500 subjects were randomised, all of which received Dose 1 (n</w:t>
      </w:r>
      <w:r w:rsidR="00286CFB">
        <w:t xml:space="preserve"> </w:t>
      </w:r>
      <w:r>
        <w:t>=</w:t>
      </w:r>
      <w:r w:rsidR="00286CFB">
        <w:t xml:space="preserve"> </w:t>
      </w:r>
      <w:r>
        <w:t>249 for the 9vHPV group, n</w:t>
      </w:r>
      <w:r w:rsidR="00286CFB">
        <w:t xml:space="preserve"> </w:t>
      </w:r>
      <w:r>
        <w:t>=</w:t>
      </w:r>
      <w:r w:rsidR="00286CFB">
        <w:t xml:space="preserve"> </w:t>
      </w:r>
      <w:r>
        <w:t xml:space="preserve">251 for qHPV group). 11 subjects (2.2%) were withdrawn after enrolment: </w:t>
      </w:r>
      <w:r w:rsidR="00286CFB">
        <w:t>three</w:t>
      </w:r>
      <w:r>
        <w:t xml:space="preserve"> after receiving 9vHPV vaccine and </w:t>
      </w:r>
      <w:r w:rsidR="00286CFB">
        <w:t>eight</w:t>
      </w:r>
      <w:r>
        <w:t xml:space="preserve"> after receiving qHPV vaccine. Of the 11 withdrawn, </w:t>
      </w:r>
      <w:r w:rsidR="00286CFB">
        <w:t>five</w:t>
      </w:r>
      <w:r>
        <w:t xml:space="preserve"> were self-withdrawn while </w:t>
      </w:r>
      <w:r w:rsidR="00286CFB">
        <w:t>six</w:t>
      </w:r>
      <w:r>
        <w:t xml:space="preserve"> were lost to follow</w:t>
      </w:r>
      <w:r w:rsidR="00286CFB">
        <w:t xml:space="preserve"> </w:t>
      </w:r>
      <w:r>
        <w:t>up.</w:t>
      </w:r>
    </w:p>
    <w:p w14:paraId="4BF494F9" w14:textId="1FC90369" w:rsidR="00A83339" w:rsidRDefault="00A83339" w:rsidP="00A83339">
      <w:r>
        <w:t xml:space="preserve">The PPI set served as the primary set of subjects for the analysis of immune responses to each of the 9 HPV types (6, 11, 16, 18, 31, 33, 45, 52, and 58). To be included in the PPI set, subjects had to have all </w:t>
      </w:r>
      <w:r w:rsidR="00286CFB">
        <w:t>three</w:t>
      </w:r>
      <w:r>
        <w:t xml:space="preserve"> vaccinations according to the protocol and be seronegative to the relevant HPV type at Day 1. The HPV type-specific PPI included from 454 subjects (90.8%) for HPV 6 and 11 to 472 subjects (94.4%) for HPV 33.</w:t>
      </w:r>
    </w:p>
    <w:p w14:paraId="583927E1" w14:textId="77777777" w:rsidR="00286CFB" w:rsidRDefault="00A83339" w:rsidP="00286CFB">
      <w:pPr>
        <w:pStyle w:val="Heading6"/>
      </w:pPr>
      <w:r>
        <w:t>Baseline characteristics</w:t>
      </w:r>
    </w:p>
    <w:p w14:paraId="5400EACA" w14:textId="1AEE4618" w:rsidR="00A83339" w:rsidRDefault="00A83339" w:rsidP="00A83339">
      <w:r>
        <w:t xml:space="preserve">The baseline characteristics of the vaccine and </w:t>
      </w:r>
      <w:r w:rsidR="00286CFB">
        <w:t>p</w:t>
      </w:r>
      <w:r>
        <w:t xml:space="preserve">lacebo groups were largely similar. The HPV seronegative rates were </w:t>
      </w:r>
      <w:r w:rsidR="0034584A">
        <w:t>greater than</w:t>
      </w:r>
      <w:r w:rsidR="00286CFB">
        <w:t xml:space="preserve"> </w:t>
      </w:r>
      <w:r>
        <w:t>95% for any of the HPV types.</w:t>
      </w:r>
    </w:p>
    <w:p w14:paraId="1D96288F" w14:textId="77777777" w:rsidR="00714F56" w:rsidRDefault="00286CFB" w:rsidP="00714F56">
      <w:pPr>
        <w:pStyle w:val="Heading6"/>
      </w:pPr>
      <w:r w:rsidRPr="00286CFB">
        <w:rPr>
          <w:rFonts w:eastAsiaTheme="minorHAnsi"/>
        </w:rPr>
        <w:t>Primary immunogenicity analysis</w:t>
      </w:r>
    </w:p>
    <w:p w14:paraId="2C51B75F" w14:textId="427FBBF7" w:rsidR="00286CFB" w:rsidRDefault="00286CFB" w:rsidP="00286CFB">
      <w:r w:rsidRPr="00286CFB">
        <w:t>The main analysis was the non-inferiority comparison (9vHPV v</w:t>
      </w:r>
      <w:r w:rsidR="00714F56">
        <w:t>ersus</w:t>
      </w:r>
      <w:r w:rsidRPr="00286CFB">
        <w:t xml:space="preserve"> qHPV vaccine) of post-</w:t>
      </w:r>
      <w:r w:rsidR="00714F56">
        <w:t>third dose</w:t>
      </w:r>
      <w:r w:rsidRPr="00286CFB">
        <w:t xml:space="preserve"> anti-HPV types 6, 11, 16 and 18 GMTs. Non-inferiority of 9vHPV vaccine versus qHPV vaccine was demonstrated for HPV 6, 11, 16 and 18. The lower limit of the 95% CI were 1.04, 0.76, 0.89, and 0.91 for HPV 6, 11, 16 and 18, respectively. Since antibody titres to each HPV type are determined using type-specific monoclonal antibodies, it is not possible to make a direct comparison of assay results across the HPV types</w:t>
      </w:r>
      <w:r w:rsidR="00714F56">
        <w:t xml:space="preserve"> (</w:t>
      </w:r>
      <w:r w:rsidR="00714F56">
        <w:fldChar w:fldCharType="begin"/>
      </w:r>
      <w:r w:rsidR="00714F56">
        <w:instrText xml:space="preserve"> REF _Ref138757237 \h </w:instrText>
      </w:r>
      <w:r w:rsidR="00714F56">
        <w:fldChar w:fldCharType="separate"/>
      </w:r>
      <w:r w:rsidR="00714F56">
        <w:t xml:space="preserve">Table </w:t>
      </w:r>
      <w:r w:rsidR="00714F56">
        <w:rPr>
          <w:noProof/>
        </w:rPr>
        <w:t>7</w:t>
      </w:r>
      <w:r w:rsidR="00714F56">
        <w:fldChar w:fldCharType="end"/>
      </w:r>
      <w:r w:rsidR="00714F56">
        <w:t>)</w:t>
      </w:r>
      <w:r w:rsidRPr="00286CFB">
        <w:t>.</w:t>
      </w:r>
    </w:p>
    <w:p w14:paraId="3235B879" w14:textId="5459036C" w:rsidR="00714F56" w:rsidRDefault="00714F56" w:rsidP="00714F56">
      <w:pPr>
        <w:pStyle w:val="TableTitle"/>
      </w:pPr>
      <w:bookmarkStart w:id="45" w:name="_Ref138757237"/>
      <w:r w:rsidRPr="00714F56">
        <w:lastRenderedPageBreak/>
        <w:t xml:space="preserve">Table </w:t>
      </w:r>
      <w:r w:rsidR="005C10C9">
        <w:fldChar w:fldCharType="begin"/>
      </w:r>
      <w:r w:rsidR="005C10C9">
        <w:instrText xml:space="preserve"> SEQ Table \* ARABIC </w:instrText>
      </w:r>
      <w:r w:rsidR="005C10C9">
        <w:fldChar w:fldCharType="separate"/>
      </w:r>
      <w:r w:rsidR="00193AA8">
        <w:rPr>
          <w:noProof/>
        </w:rPr>
        <w:t>7</w:t>
      </w:r>
      <w:r w:rsidR="005C10C9">
        <w:rPr>
          <w:noProof/>
        </w:rPr>
        <w:fldChar w:fldCharType="end"/>
      </w:r>
      <w:bookmarkEnd w:id="45"/>
      <w:r>
        <w:t xml:space="preserve">: </w:t>
      </w:r>
      <w:r w:rsidRPr="00714F56">
        <w:t>Study V503-020</w:t>
      </w:r>
      <w:r>
        <w:t xml:space="preserve"> </w:t>
      </w:r>
      <w:r w:rsidRPr="00714F56">
        <w:t>Primary endpoint results (</w:t>
      </w:r>
      <w:r>
        <w:t>p</w:t>
      </w:r>
      <w:r w:rsidRPr="00714F56">
        <w:t>er-</w:t>
      </w:r>
      <w:r>
        <w:t>p</w:t>
      </w:r>
      <w:r w:rsidRPr="00714F56">
        <w:t xml:space="preserve">rotocol </w:t>
      </w:r>
      <w:r>
        <w:t>i</w:t>
      </w:r>
      <w:r w:rsidRPr="00714F56">
        <w:t xml:space="preserve">mmunogenicity </w:t>
      </w:r>
      <w:r>
        <w:t>s</w:t>
      </w:r>
      <w:r w:rsidRPr="00714F56">
        <w:t>et)</w:t>
      </w:r>
    </w:p>
    <w:p w14:paraId="4EC24295" w14:textId="24DF3934" w:rsidR="00714F56" w:rsidRPr="00714F56" w:rsidRDefault="00714F56" w:rsidP="00714F56">
      <w:r w:rsidRPr="00E21739">
        <w:rPr>
          <w:noProof/>
          <w:color w:val="000000" w:themeColor="text1"/>
          <w:lang w:eastAsia="en-AU"/>
        </w:rPr>
        <w:drawing>
          <wp:inline distT="0" distB="0" distL="0" distR="0" wp14:anchorId="22A246B3" wp14:editId="3B052555">
            <wp:extent cx="5268286" cy="2941742"/>
            <wp:effectExtent l="0" t="0" r="8890" b="0"/>
            <wp:docPr id="7" name="Picture 7" descr="Study V503-020 Primary endpoint results (per-protocol immunogenic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V503-020 Primary endpoint results (per-protocol immunogenicity set)"/>
                    <pic:cNvPicPr/>
                  </pic:nvPicPr>
                  <pic:blipFill>
                    <a:blip r:embed="rId31"/>
                    <a:stretch>
                      <a:fillRect/>
                    </a:stretch>
                  </pic:blipFill>
                  <pic:spPr>
                    <a:xfrm>
                      <a:off x="0" y="0"/>
                      <a:ext cx="5272703" cy="2944208"/>
                    </a:xfrm>
                    <a:prstGeom prst="rect">
                      <a:avLst/>
                    </a:prstGeom>
                  </pic:spPr>
                </pic:pic>
              </a:graphicData>
            </a:graphic>
          </wp:inline>
        </w:drawing>
      </w:r>
    </w:p>
    <w:p w14:paraId="55F48F1A" w14:textId="15D00F15" w:rsidR="00286CFB" w:rsidRPr="00286CFB" w:rsidRDefault="00286CFB" w:rsidP="00714F56">
      <w:pPr>
        <w:pStyle w:val="Heading6"/>
        <w:rPr>
          <w:rFonts w:eastAsiaTheme="minorHAnsi"/>
        </w:rPr>
      </w:pPr>
      <w:r w:rsidRPr="00286CFB">
        <w:rPr>
          <w:rFonts w:eastAsiaTheme="minorHAnsi"/>
        </w:rPr>
        <w:t>Secondary immunogenicity analyses</w:t>
      </w:r>
    </w:p>
    <w:p w14:paraId="2222BF40" w14:textId="4D3462C5" w:rsidR="00286CFB" w:rsidRPr="00286CFB" w:rsidRDefault="00286CFB" w:rsidP="00286CFB">
      <w:r w:rsidRPr="00286CFB">
        <w:t>Post-</w:t>
      </w:r>
      <w:r w:rsidR="00714F56">
        <w:t>third dose</w:t>
      </w:r>
      <w:r w:rsidRPr="00286CFB">
        <w:t xml:space="preserve"> anti-HPV 31, 33, 45, 52 and 58 GMTs were much higher in the 9vHPV vaccine group than in the qHPV vaccine group. The GMTs in the 9vHPV vaccine group were 794.4, 460.5, 262.9, 430.7, and 691.0 </w:t>
      </w:r>
      <w:r w:rsidR="00714F56" w:rsidRPr="00714F56">
        <w:t xml:space="preserve">milli-Merck units </w:t>
      </w:r>
      <w:r w:rsidR="00714F56">
        <w:t>(</w:t>
      </w:r>
      <w:r w:rsidRPr="00286CFB">
        <w:t>mMU</w:t>
      </w:r>
      <w:r w:rsidR="00714F56">
        <w:t>)</w:t>
      </w:r>
      <w:r w:rsidRPr="00286CFB">
        <w:t>/mL, respectively; in the qHPV vaccine group, these were 14.8, 3.4, 2.5, 1.9, and 5.7 mMU/ml, respectively</w:t>
      </w:r>
      <w:r w:rsidR="00714F56">
        <w:t xml:space="preserve"> (</w:t>
      </w:r>
      <w:r w:rsidR="00714F56">
        <w:fldChar w:fldCharType="begin"/>
      </w:r>
      <w:r w:rsidR="00714F56">
        <w:instrText xml:space="preserve"> REF _Ref138756961 \h </w:instrText>
      </w:r>
      <w:r w:rsidR="00714F56">
        <w:fldChar w:fldCharType="separate"/>
      </w:r>
      <w:r w:rsidR="00714F56">
        <w:t xml:space="preserve">Table </w:t>
      </w:r>
      <w:r w:rsidR="00714F56">
        <w:rPr>
          <w:noProof/>
        </w:rPr>
        <w:t>7</w:t>
      </w:r>
      <w:r w:rsidR="00714F56">
        <w:fldChar w:fldCharType="end"/>
      </w:r>
      <w:r w:rsidR="00714F56">
        <w:t>)</w:t>
      </w:r>
      <w:r w:rsidRPr="00286CFB">
        <w:t>.</w:t>
      </w:r>
    </w:p>
    <w:p w14:paraId="2A0FB5D2" w14:textId="2FC3CB7C" w:rsidR="00286CFB" w:rsidRPr="00286CFB" w:rsidRDefault="00286CFB" w:rsidP="00286CFB">
      <w:r w:rsidRPr="00286CFB">
        <w:t>Seroconversion by 4 weeks post-</w:t>
      </w:r>
      <w:r w:rsidR="0034584A">
        <w:t>third dose, a</w:t>
      </w:r>
      <w:r w:rsidRPr="00286CFB">
        <w:t>lmost all subjects seroconverted to HPV types 6, 11, 16 and 18 with both vaccines, except 7 subjects who did not seroconvert to HPV 6 (4 having received 9vHPV vaccine and 3 having received qHPV vaccine) and 2 subjects who did not seroconvert to HPV 18 (1 in each group)</w:t>
      </w:r>
      <w:r w:rsidR="00714F56">
        <w:t xml:space="preserve"> (</w:t>
      </w:r>
      <w:r w:rsidR="00714F56">
        <w:fldChar w:fldCharType="begin"/>
      </w:r>
      <w:r w:rsidR="00714F56">
        <w:instrText xml:space="preserve"> REF _Ref138756974 \h </w:instrText>
      </w:r>
      <w:r w:rsidR="00714F56">
        <w:fldChar w:fldCharType="separate"/>
      </w:r>
      <w:r w:rsidR="00714F56">
        <w:t xml:space="preserve">Table </w:t>
      </w:r>
      <w:r w:rsidR="00714F56">
        <w:rPr>
          <w:noProof/>
        </w:rPr>
        <w:t>8</w:t>
      </w:r>
      <w:r w:rsidR="00714F56">
        <w:fldChar w:fldCharType="end"/>
      </w:r>
      <w:r w:rsidR="00714F56">
        <w:t>)</w:t>
      </w:r>
      <w:r w:rsidRPr="00286CFB">
        <w:t>. All of those who received 9vHPV vaccine seroconverted for HPV types 31, 33, 45, 52 and 58</w:t>
      </w:r>
      <w:r w:rsidR="00714F56">
        <w:t xml:space="preserve"> (</w:t>
      </w:r>
      <w:r w:rsidR="00714F56">
        <w:fldChar w:fldCharType="begin"/>
      </w:r>
      <w:r w:rsidR="00714F56">
        <w:instrText xml:space="preserve"> REF _Ref138756985 \h </w:instrText>
      </w:r>
      <w:r w:rsidR="00714F56">
        <w:fldChar w:fldCharType="separate"/>
      </w:r>
      <w:r w:rsidR="00714F56">
        <w:t xml:space="preserve">Table </w:t>
      </w:r>
      <w:r w:rsidR="00714F56">
        <w:rPr>
          <w:noProof/>
        </w:rPr>
        <w:t>9</w:t>
      </w:r>
      <w:r w:rsidR="00714F56">
        <w:fldChar w:fldCharType="end"/>
      </w:r>
      <w:r w:rsidR="00714F56">
        <w:t>).</w:t>
      </w:r>
    </w:p>
    <w:p w14:paraId="7B4ABE5C" w14:textId="268B16E3" w:rsidR="00286CFB" w:rsidRDefault="00714F56" w:rsidP="00714F56">
      <w:pPr>
        <w:pStyle w:val="TableTitle"/>
      </w:pPr>
      <w:bookmarkStart w:id="46" w:name="_Ref138756961"/>
      <w:r w:rsidRPr="00714F56">
        <w:t xml:space="preserve">Table </w:t>
      </w:r>
      <w:r w:rsidR="005C10C9">
        <w:fldChar w:fldCharType="begin"/>
      </w:r>
      <w:r w:rsidR="005C10C9">
        <w:instrText xml:space="preserve"> SEQ Table \* ARABIC </w:instrText>
      </w:r>
      <w:r w:rsidR="005C10C9">
        <w:fldChar w:fldCharType="separate"/>
      </w:r>
      <w:r w:rsidR="00193AA8">
        <w:rPr>
          <w:noProof/>
        </w:rPr>
        <w:t>8</w:t>
      </w:r>
      <w:r w:rsidR="005C10C9">
        <w:rPr>
          <w:noProof/>
        </w:rPr>
        <w:fldChar w:fldCharType="end"/>
      </w:r>
      <w:bookmarkEnd w:id="46"/>
      <w:r>
        <w:t>:</w:t>
      </w:r>
      <w:r w:rsidRPr="00714F56">
        <w:t xml:space="preserve"> </w:t>
      </w:r>
      <w:r w:rsidRPr="00300796">
        <w:t xml:space="preserve">Study </w:t>
      </w:r>
      <w:r w:rsidRPr="002B13CB">
        <w:t>V503-020</w:t>
      </w:r>
      <w:r>
        <w:t xml:space="preserve"> S</w:t>
      </w:r>
      <w:r w:rsidRPr="0048004A">
        <w:t xml:space="preserve">econdary endpoint results: comparison of </w:t>
      </w:r>
      <w:r w:rsidRPr="00A83339">
        <w:t>geometric mean titr</w:t>
      </w:r>
      <w:r>
        <w:t>es</w:t>
      </w:r>
      <w:r w:rsidRPr="0048004A">
        <w:t xml:space="preserve"> </w:t>
      </w:r>
      <w:r>
        <w:t>by</w:t>
      </w:r>
      <w:r w:rsidRPr="0048004A">
        <w:t xml:space="preserve"> group (</w:t>
      </w:r>
      <w:r>
        <w:t>p</w:t>
      </w:r>
      <w:r w:rsidRPr="0048004A">
        <w:t>er-</w:t>
      </w:r>
      <w:r>
        <w:t>p</w:t>
      </w:r>
      <w:r w:rsidRPr="0048004A">
        <w:t xml:space="preserve">rotocol </w:t>
      </w:r>
      <w:r>
        <w:t>i</w:t>
      </w:r>
      <w:r w:rsidRPr="0048004A">
        <w:t xml:space="preserve">mmunogenicity </w:t>
      </w:r>
      <w:r>
        <w:t>set</w:t>
      </w:r>
      <w:r w:rsidRPr="0048004A">
        <w:t>)</w:t>
      </w:r>
    </w:p>
    <w:p w14:paraId="5B68FD16" w14:textId="65C20C82" w:rsidR="00714F56" w:rsidRPr="00714F56" w:rsidRDefault="00714F56" w:rsidP="00714F56">
      <w:r w:rsidRPr="00E21739">
        <w:rPr>
          <w:noProof/>
          <w:lang w:eastAsia="en-AU"/>
        </w:rPr>
        <w:drawing>
          <wp:inline distT="0" distB="0" distL="0" distR="0" wp14:anchorId="6066B70F" wp14:editId="56681CAF">
            <wp:extent cx="5731510" cy="1939925"/>
            <wp:effectExtent l="0" t="0" r="2540" b="3175"/>
            <wp:docPr id="8" name="Picture 8" descr="Study V503-020 Secondary endpoint results: comparison of geometric mean titres by group (per-protocol immunogenic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V503-020 Secondary endpoint results: comparison of geometric mean titres by group (per-protocol immunogenicity set)"/>
                    <pic:cNvPicPr/>
                  </pic:nvPicPr>
                  <pic:blipFill>
                    <a:blip r:embed="rId32"/>
                    <a:stretch>
                      <a:fillRect/>
                    </a:stretch>
                  </pic:blipFill>
                  <pic:spPr>
                    <a:xfrm>
                      <a:off x="0" y="0"/>
                      <a:ext cx="5731510" cy="1939925"/>
                    </a:xfrm>
                    <a:prstGeom prst="rect">
                      <a:avLst/>
                    </a:prstGeom>
                  </pic:spPr>
                </pic:pic>
              </a:graphicData>
            </a:graphic>
          </wp:inline>
        </w:drawing>
      </w:r>
    </w:p>
    <w:p w14:paraId="484CD88A" w14:textId="758B3587" w:rsidR="00714F56" w:rsidRDefault="00714F56" w:rsidP="00714F56">
      <w:pPr>
        <w:pStyle w:val="TableTitle"/>
      </w:pPr>
      <w:bookmarkStart w:id="47" w:name="_Ref138756974"/>
      <w:r w:rsidRPr="00714F56">
        <w:lastRenderedPageBreak/>
        <w:t xml:space="preserve">Table </w:t>
      </w:r>
      <w:r w:rsidR="005C10C9">
        <w:fldChar w:fldCharType="begin"/>
      </w:r>
      <w:r w:rsidR="005C10C9">
        <w:instrText xml:space="preserve"> SEQ Table \* ARABIC </w:instrText>
      </w:r>
      <w:r w:rsidR="005C10C9">
        <w:fldChar w:fldCharType="separate"/>
      </w:r>
      <w:r w:rsidR="00193AA8">
        <w:rPr>
          <w:noProof/>
        </w:rPr>
        <w:t>9</w:t>
      </w:r>
      <w:r w:rsidR="005C10C9">
        <w:rPr>
          <w:noProof/>
        </w:rPr>
        <w:fldChar w:fldCharType="end"/>
      </w:r>
      <w:bookmarkEnd w:id="47"/>
      <w:r w:rsidRPr="00714F56">
        <w:t>:</w:t>
      </w:r>
      <w:r>
        <w:t xml:space="preserve"> </w:t>
      </w:r>
      <w:r w:rsidRPr="00714F56">
        <w:t>Study V503-020</w:t>
      </w:r>
      <w:r>
        <w:t xml:space="preserve"> S</w:t>
      </w:r>
      <w:r w:rsidRPr="00714F56">
        <w:t>econdary endpoint results: anti-HPV types 6, 11, 16 and 18 seroconversion percentages at 4 weeks by group (</w:t>
      </w:r>
      <w:r>
        <w:t>p</w:t>
      </w:r>
      <w:r w:rsidRPr="00714F56">
        <w:t>er-</w:t>
      </w:r>
      <w:r>
        <w:t>p</w:t>
      </w:r>
      <w:r w:rsidRPr="00714F56">
        <w:t xml:space="preserve">rotocol </w:t>
      </w:r>
      <w:r>
        <w:t>i</w:t>
      </w:r>
      <w:r w:rsidRPr="00714F56">
        <w:t xml:space="preserve">mmunogenicity </w:t>
      </w:r>
      <w:r>
        <w:t>s</w:t>
      </w:r>
      <w:r w:rsidRPr="00714F56">
        <w:t>et)</w:t>
      </w:r>
    </w:p>
    <w:p w14:paraId="058B9A57" w14:textId="664923E2" w:rsidR="00714F56" w:rsidRPr="00714F56" w:rsidRDefault="00714F56" w:rsidP="00714F56">
      <w:r w:rsidRPr="00E21739">
        <w:rPr>
          <w:noProof/>
          <w:lang w:eastAsia="en-AU"/>
        </w:rPr>
        <w:drawing>
          <wp:inline distT="0" distB="0" distL="0" distR="0" wp14:anchorId="1EF2711E" wp14:editId="36A34A20">
            <wp:extent cx="5335398" cy="2581987"/>
            <wp:effectExtent l="0" t="0" r="0" b="8890"/>
            <wp:docPr id="21" name="Picture 21" descr="Study V503-020 Secondary endpoint results: anti-HPV types 6, 11, 16 and 18 seroconversion percentages at 4 weeks by group (per-protocol immunogenic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V503-020 Secondary endpoint results: anti-HPV types 6, 11, 16 and 18 seroconversion percentages at 4 weeks by group (per-protocol immunogenicity set)."/>
                    <pic:cNvPicPr/>
                  </pic:nvPicPr>
                  <pic:blipFill>
                    <a:blip r:embed="rId33"/>
                    <a:stretch>
                      <a:fillRect/>
                    </a:stretch>
                  </pic:blipFill>
                  <pic:spPr>
                    <a:xfrm>
                      <a:off x="0" y="0"/>
                      <a:ext cx="5342085" cy="2585223"/>
                    </a:xfrm>
                    <a:prstGeom prst="rect">
                      <a:avLst/>
                    </a:prstGeom>
                  </pic:spPr>
                </pic:pic>
              </a:graphicData>
            </a:graphic>
          </wp:inline>
        </w:drawing>
      </w:r>
    </w:p>
    <w:p w14:paraId="756CEA20" w14:textId="0C46071A" w:rsidR="00714F56" w:rsidRDefault="00714F56" w:rsidP="00714F56">
      <w:pPr>
        <w:pStyle w:val="TableTitle"/>
      </w:pPr>
      <w:bookmarkStart w:id="48" w:name="_Ref138756985"/>
      <w:r w:rsidRPr="00714F56">
        <w:t xml:space="preserve">Table </w:t>
      </w:r>
      <w:r w:rsidR="005C10C9">
        <w:fldChar w:fldCharType="begin"/>
      </w:r>
      <w:r w:rsidR="005C10C9">
        <w:instrText xml:space="preserve"> SEQ Table \* ARABIC </w:instrText>
      </w:r>
      <w:r w:rsidR="005C10C9">
        <w:fldChar w:fldCharType="separate"/>
      </w:r>
      <w:r w:rsidR="00193AA8">
        <w:rPr>
          <w:noProof/>
        </w:rPr>
        <w:t>10</w:t>
      </w:r>
      <w:r w:rsidR="005C10C9">
        <w:rPr>
          <w:noProof/>
        </w:rPr>
        <w:fldChar w:fldCharType="end"/>
      </w:r>
      <w:bookmarkEnd w:id="48"/>
      <w:r>
        <w:t xml:space="preserve">: </w:t>
      </w:r>
      <w:r w:rsidRPr="0048004A">
        <w:t>Study V503-</w:t>
      </w:r>
      <w:r>
        <w:t>020 S</w:t>
      </w:r>
      <w:r w:rsidRPr="0048004A">
        <w:t>econdary endpoint results: anti-HPV types 31, 33, 45, 52 and 58</w:t>
      </w:r>
      <w:r>
        <w:t xml:space="preserve"> </w:t>
      </w:r>
      <w:r w:rsidRPr="0048004A">
        <w:t xml:space="preserve">seroconversion percentages at 4 weeks </w:t>
      </w:r>
      <w:r>
        <w:t xml:space="preserve">by group </w:t>
      </w:r>
      <w:r w:rsidRPr="0048004A">
        <w:t>(</w:t>
      </w:r>
      <w:r>
        <w:t>p</w:t>
      </w:r>
      <w:r w:rsidRPr="0048004A">
        <w:t>er</w:t>
      </w:r>
      <w:r>
        <w:t>-p</w:t>
      </w:r>
      <w:r w:rsidRPr="0048004A">
        <w:t xml:space="preserve">rotocol </w:t>
      </w:r>
      <w:r>
        <w:t>i</w:t>
      </w:r>
      <w:r w:rsidRPr="0048004A">
        <w:t xml:space="preserve">mmunogenicity </w:t>
      </w:r>
      <w:r>
        <w:t>set</w:t>
      </w:r>
      <w:r w:rsidRPr="0048004A">
        <w:t>)</w:t>
      </w:r>
    </w:p>
    <w:p w14:paraId="1432F226" w14:textId="0CAD44DE" w:rsidR="00714F56" w:rsidRDefault="00714F56" w:rsidP="005C6941">
      <w:r w:rsidRPr="00E21739">
        <w:rPr>
          <w:noProof/>
          <w:lang w:eastAsia="en-AU"/>
        </w:rPr>
        <w:drawing>
          <wp:inline distT="0" distB="0" distL="0" distR="0" wp14:anchorId="1A667842" wp14:editId="25280B4B">
            <wp:extent cx="5343787" cy="1795668"/>
            <wp:effectExtent l="0" t="0" r="0" b="0"/>
            <wp:docPr id="22" name="Picture 22" descr="Study V503-020 Secondary endpoint results: anti-HPV types 31, 33, 45, 52 and 58 seroconversion percentages at 4 weeks by group (per-protocol immunogenic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V503-020 Secondary endpoint results: anti-HPV types 31, 33, 45, 52 and 58 seroconversion percentages at 4 weeks by group (per-protocol immunogenicity set)."/>
                    <pic:cNvPicPr/>
                  </pic:nvPicPr>
                  <pic:blipFill>
                    <a:blip r:embed="rId34"/>
                    <a:stretch>
                      <a:fillRect/>
                    </a:stretch>
                  </pic:blipFill>
                  <pic:spPr>
                    <a:xfrm>
                      <a:off x="0" y="0"/>
                      <a:ext cx="5365845" cy="1803080"/>
                    </a:xfrm>
                    <a:prstGeom prst="rect">
                      <a:avLst/>
                    </a:prstGeom>
                  </pic:spPr>
                </pic:pic>
              </a:graphicData>
            </a:graphic>
          </wp:inline>
        </w:drawing>
      </w:r>
    </w:p>
    <w:p w14:paraId="1B4E4867" w14:textId="5A4C6D5D" w:rsidR="00714F56" w:rsidRPr="007256B3" w:rsidRDefault="00714F56" w:rsidP="007256B3">
      <w:pPr>
        <w:pStyle w:val="Heading5"/>
      </w:pPr>
      <w:r w:rsidRPr="007256B3">
        <w:t>Post-hoc cross-study immunogenicity analysis of Gardasil</w:t>
      </w:r>
    </w:p>
    <w:p w14:paraId="253C60A0" w14:textId="20DB4474" w:rsidR="00714F56" w:rsidRDefault="00714F56" w:rsidP="00714F56">
      <w:pPr>
        <w:spacing w:line="240" w:lineRule="auto"/>
        <w:rPr>
          <w:lang w:eastAsia="ja-JP"/>
        </w:rPr>
      </w:pPr>
      <w:r w:rsidRPr="00593F74">
        <w:rPr>
          <w:i/>
          <w:iCs/>
          <w:lang w:eastAsia="ja-JP"/>
        </w:rPr>
        <w:t>Post-hoc</w:t>
      </w:r>
      <w:r>
        <w:rPr>
          <w:lang w:eastAsia="ja-JP"/>
        </w:rPr>
        <w:t xml:space="preserve"> cross-study immunogenicity analysis </w:t>
      </w:r>
      <w:r w:rsidR="00CA4A9A">
        <w:rPr>
          <w:lang w:eastAsia="ja-JP"/>
        </w:rPr>
        <w:t>(</w:t>
      </w:r>
      <w:r w:rsidR="00CA4A9A" w:rsidRPr="00CA4A9A">
        <w:rPr>
          <w:lang w:eastAsia="ja-JP"/>
        </w:rPr>
        <w:t>Study V501-108 versus Study V501-020</w:t>
      </w:r>
      <w:r w:rsidR="00CA4A9A">
        <w:rPr>
          <w:lang w:eastAsia="ja-JP"/>
        </w:rPr>
        <w:t xml:space="preserve">) </w:t>
      </w:r>
      <w:r>
        <w:rPr>
          <w:lang w:eastAsia="ja-JP"/>
        </w:rPr>
        <w:t>conducted to compare</w:t>
      </w:r>
      <w:r w:rsidRPr="00593F74">
        <w:rPr>
          <w:lang w:eastAsia="ja-JP"/>
        </w:rPr>
        <w:t xml:space="preserve"> </w:t>
      </w:r>
      <w:r>
        <w:rPr>
          <w:lang w:eastAsia="ja-JP"/>
        </w:rPr>
        <w:t>HPV 6, 11, 16, and 18 antibody GMTs at Month 7 in men</w:t>
      </w:r>
      <w:r w:rsidRPr="00593F74">
        <w:rPr>
          <w:lang w:eastAsia="ja-JP"/>
        </w:rPr>
        <w:t xml:space="preserve"> </w:t>
      </w:r>
      <w:r>
        <w:rPr>
          <w:lang w:eastAsia="ja-JP"/>
        </w:rPr>
        <w:t xml:space="preserve">who received </w:t>
      </w:r>
      <w:r w:rsidR="007256B3">
        <w:rPr>
          <w:lang w:eastAsia="ja-JP"/>
        </w:rPr>
        <w:t>three</w:t>
      </w:r>
      <w:r>
        <w:rPr>
          <w:lang w:eastAsia="ja-JP"/>
        </w:rPr>
        <w:t xml:space="preserve"> doses of qHPV vaccine:</w:t>
      </w:r>
    </w:p>
    <w:p w14:paraId="5B155FF7" w14:textId="089211F5" w:rsidR="00714F56" w:rsidRPr="00593F74" w:rsidRDefault="00714F56" w:rsidP="007256B3">
      <w:pPr>
        <w:pStyle w:val="ListBullet"/>
      </w:pPr>
      <w:r w:rsidRPr="007256B3">
        <w:t>Study V501-108</w:t>
      </w:r>
      <w:r w:rsidRPr="007256B3">
        <w:rPr>
          <w:rFonts w:asciiTheme="minorHAnsi" w:hAnsiTheme="minorHAnsi"/>
        </w:rPr>
        <w:t>:</w:t>
      </w:r>
      <w:r w:rsidRPr="00593F74">
        <w:rPr>
          <w:rFonts w:asciiTheme="minorHAnsi" w:hAnsiTheme="minorHAnsi"/>
        </w:rPr>
        <w:t xml:space="preserve"> </w:t>
      </w:r>
      <w:r>
        <w:t>men aged 27 to 45</w:t>
      </w:r>
      <w:r w:rsidR="007256B3">
        <w:t xml:space="preserve"> </w:t>
      </w:r>
      <w:r>
        <w:t>y</w:t>
      </w:r>
      <w:r w:rsidR="007256B3">
        <w:t>ears old</w:t>
      </w:r>
      <w:r w:rsidR="0034584A">
        <w:t>; versus</w:t>
      </w:r>
    </w:p>
    <w:p w14:paraId="5E0F74E0" w14:textId="251736F4" w:rsidR="00714F56" w:rsidRDefault="00714F56" w:rsidP="007256B3">
      <w:pPr>
        <w:pStyle w:val="ListBullet"/>
      </w:pPr>
      <w:r w:rsidRPr="00593F74">
        <w:t xml:space="preserve">Study V501-020: </w:t>
      </w:r>
      <w:r>
        <w:t>men aged 16 to 26</w:t>
      </w:r>
      <w:r w:rsidR="007256B3">
        <w:t xml:space="preserve"> </w:t>
      </w:r>
      <w:r>
        <w:t>y</w:t>
      </w:r>
      <w:r w:rsidR="007256B3">
        <w:t>ears old</w:t>
      </w:r>
      <w:r>
        <w:t xml:space="preserve"> (pivotal efficacy study of qHPV vaccine that demonstrated efficacy in males, previously evaluated)</w:t>
      </w:r>
      <w:bookmarkStart w:id="49" w:name="_Ref138762674"/>
      <w:r w:rsidR="00CA4A9A">
        <w:rPr>
          <w:rStyle w:val="FootnoteReference"/>
        </w:rPr>
        <w:footnoteReference w:id="7"/>
      </w:r>
      <w:bookmarkEnd w:id="49"/>
    </w:p>
    <w:p w14:paraId="311C31B4" w14:textId="77777777" w:rsidR="00CA4A9A" w:rsidRDefault="00714F56" w:rsidP="00CA4A9A">
      <w:pPr>
        <w:pStyle w:val="Heading6"/>
        <w:rPr>
          <w:lang w:eastAsia="ja-JP"/>
        </w:rPr>
      </w:pPr>
      <w:r w:rsidRPr="00DD0AB6">
        <w:rPr>
          <w:lang w:eastAsia="ja-JP"/>
        </w:rPr>
        <w:t>Primary objective of Study V501-108</w:t>
      </w:r>
    </w:p>
    <w:p w14:paraId="12038FAB" w14:textId="6F1D4DC4" w:rsidR="00714F56" w:rsidRDefault="00CA4A9A" w:rsidP="00714F56">
      <w:pPr>
        <w:spacing w:line="240" w:lineRule="auto"/>
        <w:rPr>
          <w:lang w:eastAsia="ja-JP"/>
        </w:rPr>
      </w:pPr>
      <w:r w:rsidRPr="00CA4A9A">
        <w:rPr>
          <w:lang w:eastAsia="ja-JP"/>
        </w:rPr>
        <w:t>Primary objective of Study V501-108</w:t>
      </w:r>
      <w:r>
        <w:rPr>
          <w:lang w:eastAsia="ja-JP"/>
        </w:rPr>
        <w:t xml:space="preserve"> was </w:t>
      </w:r>
      <w:r w:rsidR="00714F56" w:rsidRPr="00972536">
        <w:rPr>
          <w:lang w:eastAsia="ja-JP"/>
        </w:rPr>
        <w:t xml:space="preserve">to establish the immunogenicity of </w:t>
      </w:r>
      <w:r w:rsidR="00714F56">
        <w:rPr>
          <w:lang w:eastAsia="ja-JP"/>
        </w:rPr>
        <w:t>qHPV</w:t>
      </w:r>
      <w:r w:rsidR="00714F56" w:rsidRPr="00972536">
        <w:rPr>
          <w:lang w:eastAsia="ja-JP"/>
        </w:rPr>
        <w:t xml:space="preserve"> among mid</w:t>
      </w:r>
      <w:r w:rsidR="0034584A">
        <w:rPr>
          <w:lang w:eastAsia="ja-JP"/>
        </w:rPr>
        <w:noBreakHyphen/>
      </w:r>
      <w:r w:rsidR="00714F56" w:rsidRPr="00972536">
        <w:rPr>
          <w:lang w:eastAsia="ja-JP"/>
        </w:rPr>
        <w:t>adult men.</w:t>
      </w:r>
      <w:r w:rsidR="00714F56">
        <w:rPr>
          <w:lang w:eastAsia="ja-JP"/>
        </w:rPr>
        <w:t xml:space="preserve"> </w:t>
      </w:r>
      <w:r w:rsidR="00714F56" w:rsidRPr="00972536">
        <w:rPr>
          <w:lang w:eastAsia="ja-JP"/>
        </w:rPr>
        <w:t xml:space="preserve">150 adult men </w:t>
      </w:r>
      <w:r w:rsidR="00714F56">
        <w:rPr>
          <w:lang w:eastAsia="ja-JP"/>
        </w:rPr>
        <w:t xml:space="preserve">aged </w:t>
      </w:r>
      <w:r w:rsidR="00714F56" w:rsidRPr="00972536">
        <w:rPr>
          <w:lang w:eastAsia="ja-JP"/>
        </w:rPr>
        <w:t>27 to 45</w:t>
      </w:r>
      <w:r w:rsidR="00714F56">
        <w:rPr>
          <w:lang w:eastAsia="ja-JP"/>
        </w:rPr>
        <w:t xml:space="preserve">y were </w:t>
      </w:r>
      <w:r w:rsidR="00714F56" w:rsidRPr="00972536">
        <w:rPr>
          <w:lang w:eastAsia="ja-JP"/>
        </w:rPr>
        <w:t>enrolled to receive a</w:t>
      </w:r>
      <w:r>
        <w:rPr>
          <w:lang w:eastAsia="ja-JP"/>
        </w:rPr>
        <w:t xml:space="preserve"> </w:t>
      </w:r>
      <w:r w:rsidR="005C10C9">
        <w:rPr>
          <w:lang w:eastAsia="ja-JP"/>
        </w:rPr>
        <w:t>three-dose</w:t>
      </w:r>
      <w:r w:rsidR="00714F56" w:rsidRPr="00972536">
        <w:rPr>
          <w:lang w:eastAsia="ja-JP"/>
        </w:rPr>
        <w:t xml:space="preserve"> series of qHPV vaccine (at Day 1, Month 2 and Month 6).</w:t>
      </w:r>
      <w:r w:rsidR="00714F56">
        <w:rPr>
          <w:lang w:eastAsia="ja-JP"/>
        </w:rPr>
        <w:t xml:space="preserve"> </w:t>
      </w:r>
      <w:r w:rsidR="00714F56" w:rsidRPr="00972536">
        <w:rPr>
          <w:lang w:eastAsia="ja-JP"/>
        </w:rPr>
        <w:t xml:space="preserve">Antibody response to HPV 6, 11, 16, and 18 was </w:t>
      </w:r>
      <w:r w:rsidR="00714F56" w:rsidRPr="00972536">
        <w:rPr>
          <w:lang w:eastAsia="ja-JP"/>
        </w:rPr>
        <w:lastRenderedPageBreak/>
        <w:t xml:space="preserve">assessed at Month 7 by </w:t>
      </w:r>
      <w:r w:rsidRPr="00CA4A9A">
        <w:rPr>
          <w:lang w:eastAsia="ja-JP"/>
        </w:rPr>
        <w:t xml:space="preserve">chemiluminescence immunoassay </w:t>
      </w:r>
      <w:r>
        <w:rPr>
          <w:lang w:eastAsia="ja-JP"/>
        </w:rPr>
        <w:t>(</w:t>
      </w:r>
      <w:r w:rsidR="00714F56" w:rsidRPr="00972536">
        <w:rPr>
          <w:lang w:eastAsia="ja-JP"/>
        </w:rPr>
        <w:t>cLIA</w:t>
      </w:r>
      <w:r>
        <w:rPr>
          <w:lang w:eastAsia="ja-JP"/>
        </w:rPr>
        <w:t>)</w:t>
      </w:r>
      <w:r w:rsidR="00714F56" w:rsidRPr="00972536">
        <w:rPr>
          <w:lang w:eastAsia="ja-JP"/>
        </w:rPr>
        <w:t>.</w:t>
      </w:r>
      <w:r w:rsidR="00714F56">
        <w:rPr>
          <w:lang w:eastAsia="ja-JP"/>
        </w:rPr>
        <w:t xml:space="preserve"> The </w:t>
      </w:r>
      <w:r>
        <w:rPr>
          <w:lang w:eastAsia="ja-JP"/>
        </w:rPr>
        <w:t xml:space="preserve">sponsor </w:t>
      </w:r>
      <w:r w:rsidR="00714F56">
        <w:rPr>
          <w:lang w:eastAsia="ja-JP"/>
        </w:rPr>
        <w:t>dossier does not include a</w:t>
      </w:r>
      <w:r w:rsidRPr="00CA4A9A">
        <w:t xml:space="preserve"> </w:t>
      </w:r>
      <w:r w:rsidRPr="00CA4A9A">
        <w:rPr>
          <w:lang w:eastAsia="ja-JP"/>
        </w:rPr>
        <w:t>clinical study report</w:t>
      </w:r>
      <w:r w:rsidR="00714F56">
        <w:rPr>
          <w:lang w:eastAsia="ja-JP"/>
        </w:rPr>
        <w:t xml:space="preserve"> for Study V501-108, but instead has presented a</w:t>
      </w:r>
      <w:r>
        <w:rPr>
          <w:lang w:eastAsia="ja-JP"/>
        </w:rPr>
        <w:t xml:space="preserve"> journal article.</w:t>
      </w:r>
      <w:r>
        <w:rPr>
          <w:rStyle w:val="FootnoteReference"/>
          <w:lang w:eastAsia="ja-JP"/>
        </w:rPr>
        <w:footnoteReference w:id="8"/>
      </w:r>
    </w:p>
    <w:p w14:paraId="593EEB4D" w14:textId="77777777" w:rsidR="00875C1A" w:rsidRDefault="00714F56" w:rsidP="00875C1A">
      <w:pPr>
        <w:pStyle w:val="Heading6"/>
        <w:rPr>
          <w:lang w:eastAsia="ja-JP"/>
        </w:rPr>
      </w:pPr>
      <w:r w:rsidRPr="00DD0AB6">
        <w:rPr>
          <w:lang w:eastAsia="ja-JP"/>
        </w:rPr>
        <w:t>Primary objective of Study V501-020</w:t>
      </w:r>
    </w:p>
    <w:p w14:paraId="2DAB41E1" w14:textId="2309D21B" w:rsidR="00714F56" w:rsidRDefault="00875C1A" w:rsidP="00714F56">
      <w:pPr>
        <w:spacing w:line="240" w:lineRule="auto"/>
        <w:rPr>
          <w:lang w:eastAsia="ja-JP"/>
        </w:rPr>
      </w:pPr>
      <w:r w:rsidRPr="00CA4A9A">
        <w:rPr>
          <w:lang w:eastAsia="ja-JP"/>
        </w:rPr>
        <w:t xml:space="preserve">Primary objective of </w:t>
      </w:r>
      <w:r w:rsidRPr="00875C1A">
        <w:rPr>
          <w:lang w:eastAsia="ja-JP"/>
        </w:rPr>
        <w:t>Study V501-020</w:t>
      </w:r>
      <w:r>
        <w:rPr>
          <w:lang w:eastAsia="ja-JP"/>
        </w:rPr>
        <w:t xml:space="preserve"> was </w:t>
      </w:r>
      <w:r w:rsidR="00714F56" w:rsidRPr="00972536">
        <w:rPr>
          <w:lang w:eastAsia="ja-JP"/>
        </w:rPr>
        <w:t>to determine</w:t>
      </w:r>
      <w:r w:rsidR="00714F56">
        <w:rPr>
          <w:lang w:eastAsia="ja-JP"/>
        </w:rPr>
        <w:t xml:space="preserve"> qHPV</w:t>
      </w:r>
      <w:r w:rsidR="00714F56" w:rsidRPr="00972536">
        <w:rPr>
          <w:lang w:eastAsia="ja-JP"/>
        </w:rPr>
        <w:t xml:space="preserve"> vaccine efficacy in preventing </w:t>
      </w:r>
      <w:r w:rsidR="00714F56">
        <w:rPr>
          <w:lang w:eastAsia="ja-JP"/>
        </w:rPr>
        <w:t>external genital lesion</w:t>
      </w:r>
      <w:r w:rsidR="00714F56" w:rsidRPr="00972536">
        <w:rPr>
          <w:lang w:eastAsia="ja-JP"/>
        </w:rPr>
        <w:t xml:space="preserve"> related to HPV types 6, 11, 16 and/or 18 in men who were naïve to these HPV types at </w:t>
      </w:r>
      <w:r>
        <w:rPr>
          <w:lang w:eastAsia="ja-JP"/>
        </w:rPr>
        <w:t>B</w:t>
      </w:r>
      <w:r w:rsidR="00714F56" w:rsidRPr="00972536">
        <w:rPr>
          <w:lang w:eastAsia="ja-JP"/>
        </w:rPr>
        <w:t>aseline, following</w:t>
      </w:r>
      <w:r w:rsidR="00714F56">
        <w:rPr>
          <w:lang w:eastAsia="ja-JP"/>
        </w:rPr>
        <w:t xml:space="preserve"> a</w:t>
      </w:r>
      <w:r w:rsidR="00714F56" w:rsidRPr="00972536">
        <w:rPr>
          <w:lang w:eastAsia="ja-JP"/>
        </w:rPr>
        <w:t xml:space="preserve"> completion of </w:t>
      </w:r>
      <w:r>
        <w:rPr>
          <w:lang w:eastAsia="ja-JP"/>
        </w:rPr>
        <w:t xml:space="preserve">three </w:t>
      </w:r>
      <w:r w:rsidR="00714F56" w:rsidRPr="00972536">
        <w:rPr>
          <w:lang w:eastAsia="ja-JP"/>
        </w:rPr>
        <w:t xml:space="preserve">dose course of vaccination administered at </w:t>
      </w:r>
      <w:r w:rsidR="00714F56">
        <w:rPr>
          <w:lang w:eastAsia="ja-JP"/>
        </w:rPr>
        <w:t>Day 1</w:t>
      </w:r>
      <w:r w:rsidR="00714F56" w:rsidRPr="00972536">
        <w:rPr>
          <w:lang w:eastAsia="ja-JP"/>
        </w:rPr>
        <w:t xml:space="preserve">, </w:t>
      </w:r>
      <w:r w:rsidR="00714F56">
        <w:rPr>
          <w:lang w:eastAsia="ja-JP"/>
        </w:rPr>
        <w:t xml:space="preserve">Month </w:t>
      </w:r>
      <w:r w:rsidR="00714F56" w:rsidRPr="00972536">
        <w:rPr>
          <w:lang w:eastAsia="ja-JP"/>
        </w:rPr>
        <w:t xml:space="preserve">2 and </w:t>
      </w:r>
      <w:r w:rsidR="00714F56">
        <w:rPr>
          <w:lang w:eastAsia="ja-JP"/>
        </w:rPr>
        <w:t xml:space="preserve">Month </w:t>
      </w:r>
      <w:r w:rsidR="00714F56" w:rsidRPr="00972536">
        <w:rPr>
          <w:lang w:eastAsia="ja-JP"/>
        </w:rPr>
        <w:t xml:space="preserve">6. The design was randomised, double blind, </w:t>
      </w:r>
      <w:r w:rsidR="00714F56">
        <w:rPr>
          <w:lang w:eastAsia="ja-JP"/>
        </w:rPr>
        <w:t xml:space="preserve">and </w:t>
      </w:r>
      <w:r w:rsidR="00714F56" w:rsidRPr="00972536">
        <w:rPr>
          <w:lang w:eastAsia="ja-JP"/>
        </w:rPr>
        <w:t>placebo controlled. A total of 4</w:t>
      </w:r>
      <w:r w:rsidR="00714F56">
        <w:rPr>
          <w:lang w:eastAsia="ja-JP"/>
        </w:rPr>
        <w:t>,</w:t>
      </w:r>
      <w:r w:rsidR="00714F56" w:rsidRPr="00972536">
        <w:rPr>
          <w:lang w:eastAsia="ja-JP"/>
        </w:rPr>
        <w:t xml:space="preserve">065 men </w:t>
      </w:r>
      <w:r w:rsidR="00714F56">
        <w:rPr>
          <w:lang w:eastAsia="ja-JP"/>
        </w:rPr>
        <w:t xml:space="preserve">16 to 26 </w:t>
      </w:r>
      <w:r>
        <w:rPr>
          <w:lang w:eastAsia="ja-JP"/>
        </w:rPr>
        <w:t>year of age</w:t>
      </w:r>
      <w:r w:rsidR="00714F56">
        <w:rPr>
          <w:lang w:eastAsia="ja-JP"/>
        </w:rPr>
        <w:t xml:space="preserve"> </w:t>
      </w:r>
      <w:r w:rsidR="00714F56" w:rsidRPr="00972536">
        <w:rPr>
          <w:lang w:eastAsia="ja-JP"/>
        </w:rPr>
        <w:t xml:space="preserve">were </w:t>
      </w:r>
      <w:r w:rsidR="00714F56">
        <w:rPr>
          <w:lang w:eastAsia="ja-JP"/>
        </w:rPr>
        <w:t>enrolled</w:t>
      </w:r>
      <w:r w:rsidR="00714F56" w:rsidRPr="00972536">
        <w:rPr>
          <w:lang w:eastAsia="ja-JP"/>
        </w:rPr>
        <w:t>.</w:t>
      </w:r>
      <w:r w:rsidR="00714F56">
        <w:rPr>
          <w:lang w:eastAsia="ja-JP"/>
        </w:rPr>
        <w:t xml:space="preserve"> </w:t>
      </w:r>
      <w:r w:rsidR="00714F56" w:rsidRPr="00972536">
        <w:rPr>
          <w:lang w:eastAsia="ja-JP"/>
        </w:rPr>
        <w:t>Antibody response to HPV 6, 11, 16, and 18 was assessed at Month 7</w:t>
      </w:r>
      <w:r w:rsidR="00714F56">
        <w:rPr>
          <w:lang w:eastAsia="ja-JP"/>
        </w:rPr>
        <w:t>.</w:t>
      </w:r>
    </w:p>
    <w:p w14:paraId="1E0B1567" w14:textId="02ADCC93" w:rsidR="00714F56" w:rsidRDefault="00714F56" w:rsidP="00714F56">
      <w:pPr>
        <w:spacing w:line="240" w:lineRule="auto"/>
        <w:rPr>
          <w:lang w:eastAsia="ja-JP"/>
        </w:rPr>
      </w:pPr>
      <w:r w:rsidRPr="008337C7">
        <w:rPr>
          <w:lang w:eastAsia="ja-JP"/>
        </w:rPr>
        <w:t xml:space="preserve">Based on analysis of the PPI populations, GMT ratios (men </w:t>
      </w:r>
      <w:r>
        <w:rPr>
          <w:lang w:eastAsia="ja-JP"/>
        </w:rPr>
        <w:t xml:space="preserve">aged </w:t>
      </w:r>
      <w:r w:rsidRPr="008337C7">
        <w:rPr>
          <w:lang w:eastAsia="ja-JP"/>
        </w:rPr>
        <w:t>27 to 45</w:t>
      </w:r>
      <w:r w:rsidR="00875C1A">
        <w:rPr>
          <w:lang w:eastAsia="ja-JP"/>
        </w:rPr>
        <w:t xml:space="preserve"> </w:t>
      </w:r>
      <w:r>
        <w:rPr>
          <w:lang w:eastAsia="ja-JP"/>
        </w:rPr>
        <w:t>y</w:t>
      </w:r>
      <w:r w:rsidR="00875C1A">
        <w:rPr>
          <w:lang w:eastAsia="ja-JP"/>
        </w:rPr>
        <w:t>ears</w:t>
      </w:r>
      <w:r>
        <w:rPr>
          <w:lang w:eastAsia="ja-JP"/>
        </w:rPr>
        <w:t xml:space="preserve"> v</w:t>
      </w:r>
      <w:r w:rsidR="00875C1A">
        <w:rPr>
          <w:lang w:eastAsia="ja-JP"/>
        </w:rPr>
        <w:t>ersus</w:t>
      </w:r>
      <w:r>
        <w:rPr>
          <w:lang w:eastAsia="ja-JP"/>
        </w:rPr>
        <w:t xml:space="preserve"> </w:t>
      </w:r>
      <w:r w:rsidRPr="008337C7">
        <w:rPr>
          <w:lang w:eastAsia="ja-JP"/>
        </w:rPr>
        <w:t xml:space="preserve">men </w:t>
      </w:r>
      <w:r>
        <w:rPr>
          <w:lang w:eastAsia="ja-JP"/>
        </w:rPr>
        <w:t xml:space="preserve">aged </w:t>
      </w:r>
      <w:r w:rsidRPr="008337C7">
        <w:rPr>
          <w:lang w:eastAsia="ja-JP"/>
        </w:rPr>
        <w:t>16 to 26</w:t>
      </w:r>
      <w:r w:rsidR="00875C1A">
        <w:rPr>
          <w:lang w:eastAsia="ja-JP"/>
        </w:rPr>
        <w:t xml:space="preserve"> </w:t>
      </w:r>
      <w:r w:rsidRPr="008337C7">
        <w:rPr>
          <w:lang w:eastAsia="ja-JP"/>
        </w:rPr>
        <w:t>y</w:t>
      </w:r>
      <w:r w:rsidR="00875C1A">
        <w:rPr>
          <w:lang w:eastAsia="ja-JP"/>
        </w:rPr>
        <w:t>ears</w:t>
      </w:r>
      <w:r w:rsidRPr="008337C7">
        <w:rPr>
          <w:lang w:eastAsia="ja-JP"/>
        </w:rPr>
        <w:t>) ranged from 0.74 to 0.91. The lower bound of the 95% CI of the GMT ratio was greater than 0.50 for each HPV type (ranging from 0.59 to 0.72)</w:t>
      </w:r>
      <w:r w:rsidR="00875C1A">
        <w:rPr>
          <w:lang w:eastAsia="ja-JP"/>
        </w:rPr>
        <w:t xml:space="preserve"> (</w:t>
      </w:r>
      <w:r w:rsidR="00875C1A">
        <w:rPr>
          <w:lang w:eastAsia="ja-JP"/>
        </w:rPr>
        <w:fldChar w:fldCharType="begin"/>
      </w:r>
      <w:r w:rsidR="00875C1A">
        <w:rPr>
          <w:lang w:eastAsia="ja-JP"/>
        </w:rPr>
        <w:instrText xml:space="preserve"> REF _Ref138760403 \h </w:instrText>
      </w:r>
      <w:r w:rsidR="00875C1A">
        <w:rPr>
          <w:lang w:eastAsia="ja-JP"/>
        </w:rPr>
      </w:r>
      <w:r w:rsidR="00875C1A">
        <w:rPr>
          <w:lang w:eastAsia="ja-JP"/>
        </w:rPr>
        <w:fldChar w:fldCharType="separate"/>
      </w:r>
      <w:r w:rsidR="00875C1A">
        <w:t xml:space="preserve">Table </w:t>
      </w:r>
      <w:r w:rsidR="00875C1A">
        <w:rPr>
          <w:noProof/>
        </w:rPr>
        <w:t>11</w:t>
      </w:r>
      <w:r w:rsidR="00875C1A">
        <w:rPr>
          <w:lang w:eastAsia="ja-JP"/>
        </w:rPr>
        <w:fldChar w:fldCharType="end"/>
      </w:r>
      <w:r w:rsidR="00875C1A">
        <w:rPr>
          <w:lang w:eastAsia="ja-JP"/>
        </w:rPr>
        <w:t>)</w:t>
      </w:r>
      <w:r w:rsidRPr="008337C7">
        <w:rPr>
          <w:lang w:eastAsia="ja-JP"/>
        </w:rPr>
        <w:t>.</w:t>
      </w:r>
    </w:p>
    <w:p w14:paraId="4B2A787D" w14:textId="65628A60" w:rsidR="00875C1A" w:rsidRDefault="00875C1A" w:rsidP="00875C1A">
      <w:pPr>
        <w:pStyle w:val="TableTitle"/>
        <w:rPr>
          <w:lang w:eastAsia="ja-JP"/>
        </w:rPr>
      </w:pPr>
      <w:bookmarkStart w:id="50" w:name="_Ref138760403"/>
      <w:r w:rsidRPr="00875C1A">
        <w:t xml:space="preserve">Table </w:t>
      </w:r>
      <w:r w:rsidR="005C10C9">
        <w:fldChar w:fldCharType="begin"/>
      </w:r>
      <w:r w:rsidR="005C10C9">
        <w:instrText xml:space="preserve"> SEQ Table \* ARABIC </w:instrText>
      </w:r>
      <w:r w:rsidR="005C10C9">
        <w:fldChar w:fldCharType="separate"/>
      </w:r>
      <w:r w:rsidR="00193AA8">
        <w:rPr>
          <w:noProof/>
        </w:rPr>
        <w:t>11</w:t>
      </w:r>
      <w:r w:rsidR="005C10C9">
        <w:rPr>
          <w:noProof/>
        </w:rPr>
        <w:fldChar w:fldCharType="end"/>
      </w:r>
      <w:bookmarkEnd w:id="50"/>
      <w:r>
        <w:t xml:space="preserve">: </w:t>
      </w:r>
      <w:r w:rsidRPr="005D6F89">
        <w:t xml:space="preserve">Comparison of </w:t>
      </w:r>
      <w:r>
        <w:t>a</w:t>
      </w:r>
      <w:r w:rsidRPr="005D6F89">
        <w:t xml:space="preserve">nti-HPV </w:t>
      </w:r>
      <w:r w:rsidRPr="00A83339">
        <w:t>geometric mean titr</w:t>
      </w:r>
      <w:r>
        <w:t>es</w:t>
      </w:r>
      <w:r w:rsidRPr="005D6F89">
        <w:t xml:space="preserve"> at Month 7 in </w:t>
      </w:r>
      <w:r>
        <w:t>m</w:t>
      </w:r>
      <w:r w:rsidRPr="005D6F89">
        <w:t xml:space="preserve">en </w:t>
      </w:r>
      <w:r>
        <w:t>v</w:t>
      </w:r>
      <w:r w:rsidRPr="005D6F89">
        <w:t xml:space="preserve">accinated with </w:t>
      </w:r>
      <w:r w:rsidR="000F3590">
        <w:t>quadrivalent Human Papillomavirus vaccine</w:t>
      </w:r>
      <w:r w:rsidRPr="005D6F89">
        <w:t xml:space="preserve"> 27</w:t>
      </w:r>
      <w:r>
        <w:t xml:space="preserve"> to </w:t>
      </w:r>
      <w:r w:rsidRPr="005D6F89">
        <w:t xml:space="preserve">45 </w:t>
      </w:r>
      <w:r>
        <w:t>years of age</w:t>
      </w:r>
      <w:r w:rsidRPr="005D6F89">
        <w:t xml:space="preserve"> (</w:t>
      </w:r>
      <w:r>
        <w:t xml:space="preserve">Study </w:t>
      </w:r>
      <w:r w:rsidRPr="005D6F89">
        <w:t>V501-108 †) v</w:t>
      </w:r>
      <w:r>
        <w:t>ersus</w:t>
      </w:r>
      <w:r w:rsidRPr="005D6F89">
        <w:t xml:space="preserve"> 16</w:t>
      </w:r>
      <w:r>
        <w:t xml:space="preserve"> to </w:t>
      </w:r>
      <w:r w:rsidRPr="005D6F89">
        <w:t xml:space="preserve">26 </w:t>
      </w:r>
      <w:r>
        <w:t xml:space="preserve">years of age </w:t>
      </w:r>
      <w:r w:rsidRPr="005D6F89">
        <w:t>(</w:t>
      </w:r>
      <w:r>
        <w:t xml:space="preserve">Study </w:t>
      </w:r>
      <w:r w:rsidRPr="005D6F89">
        <w:t>V501-020)</w:t>
      </w:r>
      <w:r>
        <w:t>, per protocol immunogenicity sets.</w:t>
      </w:r>
    </w:p>
    <w:p w14:paraId="44B3C4AE" w14:textId="669EB121" w:rsidR="00875C1A" w:rsidRPr="00875C1A" w:rsidRDefault="00875C1A" w:rsidP="00875C1A">
      <w:r w:rsidRPr="005D6F89">
        <w:rPr>
          <w:noProof/>
          <w:lang w:eastAsia="en-AU"/>
        </w:rPr>
        <w:drawing>
          <wp:inline distT="0" distB="0" distL="0" distR="0" wp14:anchorId="70FE329A" wp14:editId="73D83928">
            <wp:extent cx="5510254" cy="1366270"/>
            <wp:effectExtent l="0" t="0" r="0" b="5715"/>
            <wp:docPr id="1" name="Picture 1" descr="Comparison of anti-HPV geometric mean titres at Month 7 in men vaccinated with quadrivalent Human Papillomavirus vaccine 27 to 45 years of age (Study V501-108 †) versus 16 to 26 years of age (Study V501-020), per protocol immunogenici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rison of anti-HPV geometric mean titres at Month 7 in men vaccinated with quadrivalent Human Papillomavirus vaccine 27 to 45 years of age (Study V501-108 †) versus 16 to 26 years of age (Study V501-020), per protocol immunogenicity sets"/>
                    <pic:cNvPicPr/>
                  </pic:nvPicPr>
                  <pic:blipFill>
                    <a:blip r:embed="rId35"/>
                    <a:stretch>
                      <a:fillRect/>
                    </a:stretch>
                  </pic:blipFill>
                  <pic:spPr>
                    <a:xfrm>
                      <a:off x="0" y="0"/>
                      <a:ext cx="5555469" cy="1377481"/>
                    </a:xfrm>
                    <a:prstGeom prst="rect">
                      <a:avLst/>
                    </a:prstGeom>
                  </pic:spPr>
                </pic:pic>
              </a:graphicData>
            </a:graphic>
          </wp:inline>
        </w:drawing>
      </w:r>
    </w:p>
    <w:p w14:paraId="2A40E0E5" w14:textId="26448ED5" w:rsidR="00714F56" w:rsidRDefault="00714F56" w:rsidP="00714F56">
      <w:pPr>
        <w:spacing w:line="240" w:lineRule="auto"/>
        <w:rPr>
          <w:lang w:eastAsia="ja-JP"/>
        </w:rPr>
      </w:pPr>
      <w:r>
        <w:rPr>
          <w:lang w:eastAsia="ja-JP"/>
        </w:rPr>
        <w:t xml:space="preserve">Studies </w:t>
      </w:r>
      <w:r w:rsidRPr="001A6085">
        <w:rPr>
          <w:lang w:eastAsia="ja-JP"/>
        </w:rPr>
        <w:t>V501-108</w:t>
      </w:r>
      <w:r>
        <w:rPr>
          <w:lang w:eastAsia="ja-JP"/>
        </w:rPr>
        <w:t xml:space="preserve"> and </w:t>
      </w:r>
      <w:r w:rsidRPr="001A6085">
        <w:rPr>
          <w:lang w:eastAsia="ja-JP"/>
        </w:rPr>
        <w:t>V501-020</w:t>
      </w:r>
      <w:r>
        <w:rPr>
          <w:lang w:eastAsia="ja-JP"/>
        </w:rPr>
        <w:t xml:space="preserve"> </w:t>
      </w:r>
      <w:r w:rsidRPr="004F478D">
        <w:rPr>
          <w:lang w:eastAsia="ja-JP"/>
        </w:rPr>
        <w:t>were performed as separate clinical trials in different population</w:t>
      </w:r>
      <w:r>
        <w:rPr>
          <w:lang w:eastAsia="ja-JP"/>
        </w:rPr>
        <w:t>s and</w:t>
      </w:r>
      <w:r w:rsidRPr="004F478D">
        <w:rPr>
          <w:lang w:eastAsia="ja-JP"/>
        </w:rPr>
        <w:t xml:space="preserve"> settings</w:t>
      </w:r>
      <w:r>
        <w:rPr>
          <w:lang w:eastAsia="ja-JP"/>
        </w:rPr>
        <w:t xml:space="preserve">, and it is not entirely clear whether the </w:t>
      </w:r>
      <w:r w:rsidRPr="004F478D">
        <w:rPr>
          <w:lang w:eastAsia="ja-JP"/>
        </w:rPr>
        <w:t>GMTs can be directly compared</w:t>
      </w:r>
      <w:r>
        <w:rPr>
          <w:lang w:eastAsia="ja-JP"/>
        </w:rPr>
        <w:t xml:space="preserve"> without bias</w:t>
      </w:r>
      <w:r w:rsidRPr="004F478D">
        <w:rPr>
          <w:lang w:eastAsia="ja-JP"/>
        </w:rPr>
        <w:t>.</w:t>
      </w:r>
    </w:p>
    <w:p w14:paraId="160067D1" w14:textId="0E470280" w:rsidR="00714F56" w:rsidRDefault="00714F56" w:rsidP="00714F56">
      <w:pPr>
        <w:spacing w:line="240" w:lineRule="auto"/>
        <w:rPr>
          <w:lang w:eastAsia="ja-JP"/>
        </w:rPr>
      </w:pPr>
      <w:r>
        <w:rPr>
          <w:lang w:eastAsia="ja-JP"/>
        </w:rPr>
        <w:t>As part of the response</w:t>
      </w:r>
      <w:r w:rsidR="00875C1A">
        <w:rPr>
          <w:lang w:eastAsia="ja-JP"/>
        </w:rPr>
        <w:t xml:space="preserve"> to TGA questions</w:t>
      </w:r>
      <w:r>
        <w:rPr>
          <w:lang w:eastAsia="ja-JP"/>
        </w:rPr>
        <w:t xml:space="preserve">, the sponsor stated </w:t>
      </w:r>
      <w:r w:rsidRPr="00C67E62">
        <w:rPr>
          <w:lang w:eastAsia="ja-JP"/>
        </w:rPr>
        <w:t xml:space="preserve">that the selection criteria for Studies V501-108 and V501-020 were largely similar, and the key characteristics of the two studies were comparable (other than age of the participants). </w:t>
      </w:r>
      <w:r>
        <w:rPr>
          <w:lang w:eastAsia="ja-JP"/>
        </w:rPr>
        <w:t xml:space="preserve">The </w:t>
      </w:r>
      <w:r w:rsidRPr="00C67E62">
        <w:rPr>
          <w:lang w:eastAsia="ja-JP"/>
        </w:rPr>
        <w:t xml:space="preserve">same immunoassay (HPV-4 cLIA) was used in both studies. </w:t>
      </w:r>
      <w:r>
        <w:rPr>
          <w:lang w:eastAsia="ja-JP"/>
        </w:rPr>
        <w:t>T</w:t>
      </w:r>
      <w:r w:rsidRPr="00C67E62">
        <w:rPr>
          <w:lang w:eastAsia="ja-JP"/>
        </w:rPr>
        <w:t xml:space="preserve">here were some differences due to the fact that the two studies were performed in different sites and settings. While comparison of the two studies has some limitations (including that of </w:t>
      </w:r>
      <w:r>
        <w:rPr>
          <w:lang w:eastAsia="ja-JP"/>
        </w:rPr>
        <w:t xml:space="preserve">a </w:t>
      </w:r>
      <w:r w:rsidRPr="00C67E62">
        <w:rPr>
          <w:lang w:eastAsia="ja-JP"/>
        </w:rPr>
        <w:t>post-hoc analysis), the evaluator acknowledge</w:t>
      </w:r>
      <w:r>
        <w:rPr>
          <w:lang w:eastAsia="ja-JP"/>
        </w:rPr>
        <w:t>d</w:t>
      </w:r>
      <w:r w:rsidRPr="00C67E62">
        <w:rPr>
          <w:lang w:eastAsia="ja-JP"/>
        </w:rPr>
        <w:t xml:space="preserve"> that it offers some insight into how HPV</w:t>
      </w:r>
      <w:r w:rsidR="00875C1A">
        <w:rPr>
          <w:lang w:eastAsia="ja-JP"/>
        </w:rPr>
        <w:t xml:space="preserve"> type</w:t>
      </w:r>
      <w:r w:rsidRPr="00C67E62">
        <w:rPr>
          <w:lang w:eastAsia="ja-JP"/>
        </w:rPr>
        <w:t xml:space="preserve"> 6</w:t>
      </w:r>
      <w:r w:rsidR="0034584A">
        <w:rPr>
          <w:lang w:eastAsia="ja-JP"/>
        </w:rPr>
        <w:t xml:space="preserve">, </w:t>
      </w:r>
      <w:r w:rsidRPr="00C67E62">
        <w:rPr>
          <w:lang w:eastAsia="ja-JP"/>
        </w:rPr>
        <w:t>11</w:t>
      </w:r>
      <w:r w:rsidR="0034584A">
        <w:rPr>
          <w:lang w:eastAsia="ja-JP"/>
        </w:rPr>
        <w:t xml:space="preserve">, </w:t>
      </w:r>
      <w:r w:rsidRPr="00C67E62">
        <w:rPr>
          <w:lang w:eastAsia="ja-JP"/>
        </w:rPr>
        <w:t>16</w:t>
      </w:r>
      <w:r w:rsidR="0034584A">
        <w:rPr>
          <w:lang w:eastAsia="ja-JP"/>
        </w:rPr>
        <w:t xml:space="preserve">, </w:t>
      </w:r>
      <w:r w:rsidRPr="00C67E62">
        <w:rPr>
          <w:lang w:eastAsia="ja-JP"/>
        </w:rPr>
        <w:t>18 immunogenicity compares between young and mid-adult men post-vaccination.</w:t>
      </w:r>
    </w:p>
    <w:p w14:paraId="19F33B75" w14:textId="680C5B2F" w:rsidR="00875C1A" w:rsidRPr="00875C1A" w:rsidRDefault="00875C1A" w:rsidP="00875C1A">
      <w:pPr>
        <w:pStyle w:val="Heading5"/>
        <w:rPr>
          <w:rFonts w:eastAsiaTheme="minorHAnsi"/>
        </w:rPr>
      </w:pPr>
      <w:r w:rsidRPr="00875C1A">
        <w:t xml:space="preserve">Long </w:t>
      </w:r>
      <w:r>
        <w:t>t</w:t>
      </w:r>
      <w:r w:rsidRPr="00875C1A">
        <w:t xml:space="preserve">erm </w:t>
      </w:r>
      <w:r>
        <w:t>f</w:t>
      </w:r>
      <w:r w:rsidRPr="00875C1A">
        <w:t xml:space="preserve">ollow </w:t>
      </w:r>
      <w:r>
        <w:t>u</w:t>
      </w:r>
      <w:r w:rsidRPr="00875C1A">
        <w:t>p</w:t>
      </w:r>
      <w:r w:rsidR="007A3E1A">
        <w:t xml:space="preserve"> study</w:t>
      </w:r>
    </w:p>
    <w:p w14:paraId="233CB4DF" w14:textId="7F7F8615" w:rsidR="00875C1A" w:rsidRPr="00875C1A" w:rsidRDefault="00875C1A" w:rsidP="00875C1A">
      <w:r w:rsidRPr="00875C1A">
        <w:t>Gardasil 9</w:t>
      </w:r>
      <w:r>
        <w:t xml:space="preserve"> e</w:t>
      </w:r>
      <w:r w:rsidRPr="00875C1A">
        <w:t>xtension studies</w:t>
      </w:r>
      <w:r>
        <w:t xml:space="preserve"> </w:t>
      </w:r>
      <w:r w:rsidR="007A3E1A">
        <w:t>include</w:t>
      </w:r>
      <w:r>
        <w:t xml:space="preserve"> Studies</w:t>
      </w:r>
      <w:r w:rsidRPr="00875C1A">
        <w:t xml:space="preserve"> V503-001-04, V503-002-20, V503-010-01, V503-021-01.</w:t>
      </w:r>
    </w:p>
    <w:p w14:paraId="6AF39FC8" w14:textId="7C336372" w:rsidR="00875C1A" w:rsidRPr="00875C1A" w:rsidRDefault="00875C1A" w:rsidP="007A3E1A">
      <w:pPr>
        <w:pStyle w:val="Heading6"/>
        <w:rPr>
          <w:rFonts w:eastAsia="Cambria"/>
        </w:rPr>
      </w:pPr>
      <w:r w:rsidRPr="00875C1A">
        <w:t>Study V503-001-04</w:t>
      </w:r>
    </w:p>
    <w:p w14:paraId="1F45B485" w14:textId="217EB153" w:rsidR="00875C1A" w:rsidRPr="00875C1A" w:rsidRDefault="007A3E1A" w:rsidP="00875C1A">
      <w:r>
        <w:t xml:space="preserve">Study </w:t>
      </w:r>
      <w:r w:rsidR="00875C1A" w:rsidRPr="00875C1A">
        <w:t>V503-001-04 (</w:t>
      </w:r>
      <w:r w:rsidR="000F3590">
        <w:t xml:space="preserve">previously </w:t>
      </w:r>
      <w:r w:rsidR="00875C1A" w:rsidRPr="00875C1A">
        <w:t xml:space="preserve">evaluated in </w:t>
      </w:r>
      <w:r w:rsidR="000F3590">
        <w:t xml:space="preserve">submission </w:t>
      </w:r>
      <w:r w:rsidR="00875C1A" w:rsidRPr="00875C1A">
        <w:t>PM-2014-01099-1-2)</w:t>
      </w:r>
      <w:r w:rsidR="000F3590">
        <w:rPr>
          <w:rStyle w:val="FootnoteReference"/>
        </w:rPr>
        <w:footnoteReference w:id="9"/>
      </w:r>
      <w:r w:rsidR="00875C1A" w:rsidRPr="00875C1A">
        <w:t xml:space="preserve">: sub-study extension of the </w:t>
      </w:r>
      <w:r w:rsidR="000F3590">
        <w:t xml:space="preserve">Study </w:t>
      </w:r>
      <w:r w:rsidR="00875C1A" w:rsidRPr="00875C1A">
        <w:t>V503-001 base study to assess persistence of immune response and immune memory following Gardasil 9 vaccination.</w:t>
      </w:r>
    </w:p>
    <w:p w14:paraId="502B0558" w14:textId="1D657F02" w:rsidR="00875C1A" w:rsidRPr="00875C1A" w:rsidRDefault="00875C1A" w:rsidP="00875C1A">
      <w:r w:rsidRPr="00875C1A">
        <w:lastRenderedPageBreak/>
        <w:t>The study enrolled a subset of 150 subjects (women aged 16 to 26</w:t>
      </w:r>
      <w:r w:rsidR="000F3590">
        <w:t xml:space="preserve"> years of age</w:t>
      </w:r>
      <w:r w:rsidRPr="00875C1A">
        <w:t xml:space="preserve">) who received </w:t>
      </w:r>
      <w:r w:rsidR="000F3590">
        <w:t>three</w:t>
      </w:r>
      <w:r w:rsidRPr="00875C1A">
        <w:t xml:space="preserve"> doses of 9vHPV vaccine and completed the base study</w:t>
      </w:r>
      <w:r w:rsidR="000F3590">
        <w:t>. A</w:t>
      </w:r>
      <w:r w:rsidRPr="00875C1A">
        <w:t xml:space="preserve">fter which they were followed in </w:t>
      </w:r>
      <w:r w:rsidR="000F3590">
        <w:t xml:space="preserve">Study </w:t>
      </w:r>
      <w:r w:rsidRPr="00875C1A">
        <w:t>V503-001-04 extension</w:t>
      </w:r>
      <w:r w:rsidR="000F3590">
        <w:t xml:space="preserve"> study</w:t>
      </w:r>
      <w:r w:rsidRPr="00875C1A">
        <w:t xml:space="preserve"> to assess antibody persistence through </w:t>
      </w:r>
      <w:r w:rsidR="000F3590">
        <w:t>a five</w:t>
      </w:r>
      <w:r w:rsidRPr="00875C1A">
        <w:t xml:space="preserve"> years post</w:t>
      </w:r>
      <w:r w:rsidR="000F3590">
        <w:t>-</w:t>
      </w:r>
      <w:r w:rsidRPr="00875C1A">
        <w:t xml:space="preserve">vaccination, and then received a fourth dose at </w:t>
      </w:r>
      <w:r w:rsidR="000F3590">
        <w:t>five</w:t>
      </w:r>
      <w:r w:rsidRPr="00875C1A">
        <w:t xml:space="preserve"> years post-</w:t>
      </w:r>
      <w:r w:rsidR="000F3590">
        <w:t>third dose</w:t>
      </w:r>
      <w:r w:rsidRPr="00875C1A">
        <w:t xml:space="preserve"> to assess an anamnestic response consistent with the generation of im</w:t>
      </w:r>
      <w:r w:rsidR="000F3590">
        <w:t>m</w:t>
      </w:r>
      <w:r w:rsidRPr="00875C1A">
        <w:t>une memory.</w:t>
      </w:r>
    </w:p>
    <w:p w14:paraId="6E37C333" w14:textId="2BD0891A" w:rsidR="00714F56" w:rsidRDefault="000F3590" w:rsidP="000F3590">
      <w:pPr>
        <w:pStyle w:val="FigureTitle"/>
      </w:pPr>
      <w:bookmarkStart w:id="51" w:name="_Ref138762284"/>
      <w:r w:rsidRPr="000F3590">
        <w:t xml:space="preserve">Figure </w:t>
      </w:r>
      <w:r w:rsidR="005C10C9">
        <w:fldChar w:fldCharType="begin"/>
      </w:r>
      <w:r w:rsidR="005C10C9">
        <w:instrText xml:space="preserve"> SEQ Figure \* ARABIC </w:instrText>
      </w:r>
      <w:r w:rsidR="005C10C9">
        <w:fldChar w:fldCharType="separate"/>
      </w:r>
      <w:r w:rsidRPr="000F3590">
        <w:t>1</w:t>
      </w:r>
      <w:r w:rsidR="005C10C9">
        <w:fldChar w:fldCharType="end"/>
      </w:r>
      <w:bookmarkEnd w:id="51"/>
      <w:r w:rsidRPr="000F3590">
        <w:t>:</w:t>
      </w:r>
      <w:r>
        <w:t xml:space="preserve"> </w:t>
      </w:r>
      <w:r w:rsidRPr="000F3590">
        <w:t xml:space="preserve">Study V503-001-04. Longitudinal Anti-HPV </w:t>
      </w:r>
      <w:r w:rsidRPr="00CA4A9A">
        <w:rPr>
          <w:lang w:eastAsia="ja-JP"/>
        </w:rPr>
        <w:t xml:space="preserve">chemiluminescence immunoassay </w:t>
      </w:r>
      <w:r w:rsidRPr="00A83339">
        <w:t>geometric mean titr</w:t>
      </w:r>
      <w:r>
        <w:t>es</w:t>
      </w:r>
    </w:p>
    <w:p w14:paraId="7453B0FD" w14:textId="7EE2ADD8" w:rsidR="000F3590" w:rsidRDefault="000F3590" w:rsidP="000F3590">
      <w:r w:rsidRPr="0067404C">
        <w:rPr>
          <w:noProof/>
          <w:lang w:eastAsia="en-AU"/>
        </w:rPr>
        <w:drawing>
          <wp:inline distT="0" distB="0" distL="0" distR="0" wp14:anchorId="11B8FAA5" wp14:editId="103382FA">
            <wp:extent cx="5383033" cy="4016571"/>
            <wp:effectExtent l="0" t="0" r="8255" b="3175"/>
            <wp:docPr id="6" name="Picture 6" descr="Study V503-001-04. Longitudinal Anti-HPV chemiluminescence immunoassay geometric mean t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V503-001-04. Longitudinal Anti-HPV chemiluminescence immunoassay geometric mean titres"/>
                    <pic:cNvPicPr/>
                  </pic:nvPicPr>
                  <pic:blipFill>
                    <a:blip r:embed="rId36"/>
                    <a:stretch>
                      <a:fillRect/>
                    </a:stretch>
                  </pic:blipFill>
                  <pic:spPr>
                    <a:xfrm>
                      <a:off x="0" y="0"/>
                      <a:ext cx="5413454" cy="4039270"/>
                    </a:xfrm>
                    <a:prstGeom prst="rect">
                      <a:avLst/>
                    </a:prstGeom>
                  </pic:spPr>
                </pic:pic>
              </a:graphicData>
            </a:graphic>
          </wp:inline>
        </w:drawing>
      </w:r>
    </w:p>
    <w:p w14:paraId="6348C61E" w14:textId="0ED31C4B" w:rsidR="000F3590" w:rsidRPr="000F3590" w:rsidRDefault="000F3590" w:rsidP="000F3590">
      <w:r w:rsidRPr="000F3590">
        <w:t xml:space="preserve">The </w:t>
      </w:r>
      <w:r>
        <w:t xml:space="preserve">three </w:t>
      </w:r>
      <w:r w:rsidRPr="000F3590">
        <w:t>dose primary series of 9vHPV vaccine induced substantial antibody responses to the 9 vaccine HPV types. GMTs for the 9 HPV types peaked around Month 7 and declined thereafter, reaching a plateau around Month 24 and remaining stable through Month 60</w:t>
      </w:r>
      <w:r w:rsidR="00566DB3">
        <w:t xml:space="preserve"> (</w:t>
      </w:r>
      <w:r w:rsidR="00566DB3">
        <w:fldChar w:fldCharType="begin"/>
      </w:r>
      <w:r w:rsidR="00566DB3">
        <w:instrText xml:space="preserve"> REF _Ref138762284 \h </w:instrText>
      </w:r>
      <w:r w:rsidR="00566DB3">
        <w:fldChar w:fldCharType="separate"/>
      </w:r>
      <w:r w:rsidR="00566DB3" w:rsidRPr="000F3590">
        <w:t>Figure 1</w:t>
      </w:r>
      <w:r w:rsidR="00566DB3">
        <w:fldChar w:fldCharType="end"/>
      </w:r>
      <w:r w:rsidR="00566DB3">
        <w:t>)</w:t>
      </w:r>
      <w:r w:rsidRPr="000F3590">
        <w:t>.</w:t>
      </w:r>
    </w:p>
    <w:p w14:paraId="79E549CE" w14:textId="59D84BB5" w:rsidR="000F3590" w:rsidRPr="000F3590" w:rsidRDefault="000F3590" w:rsidP="000F3590">
      <w:r w:rsidRPr="000F3590">
        <w:t>Administration of a fourth dose at Month 60 resulted in a rapid increase of anti-HPV6, 11, 16, 18, 31, 33, 45, 52, and 58 GMTs which were higher than those observed at Month 7 for all 9 HPV types</w:t>
      </w:r>
      <w:r w:rsidR="00566DB3">
        <w:t xml:space="preserve"> (</w:t>
      </w:r>
      <w:r w:rsidR="00566DB3">
        <w:fldChar w:fldCharType="begin"/>
      </w:r>
      <w:r w:rsidR="00566DB3">
        <w:instrText xml:space="preserve"> REF _Ref138762284 \h </w:instrText>
      </w:r>
      <w:r w:rsidR="00566DB3">
        <w:fldChar w:fldCharType="separate"/>
      </w:r>
      <w:r w:rsidR="00566DB3" w:rsidRPr="000F3590">
        <w:t>Figure 1</w:t>
      </w:r>
      <w:r w:rsidR="00566DB3">
        <w:fldChar w:fldCharType="end"/>
      </w:r>
      <w:r w:rsidR="00566DB3">
        <w:t>)</w:t>
      </w:r>
      <w:r w:rsidRPr="000F3590">
        <w:t>.</w:t>
      </w:r>
    </w:p>
    <w:p w14:paraId="5D14903E" w14:textId="77777777" w:rsidR="00566DB3" w:rsidRDefault="000F3590" w:rsidP="00566DB3">
      <w:r w:rsidRPr="000F3590">
        <w:t>Seropositivity rates at Month 7 were 100% for the 9 HPV types. At Month 60, they ranged from 77.5% to 100%, depending on the HPV type. At 1 week after the administration of the fourth dose, seropositivity rates ranged from 99.3% to 100%. They were 100% for the 9 HPV types at 1 month after the fourth dose</w:t>
      </w:r>
      <w:r w:rsidR="00566DB3">
        <w:t xml:space="preserve"> (</w:t>
      </w:r>
      <w:r w:rsidR="00566DB3">
        <w:fldChar w:fldCharType="begin"/>
      </w:r>
      <w:r w:rsidR="00566DB3">
        <w:instrText xml:space="preserve"> REF _Ref138762284 \h </w:instrText>
      </w:r>
      <w:r w:rsidR="00566DB3">
        <w:fldChar w:fldCharType="separate"/>
      </w:r>
      <w:r w:rsidR="00566DB3" w:rsidRPr="000F3590">
        <w:t>Figure 1</w:t>
      </w:r>
      <w:r w:rsidR="00566DB3">
        <w:fldChar w:fldCharType="end"/>
      </w:r>
      <w:r w:rsidR="00566DB3">
        <w:t>)</w:t>
      </w:r>
      <w:r w:rsidRPr="000F3590">
        <w:t>.</w:t>
      </w:r>
    </w:p>
    <w:p w14:paraId="39975CAE" w14:textId="78EE7F99" w:rsidR="00566DB3" w:rsidRPr="00566DB3" w:rsidRDefault="00566DB3" w:rsidP="00566DB3">
      <w:pPr>
        <w:pStyle w:val="Heading6"/>
        <w:rPr>
          <w:rFonts w:eastAsiaTheme="minorHAnsi"/>
        </w:rPr>
      </w:pPr>
      <w:r w:rsidRPr="00566DB3">
        <w:t>Study V503-002-20</w:t>
      </w:r>
    </w:p>
    <w:p w14:paraId="7ECB56A6" w14:textId="75E9A9F4" w:rsidR="00566DB3" w:rsidRPr="00566DB3" w:rsidRDefault="00566DB3" w:rsidP="00566DB3">
      <w:r w:rsidRPr="00566DB3">
        <w:t xml:space="preserve">Extension of </w:t>
      </w:r>
      <w:r>
        <w:t>S</w:t>
      </w:r>
      <w:r w:rsidRPr="00566DB3">
        <w:t>tudy V503-002 (evaluated in</w:t>
      </w:r>
      <w:r>
        <w:t xml:space="preserve"> previous submission</w:t>
      </w:r>
      <w:r w:rsidRPr="00566DB3">
        <w:t>)</w:t>
      </w:r>
      <w:r w:rsidRPr="00566DB3">
        <w:rPr>
          <w:vertAlign w:val="superscript"/>
        </w:rPr>
        <w:fldChar w:fldCharType="begin"/>
      </w:r>
      <w:r w:rsidRPr="00566DB3">
        <w:rPr>
          <w:vertAlign w:val="superscript"/>
        </w:rPr>
        <w:instrText xml:space="preserve"> NOTEREF _Ref138762674 \h </w:instrText>
      </w:r>
      <w:r w:rsidRPr="00566DB3">
        <w:rPr>
          <w:vertAlign w:val="superscript"/>
        </w:rPr>
      </w:r>
      <w:r w:rsidRPr="00566DB3">
        <w:rPr>
          <w:vertAlign w:val="superscript"/>
        </w:rPr>
        <w:fldChar w:fldCharType="separate"/>
      </w:r>
      <w:r w:rsidRPr="00566DB3">
        <w:rPr>
          <w:vertAlign w:val="superscript"/>
        </w:rPr>
        <w:t>6</w:t>
      </w:r>
      <w:r w:rsidRPr="00566DB3">
        <w:rPr>
          <w:vertAlign w:val="superscript"/>
        </w:rPr>
        <w:fldChar w:fldCharType="end"/>
      </w:r>
      <w:r>
        <w:t xml:space="preserve">, </w:t>
      </w:r>
      <w:r w:rsidRPr="00566DB3">
        <w:t>an immunogenicity study of the 9vHPV vaccine in 1,935 girls aged 9</w:t>
      </w:r>
      <w:r>
        <w:t xml:space="preserve"> to </w:t>
      </w:r>
      <w:r w:rsidRPr="00566DB3">
        <w:t>15</w:t>
      </w:r>
      <w:r>
        <w:t xml:space="preserve"> years of age</w:t>
      </w:r>
      <w:r w:rsidRPr="00566DB3">
        <w:t xml:space="preserve"> and 669 boys aged 9</w:t>
      </w:r>
      <w:r>
        <w:t xml:space="preserve"> to </w:t>
      </w:r>
      <w:r w:rsidRPr="00566DB3">
        <w:t>15</w:t>
      </w:r>
      <w:r>
        <w:t xml:space="preserve"> </w:t>
      </w:r>
      <w:r w:rsidRPr="00566DB3">
        <w:t>y</w:t>
      </w:r>
      <w:r>
        <w:t>ears of age</w:t>
      </w:r>
      <w:r w:rsidRPr="00566DB3">
        <w:t xml:space="preserve"> with a non-inferiority comparison to 470 women aged 16</w:t>
      </w:r>
      <w:r w:rsidR="00D920C0">
        <w:t xml:space="preserve"> to </w:t>
      </w:r>
      <w:r w:rsidRPr="00566DB3">
        <w:t>2</w:t>
      </w:r>
      <w:r w:rsidR="00D920C0">
        <w:t>6 years of age,</w:t>
      </w:r>
      <w:r w:rsidRPr="00566DB3">
        <w:t xml:space="preserve"> to assess immunogenicity and effectiveness of the Gardasil 9 vaccine through 10 years post-</w:t>
      </w:r>
      <w:r w:rsidR="00D920C0">
        <w:t>third dose</w:t>
      </w:r>
      <w:r w:rsidRPr="00566DB3">
        <w:t>. The young women terminated the study at Month 12; girls and boys continued in the first study extension (</w:t>
      </w:r>
      <w:r w:rsidR="00D920C0">
        <w:t xml:space="preserve">Study </w:t>
      </w:r>
      <w:r w:rsidRPr="00566DB3">
        <w:t>V503-002-10) to assess persistence of antibody response through Month 36.</w:t>
      </w:r>
    </w:p>
    <w:p w14:paraId="59C81D88" w14:textId="35F88F13" w:rsidR="00566DB3" w:rsidRPr="00566DB3" w:rsidRDefault="00D920C0" w:rsidP="00566DB3">
      <w:r>
        <w:lastRenderedPageBreak/>
        <w:t xml:space="preserve">Study </w:t>
      </w:r>
      <w:r w:rsidR="00566DB3" w:rsidRPr="00566DB3">
        <w:t>V503-002-20</w:t>
      </w:r>
      <w:r>
        <w:t xml:space="preserve"> is an</w:t>
      </w:r>
      <w:r w:rsidR="00566DB3" w:rsidRPr="00566DB3">
        <w:t xml:space="preserve"> ongoing study extension to provide immunogenicity, effectiveness and safety follow</w:t>
      </w:r>
      <w:r>
        <w:t xml:space="preserve"> </w:t>
      </w:r>
      <w:r w:rsidR="00566DB3" w:rsidRPr="00566DB3">
        <w:t>up through Month 126 (10 years post-</w:t>
      </w:r>
      <w:r w:rsidR="003C2C68">
        <w:t>third dose</w:t>
      </w:r>
      <w:r w:rsidR="00566DB3" w:rsidRPr="00566DB3">
        <w:t>) for girls and boys aged 9</w:t>
      </w:r>
      <w:r w:rsidR="003C2C68">
        <w:t xml:space="preserve"> to </w:t>
      </w:r>
      <w:r w:rsidR="00566DB3" w:rsidRPr="00566DB3">
        <w:t>15</w:t>
      </w:r>
      <w:r w:rsidR="003C2C68">
        <w:t xml:space="preserve"> years of age </w:t>
      </w:r>
      <w:r w:rsidR="00566DB3" w:rsidRPr="00566DB3">
        <w:t xml:space="preserve">who received </w:t>
      </w:r>
      <w:r w:rsidR="003C2C68">
        <w:t>three</w:t>
      </w:r>
      <w:r w:rsidR="00566DB3" w:rsidRPr="00566DB3">
        <w:t xml:space="preserve"> doses of 9vHPV vaccine in the base study.</w:t>
      </w:r>
    </w:p>
    <w:p w14:paraId="6D21D4BA" w14:textId="53D0D6EB" w:rsidR="00566DB3" w:rsidRPr="00566DB3" w:rsidRDefault="003C2C68" w:rsidP="00566DB3">
      <w:r>
        <w:t xml:space="preserve">A total of </w:t>
      </w:r>
      <w:r w:rsidR="00566DB3" w:rsidRPr="00566DB3">
        <w:t xml:space="preserve">1125 subjects (864 females and 261 males) </w:t>
      </w:r>
      <w:r>
        <w:t xml:space="preserve">who </w:t>
      </w:r>
      <w:r w:rsidR="00566DB3" w:rsidRPr="00566DB3">
        <w:t xml:space="preserve">received </w:t>
      </w:r>
      <w:r>
        <w:t>three</w:t>
      </w:r>
      <w:r w:rsidR="00566DB3" w:rsidRPr="00566DB3">
        <w:t xml:space="preserve"> doses of the 9vHPV vaccine in the base study participated in the </w:t>
      </w:r>
      <w:r>
        <w:t xml:space="preserve">long term follow up </w:t>
      </w:r>
      <w:r w:rsidR="00566DB3" w:rsidRPr="00566DB3">
        <w:t xml:space="preserve">study and were followed for effectiveness in the </w:t>
      </w:r>
      <w:r>
        <w:t>per protocol efficacy (</w:t>
      </w:r>
      <w:r w:rsidR="00566DB3" w:rsidRPr="00566DB3">
        <w:t>PPE</w:t>
      </w:r>
      <w:r>
        <w:t>)</w:t>
      </w:r>
      <w:r w:rsidR="00566DB3" w:rsidRPr="00566DB3">
        <w:t xml:space="preserve"> population for a maximum of 8.2 years (median: 7.6 years) post-</w:t>
      </w:r>
      <w:r>
        <w:t>third dose</w:t>
      </w:r>
      <w:r w:rsidR="00566DB3" w:rsidRPr="00566DB3">
        <w:t>. Female subjects were followed for up to 8.2 years (median: 7.6 years) post-</w:t>
      </w:r>
      <w:r>
        <w:t>third dose</w:t>
      </w:r>
      <w:r w:rsidR="00566DB3" w:rsidRPr="00566DB3">
        <w:t>; male subjects were followed for up to 8.1 years (median: 7.6 years) post-</w:t>
      </w:r>
      <w:r>
        <w:t>third dose</w:t>
      </w:r>
      <w:r w:rsidR="00566DB3" w:rsidRPr="00566DB3">
        <w:t>.</w:t>
      </w:r>
    </w:p>
    <w:p w14:paraId="45EADA1B" w14:textId="0A574F61" w:rsidR="00566DB3" w:rsidRPr="00566DB3" w:rsidRDefault="00566DB3" w:rsidP="00566DB3">
      <w:r w:rsidRPr="00566DB3">
        <w:t>One case of HPV6/11/16/18/31/33/45/52/58-related low</w:t>
      </w:r>
      <w:r w:rsidR="003C2C68">
        <w:t xml:space="preserve"> </w:t>
      </w:r>
      <w:r w:rsidRPr="00566DB3">
        <w:t xml:space="preserve">grade cervical dysplasia was observed for </w:t>
      </w:r>
      <w:r w:rsidR="003C2C68">
        <w:t>one</w:t>
      </w:r>
      <w:r w:rsidRPr="00566DB3">
        <w:t xml:space="preserve"> female subject 9 to 15 years of age in the PPE population (856 subjects, 2865 person-years follow</w:t>
      </w:r>
      <w:r w:rsidR="003C2C68">
        <w:t xml:space="preserve"> </w:t>
      </w:r>
      <w:r w:rsidRPr="00566DB3">
        <w:t>up).</w:t>
      </w:r>
    </w:p>
    <w:p w14:paraId="5DBE256F" w14:textId="00A1D50E" w:rsidR="00566DB3" w:rsidRPr="00566DB3" w:rsidRDefault="00566DB3" w:rsidP="00566DB3">
      <w:r w:rsidRPr="00566DB3">
        <w:t xml:space="preserve">No cases of HPV6/11/16/18/31/33/45/52/58-related </w:t>
      </w:r>
      <w:r w:rsidR="003C2C68">
        <w:t>p</w:t>
      </w:r>
      <w:r w:rsidR="003C2C68" w:rsidRPr="003C2C68">
        <w:t>enile intraepithelial neoplasia</w:t>
      </w:r>
      <w:r w:rsidRPr="00566DB3">
        <w:t xml:space="preserve"> genital warts, or penile/perineal/perianal cancer were observed in boys 9 to 15 years of age in the PPE population (251 subjects, 808.8 person-years follow</w:t>
      </w:r>
      <w:r w:rsidR="003C2C68">
        <w:t xml:space="preserve"> </w:t>
      </w:r>
      <w:r w:rsidRPr="00566DB3">
        <w:t>up).</w:t>
      </w:r>
    </w:p>
    <w:p w14:paraId="62AEF52E" w14:textId="7982C6C7" w:rsidR="00566DB3" w:rsidRPr="00566DB3" w:rsidRDefault="00566DB3" w:rsidP="00566DB3">
      <w:r w:rsidRPr="00566DB3">
        <w:t xml:space="preserve">Incidence rates of HPV6/11/16/18/31/33/45/52/58-related </w:t>
      </w:r>
      <w:r w:rsidR="005C10C9">
        <w:t>six-month</w:t>
      </w:r>
      <w:r w:rsidRPr="00566DB3">
        <w:t xml:space="preserve"> persistent infection in females and males were 49.2 and 37.3 per 10,000 person-years, respectively, and within ranges expected in vaccinated cohorts (based on results from previous efficacy studies of qHPV and 9vHPV vaccines).</w:t>
      </w:r>
    </w:p>
    <w:p w14:paraId="6D00C817" w14:textId="30557A2A" w:rsidR="00566DB3" w:rsidRPr="00566DB3" w:rsidRDefault="00566DB3" w:rsidP="00566DB3">
      <w:r w:rsidRPr="00566DB3">
        <w:t xml:space="preserve">In the </w:t>
      </w:r>
      <w:r w:rsidR="003C2C68">
        <w:t>r</w:t>
      </w:r>
      <w:r w:rsidRPr="00566DB3">
        <w:t>esponse</w:t>
      </w:r>
      <w:r w:rsidR="003C2C68">
        <w:t xml:space="preserve"> to TGA questions</w:t>
      </w:r>
      <w:r w:rsidRPr="00566DB3">
        <w:t>, the sponsor provided the final analysis. Persistence of antibody responses to vaccine</w:t>
      </w:r>
      <w:r w:rsidR="003C2C68">
        <w:t xml:space="preserve"> </w:t>
      </w:r>
      <w:r w:rsidRPr="00566DB3">
        <w:t>targeted HPV types was demonstrated through the end of the study. Based on follow</w:t>
      </w:r>
      <w:r w:rsidR="003C2C68">
        <w:t xml:space="preserve"> </w:t>
      </w:r>
      <w:r w:rsidRPr="00566DB3">
        <w:t>up through Month 126 (10 years post-</w:t>
      </w:r>
      <w:r w:rsidR="003C2C68">
        <w:t>third dose</w:t>
      </w:r>
      <w:r w:rsidRPr="00566DB3">
        <w:t xml:space="preserve">), no cases of </w:t>
      </w:r>
      <w:r w:rsidR="005C10C9" w:rsidRPr="00566DB3">
        <w:t>high</w:t>
      </w:r>
      <w:r w:rsidR="005C10C9">
        <w:t>-grade</w:t>
      </w:r>
      <w:r w:rsidRPr="00566DB3">
        <w:t xml:space="preserve"> dysplasia related to vaccine</w:t>
      </w:r>
      <w:r w:rsidR="003C2C68">
        <w:t xml:space="preserve"> </w:t>
      </w:r>
      <w:r w:rsidRPr="00566DB3">
        <w:t xml:space="preserve">targeted HPV types were observed. Incidence rates of vaccine HPV types related </w:t>
      </w:r>
      <w:r w:rsidR="005C10C9">
        <w:t>six-month</w:t>
      </w:r>
      <w:r w:rsidRPr="00566DB3">
        <w:t xml:space="preserve"> persistent infections in girls and boys observed during the study were 52.4 (95% CI; 33.6</w:t>
      </w:r>
      <w:r w:rsidR="003C2C68">
        <w:t xml:space="preserve"> to </w:t>
      </w:r>
      <w:r w:rsidRPr="00566DB3">
        <w:t>78.0) and 54.6 (95% CI; 21.9</w:t>
      </w:r>
      <w:r w:rsidR="003C2C68">
        <w:t xml:space="preserve"> to </w:t>
      </w:r>
      <w:r w:rsidRPr="00566DB3">
        <w:t>112.4) per 10,000 person-years, respectively (within ranges of incidence rates expected in vaccinated cohorts of similar age).</w:t>
      </w:r>
    </w:p>
    <w:p w14:paraId="52090727" w14:textId="7FA4B37A" w:rsidR="00566DB3" w:rsidRPr="003C2C68" w:rsidRDefault="00566DB3" w:rsidP="003C2C68">
      <w:pPr>
        <w:pStyle w:val="Heading6"/>
        <w:rPr>
          <w:rFonts w:eastAsia="Cambria"/>
        </w:rPr>
      </w:pPr>
      <w:r w:rsidRPr="003C2C68">
        <w:t>Study V503-010-01</w:t>
      </w:r>
    </w:p>
    <w:p w14:paraId="3F64331E" w14:textId="0406B8DE" w:rsidR="00566DB3" w:rsidRPr="003C2C68" w:rsidRDefault="00566DB3" w:rsidP="003C2C68">
      <w:r w:rsidRPr="003C2C68">
        <w:t xml:space="preserve">Extension of Study V503-010 evaluated in </w:t>
      </w:r>
      <w:r w:rsidR="003C2C68">
        <w:t>previous submission.</w:t>
      </w:r>
    </w:p>
    <w:p w14:paraId="0209D879" w14:textId="78C5BF1A" w:rsidR="00566DB3" w:rsidRPr="003C2C68" w:rsidRDefault="003C2C68" w:rsidP="003C2C68">
      <w:r>
        <w:t xml:space="preserve">Study </w:t>
      </w:r>
      <w:r w:rsidR="00566DB3" w:rsidRPr="003C2C68">
        <w:t>V503-010-01: an international immunogenicity study of 9vHPV vaccine conducted in boys and girls aged 9 to 14</w:t>
      </w:r>
      <w:r>
        <w:t xml:space="preserve"> years of age</w:t>
      </w:r>
      <w:r w:rsidR="00566DB3" w:rsidRPr="003C2C68">
        <w:t xml:space="preserve"> and in females aged 16 to 26</w:t>
      </w:r>
      <w:r>
        <w:t xml:space="preserve"> years of age</w:t>
      </w:r>
      <w:r w:rsidR="00566DB3" w:rsidRPr="003C2C68">
        <w:t xml:space="preserve"> enrolled from 15 countries to compare the immunogenicity of </w:t>
      </w:r>
      <w:r>
        <w:t xml:space="preserve">two </w:t>
      </w:r>
      <w:r w:rsidR="00566DB3" w:rsidRPr="003C2C68">
        <w:t xml:space="preserve">dose and </w:t>
      </w:r>
      <w:r>
        <w:t xml:space="preserve">three </w:t>
      </w:r>
      <w:r w:rsidR="00566DB3" w:rsidRPr="003C2C68">
        <w:t>dose regimens of 9vHPV vaccine.</w:t>
      </w:r>
    </w:p>
    <w:p w14:paraId="4EC253E0" w14:textId="221A762B" w:rsidR="00566DB3" w:rsidRPr="003C2C68" w:rsidRDefault="00566DB3" w:rsidP="003C2C68">
      <w:r w:rsidRPr="003C2C68">
        <w:t xml:space="preserve">The study enrolled </w:t>
      </w:r>
      <w:r w:rsidR="003C2C68">
        <w:t>three</w:t>
      </w:r>
      <w:r w:rsidRPr="003C2C68">
        <w:t xml:space="preserve"> cohorts who received </w:t>
      </w:r>
      <w:r w:rsidR="003C2C68">
        <w:t>two</w:t>
      </w:r>
      <w:r w:rsidRPr="003C2C68">
        <w:t xml:space="preserve"> doses, and </w:t>
      </w:r>
      <w:r w:rsidR="003C2C68">
        <w:t>two</w:t>
      </w:r>
      <w:r w:rsidRPr="003C2C68">
        <w:t xml:space="preserve"> cohorts who received </w:t>
      </w:r>
      <w:r w:rsidR="003C2C68">
        <w:t>three</w:t>
      </w:r>
      <w:r w:rsidRPr="003C2C68">
        <w:t xml:space="preserve"> doses, including:</w:t>
      </w:r>
    </w:p>
    <w:p w14:paraId="1018A1E1" w14:textId="2298858F" w:rsidR="00566DB3" w:rsidRPr="003C2C68" w:rsidRDefault="00566DB3" w:rsidP="003C2C68">
      <w:pPr>
        <w:pStyle w:val="ListBullet"/>
      </w:pPr>
      <w:r w:rsidRPr="003C2C68">
        <w:t>Group A (girls who were vaccinated at Day 1 and Month 6 (N</w:t>
      </w:r>
      <w:r w:rsidR="003C2C68">
        <w:t xml:space="preserve"> </w:t>
      </w:r>
      <w:r w:rsidRPr="003C2C68">
        <w:t>=</w:t>
      </w:r>
      <w:r w:rsidR="003C2C68">
        <w:t xml:space="preserve"> </w:t>
      </w:r>
      <w:r w:rsidRPr="003C2C68">
        <w:t>301))</w:t>
      </w:r>
    </w:p>
    <w:p w14:paraId="1C06F5A1" w14:textId="074C0669" w:rsidR="00566DB3" w:rsidRPr="003C2C68" w:rsidRDefault="00566DB3" w:rsidP="003C2C68">
      <w:pPr>
        <w:pStyle w:val="ListBullet"/>
      </w:pPr>
      <w:r w:rsidRPr="003C2C68">
        <w:t>Group B (boys who were vaccinated at Day 1 and Month 6 (N</w:t>
      </w:r>
      <w:r w:rsidR="003C2C68">
        <w:t xml:space="preserve"> </w:t>
      </w:r>
      <w:r w:rsidRPr="003C2C68">
        <w:t>=</w:t>
      </w:r>
      <w:r w:rsidR="003C2C68">
        <w:t xml:space="preserve"> </w:t>
      </w:r>
      <w:r w:rsidRPr="003C2C68">
        <w:t>301))</w:t>
      </w:r>
    </w:p>
    <w:p w14:paraId="5209E081" w14:textId="01DDF0C4" w:rsidR="00566DB3" w:rsidRPr="003C2C68" w:rsidRDefault="00566DB3" w:rsidP="003C2C68">
      <w:pPr>
        <w:pStyle w:val="ListBullet"/>
      </w:pPr>
      <w:r w:rsidRPr="003C2C68">
        <w:t>Group C (girls who were vaccinated at Day 1, Month 2, and Month 6 (N</w:t>
      </w:r>
      <w:r w:rsidR="003C2C68">
        <w:t xml:space="preserve"> </w:t>
      </w:r>
      <w:r w:rsidRPr="003C2C68">
        <w:t>=</w:t>
      </w:r>
      <w:r w:rsidR="003C2C68">
        <w:t xml:space="preserve"> </w:t>
      </w:r>
      <w:r w:rsidRPr="003C2C68">
        <w:t>301))</w:t>
      </w:r>
    </w:p>
    <w:p w14:paraId="5FF6857C" w14:textId="114EE8DF" w:rsidR="00566DB3" w:rsidRPr="003C2C68" w:rsidRDefault="00566DB3" w:rsidP="003C2C68">
      <w:pPr>
        <w:pStyle w:val="ListBullet"/>
      </w:pPr>
      <w:r w:rsidRPr="003C2C68">
        <w:t>Group D (young women who were vaccinated at Day 1, Month 2, and Month 6 (N</w:t>
      </w:r>
      <w:r w:rsidR="003C2C68">
        <w:t xml:space="preserve"> </w:t>
      </w:r>
      <w:r w:rsidRPr="003C2C68">
        <w:t>=</w:t>
      </w:r>
      <w:r w:rsidR="003C2C68">
        <w:t xml:space="preserve"> </w:t>
      </w:r>
      <w:r w:rsidRPr="003C2C68">
        <w:t>314))</w:t>
      </w:r>
    </w:p>
    <w:p w14:paraId="0F6BD0F9" w14:textId="2E26BFE4" w:rsidR="00566DB3" w:rsidRPr="003C2C68" w:rsidRDefault="00566DB3" w:rsidP="003C2C68">
      <w:r w:rsidRPr="003C2C68">
        <w:t xml:space="preserve">The Month 36 immunogenicity results demonstrated persistent HPV antibody responses through </w:t>
      </w:r>
      <w:r w:rsidR="003C2C68">
        <w:t>three</w:t>
      </w:r>
      <w:r w:rsidRPr="003C2C68">
        <w:t xml:space="preserve"> years post-vaccination onset in girls and boys 9 to 14 years of age who received a </w:t>
      </w:r>
      <w:r w:rsidR="005C10C9">
        <w:t>two-dose</w:t>
      </w:r>
      <w:r w:rsidRPr="003C2C68">
        <w:t xml:space="preserve"> regimen of 9vHPV vaccine. GMTs in girls and boys 9 to 14 years of age who received </w:t>
      </w:r>
      <w:r w:rsidR="003C2C68">
        <w:t>two</w:t>
      </w:r>
      <w:r w:rsidRPr="003C2C68">
        <w:t xml:space="preserve"> doses of 9vHPV vaccine were non-inferior to GMTs in young women 16 to 26 years of age who received </w:t>
      </w:r>
      <w:r w:rsidR="003C2C68">
        <w:t>three</w:t>
      </w:r>
      <w:r w:rsidRPr="003C2C68">
        <w:t xml:space="preserve"> doses.</w:t>
      </w:r>
    </w:p>
    <w:p w14:paraId="0D70B2E7" w14:textId="77777777" w:rsidR="003C2C68" w:rsidRDefault="00566DB3" w:rsidP="003C2C68">
      <w:r w:rsidRPr="003C2C68">
        <w:lastRenderedPageBreak/>
        <w:t xml:space="preserve">Anti-HPV GMTs were highest at 1 month after the completion of the </w:t>
      </w:r>
      <w:r w:rsidR="003C2C68">
        <w:t xml:space="preserve">two </w:t>
      </w:r>
      <w:r w:rsidRPr="003C2C68">
        <w:t xml:space="preserve">dose or </w:t>
      </w:r>
      <w:r w:rsidR="003C2C68">
        <w:t xml:space="preserve">three </w:t>
      </w:r>
      <w:r w:rsidRPr="003C2C68">
        <w:t xml:space="preserve">dose series, decreased sharply thereafter during the subsequent 6 to 12 months, and then decreased more slowly through Month 36. A similar result was seen for the GMTs assessed by using the IgG </w:t>
      </w:r>
      <w:r w:rsidR="003C2C68">
        <w:t>line immunoassay</w:t>
      </w:r>
      <w:r w:rsidRPr="003C2C68">
        <w:t>.</w:t>
      </w:r>
      <w:bookmarkStart w:id="52" w:name="_Hlk103607472"/>
    </w:p>
    <w:p w14:paraId="0D41C145" w14:textId="08266BFB" w:rsidR="00566DB3" w:rsidRPr="003C2C68" w:rsidRDefault="00566DB3" w:rsidP="003C2C68">
      <w:pPr>
        <w:pStyle w:val="Heading6"/>
        <w:rPr>
          <w:rFonts w:eastAsiaTheme="minorHAnsi"/>
        </w:rPr>
      </w:pPr>
      <w:r w:rsidRPr="003C2C68">
        <w:t>Study V503-021</w:t>
      </w:r>
      <w:bookmarkEnd w:id="52"/>
      <w:r w:rsidRPr="003C2C68">
        <w:t>-01</w:t>
      </w:r>
    </w:p>
    <w:p w14:paraId="2EA01C28" w14:textId="08EAD93C" w:rsidR="00566DB3" w:rsidRPr="003C2C68" w:rsidRDefault="00566DB3" w:rsidP="003C2C68">
      <w:r w:rsidRPr="003C2C68">
        <w:t>Study V503-021</w:t>
      </w:r>
      <w:r w:rsidR="007A7653">
        <w:t xml:space="preserve"> </w:t>
      </w:r>
      <w:r w:rsidRPr="003C2C68">
        <w:t xml:space="preserve">is an extension of </w:t>
      </w:r>
      <w:r w:rsidR="007B4310">
        <w:t>Study</w:t>
      </w:r>
      <w:r w:rsidRPr="003C2C68">
        <w:t xml:space="preserve"> V503-001; the base study was evaluated in</w:t>
      </w:r>
      <w:r w:rsidR="007B4310">
        <w:t xml:space="preserve"> previous evaluation</w:t>
      </w:r>
      <w:r w:rsidRPr="003C2C68">
        <w:t>.</w:t>
      </w:r>
      <w:r w:rsidR="007A7653">
        <w:fldChar w:fldCharType="begin"/>
      </w:r>
      <w:r w:rsidR="007A7653">
        <w:instrText xml:space="preserve"> NOTEREF _Ref138762674 \f \h </w:instrText>
      </w:r>
      <w:r w:rsidR="007A7653">
        <w:fldChar w:fldCharType="separate"/>
      </w:r>
      <w:r w:rsidR="007A7653" w:rsidRPr="007A7653">
        <w:rPr>
          <w:rStyle w:val="FootnoteReference"/>
        </w:rPr>
        <w:t>6</w:t>
      </w:r>
      <w:r w:rsidR="007A7653">
        <w:fldChar w:fldCharType="end"/>
      </w:r>
    </w:p>
    <w:p w14:paraId="4F64E4D3" w14:textId="1A83B3AA" w:rsidR="00566DB3" w:rsidRDefault="00566DB3" w:rsidP="007A7653">
      <w:r w:rsidRPr="007A7653">
        <w:t>Study V503-001 was a Phase IIb/III randomised international, double</w:t>
      </w:r>
      <w:r w:rsidR="007A7653">
        <w:t xml:space="preserve"> </w:t>
      </w:r>
      <w:r w:rsidRPr="007A7653">
        <w:t>blind, active controlled (qHPV vaccine), dose</w:t>
      </w:r>
      <w:r w:rsidR="007A7653">
        <w:t xml:space="preserve"> </w:t>
      </w:r>
      <w:r w:rsidRPr="007A7653">
        <w:t>ranging, tolerability, immunogenicity and efficacy study of the 9vHPV vaccine in women aged 16</w:t>
      </w:r>
      <w:r w:rsidR="007A7653">
        <w:t xml:space="preserve"> to </w:t>
      </w:r>
      <w:r w:rsidRPr="007A7653">
        <w:t>26 years</w:t>
      </w:r>
      <w:r w:rsidR="007A7653">
        <w:t xml:space="preserve"> of age</w:t>
      </w:r>
      <w:r w:rsidRPr="007A7653">
        <w:t>. Its pivotal analysis was to demonstrate non-inferior immunogenicity in females (16 to 26 years) v</w:t>
      </w:r>
      <w:r w:rsidR="007A7653">
        <w:t>ersus</w:t>
      </w:r>
      <w:r w:rsidRPr="007A7653">
        <w:t xml:space="preserve"> qHPV vaccine. A summary of the main results is </w:t>
      </w:r>
      <w:r w:rsidR="007A7653">
        <w:t xml:space="preserve">shown in </w:t>
      </w:r>
      <w:r w:rsidR="007A7653">
        <w:fldChar w:fldCharType="begin"/>
      </w:r>
      <w:r w:rsidR="007A7653">
        <w:instrText xml:space="preserve"> REF _Ref138764891 \h </w:instrText>
      </w:r>
      <w:r w:rsidR="007A7653">
        <w:fldChar w:fldCharType="separate"/>
      </w:r>
      <w:r w:rsidR="007A7653" w:rsidRPr="007A7653">
        <w:t>Table 12</w:t>
      </w:r>
      <w:r w:rsidR="007A7653">
        <w:fldChar w:fldCharType="end"/>
      </w:r>
      <w:r w:rsidRPr="007A7653">
        <w:t>.</w:t>
      </w:r>
    </w:p>
    <w:p w14:paraId="3C90D1D4" w14:textId="5D4388E7" w:rsidR="007A7653" w:rsidRDefault="007A7653" w:rsidP="007A7653">
      <w:pPr>
        <w:pStyle w:val="TableTitle"/>
      </w:pPr>
      <w:bookmarkStart w:id="53" w:name="_Ref138764891"/>
      <w:r w:rsidRPr="007A7653">
        <w:t xml:space="preserve">Table </w:t>
      </w:r>
      <w:r w:rsidR="005C10C9">
        <w:fldChar w:fldCharType="begin"/>
      </w:r>
      <w:r w:rsidR="005C10C9">
        <w:instrText xml:space="preserve"> SEQ Table \* ARABIC </w:instrText>
      </w:r>
      <w:r w:rsidR="005C10C9">
        <w:fldChar w:fldCharType="separate"/>
      </w:r>
      <w:r w:rsidR="00193AA8">
        <w:rPr>
          <w:noProof/>
        </w:rPr>
        <w:t>12</w:t>
      </w:r>
      <w:r w:rsidR="005C10C9">
        <w:rPr>
          <w:noProof/>
        </w:rPr>
        <w:fldChar w:fldCharType="end"/>
      </w:r>
      <w:bookmarkEnd w:id="53"/>
      <w:r>
        <w:t>:</w:t>
      </w:r>
      <w:r w:rsidRPr="007A7653">
        <w:t xml:space="preserve"> </w:t>
      </w:r>
      <w:r w:rsidRPr="003D1B50">
        <w:t>Study V503-001</w:t>
      </w:r>
      <w:r w:rsidR="007B4310">
        <w:t xml:space="preserve"> m</w:t>
      </w:r>
      <w:r>
        <w:t>ain results (</w:t>
      </w:r>
      <w:r w:rsidR="007B4310">
        <w:t>p</w:t>
      </w:r>
      <w:r w:rsidRPr="003D1B50">
        <w:t>er</w:t>
      </w:r>
      <w:r>
        <w:t xml:space="preserve"> </w:t>
      </w:r>
      <w:r w:rsidR="007B4310">
        <w:t>p</w:t>
      </w:r>
      <w:r w:rsidRPr="003D1B50">
        <w:t xml:space="preserve">rotocol </w:t>
      </w:r>
      <w:r w:rsidR="007B4310">
        <w:t>e</w:t>
      </w:r>
      <w:r w:rsidRPr="003D1B50">
        <w:t xml:space="preserve">fficacy </w:t>
      </w:r>
      <w:r w:rsidR="007B4310">
        <w:t>a</w:t>
      </w:r>
      <w:r w:rsidRPr="003D1B50">
        <w:t xml:space="preserve">nalysis </w:t>
      </w:r>
      <w:r w:rsidR="007B4310">
        <w:t>p</w:t>
      </w:r>
      <w:r w:rsidRPr="003D1B50">
        <w:t>opulation)</w:t>
      </w:r>
      <w:r>
        <w:t>.</w:t>
      </w:r>
    </w:p>
    <w:p w14:paraId="4F59EE4E" w14:textId="79809257" w:rsidR="007A7653" w:rsidRPr="007A7653" w:rsidRDefault="007A7653" w:rsidP="007A7653">
      <w:r w:rsidRPr="00A25F0B">
        <w:rPr>
          <w:rFonts w:asciiTheme="minorHAnsi" w:eastAsia="Times New Roman" w:hAnsiTheme="minorHAnsi"/>
          <w:noProof/>
        </w:rPr>
        <w:drawing>
          <wp:inline distT="0" distB="0" distL="0" distR="0" wp14:anchorId="5AB1DCB1" wp14:editId="27BC2CF6">
            <wp:extent cx="5759450" cy="1947495"/>
            <wp:effectExtent l="0" t="0" r="0" b="0"/>
            <wp:docPr id="2" name="Picture 2" descr="Study V503-001. Main results (Per Protocol Efficac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V503-001. Main results (Per Protocol Efficacy Analysis Popula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1947495"/>
                    </a:xfrm>
                    <a:prstGeom prst="rect">
                      <a:avLst/>
                    </a:prstGeom>
                    <a:noFill/>
                    <a:ln>
                      <a:noFill/>
                    </a:ln>
                  </pic:spPr>
                </pic:pic>
              </a:graphicData>
            </a:graphic>
          </wp:inline>
        </w:drawing>
      </w:r>
      <w:r w:rsidRPr="00A25F0B">
        <w:rPr>
          <w:rFonts w:asciiTheme="minorHAnsi" w:eastAsia="Times New Roman" w:hAnsiTheme="minorHAnsi"/>
          <w:noProof/>
        </w:rPr>
        <w:drawing>
          <wp:inline distT="0" distB="0" distL="0" distR="0" wp14:anchorId="547B1202" wp14:editId="68EF66A8">
            <wp:extent cx="5759450" cy="1204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1204302"/>
                    </a:xfrm>
                    <a:prstGeom prst="rect">
                      <a:avLst/>
                    </a:prstGeom>
                    <a:noFill/>
                    <a:ln>
                      <a:noFill/>
                    </a:ln>
                  </pic:spPr>
                </pic:pic>
              </a:graphicData>
            </a:graphic>
          </wp:inline>
        </w:drawing>
      </w:r>
    </w:p>
    <w:p w14:paraId="6CAB58A1" w14:textId="02236391" w:rsidR="00566DB3" w:rsidRPr="007A7653" w:rsidRDefault="00566DB3" w:rsidP="007A7653">
      <w:r w:rsidRPr="007A7653">
        <w:t>Study V503-021-01 is an ongoing extension of</w:t>
      </w:r>
      <w:r w:rsidR="007B4310">
        <w:t xml:space="preserve"> Study </w:t>
      </w:r>
      <w:r w:rsidRPr="007A7653">
        <w:t>V503-001 base study in Scandinavian countries (women vaccinated at age 16</w:t>
      </w:r>
      <w:r w:rsidR="007A7653">
        <w:t xml:space="preserve"> to </w:t>
      </w:r>
      <w:r w:rsidRPr="007A7653">
        <w:t>26 years</w:t>
      </w:r>
      <w:r w:rsidR="007A7653">
        <w:t xml:space="preserve"> of age</w:t>
      </w:r>
      <w:r w:rsidRPr="007A7653">
        <w:t>). It differs from the base study to allow the establishment of a new, separate clinical electronic database (base study follow</w:t>
      </w:r>
      <w:r w:rsidR="007A7653">
        <w:t xml:space="preserve"> </w:t>
      </w:r>
      <w:r w:rsidRPr="007A7653">
        <w:t xml:space="preserve">up: up to </w:t>
      </w:r>
      <w:r w:rsidR="007A7653">
        <w:t>six</w:t>
      </w:r>
      <w:r w:rsidRPr="007A7653">
        <w:t xml:space="preserve"> years, but median </w:t>
      </w:r>
      <w:r w:rsidR="007A7653">
        <w:t>four</w:t>
      </w:r>
      <w:r w:rsidRPr="007A7653">
        <w:t xml:space="preserve"> years; extension study follow</w:t>
      </w:r>
      <w:r w:rsidR="007A7653">
        <w:t xml:space="preserve"> </w:t>
      </w:r>
      <w:r w:rsidRPr="007A7653">
        <w:t>up: up to an additional 10 years with interim analyses at Years 2, 4, 6, and 8 of the study extension and the final analysis at Year 10).</w:t>
      </w:r>
    </w:p>
    <w:p w14:paraId="0473FA80" w14:textId="083A9E53" w:rsidR="00566DB3" w:rsidRPr="007A7653" w:rsidRDefault="00566DB3" w:rsidP="007A7653">
      <w:r w:rsidRPr="007A7653">
        <w:t xml:space="preserve">Primary effectiveness objective: to assess the long-term effectiveness of 9vHPV vaccine by monitoring the combined incidence of HPV16/18/31/33/45/52/58-related </w:t>
      </w:r>
      <w:r w:rsidR="00AF3535">
        <w:t>c</w:t>
      </w:r>
      <w:r w:rsidR="00AF3535" w:rsidRPr="00AF3535">
        <w:t xml:space="preserve">ervical intraepithelial neoplasia </w:t>
      </w:r>
      <w:r w:rsidR="00AF3535">
        <w:t>(</w:t>
      </w:r>
      <w:r w:rsidRPr="007A7653">
        <w:t>CIN</w:t>
      </w:r>
      <w:r w:rsidR="00AF3535">
        <w:t xml:space="preserve">) </w:t>
      </w:r>
      <w:r w:rsidRPr="007A7653">
        <w:t>2, CIN3,</w:t>
      </w:r>
      <w:r w:rsidR="00E67062">
        <w:rPr>
          <w:rStyle w:val="FootnoteReference"/>
        </w:rPr>
        <w:footnoteReference w:id="10"/>
      </w:r>
      <w:r w:rsidRPr="007A7653">
        <w:t xml:space="preserve"> AIS,</w:t>
      </w:r>
      <w:r w:rsidR="00E67062">
        <w:rPr>
          <w:rStyle w:val="FootnoteReference"/>
        </w:rPr>
        <w:footnoteReference w:id="11"/>
      </w:r>
      <w:r w:rsidRPr="007A7653">
        <w:t xml:space="preserve"> and cervical cancer.</w:t>
      </w:r>
    </w:p>
    <w:p w14:paraId="705DA417" w14:textId="4B4D3E02" w:rsidR="00566DB3" w:rsidRPr="007A7653" w:rsidRDefault="00566DB3" w:rsidP="007A7653">
      <w:r w:rsidRPr="007A7653">
        <w:lastRenderedPageBreak/>
        <w:t>Year 4 interim analysis (</w:t>
      </w:r>
      <w:r w:rsidR="007A7653">
        <w:t>January</w:t>
      </w:r>
      <w:r w:rsidRPr="007A7653">
        <w:t xml:space="preserve"> 2014 to </w:t>
      </w:r>
      <w:r w:rsidR="007A7653">
        <w:t>January</w:t>
      </w:r>
      <w:r w:rsidRPr="007A7653">
        <w:t xml:space="preserve"> 2018, </w:t>
      </w:r>
      <w:r w:rsidR="007A7653">
        <w:t>that is</w:t>
      </w:r>
      <w:r w:rsidRPr="007A7653">
        <w:t xml:space="preserve"> approximately 8 years of follow</w:t>
      </w:r>
      <w:r w:rsidR="007A7653">
        <w:t xml:space="preserve"> </w:t>
      </w:r>
      <w:r w:rsidRPr="007A7653">
        <w:t>up after the first dose):</w:t>
      </w:r>
    </w:p>
    <w:p w14:paraId="536CEAE9" w14:textId="4C719768" w:rsidR="00566DB3" w:rsidRDefault="00566DB3" w:rsidP="00E67062">
      <w:pPr>
        <w:pStyle w:val="ListBullet"/>
      </w:pPr>
      <w:r>
        <w:t>1,448 subjects (PPE population) contributed 4,084.2 person-years of follow</w:t>
      </w:r>
      <w:r w:rsidR="007B4310">
        <w:t xml:space="preserve"> </w:t>
      </w:r>
      <w:r>
        <w:t>up since the start of the extension study.</w:t>
      </w:r>
    </w:p>
    <w:p w14:paraId="147CBD7F" w14:textId="77777777" w:rsidR="00566DB3" w:rsidRDefault="00566DB3" w:rsidP="00E67062">
      <w:pPr>
        <w:pStyle w:val="ListBullet"/>
      </w:pPr>
      <w:r>
        <w:t>No cases occurred of HPV16/18/31/33/45/52/58-related:</w:t>
      </w:r>
    </w:p>
    <w:p w14:paraId="107E643E" w14:textId="77777777" w:rsidR="00566DB3" w:rsidRDefault="00566DB3" w:rsidP="00E67062">
      <w:pPr>
        <w:pStyle w:val="ListBullet2"/>
      </w:pPr>
      <w:r>
        <w:t>CIN2 or worse (primary endpoint)</w:t>
      </w:r>
    </w:p>
    <w:p w14:paraId="5BD84D5A" w14:textId="77777777" w:rsidR="00566DB3" w:rsidRDefault="00566DB3" w:rsidP="00E67062">
      <w:pPr>
        <w:pStyle w:val="ListBullet2"/>
      </w:pPr>
      <w:r>
        <w:t>CIN, vulvar cancer, and vaginal cancer (secondary endpoint).</w:t>
      </w:r>
    </w:p>
    <w:p w14:paraId="141C63B1" w14:textId="19637A14" w:rsidR="00566DB3" w:rsidRDefault="00566DB3" w:rsidP="00E67062">
      <w:pPr>
        <w:pStyle w:val="ListBullet"/>
      </w:pPr>
      <w:r>
        <w:t xml:space="preserve">Of note, </w:t>
      </w:r>
      <w:r w:rsidR="00E67062">
        <w:t>two</w:t>
      </w:r>
      <w:r>
        <w:t xml:space="preserve"> cases of HPV16/18/31/33/45/52/58-related CIN (1 case each for CIN1 and CIN2) or worse occurred in the </w:t>
      </w:r>
      <w:r w:rsidR="00E67062">
        <w:t xml:space="preserve">Study </w:t>
      </w:r>
      <w:r>
        <w:t>V503-001 base study.</w:t>
      </w:r>
    </w:p>
    <w:p w14:paraId="202949A8" w14:textId="0417B4D0" w:rsidR="00566DB3" w:rsidRPr="00E67062" w:rsidRDefault="00566DB3" w:rsidP="00E67062">
      <w:r w:rsidRPr="00E67062">
        <w:t>The follow</w:t>
      </w:r>
      <w:r w:rsidR="00E67062">
        <w:t xml:space="preserve"> </w:t>
      </w:r>
      <w:r w:rsidRPr="00E67062">
        <w:t xml:space="preserve">up for immunogenicity is based on serum collection at Year 5 and Year 10 of the extension (not provided in </w:t>
      </w:r>
      <w:r w:rsidR="00E67062">
        <w:t xml:space="preserve">sponsor </w:t>
      </w:r>
      <w:r w:rsidRPr="00E67062">
        <w:t>dossier). The Year 4 analysis only covers effectiveness</w:t>
      </w:r>
      <w:r w:rsidR="00E67062">
        <w:t xml:space="preserve"> (</w:t>
      </w:r>
      <w:r w:rsidR="00E67062">
        <w:fldChar w:fldCharType="begin"/>
      </w:r>
      <w:r w:rsidR="00E67062">
        <w:instrText xml:space="preserve"> REF _Ref138765604 \h </w:instrText>
      </w:r>
      <w:r w:rsidR="00E67062">
        <w:fldChar w:fldCharType="separate"/>
      </w:r>
      <w:r w:rsidR="00E67062" w:rsidRPr="00E67062">
        <w:t>Table 13</w:t>
      </w:r>
      <w:r w:rsidR="00E67062">
        <w:fldChar w:fldCharType="end"/>
      </w:r>
      <w:r w:rsidR="00E67062">
        <w:t>)</w:t>
      </w:r>
      <w:r w:rsidRPr="00E67062">
        <w:t>.</w:t>
      </w:r>
    </w:p>
    <w:p w14:paraId="6AFB6907" w14:textId="6D59FF31" w:rsidR="00566DB3" w:rsidRPr="00E67062" w:rsidRDefault="00E67062" w:rsidP="00E67062">
      <w:pPr>
        <w:pStyle w:val="TableTitle"/>
        <w:rPr>
          <w:lang w:eastAsia="ja-JP"/>
        </w:rPr>
      </w:pPr>
      <w:bookmarkStart w:id="54" w:name="_Ref138765604"/>
      <w:r w:rsidRPr="00E67062">
        <w:t xml:space="preserve">Table </w:t>
      </w:r>
      <w:r w:rsidR="005C10C9">
        <w:fldChar w:fldCharType="begin"/>
      </w:r>
      <w:r w:rsidR="005C10C9">
        <w:instrText xml:space="preserve"> SEQ Table \* ARABIC </w:instrText>
      </w:r>
      <w:r w:rsidR="005C10C9">
        <w:fldChar w:fldCharType="separate"/>
      </w:r>
      <w:r w:rsidR="00193AA8">
        <w:rPr>
          <w:noProof/>
        </w:rPr>
        <w:t>13</w:t>
      </w:r>
      <w:r w:rsidR="005C10C9">
        <w:rPr>
          <w:noProof/>
        </w:rPr>
        <w:fldChar w:fldCharType="end"/>
      </w:r>
      <w:bookmarkEnd w:id="54"/>
      <w:r>
        <w:t xml:space="preserve">: </w:t>
      </w:r>
      <w:r w:rsidRPr="00CA4A22">
        <w:t>Study V503-021-01</w:t>
      </w:r>
      <w:r>
        <w:t xml:space="preserve"> </w:t>
      </w:r>
      <w:r w:rsidRPr="00802691">
        <w:t>Year 4 interim analysis</w:t>
      </w:r>
      <w:r>
        <w:t>, e</w:t>
      </w:r>
      <w:r>
        <w:rPr>
          <w:lang w:eastAsia="ja-JP"/>
        </w:rPr>
        <w:t>ffectiveness against HPV 16/18/31/33/45/52/58-related CIN2, CIN3, AIS, and cervical cancer by time since the start of the long term follow up study (Cohort 1 – per-protocol efficacy population).</w:t>
      </w:r>
    </w:p>
    <w:p w14:paraId="59342098" w14:textId="09617BD1" w:rsidR="000F3590" w:rsidRDefault="00E67062" w:rsidP="000F3590">
      <w:r w:rsidRPr="00802691">
        <w:rPr>
          <w:noProof/>
          <w:lang w:eastAsia="ja-JP"/>
        </w:rPr>
        <w:drawing>
          <wp:inline distT="0" distB="0" distL="0" distR="0" wp14:anchorId="37A3F9D6" wp14:editId="19D4274F">
            <wp:extent cx="5759450" cy="1749504"/>
            <wp:effectExtent l="0" t="0" r="0" b="3175"/>
            <wp:docPr id="5" name="Picture 5" descr="Study V503-021-01 Year 4 interim analysis, effectiveness against HPV 16/18/31/33/45/52/58-related CIN2, CIN3, AIS, and cervical cancer by time since the start of the long term follow up study (Cohort 1 – per-protocol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V503-021-01 Year 4 interim analysis, effectiveness against HPV 16/18/31/33/45/52/58-related CIN2, CIN3, AIS, and cervical cancer by time since the start of the long term follow up study (Cohort 1 – per-protocol efficacy popula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1749504"/>
                    </a:xfrm>
                    <a:prstGeom prst="rect">
                      <a:avLst/>
                    </a:prstGeom>
                    <a:noFill/>
                    <a:ln>
                      <a:noFill/>
                    </a:ln>
                  </pic:spPr>
                </pic:pic>
              </a:graphicData>
            </a:graphic>
          </wp:inline>
        </w:drawing>
      </w:r>
    </w:p>
    <w:p w14:paraId="27950743" w14:textId="7829C2D4" w:rsidR="00E67062" w:rsidRPr="00E67062" w:rsidRDefault="00E67062" w:rsidP="00E67062">
      <w:pPr>
        <w:pStyle w:val="Heading6"/>
        <w:rPr>
          <w:rFonts w:eastAsia="Cambria"/>
        </w:rPr>
      </w:pPr>
      <w:r>
        <w:t xml:space="preserve">Long term follow up </w:t>
      </w:r>
      <w:r w:rsidRPr="00E67062">
        <w:t>Studies with Gardasil (qHPV)</w:t>
      </w:r>
    </w:p>
    <w:p w14:paraId="1B446D29" w14:textId="4860CA38" w:rsidR="00E67062" w:rsidRPr="00E67062" w:rsidRDefault="00E67062" w:rsidP="00E67062">
      <w:r w:rsidRPr="00E67062">
        <w:t>Gardasil extension studies</w:t>
      </w:r>
      <w:r w:rsidR="00845E63">
        <w:t xml:space="preserve">, Studies </w:t>
      </w:r>
      <w:r w:rsidRPr="00E67062">
        <w:t xml:space="preserve">V501-015-021, V501-018, V501-019-21, V501-020-21 have been evaluated previously. </w:t>
      </w:r>
      <w:r w:rsidR="00BF07A0">
        <w:t xml:space="preserve">Study </w:t>
      </w:r>
      <w:r w:rsidRPr="00E67062">
        <w:t>V501-167 is summarised</w:t>
      </w:r>
      <w:r w:rsidR="00BF07A0">
        <w:t xml:space="preserve"> as</w:t>
      </w:r>
      <w:r w:rsidRPr="00E67062">
        <w:t xml:space="preserve"> below.</w:t>
      </w:r>
    </w:p>
    <w:p w14:paraId="2B1C6CE0" w14:textId="23470507" w:rsidR="00E67062" w:rsidRPr="00E67062" w:rsidRDefault="00BF07A0" w:rsidP="00E67062">
      <w:r>
        <w:t>The</w:t>
      </w:r>
      <w:r w:rsidR="00E67062" w:rsidRPr="00E67062">
        <w:t xml:space="preserve"> base study was a randomised clinical trial that assessed the immunogenicity of a </w:t>
      </w:r>
      <w:r w:rsidR="005C10C9">
        <w:t>two-dose</w:t>
      </w:r>
      <w:r w:rsidR="00E67062" w:rsidRPr="00E67062">
        <w:t xml:space="preserve"> schedule of the Gardasil in adolescents 9 to 13 years of age compared to a </w:t>
      </w:r>
      <w:r>
        <w:t xml:space="preserve">three </w:t>
      </w:r>
      <w:r w:rsidR="00E67062" w:rsidRPr="00E67062">
        <w:t xml:space="preserve">dose schedule in young women 16 to 26 years of age for up to </w:t>
      </w:r>
      <w:r>
        <w:t>three</w:t>
      </w:r>
      <w:r w:rsidR="00E67062" w:rsidRPr="00E67062">
        <w:t xml:space="preserve"> years post-vaccination. The extension study conducted provides additional immunogenicity follow</w:t>
      </w:r>
      <w:r>
        <w:t xml:space="preserve"> </w:t>
      </w:r>
      <w:r w:rsidR="00E67062" w:rsidRPr="00E67062">
        <w:t>up through 10 years post-vaccination.</w:t>
      </w:r>
    </w:p>
    <w:p w14:paraId="7C89A2F1" w14:textId="53181C05" w:rsidR="00E67062" w:rsidRPr="00E67062" w:rsidRDefault="00E67062" w:rsidP="00E67062">
      <w:r w:rsidRPr="00E67062">
        <w:t xml:space="preserve">The study demonstrated that girls who received </w:t>
      </w:r>
      <w:r w:rsidR="00BF07A0">
        <w:t>two</w:t>
      </w:r>
      <w:r w:rsidRPr="00E67062">
        <w:t xml:space="preserve"> doses of qHPV vaccine (N</w:t>
      </w:r>
      <w:r w:rsidR="00BF07A0">
        <w:t xml:space="preserve"> </w:t>
      </w:r>
      <w:r w:rsidRPr="00E67062">
        <w:t>=</w:t>
      </w:r>
      <w:r w:rsidR="00BF07A0">
        <w:t xml:space="preserve"> </w:t>
      </w:r>
      <w:r w:rsidRPr="00E67062">
        <w:t xml:space="preserve">259) achieved HPV6, 11, 16, and 18 GMTs at Month 7 that were non-inferior compared with young women 16 to 26 </w:t>
      </w:r>
      <w:r w:rsidR="00BF07A0">
        <w:t>years of age</w:t>
      </w:r>
      <w:r w:rsidRPr="00E67062">
        <w:t xml:space="preserve"> (N</w:t>
      </w:r>
      <w:r w:rsidR="00BF07A0">
        <w:t xml:space="preserve"> </w:t>
      </w:r>
      <w:r w:rsidRPr="00E67062">
        <w:t>=</w:t>
      </w:r>
      <w:r w:rsidR="00BF07A0">
        <w:t xml:space="preserve"> </w:t>
      </w:r>
      <w:r w:rsidRPr="00E67062">
        <w:t>310) and with girls (N</w:t>
      </w:r>
      <w:r w:rsidR="00BF07A0">
        <w:t xml:space="preserve"> </w:t>
      </w:r>
      <w:r w:rsidRPr="00E67062">
        <w:t>=</w:t>
      </w:r>
      <w:r w:rsidR="00BF07A0">
        <w:t xml:space="preserve"> </w:t>
      </w:r>
      <w:r w:rsidRPr="00E67062">
        <w:t xml:space="preserve">261) who received </w:t>
      </w:r>
      <w:r w:rsidR="00BF07A0">
        <w:t>three</w:t>
      </w:r>
      <w:r w:rsidRPr="00E67062">
        <w:t xml:space="preserve"> doses. The non-inferiority criterion required that the lower bound of the 95% CI of the GMT ratio (</w:t>
      </w:r>
      <w:r w:rsidR="00BF07A0">
        <w:t xml:space="preserve">two </w:t>
      </w:r>
      <w:r w:rsidRPr="00E67062">
        <w:t>dose in adolescents/</w:t>
      </w:r>
      <w:r w:rsidR="00BF07A0">
        <w:t xml:space="preserve">three </w:t>
      </w:r>
      <w:r w:rsidRPr="00E67062">
        <w:t>dose in women) be &gt;</w:t>
      </w:r>
      <w:r w:rsidR="00BF07A0">
        <w:t xml:space="preserve"> </w:t>
      </w:r>
      <w:r w:rsidRPr="00E67062">
        <w:t>0.5.</w:t>
      </w:r>
    </w:p>
    <w:p w14:paraId="473CE206" w14:textId="586A42AF" w:rsidR="00E67062" w:rsidRPr="00E67062" w:rsidRDefault="00BF07A0" w:rsidP="00E67062">
      <w:r>
        <w:t xml:space="preserve">At </w:t>
      </w:r>
      <w:r w:rsidR="00E67062" w:rsidRPr="00E67062">
        <w:t>Month 36</w:t>
      </w:r>
      <w:r>
        <w:t>, t</w:t>
      </w:r>
      <w:r w:rsidR="00E67062" w:rsidRPr="00E67062">
        <w:t xml:space="preserve">he trend of GMT ratio </w:t>
      </w:r>
      <w:r w:rsidR="007B4310">
        <w:t>greater than</w:t>
      </w:r>
      <w:r>
        <w:t xml:space="preserve"> </w:t>
      </w:r>
      <w:r w:rsidR="00E67062" w:rsidRPr="00E67062">
        <w:t xml:space="preserve">0.5 in comparison with young women was maintained through Month 36. The trend of GMT ratio </w:t>
      </w:r>
      <w:r w:rsidR="007B4310">
        <w:t>greater than</w:t>
      </w:r>
      <w:r>
        <w:t xml:space="preserve"> </w:t>
      </w:r>
      <w:r w:rsidR="00E67062" w:rsidRPr="00E67062">
        <w:t xml:space="preserve">0.5 in comparison with the girls who received </w:t>
      </w:r>
      <w:r>
        <w:t>three</w:t>
      </w:r>
      <w:r w:rsidR="00E67062" w:rsidRPr="00E67062">
        <w:t xml:space="preserve"> doses (</w:t>
      </w:r>
      <w:r>
        <w:t xml:space="preserve">that is two </w:t>
      </w:r>
      <w:r w:rsidR="00E67062" w:rsidRPr="00E67062">
        <w:t>dose in adolescents/</w:t>
      </w:r>
      <w:r>
        <w:t xml:space="preserve">three </w:t>
      </w:r>
      <w:r w:rsidR="00E67062" w:rsidRPr="00E67062">
        <w:t xml:space="preserve">dose in adolescents) was not maintained through Month 36 for HPV types 6 and 18, suggesting a faster waning of antibodies in girls who receive </w:t>
      </w:r>
      <w:r>
        <w:t>two</w:t>
      </w:r>
      <w:r w:rsidR="00E67062" w:rsidRPr="00E67062">
        <w:t xml:space="preserve"> doses of qHPV vaccine.</w:t>
      </w:r>
    </w:p>
    <w:p w14:paraId="05B7DE5E" w14:textId="5AAE63B8" w:rsidR="00E67062" w:rsidRPr="00E67062" w:rsidRDefault="00BF07A0" w:rsidP="00E67062">
      <w:r>
        <w:lastRenderedPageBreak/>
        <w:t xml:space="preserve">At </w:t>
      </w:r>
      <w:r w:rsidR="00E67062" w:rsidRPr="00E67062">
        <w:t>Month 60</w:t>
      </w:r>
      <w:r>
        <w:t>, f</w:t>
      </w:r>
      <w:r w:rsidR="00E67062" w:rsidRPr="00E67062">
        <w:t xml:space="preserve">or a </w:t>
      </w:r>
      <w:r w:rsidR="00E67062" w:rsidRPr="007B4310">
        <w:rPr>
          <w:i/>
          <w:iCs/>
        </w:rPr>
        <w:t>post-hoc</w:t>
      </w:r>
      <w:r w:rsidR="00E67062" w:rsidRPr="00E67062">
        <w:t xml:space="preserve"> analysis, a subset of 101 girls who received the </w:t>
      </w:r>
      <w:r>
        <w:t xml:space="preserve">two </w:t>
      </w:r>
      <w:r w:rsidR="00E67062" w:rsidRPr="00E67062">
        <w:t xml:space="preserve">dose (50 girls) or </w:t>
      </w:r>
      <w:r>
        <w:t xml:space="preserve">three </w:t>
      </w:r>
      <w:r w:rsidR="00E67062" w:rsidRPr="00E67062">
        <w:t>dose (51 girls) schedule had a follow</w:t>
      </w:r>
      <w:r>
        <w:t xml:space="preserve"> </w:t>
      </w:r>
      <w:r w:rsidR="00E67062" w:rsidRPr="00E67062">
        <w:t xml:space="preserve">up serology evaluation at Month 60. Women who received the </w:t>
      </w:r>
      <w:r w:rsidR="005C10C9">
        <w:t>three-dose</w:t>
      </w:r>
      <w:r w:rsidR="00E67062" w:rsidRPr="00E67062">
        <w:t xml:space="preserve"> schedule were not followed for serology evaluation at Month 60.</w:t>
      </w:r>
    </w:p>
    <w:p w14:paraId="79DA7BFC" w14:textId="11BDC331" w:rsidR="00E67062" w:rsidRPr="00E67062" w:rsidRDefault="00BF07A0" w:rsidP="00E67062">
      <w:r>
        <w:t xml:space="preserve">At </w:t>
      </w:r>
      <w:r w:rsidR="00E67062" w:rsidRPr="00E67062">
        <w:t>Month 120</w:t>
      </w:r>
      <w:r>
        <w:t>, f</w:t>
      </w:r>
      <w:r w:rsidR="00E67062" w:rsidRPr="00E67062">
        <w:t xml:space="preserve">or a second post-hoc analysis, a subset of 73 girls who received the </w:t>
      </w:r>
      <w:r>
        <w:t xml:space="preserve">two </w:t>
      </w:r>
      <w:r w:rsidR="00E67062" w:rsidRPr="00E67062">
        <w:t xml:space="preserve">dose (35 girls) or </w:t>
      </w:r>
      <w:r>
        <w:t xml:space="preserve">three </w:t>
      </w:r>
      <w:r w:rsidR="00E67062" w:rsidRPr="00E67062">
        <w:t>dose (38 girls) schedule had a follow</w:t>
      </w:r>
      <w:r>
        <w:t xml:space="preserve"> </w:t>
      </w:r>
      <w:r w:rsidR="00E67062" w:rsidRPr="00E67062">
        <w:t xml:space="preserve">up serology evaluation at Month 60. Women who received the </w:t>
      </w:r>
      <w:r w:rsidR="005C10C9">
        <w:t>three-dose</w:t>
      </w:r>
      <w:r w:rsidR="00E67062" w:rsidRPr="00E67062">
        <w:t xml:space="preserve"> schedule were not followed for serology evaluation at Month 60.</w:t>
      </w:r>
    </w:p>
    <w:p w14:paraId="4DD36975" w14:textId="7A0AD5FA" w:rsidR="00E67062" w:rsidRPr="00E67062" w:rsidRDefault="007B4310" w:rsidP="00E67062">
      <w:r>
        <w:t xml:space="preserve">The </w:t>
      </w:r>
      <w:r w:rsidR="00E67062" w:rsidRPr="00E67062">
        <w:t xml:space="preserve">HPV6, 11, 16, and 18 antibody responses (assessed by cLIA) declined through Month 120 at a similar level for both groups (but with seropositivity rates at Month 120 </w:t>
      </w:r>
      <w:r>
        <w:t>greater than</w:t>
      </w:r>
      <w:r w:rsidR="00BF07A0">
        <w:t xml:space="preserve"> </w:t>
      </w:r>
      <w:r w:rsidR="00E67062" w:rsidRPr="00E67062">
        <w:t xml:space="preserve">80% for the </w:t>
      </w:r>
      <w:r w:rsidR="005C10C9">
        <w:t>two-dose</w:t>
      </w:r>
      <w:r w:rsidR="00E67062" w:rsidRPr="00E67062">
        <w:t xml:space="preserve"> group and </w:t>
      </w:r>
      <w:r>
        <w:t>greater than</w:t>
      </w:r>
      <w:r w:rsidR="00BF07A0">
        <w:t xml:space="preserve"> </w:t>
      </w:r>
      <w:r w:rsidR="00E67062" w:rsidRPr="00E67062">
        <w:t xml:space="preserve">90% for the </w:t>
      </w:r>
      <w:r w:rsidR="00BF07A0">
        <w:t>three</w:t>
      </w:r>
      <w:r w:rsidR="00E67062" w:rsidRPr="00E67062">
        <w:t xml:space="preserve"> dose group).</w:t>
      </w:r>
    </w:p>
    <w:p w14:paraId="42819189" w14:textId="4954699F" w:rsidR="00E67062" w:rsidRPr="00E67062" w:rsidRDefault="00E67062" w:rsidP="00E67062">
      <w:r w:rsidRPr="00E67062">
        <w:t xml:space="preserve">Seropositivity rates at Month 60 in girls who received </w:t>
      </w:r>
      <w:r w:rsidR="00BF07A0">
        <w:t>two</w:t>
      </w:r>
      <w:r w:rsidRPr="00E67062">
        <w:t xml:space="preserve"> doses were 96%, 100%, 100%, and 84% for HPV6, 11, 16, and 18, respectively. They were 98%, 100%, 100%, and 94% in girls who received </w:t>
      </w:r>
      <w:r w:rsidR="00BF07A0">
        <w:t>three</w:t>
      </w:r>
      <w:r w:rsidRPr="00E67062">
        <w:t xml:space="preserve"> doses</w:t>
      </w:r>
      <w:r w:rsidR="00BF07A0">
        <w:t xml:space="preserve"> (</w:t>
      </w:r>
      <w:r w:rsidR="00BF07A0">
        <w:fldChar w:fldCharType="begin"/>
      </w:r>
      <w:r w:rsidR="00BF07A0">
        <w:instrText xml:space="preserve"> REF _Ref138766266 \h </w:instrText>
      </w:r>
      <w:r w:rsidR="00BF07A0">
        <w:fldChar w:fldCharType="separate"/>
      </w:r>
      <w:r w:rsidR="00BF07A0">
        <w:t xml:space="preserve">Table </w:t>
      </w:r>
      <w:r w:rsidR="00BF07A0">
        <w:rPr>
          <w:noProof/>
        </w:rPr>
        <w:t>14</w:t>
      </w:r>
      <w:r w:rsidR="00BF07A0">
        <w:fldChar w:fldCharType="end"/>
      </w:r>
      <w:r w:rsidR="00BF07A0">
        <w:t>)</w:t>
      </w:r>
      <w:r w:rsidRPr="00E67062">
        <w:t>.</w:t>
      </w:r>
    </w:p>
    <w:p w14:paraId="7BD7BDFD" w14:textId="43E61F05" w:rsidR="00E67062" w:rsidRDefault="00BF07A0" w:rsidP="00BF07A0">
      <w:pPr>
        <w:pStyle w:val="TableTitle"/>
      </w:pPr>
      <w:bookmarkStart w:id="55" w:name="_Ref138766266"/>
      <w:r w:rsidRPr="00BF07A0">
        <w:t xml:space="preserve">Table </w:t>
      </w:r>
      <w:r w:rsidR="005C10C9">
        <w:fldChar w:fldCharType="begin"/>
      </w:r>
      <w:r w:rsidR="005C10C9">
        <w:instrText xml:space="preserve"> SEQ Table \* ARABIC </w:instrText>
      </w:r>
      <w:r w:rsidR="005C10C9">
        <w:fldChar w:fldCharType="separate"/>
      </w:r>
      <w:r w:rsidR="00193AA8">
        <w:rPr>
          <w:noProof/>
        </w:rPr>
        <w:t>14</w:t>
      </w:r>
      <w:r w:rsidR="005C10C9">
        <w:rPr>
          <w:noProof/>
        </w:rPr>
        <w:fldChar w:fldCharType="end"/>
      </w:r>
      <w:bookmarkEnd w:id="55"/>
      <w:r>
        <w:t xml:space="preserve">: </w:t>
      </w:r>
      <w:r w:rsidRPr="00441769">
        <w:t>Study V501-167</w:t>
      </w:r>
      <w:r>
        <w:t>. Seropositivity rates and GMTs at Months 36 and 60 among girls aged 9 to 13 years receiving 2 vs 3 doses of qHPV vaccine</w:t>
      </w:r>
    </w:p>
    <w:p w14:paraId="278B119E" w14:textId="5E7340C1" w:rsidR="00BF07A0" w:rsidRDefault="00BF07A0" w:rsidP="00BF07A0">
      <w:r w:rsidRPr="006A7278">
        <w:rPr>
          <w:noProof/>
          <w:lang w:eastAsia="en-AU"/>
        </w:rPr>
        <w:drawing>
          <wp:inline distT="0" distB="0" distL="0" distR="0" wp14:anchorId="51452A9F" wp14:editId="189DD8F2">
            <wp:extent cx="5759450" cy="1992318"/>
            <wp:effectExtent l="0" t="0" r="0" b="8255"/>
            <wp:docPr id="4" name="Picture 4" descr="Study V501-167. Seropositivity rates and GMTs at Months 36 and 60 among girls aged 9 to 13 years receiving 2 vs 3 doses of qHPV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V501-167. Seropositivity rates and GMTs at Months 36 and 60 among girls aged 9 to 13 years receiving 2 vs 3 doses of qHPV vaccine"/>
                    <pic:cNvPicPr/>
                  </pic:nvPicPr>
                  <pic:blipFill>
                    <a:blip r:embed="rId40"/>
                    <a:stretch>
                      <a:fillRect/>
                    </a:stretch>
                  </pic:blipFill>
                  <pic:spPr>
                    <a:xfrm>
                      <a:off x="0" y="0"/>
                      <a:ext cx="5759450" cy="1992318"/>
                    </a:xfrm>
                    <a:prstGeom prst="rect">
                      <a:avLst/>
                    </a:prstGeom>
                  </pic:spPr>
                </pic:pic>
              </a:graphicData>
            </a:graphic>
          </wp:inline>
        </w:drawing>
      </w:r>
    </w:p>
    <w:p w14:paraId="34405A4B" w14:textId="0AA04EB0" w:rsidR="00BF07A0" w:rsidRDefault="00BF07A0" w:rsidP="00BF07A0">
      <w:pPr>
        <w:spacing w:line="240" w:lineRule="auto"/>
      </w:pPr>
      <w:r>
        <w:t xml:space="preserve">Seropositivity rates at Month 120 for all schedules were </w:t>
      </w:r>
      <w:r w:rsidR="007B4310">
        <w:t>greater than</w:t>
      </w:r>
      <w:r>
        <w:t xml:space="preserve"> 95% for HPV6, 11, and 16 and trended lower for HPV18 (remaining </w:t>
      </w:r>
      <w:r w:rsidR="007B4310">
        <w:t>greater than</w:t>
      </w:r>
      <w:r>
        <w:t xml:space="preserve"> 80% and </w:t>
      </w:r>
      <w:r w:rsidR="007B4310">
        <w:t>greater than</w:t>
      </w:r>
      <w:r>
        <w:t xml:space="preserve"> 90% in girls who received two doses or three doses, respectively; women who received three doses had the lowest seropositivity rate at Month 120: 60%; 95% CI 40.6, 77.3). GMTs are shown in </w:t>
      </w:r>
      <w:r>
        <w:fldChar w:fldCharType="begin"/>
      </w:r>
      <w:r>
        <w:instrText xml:space="preserve"> REF _Ref138766307 \h </w:instrText>
      </w:r>
      <w:r>
        <w:fldChar w:fldCharType="separate"/>
      </w:r>
      <w:r>
        <w:t xml:space="preserve">Table </w:t>
      </w:r>
      <w:r>
        <w:rPr>
          <w:noProof/>
        </w:rPr>
        <w:t>15</w:t>
      </w:r>
      <w:r>
        <w:fldChar w:fldCharType="end"/>
      </w:r>
      <w:r>
        <w:t>.</w:t>
      </w:r>
    </w:p>
    <w:p w14:paraId="0688049C" w14:textId="3A20680B" w:rsidR="00BF07A0" w:rsidRDefault="00BF07A0" w:rsidP="00BF07A0">
      <w:pPr>
        <w:pStyle w:val="TableTitle"/>
      </w:pPr>
      <w:bookmarkStart w:id="56" w:name="_Ref138766307"/>
      <w:r w:rsidRPr="00BF07A0">
        <w:t xml:space="preserve">Table </w:t>
      </w:r>
      <w:r w:rsidR="005C10C9">
        <w:fldChar w:fldCharType="begin"/>
      </w:r>
      <w:r w:rsidR="005C10C9">
        <w:instrText xml:space="preserve"> SEQ Table \* ARABIC </w:instrText>
      </w:r>
      <w:r w:rsidR="005C10C9">
        <w:fldChar w:fldCharType="separate"/>
      </w:r>
      <w:r w:rsidR="00193AA8">
        <w:rPr>
          <w:noProof/>
        </w:rPr>
        <w:t>15</w:t>
      </w:r>
      <w:r w:rsidR="005C10C9">
        <w:rPr>
          <w:noProof/>
        </w:rPr>
        <w:fldChar w:fldCharType="end"/>
      </w:r>
      <w:bookmarkEnd w:id="56"/>
      <w:r>
        <w:t xml:space="preserve">: </w:t>
      </w:r>
      <w:r w:rsidRPr="00BF07A0">
        <w:t>Study V501-167. GMTs and GMT ratios at Months 7, 24, and 120 among girls aged 9 to 13 years receiving 2 or 3 doses and women 16 to 26 years receiving 3 doses of qHPV vaccine.</w:t>
      </w:r>
    </w:p>
    <w:p w14:paraId="0FD4C6B1" w14:textId="5E0702A5" w:rsidR="00BF07A0" w:rsidRDefault="00BF07A0" w:rsidP="00BF07A0">
      <w:r w:rsidRPr="00631900">
        <w:rPr>
          <w:noProof/>
          <w:lang w:eastAsia="en-AU"/>
        </w:rPr>
        <w:drawing>
          <wp:inline distT="0" distB="0" distL="0" distR="0" wp14:anchorId="1894B54E" wp14:editId="31C989D8">
            <wp:extent cx="5731510" cy="2623820"/>
            <wp:effectExtent l="0" t="0" r="2540" b="5080"/>
            <wp:docPr id="9" name="Picture 9" descr="Study V501-167. GMTs and GMT ratios at Months 7, 24, and 120 among girls aged 9 to 13 years receiving 2 or 3 doses and women 16 to 26 years receiving 3 doses of qHPV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V501-167. GMTs and GMT ratios at Months 7, 24, and 120 among girls aged 9 to 13 years receiving 2 or 3 doses and women 16 to 26 years receiving 3 doses of qHPV vaccine."/>
                    <pic:cNvPicPr/>
                  </pic:nvPicPr>
                  <pic:blipFill>
                    <a:blip r:embed="rId41"/>
                    <a:stretch>
                      <a:fillRect/>
                    </a:stretch>
                  </pic:blipFill>
                  <pic:spPr>
                    <a:xfrm>
                      <a:off x="0" y="0"/>
                      <a:ext cx="5731510" cy="2623820"/>
                    </a:xfrm>
                    <a:prstGeom prst="rect">
                      <a:avLst/>
                    </a:prstGeom>
                  </pic:spPr>
                </pic:pic>
              </a:graphicData>
            </a:graphic>
          </wp:inline>
        </w:drawing>
      </w:r>
    </w:p>
    <w:p w14:paraId="1037FA57" w14:textId="4A9B3E65" w:rsidR="00BF07A0" w:rsidRPr="00BF07A0" w:rsidRDefault="00BF07A0" w:rsidP="00BF07A0">
      <w:pPr>
        <w:pStyle w:val="Heading5"/>
      </w:pPr>
      <w:r w:rsidRPr="00BF07A0">
        <w:lastRenderedPageBreak/>
        <w:t>Oropharyngeal and other head and neck cancers</w:t>
      </w:r>
    </w:p>
    <w:p w14:paraId="4E8B8B09" w14:textId="15E0395B" w:rsidR="00BF07A0" w:rsidRPr="00BF07A0" w:rsidRDefault="00BF07A0" w:rsidP="00BF07A0">
      <w:r>
        <w:t xml:space="preserve">Study </w:t>
      </w:r>
      <w:r w:rsidRPr="00BF07A0">
        <w:t>V503-049 has no study report; only a study protocol was provided. The overall Gardasil and Gardasil 9 clinical trial program is also used as supportive evidence.</w:t>
      </w:r>
    </w:p>
    <w:p w14:paraId="5A61B148" w14:textId="6220507D" w:rsidR="00BF07A0" w:rsidRPr="00BF07A0" w:rsidRDefault="00BF07A0" w:rsidP="00BF07A0">
      <w:pPr>
        <w:pStyle w:val="Heading6"/>
      </w:pPr>
      <w:bookmarkStart w:id="57" w:name="_Hlk106801929"/>
      <w:r w:rsidRPr="00BF07A0">
        <w:t>Ongoing Study V503-049</w:t>
      </w:r>
    </w:p>
    <w:bookmarkEnd w:id="57"/>
    <w:p w14:paraId="70DB0F43" w14:textId="32107D63" w:rsidR="00BF07A0" w:rsidRPr="00BF07A0" w:rsidRDefault="00BF07A0" w:rsidP="00BF07A0">
      <w:r w:rsidRPr="00BF07A0">
        <w:t xml:space="preserve">For the head and neck indication, the </w:t>
      </w:r>
      <w:r>
        <w:t>s</w:t>
      </w:r>
      <w:r w:rsidRPr="00BF07A0">
        <w:t xml:space="preserve">ponsor is conducting Study V503-049. This is a Phase </w:t>
      </w:r>
      <w:r>
        <w:t>III</w:t>
      </w:r>
      <w:r w:rsidRPr="00BF07A0">
        <w:t>, international multicentre, double</w:t>
      </w:r>
      <w:r>
        <w:t xml:space="preserve"> </w:t>
      </w:r>
      <w:r w:rsidRPr="00BF07A0">
        <w:t>blind, randomised, placebo</w:t>
      </w:r>
      <w:r>
        <w:t xml:space="preserve"> </w:t>
      </w:r>
      <w:r w:rsidRPr="00BF07A0">
        <w:t>controlled trial to study the efficacy, immunogenicity and safety of the 9vHPV vaccine in adult males aged 20 to 45</w:t>
      </w:r>
      <w:r>
        <w:t xml:space="preserve"> years of age</w:t>
      </w:r>
      <w:r w:rsidRPr="00BF07A0">
        <w:t xml:space="preserve">. This patient population was chosen, as oral infection with </w:t>
      </w:r>
      <w:r w:rsidR="005C10C9" w:rsidRPr="00BF07A0">
        <w:t>high</w:t>
      </w:r>
      <w:r w:rsidR="005C10C9">
        <w:t>-risk</w:t>
      </w:r>
      <w:r w:rsidRPr="00BF07A0">
        <w:t xml:space="preserve"> HPV types is approximately 3 to 5 times more prevalent in males than in females.</w:t>
      </w:r>
    </w:p>
    <w:p w14:paraId="1EE58410" w14:textId="2E2D196C" w:rsidR="00BF07A0" w:rsidRPr="00BF07A0" w:rsidRDefault="00BF07A0" w:rsidP="00BF07A0">
      <w:r w:rsidRPr="00BF07A0">
        <w:t>Participants are randomly assigned in a 1:1 ratio to receive either G</w:t>
      </w:r>
      <w:r>
        <w:t>ardasil</w:t>
      </w:r>
      <w:r w:rsidRPr="00BF07A0">
        <w:t xml:space="preserve"> 9 or placebo. Oral rinse and gargle samples will be collected and tested for HPV by </w:t>
      </w:r>
      <w:r>
        <w:t xml:space="preserve">polymerase chain reaction </w:t>
      </w:r>
      <w:r w:rsidRPr="00BF07A0">
        <w:t>to determine the endpoints.</w:t>
      </w:r>
    </w:p>
    <w:p w14:paraId="66082410" w14:textId="0CF62FB8" w:rsidR="00BF07A0" w:rsidRPr="00BF07A0" w:rsidRDefault="00BF07A0" w:rsidP="00BF07A0">
      <w:r w:rsidRPr="00BF07A0">
        <w:t>The primary endpoint is HPV-related oral infection persistent for 6 months (</w:t>
      </w:r>
      <w:r>
        <w:t>plus/minus</w:t>
      </w:r>
      <w:r w:rsidRPr="00BF07A0">
        <w:t xml:space="preserve"> 1month window) or longer</w:t>
      </w:r>
      <w:r>
        <w:t xml:space="preserve"> (</w:t>
      </w:r>
      <w:r>
        <w:fldChar w:fldCharType="begin"/>
      </w:r>
      <w:r>
        <w:instrText xml:space="preserve"> REF _Ref138766523 \h </w:instrText>
      </w:r>
      <w:r>
        <w:fldChar w:fldCharType="separate"/>
      </w:r>
      <w:r>
        <w:t xml:space="preserve">Table </w:t>
      </w:r>
      <w:r>
        <w:rPr>
          <w:noProof/>
        </w:rPr>
        <w:t>16</w:t>
      </w:r>
      <w:r>
        <w:fldChar w:fldCharType="end"/>
      </w:r>
      <w:r>
        <w:t>)</w:t>
      </w:r>
      <w:r w:rsidRPr="00BF07A0">
        <w:t>. This study will also assess immunogenicity and safety of G</w:t>
      </w:r>
      <w:r>
        <w:t>ardasil</w:t>
      </w:r>
      <w:r w:rsidRPr="00BF07A0">
        <w:t xml:space="preserve"> 9 as secondary objectives. It is a case</w:t>
      </w:r>
      <w:r>
        <w:t xml:space="preserve"> </w:t>
      </w:r>
      <w:r w:rsidRPr="00BF07A0">
        <w:t>driven study without an interim analysis. The final analysis will be conducted after at least 20 primary endpoint cases are collected. The sponsor estimates that it will require approximately 53 months (4</w:t>
      </w:r>
      <w:r>
        <w:t xml:space="preserve"> to </w:t>
      </w:r>
      <w:r w:rsidRPr="00BF07A0">
        <w:t>5 years) until 20 cases are collected. This is based on a rate of 0.3% per year in 6000 participants.</w:t>
      </w:r>
    </w:p>
    <w:p w14:paraId="615C7A3D" w14:textId="56C68114" w:rsidR="00BF07A0" w:rsidRPr="00BF07A0" w:rsidRDefault="00BF07A0" w:rsidP="00BF07A0">
      <w:r w:rsidRPr="00BF07A0">
        <w:t xml:space="preserve">The study is ongoing, with the first subject was enrolled on 27 February 2020. The estimated Study completion date is </w:t>
      </w:r>
      <w:r>
        <w:t>fourth quarter</w:t>
      </w:r>
      <w:r w:rsidRPr="00BF07A0">
        <w:t xml:space="preserve"> 2025 with the final report expected in </w:t>
      </w:r>
      <w:r>
        <w:t>third quarter</w:t>
      </w:r>
      <w:r w:rsidRPr="00BF07A0">
        <w:t>, 2026.</w:t>
      </w:r>
    </w:p>
    <w:p w14:paraId="4DFD5486" w14:textId="0A7EAA44" w:rsidR="00BF07A0" w:rsidRDefault="00BF07A0" w:rsidP="00BF07A0">
      <w:pPr>
        <w:pStyle w:val="TableTitle"/>
      </w:pPr>
      <w:bookmarkStart w:id="58" w:name="_Ref138766523"/>
      <w:r w:rsidRPr="00BF07A0">
        <w:t xml:space="preserve">Table </w:t>
      </w:r>
      <w:r w:rsidR="005C10C9">
        <w:fldChar w:fldCharType="begin"/>
      </w:r>
      <w:r w:rsidR="005C10C9">
        <w:instrText xml:space="preserve"> SEQ Table \* ARABIC </w:instrText>
      </w:r>
      <w:r w:rsidR="005C10C9">
        <w:fldChar w:fldCharType="separate"/>
      </w:r>
      <w:r w:rsidR="00193AA8">
        <w:rPr>
          <w:noProof/>
        </w:rPr>
        <w:t>16</w:t>
      </w:r>
      <w:r w:rsidR="005C10C9">
        <w:rPr>
          <w:noProof/>
        </w:rPr>
        <w:fldChar w:fldCharType="end"/>
      </w:r>
      <w:bookmarkEnd w:id="58"/>
      <w:r w:rsidRPr="00BF07A0">
        <w:t>:</w:t>
      </w:r>
      <w:r>
        <w:t xml:space="preserve"> </w:t>
      </w:r>
      <w:r w:rsidRPr="00BF07A0">
        <w:t>Study V503-049 (PN049). Overview of objectives and endpoints</w:t>
      </w:r>
    </w:p>
    <w:tbl>
      <w:tblPr>
        <w:tblStyle w:val="TableGrid"/>
        <w:tblW w:w="0" w:type="auto"/>
        <w:tblLook w:val="04A0" w:firstRow="1" w:lastRow="0" w:firstColumn="1" w:lastColumn="0" w:noHBand="0" w:noVBand="1"/>
      </w:tblPr>
      <w:tblGrid>
        <w:gridCol w:w="5665"/>
        <w:gridCol w:w="3119"/>
      </w:tblGrid>
      <w:tr w:rsidR="00BF07A0" w:rsidRPr="00207789" w14:paraId="14255C4C" w14:textId="77777777" w:rsidTr="00BF07A0">
        <w:tc>
          <w:tcPr>
            <w:tcW w:w="5665" w:type="dxa"/>
          </w:tcPr>
          <w:p w14:paraId="78383FA9" w14:textId="77777777" w:rsidR="00BF07A0" w:rsidRPr="00207789" w:rsidRDefault="00BF07A0" w:rsidP="00781A1F">
            <w:pPr>
              <w:spacing w:before="60" w:after="60"/>
              <w:rPr>
                <w:rFonts w:asciiTheme="minorHAnsi" w:hAnsiTheme="minorHAnsi"/>
                <w:b/>
                <w:bCs/>
                <w:sz w:val="20"/>
                <w:szCs w:val="20"/>
              </w:rPr>
            </w:pPr>
            <w:r w:rsidRPr="00207789">
              <w:rPr>
                <w:rFonts w:asciiTheme="minorHAnsi" w:hAnsiTheme="minorHAnsi"/>
                <w:b/>
                <w:bCs/>
                <w:sz w:val="20"/>
                <w:szCs w:val="20"/>
              </w:rPr>
              <w:t>Primary objective</w:t>
            </w:r>
          </w:p>
        </w:tc>
        <w:tc>
          <w:tcPr>
            <w:tcW w:w="3119" w:type="dxa"/>
          </w:tcPr>
          <w:p w14:paraId="20EF3733" w14:textId="77777777" w:rsidR="00BF07A0" w:rsidRPr="00207789" w:rsidRDefault="00BF07A0" w:rsidP="00781A1F">
            <w:pPr>
              <w:spacing w:before="60" w:after="60"/>
              <w:rPr>
                <w:rFonts w:asciiTheme="minorHAnsi" w:hAnsiTheme="minorHAnsi"/>
                <w:b/>
                <w:bCs/>
                <w:sz w:val="20"/>
                <w:szCs w:val="20"/>
              </w:rPr>
            </w:pPr>
            <w:r>
              <w:rPr>
                <w:rFonts w:asciiTheme="minorHAnsi" w:hAnsiTheme="minorHAnsi"/>
                <w:b/>
                <w:bCs/>
                <w:sz w:val="20"/>
                <w:szCs w:val="20"/>
              </w:rPr>
              <w:t>Corresponding p</w:t>
            </w:r>
            <w:r w:rsidRPr="00207789">
              <w:rPr>
                <w:rFonts w:asciiTheme="minorHAnsi" w:hAnsiTheme="minorHAnsi"/>
                <w:b/>
                <w:bCs/>
                <w:sz w:val="20"/>
                <w:szCs w:val="20"/>
              </w:rPr>
              <w:t>rimary endpoint</w:t>
            </w:r>
          </w:p>
        </w:tc>
      </w:tr>
      <w:tr w:rsidR="00BF07A0" w:rsidRPr="00207789" w14:paraId="45BDAB24" w14:textId="77777777" w:rsidTr="00BF07A0">
        <w:tc>
          <w:tcPr>
            <w:tcW w:w="5665" w:type="dxa"/>
          </w:tcPr>
          <w:p w14:paraId="78528EFF" w14:textId="77777777" w:rsidR="00BF07A0" w:rsidRPr="00207789" w:rsidRDefault="00BF07A0" w:rsidP="00781A1F">
            <w:pPr>
              <w:spacing w:before="60" w:after="60"/>
              <w:rPr>
                <w:rFonts w:asciiTheme="minorHAnsi" w:hAnsiTheme="minorHAnsi"/>
                <w:sz w:val="20"/>
                <w:szCs w:val="20"/>
              </w:rPr>
            </w:pPr>
            <w:r w:rsidRPr="00207789">
              <w:rPr>
                <w:rFonts w:asciiTheme="minorHAnsi" w:hAnsiTheme="minorHAnsi"/>
                <w:sz w:val="20"/>
                <w:szCs w:val="20"/>
              </w:rPr>
              <w:t>To demonstrate that a 3-dose regimen of the 9vHPV vaccine will reduce the incidence of HPV 16/18/31/33/45/52/58-related oral persistent infection 6 months (± 1-month window) or longer compared with placebo in males 20 to 45 years of age</w:t>
            </w:r>
            <w:r>
              <w:rPr>
                <w:rFonts w:asciiTheme="minorHAnsi" w:hAnsiTheme="minorHAnsi"/>
                <w:sz w:val="20"/>
                <w:szCs w:val="20"/>
              </w:rPr>
              <w:t>.</w:t>
            </w:r>
          </w:p>
          <w:p w14:paraId="1244C01B" w14:textId="77777777" w:rsidR="00BF07A0" w:rsidRPr="001734B5" w:rsidRDefault="00BF07A0" w:rsidP="00781A1F">
            <w:pPr>
              <w:spacing w:before="60" w:after="60"/>
              <w:rPr>
                <w:rFonts w:asciiTheme="minorHAnsi" w:hAnsiTheme="minorHAnsi"/>
                <w:i/>
                <w:iCs/>
                <w:sz w:val="20"/>
                <w:szCs w:val="20"/>
              </w:rPr>
            </w:pPr>
            <w:r w:rsidRPr="001734B5">
              <w:rPr>
                <w:rFonts w:asciiTheme="minorHAnsi" w:hAnsiTheme="minorHAnsi"/>
                <w:i/>
                <w:iCs/>
                <w:sz w:val="20"/>
                <w:szCs w:val="20"/>
              </w:rPr>
              <w:t>Statistical success criterion: lower bound of the 2-sided 95% CI of vaccine efficacy is &gt;20%.</w:t>
            </w:r>
          </w:p>
        </w:tc>
        <w:tc>
          <w:tcPr>
            <w:tcW w:w="3119" w:type="dxa"/>
          </w:tcPr>
          <w:p w14:paraId="728A7BD6" w14:textId="77777777" w:rsidR="00BF07A0" w:rsidRPr="00207789" w:rsidRDefault="00BF07A0" w:rsidP="00781A1F">
            <w:pPr>
              <w:pStyle w:val="ListParagraph"/>
              <w:spacing w:before="60" w:after="60" w:line="240" w:lineRule="auto"/>
              <w:ind w:left="0"/>
              <w:rPr>
                <w:rFonts w:asciiTheme="minorHAnsi" w:hAnsiTheme="minorHAnsi"/>
                <w:sz w:val="20"/>
                <w:lang w:eastAsia="en-AU"/>
              </w:rPr>
            </w:pPr>
            <w:r w:rsidRPr="00207789">
              <w:rPr>
                <w:rFonts w:asciiTheme="minorHAnsi" w:hAnsiTheme="minorHAnsi"/>
                <w:sz w:val="20"/>
                <w:lang w:eastAsia="en-AU"/>
              </w:rPr>
              <w:t>HPV 16/18/31/33/45/52/58-related oral persistent infection 6 months (± 1-month window) or longer</w:t>
            </w:r>
            <w:r>
              <w:rPr>
                <w:rFonts w:asciiTheme="minorHAnsi" w:hAnsiTheme="minorHAnsi"/>
                <w:sz w:val="20"/>
                <w:lang w:eastAsia="en-AU"/>
              </w:rPr>
              <w:t>.</w:t>
            </w:r>
          </w:p>
        </w:tc>
      </w:tr>
      <w:tr w:rsidR="00BF07A0" w:rsidRPr="00207789" w14:paraId="1155E553" w14:textId="77777777" w:rsidTr="00BF07A0">
        <w:tc>
          <w:tcPr>
            <w:tcW w:w="5665" w:type="dxa"/>
          </w:tcPr>
          <w:p w14:paraId="185B5B39" w14:textId="77777777" w:rsidR="00BF07A0" w:rsidRPr="00207789" w:rsidRDefault="00BF07A0" w:rsidP="00781A1F">
            <w:pPr>
              <w:spacing w:before="60" w:after="60"/>
              <w:rPr>
                <w:rFonts w:asciiTheme="minorHAnsi" w:hAnsiTheme="minorHAnsi"/>
                <w:b/>
                <w:bCs/>
                <w:sz w:val="20"/>
                <w:szCs w:val="20"/>
              </w:rPr>
            </w:pPr>
            <w:r w:rsidRPr="00207789">
              <w:rPr>
                <w:rFonts w:asciiTheme="minorHAnsi" w:hAnsiTheme="minorHAnsi"/>
                <w:b/>
                <w:bCs/>
                <w:sz w:val="20"/>
                <w:szCs w:val="20"/>
              </w:rPr>
              <w:t>Secondary objectives</w:t>
            </w:r>
          </w:p>
        </w:tc>
        <w:tc>
          <w:tcPr>
            <w:tcW w:w="3119" w:type="dxa"/>
          </w:tcPr>
          <w:p w14:paraId="03C756B4" w14:textId="77777777" w:rsidR="00BF07A0" w:rsidRPr="00207789" w:rsidRDefault="00BF07A0" w:rsidP="00781A1F">
            <w:pPr>
              <w:spacing w:before="60" w:after="60"/>
              <w:rPr>
                <w:rFonts w:asciiTheme="minorHAnsi" w:hAnsiTheme="minorHAnsi"/>
                <w:b/>
                <w:bCs/>
                <w:sz w:val="20"/>
                <w:szCs w:val="20"/>
              </w:rPr>
            </w:pPr>
            <w:r>
              <w:rPr>
                <w:rFonts w:asciiTheme="minorHAnsi" w:hAnsiTheme="minorHAnsi"/>
                <w:b/>
                <w:bCs/>
                <w:sz w:val="20"/>
                <w:szCs w:val="20"/>
              </w:rPr>
              <w:t>Corresponding s</w:t>
            </w:r>
            <w:r w:rsidRPr="00207789">
              <w:rPr>
                <w:rFonts w:asciiTheme="minorHAnsi" w:hAnsiTheme="minorHAnsi"/>
                <w:b/>
                <w:bCs/>
                <w:sz w:val="20"/>
                <w:szCs w:val="20"/>
              </w:rPr>
              <w:t>econdary endpoints</w:t>
            </w:r>
          </w:p>
        </w:tc>
      </w:tr>
      <w:tr w:rsidR="00BF07A0" w:rsidRPr="00207789" w14:paraId="093A1EA3" w14:textId="77777777" w:rsidTr="00BF07A0">
        <w:tc>
          <w:tcPr>
            <w:tcW w:w="5665" w:type="dxa"/>
          </w:tcPr>
          <w:p w14:paraId="274B61E4" w14:textId="77777777" w:rsidR="00BF07A0" w:rsidRPr="00207789" w:rsidRDefault="00BF07A0" w:rsidP="00781A1F">
            <w:pPr>
              <w:spacing w:before="60" w:after="60"/>
              <w:rPr>
                <w:rFonts w:asciiTheme="minorHAnsi" w:hAnsiTheme="minorHAnsi"/>
                <w:sz w:val="20"/>
                <w:szCs w:val="20"/>
              </w:rPr>
            </w:pPr>
            <w:r w:rsidRPr="00207789">
              <w:rPr>
                <w:rFonts w:asciiTheme="minorHAnsi" w:hAnsiTheme="minorHAnsi"/>
                <w:sz w:val="20"/>
                <w:szCs w:val="20"/>
              </w:rPr>
              <w:t>To demonstrate that a 3-dose regimen of the 9vHPV vaccine will reduce the incidence of HPV 6/11-related oral persistent infection 6 months (± 1-month window) or longer compared with placebo in males 20 to 45 years of age.</w:t>
            </w:r>
          </w:p>
          <w:p w14:paraId="11F73F46" w14:textId="77777777" w:rsidR="00BF07A0" w:rsidRPr="001734B5" w:rsidRDefault="00BF07A0" w:rsidP="00781A1F">
            <w:pPr>
              <w:spacing w:before="60" w:after="60"/>
              <w:rPr>
                <w:rFonts w:asciiTheme="minorHAnsi" w:hAnsiTheme="minorHAnsi"/>
                <w:i/>
                <w:iCs/>
                <w:sz w:val="20"/>
                <w:szCs w:val="20"/>
              </w:rPr>
            </w:pPr>
            <w:r w:rsidRPr="001734B5">
              <w:rPr>
                <w:rFonts w:asciiTheme="minorHAnsi" w:hAnsiTheme="minorHAnsi"/>
                <w:i/>
                <w:iCs/>
                <w:sz w:val="20"/>
                <w:szCs w:val="20"/>
              </w:rPr>
              <w:t>Statistical success criterion: lower bound of the 2-sided 95% CI of vaccine efficacy is &gt;0%.</w:t>
            </w:r>
          </w:p>
        </w:tc>
        <w:tc>
          <w:tcPr>
            <w:tcW w:w="3119" w:type="dxa"/>
          </w:tcPr>
          <w:p w14:paraId="554312EE" w14:textId="77777777" w:rsidR="00BF07A0" w:rsidRPr="00207789" w:rsidRDefault="00BF07A0" w:rsidP="00781A1F">
            <w:pPr>
              <w:pStyle w:val="ListParagraph"/>
              <w:spacing w:before="60" w:after="60" w:line="240" w:lineRule="auto"/>
              <w:ind w:left="0"/>
              <w:rPr>
                <w:rFonts w:asciiTheme="minorHAnsi" w:hAnsiTheme="minorHAnsi"/>
                <w:sz w:val="20"/>
              </w:rPr>
            </w:pPr>
            <w:r w:rsidRPr="00207789">
              <w:rPr>
                <w:rFonts w:asciiTheme="minorHAnsi" w:hAnsiTheme="minorHAnsi"/>
                <w:sz w:val="20"/>
                <w:lang w:eastAsia="en-AU"/>
              </w:rPr>
              <w:t>HPV 6/11-related oral persistent infection 6 months (± 1-month window) or longer</w:t>
            </w:r>
            <w:r>
              <w:rPr>
                <w:rFonts w:asciiTheme="minorHAnsi" w:hAnsiTheme="minorHAnsi"/>
                <w:sz w:val="20"/>
                <w:lang w:eastAsia="en-AU"/>
              </w:rPr>
              <w:t>.</w:t>
            </w:r>
          </w:p>
        </w:tc>
      </w:tr>
      <w:tr w:rsidR="00BF07A0" w:rsidRPr="00207789" w14:paraId="13EEF74F" w14:textId="77777777" w:rsidTr="00BF07A0">
        <w:tc>
          <w:tcPr>
            <w:tcW w:w="5665" w:type="dxa"/>
          </w:tcPr>
          <w:p w14:paraId="15B61574" w14:textId="77777777" w:rsidR="00BF07A0" w:rsidRPr="00207789" w:rsidRDefault="00BF07A0" w:rsidP="00781A1F">
            <w:pPr>
              <w:spacing w:before="60" w:after="60"/>
              <w:rPr>
                <w:rFonts w:asciiTheme="minorHAnsi" w:hAnsiTheme="minorHAnsi"/>
                <w:sz w:val="20"/>
                <w:szCs w:val="20"/>
              </w:rPr>
            </w:pPr>
            <w:r w:rsidRPr="00207789">
              <w:rPr>
                <w:rFonts w:asciiTheme="minorHAnsi" w:hAnsiTheme="minorHAnsi"/>
                <w:sz w:val="20"/>
                <w:szCs w:val="20"/>
              </w:rPr>
              <w:t>To summarise antibody responses (GMT and seroconversion percentages) to each of HPV 6, 11, 16, 18, 31, 33, 45, 52, and 58 at Month 7.</w:t>
            </w:r>
          </w:p>
        </w:tc>
        <w:tc>
          <w:tcPr>
            <w:tcW w:w="3119" w:type="dxa"/>
          </w:tcPr>
          <w:p w14:paraId="0561CC80" w14:textId="77777777" w:rsidR="00BF07A0" w:rsidRPr="00207789" w:rsidRDefault="00BF07A0" w:rsidP="00781A1F">
            <w:pPr>
              <w:pStyle w:val="ListParagraph"/>
              <w:spacing w:before="60" w:after="60" w:line="240" w:lineRule="auto"/>
              <w:ind w:left="0"/>
              <w:rPr>
                <w:rFonts w:asciiTheme="minorHAnsi" w:hAnsiTheme="minorHAnsi"/>
                <w:sz w:val="20"/>
                <w:lang w:eastAsia="en-AU"/>
              </w:rPr>
            </w:pPr>
            <w:r w:rsidRPr="00207789">
              <w:rPr>
                <w:rFonts w:asciiTheme="minorHAnsi" w:hAnsiTheme="minorHAnsi"/>
                <w:sz w:val="20"/>
                <w:lang w:eastAsia="en-AU"/>
              </w:rPr>
              <w:t>Serum antibody titre to each of HPV 6, 11,</w:t>
            </w:r>
            <w:r>
              <w:rPr>
                <w:rFonts w:asciiTheme="minorHAnsi" w:hAnsiTheme="minorHAnsi"/>
                <w:sz w:val="20"/>
                <w:lang w:eastAsia="en-AU"/>
              </w:rPr>
              <w:t xml:space="preserve"> </w:t>
            </w:r>
            <w:r w:rsidRPr="00207789">
              <w:rPr>
                <w:rFonts w:asciiTheme="minorHAnsi" w:hAnsiTheme="minorHAnsi"/>
                <w:sz w:val="20"/>
                <w:lang w:eastAsia="en-AU"/>
              </w:rPr>
              <w:t>16, 18, 31, 33, 45, 52, and 58</w:t>
            </w:r>
            <w:r>
              <w:rPr>
                <w:rFonts w:asciiTheme="minorHAnsi" w:hAnsiTheme="minorHAnsi"/>
                <w:sz w:val="20"/>
                <w:lang w:eastAsia="en-AU"/>
              </w:rPr>
              <w:t>.</w:t>
            </w:r>
          </w:p>
        </w:tc>
      </w:tr>
      <w:tr w:rsidR="00BF07A0" w:rsidRPr="00207789" w14:paraId="42824AA6" w14:textId="77777777" w:rsidTr="00BF07A0">
        <w:tc>
          <w:tcPr>
            <w:tcW w:w="5665" w:type="dxa"/>
          </w:tcPr>
          <w:p w14:paraId="51925D00" w14:textId="77777777" w:rsidR="00BF07A0" w:rsidRPr="00207789" w:rsidRDefault="00BF07A0" w:rsidP="00781A1F">
            <w:pPr>
              <w:spacing w:before="60" w:after="60"/>
              <w:rPr>
                <w:rFonts w:asciiTheme="minorHAnsi" w:hAnsiTheme="minorHAnsi"/>
                <w:sz w:val="20"/>
                <w:szCs w:val="20"/>
              </w:rPr>
            </w:pPr>
            <w:r w:rsidRPr="00207789">
              <w:rPr>
                <w:rFonts w:asciiTheme="minorHAnsi" w:hAnsiTheme="minorHAnsi"/>
                <w:sz w:val="20"/>
                <w:szCs w:val="20"/>
              </w:rPr>
              <w:t>To evaluate the safety and tolerability of the 9vHPV vaccine when administered to males 20 to 45 years of age</w:t>
            </w:r>
            <w:r>
              <w:rPr>
                <w:rFonts w:asciiTheme="minorHAnsi" w:hAnsiTheme="minorHAnsi"/>
                <w:sz w:val="20"/>
                <w:szCs w:val="20"/>
              </w:rPr>
              <w:t>.</w:t>
            </w:r>
          </w:p>
        </w:tc>
        <w:tc>
          <w:tcPr>
            <w:tcW w:w="3119" w:type="dxa"/>
          </w:tcPr>
          <w:p w14:paraId="7706B7E4" w14:textId="77777777" w:rsidR="00BF07A0" w:rsidRDefault="00BF07A0" w:rsidP="00781A1F">
            <w:pPr>
              <w:pStyle w:val="ListParagraph"/>
              <w:spacing w:before="60" w:after="60" w:line="240" w:lineRule="auto"/>
              <w:ind w:left="0"/>
              <w:rPr>
                <w:rFonts w:asciiTheme="minorHAnsi" w:hAnsiTheme="minorHAnsi"/>
                <w:sz w:val="20"/>
                <w:lang w:eastAsia="en-AU"/>
              </w:rPr>
            </w:pPr>
            <w:r w:rsidRPr="00207789">
              <w:rPr>
                <w:rFonts w:asciiTheme="minorHAnsi" w:hAnsiTheme="minorHAnsi"/>
                <w:sz w:val="20"/>
                <w:lang w:eastAsia="en-AU"/>
              </w:rPr>
              <w:t>Solicited injection-site adverse events</w:t>
            </w:r>
            <w:r>
              <w:rPr>
                <w:rFonts w:asciiTheme="minorHAnsi" w:hAnsiTheme="minorHAnsi"/>
                <w:sz w:val="20"/>
                <w:lang w:eastAsia="en-AU"/>
              </w:rPr>
              <w:t>.</w:t>
            </w:r>
          </w:p>
          <w:p w14:paraId="57C99F70" w14:textId="77777777" w:rsidR="00BF07A0" w:rsidRDefault="00BF07A0" w:rsidP="00781A1F">
            <w:pPr>
              <w:pStyle w:val="ListParagraph"/>
              <w:spacing w:before="60" w:after="60" w:line="240" w:lineRule="auto"/>
              <w:ind w:left="0"/>
              <w:rPr>
                <w:rFonts w:asciiTheme="minorHAnsi" w:hAnsiTheme="minorHAnsi"/>
                <w:sz w:val="20"/>
                <w:lang w:eastAsia="en-AU"/>
              </w:rPr>
            </w:pPr>
            <w:r w:rsidRPr="00207789">
              <w:rPr>
                <w:rFonts w:asciiTheme="minorHAnsi" w:hAnsiTheme="minorHAnsi"/>
                <w:sz w:val="20"/>
                <w:lang w:eastAsia="en-AU"/>
              </w:rPr>
              <w:t>Systemic adverse events</w:t>
            </w:r>
            <w:r>
              <w:rPr>
                <w:rFonts w:asciiTheme="minorHAnsi" w:hAnsiTheme="minorHAnsi"/>
                <w:sz w:val="20"/>
                <w:lang w:eastAsia="en-AU"/>
              </w:rPr>
              <w:t>.</w:t>
            </w:r>
          </w:p>
          <w:p w14:paraId="6CF65E08" w14:textId="77777777" w:rsidR="00BF07A0" w:rsidRPr="00207789" w:rsidRDefault="00BF07A0" w:rsidP="00781A1F">
            <w:pPr>
              <w:pStyle w:val="ListParagraph"/>
              <w:spacing w:before="60" w:after="60" w:line="240" w:lineRule="auto"/>
              <w:ind w:left="0"/>
              <w:rPr>
                <w:rFonts w:asciiTheme="minorHAnsi" w:hAnsiTheme="minorHAnsi"/>
                <w:sz w:val="20"/>
                <w:lang w:eastAsia="en-AU"/>
              </w:rPr>
            </w:pPr>
            <w:r w:rsidRPr="00207789">
              <w:rPr>
                <w:rFonts w:asciiTheme="minorHAnsi" w:hAnsiTheme="minorHAnsi"/>
                <w:sz w:val="20"/>
                <w:lang w:eastAsia="en-AU"/>
              </w:rPr>
              <w:t>Serious adverse events</w:t>
            </w:r>
            <w:r>
              <w:rPr>
                <w:rFonts w:asciiTheme="minorHAnsi" w:hAnsiTheme="minorHAnsi"/>
                <w:sz w:val="20"/>
                <w:lang w:eastAsia="en-AU"/>
              </w:rPr>
              <w:t>.</w:t>
            </w:r>
          </w:p>
        </w:tc>
      </w:tr>
    </w:tbl>
    <w:p w14:paraId="7F2184E4" w14:textId="77777777" w:rsidR="00BF07A0" w:rsidRPr="00BF07A0" w:rsidRDefault="00BF07A0" w:rsidP="00BF07A0">
      <w:pPr>
        <w:pStyle w:val="Heading4"/>
      </w:pPr>
      <w:r w:rsidRPr="00BF07A0">
        <w:lastRenderedPageBreak/>
        <w:t>Safety</w:t>
      </w:r>
    </w:p>
    <w:p w14:paraId="43F4239A" w14:textId="77777777" w:rsidR="00BF07A0" w:rsidRPr="00BF07A0" w:rsidRDefault="00BF07A0" w:rsidP="00BF07A0">
      <w:pPr>
        <w:pStyle w:val="Heading5"/>
      </w:pPr>
      <w:r w:rsidRPr="00BF07A0">
        <w:t>Exposure</w:t>
      </w:r>
    </w:p>
    <w:p w14:paraId="08069FB1" w14:textId="03B62ABD" w:rsidR="00BF07A0" w:rsidRPr="00193AA8" w:rsidRDefault="00BF07A0" w:rsidP="00193AA8">
      <w:r w:rsidRPr="00193AA8">
        <w:t xml:space="preserve">Mid </w:t>
      </w:r>
      <w:r w:rsidR="007B4310">
        <w:t>a</w:t>
      </w:r>
      <w:r w:rsidRPr="00193AA8">
        <w:t xml:space="preserve">dult </w:t>
      </w:r>
      <w:r w:rsidR="007B4310">
        <w:t>p</w:t>
      </w:r>
      <w:r w:rsidRPr="00193AA8">
        <w:t>erson studies:</w:t>
      </w:r>
    </w:p>
    <w:p w14:paraId="01290D7D" w14:textId="30B4DB66" w:rsidR="00BF07A0" w:rsidRPr="00657BA7" w:rsidRDefault="00BF07A0" w:rsidP="00193AA8">
      <w:pPr>
        <w:pStyle w:val="ListBullet"/>
      </w:pPr>
      <w:r w:rsidRPr="00657BA7">
        <w:t>In</w:t>
      </w:r>
      <w:r w:rsidR="00193AA8">
        <w:t xml:space="preserve"> Study</w:t>
      </w:r>
      <w:r w:rsidRPr="00657BA7">
        <w:t xml:space="preserve"> </w:t>
      </w:r>
      <w:r w:rsidRPr="00193AA8">
        <w:t>V503-004,</w:t>
      </w:r>
      <w:r w:rsidRPr="00657BA7">
        <w:t xml:space="preserve"> 1210 subjects (570 in the 16</w:t>
      </w:r>
      <w:r w:rsidR="00193AA8">
        <w:t xml:space="preserve"> to </w:t>
      </w:r>
      <w:r w:rsidRPr="00657BA7">
        <w:t>26</w:t>
      </w:r>
      <w:r w:rsidR="00193AA8">
        <w:t xml:space="preserve"> </w:t>
      </w:r>
      <w:r w:rsidRPr="00657BA7">
        <w:t>y</w:t>
      </w:r>
      <w:r w:rsidR="00193AA8">
        <w:t>ears</w:t>
      </w:r>
      <w:r w:rsidRPr="00657BA7">
        <w:t xml:space="preserve"> group and 640 in the 27</w:t>
      </w:r>
      <w:r w:rsidR="00193AA8">
        <w:t xml:space="preserve"> to </w:t>
      </w:r>
      <w:r w:rsidRPr="00657BA7">
        <w:t>45</w:t>
      </w:r>
      <w:r w:rsidR="00193AA8">
        <w:t xml:space="preserve"> </w:t>
      </w:r>
      <w:r w:rsidRPr="00657BA7">
        <w:t>y</w:t>
      </w:r>
      <w:r w:rsidR="00193AA8">
        <w:t>ears</w:t>
      </w:r>
      <w:r w:rsidRPr="00657BA7">
        <w:t xml:space="preserve"> group) received at least </w:t>
      </w:r>
      <w:r w:rsidR="007B4310">
        <w:t>one</w:t>
      </w:r>
      <w:r w:rsidRPr="00657BA7">
        <w:t xml:space="preserve"> dose of study vaccine and were included in the safety analysis.</w:t>
      </w:r>
    </w:p>
    <w:p w14:paraId="1EF73321" w14:textId="3EA26DCE" w:rsidR="00BF07A0" w:rsidRPr="00657BA7" w:rsidRDefault="00BF07A0" w:rsidP="00193AA8">
      <w:pPr>
        <w:pStyle w:val="ListBullet"/>
      </w:pPr>
      <w:r w:rsidRPr="00657BA7">
        <w:t>In</w:t>
      </w:r>
      <w:r w:rsidR="00193AA8">
        <w:t xml:space="preserve"> </w:t>
      </w:r>
      <w:r w:rsidR="00193AA8" w:rsidRPr="00193AA8">
        <w:t>Study</w:t>
      </w:r>
      <w:r w:rsidRPr="00193AA8">
        <w:t xml:space="preserve"> V503-020,</w:t>
      </w:r>
      <w:r w:rsidRPr="00657BA7">
        <w:t xml:space="preserve"> 500 subjects (249 in the 9vHPV vaccine group and 251 in the qHPV vaccine group) received at least </w:t>
      </w:r>
      <w:r w:rsidR="00193AA8">
        <w:t>one</w:t>
      </w:r>
      <w:r w:rsidRPr="00657BA7">
        <w:t xml:space="preserve"> dose of study vaccine. 496 of the 500 subjects (248 in the 9vHPV vaccine group and 248 in the qHPV vaccine group) were included in the safety analysis</w:t>
      </w:r>
    </w:p>
    <w:p w14:paraId="0C712DBE" w14:textId="77777777" w:rsidR="00BF07A0" w:rsidRPr="00193AA8" w:rsidRDefault="00BF07A0" w:rsidP="00193AA8">
      <w:r w:rsidRPr="00193AA8">
        <w:t>Long-term follow up studies:</w:t>
      </w:r>
    </w:p>
    <w:p w14:paraId="6CF48C34" w14:textId="245BDDC0" w:rsidR="00BF07A0" w:rsidRPr="00193AA8" w:rsidRDefault="00BF07A0" w:rsidP="00193AA8">
      <w:pPr>
        <w:pStyle w:val="ListBullet"/>
      </w:pPr>
      <w:r w:rsidRPr="00193AA8">
        <w:t xml:space="preserve">150 patients received a fourth dose of 9vHPV vaccine at Month 60 in </w:t>
      </w:r>
      <w:r w:rsidR="00193AA8">
        <w:t xml:space="preserve">Study </w:t>
      </w:r>
      <w:r w:rsidRPr="00193AA8">
        <w:t xml:space="preserve">V503-001-04 after receiving </w:t>
      </w:r>
      <w:r w:rsidR="00193AA8">
        <w:t>three</w:t>
      </w:r>
      <w:r w:rsidRPr="00193AA8">
        <w:t xml:space="preserve"> doses of 9vHPV vaccine in the </w:t>
      </w:r>
      <w:r w:rsidR="00193AA8">
        <w:t xml:space="preserve">Study </w:t>
      </w:r>
      <w:r w:rsidRPr="00193AA8">
        <w:t>V503-001 base study.</w:t>
      </w:r>
    </w:p>
    <w:p w14:paraId="7CB39598" w14:textId="7D09807F" w:rsidR="00BF07A0" w:rsidRPr="00193AA8" w:rsidRDefault="00BF07A0" w:rsidP="00193AA8">
      <w:pPr>
        <w:pStyle w:val="ListBullet"/>
      </w:pPr>
      <w:r w:rsidRPr="00193AA8">
        <w:t xml:space="preserve">1272 patients enrolled in </w:t>
      </w:r>
      <w:r w:rsidR="00193AA8">
        <w:t xml:space="preserve">Study </w:t>
      </w:r>
      <w:r w:rsidRPr="00193AA8">
        <w:t xml:space="preserve">V503-002-20 received </w:t>
      </w:r>
      <w:r w:rsidR="007B4310">
        <w:t>at least one</w:t>
      </w:r>
      <w:r w:rsidRPr="00193AA8">
        <w:t xml:space="preserve"> dose of 9vHPV vaccine in the </w:t>
      </w:r>
      <w:r w:rsidR="00193AA8">
        <w:t xml:space="preserve">Study </w:t>
      </w:r>
      <w:r w:rsidRPr="00193AA8">
        <w:t>V503-002 base study.</w:t>
      </w:r>
    </w:p>
    <w:p w14:paraId="107EE3A1" w14:textId="255913D7" w:rsidR="00BF07A0" w:rsidRPr="00193AA8" w:rsidRDefault="00BF07A0" w:rsidP="00193AA8">
      <w:pPr>
        <w:pStyle w:val="ListBullet"/>
      </w:pPr>
      <w:r w:rsidRPr="00193AA8">
        <w:t xml:space="preserve">1516 patients received </w:t>
      </w:r>
      <w:r w:rsidR="007B4310">
        <w:t>at least one</w:t>
      </w:r>
      <w:r w:rsidRPr="00193AA8">
        <w:t xml:space="preserve"> dose of 9vHPV vaccine in </w:t>
      </w:r>
      <w:r w:rsidR="00193AA8">
        <w:t xml:space="preserve">Study </w:t>
      </w:r>
      <w:r w:rsidRPr="00193AA8">
        <w:t>V503-010-01.</w:t>
      </w:r>
    </w:p>
    <w:p w14:paraId="6EEF5141" w14:textId="29399EE9" w:rsidR="00BF07A0" w:rsidRPr="00193AA8" w:rsidRDefault="00BF07A0" w:rsidP="00193AA8">
      <w:pPr>
        <w:pStyle w:val="ListBullet"/>
      </w:pPr>
      <w:r w:rsidRPr="00193AA8">
        <w:t xml:space="preserve">2029 and 2036 patients who received 9vHPV and qHPV vaccines in the </w:t>
      </w:r>
      <w:r w:rsidR="00193AA8">
        <w:t xml:space="preserve">Study </w:t>
      </w:r>
      <w:r w:rsidRPr="00193AA8">
        <w:t xml:space="preserve">V503-001 base study, respectively, were enrolled in the </w:t>
      </w:r>
      <w:r w:rsidR="00193AA8">
        <w:t xml:space="preserve">Study </w:t>
      </w:r>
      <w:r w:rsidRPr="00193AA8">
        <w:t>V503-021-01 study in registry searches for safety information.</w:t>
      </w:r>
    </w:p>
    <w:p w14:paraId="6E0D2C89" w14:textId="77777777" w:rsidR="00BF07A0" w:rsidRPr="00193AA8" w:rsidRDefault="00BF07A0" w:rsidP="00193AA8">
      <w:pPr>
        <w:pStyle w:val="Heading5"/>
      </w:pPr>
      <w:r w:rsidRPr="00193AA8">
        <w:t>Adverse event overview</w:t>
      </w:r>
      <w:bookmarkStart w:id="59" w:name="_Ref36559577"/>
      <w:bookmarkStart w:id="60" w:name="_Toc490668352"/>
    </w:p>
    <w:p w14:paraId="0A7282C7" w14:textId="15CB1F38" w:rsidR="00BF07A0" w:rsidRPr="00193AA8" w:rsidRDefault="00BF07A0" w:rsidP="00193AA8">
      <w:r w:rsidRPr="00193AA8">
        <w:t xml:space="preserve">Mid </w:t>
      </w:r>
      <w:r w:rsidR="007B4310">
        <w:t>a</w:t>
      </w:r>
      <w:r w:rsidRPr="00193AA8">
        <w:t xml:space="preserve">dult </w:t>
      </w:r>
      <w:r w:rsidR="007B4310">
        <w:t>p</w:t>
      </w:r>
      <w:r w:rsidRPr="00193AA8">
        <w:t>erson studies:</w:t>
      </w:r>
    </w:p>
    <w:p w14:paraId="660FBB45" w14:textId="4202B9FB" w:rsidR="00BF07A0" w:rsidRPr="00193AA8" w:rsidRDefault="00BF07A0" w:rsidP="00193AA8">
      <w:r w:rsidRPr="00193AA8">
        <w:t xml:space="preserve">In </w:t>
      </w:r>
      <w:r w:rsidR="00193AA8" w:rsidRPr="00193AA8">
        <w:t xml:space="preserve">Study </w:t>
      </w:r>
      <w:r w:rsidRPr="00193AA8">
        <w:t xml:space="preserve">V503-004, the most common injection-site </w:t>
      </w:r>
      <w:r w:rsidR="007B4310">
        <w:t>adverse events (</w:t>
      </w:r>
      <w:r w:rsidRPr="00193AA8">
        <w:t>AE</w:t>
      </w:r>
      <w:r w:rsidR="007B4310">
        <w:t>)</w:t>
      </w:r>
      <w:r w:rsidRPr="00193AA8">
        <w:t xml:space="preserve"> (frequency </w:t>
      </w:r>
      <w:r w:rsidR="007B4310">
        <w:t>greater than</w:t>
      </w:r>
      <w:r w:rsidR="00193AA8">
        <w:t xml:space="preserve"> </w:t>
      </w:r>
      <w:r w:rsidRPr="00193AA8">
        <w:t>5%) were injection-site pain, injection</w:t>
      </w:r>
      <w:r w:rsidR="00193AA8">
        <w:t xml:space="preserve"> </w:t>
      </w:r>
      <w:r w:rsidRPr="00193AA8">
        <w:t>site swelling, and injection</w:t>
      </w:r>
      <w:r w:rsidR="00193AA8">
        <w:t xml:space="preserve"> </w:t>
      </w:r>
      <w:r w:rsidRPr="00193AA8">
        <w:t>site erythema (82.8%, 23.3%, and 16.9% of women 27</w:t>
      </w:r>
      <w:r w:rsidR="00193AA8">
        <w:t xml:space="preserve"> to </w:t>
      </w:r>
      <w:r w:rsidRPr="00193AA8">
        <w:t>45</w:t>
      </w:r>
      <w:r w:rsidR="00193AA8">
        <w:t xml:space="preserve"> </w:t>
      </w:r>
      <w:r w:rsidRPr="00193AA8">
        <w:t>y</w:t>
      </w:r>
      <w:r w:rsidR="00193AA8">
        <w:t>ears</w:t>
      </w:r>
      <w:r w:rsidRPr="00193AA8">
        <w:t>; and 86.1%, 23.3%, and 19.5% of women 16</w:t>
      </w:r>
      <w:r w:rsidR="00193AA8">
        <w:t xml:space="preserve"> to </w:t>
      </w:r>
      <w:r w:rsidRPr="00193AA8">
        <w:t>26</w:t>
      </w:r>
      <w:r w:rsidR="00193AA8">
        <w:t xml:space="preserve"> </w:t>
      </w:r>
      <w:r w:rsidRPr="00193AA8">
        <w:t>y</w:t>
      </w:r>
      <w:r w:rsidR="00193AA8">
        <w:t>ears</w:t>
      </w:r>
      <w:r w:rsidRPr="00193AA8">
        <w:t xml:space="preserve">). The proportion of subjects reporting these AE was similar in the </w:t>
      </w:r>
      <w:r w:rsidR="00193AA8">
        <w:t>two</w:t>
      </w:r>
      <w:r w:rsidRPr="00193AA8">
        <w:t xml:space="preserve"> vaccine groups. Most events were mild or moderate in intensity with severe injection-site pain reported in 1.9% v</w:t>
      </w:r>
      <w:r w:rsidR="00193AA8">
        <w:t>ersus</w:t>
      </w:r>
      <w:r w:rsidRPr="00193AA8">
        <w:t xml:space="preserve"> 3%. All injection</w:t>
      </w:r>
      <w:r w:rsidR="007B4310">
        <w:t xml:space="preserve"> </w:t>
      </w:r>
      <w:r w:rsidRPr="00193AA8">
        <w:t>site AEs were non-serious.</w:t>
      </w:r>
    </w:p>
    <w:p w14:paraId="04904200" w14:textId="187ED129" w:rsidR="00BF07A0" w:rsidRDefault="00BF07A0" w:rsidP="00193AA8">
      <w:r w:rsidRPr="00193AA8">
        <w:t>An analysis of difference in the percentage of solicited injection</w:t>
      </w:r>
      <w:r w:rsidR="00193AA8">
        <w:t xml:space="preserve"> </w:t>
      </w:r>
      <w:r w:rsidRPr="00193AA8">
        <w:t>site AEs (Day 1 to Day 15 following any vaccination) in the 27</w:t>
      </w:r>
      <w:r w:rsidR="00193AA8">
        <w:t xml:space="preserve"> to </w:t>
      </w:r>
      <w:r w:rsidRPr="00193AA8">
        <w:t>45</w:t>
      </w:r>
      <w:r w:rsidR="00193AA8">
        <w:t xml:space="preserve"> years</w:t>
      </w:r>
      <w:r w:rsidRPr="00193AA8">
        <w:t xml:space="preserve"> group v</w:t>
      </w:r>
      <w:r w:rsidR="00193AA8">
        <w:t>ersus</w:t>
      </w:r>
      <w:r w:rsidRPr="00193AA8">
        <w:t xml:space="preserve"> the 16</w:t>
      </w:r>
      <w:r w:rsidR="00193AA8">
        <w:t xml:space="preserve"> to </w:t>
      </w:r>
      <w:r w:rsidRPr="00193AA8">
        <w:t>26</w:t>
      </w:r>
      <w:r w:rsidR="00193AA8">
        <w:t xml:space="preserve"> </w:t>
      </w:r>
      <w:r w:rsidRPr="00193AA8">
        <w:t>y</w:t>
      </w:r>
      <w:r w:rsidR="00193AA8">
        <w:t>ears</w:t>
      </w:r>
      <w:r w:rsidRPr="00193AA8">
        <w:t xml:space="preserve"> group revealed no significant differences (p</w:t>
      </w:r>
      <w:r w:rsidR="007B4310">
        <w:t xml:space="preserve"> value</w:t>
      </w:r>
      <w:r w:rsidR="00193AA8">
        <w:t xml:space="preserve"> </w:t>
      </w:r>
      <w:r w:rsidR="007B4310">
        <w:t>greater than</w:t>
      </w:r>
      <w:r w:rsidR="00193AA8">
        <w:t xml:space="preserve"> </w:t>
      </w:r>
      <w:r w:rsidRPr="00193AA8">
        <w:t>0.05)</w:t>
      </w:r>
      <w:r w:rsidR="00193AA8">
        <w:t xml:space="preserve"> (</w:t>
      </w:r>
      <w:r w:rsidR="00193AA8">
        <w:fldChar w:fldCharType="begin"/>
      </w:r>
      <w:r w:rsidR="00193AA8">
        <w:instrText xml:space="preserve"> REF _Ref138766940 \h </w:instrText>
      </w:r>
      <w:r w:rsidR="00193AA8">
        <w:fldChar w:fldCharType="separate"/>
      </w:r>
      <w:r w:rsidR="00193AA8">
        <w:t xml:space="preserve">Table </w:t>
      </w:r>
      <w:r w:rsidR="00193AA8">
        <w:rPr>
          <w:noProof/>
        </w:rPr>
        <w:t>17</w:t>
      </w:r>
      <w:r w:rsidR="00193AA8">
        <w:fldChar w:fldCharType="end"/>
      </w:r>
      <w:r w:rsidR="00193AA8">
        <w:t>)</w:t>
      </w:r>
      <w:r w:rsidRPr="00193AA8">
        <w:t>. The incidence of AEs between Day 1 and Month 7 also showed no notable difference between the two age groups.</w:t>
      </w:r>
    </w:p>
    <w:p w14:paraId="0F766C64" w14:textId="569AEA02" w:rsidR="00193AA8" w:rsidRDefault="00193AA8" w:rsidP="00193AA8">
      <w:pPr>
        <w:pStyle w:val="TableTitle"/>
      </w:pPr>
      <w:bookmarkStart w:id="61" w:name="_Ref138766940"/>
      <w:r w:rsidRPr="00193AA8">
        <w:t xml:space="preserve">Table </w:t>
      </w:r>
      <w:r w:rsidR="005C10C9">
        <w:fldChar w:fldCharType="begin"/>
      </w:r>
      <w:r w:rsidR="005C10C9">
        <w:instrText xml:space="preserve"> SEQ Table \* ARABIC </w:instrText>
      </w:r>
      <w:r w:rsidR="005C10C9">
        <w:fldChar w:fldCharType="separate"/>
      </w:r>
      <w:r>
        <w:rPr>
          <w:noProof/>
        </w:rPr>
        <w:t>17</w:t>
      </w:r>
      <w:r w:rsidR="005C10C9">
        <w:rPr>
          <w:noProof/>
        </w:rPr>
        <w:fldChar w:fldCharType="end"/>
      </w:r>
      <w:bookmarkEnd w:id="61"/>
      <w:r w:rsidRPr="00193AA8">
        <w:t>:</w:t>
      </w:r>
      <w:r>
        <w:t xml:space="preserve"> </w:t>
      </w:r>
      <w:r w:rsidRPr="00193AA8">
        <w:t>Study V503-004</w:t>
      </w:r>
      <w:r>
        <w:t xml:space="preserve"> </w:t>
      </w:r>
      <w:r w:rsidRPr="00193AA8">
        <w:t xml:space="preserve">Analysis of </w:t>
      </w:r>
      <w:r>
        <w:t>s</w:t>
      </w:r>
      <w:r w:rsidRPr="00193AA8">
        <w:t xml:space="preserve">ubjects </w:t>
      </w:r>
      <w:r>
        <w:t>w</w:t>
      </w:r>
      <w:r w:rsidRPr="00193AA8">
        <w:t xml:space="preserve">ith </w:t>
      </w:r>
      <w:r>
        <w:t>s</w:t>
      </w:r>
      <w:r w:rsidRPr="00193AA8">
        <w:t xml:space="preserve">evere </w:t>
      </w:r>
      <w:r>
        <w:t>i</w:t>
      </w:r>
      <w:r w:rsidRPr="00193AA8">
        <w:t xml:space="preserve">njection </w:t>
      </w:r>
      <w:r>
        <w:t>s</w:t>
      </w:r>
      <w:r w:rsidRPr="00193AA8">
        <w:t xml:space="preserve">ite </w:t>
      </w:r>
      <w:r>
        <w:t>a</w:t>
      </w:r>
      <w:r w:rsidRPr="00193AA8">
        <w:t xml:space="preserve">dverse </w:t>
      </w:r>
      <w:r>
        <w:t>e</w:t>
      </w:r>
      <w:r w:rsidRPr="00193AA8">
        <w:t>vents (</w:t>
      </w:r>
      <w:r>
        <w:t>i</w:t>
      </w:r>
      <w:r w:rsidRPr="00193AA8">
        <w:t xml:space="preserve">ncidence </w:t>
      </w:r>
      <w:r w:rsidR="007B4310">
        <w:t>greater than</w:t>
      </w:r>
      <w:r w:rsidRPr="00193AA8">
        <w:t xml:space="preserve"> 0% in </w:t>
      </w:r>
      <w:r>
        <w:t>o</w:t>
      </w:r>
      <w:r w:rsidRPr="00193AA8">
        <w:t xml:space="preserve">ne or </w:t>
      </w:r>
      <w:r>
        <w:t>m</w:t>
      </w:r>
      <w:r w:rsidRPr="00193AA8">
        <w:t xml:space="preserve">ore </w:t>
      </w:r>
      <w:r>
        <w:t>a</w:t>
      </w:r>
      <w:r w:rsidRPr="00193AA8">
        <w:t xml:space="preserve">ge </w:t>
      </w:r>
      <w:r>
        <w:t>g</w:t>
      </w:r>
      <w:r w:rsidRPr="00193AA8">
        <w:t xml:space="preserve">roups) (Days 1 to 5 </w:t>
      </w:r>
      <w:r>
        <w:t>f</w:t>
      </w:r>
      <w:r w:rsidRPr="00193AA8">
        <w:t xml:space="preserve">ollowing </w:t>
      </w:r>
      <w:r>
        <w:t>a</w:t>
      </w:r>
      <w:r w:rsidRPr="00193AA8">
        <w:t xml:space="preserve">ny </w:t>
      </w:r>
      <w:r>
        <w:t>v</w:t>
      </w:r>
      <w:r w:rsidRPr="00193AA8">
        <w:t xml:space="preserve">accination </w:t>
      </w:r>
      <w:r>
        <w:t>v</w:t>
      </w:r>
      <w:r w:rsidRPr="00193AA8">
        <w:t>isit) (</w:t>
      </w:r>
      <w:r>
        <w:t>a</w:t>
      </w:r>
      <w:r w:rsidRPr="00193AA8">
        <w:t xml:space="preserve">ll </w:t>
      </w:r>
      <w:r>
        <w:t>v</w:t>
      </w:r>
      <w:r w:rsidRPr="00193AA8">
        <w:t xml:space="preserve">accinated </w:t>
      </w:r>
      <w:r>
        <w:t>s</w:t>
      </w:r>
      <w:r w:rsidRPr="00193AA8">
        <w:t>ubjects).</w:t>
      </w:r>
    </w:p>
    <w:p w14:paraId="3D1FC8A0" w14:textId="01EF2AA8" w:rsidR="00193AA8" w:rsidRPr="00193AA8" w:rsidRDefault="00193AA8" w:rsidP="00193AA8">
      <w:r w:rsidRPr="00540C5F">
        <w:rPr>
          <w:noProof/>
        </w:rPr>
        <w:drawing>
          <wp:inline distT="0" distB="0" distL="0" distR="0" wp14:anchorId="4F44256E" wp14:editId="69A3242C">
            <wp:extent cx="5748867" cy="1486894"/>
            <wp:effectExtent l="0" t="0" r="4445" b="0"/>
            <wp:docPr id="23" name="Picture 23" descr="Study V503-004 Analysis of subjects with severe injection site adverse events (incidence greater than 0% in one or more age groups) (Days 1 to 5 following any vaccination visit) (all vaccin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V503-004 Analysis of subjects with severe injection site adverse events (incidence greater than 0% in one or more age groups) (Days 1 to 5 following any vaccination visit) (all vaccinated subjec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6712" cy="1494096"/>
                    </a:xfrm>
                    <a:prstGeom prst="rect">
                      <a:avLst/>
                    </a:prstGeom>
                    <a:noFill/>
                    <a:ln>
                      <a:noFill/>
                    </a:ln>
                  </pic:spPr>
                </pic:pic>
              </a:graphicData>
            </a:graphic>
          </wp:inline>
        </w:drawing>
      </w:r>
    </w:p>
    <w:p w14:paraId="2D40BE1C" w14:textId="6ADC69DD" w:rsidR="00BF07A0" w:rsidRPr="00193AA8" w:rsidRDefault="00BF07A0" w:rsidP="00193AA8">
      <w:r w:rsidRPr="00193AA8">
        <w:lastRenderedPageBreak/>
        <w:t xml:space="preserve">The most common vaccine-related systemic AE (frequency </w:t>
      </w:r>
      <w:r w:rsidR="007B4310">
        <w:t>greater than</w:t>
      </w:r>
      <w:r w:rsidR="00193AA8">
        <w:t xml:space="preserve"> </w:t>
      </w:r>
      <w:r w:rsidRPr="00193AA8">
        <w:t>5%) (Day 1 to Day 15 following any vaccination) was headache (13.6% v</w:t>
      </w:r>
      <w:r w:rsidR="00193AA8">
        <w:t>ersus</w:t>
      </w:r>
      <w:r w:rsidRPr="00193AA8">
        <w:t xml:space="preserve"> 12.6%). 64.4% in the 27</w:t>
      </w:r>
      <w:r w:rsidR="00193AA8">
        <w:t xml:space="preserve">to </w:t>
      </w:r>
      <w:r w:rsidRPr="00193AA8">
        <w:t>45</w:t>
      </w:r>
      <w:r w:rsidR="00193AA8">
        <w:t xml:space="preserve"> </w:t>
      </w:r>
      <w:r w:rsidRPr="00193AA8">
        <w:t>y</w:t>
      </w:r>
      <w:r w:rsidR="00193AA8">
        <w:t>ears</w:t>
      </w:r>
      <w:r w:rsidRPr="00193AA8">
        <w:t xml:space="preserve"> group and 66.3% in the 16</w:t>
      </w:r>
      <w:r w:rsidR="00193AA8">
        <w:t xml:space="preserve"> to </w:t>
      </w:r>
      <w:r w:rsidRPr="00193AA8">
        <w:t>26</w:t>
      </w:r>
      <w:r w:rsidR="00193AA8">
        <w:t xml:space="preserve"> </w:t>
      </w:r>
      <w:r w:rsidRPr="00193AA8">
        <w:t>y</w:t>
      </w:r>
      <w:r w:rsidR="00193AA8">
        <w:t>ears</w:t>
      </w:r>
      <w:r w:rsidRPr="00193AA8">
        <w:t xml:space="preserve"> group experienced at least </w:t>
      </w:r>
      <w:r w:rsidR="00193AA8">
        <w:t>one</w:t>
      </w:r>
      <w:r w:rsidRPr="00193AA8">
        <w:t xml:space="preserve"> systemic AE.</w:t>
      </w:r>
    </w:p>
    <w:p w14:paraId="27CA1649" w14:textId="20446CFF" w:rsidR="00BF07A0" w:rsidRDefault="00BF07A0" w:rsidP="00193AA8">
      <w:r w:rsidRPr="00193AA8">
        <w:t xml:space="preserve">Overall, there was no notable difference between the two age groups with respect to the incidence of systemic AEs between Day 1 and Day 15 </w:t>
      </w:r>
      <w:r w:rsidR="00193AA8">
        <w:t>(</w:t>
      </w:r>
      <w:r w:rsidR="00193AA8">
        <w:fldChar w:fldCharType="begin"/>
      </w:r>
      <w:r w:rsidR="00193AA8">
        <w:instrText xml:space="preserve"> REF _Ref138767153 \h </w:instrText>
      </w:r>
      <w:r w:rsidR="00193AA8">
        <w:fldChar w:fldCharType="separate"/>
      </w:r>
      <w:r w:rsidR="00193AA8" w:rsidRPr="00193AA8">
        <w:t>Table 18</w:t>
      </w:r>
      <w:r w:rsidR="00193AA8">
        <w:fldChar w:fldCharType="end"/>
      </w:r>
      <w:r w:rsidR="00193AA8">
        <w:t xml:space="preserve">) </w:t>
      </w:r>
      <w:r w:rsidRPr="00193AA8">
        <w:t>or between Day 1 and Month 7.</w:t>
      </w:r>
    </w:p>
    <w:p w14:paraId="4A82D287" w14:textId="7905F51A" w:rsidR="00193AA8" w:rsidRDefault="00193AA8" w:rsidP="00193AA8">
      <w:pPr>
        <w:pStyle w:val="TableTitle"/>
      </w:pPr>
      <w:bookmarkStart w:id="62" w:name="_Ref138767153"/>
      <w:r w:rsidRPr="00193AA8">
        <w:lastRenderedPageBreak/>
        <w:t xml:space="preserve">Table </w:t>
      </w:r>
      <w:r w:rsidR="005C10C9">
        <w:fldChar w:fldCharType="begin"/>
      </w:r>
      <w:r w:rsidR="005C10C9">
        <w:instrText xml:space="preserve"> SEQ Table \* ARABIC </w:instrText>
      </w:r>
      <w:r w:rsidR="005C10C9">
        <w:fldChar w:fldCharType="separate"/>
      </w:r>
      <w:r w:rsidRPr="00193AA8">
        <w:t>18</w:t>
      </w:r>
      <w:r w:rsidR="005C10C9">
        <w:fldChar w:fldCharType="end"/>
      </w:r>
      <w:bookmarkEnd w:id="62"/>
      <w:r>
        <w:t xml:space="preserve">: </w:t>
      </w:r>
      <w:r w:rsidRPr="00540C5F">
        <w:t>Study V503-0</w:t>
      </w:r>
      <w:r>
        <w:t>04 Analysis of subjects with systemic adverse events by System Organ Class (incidence ≥ 1% in one or more age groups) (Days 1 to 15 following any vaccination visit) (all vaccinated subjects)</w:t>
      </w:r>
    </w:p>
    <w:p w14:paraId="49D5839F" w14:textId="6D553394" w:rsidR="00193AA8" w:rsidRPr="00193AA8" w:rsidRDefault="00193AA8" w:rsidP="00193AA8">
      <w:r w:rsidRPr="00540C5F">
        <w:rPr>
          <w:noProof/>
        </w:rPr>
        <w:drawing>
          <wp:inline distT="0" distB="0" distL="0" distR="0" wp14:anchorId="5C8445A6" wp14:editId="7ABFE43E">
            <wp:extent cx="4436745" cy="4355661"/>
            <wp:effectExtent l="0" t="0" r="5715" b="1905"/>
            <wp:docPr id="10" name="Picture 10" descr="Study V503-004 Analysis of subjects with systemic adverse events by System Organ Class (incidence ≥ 1% in one or more age groups) (Days 1 to 15 following any vaccination visit) (all vaccin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V503-004 Analysis of subjects with systemic adverse events by System Organ Class (incidence ≥ 1% in one or more age groups) (Days 1 to 15 following any vaccination visit) (all vaccinated subjec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6745" cy="4355661"/>
                    </a:xfrm>
                    <a:prstGeom prst="rect">
                      <a:avLst/>
                    </a:prstGeom>
                    <a:noFill/>
                    <a:ln>
                      <a:noFill/>
                    </a:ln>
                  </pic:spPr>
                </pic:pic>
              </a:graphicData>
            </a:graphic>
          </wp:inline>
        </w:drawing>
      </w:r>
      <w:r w:rsidRPr="00540C5F">
        <w:rPr>
          <w:noProof/>
        </w:rPr>
        <w:drawing>
          <wp:inline distT="0" distB="0" distL="0" distR="0" wp14:anchorId="78A8A95A" wp14:editId="4E5B496A">
            <wp:extent cx="4436828" cy="3756509"/>
            <wp:effectExtent l="0" t="0" r="1905" b="0"/>
            <wp:docPr id="20" name="Picture 20" descr="Study V503-004 Analysis of subjects with systemic adverse events by System Organ Class (incidence ≥ 1% in one or more age groups) (Days 1 to 15 following any vaccination visit) (all vaccin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V503-004 Analysis of subjects with systemic adverse events by System Organ Class (incidence ≥ 1% in one or more age groups) (Days 1 to 15 following any vaccination visit) (all vaccinated subjec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3168" cy="3761877"/>
                    </a:xfrm>
                    <a:prstGeom prst="rect">
                      <a:avLst/>
                    </a:prstGeom>
                    <a:noFill/>
                    <a:ln>
                      <a:noFill/>
                    </a:ln>
                  </pic:spPr>
                </pic:pic>
              </a:graphicData>
            </a:graphic>
          </wp:inline>
        </w:drawing>
      </w:r>
    </w:p>
    <w:p w14:paraId="0EC5A765" w14:textId="2C7BAD87" w:rsidR="00BF07A0" w:rsidRPr="00193AA8" w:rsidRDefault="00BF07A0" w:rsidP="00193AA8">
      <w:r w:rsidRPr="00193AA8">
        <w:lastRenderedPageBreak/>
        <w:t xml:space="preserve">In </w:t>
      </w:r>
      <w:r w:rsidR="00193AA8">
        <w:t xml:space="preserve">Study </w:t>
      </w:r>
      <w:r w:rsidRPr="00193AA8">
        <w:t>V503-020, the most common injection</w:t>
      </w:r>
      <w:r w:rsidR="00193AA8">
        <w:t xml:space="preserve"> </w:t>
      </w:r>
      <w:r w:rsidRPr="00193AA8">
        <w:t xml:space="preserve">site AEs (frequency </w:t>
      </w:r>
      <w:r w:rsidR="007B4310">
        <w:t>greater than</w:t>
      </w:r>
      <w:r w:rsidR="00193AA8">
        <w:t xml:space="preserve"> </w:t>
      </w:r>
      <w:r w:rsidRPr="00193AA8">
        <w:t>5%) were injection</w:t>
      </w:r>
      <w:r w:rsidR="00193AA8">
        <w:t xml:space="preserve"> </w:t>
      </w:r>
      <w:r w:rsidRPr="00193AA8">
        <w:t xml:space="preserve">site pain, erythema, and swelling (77.8%, 15.3%, and 14.5% of subjects in the 9vHPV vaccine group; and 70.2%, 17.3%, and 9.3% of subjects in the qHPV vaccine group). The proportion of subjects with AEs was similar in the 2 vaccine groups. Most events were mild or moderate in intensity. Severe injection-site reactions occurred in </w:t>
      </w:r>
      <w:r w:rsidR="00193AA8">
        <w:t>three</w:t>
      </w:r>
      <w:r w:rsidRPr="00193AA8">
        <w:t xml:space="preserve"> subjects (1.2%) (9vHPV) and </w:t>
      </w:r>
      <w:r w:rsidR="00193AA8">
        <w:t>four</w:t>
      </w:r>
      <w:r w:rsidRPr="00193AA8">
        <w:t xml:space="preserve"> subjects (1.6%) (qHPV).</w:t>
      </w:r>
    </w:p>
    <w:p w14:paraId="4FB37BFF" w14:textId="61695B58" w:rsidR="00BF07A0" w:rsidRPr="00193AA8" w:rsidRDefault="00BF07A0" w:rsidP="00193AA8">
      <w:r w:rsidRPr="00193AA8">
        <w:t>Systemic AEs were reported for 40.7% in the 9vHPV group and 40.3% in the qHPV group between Day 1 and Day 15. These AEs were considered vaccine-related for 23.0% v</w:t>
      </w:r>
      <w:r w:rsidR="00193AA8">
        <w:t>ersus</w:t>
      </w:r>
      <w:r w:rsidRPr="00193AA8">
        <w:t xml:space="preserve"> 21.8% of the subjects. The most frequently reported systemic AEs were headache (all: 11.7% v</w:t>
      </w:r>
      <w:r w:rsidR="00193AA8">
        <w:t xml:space="preserve">ersus </w:t>
      </w:r>
      <w:r w:rsidRPr="00193AA8">
        <w:t>14.9%) (considered vaccine-related: 8.1% v</w:t>
      </w:r>
      <w:r w:rsidR="00193AA8">
        <w:t>ersus</w:t>
      </w:r>
      <w:r w:rsidRPr="00193AA8">
        <w:t xml:space="preserve"> 8.9%), nasopharyngitis (4.4% v</w:t>
      </w:r>
      <w:r w:rsidR="00193AA8">
        <w:t>ersus</w:t>
      </w:r>
      <w:r w:rsidRPr="00193AA8">
        <w:t xml:space="preserve"> 5.6%), diarrhoea (2.8% v</w:t>
      </w:r>
      <w:r w:rsidR="00193AA8">
        <w:t>ersus</w:t>
      </w:r>
      <w:r w:rsidRPr="00193AA8">
        <w:t xml:space="preserve"> 4.8%), pyrexia (3.6% v</w:t>
      </w:r>
      <w:r w:rsidR="00193AA8">
        <w:t>ersus</w:t>
      </w:r>
      <w:r w:rsidRPr="00193AA8">
        <w:t xml:space="preserve"> 3.2%), and oropharyngeal pain (3.2% v</w:t>
      </w:r>
      <w:r w:rsidR="00193AA8">
        <w:t>ersus</w:t>
      </w:r>
      <w:r w:rsidRPr="00193AA8">
        <w:t xml:space="preserve"> 3.6%). Overall, there was no notable differences between the two groups.</w:t>
      </w:r>
    </w:p>
    <w:p w14:paraId="33A8C938" w14:textId="335FE13B" w:rsidR="00BF07A0" w:rsidRPr="00193AA8" w:rsidRDefault="00BF07A0" w:rsidP="00A42922">
      <w:pPr>
        <w:pStyle w:val="Heading5"/>
        <w:rPr>
          <w:rFonts w:eastAsiaTheme="minorHAnsi"/>
        </w:rPr>
      </w:pPr>
      <w:r w:rsidRPr="00193AA8">
        <w:rPr>
          <w:rFonts w:eastAsiaTheme="minorHAnsi"/>
        </w:rPr>
        <w:t>Long-term follow up studies</w:t>
      </w:r>
    </w:p>
    <w:p w14:paraId="6D3C2C2D" w14:textId="7E5197B0" w:rsidR="00BF07A0" w:rsidRPr="00193AA8" w:rsidRDefault="00BF07A0" w:rsidP="00193AA8">
      <w:r w:rsidRPr="00193AA8">
        <w:t>In</w:t>
      </w:r>
      <w:r w:rsidR="00A42922">
        <w:t xml:space="preserve"> Study</w:t>
      </w:r>
      <w:r w:rsidRPr="00193AA8">
        <w:t xml:space="preserve"> V503-001-04, the proportion of subjects who reported </w:t>
      </w:r>
      <w:r w:rsidR="007B4310">
        <w:t>at least</w:t>
      </w:r>
      <w:r w:rsidR="00A42922">
        <w:t xml:space="preserve"> </w:t>
      </w:r>
      <w:r w:rsidRPr="00193AA8">
        <w:t>1 AEs on Days 1 to 15 following the fourth vaccination (87.3%) was higher compared to Visits 1, 2, and 3 in the main study (80.7%, 76%, 72%). There was a higher rate of injection</w:t>
      </w:r>
      <w:r w:rsidR="00A42922">
        <w:t xml:space="preserve"> </w:t>
      </w:r>
      <w:r w:rsidRPr="00193AA8">
        <w:t>site AEs following the fourth dose (84%) compared to Dose 1, 2, and 3 (70.7%, 69.3%, and 67.3%). After the fourth dose of 9vHPV vaccine:</w:t>
      </w:r>
    </w:p>
    <w:p w14:paraId="3877BB73" w14:textId="35932953" w:rsidR="00BF07A0" w:rsidRPr="00A42922" w:rsidRDefault="00BF07A0" w:rsidP="00A42922">
      <w:pPr>
        <w:pStyle w:val="ListBullet"/>
      </w:pPr>
      <w:r w:rsidRPr="00A42922">
        <w:t>The most common injection</w:t>
      </w:r>
      <w:r w:rsidR="00A42922">
        <w:t xml:space="preserve"> </w:t>
      </w:r>
      <w:r w:rsidRPr="00A42922">
        <w:t xml:space="preserve">site AEs (frequency </w:t>
      </w:r>
      <w:r w:rsidR="007B4310">
        <w:t>greater than</w:t>
      </w:r>
      <w:r w:rsidR="00A42922">
        <w:t xml:space="preserve"> </w:t>
      </w:r>
      <w:r w:rsidRPr="00A42922">
        <w:t>2%) reported after the fourth dose of 9vHPV vaccine were injection</w:t>
      </w:r>
      <w:r w:rsidR="00A42922">
        <w:t xml:space="preserve"> </w:t>
      </w:r>
      <w:r w:rsidRPr="00A42922">
        <w:t>site pain, injection</w:t>
      </w:r>
      <w:r w:rsidR="00A42922">
        <w:t xml:space="preserve"> </w:t>
      </w:r>
      <w:r w:rsidRPr="00A42922">
        <w:t>site swelling, and injection</w:t>
      </w:r>
      <w:r w:rsidR="00A42922">
        <w:t xml:space="preserve"> </w:t>
      </w:r>
      <w:r w:rsidRPr="00A42922">
        <w:t>site erythema (82.7%, 32.7%, and 22% of subjects, respectively); most were mild or moderate in intensity.</w:t>
      </w:r>
    </w:p>
    <w:p w14:paraId="645F036A" w14:textId="5051D988" w:rsidR="00BF07A0" w:rsidRPr="00A42922" w:rsidRDefault="00BF07A0" w:rsidP="00A42922">
      <w:pPr>
        <w:pStyle w:val="ListBullet"/>
      </w:pPr>
      <w:r w:rsidRPr="00A42922">
        <w:t xml:space="preserve">The most common vaccine-related systemic AEs (frequency </w:t>
      </w:r>
      <w:r w:rsidR="007B4310">
        <w:t>greater than</w:t>
      </w:r>
      <w:r w:rsidR="00A42922">
        <w:t xml:space="preserve"> </w:t>
      </w:r>
      <w:r w:rsidRPr="00A42922">
        <w:t>2%) were headache and pyrexia (6.7% and 3.3% of subjects, respectively).</w:t>
      </w:r>
    </w:p>
    <w:p w14:paraId="2C12F524" w14:textId="6E0FEC27" w:rsidR="00BF07A0" w:rsidRPr="00A42922" w:rsidRDefault="00BF07A0" w:rsidP="00A42922">
      <w:r w:rsidRPr="00A42922">
        <w:t xml:space="preserve">Studies V503-002-20 and V503-010-01 did not record AEs (only </w:t>
      </w:r>
      <w:r w:rsidR="007B4310">
        <w:t>serious adverse events</w:t>
      </w:r>
      <w:r w:rsidRPr="00A42922">
        <w:t xml:space="preserve"> </w:t>
      </w:r>
      <w:r w:rsidR="00E01C94">
        <w:t xml:space="preserve">[SAE] </w:t>
      </w:r>
      <w:r w:rsidRPr="00A42922">
        <w:t>and deaths).</w:t>
      </w:r>
    </w:p>
    <w:p w14:paraId="6E5334AD" w14:textId="77777777" w:rsidR="00BF07A0" w:rsidRPr="00A42922" w:rsidRDefault="00BF07A0" w:rsidP="00A42922">
      <w:r w:rsidRPr="00A42922">
        <w:t>Study V503-021-01 collected data related to ‘new medical conditions’ based on registry searches in Scandinavian countries:</w:t>
      </w:r>
    </w:p>
    <w:p w14:paraId="0918BF72" w14:textId="0828C9E7" w:rsidR="00BF07A0" w:rsidRPr="00A42922" w:rsidRDefault="00BF07A0" w:rsidP="00A42922">
      <w:pPr>
        <w:pStyle w:val="ListBullet"/>
      </w:pPr>
      <w:r w:rsidRPr="00A42922">
        <w:t xml:space="preserve">39.7% of patients who received 9vHPV vaccine in the base study (Cohort 1) and 38.6% of patients who received qHPV vaccine in the base study (Cohort 2) had </w:t>
      </w:r>
      <w:r w:rsidR="007B4310">
        <w:t>at least one</w:t>
      </w:r>
      <w:r w:rsidRPr="00A42922">
        <w:t xml:space="preserve"> new medical condition during the first </w:t>
      </w:r>
      <w:r w:rsidR="00A42922">
        <w:t>four</w:t>
      </w:r>
      <w:r w:rsidRPr="00A42922">
        <w:t xml:space="preserve"> years of the study extension. Most were in the </w:t>
      </w:r>
      <w:r w:rsidR="00A42922">
        <w:t>System Organ Class (</w:t>
      </w:r>
      <w:r w:rsidRPr="00A42922">
        <w:t>SOC</w:t>
      </w:r>
      <w:r w:rsidR="00A42922">
        <w:t>)</w:t>
      </w:r>
      <w:r w:rsidRPr="00A42922">
        <w:t xml:space="preserve"> of </w:t>
      </w:r>
      <w:r w:rsidR="00A42922">
        <w:t>‘</w:t>
      </w:r>
      <w:r w:rsidRPr="00A42922">
        <w:t>pregnancy, puerperium and perinatal conditions</w:t>
      </w:r>
      <w:r w:rsidR="00A42922">
        <w:t>’</w:t>
      </w:r>
      <w:r w:rsidRPr="00A42922">
        <w:t xml:space="preserve"> (22.4% and 21.4% of subjects in Cohorts 1 and 2, respectively) and </w:t>
      </w:r>
      <w:r w:rsidR="00A42922">
        <w:t>‘</w:t>
      </w:r>
      <w:r w:rsidRPr="00A42922">
        <w:t>surgical and medical procedures</w:t>
      </w:r>
      <w:r w:rsidR="00A42922">
        <w:t>’</w:t>
      </w:r>
      <w:r w:rsidRPr="00A42922">
        <w:t xml:space="preserve"> (20.1% and 20.4%) that were mostly pregnancy</w:t>
      </w:r>
      <w:r w:rsidR="00A42922">
        <w:t xml:space="preserve"> </w:t>
      </w:r>
      <w:r w:rsidRPr="00A42922">
        <w:t>related. Other new medical conditions were diverse and affected various system organ classes.</w:t>
      </w:r>
    </w:p>
    <w:p w14:paraId="15752FCA" w14:textId="536C722C" w:rsidR="00BF07A0" w:rsidRPr="00A42922" w:rsidRDefault="00BF07A0" w:rsidP="00A42922">
      <w:pPr>
        <w:pStyle w:val="ListBullet"/>
      </w:pPr>
      <w:r w:rsidRPr="00A42922">
        <w:t xml:space="preserve">There was no specific pattern of new medical conditions within or between the </w:t>
      </w:r>
      <w:r w:rsidR="00A42922">
        <w:t>two</w:t>
      </w:r>
      <w:r w:rsidRPr="00A42922">
        <w:t xml:space="preserve"> cohorts.</w:t>
      </w:r>
    </w:p>
    <w:bookmarkEnd w:id="59"/>
    <w:bookmarkEnd w:id="60"/>
    <w:p w14:paraId="4BB714C6" w14:textId="77777777" w:rsidR="00BF07A0" w:rsidRPr="00A42922" w:rsidRDefault="00BF07A0" w:rsidP="00A42922">
      <w:pPr>
        <w:pStyle w:val="Heading5"/>
      </w:pPr>
      <w:r w:rsidRPr="00A42922">
        <w:t>Deaths</w:t>
      </w:r>
    </w:p>
    <w:p w14:paraId="49A4D934" w14:textId="466D391E" w:rsidR="00BF07A0" w:rsidRPr="00A42922" w:rsidRDefault="00BF07A0" w:rsidP="00A42922">
      <w:r w:rsidRPr="00A42922">
        <w:t xml:space="preserve">Mid </w:t>
      </w:r>
      <w:r w:rsidR="007B4310">
        <w:t>a</w:t>
      </w:r>
      <w:r w:rsidRPr="00A42922">
        <w:t xml:space="preserve">dult </w:t>
      </w:r>
      <w:r w:rsidR="007B4310">
        <w:t>p</w:t>
      </w:r>
      <w:r w:rsidRPr="00A42922">
        <w:t xml:space="preserve">erson studies: In </w:t>
      </w:r>
      <w:r w:rsidR="00A42922">
        <w:t xml:space="preserve">Studies </w:t>
      </w:r>
      <w:r w:rsidRPr="00A42922">
        <w:t>V503-004 or V503-020, no subject died during the study.</w:t>
      </w:r>
    </w:p>
    <w:p w14:paraId="542D8199" w14:textId="79FDD616" w:rsidR="00BF07A0" w:rsidRPr="00A42922" w:rsidRDefault="00BF07A0" w:rsidP="00A42922">
      <w:r w:rsidRPr="00A42922">
        <w:t>Long</w:t>
      </w:r>
      <w:r w:rsidR="007B4310">
        <w:t xml:space="preserve"> </w:t>
      </w:r>
      <w:r w:rsidRPr="00A42922">
        <w:t xml:space="preserve">term follow up studies: In </w:t>
      </w:r>
      <w:r w:rsidR="00A42922">
        <w:t xml:space="preserve">Study </w:t>
      </w:r>
      <w:r w:rsidRPr="00A42922">
        <w:t>V503-010-01, there was one death (cardiac arrest 466 days post-</w:t>
      </w:r>
      <w:r w:rsidR="00A42922">
        <w:t>third dose</w:t>
      </w:r>
      <w:r w:rsidRPr="00A42922">
        <w:t>) considered unrelated to vaccination. There were no reported deaths in the other studies.</w:t>
      </w:r>
    </w:p>
    <w:p w14:paraId="70D19F06" w14:textId="77777777" w:rsidR="00BF07A0" w:rsidRPr="00A42922" w:rsidRDefault="00BF07A0" w:rsidP="00A42922">
      <w:pPr>
        <w:pStyle w:val="Heading5"/>
      </w:pPr>
      <w:r w:rsidRPr="00A42922">
        <w:t>Serious adverse events</w:t>
      </w:r>
    </w:p>
    <w:p w14:paraId="34CE9E38" w14:textId="6265DC3B" w:rsidR="00BF07A0" w:rsidRPr="00A42922" w:rsidRDefault="00BF07A0" w:rsidP="00A42922">
      <w:r w:rsidRPr="00A42922">
        <w:t xml:space="preserve">Mid </w:t>
      </w:r>
      <w:r w:rsidR="00E01C94">
        <w:t>a</w:t>
      </w:r>
      <w:r w:rsidRPr="00A42922">
        <w:t xml:space="preserve">dult </w:t>
      </w:r>
      <w:r w:rsidR="00E01C94">
        <w:t>p</w:t>
      </w:r>
      <w:r w:rsidRPr="00A42922">
        <w:t xml:space="preserve">erson studies: In </w:t>
      </w:r>
      <w:r w:rsidR="00A42922">
        <w:t xml:space="preserve">Study </w:t>
      </w:r>
      <w:r w:rsidRPr="00A42922">
        <w:t>V503-004, 15 SAEs were reported across 14 subjects (all unrelated to the study vaccine). In</w:t>
      </w:r>
      <w:r w:rsidR="00A42922">
        <w:t xml:space="preserve"> Study</w:t>
      </w:r>
      <w:r w:rsidRPr="00A42922">
        <w:t xml:space="preserve"> V503-020, SAEs were reported for </w:t>
      </w:r>
      <w:r w:rsidR="00A42922">
        <w:t>six</w:t>
      </w:r>
      <w:r w:rsidRPr="00A42922">
        <w:t xml:space="preserve"> subjects in the </w:t>
      </w:r>
      <w:r w:rsidRPr="00A42922">
        <w:lastRenderedPageBreak/>
        <w:t>qHPV (all unrelated to the study vaccine) and no subject in the 9vHPV vaccine group experienced an SAE.</w:t>
      </w:r>
    </w:p>
    <w:p w14:paraId="759899B1" w14:textId="0F744C82" w:rsidR="00BF07A0" w:rsidRPr="00A42922" w:rsidRDefault="00BF07A0" w:rsidP="00A42922">
      <w:r w:rsidRPr="00A42922">
        <w:t xml:space="preserve">Long-term follow up studies: In </w:t>
      </w:r>
      <w:r w:rsidR="00E01C94">
        <w:t xml:space="preserve">Study </w:t>
      </w:r>
      <w:r w:rsidRPr="00A42922">
        <w:t>V503-010-01, one girl (9</w:t>
      </w:r>
      <w:r w:rsidR="00E01C94">
        <w:t xml:space="preserve"> to </w:t>
      </w:r>
      <w:r w:rsidRPr="00A42922">
        <w:t>14</w:t>
      </w:r>
      <w:r w:rsidR="00E01C94">
        <w:t xml:space="preserve"> years</w:t>
      </w:r>
      <w:r w:rsidRPr="00A42922">
        <w:t xml:space="preserve"> group) in the (0, 6) regimen reported an SAE of abdominal pain 15 days after the Month 36 vaccination (resolved after 4 days) considered to be related to the study vaccine. No other SAEs were considered related to the study vaccine.</w:t>
      </w:r>
    </w:p>
    <w:p w14:paraId="7A4D02D9" w14:textId="77777777" w:rsidR="00BF07A0" w:rsidRPr="00A42922" w:rsidRDefault="00BF07A0" w:rsidP="00A42922">
      <w:pPr>
        <w:pStyle w:val="Heading5"/>
      </w:pPr>
      <w:bookmarkStart w:id="63" w:name="_Hlk107151789"/>
      <w:r w:rsidRPr="00A42922">
        <w:t>Discontinuations</w:t>
      </w:r>
    </w:p>
    <w:bookmarkEnd w:id="63"/>
    <w:p w14:paraId="1B740BF3" w14:textId="3FF8755F" w:rsidR="00BF07A0" w:rsidRPr="00A42922" w:rsidRDefault="00BF07A0" w:rsidP="00A42922">
      <w:r w:rsidRPr="00A42922">
        <w:t xml:space="preserve">Mid </w:t>
      </w:r>
      <w:r w:rsidR="00E01C94">
        <w:t>a</w:t>
      </w:r>
      <w:r w:rsidRPr="00A42922">
        <w:t xml:space="preserve">dult </w:t>
      </w:r>
      <w:r w:rsidR="00E01C94">
        <w:t>p</w:t>
      </w:r>
      <w:r w:rsidRPr="00A42922">
        <w:t>erson studies:</w:t>
      </w:r>
      <w:r w:rsidR="00A42922">
        <w:t xml:space="preserve"> </w:t>
      </w:r>
      <w:r w:rsidRPr="00A42922">
        <w:t xml:space="preserve">In </w:t>
      </w:r>
      <w:r w:rsidR="00E01C94">
        <w:t xml:space="preserve">Study </w:t>
      </w:r>
      <w:r w:rsidRPr="00A42922">
        <w:t>V503-010-01, one AE in the 27</w:t>
      </w:r>
      <w:r w:rsidR="00E01C94">
        <w:t xml:space="preserve"> to </w:t>
      </w:r>
      <w:r w:rsidRPr="00A42922">
        <w:t>45</w:t>
      </w:r>
      <w:r w:rsidR="00E01C94">
        <w:t xml:space="preserve"> years</w:t>
      </w:r>
      <w:r w:rsidRPr="00A42922">
        <w:t xml:space="preserve"> group (migraine with aura at 11 days after </w:t>
      </w:r>
      <w:r w:rsidR="00E01C94">
        <w:t>first dose</w:t>
      </w:r>
      <w:r w:rsidRPr="00A42922">
        <w:t>; fully resolved and not considered vaccine</w:t>
      </w:r>
      <w:r w:rsidR="00E01C94">
        <w:t xml:space="preserve"> </w:t>
      </w:r>
      <w:r w:rsidRPr="00A42922">
        <w:t xml:space="preserve">related) resulted in discontinuation. In </w:t>
      </w:r>
      <w:r w:rsidR="00E01C94">
        <w:t xml:space="preserve">Study </w:t>
      </w:r>
      <w:r w:rsidRPr="00A42922">
        <w:t>V503-020, no AE resulted in discontinuation.</w:t>
      </w:r>
    </w:p>
    <w:p w14:paraId="4DFB2E23" w14:textId="71BD3F15" w:rsidR="00BF07A0" w:rsidRPr="00A42922" w:rsidRDefault="00BF07A0" w:rsidP="00A42922">
      <w:r w:rsidRPr="00A42922">
        <w:t>Long</w:t>
      </w:r>
      <w:r w:rsidR="00E01C94">
        <w:t xml:space="preserve"> </w:t>
      </w:r>
      <w:r w:rsidRPr="00A42922">
        <w:t xml:space="preserve">term follow up studies: In </w:t>
      </w:r>
      <w:r w:rsidR="00E01C94">
        <w:t xml:space="preserve">Study </w:t>
      </w:r>
      <w:r w:rsidRPr="00A42922">
        <w:t xml:space="preserve">V503-010-01, </w:t>
      </w:r>
      <w:r w:rsidR="00E01C94">
        <w:t>two</w:t>
      </w:r>
      <w:r w:rsidRPr="00A42922">
        <w:t xml:space="preserve"> subjects discontinued study vaccination due to an AE (</w:t>
      </w:r>
      <w:r w:rsidR="00E01C94">
        <w:t>one</w:t>
      </w:r>
      <w:r w:rsidRPr="00A42922">
        <w:t xml:space="preserve"> due to vaccine</w:t>
      </w:r>
      <w:r w:rsidR="00E01C94">
        <w:t xml:space="preserve"> </w:t>
      </w:r>
      <w:r w:rsidRPr="00A42922">
        <w:t xml:space="preserve">related AE of urticaria and </w:t>
      </w:r>
      <w:r w:rsidR="00E01C94">
        <w:t>one</w:t>
      </w:r>
      <w:r w:rsidRPr="00A42922">
        <w:t xml:space="preserve"> due to a non</w:t>
      </w:r>
      <w:r w:rsidR="00E01C94">
        <w:t>-</w:t>
      </w:r>
      <w:r w:rsidRPr="00A42922">
        <w:t>related SAE of radiculopathy). No discontinuations occurred in the other studies.</w:t>
      </w:r>
    </w:p>
    <w:p w14:paraId="3825CBC8" w14:textId="77777777" w:rsidR="00BF07A0" w:rsidRPr="00A42922" w:rsidRDefault="00BF07A0" w:rsidP="00A42922">
      <w:pPr>
        <w:pStyle w:val="Heading5"/>
      </w:pPr>
      <w:r w:rsidRPr="00A42922">
        <w:t>Post-market data</w:t>
      </w:r>
    </w:p>
    <w:p w14:paraId="1D07940C" w14:textId="4B267CE5" w:rsidR="00BF07A0" w:rsidRPr="00A42922" w:rsidRDefault="00BF07A0" w:rsidP="00A42922">
      <w:bookmarkStart w:id="64" w:name="_Ref269204367"/>
      <w:bookmarkStart w:id="65" w:name="_Ref271195835"/>
      <w:bookmarkStart w:id="66" w:name="_Ref271195841"/>
      <w:bookmarkStart w:id="67" w:name="_Toc272414660"/>
      <w:bookmarkStart w:id="68" w:name="_Toc290888511"/>
      <w:bookmarkStart w:id="69" w:name="_Toc416353727"/>
      <w:bookmarkStart w:id="70" w:name="_Toc421005283"/>
      <w:bookmarkStart w:id="71" w:name="_Toc432079160"/>
      <w:bookmarkStart w:id="72" w:name="_Toc432080733"/>
      <w:r w:rsidRPr="00A42922">
        <w:t xml:space="preserve">A post-marketing epidemiologic (non-interventional) study was completed in December 2019, titled </w:t>
      </w:r>
      <w:r w:rsidR="00A42922">
        <w:t>‘</w:t>
      </w:r>
      <w:r w:rsidRPr="00A42922">
        <w:t>Post-Licensure Observational Safety Study of G</w:t>
      </w:r>
      <w:r w:rsidR="00A42922">
        <w:t xml:space="preserve">ardasil </w:t>
      </w:r>
      <w:r w:rsidRPr="00A42922">
        <w:t>9</w:t>
      </w:r>
      <w:r w:rsidR="00A42922">
        <w:t>’</w:t>
      </w:r>
      <w:r w:rsidRPr="00A42922">
        <w:t xml:space="preserve"> (Protocol V503-028). The objective was to describe the general safety of 9vHPV vaccine in males and females receiving at least </w:t>
      </w:r>
      <w:r w:rsidR="00A42922">
        <w:t>one</w:t>
      </w:r>
      <w:r w:rsidRPr="00A42922">
        <w:t xml:space="preserve"> dose of 9vHPV vaccine as part of routine medical care. Findings from the study are consistent with the known safety profile of 9vHPV vaccine based on an analysis that includes &gt;</w:t>
      </w:r>
      <w:r w:rsidR="00A42922">
        <w:t xml:space="preserve"> </w:t>
      </w:r>
      <w:r w:rsidRPr="00A42922">
        <w:t>215,000 males and females aged</w:t>
      </w:r>
      <w:r w:rsidR="00A42922">
        <w:t xml:space="preserve"> </w:t>
      </w:r>
      <w:r w:rsidRPr="00A42922">
        <w:t>9</w:t>
      </w:r>
      <w:r w:rsidR="00E01C94">
        <w:t xml:space="preserve"> years and older, </w:t>
      </w:r>
      <w:r w:rsidRPr="00A42922">
        <w:t xml:space="preserve">and </w:t>
      </w:r>
      <w:r w:rsidR="00E01C94">
        <w:t>greater than</w:t>
      </w:r>
      <w:r w:rsidR="00A42922">
        <w:t xml:space="preserve"> </w:t>
      </w:r>
      <w:r w:rsidRPr="00A42922">
        <w:t>330,000 doses administered as part of routine medical care.</w:t>
      </w:r>
    </w:p>
    <w:p w14:paraId="46C74269" w14:textId="6D8E906D" w:rsidR="00BF07A0" w:rsidRPr="00A42922" w:rsidRDefault="00BF07A0" w:rsidP="00A42922">
      <w:bookmarkStart w:id="73" w:name="_Toc241374321"/>
      <w:bookmarkStart w:id="74" w:name="_Ref271044780"/>
      <w:bookmarkStart w:id="75" w:name="_Ref271196640"/>
      <w:bookmarkStart w:id="76" w:name="_Ref272333085"/>
      <w:bookmarkStart w:id="77" w:name="_Toc272414668"/>
      <w:bookmarkStart w:id="78" w:name="_Toc290888532"/>
      <w:bookmarkStart w:id="79" w:name="_Toc416353748"/>
      <w:bookmarkStart w:id="80" w:name="_Toc421005291"/>
      <w:bookmarkStart w:id="81" w:name="_Toc432079168"/>
      <w:bookmarkStart w:id="82" w:name="_Toc432080741"/>
      <w:bookmarkEnd w:id="64"/>
      <w:bookmarkEnd w:id="65"/>
      <w:bookmarkEnd w:id="66"/>
      <w:bookmarkEnd w:id="67"/>
      <w:bookmarkEnd w:id="68"/>
      <w:bookmarkEnd w:id="69"/>
      <w:bookmarkEnd w:id="70"/>
      <w:bookmarkEnd w:id="71"/>
      <w:bookmarkEnd w:id="72"/>
      <w:r w:rsidRPr="00A42922">
        <w:t>A review of the worldwide post marketing safety data from the time of market introduction for 9vHPV vaccine (December 2014 to December 2021) indicated that the AE profile for males is similar to that for females. There were no new safety concerns identified for male vaccine recipients in any age group.</w:t>
      </w:r>
    </w:p>
    <w:p w14:paraId="654B9CDF" w14:textId="5A1ED18A" w:rsidR="00BF07A0" w:rsidRPr="00A42922" w:rsidRDefault="00BF07A0" w:rsidP="00A42922">
      <w:r w:rsidRPr="00A42922">
        <w:t xml:space="preserve">An analysis of post-licensure surveillance reports to the U.S. Vaccine Adverse Event Reporting System (VAERS) by the </w:t>
      </w:r>
      <w:r w:rsidR="00E01C94" w:rsidRPr="00E01C94">
        <w:t xml:space="preserve">Centers for Disease Control and Prevention </w:t>
      </w:r>
      <w:r w:rsidR="00E01C94">
        <w:t>(United States)</w:t>
      </w:r>
      <w:r w:rsidRPr="00A42922">
        <w:t xml:space="preserve"> and FDA was published in 2019. In this report, the VAERS data of AEs after 9vHPV vaccine administration from December 2014 to December 2017 were reported. Approximately 28 million doses of 9vHPV were distributed over this period. There were 7,244 reports of AEs, of which 97.4% were non-serious. Dizziness, syncope, headache, and injection site reactions were most commonly reported. Crude AE reporting rates were 259 reports per million 9vHPV doses distributed for all reports and 7 per million doses distributed for serious reports. Nine reports of anaphylaxis post 9vHPV vaccination were identified, five of which involved 9vHPV as the sole vaccine administered. No death due to vaccination was identified.  No new or unexpected safety concerns or reporting patterns with clinically important AEs were detected. The authors concluded that the safety profile of 9vHPV is consistent with data from pre-licensure trials and from post-marketing safety data of qHPV vaccine.</w:t>
      </w:r>
      <w:bookmarkEnd w:id="73"/>
      <w:bookmarkEnd w:id="74"/>
      <w:bookmarkEnd w:id="75"/>
      <w:bookmarkEnd w:id="76"/>
      <w:bookmarkEnd w:id="77"/>
      <w:bookmarkEnd w:id="78"/>
      <w:bookmarkEnd w:id="79"/>
      <w:bookmarkEnd w:id="80"/>
      <w:bookmarkEnd w:id="81"/>
      <w:bookmarkEnd w:id="82"/>
    </w:p>
    <w:p w14:paraId="2858B006" w14:textId="77777777" w:rsidR="00C22214" w:rsidRDefault="00C22214" w:rsidP="00C22214">
      <w:pPr>
        <w:pStyle w:val="Heading3"/>
        <w:rPr>
          <w:lang w:eastAsia="en-AU"/>
        </w:rPr>
      </w:pPr>
      <w:bookmarkStart w:id="83" w:name="_Toc314842514"/>
      <w:bookmarkStart w:id="84" w:name="_Toc103679298"/>
      <w:bookmarkStart w:id="85" w:name="_Toc129703134"/>
      <w:r>
        <w:rPr>
          <w:lang w:eastAsia="en-AU"/>
        </w:rPr>
        <w:t>Risk management plan</w:t>
      </w:r>
      <w:bookmarkEnd w:id="83"/>
      <w:bookmarkEnd w:id="84"/>
      <w:bookmarkEnd w:id="85"/>
    </w:p>
    <w:p w14:paraId="495F3162" w14:textId="0D015503" w:rsidR="00456BA2" w:rsidRPr="00456BA2" w:rsidRDefault="00456BA2" w:rsidP="00456BA2">
      <w:bookmarkStart w:id="86" w:name="_Toc247691531"/>
      <w:bookmarkStart w:id="87" w:name="_Toc314842515"/>
      <w:r w:rsidRPr="00456BA2">
        <w:t xml:space="preserve">The sponsor has applied to extend the indications of human papillomavirus 9-valent vaccine (Gardasil) to include the prevention of oropharyngeal and other head and neck cancers and also increase the use in males age from 9 to 26 years, to 9 to 45 years through the provisional approval pathway (determination granted 7 January 2021). Gardasil is currently indicated in females aged 9 to 45 years for the prevention of cervical, vulvar, vaginal and anal cancer, </w:t>
      </w:r>
      <w:r w:rsidRPr="00456BA2">
        <w:lastRenderedPageBreak/>
        <w:t>precancerous or dysplastic lesions, genital warts, and infection caused by HPV types 6, 11, 16, 18, 31, 33, 45, 52 and 58. Gardasil is also currently indicated for males aged 9 to 26 years for the prevention of anal cancer, precancerous or dysplastic lesions, external genital lesions and infection caused by HPV types 6, 11, 16, 18, 31, 33, 45, 52 and 58.</w:t>
      </w:r>
    </w:p>
    <w:p w14:paraId="63F66067" w14:textId="179D54CB" w:rsidR="00456BA2" w:rsidRPr="00456BA2" w:rsidRDefault="00456BA2" w:rsidP="00456BA2">
      <w:r w:rsidRPr="00456BA2">
        <w:t>The most recently evaluated EU-</w:t>
      </w:r>
      <w:r>
        <w:t>risk management plan (</w:t>
      </w:r>
      <w:r w:rsidRPr="00456BA2">
        <w:t>RMP</w:t>
      </w:r>
      <w:r>
        <w:t>)</w:t>
      </w:r>
      <w:r w:rsidRPr="00456BA2">
        <w:t xml:space="preserve"> was version 2.0 (1 December 2015; </w:t>
      </w:r>
      <w:r>
        <w:t>data lock point (</w:t>
      </w:r>
      <w:r w:rsidRPr="00456BA2">
        <w:t>DLP</w:t>
      </w:r>
      <w:r>
        <w:t>)</w:t>
      </w:r>
      <w:r w:rsidRPr="00456BA2">
        <w:t xml:space="preserve"> 20 September 2015) and </w:t>
      </w:r>
      <w:r>
        <w:t>Australia specific annex (</w:t>
      </w:r>
      <w:r w:rsidRPr="00456BA2">
        <w:t>ASA</w:t>
      </w:r>
      <w:r>
        <w:t>)</w:t>
      </w:r>
      <w:r w:rsidRPr="00456BA2">
        <w:t xml:space="preserve"> version 1.2 (October 2016). In support of the extended indications, the sponsor has submitted EU-RMP version 4.1 (3 June 2019; DLP 25 February 2019) and ASA version 2.0 (14 April 2021).</w:t>
      </w:r>
    </w:p>
    <w:p w14:paraId="5560DB63" w14:textId="03677861" w:rsidR="00456BA2" w:rsidRPr="00456BA2" w:rsidRDefault="00456BA2" w:rsidP="00456BA2">
      <w:r w:rsidRPr="00456BA2">
        <w:t>With the response</w:t>
      </w:r>
      <w:r w:rsidR="00D72DDC">
        <w:t xml:space="preserve"> to TGA questions</w:t>
      </w:r>
      <w:r w:rsidRPr="00456BA2">
        <w:t>, the sponsor submitted ASA version 2.1 (dated 22 March 2022) and approved EU</w:t>
      </w:r>
      <w:r w:rsidR="00D72DDC">
        <w:t>-</w:t>
      </w:r>
      <w:r w:rsidRPr="00456BA2">
        <w:t>RMP version 4.2 (dated 31 August 2021; DLP 9 June 2021) to support this application.</w:t>
      </w:r>
    </w:p>
    <w:p w14:paraId="39F3CD1D" w14:textId="18857635"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3B149C" w:rsidRPr="003B149C">
        <w:rPr>
          <w:szCs w:val="22"/>
        </w:rPr>
        <w:t xml:space="preserve">Table </w:t>
      </w:r>
      <w:r w:rsidR="003B149C" w:rsidRPr="003B149C">
        <w:rPr>
          <w:noProof/>
          <w:szCs w:val="22"/>
        </w:rPr>
        <w:t>3</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r w:rsidR="005C10C9" w:rsidRPr="00BD5DBD">
        <w:rPr>
          <w:szCs w:val="22"/>
        </w:rPr>
        <w:t>life cycle</w:t>
      </w:r>
      <w:r w:rsidR="0072003B" w:rsidRPr="00BD5DBD">
        <w:rPr>
          <w:szCs w:val="22"/>
        </w:rPr>
        <w:t>, during both the pre-approval and post-approval phases.</w:t>
      </w:r>
    </w:p>
    <w:p w14:paraId="0632C932" w14:textId="5C98C32E" w:rsidR="00C22214" w:rsidRDefault="00C22214" w:rsidP="00D72DDC">
      <w:pPr>
        <w:pStyle w:val="TableTitle"/>
      </w:pPr>
      <w:bookmarkStart w:id="88" w:name="_Ref97629131"/>
      <w:r>
        <w:t xml:space="preserve">Table </w:t>
      </w:r>
      <w:r w:rsidR="005C10C9">
        <w:fldChar w:fldCharType="begin"/>
      </w:r>
      <w:r w:rsidR="005C10C9">
        <w:instrText xml:space="preserve"> SEQ Table \* ARABIC </w:instrText>
      </w:r>
      <w:r w:rsidR="005C10C9">
        <w:fldChar w:fldCharType="separate"/>
      </w:r>
      <w:r w:rsidR="00193AA8">
        <w:rPr>
          <w:noProof/>
        </w:rPr>
        <w:t>19</w:t>
      </w:r>
      <w:r w:rsidR="005C10C9">
        <w:rPr>
          <w:noProof/>
        </w:rPr>
        <w:fldChar w:fldCharType="end"/>
      </w:r>
      <w:bookmarkEnd w:id="88"/>
      <w:r>
        <w:t>: Summary of safety concerns</w:t>
      </w:r>
      <w:r w:rsidR="006351D9">
        <w:t xml:space="preserve"> </w:t>
      </w:r>
    </w:p>
    <w:tbl>
      <w:tblPr>
        <w:tblStyle w:val="TableTGAblue2023"/>
        <w:tblW w:w="9067" w:type="dxa"/>
        <w:tblLayout w:type="fixed"/>
        <w:tblLook w:val="04A0" w:firstRow="1" w:lastRow="0" w:firstColumn="1" w:lastColumn="0" w:noHBand="0" w:noVBand="1"/>
      </w:tblPr>
      <w:tblGrid>
        <w:gridCol w:w="1327"/>
        <w:gridCol w:w="3063"/>
        <w:gridCol w:w="1134"/>
        <w:gridCol w:w="1275"/>
        <w:gridCol w:w="993"/>
        <w:gridCol w:w="1275"/>
      </w:tblGrid>
      <w:tr w:rsidR="00D72DDC" w:rsidRPr="00BF52F4" w14:paraId="2305F435" w14:textId="77777777" w:rsidTr="00D72DDC">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tcPr>
          <w:p w14:paraId="5568F29E" w14:textId="77777777" w:rsidR="00D72DDC" w:rsidRPr="00BF52F4" w:rsidRDefault="00D72DDC" w:rsidP="00781A1F">
            <w:pPr>
              <w:pStyle w:val="Tabletext0"/>
              <w:rPr>
                <w:b w:val="0"/>
                <w:kern w:val="0"/>
              </w:rPr>
            </w:pPr>
            <w:r w:rsidRPr="00BF52F4">
              <w:rPr>
                <w:kern w:val="0"/>
              </w:rPr>
              <w:t>Summary of safety concerns</w:t>
            </w:r>
          </w:p>
        </w:tc>
        <w:tc>
          <w:tcPr>
            <w:tcW w:w="2409" w:type="dxa"/>
            <w:gridSpan w:val="2"/>
          </w:tcPr>
          <w:p w14:paraId="36308D09" w14:textId="77777777" w:rsidR="00D72DDC" w:rsidRPr="00BF52F4" w:rsidRDefault="00D72DDC" w:rsidP="00781A1F">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2268" w:type="dxa"/>
            <w:gridSpan w:val="2"/>
          </w:tcPr>
          <w:p w14:paraId="7F9F72D9" w14:textId="77777777" w:rsidR="00D72DDC" w:rsidRPr="00BF52F4" w:rsidRDefault="00D72DDC" w:rsidP="00781A1F">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D72DDC" w:rsidRPr="00BF52F4" w14:paraId="602CC48B" w14:textId="77777777" w:rsidTr="00D72DDC">
        <w:trPr>
          <w:trHeight w:val="150"/>
        </w:trPr>
        <w:tc>
          <w:tcPr>
            <w:cnfStyle w:val="001000000000" w:firstRow="0" w:lastRow="0" w:firstColumn="1" w:lastColumn="0" w:oddVBand="0" w:evenVBand="0" w:oddHBand="0" w:evenHBand="0" w:firstRowFirstColumn="0" w:firstRowLastColumn="0" w:lastRowFirstColumn="0" w:lastRowLastColumn="0"/>
            <w:tcW w:w="4390" w:type="dxa"/>
            <w:gridSpan w:val="2"/>
            <w:vMerge/>
          </w:tcPr>
          <w:p w14:paraId="36765505" w14:textId="77777777" w:rsidR="00D72DDC" w:rsidRPr="00BF52F4" w:rsidRDefault="00D72DDC" w:rsidP="00781A1F">
            <w:pPr>
              <w:pStyle w:val="Tabletext0"/>
              <w:rPr>
                <w:b/>
                <w:kern w:val="0"/>
              </w:rPr>
            </w:pPr>
          </w:p>
        </w:tc>
        <w:tc>
          <w:tcPr>
            <w:tcW w:w="1134" w:type="dxa"/>
          </w:tcPr>
          <w:p w14:paraId="74A86A65" w14:textId="77777777" w:rsidR="00D72DDC" w:rsidRPr="00BF52F4" w:rsidRDefault="00D72DDC" w:rsidP="00781A1F">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1275" w:type="dxa"/>
          </w:tcPr>
          <w:p w14:paraId="7C068CC3" w14:textId="77777777" w:rsidR="00D72DDC" w:rsidRPr="00BF52F4" w:rsidRDefault="00D72DDC" w:rsidP="00781A1F">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993" w:type="dxa"/>
          </w:tcPr>
          <w:p w14:paraId="22532095" w14:textId="77777777" w:rsidR="00D72DDC" w:rsidRPr="00BF52F4" w:rsidRDefault="00D72DDC" w:rsidP="00781A1F">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1275" w:type="dxa"/>
          </w:tcPr>
          <w:p w14:paraId="6A15C4D3" w14:textId="77777777" w:rsidR="00D72DDC" w:rsidRPr="00BF52F4" w:rsidRDefault="00D72DDC" w:rsidP="00781A1F">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D72DDC" w:rsidRPr="00BF52F4" w14:paraId="127D0A10" w14:textId="77777777" w:rsidTr="00D72DDC">
        <w:trPr>
          <w:trHeight w:val="137"/>
        </w:trPr>
        <w:tc>
          <w:tcPr>
            <w:cnfStyle w:val="001000000000" w:firstRow="0" w:lastRow="0" w:firstColumn="1" w:lastColumn="0" w:oddVBand="0" w:evenVBand="0" w:oddHBand="0" w:evenHBand="0" w:firstRowFirstColumn="0" w:firstRowLastColumn="0" w:lastRowFirstColumn="0" w:lastRowLastColumn="0"/>
            <w:tcW w:w="1327" w:type="dxa"/>
          </w:tcPr>
          <w:p w14:paraId="307CE5EF" w14:textId="77777777" w:rsidR="00D72DDC" w:rsidRPr="00BF52F4" w:rsidRDefault="00D72DDC" w:rsidP="00D72DDC">
            <w:pPr>
              <w:pStyle w:val="Tabletext0"/>
              <w:ind w:left="0"/>
              <w:rPr>
                <w:b/>
                <w:kern w:val="0"/>
              </w:rPr>
            </w:pPr>
            <w:r w:rsidRPr="00BF52F4">
              <w:rPr>
                <w:b/>
                <w:kern w:val="0"/>
              </w:rPr>
              <w:t>Important identified risks</w:t>
            </w:r>
          </w:p>
        </w:tc>
        <w:tc>
          <w:tcPr>
            <w:tcW w:w="3063" w:type="dxa"/>
          </w:tcPr>
          <w:p w14:paraId="428DC8B5" w14:textId="77777777" w:rsidR="00D72DDC" w:rsidRPr="008F45FB" w:rsidRDefault="00D72DDC" w:rsidP="00781A1F">
            <w:pPr>
              <w:pStyle w:val="Tabletext0"/>
              <w:cnfStyle w:val="000000000000" w:firstRow="0" w:lastRow="0" w:firstColumn="0" w:lastColumn="0" w:oddVBand="0" w:evenVBand="0" w:oddHBand="0" w:evenHBand="0" w:firstRowFirstColumn="0" w:firstRowLastColumn="0" w:lastRowFirstColumn="0" w:lastRowLastColumn="0"/>
              <w:rPr>
                <w:kern w:val="0"/>
              </w:rPr>
            </w:pPr>
            <w:r w:rsidRPr="008F45FB">
              <w:rPr>
                <w:kern w:val="0"/>
              </w:rPr>
              <w:t>None</w:t>
            </w:r>
          </w:p>
        </w:tc>
        <w:tc>
          <w:tcPr>
            <w:tcW w:w="1134" w:type="dxa"/>
          </w:tcPr>
          <w:p w14:paraId="54599B26" w14:textId="77777777" w:rsidR="00D72DDC" w:rsidRPr="00BF52F4"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8F45FB">
              <w:rPr>
                <w:kern w:val="0"/>
              </w:rPr>
              <w:t>–</w:t>
            </w:r>
          </w:p>
        </w:tc>
        <w:tc>
          <w:tcPr>
            <w:tcW w:w="1275" w:type="dxa"/>
          </w:tcPr>
          <w:p w14:paraId="0CA1E104" w14:textId="77777777" w:rsidR="00D72DDC" w:rsidRPr="00BF52F4"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8F45FB">
              <w:rPr>
                <w:kern w:val="0"/>
              </w:rPr>
              <w:t>–</w:t>
            </w:r>
          </w:p>
        </w:tc>
        <w:tc>
          <w:tcPr>
            <w:tcW w:w="993" w:type="dxa"/>
          </w:tcPr>
          <w:p w14:paraId="3942129F" w14:textId="77777777" w:rsidR="00D72DDC" w:rsidRPr="00BF52F4"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8F45FB">
              <w:rPr>
                <w:kern w:val="0"/>
              </w:rPr>
              <w:t>–</w:t>
            </w:r>
          </w:p>
        </w:tc>
        <w:tc>
          <w:tcPr>
            <w:tcW w:w="1275" w:type="dxa"/>
          </w:tcPr>
          <w:p w14:paraId="36D13222" w14:textId="77777777" w:rsidR="00D72DDC" w:rsidRPr="00BF52F4"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8F45FB">
              <w:rPr>
                <w:kern w:val="0"/>
              </w:rPr>
              <w:t>–</w:t>
            </w:r>
          </w:p>
        </w:tc>
      </w:tr>
      <w:tr w:rsidR="00D72DDC" w:rsidRPr="00BF52F4" w14:paraId="7D2DD0EF" w14:textId="77777777" w:rsidTr="00D72DDC">
        <w:trPr>
          <w:trHeight w:val="159"/>
        </w:trPr>
        <w:tc>
          <w:tcPr>
            <w:cnfStyle w:val="001000000000" w:firstRow="0" w:lastRow="0" w:firstColumn="1" w:lastColumn="0" w:oddVBand="0" w:evenVBand="0" w:oddHBand="0" w:evenHBand="0" w:firstRowFirstColumn="0" w:firstRowLastColumn="0" w:lastRowFirstColumn="0" w:lastRowLastColumn="0"/>
            <w:tcW w:w="1327" w:type="dxa"/>
          </w:tcPr>
          <w:p w14:paraId="61F7B4C5" w14:textId="77777777" w:rsidR="00D72DDC" w:rsidRPr="00BF52F4" w:rsidRDefault="00D72DDC" w:rsidP="00D72DDC">
            <w:pPr>
              <w:pStyle w:val="Tabletext0"/>
              <w:ind w:left="0"/>
              <w:rPr>
                <w:b/>
                <w:kern w:val="0"/>
              </w:rPr>
            </w:pPr>
            <w:r w:rsidRPr="00BF52F4">
              <w:rPr>
                <w:b/>
                <w:kern w:val="0"/>
              </w:rPr>
              <w:t>Important potential risks</w:t>
            </w:r>
          </w:p>
        </w:tc>
        <w:tc>
          <w:tcPr>
            <w:tcW w:w="3063" w:type="dxa"/>
          </w:tcPr>
          <w:p w14:paraId="76DEC2CE" w14:textId="77777777" w:rsidR="00D72DDC" w:rsidRPr="008F45FB" w:rsidRDefault="00D72DDC" w:rsidP="00781A1F">
            <w:pPr>
              <w:pStyle w:val="Tabletext0"/>
              <w:cnfStyle w:val="000000000000" w:firstRow="0" w:lastRow="0" w:firstColumn="0" w:lastColumn="0" w:oddVBand="0" w:evenVBand="0" w:oddHBand="0" w:evenHBand="0" w:firstRowFirstColumn="0" w:firstRowLastColumn="0" w:lastRowFirstColumn="0" w:lastRowLastColumn="0"/>
              <w:rPr>
                <w:kern w:val="0"/>
              </w:rPr>
            </w:pPr>
            <w:r w:rsidRPr="008F45FB">
              <w:rPr>
                <w:kern w:val="0"/>
              </w:rPr>
              <w:t>None</w:t>
            </w:r>
          </w:p>
        </w:tc>
        <w:tc>
          <w:tcPr>
            <w:tcW w:w="1134" w:type="dxa"/>
          </w:tcPr>
          <w:p w14:paraId="5AE43F7D" w14:textId="77777777" w:rsidR="00D72DDC" w:rsidRPr="00BF52F4"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8F45FB">
              <w:rPr>
                <w:kern w:val="0"/>
              </w:rPr>
              <w:t>–</w:t>
            </w:r>
          </w:p>
        </w:tc>
        <w:tc>
          <w:tcPr>
            <w:tcW w:w="1275" w:type="dxa"/>
          </w:tcPr>
          <w:p w14:paraId="0164728F" w14:textId="77777777" w:rsidR="00D72DDC" w:rsidRPr="00BF52F4"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8F45FB">
              <w:rPr>
                <w:kern w:val="0"/>
              </w:rPr>
              <w:t>–</w:t>
            </w:r>
          </w:p>
        </w:tc>
        <w:tc>
          <w:tcPr>
            <w:tcW w:w="993" w:type="dxa"/>
          </w:tcPr>
          <w:p w14:paraId="058B8AC1" w14:textId="77777777" w:rsidR="00D72DDC" w:rsidRPr="00BF52F4"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8F45FB">
              <w:rPr>
                <w:kern w:val="0"/>
              </w:rPr>
              <w:t>–</w:t>
            </w:r>
          </w:p>
        </w:tc>
        <w:tc>
          <w:tcPr>
            <w:tcW w:w="1275" w:type="dxa"/>
          </w:tcPr>
          <w:p w14:paraId="5556C76F" w14:textId="77777777" w:rsidR="00D72DDC" w:rsidRPr="00BF52F4"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8F45FB">
              <w:rPr>
                <w:kern w:val="0"/>
              </w:rPr>
              <w:t>–</w:t>
            </w:r>
          </w:p>
        </w:tc>
      </w:tr>
      <w:tr w:rsidR="00D72DDC" w:rsidRPr="00BF52F4" w14:paraId="63D0E489" w14:textId="77777777" w:rsidTr="00D72DDC">
        <w:trPr>
          <w:trHeight w:val="178"/>
        </w:trPr>
        <w:tc>
          <w:tcPr>
            <w:cnfStyle w:val="001000000000" w:firstRow="0" w:lastRow="0" w:firstColumn="1" w:lastColumn="0" w:oddVBand="0" w:evenVBand="0" w:oddHBand="0" w:evenHBand="0" w:firstRowFirstColumn="0" w:firstRowLastColumn="0" w:lastRowFirstColumn="0" w:lastRowLastColumn="0"/>
            <w:tcW w:w="1327" w:type="dxa"/>
            <w:vMerge w:val="restart"/>
          </w:tcPr>
          <w:p w14:paraId="61B55915" w14:textId="77777777" w:rsidR="00D72DDC" w:rsidRPr="00BF52F4" w:rsidRDefault="00D72DDC" w:rsidP="00D72DDC">
            <w:pPr>
              <w:pStyle w:val="Tabletext0"/>
              <w:ind w:left="0"/>
              <w:rPr>
                <w:b/>
                <w:kern w:val="0"/>
              </w:rPr>
            </w:pPr>
            <w:r w:rsidRPr="00BF52F4">
              <w:rPr>
                <w:b/>
                <w:kern w:val="0"/>
              </w:rPr>
              <w:t>Missing information</w:t>
            </w:r>
          </w:p>
        </w:tc>
        <w:tc>
          <w:tcPr>
            <w:tcW w:w="3063" w:type="dxa"/>
          </w:tcPr>
          <w:p w14:paraId="05276901" w14:textId="77777777" w:rsidR="00D72DDC" w:rsidRPr="008F45FB" w:rsidRDefault="00D72DDC" w:rsidP="00781A1F">
            <w:pPr>
              <w:pStyle w:val="Tabletext0"/>
              <w:cnfStyle w:val="000000000000" w:firstRow="0" w:lastRow="0" w:firstColumn="0" w:lastColumn="0" w:oddVBand="0" w:evenVBand="0" w:oddHBand="0" w:evenHBand="0" w:firstRowFirstColumn="0" w:firstRowLastColumn="0" w:lastRowFirstColumn="0" w:lastRowLastColumn="0"/>
              <w:rPr>
                <w:kern w:val="0"/>
              </w:rPr>
            </w:pPr>
            <w:r w:rsidRPr="008F45FB">
              <w:rPr>
                <w:kern w:val="0"/>
              </w:rPr>
              <w:t>Long term effectiveness and immunogenicity</w:t>
            </w:r>
          </w:p>
        </w:tc>
        <w:tc>
          <w:tcPr>
            <w:tcW w:w="1134" w:type="dxa"/>
          </w:tcPr>
          <w:p w14:paraId="53F3EDD4" w14:textId="77777777" w:rsidR="00D72DDC" w:rsidRPr="008F45FB"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8F45FB">
              <w:rPr>
                <w:rFonts w:eastAsia="Cambria"/>
                <w:kern w:val="0"/>
              </w:rPr>
              <w:sym w:font="Wingdings" w:char="F0FC"/>
            </w:r>
          </w:p>
        </w:tc>
        <w:tc>
          <w:tcPr>
            <w:tcW w:w="1275" w:type="dxa"/>
          </w:tcPr>
          <w:p w14:paraId="4FF7CD22" w14:textId="77777777" w:rsidR="00D72DDC" w:rsidRPr="008F45FB"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8F45FB">
              <w:rPr>
                <w:rFonts w:eastAsia="Cambria"/>
                <w:kern w:val="0"/>
              </w:rPr>
              <w:sym w:font="Wingdings" w:char="F0FC"/>
            </w:r>
            <w:r>
              <w:rPr>
                <w:rFonts w:eastAsia="Cambria"/>
                <w:kern w:val="0"/>
              </w:rPr>
              <w:t>*</w:t>
            </w:r>
          </w:p>
        </w:tc>
        <w:tc>
          <w:tcPr>
            <w:tcW w:w="993" w:type="dxa"/>
          </w:tcPr>
          <w:p w14:paraId="70857980" w14:textId="77777777" w:rsidR="00D72DDC" w:rsidRPr="008F45FB"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8F45FB">
              <w:rPr>
                <w:rFonts w:eastAsia="Cambria"/>
                <w:kern w:val="0"/>
              </w:rPr>
              <w:sym w:font="Wingdings" w:char="F0FC"/>
            </w:r>
          </w:p>
        </w:tc>
        <w:tc>
          <w:tcPr>
            <w:tcW w:w="1275" w:type="dxa"/>
          </w:tcPr>
          <w:p w14:paraId="4B930FC5" w14:textId="77777777" w:rsidR="00D72DDC" w:rsidRPr="008F45FB"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8F45FB">
              <w:rPr>
                <w:kern w:val="0"/>
              </w:rPr>
              <w:t>–</w:t>
            </w:r>
          </w:p>
        </w:tc>
      </w:tr>
      <w:tr w:rsidR="00D72DDC" w:rsidRPr="00BF52F4" w14:paraId="4BD0FF67" w14:textId="77777777" w:rsidTr="00D72DDC">
        <w:trPr>
          <w:trHeight w:val="140"/>
        </w:trPr>
        <w:tc>
          <w:tcPr>
            <w:cnfStyle w:val="001000000000" w:firstRow="0" w:lastRow="0" w:firstColumn="1" w:lastColumn="0" w:oddVBand="0" w:evenVBand="0" w:oddHBand="0" w:evenHBand="0" w:firstRowFirstColumn="0" w:firstRowLastColumn="0" w:lastRowFirstColumn="0" w:lastRowLastColumn="0"/>
            <w:tcW w:w="1327" w:type="dxa"/>
            <w:vMerge/>
          </w:tcPr>
          <w:p w14:paraId="5FDC5228" w14:textId="77777777" w:rsidR="00D72DDC" w:rsidRPr="00BF52F4" w:rsidRDefault="00D72DDC" w:rsidP="00781A1F">
            <w:pPr>
              <w:pStyle w:val="Tabletext0"/>
              <w:rPr>
                <w:kern w:val="0"/>
              </w:rPr>
            </w:pPr>
          </w:p>
        </w:tc>
        <w:tc>
          <w:tcPr>
            <w:tcW w:w="3063" w:type="dxa"/>
          </w:tcPr>
          <w:p w14:paraId="2248A213" w14:textId="77777777" w:rsidR="00D72DDC" w:rsidRPr="008F45FB" w:rsidRDefault="00D72DDC" w:rsidP="00781A1F">
            <w:pPr>
              <w:pStyle w:val="Tabletext0"/>
              <w:cnfStyle w:val="000000000000" w:firstRow="0" w:lastRow="0" w:firstColumn="0" w:lastColumn="0" w:oddVBand="0" w:evenVBand="0" w:oddHBand="0" w:evenHBand="0" w:firstRowFirstColumn="0" w:firstRowLastColumn="0" w:lastRowFirstColumn="0" w:lastRowLastColumn="0"/>
              <w:rPr>
                <w:kern w:val="0"/>
              </w:rPr>
            </w:pPr>
            <w:r w:rsidRPr="008F45FB">
              <w:rPr>
                <w:kern w:val="0"/>
              </w:rPr>
              <w:t>Exposure during pregnancy</w:t>
            </w:r>
          </w:p>
        </w:tc>
        <w:tc>
          <w:tcPr>
            <w:tcW w:w="1134" w:type="dxa"/>
          </w:tcPr>
          <w:p w14:paraId="577E68B3" w14:textId="77777777" w:rsidR="00D72DDC" w:rsidRPr="008F45FB"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8F45FB">
              <w:rPr>
                <w:rFonts w:eastAsia="Cambria"/>
                <w:kern w:val="0"/>
              </w:rPr>
              <w:sym w:font="Wingdings" w:char="F0FC"/>
            </w:r>
          </w:p>
        </w:tc>
        <w:tc>
          <w:tcPr>
            <w:tcW w:w="1275" w:type="dxa"/>
          </w:tcPr>
          <w:p w14:paraId="278384E7" w14:textId="77777777" w:rsidR="00D72DDC" w:rsidRPr="008F45FB"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8F45FB">
              <w:rPr>
                <w:rFonts w:eastAsia="Cambria"/>
                <w:kern w:val="0"/>
              </w:rPr>
              <w:sym w:font="Wingdings" w:char="F0FC"/>
            </w:r>
            <w:r>
              <w:rPr>
                <w:rFonts w:asciiTheme="majorHAnsi" w:hAnsiTheme="majorHAnsi"/>
                <w:kern w:val="0"/>
                <w:szCs w:val="20"/>
                <w:vertAlign w:val="superscript"/>
              </w:rPr>
              <w:t xml:space="preserve"> </w:t>
            </w:r>
            <w:r w:rsidRPr="000A5085">
              <w:rPr>
                <w:rFonts w:asciiTheme="majorHAnsi" w:hAnsiTheme="majorHAnsi"/>
                <w:kern w:val="0"/>
                <w:szCs w:val="20"/>
                <w:vertAlign w:val="superscript"/>
              </w:rPr>
              <w:t>‡</w:t>
            </w:r>
          </w:p>
        </w:tc>
        <w:tc>
          <w:tcPr>
            <w:tcW w:w="993" w:type="dxa"/>
          </w:tcPr>
          <w:p w14:paraId="7B8E5EA4" w14:textId="77777777" w:rsidR="00D72DDC" w:rsidRPr="008F45FB"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8F45FB">
              <w:rPr>
                <w:rFonts w:eastAsia="Cambria"/>
                <w:kern w:val="0"/>
              </w:rPr>
              <w:sym w:font="Wingdings" w:char="F0FC"/>
            </w:r>
          </w:p>
        </w:tc>
        <w:tc>
          <w:tcPr>
            <w:tcW w:w="1275" w:type="dxa"/>
          </w:tcPr>
          <w:p w14:paraId="1FD1B9C8" w14:textId="77777777" w:rsidR="00D72DDC" w:rsidRPr="008F45FB" w:rsidRDefault="00D72DDC" w:rsidP="00781A1F">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8F45FB">
              <w:rPr>
                <w:kern w:val="0"/>
              </w:rPr>
              <w:t>–</w:t>
            </w:r>
          </w:p>
        </w:tc>
      </w:tr>
    </w:tbl>
    <w:p w14:paraId="7E4DD4B5" w14:textId="2F531A19" w:rsidR="00D72DDC" w:rsidRPr="00D72DDC" w:rsidRDefault="00D72DDC" w:rsidP="00D72DDC">
      <w:pPr>
        <w:spacing w:before="120"/>
      </w:pPr>
      <w:r w:rsidRPr="00D72DDC">
        <w:t>The safety concerns in the approved EU-RMP (version 4.2) align with the ASA (version 2.1). The clinical evaluator did not identify any additional safety concerns. Therefore, the safety concerns are satisfactory.</w:t>
      </w:r>
    </w:p>
    <w:p w14:paraId="0AE63112" w14:textId="0F507FF6" w:rsidR="00D72DDC" w:rsidRPr="00D72DDC" w:rsidRDefault="00D72DDC" w:rsidP="00D72DDC">
      <w:r w:rsidRPr="00D72DDC">
        <w:t>The sponsor has proposed both routine and additional pharmacovigilance activities. Additional pharmacovigilance activities include US Pregnancy register (now closed), and Study V503-021 and Study V503-002-20 which will provide information regarding long term effectiveness and immunogenicity. The pharmacovigilance plan is acceptable. However, Table 2 and 4 of the ASA need to be aligned.</w:t>
      </w:r>
    </w:p>
    <w:p w14:paraId="19486572" w14:textId="1FC2BC96" w:rsidR="00D72DDC" w:rsidRDefault="00D72DDC" w:rsidP="00D72DDC">
      <w:r w:rsidRPr="00D72DDC">
        <w:t>The sponsor has proposed routine risk minimisation activities only which is acceptable. Amendments to the PI and CMI are anticipated after negotiations with the Delegate relating to the provisional wording in the PI and CMI.</w:t>
      </w:r>
    </w:p>
    <w:p w14:paraId="33D4495A" w14:textId="77777777" w:rsidR="00D72DDC" w:rsidRPr="006E5A38" w:rsidRDefault="00D72DDC" w:rsidP="00D72DDC">
      <w:pPr>
        <w:pStyle w:val="Heading4"/>
      </w:pPr>
      <w:r w:rsidRPr="00AA53F4">
        <w:t>Recommended condition/s of registration</w:t>
      </w:r>
      <w:bookmarkStart w:id="89" w:name="_Hlk107580365"/>
    </w:p>
    <w:p w14:paraId="720ED7A3" w14:textId="77777777" w:rsidR="00D72DDC" w:rsidRPr="00D72DDC" w:rsidRDefault="00D72DDC" w:rsidP="00D72DDC">
      <w:r w:rsidRPr="00D72DDC">
        <w:t xml:space="preserve">Any changes to which the sponsor has agreed should be included in a revised RMP and ASA. However, irrespective of whether or not they are included in the currently available version of the RMP document, the agreed changes become part of the risk management system. </w:t>
      </w:r>
    </w:p>
    <w:p w14:paraId="3E736F2B" w14:textId="043A8B40" w:rsidR="00D72DDC" w:rsidRPr="00D72DDC" w:rsidRDefault="00D72DDC" w:rsidP="00D72DDC">
      <w:r w:rsidRPr="00D72DDC">
        <w:t>The suggested wording is:</w:t>
      </w:r>
    </w:p>
    <w:p w14:paraId="6D7C8E46" w14:textId="5C9E3179" w:rsidR="00D72DDC" w:rsidRPr="00D72DDC" w:rsidRDefault="00D72DDC" w:rsidP="00D72DDC">
      <w:pPr>
        <w:ind w:left="720"/>
      </w:pPr>
      <w:r w:rsidRPr="00D72DDC">
        <w:t xml:space="preserve">The </w:t>
      </w:r>
      <w:r w:rsidR="00797C44" w:rsidRPr="00D72DDC">
        <w:t>G</w:t>
      </w:r>
      <w:r w:rsidR="00797C44">
        <w:t>ardasil</w:t>
      </w:r>
      <w:r w:rsidR="00797C44" w:rsidRPr="00D72DDC">
        <w:t xml:space="preserve"> </w:t>
      </w:r>
      <w:r w:rsidRPr="00D72DDC">
        <w:t xml:space="preserve">EU-Risk Management Plan (RMP) (version 4.2, dated 31 Aug 2021, data lock point 9 June 2021), with Australia </w:t>
      </w:r>
      <w:r w:rsidR="00E01C94">
        <w:t>s</w:t>
      </w:r>
      <w:r w:rsidRPr="00D72DDC">
        <w:t xml:space="preserve">pecific </w:t>
      </w:r>
      <w:r w:rsidR="00E01C94">
        <w:t>a</w:t>
      </w:r>
      <w:r w:rsidRPr="00D72DDC">
        <w:t xml:space="preserve">nnex (version 2.1, dated 22 March </w:t>
      </w:r>
      <w:r w:rsidRPr="00D72DDC">
        <w:lastRenderedPageBreak/>
        <w:t>2022), included with submission PM-2021-01645-1-2, and any subsequent revisions, as agreed with the TGA will be implemented in Australia.</w:t>
      </w:r>
    </w:p>
    <w:p w14:paraId="5E6B0279" w14:textId="77777777" w:rsidR="00D72DDC" w:rsidRPr="00D72DDC" w:rsidRDefault="00D72DDC" w:rsidP="00D72DDC">
      <w:r w:rsidRPr="00D72DDC">
        <w:t>The following wording is recommended for the PSUR requirement:</w:t>
      </w:r>
    </w:p>
    <w:p w14:paraId="4A4ABD4A" w14:textId="64E1AF2C" w:rsidR="00D72DDC" w:rsidRPr="00057AFC" w:rsidRDefault="00D72DDC" w:rsidP="00D72DDC">
      <w:pPr>
        <w:ind w:left="720"/>
      </w:pPr>
      <w:r w:rsidRPr="00057AFC">
        <w:t>An obligatory component of risk management plans is routine pharmacovigilance. Routine pharmacovigilance includes the submission of periodic safety update reports (PSURs).</w:t>
      </w:r>
    </w:p>
    <w:p w14:paraId="304C97DA" w14:textId="410A0DF7" w:rsidR="00D72DDC" w:rsidRPr="00057AFC" w:rsidRDefault="00D72DDC" w:rsidP="00D72DDC">
      <w:pPr>
        <w:ind w:left="720"/>
      </w:pPr>
      <w:r w:rsidRPr="00057AFC">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w:t>
      </w:r>
      <w:r>
        <w:t>e</w:t>
      </w:r>
      <w:r w:rsidRPr="00057AFC">
        <w:t xml:space="preserve"> approval letter, or the entire period of provisional registration, whichever is longer.</w:t>
      </w:r>
    </w:p>
    <w:p w14:paraId="056A431E" w14:textId="77777777" w:rsidR="00D72DDC" w:rsidRDefault="00D72DDC" w:rsidP="00D72DDC">
      <w:pPr>
        <w:ind w:left="720"/>
      </w:pPr>
      <w:r w:rsidRPr="00057AFC">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89D7CDC" w14:textId="2E190991" w:rsidR="00D72DDC" w:rsidRPr="00D72DDC" w:rsidRDefault="00D72DDC" w:rsidP="00D72DDC">
      <w:r w:rsidRPr="00D72DDC">
        <w:t>As G</w:t>
      </w:r>
      <w:r>
        <w:t>ardasil</w:t>
      </w:r>
      <w:r w:rsidRPr="00D72DDC">
        <w:t xml:space="preserve"> is being considered for a provisional registration it should be included in the Black Triangle Scheme as a condition of registration. The following wording is recommended for the condition of registration:</w:t>
      </w:r>
    </w:p>
    <w:p w14:paraId="2CCBEF25" w14:textId="1268132C" w:rsidR="00D72DDC" w:rsidRPr="00D72DDC" w:rsidRDefault="00D72DDC" w:rsidP="00D72DDC">
      <w:pPr>
        <w:ind w:left="720"/>
      </w:pPr>
      <w:r w:rsidRPr="00D72DDC">
        <w:t>G</w:t>
      </w:r>
      <w:r>
        <w:t>ardasil</w:t>
      </w:r>
      <w:r w:rsidRPr="00D72DDC">
        <w:t xml:space="preserve"> (Human Papillomavirus 9-valent vaccine) is to be included in the Black Triangle Scheme. The PI and </w:t>
      </w:r>
      <w:r w:rsidR="00E01C94">
        <w:t>Consumer Medicines Information (</w:t>
      </w:r>
      <w:r w:rsidRPr="00D72DDC">
        <w:t>CMI</w:t>
      </w:r>
      <w:r w:rsidR="00E01C94">
        <w:t>)</w:t>
      </w:r>
      <w:r w:rsidRPr="00D72DDC">
        <w:t xml:space="preserve"> for G</w:t>
      </w:r>
      <w:r w:rsidR="00E01C94">
        <w:t>ardasil</w:t>
      </w:r>
      <w:r w:rsidRPr="00D72DDC">
        <w:t xml:space="preserve"> must include the black triangle symbol and mandatory accompanying text for the products entire period of provisional registration.</w:t>
      </w:r>
    </w:p>
    <w:p w14:paraId="26A23583" w14:textId="5F2C6ECA" w:rsidR="00D72DDC" w:rsidRPr="00D72DDC" w:rsidRDefault="00D72DDC" w:rsidP="00D72DDC">
      <w:r w:rsidRPr="00D72DDC">
        <w:t>As Gardasil is being considered for a provisional registration the following wording regarding confirmatory trial data is recommended for the condition of registration:</w:t>
      </w:r>
    </w:p>
    <w:p w14:paraId="37EB989D" w14:textId="77777777" w:rsidR="00D72DDC" w:rsidRPr="00D72DDC" w:rsidRDefault="00D72DDC" w:rsidP="00D72DDC">
      <w:pPr>
        <w:ind w:left="720"/>
      </w:pPr>
      <w:r w:rsidRPr="00D72DDC">
        <w:t>Confirmatory trial data (as identified in the sponsor’s plan to submit comprehensive clinical data on the safety and efficacy of the medicine before the end of the 6 years that would start on the day that registration would commence) must be provided.</w:t>
      </w:r>
    </w:p>
    <w:p w14:paraId="644A9773" w14:textId="2F3BAABB" w:rsidR="00D72DDC" w:rsidRPr="00D72DDC" w:rsidRDefault="00D72DDC" w:rsidP="00D72DDC">
      <w:pPr>
        <w:ind w:left="720"/>
      </w:pPr>
      <w:r w:rsidRPr="00D72DDC">
        <w:t>Specifically, the sponsor must conduct studies as described in the clinical study plan in version 2.1 (dated 22 March 2022) of the Australia</w:t>
      </w:r>
      <w:r w:rsidR="00E01C94">
        <w:t xml:space="preserve"> s</w:t>
      </w:r>
      <w:r w:rsidRPr="00D72DDC">
        <w:t xml:space="preserve">pecific </w:t>
      </w:r>
      <w:r w:rsidR="00E01C94">
        <w:t>a</w:t>
      </w:r>
      <w:r w:rsidRPr="00D72DDC">
        <w:t>nnex. The following study report should be submitted to TGA:</w:t>
      </w:r>
    </w:p>
    <w:p w14:paraId="1CA0FD82" w14:textId="2AF888D2" w:rsidR="00D72DDC" w:rsidRPr="00D72DDC" w:rsidRDefault="00D72DDC" w:rsidP="00D72DDC">
      <w:pPr>
        <w:pStyle w:val="ListBullet3"/>
      </w:pPr>
      <w:r w:rsidRPr="00D72DDC">
        <w:t xml:space="preserve">V503-049 (NCT04199689) by </w:t>
      </w:r>
      <w:r w:rsidR="00E01C94">
        <w:t>fourth quarter of</w:t>
      </w:r>
      <w:r w:rsidRPr="00D72DDC">
        <w:t xml:space="preserve"> 2026</w:t>
      </w:r>
    </w:p>
    <w:p w14:paraId="672A18D3" w14:textId="35EBBEEA" w:rsidR="00D72DDC" w:rsidRPr="00D72DDC" w:rsidRDefault="00D72DDC" w:rsidP="00D72DDC">
      <w:pPr>
        <w:ind w:left="720"/>
      </w:pPr>
      <w:r w:rsidRPr="00D72DDC">
        <w:t>Further guidance for sponsors is available on the TGA website.</w:t>
      </w:r>
      <w:bookmarkEnd w:id="89"/>
    </w:p>
    <w:p w14:paraId="74A4F87F" w14:textId="77777777" w:rsidR="00C22214" w:rsidRDefault="00C22214" w:rsidP="00C22214">
      <w:pPr>
        <w:pStyle w:val="Heading3"/>
      </w:pPr>
      <w:bookmarkStart w:id="90" w:name="_Toc103679299"/>
      <w:bookmarkStart w:id="91" w:name="_Toc129703135"/>
      <w:r>
        <w:t>Risk-benefit analysis</w:t>
      </w:r>
      <w:bookmarkEnd w:id="86"/>
      <w:bookmarkEnd w:id="87"/>
      <w:bookmarkEnd w:id="90"/>
      <w:bookmarkEnd w:id="91"/>
    </w:p>
    <w:p w14:paraId="77DE2655" w14:textId="4BB1D22F" w:rsidR="00C22214" w:rsidRDefault="00C22214" w:rsidP="00C22214">
      <w:pPr>
        <w:pStyle w:val="Heading4"/>
      </w:pPr>
      <w:bookmarkStart w:id="92" w:name="_Toc98931932"/>
      <w:bookmarkStart w:id="93" w:name="_Toc129703136"/>
      <w:r>
        <w:t>Delegate’s considerations</w:t>
      </w:r>
      <w:bookmarkEnd w:id="92"/>
      <w:bookmarkEnd w:id="93"/>
      <w:r w:rsidR="00D72DDC">
        <w:t xml:space="preserve"> and proposed action</w:t>
      </w:r>
    </w:p>
    <w:p w14:paraId="0222F4BF" w14:textId="78A5B679" w:rsidR="00D72DDC" w:rsidRDefault="00D72DDC" w:rsidP="00D72DDC">
      <w:pPr>
        <w:pStyle w:val="Heading5"/>
      </w:pPr>
      <w:r>
        <w:t xml:space="preserve">Mid </w:t>
      </w:r>
      <w:r w:rsidR="00E01C94">
        <w:t>a</w:t>
      </w:r>
      <w:r>
        <w:t xml:space="preserve">dult </w:t>
      </w:r>
      <w:r w:rsidR="00E01C94">
        <w:t>p</w:t>
      </w:r>
      <w:r>
        <w:t>erson indication for males</w:t>
      </w:r>
    </w:p>
    <w:p w14:paraId="12140660" w14:textId="6F33338B" w:rsidR="00D72DDC" w:rsidRDefault="00D72DDC" w:rsidP="00D72DDC">
      <w:r>
        <w:t>In Study V503-004, the immunogenicity of 9vHPV vaccine for 7 high-risk HPV types (16, 18, 31, 33, 45, 52, and 58) were compared between women aged 16 to 26</w:t>
      </w:r>
      <w:r w:rsidR="00E01C94">
        <w:t xml:space="preserve"> years</w:t>
      </w:r>
      <w:r>
        <w:t xml:space="preserve"> and 27 to 45</w:t>
      </w:r>
      <w:r w:rsidR="00E01C94">
        <w:t xml:space="preserve"> years</w:t>
      </w:r>
      <w:r>
        <w:t>. The primary non-inferiority endpoint was met with the GMTs ratio analysis (older v</w:t>
      </w:r>
      <w:r w:rsidR="00E01C94">
        <w:t xml:space="preserve">ersus </w:t>
      </w:r>
      <w:r>
        <w:t xml:space="preserve">younger </w:t>
      </w:r>
      <w:r>
        <w:lastRenderedPageBreak/>
        <w:t xml:space="preserve">women) fulfilling the pre-defined success criterion. The GMT ratios ranged between 0.66 and 0.81 depending on the HPV type. In addition, the anti-HPV seropositivity percentages were </w:t>
      </w:r>
      <w:r w:rsidR="00E01C94">
        <w:t xml:space="preserve">greater than </w:t>
      </w:r>
      <w:r>
        <w:t>99% for all 9 HPV types following 3 doses of 9vHPV vaccine in women aged 27 to 45y at Month 7.</w:t>
      </w:r>
    </w:p>
    <w:p w14:paraId="25455331" w14:textId="3052E8C4" w:rsidR="00D72DDC" w:rsidRDefault="00D72DDC" w:rsidP="00D72DDC">
      <w:r>
        <w:t>In Study V503-020, the immunogenicity of qHPV and 9vHPV vaccines were compared in men aged 16 to 26</w:t>
      </w:r>
      <w:r w:rsidR="00E01C94">
        <w:t xml:space="preserve"> years</w:t>
      </w:r>
      <w:r>
        <w:t>. The primary endpoint was met with the GMT ratio (9vHPV/qHPV) for antibodies against HPV types 6/11/16/18 ranging between 0.89 and 1.23, and thus meeting the predefined success criterion. The seroconversion rates against these four HPV types were high (</w:t>
      </w:r>
      <w:r w:rsidR="00E01C94">
        <w:t xml:space="preserve">greater than </w:t>
      </w:r>
      <w:r>
        <w:t>98%) in both vaccine groups. As expected, the 9vHPV vaccine also produced a strong antibody response against HPV types 31/33/45/52/58, with the seroconversion rates of 100% against these five HPV types.</w:t>
      </w:r>
    </w:p>
    <w:p w14:paraId="6F953FC3" w14:textId="1B2957D0" w:rsidR="00D72DDC" w:rsidRDefault="00D72DDC" w:rsidP="00D72DDC">
      <w:r>
        <w:t xml:space="preserve">The </w:t>
      </w:r>
      <w:r w:rsidRPr="00E01C94">
        <w:rPr>
          <w:i/>
          <w:iCs/>
        </w:rPr>
        <w:t>post-hoc</w:t>
      </w:r>
      <w:r>
        <w:t xml:space="preserve"> cross-study immunogenicity analysis between Study V501-108 (men aged 27 to 45</w:t>
      </w:r>
      <w:r w:rsidR="00E01C94">
        <w:t xml:space="preserve"> years</w:t>
      </w:r>
      <w:r>
        <w:t>) v</w:t>
      </w:r>
      <w:r w:rsidR="00E01C94">
        <w:t xml:space="preserve">ersus Study </w:t>
      </w:r>
      <w:r>
        <w:t>V501-020 (men aged 16 to 26</w:t>
      </w:r>
      <w:r w:rsidR="00E01C94">
        <w:t xml:space="preserve"> years</w:t>
      </w:r>
      <w:r>
        <w:t>) demonstrated similar anti-HPV 6/11/16/18 antibody GMTs. The GMT ratios (men 27 to 45 years/men 16 to 26 years) ranged from 0.74 to 0.91, with the lower bound of the 95% CI of the GMT ratio greater than 0.50 for each HPV type (ranging from 0.59 to 0.72).</w:t>
      </w:r>
    </w:p>
    <w:p w14:paraId="4BBC0830" w14:textId="77777777" w:rsidR="00D72DDC" w:rsidRDefault="00D72DDC" w:rsidP="00D72DDC">
      <w:r>
        <w:t>From these studies, the following conclusions can be made:</w:t>
      </w:r>
    </w:p>
    <w:p w14:paraId="0792E618" w14:textId="5B82FC39" w:rsidR="00D72DDC" w:rsidRDefault="00D72DDC" w:rsidP="00D72DDC">
      <w:pPr>
        <w:pStyle w:val="ListBullet"/>
      </w:pPr>
      <w:r>
        <w:t>The 9vHPV vaccine produces a robust immune response in women aged 27 to 45y and</w:t>
      </w:r>
      <w:r w:rsidR="00E01C94">
        <w:t xml:space="preserve"> are</w:t>
      </w:r>
      <w:r>
        <w:t xml:space="preserve"> comparable to the response in women aged 16 to 26</w:t>
      </w:r>
      <w:r w:rsidR="00E01C94">
        <w:t xml:space="preserve"> </w:t>
      </w:r>
      <w:r>
        <w:t>y</w:t>
      </w:r>
      <w:r w:rsidR="00E01C94">
        <w:t>ears</w:t>
      </w:r>
      <w:r>
        <w:t>.</w:t>
      </w:r>
    </w:p>
    <w:p w14:paraId="2991D33A" w14:textId="1A48DDB1" w:rsidR="00D72DDC" w:rsidRDefault="00D72DDC" w:rsidP="00D72DDC">
      <w:pPr>
        <w:pStyle w:val="ListBullet"/>
      </w:pPr>
      <w:r>
        <w:t>The 9vHPV vaccine produces a robust immune response against HPV types 6/11/16/18 that are comparable to qHPV vaccine in men aged 16 to 26</w:t>
      </w:r>
      <w:r w:rsidR="00E01C94">
        <w:t xml:space="preserve"> </w:t>
      </w:r>
      <w:r>
        <w:t>y</w:t>
      </w:r>
      <w:r w:rsidR="00E01C94">
        <w:t>ears</w:t>
      </w:r>
      <w:r>
        <w:t>.</w:t>
      </w:r>
    </w:p>
    <w:p w14:paraId="5A612DDD" w14:textId="328E7864" w:rsidR="00D72DDC" w:rsidRDefault="00D72DDC" w:rsidP="00D72DDC">
      <w:pPr>
        <w:pStyle w:val="ListBullet"/>
      </w:pPr>
      <w:r>
        <w:t>The 9vHPV vaccine produces a robust immune response against HPV types 31/33/45/52/58 in men aged 16 to 26</w:t>
      </w:r>
      <w:r w:rsidR="00E01C94">
        <w:t xml:space="preserve"> </w:t>
      </w:r>
      <w:r>
        <w:t>y</w:t>
      </w:r>
      <w:r w:rsidR="00E01C94">
        <w:t>ears</w:t>
      </w:r>
      <w:r>
        <w:t>.</w:t>
      </w:r>
    </w:p>
    <w:p w14:paraId="5D29504C" w14:textId="0E7BE871" w:rsidR="00D72DDC" w:rsidRDefault="00D72DDC" w:rsidP="00D72DDC">
      <w:pPr>
        <w:pStyle w:val="ListBullet"/>
      </w:pPr>
      <w:r>
        <w:t>The qHPV vaccine produces a comparable level of immune response against HPV types 6/11/16/18 in men aged 16 to 26</w:t>
      </w:r>
      <w:r w:rsidR="00E01C94">
        <w:t xml:space="preserve"> </w:t>
      </w:r>
      <w:r>
        <w:t>y</w:t>
      </w:r>
      <w:r w:rsidR="00E01C94">
        <w:t>ears</w:t>
      </w:r>
      <w:r>
        <w:t xml:space="preserve"> and 27 to 45</w:t>
      </w:r>
      <w:r w:rsidR="00E01C94">
        <w:t xml:space="preserve"> </w:t>
      </w:r>
      <w:r>
        <w:t>y</w:t>
      </w:r>
      <w:r w:rsidR="00E01C94">
        <w:t>ears</w:t>
      </w:r>
      <w:r>
        <w:t>.</w:t>
      </w:r>
    </w:p>
    <w:p w14:paraId="14FA6BB9" w14:textId="77777777" w:rsidR="00D72DDC" w:rsidRDefault="00D72DDC" w:rsidP="00D72DDC">
      <w:r>
        <w:t>The sponsor claims that Gardasil and Gardasil 9 are produced using the same manufacturing process. The main difference is the addition of extra HPV types.</w:t>
      </w:r>
    </w:p>
    <w:p w14:paraId="66035233" w14:textId="77777777" w:rsidR="00D72DDC" w:rsidRDefault="00D72DDC" w:rsidP="00D72DDC">
      <w:r>
        <w:t>Immunisation at an older age appears to be associated with faster waning of immunity. The duration of protection for individuals who receive the vaccine for the first time in their 40s is not clear. However, the sponsor claims that a less favourable immunogenicity result may not necessarily translate into a less favourable efficacy or effectiveness result.</w:t>
      </w:r>
    </w:p>
    <w:p w14:paraId="28755EFF" w14:textId="4290DE3D" w:rsidR="00D72DDC" w:rsidRDefault="00D72DDC" w:rsidP="00D72DDC">
      <w:r>
        <w:t>It is not clear whether HPV vaccination in individuals in their 30s and 40s will be of significant benefit, as these individuals are likely to have been exposed to multiple HPV types.</w:t>
      </w:r>
    </w:p>
    <w:p w14:paraId="39CA28C4" w14:textId="74D22EA3" w:rsidR="00D72DDC" w:rsidRDefault="00D72DDC" w:rsidP="00D72DDC">
      <w:r>
        <w:t>For females aged 27 to 45</w:t>
      </w:r>
      <w:r w:rsidR="00E01C94">
        <w:t xml:space="preserve"> years</w:t>
      </w:r>
      <w:r>
        <w:t>, the presented studies confirm the existing indication.</w:t>
      </w:r>
    </w:p>
    <w:p w14:paraId="1B8AAFA9" w14:textId="7C8AB4B8" w:rsidR="00D72DDC" w:rsidRDefault="00D72DDC" w:rsidP="00D72DDC">
      <w:r>
        <w:t>For males aged 27 to 45</w:t>
      </w:r>
      <w:r w:rsidR="00E01C94">
        <w:t xml:space="preserve"> years</w:t>
      </w:r>
      <w:r>
        <w:t>, the presented studies only indirectly support an extension of indication. Some of the limitations are discussed below.</w:t>
      </w:r>
    </w:p>
    <w:p w14:paraId="3281B2AC" w14:textId="77777777" w:rsidR="00D72DDC" w:rsidRDefault="00D72DDC" w:rsidP="00D72DDC">
      <w:pPr>
        <w:pStyle w:val="Heading5"/>
      </w:pPr>
      <w:r>
        <w:t>Limitations</w:t>
      </w:r>
    </w:p>
    <w:p w14:paraId="34B046E1" w14:textId="77777777" w:rsidR="00D72DDC" w:rsidRDefault="00D72DDC" w:rsidP="00D72DDC">
      <w:r>
        <w:t>Limitations of the clinical trial program include:</w:t>
      </w:r>
    </w:p>
    <w:p w14:paraId="699BE9C5" w14:textId="6613CB19" w:rsidR="00D72DDC" w:rsidRDefault="00D72DDC" w:rsidP="00D72DDC">
      <w:pPr>
        <w:pStyle w:val="ListBullet"/>
      </w:pPr>
      <w:r>
        <w:t>Efficacy in men aged 27 to 45 years not demonstrated through efficacy or immunogenicity studies: The studies presented do not provide a direct evidence of immunogenicity or efficacy produced by 9vHPV vaccine in men aged 27 to 45 years. Instead, potential extrapolation may include:</w:t>
      </w:r>
    </w:p>
    <w:p w14:paraId="1D642813" w14:textId="56933871" w:rsidR="00D72DDC" w:rsidRDefault="00D72DDC" w:rsidP="00D72DDC">
      <w:pPr>
        <w:pStyle w:val="ListBullet2"/>
      </w:pPr>
      <w:r>
        <w:lastRenderedPageBreak/>
        <w:t>The immunogenicity observed in women aged 27 to 45</w:t>
      </w:r>
      <w:r w:rsidR="00E01C94">
        <w:t xml:space="preserve"> </w:t>
      </w:r>
      <w:r>
        <w:t>y</w:t>
      </w:r>
      <w:r w:rsidR="00E01C94">
        <w:t>ears</w:t>
      </w:r>
      <w:r>
        <w:t xml:space="preserve"> could be extrapolated to men of the same age.</w:t>
      </w:r>
    </w:p>
    <w:p w14:paraId="26621DE5" w14:textId="4FFE2B0C" w:rsidR="00D72DDC" w:rsidRDefault="00D72DDC" w:rsidP="00D72DDC">
      <w:pPr>
        <w:pStyle w:val="ListBullet2"/>
      </w:pPr>
      <w:r>
        <w:t>Given that the qHPV vaccine elicits a comparable immune response in men aged 16 to 26</w:t>
      </w:r>
      <w:r w:rsidR="00E01C94">
        <w:t xml:space="preserve"> </w:t>
      </w:r>
      <w:r>
        <w:t>y</w:t>
      </w:r>
      <w:r w:rsidR="00E01C94">
        <w:t>ears</w:t>
      </w:r>
      <w:r>
        <w:t xml:space="preserve"> and 27 to 45</w:t>
      </w:r>
      <w:r w:rsidR="00E01C94">
        <w:t xml:space="preserve"> </w:t>
      </w:r>
      <w:r>
        <w:t>y</w:t>
      </w:r>
      <w:r w:rsidR="00E01C94">
        <w:t>ears</w:t>
      </w:r>
      <w:r>
        <w:t xml:space="preserve"> (with a decrease in immunogenicity </w:t>
      </w:r>
      <w:r w:rsidR="00E01C94">
        <w:t xml:space="preserve">greater than </w:t>
      </w:r>
      <w:r>
        <w:t>2-fold ruled out), one could extrapolate the result of Study V503-020 to suggest that the 9vHPV vaccine produces a similar immune response against all 9 HPV types in men aged 27 to 45</w:t>
      </w:r>
      <w:r w:rsidR="00E01C94">
        <w:t xml:space="preserve"> </w:t>
      </w:r>
      <w:r>
        <w:t>y</w:t>
      </w:r>
      <w:r w:rsidR="00E01C94">
        <w:t>ears</w:t>
      </w:r>
      <w:r>
        <w:t xml:space="preserve"> as well.</w:t>
      </w:r>
    </w:p>
    <w:p w14:paraId="1D21AE7D" w14:textId="47D43E69" w:rsidR="00D72DDC" w:rsidRPr="00D72DDC" w:rsidRDefault="00D72DDC" w:rsidP="00D72DDC">
      <w:r w:rsidRPr="00D72DDC">
        <w:t>While the evaluator believes that these extrapolations are justifiable, it would be desirable to conduct a 9vHPV vaccine study in men aged 27</w:t>
      </w:r>
      <w:r w:rsidR="00E01C94">
        <w:t xml:space="preserve"> </w:t>
      </w:r>
      <w:r w:rsidRPr="00D72DDC">
        <w:t>y</w:t>
      </w:r>
      <w:r w:rsidR="00E01C94">
        <w:t>ears</w:t>
      </w:r>
      <w:r w:rsidRPr="00D72DDC">
        <w:t xml:space="preserve"> and older. It is noted that the sponsor, for Study V503-049 (oral HPV infection study), plans to conduct an analysis of efficacy in men from the 20</w:t>
      </w:r>
      <w:r w:rsidR="00E01C94">
        <w:t xml:space="preserve"> to </w:t>
      </w:r>
      <w:r w:rsidRPr="00D72DDC">
        <w:t>26 years and 27</w:t>
      </w:r>
      <w:r w:rsidR="00E01C94">
        <w:t xml:space="preserve"> to </w:t>
      </w:r>
      <w:r w:rsidRPr="00D72DDC">
        <w:t>45 years subgroups.</w:t>
      </w:r>
    </w:p>
    <w:p w14:paraId="302FB226" w14:textId="1A9A7949" w:rsidR="00D72DDC" w:rsidRDefault="00D72DDC" w:rsidP="00D72DDC">
      <w:pPr>
        <w:pStyle w:val="ListBullet"/>
      </w:pPr>
      <w:r>
        <w:t>No specific safety data for the 9vHPV vaccine in men aged 27 to 45 years. However, the sponsor considers that the safety profile in adult men is supported by extensive clinical studies to evaluate the safety of G</w:t>
      </w:r>
      <w:r w:rsidR="00E01C94">
        <w:t>ardasil</w:t>
      </w:r>
      <w:r>
        <w:t xml:space="preserve"> in men 27</w:t>
      </w:r>
      <w:r w:rsidR="00E01C94">
        <w:t xml:space="preserve"> to </w:t>
      </w:r>
      <w:r>
        <w:t>45 years of age, and both G</w:t>
      </w:r>
      <w:r w:rsidR="00E01C94">
        <w:t>ardasil</w:t>
      </w:r>
      <w:r>
        <w:t xml:space="preserve"> and G</w:t>
      </w:r>
      <w:r w:rsidR="00E01C94">
        <w:t>ardasil</w:t>
      </w:r>
      <w:r>
        <w:t xml:space="preserve"> 9 in women 27 to 45 years of age and younger males.</w:t>
      </w:r>
    </w:p>
    <w:p w14:paraId="30D2333F" w14:textId="006E4F7A" w:rsidR="00D72DDC" w:rsidRDefault="00D72DDC" w:rsidP="00D72DDC">
      <w:pPr>
        <w:pStyle w:val="ListBullet"/>
      </w:pPr>
      <w:r>
        <w:t>Generalisability: For both Study V503-004 and Study V503-020, the inclusion and exclusion criteria were rather stringent, and may not adequately reflect the population perceived as in most need of protection through a 9vHPV vaccine. For example, in Study V503-020, males with a history of more than 5 lifetime female sexual partners, or males with any number of male sexual partner (MSM), were excluded. It is noted, that in Study V501-020 included a MSM population, providing some extrapolation opportunities.</w:t>
      </w:r>
    </w:p>
    <w:p w14:paraId="0B04D0C1" w14:textId="3FCAAA2B" w:rsidR="00D72DDC" w:rsidRDefault="00D72DDC" w:rsidP="00D72DDC">
      <w:pPr>
        <w:pStyle w:val="ListBullet"/>
      </w:pPr>
      <w:r w:rsidRPr="00E01C94">
        <w:rPr>
          <w:i/>
          <w:iCs/>
        </w:rPr>
        <w:t>Post-hoc</w:t>
      </w:r>
      <w:r>
        <w:t xml:space="preserve"> nature of the cross-study immunogenicity analysis: </w:t>
      </w:r>
      <w:r w:rsidRPr="00E01C94">
        <w:rPr>
          <w:i/>
          <w:iCs/>
        </w:rPr>
        <w:t>Post hoc</w:t>
      </w:r>
      <w:r>
        <w:t xml:space="preserve"> study designs are not ideal. The cross-study immunogenicity analysis used data from earlier studies, but their designs were largely similar, and the same immunoassay (HPV-4 cLIA) was used.</w:t>
      </w:r>
    </w:p>
    <w:p w14:paraId="52C93FEC" w14:textId="35959938" w:rsidR="00D72DDC" w:rsidRDefault="00D72DDC" w:rsidP="00D72DDC">
      <w:pPr>
        <w:pStyle w:val="ListBullet"/>
      </w:pPr>
      <w:r>
        <w:t>Post-market data: At least some post-market 9vHPV vaccine data in the relevant age group should be available from the US and Europe. This was not presented in the dossier.</w:t>
      </w:r>
    </w:p>
    <w:p w14:paraId="0DA62956" w14:textId="77777777" w:rsidR="00D72DDC" w:rsidRDefault="00D72DDC" w:rsidP="00D72DDC">
      <w:pPr>
        <w:pStyle w:val="ListBullet"/>
        <w:numPr>
          <w:ilvl w:val="0"/>
          <w:numId w:val="0"/>
        </w:numPr>
      </w:pPr>
      <w:r>
        <w:t>Overall, from the clinical evidence provided, for an Australian context, the proposed increase in patient population (to include males aged 27 to 45 years) can be supported for the existing indication of Gardasil 9.</w:t>
      </w:r>
    </w:p>
    <w:p w14:paraId="3A8C9199" w14:textId="77777777" w:rsidR="00D72DDC" w:rsidRDefault="00D72DDC" w:rsidP="00D72DDC">
      <w:r>
        <w:t>It is noted that the above increase in patient population is also part of the provisional pathway application. It appears that a regular pathway application has not been submitted.</w:t>
      </w:r>
    </w:p>
    <w:p w14:paraId="3411506B" w14:textId="32A32F17" w:rsidR="00D72DDC" w:rsidRDefault="00D72DDC" w:rsidP="00D72DDC">
      <w:pPr>
        <w:pStyle w:val="Heading5"/>
      </w:pPr>
      <w:r>
        <w:t>Long term follow up data</w:t>
      </w:r>
    </w:p>
    <w:p w14:paraId="1746E168" w14:textId="77777777" w:rsidR="00D72DDC" w:rsidRDefault="00D72DDC" w:rsidP="00D72DDC">
      <w:r>
        <w:t>Review the evidence provided (mainly long-term immunogenicity results)</w:t>
      </w:r>
    </w:p>
    <w:p w14:paraId="1541FFAB" w14:textId="3BB882DC" w:rsidR="00D72DDC" w:rsidRDefault="00D72DDC" w:rsidP="00D72DDC">
      <w:r>
        <w:t xml:space="preserve">Based on these </w:t>
      </w:r>
      <w:r w:rsidR="002B2F50">
        <w:t xml:space="preserve">long term follow up </w:t>
      </w:r>
      <w:r>
        <w:t>results, the following conclusions were made:</w:t>
      </w:r>
    </w:p>
    <w:p w14:paraId="1FF9EF08" w14:textId="5564AB5A" w:rsidR="00D72DDC" w:rsidRDefault="00D72DDC" w:rsidP="00D72DDC">
      <w:pPr>
        <w:pStyle w:val="ListBullet"/>
      </w:pPr>
      <w:r>
        <w:t>Based on qHPV and 9vHPV study follow-ups ranging from approximately 3 to 14 years post-</w:t>
      </w:r>
      <w:r w:rsidR="002B2F50">
        <w:t>first dose</w:t>
      </w:r>
      <w:r>
        <w:t>, most participants remain seropositive throughout the follow-up period.</w:t>
      </w:r>
    </w:p>
    <w:p w14:paraId="5253CA51" w14:textId="2F974220" w:rsidR="00D72DDC" w:rsidRDefault="00D72DDC" w:rsidP="00D72DDC">
      <w:pPr>
        <w:pStyle w:val="ListBullet"/>
      </w:pPr>
      <w:r>
        <w:t>Those studies that assessed clinical effectiveness show long</w:t>
      </w:r>
      <w:r w:rsidR="002B2F50">
        <w:t xml:space="preserve"> </w:t>
      </w:r>
      <w:r>
        <w:t>term prevention of anogenital disease in males and females who were aged 9 to 26</w:t>
      </w:r>
      <w:r w:rsidR="002B2F50">
        <w:t xml:space="preserve"> years</w:t>
      </w:r>
      <w:r>
        <w:t xml:space="preserve"> at the time of the primary series.</w:t>
      </w:r>
    </w:p>
    <w:p w14:paraId="7385590B" w14:textId="21E55F87" w:rsidR="00D72DDC" w:rsidRDefault="00D72DDC" w:rsidP="00D72DDC">
      <w:pPr>
        <w:pStyle w:val="ListBullet"/>
      </w:pPr>
      <w:r>
        <w:t>qHPV and 9vHPV vaccination in boys and girls aged 9 to 15</w:t>
      </w:r>
      <w:r w:rsidR="002B2F50">
        <w:t xml:space="preserve"> years</w:t>
      </w:r>
      <w:r>
        <w:t xml:space="preserve"> is associated with reduced incidence of persistent HPV infection.</w:t>
      </w:r>
    </w:p>
    <w:p w14:paraId="5DB5F01C" w14:textId="554A488B" w:rsidR="00D72DDC" w:rsidRDefault="00D72DDC" w:rsidP="00D72DDC">
      <w:pPr>
        <w:pStyle w:val="ListBullet"/>
      </w:pPr>
      <w:r>
        <w:t xml:space="preserve">Children (boys and girls) appear to achieve higher immune response post vaccination (qHPV and 9vHPV) compared to young adults. This is demonstrated in Study V501-167 extension and </w:t>
      </w:r>
      <w:r w:rsidR="002B2F50">
        <w:t xml:space="preserve">Study </w:t>
      </w:r>
      <w:r>
        <w:t>V503-010-01.</w:t>
      </w:r>
    </w:p>
    <w:p w14:paraId="27C9386B" w14:textId="40029A81" w:rsidR="00D72DDC" w:rsidRDefault="00D72DDC" w:rsidP="00D72DDC">
      <w:pPr>
        <w:pStyle w:val="ListBullet"/>
      </w:pPr>
      <w:r>
        <w:lastRenderedPageBreak/>
        <w:t>An additional dose of 9vHPV vaccine 5 years post-</w:t>
      </w:r>
      <w:r w:rsidR="002B2F50">
        <w:t>third dose</w:t>
      </w:r>
      <w:r>
        <w:t xml:space="preserve"> is associated with anamnestic response, with higher GMTs than achieved after the primary series.</w:t>
      </w:r>
    </w:p>
    <w:p w14:paraId="6D8616F8" w14:textId="6E091D2D" w:rsidR="00D72DDC" w:rsidRDefault="00D72DDC" w:rsidP="00D72DDC">
      <w:r>
        <w:t>Based on these conclusions, qHPV and 9vHPV vaccines appear to produce long</w:t>
      </w:r>
      <w:r w:rsidR="002B2F50">
        <w:t xml:space="preserve"> </w:t>
      </w:r>
      <w:r>
        <w:t>term protection against the HPV-related infections and diseases in females aged 9 to 45</w:t>
      </w:r>
      <w:r w:rsidR="002B2F50">
        <w:t xml:space="preserve"> years </w:t>
      </w:r>
      <w:r>
        <w:t>and males aged 9 to 26</w:t>
      </w:r>
      <w:r w:rsidR="002B2F50">
        <w:t xml:space="preserve"> years.</w:t>
      </w:r>
    </w:p>
    <w:p w14:paraId="4C2C077A" w14:textId="71E35570" w:rsidR="00D72DDC" w:rsidRDefault="00D72DDC" w:rsidP="00D72DDC">
      <w:r>
        <w:t>Of note, significant waning over time is noted for antibodies against all HPV types. While this is expected, a number of studies have demonstrated that antibodies against HPV 18 show more pronounced waning (including a reduced seropositivity rate) over time compared to other high-risk HPV types. This was particularly pronounced in women aged 26 to 45</w:t>
      </w:r>
      <w:r w:rsidR="002B2F50">
        <w:t xml:space="preserve"> years</w:t>
      </w:r>
      <w:r>
        <w:t xml:space="preserve"> in Study V501-019-21, where the seropositivity rate against HPV 18 fell to 36% at Month 120.</w:t>
      </w:r>
    </w:p>
    <w:p w14:paraId="5027B600" w14:textId="46567B99" w:rsidR="00D72DDC" w:rsidRDefault="00D72DDC" w:rsidP="00D72DDC">
      <w:r>
        <w:t xml:space="preserve">In response, the sponsor stated that given the high seropositivity rate against HPV18 during </w:t>
      </w:r>
      <w:r w:rsidR="002B2F50">
        <w:t xml:space="preserve">long term follow up </w:t>
      </w:r>
      <w:r>
        <w:t xml:space="preserve">assessed using a more sensitive immunoassay (IgG-LIA) and the consistent observation of high efficacy against HPV6-, HPV11-, HPV16- and 18-related disease demonstrated in the base studies, and the continued protection observed in the corresponding </w:t>
      </w:r>
      <w:r w:rsidR="002B2F50">
        <w:t>long term follow up</w:t>
      </w:r>
      <w:r>
        <w:t xml:space="preserve"> study extensions, the decrease in seropositivity against HPV18 as assessed by cLIA cannot be interpreted as decrease in protection. Therefore, the low seropositivity rate against HPV18 by cLIA observed in LTFU studies appears to be of limited clinical significance.</w:t>
      </w:r>
    </w:p>
    <w:p w14:paraId="1E7E004F" w14:textId="303A5FE1" w:rsidR="00D72DDC" w:rsidRDefault="00D72DDC" w:rsidP="00D72DDC">
      <w:pPr>
        <w:pStyle w:val="Heading5"/>
      </w:pPr>
      <w:r>
        <w:t>Oropharyngeal and other head and neck cancer indication</w:t>
      </w:r>
    </w:p>
    <w:p w14:paraId="62DE9629" w14:textId="77777777" w:rsidR="00D72DDC" w:rsidRDefault="00D72DDC" w:rsidP="00D72DDC">
      <w:r>
        <w:t>The sponsor’s reasoning in support of an oropharyngeal and other head and neck cancer prevention indication is mainly centred around the following themes:</w:t>
      </w:r>
    </w:p>
    <w:p w14:paraId="2CD46421" w14:textId="77777777" w:rsidR="002B2F50" w:rsidRDefault="00D72DDC" w:rsidP="002B2F50">
      <w:pPr>
        <w:pStyle w:val="Heading6"/>
      </w:pPr>
      <w:r>
        <w:t>Burden of disease</w:t>
      </w:r>
    </w:p>
    <w:p w14:paraId="10339D55" w14:textId="47413D2B" w:rsidR="00D72DDC" w:rsidRDefault="00D72DDC" w:rsidP="00D72DDC">
      <w:r>
        <w:t>HPV-related head and neck cancer is a serious disease with a substantial impact on survival and quality of life.</w:t>
      </w:r>
    </w:p>
    <w:p w14:paraId="272771B7" w14:textId="203349B3" w:rsidR="00D72DDC" w:rsidRDefault="002B2F50" w:rsidP="00D72DDC">
      <w:r>
        <w:t>A</w:t>
      </w:r>
      <w:r w:rsidR="00D72DDC">
        <w:t xml:space="preserve"> significant burden of disease is not disputed. However, the burden of disease is unrelated to clinical evidence that a certain disease may be prevented by a vaccine.</w:t>
      </w:r>
    </w:p>
    <w:p w14:paraId="3FECE0F6" w14:textId="77777777" w:rsidR="002B2F50" w:rsidRDefault="00D72DDC" w:rsidP="002B2F50">
      <w:pPr>
        <w:pStyle w:val="Heading6"/>
      </w:pPr>
      <w:r>
        <w:t>Unmet medical need</w:t>
      </w:r>
    </w:p>
    <w:p w14:paraId="2F4236EC" w14:textId="4199AF75" w:rsidR="00D72DDC" w:rsidRDefault="00D72DDC" w:rsidP="00D72DDC">
      <w:r>
        <w:t>The sponsor claims that urgent action is needed to address this unmet medical need and prevent HPV-related head and neck cancer. In June 2020, the 9vHPV vaccine was licensed under accelerated approval in the US for the prevention of oropharyngeal and other head and neck cancers related to HPV 16, 18, 31, 33, 45, 52, or 58.</w:t>
      </w:r>
    </w:p>
    <w:p w14:paraId="1A41D37A" w14:textId="77777777" w:rsidR="00D72DDC" w:rsidRDefault="00D72DDC" w:rsidP="00D72DDC">
      <w:r>
        <w:t>An unmet medical need is not disputed. However, as for burden of disease, any perceived unmet medical need is unrelated to provision of clinical evidence that a certain disease may be prevented by a vaccine.</w:t>
      </w:r>
    </w:p>
    <w:p w14:paraId="339D0F0C" w14:textId="77777777" w:rsidR="002B2F50" w:rsidRDefault="00D72DDC" w:rsidP="002B2F50">
      <w:pPr>
        <w:pStyle w:val="Heading6"/>
      </w:pPr>
      <w:r>
        <w:t>Prevention of HPV infection</w:t>
      </w:r>
    </w:p>
    <w:p w14:paraId="6A5ABDB1" w14:textId="0BED8F3F" w:rsidR="00D72DDC" w:rsidRDefault="00D72DDC" w:rsidP="00D72DDC">
      <w:r>
        <w:t>HPV infection is the prerequisite for HPV-related head and neck cancer. The 9vHPV vaccine can address this by preventing HPV-related head and neck cancers, thereby reducing the associated morbidity and mortality and any sequelae associated with the condition and its treatment.</w:t>
      </w:r>
    </w:p>
    <w:p w14:paraId="362C2F5B" w14:textId="77777777" w:rsidR="00D72DDC" w:rsidRDefault="00D72DDC" w:rsidP="00D72DDC">
      <w:r>
        <w:t>So far, there has been no robust sponsor-conducted study with interim or final results that provide evidence for the prevention of HPV-related infection. Study V503-049 is currently ongoing with no interim results available.</w:t>
      </w:r>
    </w:p>
    <w:p w14:paraId="6A5D6AAA" w14:textId="567D5F5F" w:rsidR="002B2F50" w:rsidRDefault="00D72DDC" w:rsidP="002B2F50">
      <w:pPr>
        <w:pStyle w:val="Heading6"/>
      </w:pPr>
      <w:r>
        <w:lastRenderedPageBreak/>
        <w:t xml:space="preserve">Biological </w:t>
      </w:r>
      <w:r w:rsidR="005C10C9">
        <w:t>p</w:t>
      </w:r>
      <w:r>
        <w:t>lausibility and surrogate markers</w:t>
      </w:r>
    </w:p>
    <w:p w14:paraId="582179CB" w14:textId="4836CE62" w:rsidR="00D72DDC" w:rsidRDefault="00D72DDC" w:rsidP="00D72DDC">
      <w:r>
        <w:t>Anogenital and oral mucosae share histological similarities. HPV disease characteristics at different anatomical sites, vaccine</w:t>
      </w:r>
      <w:r w:rsidR="002B2F50">
        <w:t xml:space="preserve"> </w:t>
      </w:r>
      <w:r>
        <w:t>mediated protection, natural history, pathogenesis, and epidemiology may also share similarities. The sponsor claims that prevention of HPV</w:t>
      </w:r>
      <w:r w:rsidR="002B2F50">
        <w:t xml:space="preserve"> </w:t>
      </w:r>
      <w:r>
        <w:t>related anogenital persistent infection and disease is a surrogate that is reasonably likely to predict prevention of HPV</w:t>
      </w:r>
      <w:r w:rsidR="002B2F50">
        <w:t xml:space="preserve"> </w:t>
      </w:r>
      <w:r>
        <w:t>related oral infection and disease. Clinical data regarding prevention of HPV</w:t>
      </w:r>
      <w:r w:rsidR="002B2F50">
        <w:t xml:space="preserve"> </w:t>
      </w:r>
      <w:r>
        <w:t>related anogenital infection and disease are available and form the basis to expand the indication of the 9vHPV vaccine to include prevention of certain HPV-related head and neck cancers.</w:t>
      </w:r>
    </w:p>
    <w:p w14:paraId="174A4261" w14:textId="40D0CA9D" w:rsidR="00D72DDC" w:rsidRDefault="00D72DDC" w:rsidP="00D72DDC">
      <w:r>
        <w:t>A biological plausibility may be present, but no definite evidence has been provided. Prevention of HPV</w:t>
      </w:r>
      <w:r w:rsidR="002B2F50">
        <w:t xml:space="preserve"> </w:t>
      </w:r>
      <w:r>
        <w:t>related anogenital persistent infection and disease has not been established as a definite surrogate endpoint/marker for prevention of HPV</w:t>
      </w:r>
      <w:r w:rsidR="002B2F50">
        <w:t xml:space="preserve"> </w:t>
      </w:r>
      <w:r>
        <w:t>related oral infection and disease. The use of persistent oral HPV infection in Study V503-049 is itself a surrogate indicator for HPV</w:t>
      </w:r>
      <w:r w:rsidR="002B2F50">
        <w:t xml:space="preserve"> </w:t>
      </w:r>
      <w:r>
        <w:t>related oropharyngeal and other head and neck cancers.</w:t>
      </w:r>
    </w:p>
    <w:p w14:paraId="37D721A0" w14:textId="0CBE7D3B" w:rsidR="002B2F50" w:rsidRDefault="00D72DDC" w:rsidP="002B2F50">
      <w:pPr>
        <w:pStyle w:val="Heading6"/>
      </w:pPr>
      <w:r>
        <w:t>Clinical evidence</w:t>
      </w:r>
      <w:r w:rsidR="002B2F50" w:rsidRPr="002B2F50">
        <w:t xml:space="preserve"> </w:t>
      </w:r>
      <w:r w:rsidR="002B2F50">
        <w:t>ongoing sponsor-conducted clinical study</w:t>
      </w:r>
    </w:p>
    <w:p w14:paraId="16E150B8" w14:textId="5D6D3028" w:rsidR="00D72DDC" w:rsidRDefault="00D72DDC" w:rsidP="00D72DDC">
      <w:r>
        <w:t>The sponsor is currently conducting a placebo</w:t>
      </w:r>
      <w:r w:rsidR="002B2F50">
        <w:t xml:space="preserve"> </w:t>
      </w:r>
      <w:r>
        <w:t>controlled, double</w:t>
      </w:r>
      <w:r w:rsidR="002B2F50">
        <w:t xml:space="preserve"> </w:t>
      </w:r>
      <w:r>
        <w:t xml:space="preserve">blind, randomised study (Protocol V503-049) with a primary endpoint of HPV16/18/31/33/45/52/58-related oral </w:t>
      </w:r>
      <w:r w:rsidR="002B2F50">
        <w:t xml:space="preserve">six </w:t>
      </w:r>
      <w:r>
        <w:t>month persistent infection (designated as a post-licensure confirmatory study) for the indication of HPV</w:t>
      </w:r>
      <w:r w:rsidR="002B2F50">
        <w:t xml:space="preserve"> </w:t>
      </w:r>
      <w:r>
        <w:t>related head and neck cancer.</w:t>
      </w:r>
    </w:p>
    <w:p w14:paraId="5CE24F46" w14:textId="77777777" w:rsidR="00D72DDC" w:rsidRDefault="00D72DDC" w:rsidP="00D72DDC">
      <w:r>
        <w:t>This study is currently ongoing and there are no interim results available. Only males 20 to 45 years of age (identified as a high risk group) were enrolled, but an extrapolation to females would not be considered unreasonable.</w:t>
      </w:r>
    </w:p>
    <w:p w14:paraId="508209E6" w14:textId="77777777" w:rsidR="002B2F50" w:rsidRDefault="00D72DDC" w:rsidP="002B2F50">
      <w:pPr>
        <w:pStyle w:val="Heading6"/>
      </w:pPr>
      <w:r>
        <w:t>Clinical evidence non-sponsor-conducted studies from the literature</w:t>
      </w:r>
    </w:p>
    <w:p w14:paraId="7108259D" w14:textId="07B6C1F2" w:rsidR="00D72DDC" w:rsidRDefault="00D72DDC" w:rsidP="00D72DDC">
      <w:r>
        <w:t>Furthermore, there are additional non-sponsor conducted supportive studies from the literature that show favourable results with regard to prevention of oral HPV infections: a study investigating HIV-infected adults aged 27 years and older (Wilkin et al., 2018);</w:t>
      </w:r>
      <w:r w:rsidR="002B2F50">
        <w:rPr>
          <w:rStyle w:val="FootnoteReference"/>
        </w:rPr>
        <w:footnoteReference w:id="12"/>
      </w:r>
      <w:r>
        <w:t xml:space="preserve"> 5 recent observational studies reporting an impact of HPV vaccines on oral HPV infection (including Garland et al., 2016).</w:t>
      </w:r>
      <w:r w:rsidR="002B2F50">
        <w:rPr>
          <w:rStyle w:val="FootnoteReference"/>
        </w:rPr>
        <w:footnoteReference w:id="13"/>
      </w:r>
    </w:p>
    <w:p w14:paraId="6097FB88" w14:textId="77777777" w:rsidR="00D72DDC" w:rsidRDefault="00D72DDC" w:rsidP="00D72DDC">
      <w:pPr>
        <w:pStyle w:val="Heading6"/>
      </w:pPr>
      <w:r>
        <w:t>Public health and regulatory considerations in the Australian context</w:t>
      </w:r>
    </w:p>
    <w:p w14:paraId="41998838" w14:textId="77777777" w:rsidR="00D72DDC" w:rsidRDefault="00D72DDC" w:rsidP="00D72DDC">
      <w:r>
        <w:t xml:space="preserve">It is not disputed that oropharyngeal and other head and neck cancers constitute a significant health and public health problem with significant morbidity and mortality. </w:t>
      </w:r>
    </w:p>
    <w:p w14:paraId="3A0B90D4" w14:textId="77777777" w:rsidR="00D72DDC" w:rsidRDefault="00D72DDC" w:rsidP="00D72DDC">
      <w:r>
        <w:t>It is not disputed that the benefit for the existing indication has been demonstrated.</w:t>
      </w:r>
    </w:p>
    <w:p w14:paraId="68BFEF9A" w14:textId="77777777" w:rsidR="00D72DDC" w:rsidRDefault="00D72DDC" w:rsidP="00D72DDC">
      <w:r>
        <w:t>It is noted that an oropharyngeal and other head and neck cancer prevention indication was provisionally approved for the US.</w:t>
      </w:r>
    </w:p>
    <w:p w14:paraId="2657D7F0" w14:textId="269A1287" w:rsidR="00D72DDC" w:rsidRDefault="00D72DDC" w:rsidP="00D72DDC">
      <w:r>
        <w:t xml:space="preserve">The situation is Australia may be different. Generally, it is desirable to vaccinate prior to exposure to HPV for the greatest benefit. Through the </w:t>
      </w:r>
      <w:r w:rsidR="002B2F50">
        <w:t>N</w:t>
      </w:r>
      <w:r w:rsidR="002B2F50" w:rsidRPr="002B2F50">
        <w:t xml:space="preserve">ational </w:t>
      </w:r>
      <w:r w:rsidR="002B2F50">
        <w:t>I</w:t>
      </w:r>
      <w:r w:rsidR="002B2F50" w:rsidRPr="002B2F50">
        <w:t xml:space="preserve">mmunisation </w:t>
      </w:r>
      <w:r w:rsidR="002B2F50">
        <w:t>P</w:t>
      </w:r>
      <w:r w:rsidR="002B2F50" w:rsidRPr="002B2F50">
        <w:t>rogram</w:t>
      </w:r>
      <w:r>
        <w:t>, as part of adolescent vaccination at 12</w:t>
      </w:r>
      <w:r w:rsidR="002B2F50">
        <w:t xml:space="preserve"> to </w:t>
      </w:r>
      <w:r>
        <w:t xml:space="preserve">13 years of age, Australia has achieved a much higher prevalence of vaccinated individuals compared to other jurisdictions. Furthermore, the already </w:t>
      </w:r>
      <w:r>
        <w:lastRenderedPageBreak/>
        <w:t>existing indications may likely provide a large enough incentive for HPV vaccination, even in the absence of an oropharyngeal and other head and neck cancer prevention indication.</w:t>
      </w:r>
    </w:p>
    <w:p w14:paraId="1303E8BC" w14:textId="77777777" w:rsidR="00D72DDC" w:rsidRDefault="00D72DDC" w:rsidP="00D72DDC">
      <w:r>
        <w:t>Adding an oropharyngeal and other head and neck cancer prevention indication in the absence of definite clinical evidence needs to be carefully considered.</w:t>
      </w:r>
    </w:p>
    <w:p w14:paraId="5A4B036D" w14:textId="364FF166" w:rsidR="00D72DDC" w:rsidRPr="00D72DDC" w:rsidRDefault="00D72DDC" w:rsidP="00D72DDC">
      <w:r>
        <w:t xml:space="preserve">Advice from the </w:t>
      </w:r>
      <w:r w:rsidRPr="00D72DDC">
        <w:t xml:space="preserve">Advisory Committee on Vaccines </w:t>
      </w:r>
      <w:r>
        <w:t>(ACV) is requested.</w:t>
      </w:r>
    </w:p>
    <w:p w14:paraId="318CFABC" w14:textId="77777777" w:rsidR="00C22214" w:rsidRPr="00F73346" w:rsidRDefault="00C22214" w:rsidP="00C22214">
      <w:pPr>
        <w:pStyle w:val="Heading4"/>
      </w:pPr>
      <w:bookmarkStart w:id="94" w:name="_Toc98931936"/>
      <w:bookmarkStart w:id="95" w:name="_Toc129703140"/>
      <w:bookmarkStart w:id="96" w:name="_Toc247691532"/>
      <w:bookmarkStart w:id="97" w:name="_Toc314842516"/>
      <w:r w:rsidRPr="00F73346">
        <w:t>Advisory Committee considerations</w:t>
      </w:r>
      <w:bookmarkEnd w:id="94"/>
      <w:bookmarkEnd w:id="95"/>
    </w:p>
    <w:p w14:paraId="087BB9CB" w14:textId="1BB30D33" w:rsidR="00C22214" w:rsidRPr="00BD5DBD" w:rsidRDefault="00C22214" w:rsidP="00C22214">
      <w:pPr>
        <w:rPr>
          <w:bCs/>
          <w:szCs w:val="22"/>
        </w:rPr>
      </w:pPr>
      <w:r w:rsidRPr="00BD5DBD">
        <w:rPr>
          <w:bCs/>
          <w:szCs w:val="22"/>
        </w:rPr>
        <w:t xml:space="preserve">The </w:t>
      </w:r>
      <w:hyperlink r:id="rId45" w:history="1">
        <w:r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0AD1C865" w14:textId="77777777" w:rsidR="0083048D" w:rsidRPr="0083048D" w:rsidRDefault="0083048D" w:rsidP="0083048D">
      <w:r w:rsidRPr="0083048D">
        <w:t xml:space="preserve">The ACV advised the following in response to the Delegate’s specific request for advice: </w:t>
      </w:r>
    </w:p>
    <w:p w14:paraId="2D017D92" w14:textId="180220B7" w:rsidR="0083048D" w:rsidRPr="0083048D" w:rsidRDefault="0083048D" w:rsidP="0083048D">
      <w:pPr>
        <w:pStyle w:val="Numberbullet0"/>
        <w:rPr>
          <w:b/>
          <w:bCs/>
          <w:i/>
          <w:iCs/>
        </w:rPr>
      </w:pPr>
      <w:r w:rsidRPr="0083048D">
        <w:rPr>
          <w:b/>
          <w:bCs/>
          <w:i/>
          <w:iCs/>
        </w:rPr>
        <w:t>Can the ACV comment on whether the available data are sufficient to support an extension of indication to include prevention of oropharyngeal and other head and neck cancers as proposed by the sponsor?</w:t>
      </w:r>
    </w:p>
    <w:p w14:paraId="2628E1DA" w14:textId="26B26538" w:rsidR="0083048D" w:rsidRPr="0083048D" w:rsidRDefault="0083048D" w:rsidP="0083048D">
      <w:r w:rsidRPr="0083048D">
        <w:t>The ACV advised that the available data were not sufficient to support an extension of indication to include prevention of oropharyngeal and other head and neck cancers for provisional registration</w:t>
      </w:r>
      <w:r w:rsidR="00963BAD">
        <w:t>.</w:t>
      </w:r>
    </w:p>
    <w:p w14:paraId="096D3F91" w14:textId="77777777" w:rsidR="0083048D" w:rsidRPr="0083048D" w:rsidRDefault="0083048D" w:rsidP="0083048D">
      <w:r w:rsidRPr="0083048D">
        <w:t xml:space="preserve">While it is biologically plausible to suggest that 9vHPV vaccine could prevent a proportion of oropharyngeal and oral cavity cancers caused by HPV, there are no available data to support this indication. The endpoint of prevention of persistent HPV infection as a surrogate for prevention of cancer is not as strong for head and neck cancers as for cancers in other sites </w:t>
      </w:r>
    </w:p>
    <w:p w14:paraId="3F2C4936" w14:textId="77777777" w:rsidR="0083048D" w:rsidRPr="0083048D" w:rsidRDefault="0083048D" w:rsidP="0083048D">
      <w:r w:rsidRPr="0083048D">
        <w:t xml:space="preserve">A randomised clinical trial is underway to determine whether Gardasil 9 reduces persistent oral HPV infection, but the trial is not designed to directly demonstrate the prevention of head and neck cancers. However, it is noted that there are no surrogate markers analogous to carcinoma in situ in other sites. </w:t>
      </w:r>
    </w:p>
    <w:p w14:paraId="2101648D" w14:textId="7DFE1896" w:rsidR="0083048D" w:rsidRPr="0083048D" w:rsidRDefault="0083048D" w:rsidP="0083048D">
      <w:pPr>
        <w:pStyle w:val="Numberbullet0"/>
        <w:rPr>
          <w:b/>
          <w:bCs/>
          <w:i/>
          <w:iCs/>
        </w:rPr>
      </w:pPr>
      <w:r w:rsidRPr="0083048D">
        <w:rPr>
          <w:b/>
          <w:bCs/>
          <w:i/>
          <w:iCs/>
        </w:rPr>
        <w:t>The committee is also requested to provide advice on any other issues that it thinks may be relevant to a decision on whether or not to approve this application.</w:t>
      </w:r>
    </w:p>
    <w:p w14:paraId="0D12B3FE" w14:textId="0AFD13DF" w:rsidR="0083048D" w:rsidRPr="0083048D" w:rsidRDefault="0083048D" w:rsidP="0083048D">
      <w:r w:rsidRPr="0083048D">
        <w:t>The ACV advised that based on previous extensions to the indications for Gardasil there is sufficient evidence on the safety and immunogenicity of Gardasil 9 to extend the upper age limit for males to 45 years of age.</w:t>
      </w:r>
    </w:p>
    <w:p w14:paraId="5291EA2A" w14:textId="77777777" w:rsidR="00C22214" w:rsidRPr="00F73346" w:rsidRDefault="00C22214" w:rsidP="00C22214">
      <w:pPr>
        <w:pStyle w:val="Heading5"/>
      </w:pPr>
      <w:r w:rsidRPr="00F73346">
        <w:t>Conclusion</w:t>
      </w:r>
    </w:p>
    <w:p w14:paraId="60A6B977" w14:textId="77777777" w:rsidR="0083048D" w:rsidRPr="0083048D" w:rsidRDefault="0083048D" w:rsidP="0083048D">
      <w:bookmarkStart w:id="98" w:name="_Toc103679300"/>
      <w:bookmarkStart w:id="99" w:name="_Toc129703141"/>
      <w:r w:rsidRPr="0083048D">
        <w:t xml:space="preserve">The ACV considered this product to have an overall positive benefit-risk profile for the indication: </w:t>
      </w:r>
    </w:p>
    <w:p w14:paraId="7725E69E" w14:textId="74BB6BDF" w:rsidR="0083048D" w:rsidRPr="0083048D" w:rsidRDefault="0083048D" w:rsidP="0083048D">
      <w:pPr>
        <w:ind w:left="720"/>
        <w:rPr>
          <w:i/>
          <w:iCs/>
        </w:rPr>
      </w:pPr>
      <w:r w:rsidRPr="0083048D">
        <w:rPr>
          <w:i/>
          <w:iCs/>
        </w:rPr>
        <w:t>G</w:t>
      </w:r>
      <w:r>
        <w:rPr>
          <w:i/>
          <w:iCs/>
        </w:rPr>
        <w:t>ardasil</w:t>
      </w:r>
      <w:r w:rsidRPr="0083048D">
        <w:rPr>
          <w:i/>
          <w:iCs/>
        </w:rPr>
        <w:t xml:space="preserve"> 9 is indicated in males 9 to 45* years of age for the prevention of anal cancer, precancerous or dysplastic lesions, external genital lesions and infection caused by HPV types 6, 11, 16, 18, 31, 33, 45, 52 and 58 (which are included in the vaccine). </w:t>
      </w:r>
    </w:p>
    <w:p w14:paraId="040D2AD2" w14:textId="77777777" w:rsidR="0083048D" w:rsidRPr="0083048D" w:rsidRDefault="0083048D" w:rsidP="0083048D">
      <w:r w:rsidRPr="0083048D">
        <w:t xml:space="preserve">Regarding the proposed extension of indication by provisional registration of: </w:t>
      </w:r>
    </w:p>
    <w:p w14:paraId="083071AA" w14:textId="1C7ECB07" w:rsidR="0083048D" w:rsidRPr="0083048D" w:rsidRDefault="0083048D" w:rsidP="0083048D">
      <w:pPr>
        <w:ind w:left="720"/>
        <w:rPr>
          <w:i/>
          <w:iCs/>
        </w:rPr>
      </w:pPr>
      <w:r w:rsidRPr="0083048D">
        <w:rPr>
          <w:i/>
          <w:iCs/>
        </w:rPr>
        <w:t>G</w:t>
      </w:r>
      <w:r>
        <w:rPr>
          <w:i/>
          <w:iCs/>
        </w:rPr>
        <w:t>ardasil</w:t>
      </w:r>
      <w:r w:rsidRPr="0083048D">
        <w:rPr>
          <w:i/>
          <w:iCs/>
        </w:rPr>
        <w:t xml:space="preserve"> 9 is indicated in females aged 9 to 45 years*, and males aged 9 to 45 years, for the prevention of oropharyngeal and other head and neck cancers caused by Human Papillomavirus (HPV) Types 6, 11, 16, 18, 31, 33, 45, 52 and 58 </w:t>
      </w:r>
    </w:p>
    <w:p w14:paraId="12E80C14" w14:textId="53B2E17E" w:rsidR="0083048D" w:rsidRPr="0083048D" w:rsidRDefault="0083048D" w:rsidP="0083048D">
      <w:r>
        <w:lastRenderedPageBreak/>
        <w:t>T</w:t>
      </w:r>
      <w:r w:rsidRPr="0083048D">
        <w:t>he ACV considered that an overall positive benefit-risk profile has not been demonstrated and that the outcomes of the ongoing clinical trial, based on surrogate evidence (persistent HPV oral infection) should be awaited.</w:t>
      </w:r>
    </w:p>
    <w:p w14:paraId="307F236C" w14:textId="71BDA175" w:rsidR="00C22214" w:rsidRPr="002E238E" w:rsidRDefault="00C22214" w:rsidP="0083048D">
      <w:pPr>
        <w:pStyle w:val="Heading2"/>
      </w:pPr>
      <w:r>
        <w:t>Outcome</w:t>
      </w:r>
      <w:bookmarkEnd w:id="96"/>
      <w:bookmarkEnd w:id="97"/>
      <w:bookmarkEnd w:id="98"/>
      <w:bookmarkEnd w:id="99"/>
    </w:p>
    <w:p w14:paraId="39FDDC71" w14:textId="269DF1C8" w:rsidR="004053E8" w:rsidRDefault="00C22214" w:rsidP="004053E8">
      <w:pPr>
        <w:spacing w:after="480"/>
        <w:rPr>
          <w:szCs w:val="22"/>
        </w:rPr>
      </w:pPr>
      <w:r w:rsidRPr="00BD5DBD">
        <w:rPr>
          <w:szCs w:val="22"/>
        </w:rPr>
        <w:t xml:space="preserve">Based on a review of quality, safety, and efficacy, the TGA approved the registration of </w:t>
      </w:r>
      <w:r w:rsidR="002B2F50">
        <w:t>Gardasil 9 (h</w:t>
      </w:r>
      <w:r w:rsidR="002B2F50" w:rsidRPr="0088139F">
        <w:t>uman papillomavirus 9-valent vaccine, recombinant</w:t>
      </w:r>
      <w:r w:rsidR="002B2F50" w:rsidRPr="00BD5DBD">
        <w:rPr>
          <w:szCs w:val="22"/>
        </w:rPr>
        <w:t>)</w:t>
      </w:r>
      <w:r w:rsidR="002B2F50">
        <w:rPr>
          <w:szCs w:val="22"/>
        </w:rPr>
        <w:t>,</w:t>
      </w:r>
      <w:r w:rsidR="002B2F50" w:rsidRPr="00BD5DBD">
        <w:rPr>
          <w:szCs w:val="22"/>
        </w:rPr>
        <w:t xml:space="preserve"> </w:t>
      </w:r>
      <w:r w:rsidR="002B2F50" w:rsidRPr="00066617">
        <w:rPr>
          <w:szCs w:val="22"/>
        </w:rPr>
        <w:t xml:space="preserve">30 </w:t>
      </w:r>
      <w:r w:rsidR="002B2F50">
        <w:rPr>
          <w:szCs w:val="22"/>
        </w:rPr>
        <w:t>µg</w:t>
      </w:r>
      <w:r w:rsidR="002B2F50" w:rsidRPr="00066617">
        <w:rPr>
          <w:szCs w:val="22"/>
        </w:rPr>
        <w:t xml:space="preserve"> of </w:t>
      </w:r>
      <w:r w:rsidR="002B2F50">
        <w:t>h</w:t>
      </w:r>
      <w:r w:rsidR="002B2F50" w:rsidRPr="0088139F">
        <w:t>uman papillomavirus</w:t>
      </w:r>
      <w:r w:rsidR="002B2F50">
        <w:t xml:space="preserve"> (</w:t>
      </w:r>
      <w:r w:rsidR="002B2F50" w:rsidRPr="00066617">
        <w:rPr>
          <w:szCs w:val="22"/>
        </w:rPr>
        <w:t>HPV</w:t>
      </w:r>
      <w:r w:rsidR="002B2F50">
        <w:rPr>
          <w:szCs w:val="22"/>
        </w:rPr>
        <w:t>)</w:t>
      </w:r>
      <w:r w:rsidR="002B2F50" w:rsidRPr="00066617">
        <w:rPr>
          <w:szCs w:val="22"/>
        </w:rPr>
        <w:t xml:space="preserve"> 6 </w:t>
      </w:r>
      <w:r w:rsidR="002B2F50">
        <w:rPr>
          <w:szCs w:val="22"/>
        </w:rPr>
        <w:t>recombinant major capsid (</w:t>
      </w:r>
      <w:r w:rsidR="002B2F50" w:rsidRPr="00066617">
        <w:rPr>
          <w:szCs w:val="22"/>
        </w:rPr>
        <w:t>L1</w:t>
      </w:r>
      <w:r w:rsidR="002B2F50">
        <w:rPr>
          <w:szCs w:val="22"/>
        </w:rPr>
        <w:t>)</w:t>
      </w:r>
      <w:r w:rsidR="002B2F50" w:rsidRPr="00066617">
        <w:rPr>
          <w:szCs w:val="22"/>
        </w:rPr>
        <w:t xml:space="preserve"> protein, 40 </w:t>
      </w:r>
      <w:r w:rsidR="002B2F50">
        <w:rPr>
          <w:szCs w:val="22"/>
        </w:rPr>
        <w:t>µg</w:t>
      </w:r>
      <w:r w:rsidR="002B2F50" w:rsidRPr="00066617">
        <w:rPr>
          <w:szCs w:val="22"/>
        </w:rPr>
        <w:t xml:space="preserve"> of HPV 11 L1 protein, 60 </w:t>
      </w:r>
      <w:r w:rsidR="002B2F50">
        <w:rPr>
          <w:szCs w:val="22"/>
        </w:rPr>
        <w:t>µg</w:t>
      </w:r>
      <w:r w:rsidR="002B2F50" w:rsidRPr="00066617">
        <w:rPr>
          <w:szCs w:val="22"/>
        </w:rPr>
        <w:t xml:space="preserve"> of HPV 16 L1 protein, 40 </w:t>
      </w:r>
      <w:r w:rsidR="002B2F50">
        <w:rPr>
          <w:szCs w:val="22"/>
        </w:rPr>
        <w:t>µg</w:t>
      </w:r>
      <w:r w:rsidR="002B2F50" w:rsidRPr="00066617">
        <w:rPr>
          <w:szCs w:val="22"/>
        </w:rPr>
        <w:t xml:space="preserve"> of HPV 18 L1 protein, 20 </w:t>
      </w:r>
      <w:r w:rsidR="002B2F50">
        <w:rPr>
          <w:szCs w:val="22"/>
        </w:rPr>
        <w:t>µg</w:t>
      </w:r>
      <w:r w:rsidR="002B2F50" w:rsidRPr="00066617">
        <w:rPr>
          <w:szCs w:val="22"/>
        </w:rPr>
        <w:t xml:space="preserve"> of HPV 31 L1 protein, 20 </w:t>
      </w:r>
      <w:r w:rsidR="002B2F50">
        <w:rPr>
          <w:szCs w:val="22"/>
        </w:rPr>
        <w:t>µg</w:t>
      </w:r>
      <w:r w:rsidR="002B2F50" w:rsidRPr="00066617">
        <w:rPr>
          <w:szCs w:val="22"/>
        </w:rPr>
        <w:t xml:space="preserve"> of HPV 33 L1 protein, 20 </w:t>
      </w:r>
      <w:r w:rsidR="002B2F50">
        <w:rPr>
          <w:szCs w:val="22"/>
        </w:rPr>
        <w:t>µg</w:t>
      </w:r>
      <w:r w:rsidR="002B2F50" w:rsidRPr="00066617">
        <w:rPr>
          <w:szCs w:val="22"/>
        </w:rPr>
        <w:t xml:space="preserve"> of HPV 45 L1 protein, 20 </w:t>
      </w:r>
      <w:r w:rsidR="002B2F50">
        <w:rPr>
          <w:szCs w:val="22"/>
        </w:rPr>
        <w:t>µg</w:t>
      </w:r>
      <w:r w:rsidR="002B2F50" w:rsidRPr="00066617">
        <w:rPr>
          <w:szCs w:val="22"/>
        </w:rPr>
        <w:t xml:space="preserve"> of HPV 52 L1 protein, and 20 </w:t>
      </w:r>
      <w:r w:rsidR="002B2F50">
        <w:rPr>
          <w:szCs w:val="22"/>
        </w:rPr>
        <w:t>µg</w:t>
      </w:r>
      <w:r w:rsidR="002B2F50" w:rsidRPr="00066617">
        <w:rPr>
          <w:szCs w:val="22"/>
        </w:rPr>
        <w:t xml:space="preserve"> of HPV 58 L1 protein</w:t>
      </w:r>
      <w:r w:rsidR="002B2F50">
        <w:rPr>
          <w:szCs w:val="22"/>
        </w:rPr>
        <w:t>/0.5 mL</w:t>
      </w:r>
      <w:r w:rsidR="002B2F50" w:rsidRPr="00BD5DBD">
        <w:rPr>
          <w:szCs w:val="22"/>
        </w:rPr>
        <w:t xml:space="preserve">, </w:t>
      </w:r>
      <w:r w:rsidR="002B2F50">
        <w:rPr>
          <w:szCs w:val="22"/>
        </w:rPr>
        <w:t>suspension for injection</w:t>
      </w:r>
      <w:r w:rsidR="002B2F50" w:rsidRPr="00BD5DBD">
        <w:rPr>
          <w:szCs w:val="22"/>
        </w:rPr>
        <w:t xml:space="preserve">, </w:t>
      </w:r>
      <w:r w:rsidR="002B2F50">
        <w:rPr>
          <w:szCs w:val="22"/>
        </w:rPr>
        <w:t>syringe and vial,</w:t>
      </w:r>
      <w:r w:rsidR="002B2F50" w:rsidRPr="00BD5DBD">
        <w:rPr>
          <w:szCs w:val="22"/>
        </w:rPr>
        <w:t xml:space="preserve"> </w:t>
      </w:r>
      <w:r w:rsidR="002B2F50">
        <w:rPr>
          <w:szCs w:val="22"/>
        </w:rPr>
        <w:t>for</w:t>
      </w:r>
      <w:r w:rsidRPr="00BD5DBD">
        <w:rPr>
          <w:szCs w:val="22"/>
        </w:rPr>
        <w:t xml:space="preserve"> the following extension of indications:</w:t>
      </w:r>
    </w:p>
    <w:p w14:paraId="630A22E2" w14:textId="75B19DC1" w:rsidR="004053E8" w:rsidRPr="004053E8" w:rsidRDefault="004053E8" w:rsidP="004053E8">
      <w:pPr>
        <w:ind w:left="720"/>
        <w:rPr>
          <w:i/>
          <w:iCs/>
        </w:rPr>
      </w:pPr>
      <w:r w:rsidRPr="004053E8">
        <w:rPr>
          <w:i/>
          <w:iCs/>
        </w:rPr>
        <w:t>Gardasil 9 is indicated in males aged 9 to 45 years* for the prevention of anal cancer, precancerous or dysplastic lesions, external genital lesions, and infection caused by Human Papillomavirus (HPV) types 6, 11, 16, 18, 31, 33, 45, 52 and 58 (which are included in the vaccine).</w:t>
      </w:r>
    </w:p>
    <w:p w14:paraId="41C50DA0" w14:textId="22D3F334" w:rsidR="004053E8" w:rsidRPr="004053E8" w:rsidRDefault="004053E8" w:rsidP="004053E8">
      <w:pPr>
        <w:ind w:left="720"/>
      </w:pPr>
      <w:r w:rsidRPr="004053E8">
        <w:rPr>
          <w:i/>
          <w:iCs/>
        </w:rPr>
        <w:t>*Evidence of vaccine efficacy is based on the core efficacy population of females aged 16 to 26 years. Immunogenicity studies have been conducted to link efficacy to younger populations (females and males aged 9 to 15 years). Immunogenicity studies of Gardasil 9 have been conducted relating to females over 26 years of age (see section5.1 CLINICAL TRIALS for Gardasil 9).</w:t>
      </w:r>
    </w:p>
    <w:p w14:paraId="128278EA" w14:textId="04DBB4C2" w:rsidR="004053E8" w:rsidRDefault="004053E8" w:rsidP="004053E8">
      <w:r w:rsidRPr="004053E8">
        <w:t>The full indications are now:</w:t>
      </w:r>
    </w:p>
    <w:p w14:paraId="61EFE3CA" w14:textId="7C7C5FA3" w:rsidR="004053E8" w:rsidRPr="004053E8" w:rsidRDefault="004053E8" w:rsidP="004053E8">
      <w:pPr>
        <w:ind w:left="720"/>
        <w:rPr>
          <w:i/>
          <w:iCs/>
        </w:rPr>
      </w:pPr>
      <w:r w:rsidRPr="004053E8">
        <w:rPr>
          <w:i/>
          <w:iCs/>
        </w:rPr>
        <w:t>Gardasil 9 is indicated in females aged 9 to 45 years* for the prevention of cervical, vulvar, vaginal and anal cancer, precancerous or dysplastic lesions, genital warts, and infection caused by Human Papillomavirus (HPV) types 6, 11, 16, 18, 31, 33, 45, 52 and 58 (which are included in the vaccine).</w:t>
      </w:r>
    </w:p>
    <w:p w14:paraId="4B0298B2" w14:textId="76EF27B7" w:rsidR="004053E8" w:rsidRPr="004053E8" w:rsidRDefault="004053E8" w:rsidP="004053E8">
      <w:pPr>
        <w:ind w:left="720"/>
        <w:rPr>
          <w:i/>
          <w:iCs/>
        </w:rPr>
      </w:pPr>
      <w:r w:rsidRPr="004053E8">
        <w:rPr>
          <w:i/>
          <w:iCs/>
        </w:rPr>
        <w:t>Gardasil 9 is indicated in males aged 9 to 45 years* for the prevention of anal cancer, precancerous or dysplastic lesions, external genital lesions, and infection caused by Human Papillomavirus (HPV) types 6, 11, 16, 18, 31, 33, 45, 52 and 58 (which are included in the vaccine).</w:t>
      </w:r>
    </w:p>
    <w:p w14:paraId="7BB22E98" w14:textId="56E22730" w:rsidR="004053E8" w:rsidRDefault="004053E8" w:rsidP="004053E8">
      <w:pPr>
        <w:ind w:left="720"/>
        <w:rPr>
          <w:i/>
          <w:iCs/>
        </w:rPr>
      </w:pPr>
      <w:r w:rsidRPr="004053E8">
        <w:rPr>
          <w:i/>
          <w:iCs/>
        </w:rPr>
        <w:t xml:space="preserve">*Evidence of vaccine efficacy is based on the core efficacy population of females aged </w:t>
      </w:r>
      <w:r w:rsidR="00797C44">
        <w:rPr>
          <w:i/>
          <w:iCs/>
        </w:rPr>
        <w:t>16 to</w:t>
      </w:r>
      <w:r w:rsidR="00797C44" w:rsidRPr="004053E8">
        <w:rPr>
          <w:i/>
          <w:iCs/>
        </w:rPr>
        <w:t xml:space="preserve"> </w:t>
      </w:r>
      <w:r w:rsidRPr="004053E8">
        <w:rPr>
          <w:i/>
          <w:iCs/>
        </w:rPr>
        <w:t>26 years. Immunogenicity studies have been conducted to link efficacy to younger</w:t>
      </w:r>
      <w:r>
        <w:rPr>
          <w:i/>
          <w:iCs/>
        </w:rPr>
        <w:t xml:space="preserve"> </w:t>
      </w:r>
      <w:r w:rsidRPr="004053E8">
        <w:rPr>
          <w:i/>
          <w:iCs/>
        </w:rPr>
        <w:t>populations (females and males aged 9 to 15 years). Immunogenicity studies of Gardasil 9 have been conducted relating to females over 26 years of age (see section</w:t>
      </w:r>
      <w:r w:rsidR="003273DA">
        <w:rPr>
          <w:i/>
          <w:iCs/>
        </w:rPr>
        <w:t xml:space="preserve"> </w:t>
      </w:r>
      <w:r w:rsidRPr="004053E8">
        <w:rPr>
          <w:i/>
          <w:iCs/>
        </w:rPr>
        <w:t>5.1 CLINICAL TRIALS for Gardasil 9).</w:t>
      </w:r>
    </w:p>
    <w:p w14:paraId="0D732DA4" w14:textId="77777777" w:rsidR="00854D98" w:rsidRPr="00D23139" w:rsidRDefault="00854D98" w:rsidP="00854D98">
      <w:pPr>
        <w:pStyle w:val="Heading3"/>
      </w:pPr>
      <w:bookmarkStart w:id="100" w:name="_Toc103679301"/>
      <w:bookmarkStart w:id="101" w:name="_Toc129703142"/>
      <w:r w:rsidRPr="00D23139">
        <w:t>Specific conditions of registration applying to these goods</w:t>
      </w:r>
      <w:bookmarkEnd w:id="100"/>
      <w:bookmarkEnd w:id="101"/>
    </w:p>
    <w:p w14:paraId="1C0B0A82" w14:textId="6A5F31EF" w:rsidR="004053E8" w:rsidRPr="006547BE" w:rsidRDefault="004053E8" w:rsidP="004053E8">
      <w:pPr>
        <w:pStyle w:val="ListBullet"/>
      </w:pPr>
      <w:bookmarkStart w:id="102" w:name="_Toc103679303"/>
      <w:bookmarkStart w:id="103" w:name="_Toc129703145"/>
      <w:r w:rsidRPr="006547BE">
        <w:t>As a post-registration commitment, a RMP prepared to the satisfaction of the TGA will be implemented in Australia.</w:t>
      </w:r>
    </w:p>
    <w:p w14:paraId="38A36125" w14:textId="77777777" w:rsidR="004053E8" w:rsidRPr="006547BE" w:rsidRDefault="004053E8" w:rsidP="004053E8">
      <w:pPr>
        <w:pStyle w:val="ListBullet"/>
      </w:pPr>
      <w:r w:rsidRPr="006547BE">
        <w:t>An obligatory component of risk management plans is routine pharmacovigilance. Routine pharmacovigilance includes the submission of periodic safety update reports (PSURs).</w:t>
      </w:r>
    </w:p>
    <w:p w14:paraId="548E8651" w14:textId="77777777" w:rsidR="004053E8" w:rsidRPr="006547BE" w:rsidRDefault="004053E8" w:rsidP="004053E8">
      <w:pPr>
        <w:pStyle w:val="ListBullet"/>
        <w:numPr>
          <w:ilvl w:val="0"/>
          <w:numId w:val="0"/>
        </w:numPr>
        <w:ind w:left="360"/>
      </w:pPr>
      <w:r w:rsidRPr="006547BE">
        <w:t>Reports are to be provided in line with the current published list of EU reference dates and frequency of submission of PSURs until the period covered by such reports is not less than three years from the date of the approval letter.</w:t>
      </w:r>
    </w:p>
    <w:p w14:paraId="0197C28E" w14:textId="77777777" w:rsidR="004053E8" w:rsidRPr="006547BE" w:rsidRDefault="004053E8" w:rsidP="004053E8">
      <w:pPr>
        <w:pStyle w:val="ListBullet"/>
        <w:numPr>
          <w:ilvl w:val="0"/>
          <w:numId w:val="0"/>
        </w:numPr>
        <w:ind w:left="360"/>
      </w:pPr>
      <w:r w:rsidRPr="006547BE">
        <w:lastRenderedPageBreak/>
        <w:t>The reports are to at least meet the requirements for PSURs as described in the European Medicines Agency’s Guideline on good pharmacovigilance practices (GVP) Module VII-periodic safety update report (Rev 1), Part VII.B Structures and processes.</w:t>
      </w:r>
    </w:p>
    <w:p w14:paraId="55AD6E2A" w14:textId="40A7D4B4" w:rsidR="004053E8" w:rsidRPr="006547BE" w:rsidRDefault="004053E8" w:rsidP="004053E8">
      <w:pPr>
        <w:pStyle w:val="ListBullet"/>
        <w:numPr>
          <w:ilvl w:val="0"/>
          <w:numId w:val="0"/>
        </w:numPr>
        <w:ind w:left="360"/>
      </w:pPr>
      <w:r w:rsidRPr="006547BE">
        <w:t xml:space="preserve">Note that submission of a PSUR does not constitute an application to vary the registration. </w:t>
      </w:r>
    </w:p>
    <w:p w14:paraId="062B6E99" w14:textId="4E6AC17A" w:rsidR="004053E8" w:rsidRPr="006547BE" w:rsidRDefault="004053E8" w:rsidP="004053E8">
      <w:pPr>
        <w:pStyle w:val="ListBullet"/>
      </w:pPr>
      <w:r w:rsidRPr="006547BE">
        <w:t>The final clinical study report (CSR) for Study V503-021-01 should be provided to the TGA, once available.</w:t>
      </w:r>
    </w:p>
    <w:p w14:paraId="451DC3FC" w14:textId="793BCCC4" w:rsidR="00C22214" w:rsidRDefault="00C22214" w:rsidP="004053E8">
      <w:pPr>
        <w:pStyle w:val="Heading2"/>
      </w:pPr>
      <w:r>
        <w:t>Attachment 1. Product Information</w:t>
      </w:r>
      <w:bookmarkEnd w:id="102"/>
      <w:bookmarkEnd w:id="103"/>
    </w:p>
    <w:p w14:paraId="21F47164" w14:textId="717E3215" w:rsidR="00C22214" w:rsidRPr="00BD5DBD" w:rsidRDefault="00C22214" w:rsidP="00C22214">
      <w:pPr>
        <w:rPr>
          <w:szCs w:val="22"/>
        </w:rPr>
      </w:pPr>
      <w:r w:rsidRPr="00BD5DBD">
        <w:rPr>
          <w:szCs w:val="22"/>
        </w:rPr>
        <w:t>The PI for</w:t>
      </w:r>
      <w:r w:rsidR="004053E8">
        <w:rPr>
          <w:szCs w:val="22"/>
        </w:rPr>
        <w:t xml:space="preserve"> Gardasil 9</w:t>
      </w:r>
      <w:r w:rsidRPr="00BD5DBD">
        <w:rPr>
          <w:szCs w:val="22"/>
        </w:rPr>
        <w:t xml:space="preserve"> approved with the submission which is described in this AusPAR is at Attachment 1. For the most recent PI, please refer to the TGA </w:t>
      </w:r>
      <w:hyperlink r:id="rId46"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47"/>
          <w:footerReference w:type="default" r:id="rId4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77777777" w:rsidR="00F02AEC" w:rsidRDefault="00F02AEC">
            <w:pPr>
              <w:pStyle w:val="Address"/>
              <w:jc w:val="center"/>
              <w:rPr>
                <w:sz w:val="22"/>
                <w:szCs w:val="22"/>
              </w:rPr>
            </w:pPr>
            <w:r w:rsidRPr="00215D48">
              <w:t xml:space="preserve">Email: </w:t>
            </w:r>
            <w:hyperlink r:id="rId49" w:history="1">
              <w:r w:rsidRPr="00215D48">
                <w:rPr>
                  <w:rStyle w:val="Hyperlink"/>
                </w:rPr>
                <w:t>info@tga.gov.au</w:t>
              </w:r>
            </w:hyperlink>
            <w:r w:rsidRPr="00215D48">
              <w:t xml:space="preserve">  Phone: 1800 020 653  Fax: </w:t>
            </w:r>
            <w:r w:rsidRPr="00BA0DFC">
              <w:t>02 6203 1605</w:t>
            </w:r>
          </w:p>
          <w:p w14:paraId="4533D80F" w14:textId="77777777" w:rsidR="00F02AEC" w:rsidRPr="00215D48" w:rsidRDefault="005C10C9">
            <w:pPr>
              <w:pStyle w:val="Address"/>
              <w:jc w:val="center"/>
              <w:rPr>
                <w:rStyle w:val="Hyperlink"/>
                <w:b/>
                <w:color w:val="auto"/>
                <w:sz w:val="22"/>
              </w:rPr>
            </w:pPr>
            <w:hyperlink r:id="rId50"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1"/>
      <w:footerReference w:type="first" r:id="rId5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49601" w14:textId="77777777" w:rsidR="008F2A9C" w:rsidRDefault="008F2A9C" w:rsidP="00F02AEC">
      <w:pPr>
        <w:spacing w:after="0" w:line="240" w:lineRule="auto"/>
      </w:pPr>
      <w:r>
        <w:separator/>
      </w:r>
    </w:p>
  </w:endnote>
  <w:endnote w:type="continuationSeparator" w:id="0">
    <w:p w14:paraId="264C7E63" w14:textId="77777777" w:rsidR="008F2A9C" w:rsidRDefault="008F2A9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00"/>
    <w:family w:val="auto"/>
    <w:notTrueType/>
    <w:pitch w:val="default"/>
    <w:sig w:usb0="00000003" w:usb1="080F0000" w:usb2="00000010" w:usb3="00000000" w:csb0="001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5C10C9">
                <w:fldChar w:fldCharType="begin"/>
              </w:r>
              <w:r w:rsidR="005C10C9">
                <w:instrText xml:space="preserve"> NUMPAGES  </w:instrText>
              </w:r>
              <w:r w:rsidR="005C10C9">
                <w:fldChar w:fldCharType="separate"/>
              </w:r>
              <w:r>
                <w:rPr>
                  <w:noProof/>
                </w:rPr>
                <w:t>2</w:t>
              </w:r>
              <w:r w:rsidR="005C10C9">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076AAA2" w:rsidR="007452E8" w:rsidRPr="004A3084" w:rsidRDefault="007452E8" w:rsidP="007452E8">
          <w:pPr>
            <w:pStyle w:val="Footer"/>
          </w:pPr>
          <w:r w:rsidRPr="00487162">
            <w:t>AusPA</w:t>
          </w:r>
          <w:r>
            <w:t xml:space="preserve">R </w:t>
          </w:r>
          <w:r w:rsidR="0088139F">
            <w:t>–</w:t>
          </w:r>
          <w:r>
            <w:t xml:space="preserve"> </w:t>
          </w:r>
          <w:r w:rsidR="0088139F">
            <w:t>Gardasil 9</w:t>
          </w:r>
          <w:r>
            <w:t xml:space="preserve"> -</w:t>
          </w:r>
          <w:r w:rsidRPr="00460036">
            <w:t xml:space="preserve"> </w:t>
          </w:r>
          <w:r w:rsidR="0088139F" w:rsidRPr="0088139F">
            <w:t>Human papillomavirus 9-valent vaccine, recombinant</w:t>
          </w:r>
          <w:r w:rsidRPr="00460036">
            <w:t xml:space="preserve"> </w:t>
          </w:r>
          <w:r w:rsidR="008C754C">
            <w:t>-</w:t>
          </w:r>
          <w:r>
            <w:t xml:space="preserve"> </w:t>
          </w:r>
          <w:r w:rsidR="0088139F" w:rsidRPr="0088139F">
            <w:t>Merck Sharp &amp; Dohme (Australia) Pty Ltd</w:t>
          </w:r>
          <w:r>
            <w:t xml:space="preserve"> - </w:t>
          </w:r>
          <w:r w:rsidR="0088139F" w:rsidRPr="0088139F">
            <w:t>PM-2021-01645-1-2</w:t>
          </w:r>
          <w:r>
            <w:br/>
          </w:r>
          <w:r w:rsidR="00DF602B">
            <w:t>FINAL</w:t>
          </w:r>
          <w:r w:rsidRPr="00487162">
            <w:t xml:space="preserve"> </w:t>
          </w:r>
          <w:r w:rsidR="006613E1">
            <w:t>3</w:t>
          </w:r>
          <w:r w:rsidR="00DF602B">
            <w:t>1</w:t>
          </w:r>
          <w:r w:rsidR="006613E1">
            <w:t xml:space="preserve"> </w:t>
          </w:r>
          <w:r w:rsidR="00DF602B">
            <w:t>August</w:t>
          </w:r>
          <w:r w:rsidR="006613E1">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5C10C9">
                <w:fldChar w:fldCharType="begin"/>
              </w:r>
              <w:r w:rsidR="005C10C9">
                <w:instrText xml:space="preserve"> NUMPAGES  </w:instrText>
              </w:r>
              <w:r w:rsidR="005C10C9">
                <w:fldChar w:fldCharType="separate"/>
              </w:r>
              <w:r w:rsidR="006D6B44">
                <w:rPr>
                  <w:noProof/>
                </w:rPr>
                <w:t>17</w:t>
              </w:r>
              <w:r w:rsidR="005C10C9">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9DFB7" w14:textId="77777777" w:rsidR="008F2A9C" w:rsidRDefault="008F2A9C" w:rsidP="00F02AEC">
      <w:pPr>
        <w:spacing w:after="0" w:line="240" w:lineRule="auto"/>
      </w:pPr>
      <w:r>
        <w:separator/>
      </w:r>
    </w:p>
  </w:footnote>
  <w:footnote w:type="continuationSeparator" w:id="0">
    <w:p w14:paraId="44C50D44" w14:textId="77777777" w:rsidR="008F2A9C" w:rsidRDefault="008F2A9C"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62305EAE" w14:textId="3A78A6C0" w:rsidR="004154EC" w:rsidRDefault="004154EC">
      <w:pPr>
        <w:pStyle w:val="FootnoteText"/>
      </w:pPr>
      <w:r>
        <w:rPr>
          <w:rStyle w:val="FootnoteReference"/>
        </w:rPr>
        <w:footnoteRef/>
      </w:r>
      <w:r>
        <w:t xml:space="preserve"> Gardasil was first registered in Australia on 22 June 2006. ARTG number: </w:t>
      </w:r>
      <w:r w:rsidRPr="0040051C">
        <w:t>114408, 114410</w:t>
      </w:r>
    </w:p>
  </w:footnote>
  <w:footnote w:id="3">
    <w:p w14:paraId="1E2A8B3A" w14:textId="7D3B5EFB" w:rsidR="004154EC" w:rsidRDefault="004154EC">
      <w:pPr>
        <w:pStyle w:val="FootnoteText"/>
      </w:pPr>
      <w:r>
        <w:rPr>
          <w:rStyle w:val="FootnoteReference"/>
        </w:rPr>
        <w:footnoteRef/>
      </w:r>
      <w:r>
        <w:t xml:space="preserve"> </w:t>
      </w:r>
      <w:r w:rsidRPr="0040051C">
        <w:t>C</w:t>
      </w:r>
      <w:r>
        <w:t xml:space="preserve">ervarix was first registered in Australia on 18 May 2007. ARTG number: </w:t>
      </w:r>
      <w:r w:rsidRPr="0040051C">
        <w:t>126114, 126115</w:t>
      </w:r>
    </w:p>
  </w:footnote>
  <w:footnote w:id="4">
    <w:p w14:paraId="28AD60FE" w14:textId="01E194D6" w:rsidR="004154EC" w:rsidRDefault="004154EC">
      <w:pPr>
        <w:pStyle w:val="FootnoteText"/>
      </w:pPr>
      <w:r>
        <w:rPr>
          <w:rStyle w:val="FootnoteReference"/>
        </w:rPr>
        <w:footnoteRef/>
      </w:r>
      <w:r>
        <w:t xml:space="preserve"> Gardasil 9 was first registered in Australia on 29 June 2015. ARTG number: </w:t>
      </w:r>
      <w:r w:rsidRPr="0040051C">
        <w:t>224092, 224093</w:t>
      </w:r>
    </w:p>
  </w:footnote>
  <w:footnote w:id="5">
    <w:p w14:paraId="44ABFD31" w14:textId="770BE82A" w:rsidR="00D422BA" w:rsidRDefault="00D422BA" w:rsidP="00FF4962">
      <w:pPr>
        <w:pStyle w:val="FootnoteText"/>
      </w:pPr>
      <w:r>
        <w:rPr>
          <w:rStyle w:val="FootnoteReference"/>
        </w:rPr>
        <w:footnoteRef/>
      </w:r>
      <w:r>
        <w:t xml:space="preserve"> </w:t>
      </w:r>
      <w:r w:rsidR="006613E1" w:rsidRPr="006613E1">
        <w:t>A provisional determination for the originally proposed extension of indications was granted on 7 January 2021. On 4 April 2023, this determination was revoked at the sponsor’s request. The sponsor applied for the extension of indication regarding an increase of the male age group from 9-26 years to 9-45 years to be considered as an application for full registration, and in this application the sponsor did not include an oropharyngeal and other head and neck cancer component.</w:t>
      </w:r>
    </w:p>
  </w:footnote>
  <w:footnote w:id="6">
    <w:p w14:paraId="0DFD480C" w14:textId="7EF75AA0" w:rsidR="00AF3535" w:rsidRDefault="00AF3535">
      <w:pPr>
        <w:pStyle w:val="FootnoteText"/>
      </w:pPr>
      <w:r>
        <w:rPr>
          <w:rStyle w:val="FootnoteReference"/>
        </w:rPr>
        <w:footnoteRef/>
      </w:r>
      <w:r>
        <w:t xml:space="preserve"> </w:t>
      </w:r>
      <w:r w:rsidRPr="00AF3535">
        <w:t>International scientific guideline: Guideline on clinical evaluation of new vaccines</w:t>
      </w:r>
      <w:r>
        <w:t xml:space="preserve"> - </w:t>
      </w:r>
      <w:r w:rsidRPr="00AF3535">
        <w:t>EMEA/CHMP/VWP/164653/2005 adopted by the Therapeutic Goods Administration (TGA)</w:t>
      </w:r>
    </w:p>
  </w:footnote>
  <w:footnote w:id="7">
    <w:p w14:paraId="06A40722" w14:textId="40521B58" w:rsidR="00CA4A9A" w:rsidRDefault="00CA4A9A">
      <w:pPr>
        <w:pStyle w:val="FootnoteText"/>
      </w:pPr>
      <w:r>
        <w:rPr>
          <w:rStyle w:val="FootnoteReference"/>
        </w:rPr>
        <w:footnoteRef/>
      </w:r>
      <w:r>
        <w:t xml:space="preserve"> </w:t>
      </w:r>
      <w:r w:rsidRPr="00CA4A9A">
        <w:t>AusPAR</w:t>
      </w:r>
      <w:r>
        <w:t xml:space="preserve"> for </w:t>
      </w:r>
      <w:r w:rsidRPr="00CA4A9A">
        <w:t>Gardasil</w:t>
      </w:r>
      <w:r>
        <w:t xml:space="preserve"> (h</w:t>
      </w:r>
      <w:r w:rsidRPr="00CA4A9A">
        <w:t>uman papillomavirus (Types 6, 11, 16 &amp; 18) quadrivalent recombinant vaccine</w:t>
      </w:r>
      <w:r>
        <w:t xml:space="preserve">) available at </w:t>
      </w:r>
      <w:r w:rsidRPr="00CA4A9A">
        <w:t>https://www.tga.gov.au/resources/auspar/auspar-human-papillomavirus-types-6-11-16-18-quadrivalent-recombinant-vaccine</w:t>
      </w:r>
    </w:p>
  </w:footnote>
  <w:footnote w:id="8">
    <w:p w14:paraId="3EDB78C7" w14:textId="60A6B440" w:rsidR="00CA4A9A" w:rsidRDefault="00CA4A9A">
      <w:pPr>
        <w:pStyle w:val="FootnoteText"/>
      </w:pPr>
      <w:r>
        <w:rPr>
          <w:rStyle w:val="FootnoteReference"/>
        </w:rPr>
        <w:footnoteRef/>
      </w:r>
      <w:r>
        <w:t xml:space="preserve"> </w:t>
      </w:r>
      <w:r w:rsidRPr="00CA4A9A">
        <w:t xml:space="preserve">Giuliano AR, et al. Immunogenicity and safety of Gardasil among mid-adult aged men (27-45 years)--The MAM Study. </w:t>
      </w:r>
      <w:r w:rsidRPr="00CA4A9A">
        <w:rPr>
          <w:i/>
          <w:iCs/>
        </w:rPr>
        <w:t>Vaccine</w:t>
      </w:r>
      <w:r w:rsidRPr="00CA4A9A">
        <w:t>. 2015;33(42):5640-5646.</w:t>
      </w:r>
    </w:p>
  </w:footnote>
  <w:footnote w:id="9">
    <w:p w14:paraId="2B98931F" w14:textId="4EEF56E5" w:rsidR="000F3590" w:rsidRDefault="000F3590">
      <w:pPr>
        <w:pStyle w:val="FootnoteText"/>
      </w:pPr>
      <w:r>
        <w:rPr>
          <w:rStyle w:val="FootnoteReference"/>
        </w:rPr>
        <w:footnoteRef/>
      </w:r>
      <w:r>
        <w:t xml:space="preserve"> AusPAR for Gardasil 9 (</w:t>
      </w:r>
      <w:r w:rsidRPr="000F3590">
        <w:t>Human Papillomavirus 9 valent vaccine</w:t>
      </w:r>
      <w:r>
        <w:t xml:space="preserve">), available at </w:t>
      </w:r>
      <w:r w:rsidRPr="000F3590">
        <w:t>https://www.tga.gov.au/resources/auspar/auspar-human-papillomavirus-9-valent-vaccine</w:t>
      </w:r>
    </w:p>
  </w:footnote>
  <w:footnote w:id="10">
    <w:p w14:paraId="3A5A706C" w14:textId="4E7812C5" w:rsidR="00E67062" w:rsidRDefault="00E67062">
      <w:pPr>
        <w:pStyle w:val="FootnoteText"/>
      </w:pPr>
      <w:r>
        <w:rPr>
          <w:rStyle w:val="FootnoteReference"/>
        </w:rPr>
        <w:footnoteRef/>
      </w:r>
      <w:r>
        <w:t xml:space="preserve"> CIN2/3 are a</w:t>
      </w:r>
      <w:r w:rsidRPr="00E67062">
        <w:t>bnormal cells are found on the surface of the cervix. CIN 2/3 is usually caused by certain types of human papillomavirus (HPV) and is found when a cervical biopsy is done. CIN 2/3 has features of CIN 2 and CIN 3. It is not cancer, but may become cancer and spread to nearby normal tissue if not treated. Treatment for CIN 2/3 may include cryotherapy, laser therapy, loop electrosurgical procedure (LEEP), or cone biopsy to remove or destroy the abnormal tissue. Also called cervical intraepithelial neoplasia grade 2/3.</w:t>
      </w:r>
    </w:p>
  </w:footnote>
  <w:footnote w:id="11">
    <w:p w14:paraId="7472BDB5" w14:textId="20B21A3F" w:rsidR="00E67062" w:rsidRDefault="00E67062">
      <w:pPr>
        <w:pStyle w:val="FootnoteText"/>
      </w:pPr>
      <w:r>
        <w:rPr>
          <w:rStyle w:val="FootnoteReference"/>
        </w:rPr>
        <w:footnoteRef/>
      </w:r>
      <w:r>
        <w:t xml:space="preserve"> AIS is a</w:t>
      </w:r>
      <w:r w:rsidRPr="00E67062">
        <w:t xml:space="preserve"> condition in which abnormal cells are found in the glandular tissue, which lines certain internal organs and makes and releases substances in the body, such as mucus, digestive juices, and other fluids. These abnormal cells may become cancer and spread into nearby normal tissue. AIS occurs most often in the cervix and lung. Also called </w:t>
      </w:r>
      <w:r w:rsidRPr="00E67062">
        <w:rPr>
          <w:i/>
          <w:iCs/>
        </w:rPr>
        <w:t>adenocarcinoma in situ</w:t>
      </w:r>
      <w:r w:rsidRPr="00E67062">
        <w:t>.</w:t>
      </w:r>
    </w:p>
  </w:footnote>
  <w:footnote w:id="12">
    <w:p w14:paraId="4505D4A6" w14:textId="6B71CC47" w:rsidR="002B2F50" w:rsidRDefault="002B2F50">
      <w:pPr>
        <w:pStyle w:val="FootnoteText"/>
      </w:pPr>
      <w:r>
        <w:rPr>
          <w:rStyle w:val="FootnoteReference"/>
        </w:rPr>
        <w:footnoteRef/>
      </w:r>
      <w:r>
        <w:t xml:space="preserve"> </w:t>
      </w:r>
      <w:r w:rsidRPr="002B2F50">
        <w:t xml:space="preserve">Wilkin TJ, et al. 2018. A randomized, placebo-controlled trial of the quadrivalent human papillomavirus vaccine in human immunodeficiency virus-infected adults aged 27 years or older: AIDS Clinical Trials Group protocol A5298. </w:t>
      </w:r>
      <w:r w:rsidRPr="002B2F50">
        <w:rPr>
          <w:i/>
          <w:iCs/>
        </w:rPr>
        <w:t>Clin Infect Dis</w:t>
      </w:r>
      <w:r w:rsidRPr="002B2F50">
        <w:t xml:space="preserve"> 67(9):1339-46.</w:t>
      </w:r>
    </w:p>
  </w:footnote>
  <w:footnote w:id="13">
    <w:p w14:paraId="093B2806" w14:textId="056976BA" w:rsidR="002B2F50" w:rsidRDefault="002B2F50">
      <w:pPr>
        <w:pStyle w:val="FootnoteText"/>
      </w:pPr>
      <w:r>
        <w:rPr>
          <w:rStyle w:val="FootnoteReference"/>
        </w:rPr>
        <w:footnoteRef/>
      </w:r>
      <w:r>
        <w:t xml:space="preserve"> </w:t>
      </w:r>
      <w:r w:rsidRPr="002B2F50">
        <w:t>Garland SM, et al. 2016.</w:t>
      </w:r>
      <w:r>
        <w:t xml:space="preserve"> </w:t>
      </w:r>
      <w:r w:rsidRPr="002B2F50">
        <w:t>Impact and Effectiveness of the Quadrivalent Human Papillomavirus Vaccine: A Systematic Review of 10 Years of Real</w:t>
      </w:r>
      <w:r>
        <w:t xml:space="preserve"> </w:t>
      </w:r>
      <w:r w:rsidRPr="002B2F50">
        <w:t xml:space="preserve">world Experience. </w:t>
      </w:r>
      <w:r w:rsidRPr="002B2F50">
        <w:rPr>
          <w:i/>
          <w:iCs/>
        </w:rPr>
        <w:t>Clin Infect Dis</w:t>
      </w:r>
      <w:r w:rsidRPr="002B2F50">
        <w:t xml:space="preserve"> 63(4):519-27.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C10C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4668"/>
    <w:multiLevelType w:val="hybridMultilevel"/>
    <w:tmpl w:val="B416586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05F00297"/>
    <w:multiLevelType w:val="hybridMultilevel"/>
    <w:tmpl w:val="6C8244E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E9108CD"/>
    <w:multiLevelType w:val="hybridMultilevel"/>
    <w:tmpl w:val="31C6F41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3F4F0D73"/>
    <w:multiLevelType w:val="hybridMultilevel"/>
    <w:tmpl w:val="44E69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5F22075"/>
    <w:multiLevelType w:val="hybridMultilevel"/>
    <w:tmpl w:val="D608A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C5C1B87"/>
    <w:multiLevelType w:val="hybridMultilevel"/>
    <w:tmpl w:val="860AC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A85243"/>
    <w:multiLevelType w:val="hybridMultilevel"/>
    <w:tmpl w:val="21669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15:restartNumberingAfterBreak="0">
    <w:nsid w:val="78C0246F"/>
    <w:multiLevelType w:val="hybridMultilevel"/>
    <w:tmpl w:val="DF928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9819F5"/>
    <w:multiLevelType w:val="hybridMultilevel"/>
    <w:tmpl w:val="0ADE20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91264994">
    <w:abstractNumId w:val="5"/>
  </w:num>
  <w:num w:numId="2" w16cid:durableId="1933856555">
    <w:abstractNumId w:val="3"/>
  </w:num>
  <w:num w:numId="3" w16cid:durableId="2112626337">
    <w:abstractNumId w:val="4"/>
  </w:num>
  <w:num w:numId="4" w16cid:durableId="2120025989">
    <w:abstractNumId w:val="11"/>
  </w:num>
  <w:num w:numId="5" w16cid:durableId="2036611736">
    <w:abstractNumId w:val="6"/>
  </w:num>
  <w:num w:numId="6" w16cid:durableId="825709931">
    <w:abstractNumId w:val="10"/>
  </w:num>
  <w:num w:numId="7" w16cid:durableId="143959446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567186122">
    <w:abstractNumId w:val="1"/>
  </w:num>
  <w:num w:numId="9" w16cid:durableId="15224724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5630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1538324">
    <w:abstractNumId w:val="15"/>
  </w:num>
  <w:num w:numId="12" w16cid:durableId="1702777987">
    <w:abstractNumId w:val="0"/>
  </w:num>
  <w:num w:numId="13" w16cid:durableId="2022508876">
    <w:abstractNumId w:val="8"/>
  </w:num>
  <w:num w:numId="14" w16cid:durableId="1713536383">
    <w:abstractNumId w:val="9"/>
  </w:num>
  <w:num w:numId="15" w16cid:durableId="1347631235">
    <w:abstractNumId w:val="7"/>
  </w:num>
  <w:num w:numId="16" w16cid:durableId="1913352808">
    <w:abstractNumId w:val="12"/>
  </w:num>
  <w:num w:numId="17" w16cid:durableId="1534729944">
    <w:abstractNumId w:val="2"/>
  </w:num>
  <w:num w:numId="18" w16cid:durableId="16824630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51616"/>
    <w:rsid w:val="00066617"/>
    <w:rsid w:val="00077844"/>
    <w:rsid w:val="00094B81"/>
    <w:rsid w:val="000975AA"/>
    <w:rsid w:val="000D7934"/>
    <w:rsid w:val="000E7A75"/>
    <w:rsid w:val="000F3590"/>
    <w:rsid w:val="00101FB1"/>
    <w:rsid w:val="0012473C"/>
    <w:rsid w:val="0013132F"/>
    <w:rsid w:val="0013528C"/>
    <w:rsid w:val="00165D28"/>
    <w:rsid w:val="00175CD8"/>
    <w:rsid w:val="00193AA8"/>
    <w:rsid w:val="001C1C2E"/>
    <w:rsid w:val="0020369B"/>
    <w:rsid w:val="00213FC8"/>
    <w:rsid w:val="00226F39"/>
    <w:rsid w:val="00241B60"/>
    <w:rsid w:val="00286CFB"/>
    <w:rsid w:val="002B2F50"/>
    <w:rsid w:val="002B30DC"/>
    <w:rsid w:val="002C5E29"/>
    <w:rsid w:val="002D7127"/>
    <w:rsid w:val="003008D8"/>
    <w:rsid w:val="00303959"/>
    <w:rsid w:val="00312AC3"/>
    <w:rsid w:val="00314430"/>
    <w:rsid w:val="00324B33"/>
    <w:rsid w:val="003273DA"/>
    <w:rsid w:val="0034584A"/>
    <w:rsid w:val="00346EC2"/>
    <w:rsid w:val="0035444D"/>
    <w:rsid w:val="00366312"/>
    <w:rsid w:val="0037688E"/>
    <w:rsid w:val="00377CB8"/>
    <w:rsid w:val="00395140"/>
    <w:rsid w:val="003B149C"/>
    <w:rsid w:val="003C20A8"/>
    <w:rsid w:val="003C2C68"/>
    <w:rsid w:val="003D71A1"/>
    <w:rsid w:val="0040051C"/>
    <w:rsid w:val="004053E8"/>
    <w:rsid w:val="004154EC"/>
    <w:rsid w:val="0041688F"/>
    <w:rsid w:val="0042376F"/>
    <w:rsid w:val="004246B8"/>
    <w:rsid w:val="00433318"/>
    <w:rsid w:val="00456BA2"/>
    <w:rsid w:val="00477C4E"/>
    <w:rsid w:val="00491A55"/>
    <w:rsid w:val="004B3081"/>
    <w:rsid w:val="00506C15"/>
    <w:rsid w:val="00521634"/>
    <w:rsid w:val="00535DFE"/>
    <w:rsid w:val="005363A3"/>
    <w:rsid w:val="00544497"/>
    <w:rsid w:val="00562F42"/>
    <w:rsid w:val="00566DB3"/>
    <w:rsid w:val="0056766D"/>
    <w:rsid w:val="0058575E"/>
    <w:rsid w:val="0058783C"/>
    <w:rsid w:val="005911AE"/>
    <w:rsid w:val="0059313A"/>
    <w:rsid w:val="005B023F"/>
    <w:rsid w:val="005B2303"/>
    <w:rsid w:val="005C10C9"/>
    <w:rsid w:val="005C6941"/>
    <w:rsid w:val="005D2089"/>
    <w:rsid w:val="005D2231"/>
    <w:rsid w:val="005D7514"/>
    <w:rsid w:val="005E1A7B"/>
    <w:rsid w:val="006277A1"/>
    <w:rsid w:val="006351D9"/>
    <w:rsid w:val="00637130"/>
    <w:rsid w:val="00637F0E"/>
    <w:rsid w:val="00641F08"/>
    <w:rsid w:val="006423F2"/>
    <w:rsid w:val="006547BE"/>
    <w:rsid w:val="006613E1"/>
    <w:rsid w:val="00692CCD"/>
    <w:rsid w:val="006A1F0B"/>
    <w:rsid w:val="006A277A"/>
    <w:rsid w:val="006D6B44"/>
    <w:rsid w:val="007072A1"/>
    <w:rsid w:val="00710BC5"/>
    <w:rsid w:val="00714F56"/>
    <w:rsid w:val="0072003B"/>
    <w:rsid w:val="0072058B"/>
    <w:rsid w:val="007256B3"/>
    <w:rsid w:val="007357B9"/>
    <w:rsid w:val="007452E8"/>
    <w:rsid w:val="00746990"/>
    <w:rsid w:val="00750D70"/>
    <w:rsid w:val="00793272"/>
    <w:rsid w:val="00797C44"/>
    <w:rsid w:val="007A3E1A"/>
    <w:rsid w:val="007A7653"/>
    <w:rsid w:val="007B04DE"/>
    <w:rsid w:val="007B4310"/>
    <w:rsid w:val="007C2EB5"/>
    <w:rsid w:val="007C57BC"/>
    <w:rsid w:val="007D4138"/>
    <w:rsid w:val="007F0A77"/>
    <w:rsid w:val="007F50D3"/>
    <w:rsid w:val="0083048D"/>
    <w:rsid w:val="008329DB"/>
    <w:rsid w:val="008361C5"/>
    <w:rsid w:val="0083628F"/>
    <w:rsid w:val="00837761"/>
    <w:rsid w:val="00837AB9"/>
    <w:rsid w:val="00845E63"/>
    <w:rsid w:val="00850637"/>
    <w:rsid w:val="00854D98"/>
    <w:rsid w:val="00860B29"/>
    <w:rsid w:val="00875C1A"/>
    <w:rsid w:val="008804CF"/>
    <w:rsid w:val="0088139F"/>
    <w:rsid w:val="008964B3"/>
    <w:rsid w:val="008A16D0"/>
    <w:rsid w:val="008C49C6"/>
    <w:rsid w:val="008C754C"/>
    <w:rsid w:val="008D6A54"/>
    <w:rsid w:val="008F2A9C"/>
    <w:rsid w:val="0090605E"/>
    <w:rsid w:val="009108CE"/>
    <w:rsid w:val="00915A9F"/>
    <w:rsid w:val="00930D58"/>
    <w:rsid w:val="00954C3F"/>
    <w:rsid w:val="00963BAD"/>
    <w:rsid w:val="00966EF1"/>
    <w:rsid w:val="0098350E"/>
    <w:rsid w:val="00996FA5"/>
    <w:rsid w:val="009E5AB7"/>
    <w:rsid w:val="009E6F8C"/>
    <w:rsid w:val="00A01C56"/>
    <w:rsid w:val="00A358E7"/>
    <w:rsid w:val="00A42922"/>
    <w:rsid w:val="00A4415B"/>
    <w:rsid w:val="00A51A2D"/>
    <w:rsid w:val="00A63D9B"/>
    <w:rsid w:val="00A83339"/>
    <w:rsid w:val="00A843DC"/>
    <w:rsid w:val="00A93DC6"/>
    <w:rsid w:val="00AB7CBF"/>
    <w:rsid w:val="00AD5752"/>
    <w:rsid w:val="00AE1947"/>
    <w:rsid w:val="00AE1D85"/>
    <w:rsid w:val="00AF3535"/>
    <w:rsid w:val="00B430AC"/>
    <w:rsid w:val="00B469E2"/>
    <w:rsid w:val="00B46BC0"/>
    <w:rsid w:val="00B55681"/>
    <w:rsid w:val="00B65CFD"/>
    <w:rsid w:val="00B967FF"/>
    <w:rsid w:val="00BA7F7D"/>
    <w:rsid w:val="00BB1C14"/>
    <w:rsid w:val="00BD07DF"/>
    <w:rsid w:val="00BD5DBD"/>
    <w:rsid w:val="00BF07A0"/>
    <w:rsid w:val="00BF4638"/>
    <w:rsid w:val="00C07551"/>
    <w:rsid w:val="00C22214"/>
    <w:rsid w:val="00C407AB"/>
    <w:rsid w:val="00C52266"/>
    <w:rsid w:val="00C570FF"/>
    <w:rsid w:val="00C6133B"/>
    <w:rsid w:val="00C6574E"/>
    <w:rsid w:val="00C816C6"/>
    <w:rsid w:val="00CA4A9A"/>
    <w:rsid w:val="00CB0550"/>
    <w:rsid w:val="00D01DDB"/>
    <w:rsid w:val="00D0315D"/>
    <w:rsid w:val="00D078BE"/>
    <w:rsid w:val="00D13F8A"/>
    <w:rsid w:val="00D23704"/>
    <w:rsid w:val="00D42059"/>
    <w:rsid w:val="00D422BA"/>
    <w:rsid w:val="00D62877"/>
    <w:rsid w:val="00D63760"/>
    <w:rsid w:val="00D72DDC"/>
    <w:rsid w:val="00D918D5"/>
    <w:rsid w:val="00D920C0"/>
    <w:rsid w:val="00D94C8E"/>
    <w:rsid w:val="00DB192C"/>
    <w:rsid w:val="00DB1CF3"/>
    <w:rsid w:val="00DF3DDA"/>
    <w:rsid w:val="00DF5BFE"/>
    <w:rsid w:val="00DF602B"/>
    <w:rsid w:val="00E01C94"/>
    <w:rsid w:val="00E128D1"/>
    <w:rsid w:val="00E47E0C"/>
    <w:rsid w:val="00E51813"/>
    <w:rsid w:val="00E53D3F"/>
    <w:rsid w:val="00E5579B"/>
    <w:rsid w:val="00E61886"/>
    <w:rsid w:val="00E67062"/>
    <w:rsid w:val="00ED7F65"/>
    <w:rsid w:val="00F01587"/>
    <w:rsid w:val="00F02AEC"/>
    <w:rsid w:val="00F157FC"/>
    <w:rsid w:val="00F30AF3"/>
    <w:rsid w:val="00F657B4"/>
    <w:rsid w:val="00F865A7"/>
    <w:rsid w:val="00FA0754"/>
    <w:rsid w:val="00FA1BC9"/>
    <w:rsid w:val="00FA49C3"/>
    <w:rsid w:val="00FB236E"/>
    <w:rsid w:val="00FC6F56"/>
    <w:rsid w:val="00FE087C"/>
    <w:rsid w:val="00FF4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CA4A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A8333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character" w:customStyle="1" w:styleId="Heading7Char">
    <w:name w:val="Heading 7 Char"/>
    <w:basedOn w:val="DefaultParagraphFont"/>
    <w:link w:val="Heading7"/>
    <w:uiPriority w:val="9"/>
    <w:rsid w:val="00A83339"/>
    <w:rPr>
      <w:rFonts w:asciiTheme="majorHAnsi" w:eastAsiaTheme="majorEastAsia" w:hAnsiTheme="majorHAnsi" w:cstheme="majorBidi"/>
      <w:i/>
      <w:iCs/>
      <w:color w:val="1F3763" w:themeColor="accent1" w:themeShade="7F"/>
      <w:sz w:val="22"/>
    </w:rPr>
  </w:style>
  <w:style w:type="paragraph" w:styleId="ListParagraph">
    <w:name w:val="List Paragraph"/>
    <w:basedOn w:val="Normal"/>
    <w:uiPriority w:val="34"/>
    <w:qFormat/>
    <w:rsid w:val="00714F56"/>
    <w:pPr>
      <w:adjustRightInd w:val="0"/>
      <w:snapToGrid w:val="0"/>
      <w:spacing w:before="180" w:after="180" w:line="240" w:lineRule="atLeast"/>
      <w:ind w:left="720"/>
      <w:contextualSpacing/>
    </w:pPr>
    <w:rPr>
      <w:rFonts w:eastAsia="MS Mincho" w:cs="Times New Roman"/>
      <w:lang w:eastAsia="ja-JP"/>
    </w:rPr>
  </w:style>
  <w:style w:type="character" w:customStyle="1" w:styleId="Heading1Char">
    <w:name w:val="Heading 1 Char"/>
    <w:basedOn w:val="DefaultParagraphFont"/>
    <w:link w:val="Heading1"/>
    <w:uiPriority w:val="9"/>
    <w:rsid w:val="00CA4A9A"/>
    <w:rPr>
      <w:rFonts w:asciiTheme="majorHAnsi" w:eastAsiaTheme="majorEastAsia" w:hAnsiTheme="majorHAnsi" w:cstheme="majorBidi"/>
      <w:color w:val="2F5496" w:themeColor="accent1" w:themeShade="BF"/>
      <w:sz w:val="32"/>
      <w:szCs w:val="32"/>
    </w:rPr>
  </w:style>
  <w:style w:type="paragraph" w:customStyle="1" w:styleId="Tabletext0">
    <w:name w:val="Table text"/>
    <w:basedOn w:val="Normal"/>
    <w:link w:val="TabletextChar"/>
    <w:qFormat/>
    <w:rsid w:val="00D72DDC"/>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D72DDC"/>
    <w:rPr>
      <w:rFonts w:ascii="Cambria" w:eastAsia="Times New Roman" w:hAnsi="Cambria" w:cs="Times New Roman"/>
      <w:snapToGrid w:val="0"/>
      <w:kern w:val="16"/>
      <w:szCs w:val="24"/>
    </w:rPr>
  </w:style>
  <w:style w:type="paragraph" w:customStyle="1" w:styleId="Bulletlist">
    <w:name w:val="Bullet list"/>
    <w:basedOn w:val="Normal"/>
    <w:link w:val="BulletlistChar"/>
    <w:qFormat/>
    <w:rsid w:val="00D72DDC"/>
    <w:pPr>
      <w:numPr>
        <w:numId w:val="17"/>
      </w:numPr>
      <w:spacing w:after="180" w:line="252" w:lineRule="auto"/>
    </w:pPr>
    <w:rPr>
      <w:rFonts w:eastAsia="Times New Roman" w:cs="Times New Roman"/>
      <w:snapToGrid w:val="0"/>
      <w:kern w:val="2"/>
      <w:sz w:val="23"/>
      <w:szCs w:val="24"/>
    </w:rPr>
  </w:style>
  <w:style w:type="character" w:customStyle="1" w:styleId="BulletlistChar">
    <w:name w:val="Bullet list Char"/>
    <w:basedOn w:val="DefaultParagraphFont"/>
    <w:link w:val="Bulletlist"/>
    <w:rsid w:val="00D72DDC"/>
    <w:rPr>
      <w:rFonts w:ascii="Cambria" w:eastAsia="Times New Roman" w:hAnsi="Cambria" w:cs="Times New Roman"/>
      <w:snapToGrid w:val="0"/>
      <w:kern w:val="2"/>
      <w:sz w:val="23"/>
      <w:szCs w:val="24"/>
    </w:rPr>
  </w:style>
  <w:style w:type="paragraph" w:customStyle="1" w:styleId="Default">
    <w:name w:val="Default"/>
    <w:rsid w:val="0083048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67064">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55690953">
      <w:bodyDiv w:val="1"/>
      <w:marLeft w:val="0"/>
      <w:marRight w:val="0"/>
      <w:marTop w:val="0"/>
      <w:marBottom w:val="0"/>
      <w:divBdr>
        <w:top w:val="none" w:sz="0" w:space="0" w:color="auto"/>
        <w:left w:val="none" w:sz="0" w:space="0" w:color="auto"/>
        <w:bottom w:val="none" w:sz="0" w:space="0" w:color="auto"/>
        <w:right w:val="none" w:sz="0" w:space="0" w:color="auto"/>
      </w:divBdr>
    </w:div>
    <w:div w:id="659192770">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2465497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24923437">
      <w:bodyDiv w:val="1"/>
      <w:marLeft w:val="0"/>
      <w:marRight w:val="0"/>
      <w:marTop w:val="0"/>
      <w:marBottom w:val="0"/>
      <w:divBdr>
        <w:top w:val="none" w:sz="0" w:space="0" w:color="auto"/>
        <w:left w:val="none" w:sz="0" w:space="0" w:color="auto"/>
        <w:bottom w:val="none" w:sz="0" w:space="0" w:color="auto"/>
        <w:right w:val="none" w:sz="0" w:space="0" w:color="auto"/>
      </w:divBdr>
    </w:div>
    <w:div w:id="177065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tga.gov.au/products/australian-register-therapeutic-goods-artg"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header" Target="header3.xml"/><Relationship Id="rId50" Type="http://schemas.openxmlformats.org/officeDocument/2006/relationships/hyperlink" Target="https://www.tga.gov.au"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tga.gov.au/black-triangle-scheme" TargetMode="External"/><Relationship Id="rId25"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hyperlink" Target="https://www.tga.gov.au/picmi-search-facility" TargetMode="External"/><Relationship Id="rId2" Type="http://schemas.openxmlformats.org/officeDocument/2006/relationships/customXml" Target="../customXml/item2.xml"/><Relationship Id="rId16" Type="http://schemas.openxmlformats.org/officeDocument/2006/relationships/hyperlink" Target="mailto:tga.copyright@tga.gov.au" TargetMode="External"/><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8.emf"/><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tga.gov.au/how-we-regulate/supply-therapeutic-good-0/supply-prescription-medicine/application-process/prescription-medicines-registration-process" TargetMode="External"/><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yperlink" Target="https://www.tga.gov.au/committee/advisory-committee-vaccines-acv" TargetMode="External"/><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tga.gov.au/australian-public-assessment-report-auspar-guidance" TargetMode="External"/><Relationship Id="rId23" Type="http://schemas.openxmlformats.org/officeDocument/2006/relationships/hyperlink" Target="https://www.tga.gov.au/picmi-search-facility" TargetMode="External"/><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hyperlink" Target="mailto:info@tga.gov.au" TargetMode="External"/><Relationship Id="rId10" Type="http://schemas.openxmlformats.org/officeDocument/2006/relationships/header" Target="header1.xml"/><Relationship Id="rId19" Type="http://schemas.openxmlformats.org/officeDocument/2006/relationships/hyperlink" Target="https://www.tga.gov.au/products/australian-register-therapeutic-goods-artg"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ga.gov.au" TargetMode="External"/><Relationship Id="rId22" Type="http://schemas.openxmlformats.org/officeDocument/2006/relationships/hyperlink" Target="https://www.tga.gov.au/products/australian-register-therapeutic-goods-artg/consumer-medicines-information-cmi"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AAFF769D30864DB32681B6C11085F2" ma:contentTypeVersion="14" ma:contentTypeDescription="Create a new document." ma:contentTypeScope="" ma:versionID="9604cdbe61d6bb4fbe0394de520ea012">
  <xsd:schema xmlns:xsd="http://www.w3.org/2001/XMLSchema" xmlns:xs="http://www.w3.org/2001/XMLSchema" xmlns:p="http://schemas.microsoft.com/office/2006/metadata/properties" xmlns:ns2="f8e007dd-a2ae-40d7-a15a-7fdace1322ad" xmlns:ns3="2da0982e-0f9d-4525-92cd-42452a6082d6" targetNamespace="http://schemas.microsoft.com/office/2006/metadata/properties" ma:root="true" ma:fieldsID="cd7a42d27349165db382032961de945b" ns2:_="" ns3:_="">
    <xsd:import namespace="f8e007dd-a2ae-40d7-a15a-7fdace1322ad"/>
    <xsd:import namespace="2da0982e-0f9d-4525-92cd-42452a608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007dd-a2ae-40d7-a15a-7fdace132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a0982e-0f9d-4525-92cd-42452a6082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71799cf-d436-4cd4-96e9-e358e7e3c8be}" ma:internalName="TaxCatchAll" ma:showField="CatchAllData" ma:web="2da0982e-0f9d-4525-92cd-42452a608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50FC8-D419-4941-A66C-DB6CA49DC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007dd-a2ae-40d7-a15a-7fdace1322ad"/>
    <ds:schemaRef ds:uri="2da0982e-0f9d-4525-92cd-42452a608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558937-25E9-4600-8597-15DB78289DAE}">
  <ds:schemaRefs>
    <ds:schemaRef ds:uri="http://schemas.microsoft.com/sharepoint/v3/contenttype/form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42</Pages>
  <Words>12659</Words>
  <Characters>72159</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Gardasil 9</dc:title>
  <dc:subject>Prescription medicines</dc:subject>
  <dc:creator>Therapeutic Goods Administration</dc:creator>
  <cp:keywords/>
  <dc:description/>
  <cp:lastModifiedBy>LACK, Janet</cp:lastModifiedBy>
  <cp:revision>3</cp:revision>
  <dcterms:created xsi:type="dcterms:W3CDTF">2023-09-05T01:02:00Z</dcterms:created>
  <dcterms:modified xsi:type="dcterms:W3CDTF">2023-09-05T01:13:00Z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901517710</vt:i4>
  </property>
  <property fmtid="{D5CDD505-2E9C-101B-9397-08002B2CF9AE}" pid="3" name="_NewReviewCycle">
    <vt:lpwstr/>
  </property>
  <property fmtid="{D5CDD505-2E9C-101B-9397-08002B2CF9AE}" pid="4" name="_EmailSubject">
    <vt:lpwstr>Please Review: Draft AusPAR for GARDASIL 9 -  human papillomavirus 9-valent vaccine, recombinant - Merck Sharp &amp; Dohme (Australia) - Pty Ltd- PM-2021-01645-1-2 [SEC=OFFICIAL]</vt:lpwstr>
  </property>
  <property fmtid="{D5CDD505-2E9C-101B-9397-08002B2CF9AE}" pid="5" name="_AuthorEmail">
    <vt:lpwstr>aujoni.mauro@msd.com</vt:lpwstr>
  </property>
  <property fmtid="{D5CDD505-2E9C-101B-9397-08002B2CF9AE}" pid="6" name="_AuthorEmailDisplayName">
    <vt:lpwstr>Mauro, Aujoni</vt:lpwstr>
  </property>
  <property fmtid="{D5CDD505-2E9C-101B-9397-08002B2CF9AE}" pid="7" name="_PreviousAdHocReviewCycleID">
    <vt:i4>-638987421</vt:i4>
  </property>
  <property fmtid="{D5CDD505-2E9C-101B-9397-08002B2CF9AE}" pid="8" name="MSIP_Label_e81acc0d-dcc4-4dc9-a2c5-be70b05a2fe6_Enabled">
    <vt:lpwstr>true</vt:lpwstr>
  </property>
  <property fmtid="{D5CDD505-2E9C-101B-9397-08002B2CF9AE}" pid="9" name="MSIP_Label_e81acc0d-dcc4-4dc9-a2c5-be70b05a2fe6_SetDate">
    <vt:lpwstr>2023-07-05T16:45:04Z</vt:lpwstr>
  </property>
  <property fmtid="{D5CDD505-2E9C-101B-9397-08002B2CF9AE}" pid="10" name="MSIP_Label_e81acc0d-dcc4-4dc9-a2c5-be70b05a2fe6_Method">
    <vt:lpwstr>Privileged</vt:lpwstr>
  </property>
  <property fmtid="{D5CDD505-2E9C-101B-9397-08002B2CF9AE}" pid="11" name="MSIP_Label_e81acc0d-dcc4-4dc9-a2c5-be70b05a2fe6_Name">
    <vt:lpwstr>e81acc0d-dcc4-4dc9-a2c5-be70b05a2fe6</vt:lpwstr>
  </property>
  <property fmtid="{D5CDD505-2E9C-101B-9397-08002B2CF9AE}" pid="12" name="MSIP_Label_e81acc0d-dcc4-4dc9-a2c5-be70b05a2fe6_SiteId">
    <vt:lpwstr>a00de4ec-48a8-43a6-be74-e31274e2060d</vt:lpwstr>
  </property>
  <property fmtid="{D5CDD505-2E9C-101B-9397-08002B2CF9AE}" pid="13" name="MSIP_Label_e81acc0d-dcc4-4dc9-a2c5-be70b05a2fe6_ActionId">
    <vt:lpwstr>62fed3c0-f760-48c5-b646-dc3d52dfa81b</vt:lpwstr>
  </property>
  <property fmtid="{D5CDD505-2E9C-101B-9397-08002B2CF9AE}" pid="14" name="MSIP_Label_e81acc0d-dcc4-4dc9-a2c5-be70b05a2fe6_ContentBits">
    <vt:lpwstr>0</vt:lpwstr>
  </property>
  <property fmtid="{D5CDD505-2E9C-101B-9397-08002B2CF9AE}" pid="15" name="MerckAIPLabel">
    <vt:lpwstr>NotClassified</vt:lpwstr>
  </property>
  <property fmtid="{D5CDD505-2E9C-101B-9397-08002B2CF9AE}" pid="16" name="MerckAIPDataExchange">
    <vt:lpwstr>!MRKMIP@NotClassified</vt:lpwstr>
  </property>
  <property fmtid="{D5CDD505-2E9C-101B-9397-08002B2CF9AE}" pid="17" name="_ReviewingToolsShownOnce">
    <vt:lpwstr/>
  </property>
</Properties>
</file>