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61DE4591" w:rsidR="00F02AEC" w:rsidRPr="00215D48" w:rsidRDefault="00346EC2" w:rsidP="007452E8">
            <w:pPr>
              <w:pStyle w:val="Title"/>
            </w:pPr>
            <w:r w:rsidRPr="00346EC2">
              <w:t xml:space="preserve">Australian Public Assessment Report for </w:t>
            </w:r>
            <w:r w:rsidR="00433D30" w:rsidRPr="00433D30">
              <w:t>MVC COVID-19 Vaccine</w:t>
            </w:r>
          </w:p>
        </w:tc>
      </w:tr>
      <w:tr w:rsidR="00F02AEC" w:rsidRPr="00215D48" w14:paraId="318A40A3" w14:textId="77777777" w:rsidTr="00346EC2">
        <w:trPr>
          <w:trHeight w:val="995"/>
        </w:trPr>
        <w:tc>
          <w:tcPr>
            <w:tcW w:w="8720" w:type="dxa"/>
          </w:tcPr>
          <w:p w14:paraId="1AA7C701" w14:textId="2E41135B" w:rsidR="00F02AEC" w:rsidRPr="00215D48" w:rsidRDefault="00346EC2" w:rsidP="007452E8">
            <w:pPr>
              <w:pStyle w:val="Subtitle"/>
              <w:ind w:left="0"/>
            </w:pPr>
            <w:r w:rsidRPr="00346EC2">
              <w:t xml:space="preserve">Active ingredient: </w:t>
            </w:r>
            <w:r w:rsidR="00433D30" w:rsidRPr="00433D30">
              <w:t>MVC-COV1901</w:t>
            </w:r>
          </w:p>
        </w:tc>
      </w:tr>
      <w:tr w:rsidR="00346EC2" w:rsidRPr="00215D48" w14:paraId="362CCAE4" w14:textId="77777777" w:rsidTr="007452E8">
        <w:trPr>
          <w:trHeight w:val="1916"/>
        </w:trPr>
        <w:tc>
          <w:tcPr>
            <w:tcW w:w="8720" w:type="dxa"/>
          </w:tcPr>
          <w:p w14:paraId="709C45C0" w14:textId="4502DBA8" w:rsidR="00346EC2" w:rsidRPr="00215D48" w:rsidRDefault="00346EC2" w:rsidP="007452E8">
            <w:pPr>
              <w:pStyle w:val="Subtitle"/>
              <w:ind w:left="0"/>
            </w:pPr>
            <w:r w:rsidRPr="00346EC2">
              <w:t>Sponsor:</w:t>
            </w:r>
            <w:r w:rsidR="00433D30">
              <w:t xml:space="preserve"> </w:t>
            </w:r>
            <w:r w:rsidR="00433D30" w:rsidRPr="00433D30">
              <w:t>Grand Pacific CRO Australia</w:t>
            </w:r>
          </w:p>
        </w:tc>
      </w:tr>
      <w:tr w:rsidR="00F02AEC" w:rsidRPr="00215D48" w14:paraId="37F2AA1F" w14:textId="77777777" w:rsidTr="007452E8">
        <w:tc>
          <w:tcPr>
            <w:tcW w:w="8720" w:type="dxa"/>
          </w:tcPr>
          <w:p w14:paraId="1FDE8DCD" w14:textId="42D0947C" w:rsidR="00F02AEC" w:rsidRPr="00215D48" w:rsidRDefault="00E40F28" w:rsidP="007452E8">
            <w:pPr>
              <w:pStyle w:val="Date"/>
            </w:pPr>
            <w:r>
              <w:t>September</w:t>
            </w:r>
            <w:r w:rsidR="00433D30">
              <w:t xml:space="preserve"> 2023</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4AD73CA3"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2" w:history="1">
        <w:r w:rsidRPr="000F15B4">
          <w:rPr>
            <w:rStyle w:val="Hyperlink"/>
          </w:rPr>
          <w:t>TGA website</w:t>
        </w:r>
      </w:hyperlink>
      <w:r w:rsidRPr="003C6D1F">
        <w:t>.</w:t>
      </w:r>
    </w:p>
    <w:p w14:paraId="737B7A99" w14:textId="77777777" w:rsidR="00346EC2" w:rsidRDefault="00346EC2" w:rsidP="00346EC2">
      <w:pPr>
        <w:pStyle w:val="NonTOCHeading20"/>
      </w:pPr>
      <w:r>
        <w:t xml:space="preserve">About </w:t>
      </w:r>
      <w:proofErr w:type="spellStart"/>
      <w:r>
        <w:t>AusPARs</w:t>
      </w:r>
      <w:proofErr w:type="spellEnd"/>
    </w:p>
    <w:p w14:paraId="631B2209" w14:textId="6FCF61D9" w:rsidR="00346EC2" w:rsidRPr="003C6D1F" w:rsidRDefault="00346EC2" w:rsidP="00346EC2">
      <w:pPr>
        <w:pStyle w:val="ListBullet"/>
      </w:pPr>
      <w:r>
        <w:t>The</w:t>
      </w:r>
      <w:r w:rsidRPr="003C6D1F">
        <w:t xml:space="preserve"> Australian Public Assessment Report (</w:t>
      </w:r>
      <w:proofErr w:type="spellStart"/>
      <w:r w:rsidRPr="003C6D1F">
        <w:t>AusPAR</w:t>
      </w:r>
      <w:proofErr w:type="spellEnd"/>
      <w:r w:rsidRPr="003C6D1F">
        <w:t>) provides information about the evaluation of a prescription medicine and the considerations that led the TGA to approve or not approve a prescription medicine submission.</w:t>
      </w:r>
      <w:r>
        <w:t xml:space="preserve"> Further information can be found in </w:t>
      </w:r>
      <w:hyperlink r:id="rId13" w:history="1">
        <w:r w:rsidRPr="005A2EB8">
          <w:rPr>
            <w:rStyle w:val="Hyperlink"/>
          </w:rPr>
          <w:t>Australian Public Assessment Report (</w:t>
        </w:r>
        <w:proofErr w:type="spellStart"/>
        <w:r w:rsidRPr="005A2EB8">
          <w:rPr>
            <w:rStyle w:val="Hyperlink"/>
          </w:rPr>
          <w:t>AusPAR</w:t>
        </w:r>
        <w:proofErr w:type="spellEnd"/>
        <w:r w:rsidRPr="005A2EB8">
          <w:rPr>
            <w:rStyle w:val="Hyperlink"/>
          </w:rPr>
          <w:t>) guidance</w:t>
        </w:r>
      </w:hyperlink>
      <w:r>
        <w:t>.</w:t>
      </w:r>
    </w:p>
    <w:p w14:paraId="22F5A730" w14:textId="77777777" w:rsidR="00346EC2" w:rsidRPr="003C6D1F" w:rsidRDefault="00346EC2" w:rsidP="00346EC2">
      <w:pPr>
        <w:pStyle w:val="ListBullet"/>
      </w:pPr>
      <w:proofErr w:type="spellStart"/>
      <w:r w:rsidRPr="003C6D1F">
        <w:t>AusPARs</w:t>
      </w:r>
      <w:proofErr w:type="spellEnd"/>
      <w:r w:rsidRPr="003C6D1F">
        <w:t xml:space="preserve"> are prepared and published by the TGA.</w:t>
      </w:r>
    </w:p>
    <w:p w14:paraId="451B8FD7" w14:textId="77777777" w:rsidR="00346EC2" w:rsidRPr="003C6D1F" w:rsidRDefault="00346EC2" w:rsidP="00346EC2">
      <w:pPr>
        <w:pStyle w:val="ListBullet"/>
      </w:pPr>
      <w:proofErr w:type="spellStart"/>
      <w:r w:rsidRPr="003C6D1F">
        <w:t>AusPAR</w:t>
      </w:r>
      <w:r>
        <w:t>s</w:t>
      </w:r>
      <w:proofErr w:type="spellEnd"/>
      <w:r>
        <w:t xml:space="preserve"> are </w:t>
      </w:r>
      <w:r w:rsidRPr="003C6D1F">
        <w:t>static document</w:t>
      </w:r>
      <w:r>
        <w:t xml:space="preserve">s that </w:t>
      </w:r>
      <w:r w:rsidRPr="003C6D1F">
        <w:t>provide information that relates to a submission at a particular point in time.</w:t>
      </w:r>
      <w:r>
        <w:t xml:space="preserve"> The publication of an </w:t>
      </w:r>
      <w:proofErr w:type="spellStart"/>
      <w:r>
        <w:t>AusPAR</w:t>
      </w:r>
      <w:proofErr w:type="spellEnd"/>
      <w:r>
        <w:t xml:space="preserve"> is an important part of the transparency of the TGA’s decision-making process.</w:t>
      </w:r>
    </w:p>
    <w:p w14:paraId="4D69F5CF" w14:textId="77777777" w:rsidR="00346EC2" w:rsidRPr="003C6D1F" w:rsidRDefault="00346EC2" w:rsidP="00346EC2">
      <w:pPr>
        <w:pStyle w:val="ListBullet"/>
      </w:pPr>
      <w:r w:rsidRPr="003C6D1F">
        <w:t xml:space="preserve">A new </w:t>
      </w:r>
      <w:proofErr w:type="spellStart"/>
      <w:r w:rsidRPr="003C6D1F">
        <w:t>AusPAR</w:t>
      </w:r>
      <w:proofErr w:type="spellEnd"/>
      <w:r w:rsidRPr="003C6D1F">
        <w:t xml:space="preserve">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7E7B13CF" w:rsidR="00175CD8" w:rsidRPr="00346EC2" w:rsidRDefault="00F02AEC" w:rsidP="00346EC2">
      <w:pPr>
        <w:pStyle w:val="LegalCopy"/>
        <w:rPr>
          <w:rFonts w:cs="Arial"/>
        </w:rPr>
      </w:pPr>
      <w:r w:rsidRPr="00215D48">
        <w:rPr>
          <w:rFonts w:cs="Arial"/>
        </w:rPr>
        <w:t>© Commonwealth of Australia 20</w:t>
      </w:r>
      <w:r>
        <w:rPr>
          <w:rFonts w:cs="Arial"/>
        </w:rPr>
        <w:t>2</w:t>
      </w:r>
      <w:r w:rsidR="00E47E0C">
        <w:rPr>
          <w:rFonts w:cs="Arial"/>
        </w:rPr>
        <w:t>3</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4"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3636C91C" w14:textId="3DF01C7B" w:rsidR="00A15251" w:rsidRDefault="00F02AEC">
          <w:pPr>
            <w:pStyle w:val="TOC1"/>
            <w:rPr>
              <w:rFonts w:asciiTheme="minorHAnsi" w:eastAsiaTheme="minorEastAsia" w:hAnsiTheme="minorHAnsi" w:cstheme="minorBidi"/>
              <w:b w:val="0"/>
              <w:noProof/>
              <w:color w:val="auto"/>
              <w:sz w:val="22"/>
              <w:szCs w:val="22"/>
              <w:lang w:eastAsia="en-AU"/>
            </w:rPr>
          </w:pPr>
          <w:r w:rsidRPr="00215D48">
            <w:fldChar w:fldCharType="begin"/>
          </w:r>
          <w:r w:rsidRPr="00215D48">
            <w:instrText xml:space="preserve"> TOC \h \z \u \t "Heading 2,1,Heading 3,2,Heading 4,3" </w:instrText>
          </w:r>
          <w:r w:rsidRPr="00215D48">
            <w:fldChar w:fldCharType="separate"/>
          </w:r>
          <w:hyperlink w:anchor="_Toc144994854" w:history="1">
            <w:r w:rsidR="00A15251" w:rsidRPr="00785BF5">
              <w:rPr>
                <w:rStyle w:val="Hyperlink"/>
                <w:noProof/>
              </w:rPr>
              <w:t>List of abbreviations</w:t>
            </w:r>
            <w:r w:rsidR="00A15251">
              <w:rPr>
                <w:noProof/>
                <w:webHidden/>
              </w:rPr>
              <w:tab/>
            </w:r>
            <w:r w:rsidR="00A15251">
              <w:rPr>
                <w:noProof/>
                <w:webHidden/>
              </w:rPr>
              <w:fldChar w:fldCharType="begin"/>
            </w:r>
            <w:r w:rsidR="00A15251">
              <w:rPr>
                <w:noProof/>
                <w:webHidden/>
              </w:rPr>
              <w:instrText xml:space="preserve"> PAGEREF _Toc144994854 \h </w:instrText>
            </w:r>
            <w:r w:rsidR="00A15251">
              <w:rPr>
                <w:noProof/>
                <w:webHidden/>
              </w:rPr>
            </w:r>
            <w:r w:rsidR="00A15251">
              <w:rPr>
                <w:noProof/>
                <w:webHidden/>
              </w:rPr>
              <w:fldChar w:fldCharType="separate"/>
            </w:r>
            <w:r w:rsidR="00A15251">
              <w:rPr>
                <w:noProof/>
                <w:webHidden/>
              </w:rPr>
              <w:t>4</w:t>
            </w:r>
            <w:r w:rsidR="00A15251">
              <w:rPr>
                <w:noProof/>
                <w:webHidden/>
              </w:rPr>
              <w:fldChar w:fldCharType="end"/>
            </w:r>
          </w:hyperlink>
        </w:p>
        <w:p w14:paraId="6ECE0F0F" w14:textId="737CB37E" w:rsidR="00A15251" w:rsidRDefault="000519D8">
          <w:pPr>
            <w:pStyle w:val="TOC1"/>
            <w:rPr>
              <w:rFonts w:asciiTheme="minorHAnsi" w:eastAsiaTheme="minorEastAsia" w:hAnsiTheme="minorHAnsi" w:cstheme="minorBidi"/>
              <w:b w:val="0"/>
              <w:noProof/>
              <w:color w:val="auto"/>
              <w:sz w:val="22"/>
              <w:szCs w:val="22"/>
              <w:lang w:eastAsia="en-AU"/>
            </w:rPr>
          </w:pPr>
          <w:hyperlink w:anchor="_Toc144994855" w:history="1">
            <w:r w:rsidR="00A15251" w:rsidRPr="00785BF5">
              <w:rPr>
                <w:rStyle w:val="Hyperlink"/>
                <w:noProof/>
              </w:rPr>
              <w:t>Product submission</w:t>
            </w:r>
            <w:r w:rsidR="00A15251">
              <w:rPr>
                <w:noProof/>
                <w:webHidden/>
              </w:rPr>
              <w:tab/>
            </w:r>
            <w:r w:rsidR="00A15251">
              <w:rPr>
                <w:noProof/>
                <w:webHidden/>
              </w:rPr>
              <w:fldChar w:fldCharType="begin"/>
            </w:r>
            <w:r w:rsidR="00A15251">
              <w:rPr>
                <w:noProof/>
                <w:webHidden/>
              </w:rPr>
              <w:instrText xml:space="preserve"> PAGEREF _Toc144994855 \h </w:instrText>
            </w:r>
            <w:r w:rsidR="00A15251">
              <w:rPr>
                <w:noProof/>
                <w:webHidden/>
              </w:rPr>
            </w:r>
            <w:r w:rsidR="00A15251">
              <w:rPr>
                <w:noProof/>
                <w:webHidden/>
              </w:rPr>
              <w:fldChar w:fldCharType="separate"/>
            </w:r>
            <w:r w:rsidR="00A15251">
              <w:rPr>
                <w:noProof/>
                <w:webHidden/>
              </w:rPr>
              <w:t>5</w:t>
            </w:r>
            <w:r w:rsidR="00A15251">
              <w:rPr>
                <w:noProof/>
                <w:webHidden/>
              </w:rPr>
              <w:fldChar w:fldCharType="end"/>
            </w:r>
          </w:hyperlink>
        </w:p>
        <w:p w14:paraId="7224B51F" w14:textId="5F69CF19" w:rsidR="00A15251" w:rsidRDefault="000519D8">
          <w:pPr>
            <w:pStyle w:val="TOC2"/>
            <w:rPr>
              <w:rFonts w:asciiTheme="minorHAnsi" w:eastAsiaTheme="minorEastAsia" w:hAnsiTheme="minorHAnsi" w:cstheme="minorBidi"/>
              <w:b w:val="0"/>
              <w:noProof/>
              <w:color w:val="auto"/>
              <w:sz w:val="22"/>
              <w:szCs w:val="22"/>
              <w:lang w:eastAsia="en-AU"/>
            </w:rPr>
          </w:pPr>
          <w:hyperlink w:anchor="_Toc144994856" w:history="1">
            <w:r w:rsidR="00A15251" w:rsidRPr="00785BF5">
              <w:rPr>
                <w:rStyle w:val="Hyperlink"/>
                <w:noProof/>
                <w:lang w:eastAsia="en-AU"/>
              </w:rPr>
              <w:t>Submission details</w:t>
            </w:r>
            <w:r w:rsidR="00A15251">
              <w:rPr>
                <w:noProof/>
                <w:webHidden/>
              </w:rPr>
              <w:tab/>
            </w:r>
            <w:r w:rsidR="00A15251">
              <w:rPr>
                <w:noProof/>
                <w:webHidden/>
              </w:rPr>
              <w:fldChar w:fldCharType="begin"/>
            </w:r>
            <w:r w:rsidR="00A15251">
              <w:rPr>
                <w:noProof/>
                <w:webHidden/>
              </w:rPr>
              <w:instrText xml:space="preserve"> PAGEREF _Toc144994856 \h </w:instrText>
            </w:r>
            <w:r w:rsidR="00A15251">
              <w:rPr>
                <w:noProof/>
                <w:webHidden/>
              </w:rPr>
            </w:r>
            <w:r w:rsidR="00A15251">
              <w:rPr>
                <w:noProof/>
                <w:webHidden/>
              </w:rPr>
              <w:fldChar w:fldCharType="separate"/>
            </w:r>
            <w:r w:rsidR="00A15251">
              <w:rPr>
                <w:noProof/>
                <w:webHidden/>
              </w:rPr>
              <w:t>5</w:t>
            </w:r>
            <w:r w:rsidR="00A15251">
              <w:rPr>
                <w:noProof/>
                <w:webHidden/>
              </w:rPr>
              <w:fldChar w:fldCharType="end"/>
            </w:r>
          </w:hyperlink>
        </w:p>
        <w:p w14:paraId="05455E13" w14:textId="1EEC5062" w:rsidR="00A15251" w:rsidRDefault="000519D8">
          <w:pPr>
            <w:pStyle w:val="TOC2"/>
            <w:rPr>
              <w:rFonts w:asciiTheme="minorHAnsi" w:eastAsiaTheme="minorEastAsia" w:hAnsiTheme="minorHAnsi" w:cstheme="minorBidi"/>
              <w:b w:val="0"/>
              <w:noProof/>
              <w:color w:val="auto"/>
              <w:sz w:val="22"/>
              <w:szCs w:val="22"/>
              <w:lang w:eastAsia="en-AU"/>
            </w:rPr>
          </w:pPr>
          <w:hyperlink w:anchor="_Toc144994857" w:history="1">
            <w:r w:rsidR="00A15251" w:rsidRPr="00785BF5">
              <w:rPr>
                <w:rStyle w:val="Hyperlink"/>
                <w:noProof/>
              </w:rPr>
              <w:t>Product background</w:t>
            </w:r>
            <w:r w:rsidR="00A15251">
              <w:rPr>
                <w:noProof/>
                <w:webHidden/>
              </w:rPr>
              <w:tab/>
            </w:r>
            <w:r w:rsidR="00A15251">
              <w:rPr>
                <w:noProof/>
                <w:webHidden/>
              </w:rPr>
              <w:fldChar w:fldCharType="begin"/>
            </w:r>
            <w:r w:rsidR="00A15251">
              <w:rPr>
                <w:noProof/>
                <w:webHidden/>
              </w:rPr>
              <w:instrText xml:space="preserve"> PAGEREF _Toc144994857 \h </w:instrText>
            </w:r>
            <w:r w:rsidR="00A15251">
              <w:rPr>
                <w:noProof/>
                <w:webHidden/>
              </w:rPr>
            </w:r>
            <w:r w:rsidR="00A15251">
              <w:rPr>
                <w:noProof/>
                <w:webHidden/>
              </w:rPr>
              <w:fldChar w:fldCharType="separate"/>
            </w:r>
            <w:r w:rsidR="00A15251">
              <w:rPr>
                <w:noProof/>
                <w:webHidden/>
              </w:rPr>
              <w:t>6</w:t>
            </w:r>
            <w:r w:rsidR="00A15251">
              <w:rPr>
                <w:noProof/>
                <w:webHidden/>
              </w:rPr>
              <w:fldChar w:fldCharType="end"/>
            </w:r>
          </w:hyperlink>
        </w:p>
        <w:p w14:paraId="5136C376" w14:textId="685D5D96" w:rsidR="00A15251" w:rsidRDefault="000519D8">
          <w:pPr>
            <w:pStyle w:val="TOC2"/>
            <w:rPr>
              <w:rFonts w:asciiTheme="minorHAnsi" w:eastAsiaTheme="minorEastAsia" w:hAnsiTheme="minorHAnsi" w:cstheme="minorBidi"/>
              <w:b w:val="0"/>
              <w:noProof/>
              <w:color w:val="auto"/>
              <w:sz w:val="22"/>
              <w:szCs w:val="22"/>
              <w:lang w:eastAsia="en-AU"/>
            </w:rPr>
          </w:pPr>
          <w:hyperlink w:anchor="_Toc144994858" w:history="1">
            <w:r w:rsidR="00A15251" w:rsidRPr="00785BF5">
              <w:rPr>
                <w:rStyle w:val="Hyperlink"/>
                <w:noProof/>
              </w:rPr>
              <w:t>Regulatory status</w:t>
            </w:r>
            <w:r w:rsidR="00A15251">
              <w:rPr>
                <w:noProof/>
                <w:webHidden/>
              </w:rPr>
              <w:tab/>
            </w:r>
            <w:r w:rsidR="00A15251">
              <w:rPr>
                <w:noProof/>
                <w:webHidden/>
              </w:rPr>
              <w:fldChar w:fldCharType="begin"/>
            </w:r>
            <w:r w:rsidR="00A15251">
              <w:rPr>
                <w:noProof/>
                <w:webHidden/>
              </w:rPr>
              <w:instrText xml:space="preserve"> PAGEREF _Toc144994858 \h </w:instrText>
            </w:r>
            <w:r w:rsidR="00A15251">
              <w:rPr>
                <w:noProof/>
                <w:webHidden/>
              </w:rPr>
            </w:r>
            <w:r w:rsidR="00A15251">
              <w:rPr>
                <w:noProof/>
                <w:webHidden/>
              </w:rPr>
              <w:fldChar w:fldCharType="separate"/>
            </w:r>
            <w:r w:rsidR="00A15251">
              <w:rPr>
                <w:noProof/>
                <w:webHidden/>
              </w:rPr>
              <w:t>6</w:t>
            </w:r>
            <w:r w:rsidR="00A15251">
              <w:rPr>
                <w:noProof/>
                <w:webHidden/>
              </w:rPr>
              <w:fldChar w:fldCharType="end"/>
            </w:r>
          </w:hyperlink>
        </w:p>
        <w:p w14:paraId="3CF5676D" w14:textId="7EB33BE8" w:rsidR="00A15251" w:rsidRDefault="000519D8">
          <w:pPr>
            <w:pStyle w:val="TOC1"/>
            <w:rPr>
              <w:rFonts w:asciiTheme="minorHAnsi" w:eastAsiaTheme="minorEastAsia" w:hAnsiTheme="minorHAnsi" w:cstheme="minorBidi"/>
              <w:b w:val="0"/>
              <w:noProof/>
              <w:color w:val="auto"/>
              <w:sz w:val="22"/>
              <w:szCs w:val="22"/>
              <w:lang w:eastAsia="en-AU"/>
            </w:rPr>
          </w:pPr>
          <w:hyperlink w:anchor="_Toc144994859" w:history="1">
            <w:r w:rsidR="00A15251" w:rsidRPr="00785BF5">
              <w:rPr>
                <w:rStyle w:val="Hyperlink"/>
                <w:noProof/>
              </w:rPr>
              <w:t>Registration timeline</w:t>
            </w:r>
            <w:r w:rsidR="00A15251">
              <w:rPr>
                <w:noProof/>
                <w:webHidden/>
              </w:rPr>
              <w:tab/>
            </w:r>
            <w:r w:rsidR="00A15251">
              <w:rPr>
                <w:noProof/>
                <w:webHidden/>
              </w:rPr>
              <w:fldChar w:fldCharType="begin"/>
            </w:r>
            <w:r w:rsidR="00A15251">
              <w:rPr>
                <w:noProof/>
                <w:webHidden/>
              </w:rPr>
              <w:instrText xml:space="preserve"> PAGEREF _Toc144994859 \h </w:instrText>
            </w:r>
            <w:r w:rsidR="00A15251">
              <w:rPr>
                <w:noProof/>
                <w:webHidden/>
              </w:rPr>
            </w:r>
            <w:r w:rsidR="00A15251">
              <w:rPr>
                <w:noProof/>
                <w:webHidden/>
              </w:rPr>
              <w:fldChar w:fldCharType="separate"/>
            </w:r>
            <w:r w:rsidR="00A15251">
              <w:rPr>
                <w:noProof/>
                <w:webHidden/>
              </w:rPr>
              <w:t>7</w:t>
            </w:r>
            <w:r w:rsidR="00A15251">
              <w:rPr>
                <w:noProof/>
                <w:webHidden/>
              </w:rPr>
              <w:fldChar w:fldCharType="end"/>
            </w:r>
          </w:hyperlink>
        </w:p>
        <w:p w14:paraId="2D8D871B" w14:textId="58B61159" w:rsidR="00A15251" w:rsidRDefault="000519D8">
          <w:pPr>
            <w:pStyle w:val="TOC1"/>
            <w:rPr>
              <w:rFonts w:asciiTheme="minorHAnsi" w:eastAsiaTheme="minorEastAsia" w:hAnsiTheme="minorHAnsi" w:cstheme="minorBidi"/>
              <w:b w:val="0"/>
              <w:noProof/>
              <w:color w:val="auto"/>
              <w:sz w:val="22"/>
              <w:szCs w:val="22"/>
              <w:lang w:eastAsia="en-AU"/>
            </w:rPr>
          </w:pPr>
          <w:hyperlink w:anchor="_Toc144994860" w:history="1">
            <w:r w:rsidR="00A15251" w:rsidRPr="00785BF5">
              <w:rPr>
                <w:rStyle w:val="Hyperlink"/>
                <w:noProof/>
              </w:rPr>
              <w:t>Submission overview and risk/benefit assessment</w:t>
            </w:r>
            <w:r w:rsidR="00A15251">
              <w:rPr>
                <w:noProof/>
                <w:webHidden/>
              </w:rPr>
              <w:tab/>
            </w:r>
            <w:r w:rsidR="00A15251">
              <w:rPr>
                <w:noProof/>
                <w:webHidden/>
              </w:rPr>
              <w:fldChar w:fldCharType="begin"/>
            </w:r>
            <w:r w:rsidR="00A15251">
              <w:rPr>
                <w:noProof/>
                <w:webHidden/>
              </w:rPr>
              <w:instrText xml:space="preserve"> PAGEREF _Toc144994860 \h </w:instrText>
            </w:r>
            <w:r w:rsidR="00A15251">
              <w:rPr>
                <w:noProof/>
                <w:webHidden/>
              </w:rPr>
            </w:r>
            <w:r w:rsidR="00A15251">
              <w:rPr>
                <w:noProof/>
                <w:webHidden/>
              </w:rPr>
              <w:fldChar w:fldCharType="separate"/>
            </w:r>
            <w:r w:rsidR="00A15251">
              <w:rPr>
                <w:noProof/>
                <w:webHidden/>
              </w:rPr>
              <w:t>8</w:t>
            </w:r>
            <w:r w:rsidR="00A15251">
              <w:rPr>
                <w:noProof/>
                <w:webHidden/>
              </w:rPr>
              <w:fldChar w:fldCharType="end"/>
            </w:r>
          </w:hyperlink>
        </w:p>
        <w:p w14:paraId="2984EDBA" w14:textId="257C40A7" w:rsidR="00A15251" w:rsidRDefault="000519D8">
          <w:pPr>
            <w:pStyle w:val="TOC2"/>
            <w:rPr>
              <w:rFonts w:asciiTheme="minorHAnsi" w:eastAsiaTheme="minorEastAsia" w:hAnsiTheme="minorHAnsi" w:cstheme="minorBidi"/>
              <w:b w:val="0"/>
              <w:noProof/>
              <w:color w:val="auto"/>
              <w:sz w:val="22"/>
              <w:szCs w:val="22"/>
              <w:lang w:eastAsia="en-AU"/>
            </w:rPr>
          </w:pPr>
          <w:hyperlink w:anchor="_Toc144994861" w:history="1">
            <w:r w:rsidR="00A15251" w:rsidRPr="00785BF5">
              <w:rPr>
                <w:rStyle w:val="Hyperlink"/>
                <w:noProof/>
              </w:rPr>
              <w:t>Quality</w:t>
            </w:r>
            <w:r w:rsidR="00A15251">
              <w:rPr>
                <w:noProof/>
                <w:webHidden/>
              </w:rPr>
              <w:tab/>
            </w:r>
            <w:r w:rsidR="00A15251">
              <w:rPr>
                <w:noProof/>
                <w:webHidden/>
              </w:rPr>
              <w:fldChar w:fldCharType="begin"/>
            </w:r>
            <w:r w:rsidR="00A15251">
              <w:rPr>
                <w:noProof/>
                <w:webHidden/>
              </w:rPr>
              <w:instrText xml:space="preserve"> PAGEREF _Toc144994861 \h </w:instrText>
            </w:r>
            <w:r w:rsidR="00A15251">
              <w:rPr>
                <w:noProof/>
                <w:webHidden/>
              </w:rPr>
            </w:r>
            <w:r w:rsidR="00A15251">
              <w:rPr>
                <w:noProof/>
                <w:webHidden/>
              </w:rPr>
              <w:fldChar w:fldCharType="separate"/>
            </w:r>
            <w:r w:rsidR="00A15251">
              <w:rPr>
                <w:noProof/>
                <w:webHidden/>
              </w:rPr>
              <w:t>8</w:t>
            </w:r>
            <w:r w:rsidR="00A15251">
              <w:rPr>
                <w:noProof/>
                <w:webHidden/>
              </w:rPr>
              <w:fldChar w:fldCharType="end"/>
            </w:r>
          </w:hyperlink>
        </w:p>
        <w:p w14:paraId="6BA0C705" w14:textId="5BF0E8F9" w:rsidR="00A15251" w:rsidRDefault="000519D8">
          <w:pPr>
            <w:pStyle w:val="TOC2"/>
            <w:rPr>
              <w:rFonts w:asciiTheme="minorHAnsi" w:eastAsiaTheme="minorEastAsia" w:hAnsiTheme="minorHAnsi" w:cstheme="minorBidi"/>
              <w:b w:val="0"/>
              <w:noProof/>
              <w:color w:val="auto"/>
              <w:sz w:val="22"/>
              <w:szCs w:val="22"/>
              <w:lang w:eastAsia="en-AU"/>
            </w:rPr>
          </w:pPr>
          <w:hyperlink w:anchor="_Toc144994862" w:history="1">
            <w:r w:rsidR="00A15251" w:rsidRPr="00785BF5">
              <w:rPr>
                <w:rStyle w:val="Hyperlink"/>
                <w:noProof/>
              </w:rPr>
              <w:t>Nonclinical</w:t>
            </w:r>
            <w:r w:rsidR="00A15251">
              <w:rPr>
                <w:noProof/>
                <w:webHidden/>
              </w:rPr>
              <w:tab/>
            </w:r>
            <w:r w:rsidR="00A15251">
              <w:rPr>
                <w:noProof/>
                <w:webHidden/>
              </w:rPr>
              <w:fldChar w:fldCharType="begin"/>
            </w:r>
            <w:r w:rsidR="00A15251">
              <w:rPr>
                <w:noProof/>
                <w:webHidden/>
              </w:rPr>
              <w:instrText xml:space="preserve"> PAGEREF _Toc144994862 \h </w:instrText>
            </w:r>
            <w:r w:rsidR="00A15251">
              <w:rPr>
                <w:noProof/>
                <w:webHidden/>
              </w:rPr>
            </w:r>
            <w:r w:rsidR="00A15251">
              <w:rPr>
                <w:noProof/>
                <w:webHidden/>
              </w:rPr>
              <w:fldChar w:fldCharType="separate"/>
            </w:r>
            <w:r w:rsidR="00A15251">
              <w:rPr>
                <w:noProof/>
                <w:webHidden/>
              </w:rPr>
              <w:t>8</w:t>
            </w:r>
            <w:r w:rsidR="00A15251">
              <w:rPr>
                <w:noProof/>
                <w:webHidden/>
              </w:rPr>
              <w:fldChar w:fldCharType="end"/>
            </w:r>
          </w:hyperlink>
        </w:p>
        <w:p w14:paraId="11FFEB7A" w14:textId="379E7DBF" w:rsidR="00A15251" w:rsidRDefault="000519D8">
          <w:pPr>
            <w:pStyle w:val="TOC2"/>
            <w:rPr>
              <w:rFonts w:asciiTheme="minorHAnsi" w:eastAsiaTheme="minorEastAsia" w:hAnsiTheme="minorHAnsi" w:cstheme="minorBidi"/>
              <w:b w:val="0"/>
              <w:noProof/>
              <w:color w:val="auto"/>
              <w:sz w:val="22"/>
              <w:szCs w:val="22"/>
              <w:lang w:eastAsia="en-AU"/>
            </w:rPr>
          </w:pPr>
          <w:hyperlink w:anchor="_Toc144994863" w:history="1">
            <w:r w:rsidR="00A15251" w:rsidRPr="00785BF5">
              <w:rPr>
                <w:rStyle w:val="Hyperlink"/>
                <w:noProof/>
              </w:rPr>
              <w:t>Clinical</w:t>
            </w:r>
            <w:r w:rsidR="00A15251">
              <w:rPr>
                <w:noProof/>
                <w:webHidden/>
              </w:rPr>
              <w:tab/>
            </w:r>
            <w:r w:rsidR="00A15251">
              <w:rPr>
                <w:noProof/>
                <w:webHidden/>
              </w:rPr>
              <w:fldChar w:fldCharType="begin"/>
            </w:r>
            <w:r w:rsidR="00A15251">
              <w:rPr>
                <w:noProof/>
                <w:webHidden/>
              </w:rPr>
              <w:instrText xml:space="preserve"> PAGEREF _Toc144994863 \h </w:instrText>
            </w:r>
            <w:r w:rsidR="00A15251">
              <w:rPr>
                <w:noProof/>
                <w:webHidden/>
              </w:rPr>
            </w:r>
            <w:r w:rsidR="00A15251">
              <w:rPr>
                <w:noProof/>
                <w:webHidden/>
              </w:rPr>
              <w:fldChar w:fldCharType="separate"/>
            </w:r>
            <w:r w:rsidR="00A15251">
              <w:rPr>
                <w:noProof/>
                <w:webHidden/>
              </w:rPr>
              <w:t>10</w:t>
            </w:r>
            <w:r w:rsidR="00A15251">
              <w:rPr>
                <w:noProof/>
                <w:webHidden/>
              </w:rPr>
              <w:fldChar w:fldCharType="end"/>
            </w:r>
          </w:hyperlink>
        </w:p>
        <w:p w14:paraId="21F96716" w14:textId="0461FD4D" w:rsidR="00A15251" w:rsidRDefault="000519D8">
          <w:pPr>
            <w:pStyle w:val="TOC3"/>
            <w:rPr>
              <w:rFonts w:asciiTheme="minorHAnsi" w:eastAsiaTheme="minorEastAsia" w:hAnsiTheme="minorHAnsi" w:cstheme="minorBidi"/>
              <w:b w:val="0"/>
              <w:noProof/>
              <w:color w:val="auto"/>
              <w:szCs w:val="22"/>
              <w:lang w:eastAsia="en-AU"/>
            </w:rPr>
          </w:pPr>
          <w:hyperlink w:anchor="_Toc144994864" w:history="1">
            <w:r w:rsidR="00A15251" w:rsidRPr="00785BF5">
              <w:rPr>
                <w:rStyle w:val="Hyperlink"/>
                <w:noProof/>
              </w:rPr>
              <w:t>Pharmacology</w:t>
            </w:r>
            <w:r w:rsidR="00A15251">
              <w:rPr>
                <w:noProof/>
                <w:webHidden/>
              </w:rPr>
              <w:tab/>
            </w:r>
            <w:r w:rsidR="00A15251">
              <w:rPr>
                <w:noProof/>
                <w:webHidden/>
              </w:rPr>
              <w:fldChar w:fldCharType="begin"/>
            </w:r>
            <w:r w:rsidR="00A15251">
              <w:rPr>
                <w:noProof/>
                <w:webHidden/>
              </w:rPr>
              <w:instrText xml:space="preserve"> PAGEREF _Toc144994864 \h </w:instrText>
            </w:r>
            <w:r w:rsidR="00A15251">
              <w:rPr>
                <w:noProof/>
                <w:webHidden/>
              </w:rPr>
            </w:r>
            <w:r w:rsidR="00A15251">
              <w:rPr>
                <w:noProof/>
                <w:webHidden/>
              </w:rPr>
              <w:fldChar w:fldCharType="separate"/>
            </w:r>
            <w:r w:rsidR="00A15251">
              <w:rPr>
                <w:noProof/>
                <w:webHidden/>
              </w:rPr>
              <w:t>10</w:t>
            </w:r>
            <w:r w:rsidR="00A15251">
              <w:rPr>
                <w:noProof/>
                <w:webHidden/>
              </w:rPr>
              <w:fldChar w:fldCharType="end"/>
            </w:r>
          </w:hyperlink>
        </w:p>
        <w:p w14:paraId="77F48092" w14:textId="37F21192" w:rsidR="00A15251" w:rsidRDefault="000519D8">
          <w:pPr>
            <w:pStyle w:val="TOC2"/>
            <w:rPr>
              <w:rFonts w:asciiTheme="minorHAnsi" w:eastAsiaTheme="minorEastAsia" w:hAnsiTheme="minorHAnsi" w:cstheme="minorBidi"/>
              <w:b w:val="0"/>
              <w:noProof/>
              <w:color w:val="auto"/>
              <w:sz w:val="22"/>
              <w:szCs w:val="22"/>
              <w:lang w:eastAsia="en-AU"/>
            </w:rPr>
          </w:pPr>
          <w:hyperlink w:anchor="_Toc144994865" w:history="1">
            <w:r w:rsidR="00A15251" w:rsidRPr="00785BF5">
              <w:rPr>
                <w:rStyle w:val="Hyperlink"/>
                <w:noProof/>
                <w:lang w:eastAsia="en-AU"/>
              </w:rPr>
              <w:t>Risk management plan</w:t>
            </w:r>
            <w:r w:rsidR="00A15251">
              <w:rPr>
                <w:noProof/>
                <w:webHidden/>
              </w:rPr>
              <w:tab/>
            </w:r>
            <w:r w:rsidR="00A15251">
              <w:rPr>
                <w:noProof/>
                <w:webHidden/>
              </w:rPr>
              <w:fldChar w:fldCharType="begin"/>
            </w:r>
            <w:r w:rsidR="00A15251">
              <w:rPr>
                <w:noProof/>
                <w:webHidden/>
              </w:rPr>
              <w:instrText xml:space="preserve"> PAGEREF _Toc144994865 \h </w:instrText>
            </w:r>
            <w:r w:rsidR="00A15251">
              <w:rPr>
                <w:noProof/>
                <w:webHidden/>
              </w:rPr>
            </w:r>
            <w:r w:rsidR="00A15251">
              <w:rPr>
                <w:noProof/>
                <w:webHidden/>
              </w:rPr>
              <w:fldChar w:fldCharType="separate"/>
            </w:r>
            <w:r w:rsidR="00A15251">
              <w:rPr>
                <w:noProof/>
                <w:webHidden/>
              </w:rPr>
              <w:t>28</w:t>
            </w:r>
            <w:r w:rsidR="00A15251">
              <w:rPr>
                <w:noProof/>
                <w:webHidden/>
              </w:rPr>
              <w:fldChar w:fldCharType="end"/>
            </w:r>
          </w:hyperlink>
        </w:p>
        <w:p w14:paraId="79F5491C" w14:textId="60DE8784" w:rsidR="00A15251" w:rsidRDefault="000519D8">
          <w:pPr>
            <w:pStyle w:val="TOC3"/>
            <w:rPr>
              <w:rFonts w:asciiTheme="minorHAnsi" w:eastAsiaTheme="minorEastAsia" w:hAnsiTheme="minorHAnsi" w:cstheme="minorBidi"/>
              <w:b w:val="0"/>
              <w:noProof/>
              <w:color w:val="auto"/>
              <w:szCs w:val="22"/>
              <w:lang w:eastAsia="en-AU"/>
            </w:rPr>
          </w:pPr>
          <w:hyperlink w:anchor="_Toc144994866" w:history="1">
            <w:r w:rsidR="00A15251" w:rsidRPr="00785BF5">
              <w:rPr>
                <w:rStyle w:val="Hyperlink"/>
                <w:noProof/>
              </w:rPr>
              <w:t>Proposed wording for conditions of registration</w:t>
            </w:r>
            <w:r w:rsidR="00A15251">
              <w:rPr>
                <w:noProof/>
                <w:webHidden/>
              </w:rPr>
              <w:tab/>
            </w:r>
            <w:r w:rsidR="00A15251">
              <w:rPr>
                <w:noProof/>
                <w:webHidden/>
              </w:rPr>
              <w:fldChar w:fldCharType="begin"/>
            </w:r>
            <w:r w:rsidR="00A15251">
              <w:rPr>
                <w:noProof/>
                <w:webHidden/>
              </w:rPr>
              <w:instrText xml:space="preserve"> PAGEREF _Toc144994866 \h </w:instrText>
            </w:r>
            <w:r w:rsidR="00A15251">
              <w:rPr>
                <w:noProof/>
                <w:webHidden/>
              </w:rPr>
            </w:r>
            <w:r w:rsidR="00A15251">
              <w:rPr>
                <w:noProof/>
                <w:webHidden/>
              </w:rPr>
              <w:fldChar w:fldCharType="separate"/>
            </w:r>
            <w:r w:rsidR="00A15251">
              <w:rPr>
                <w:noProof/>
                <w:webHidden/>
              </w:rPr>
              <w:t>29</w:t>
            </w:r>
            <w:r w:rsidR="00A15251">
              <w:rPr>
                <w:noProof/>
                <w:webHidden/>
              </w:rPr>
              <w:fldChar w:fldCharType="end"/>
            </w:r>
          </w:hyperlink>
        </w:p>
        <w:p w14:paraId="5202C2EA" w14:textId="77F8C822" w:rsidR="00A15251" w:rsidRDefault="000519D8">
          <w:pPr>
            <w:pStyle w:val="TOC2"/>
            <w:rPr>
              <w:rFonts w:asciiTheme="minorHAnsi" w:eastAsiaTheme="minorEastAsia" w:hAnsiTheme="minorHAnsi" w:cstheme="minorBidi"/>
              <w:b w:val="0"/>
              <w:noProof/>
              <w:color w:val="auto"/>
              <w:sz w:val="22"/>
              <w:szCs w:val="22"/>
              <w:lang w:eastAsia="en-AU"/>
            </w:rPr>
          </w:pPr>
          <w:hyperlink w:anchor="_Toc144994867" w:history="1">
            <w:r w:rsidR="00A15251" w:rsidRPr="00785BF5">
              <w:rPr>
                <w:rStyle w:val="Hyperlink"/>
                <w:noProof/>
              </w:rPr>
              <w:t>Risk-benefit analysis</w:t>
            </w:r>
            <w:r w:rsidR="00A15251">
              <w:rPr>
                <w:noProof/>
                <w:webHidden/>
              </w:rPr>
              <w:tab/>
            </w:r>
            <w:r w:rsidR="00A15251">
              <w:rPr>
                <w:noProof/>
                <w:webHidden/>
              </w:rPr>
              <w:fldChar w:fldCharType="begin"/>
            </w:r>
            <w:r w:rsidR="00A15251">
              <w:rPr>
                <w:noProof/>
                <w:webHidden/>
              </w:rPr>
              <w:instrText xml:space="preserve"> PAGEREF _Toc144994867 \h </w:instrText>
            </w:r>
            <w:r w:rsidR="00A15251">
              <w:rPr>
                <w:noProof/>
                <w:webHidden/>
              </w:rPr>
            </w:r>
            <w:r w:rsidR="00A15251">
              <w:rPr>
                <w:noProof/>
                <w:webHidden/>
              </w:rPr>
              <w:fldChar w:fldCharType="separate"/>
            </w:r>
            <w:r w:rsidR="00A15251">
              <w:rPr>
                <w:noProof/>
                <w:webHidden/>
              </w:rPr>
              <w:t>30</w:t>
            </w:r>
            <w:r w:rsidR="00A15251">
              <w:rPr>
                <w:noProof/>
                <w:webHidden/>
              </w:rPr>
              <w:fldChar w:fldCharType="end"/>
            </w:r>
          </w:hyperlink>
        </w:p>
        <w:p w14:paraId="4EFC5BB4" w14:textId="1795E9B1" w:rsidR="00A15251" w:rsidRDefault="000519D8">
          <w:pPr>
            <w:pStyle w:val="TOC3"/>
            <w:rPr>
              <w:rFonts w:asciiTheme="minorHAnsi" w:eastAsiaTheme="minorEastAsia" w:hAnsiTheme="minorHAnsi" w:cstheme="minorBidi"/>
              <w:b w:val="0"/>
              <w:noProof/>
              <w:color w:val="auto"/>
              <w:szCs w:val="22"/>
              <w:lang w:eastAsia="en-AU"/>
            </w:rPr>
          </w:pPr>
          <w:hyperlink w:anchor="_Toc144994868" w:history="1">
            <w:r w:rsidR="00A15251" w:rsidRPr="00785BF5">
              <w:rPr>
                <w:rStyle w:val="Hyperlink"/>
                <w:noProof/>
              </w:rPr>
              <w:t>Delegate’s considerations</w:t>
            </w:r>
            <w:r w:rsidR="00A15251">
              <w:rPr>
                <w:noProof/>
                <w:webHidden/>
              </w:rPr>
              <w:tab/>
            </w:r>
            <w:r w:rsidR="00A15251">
              <w:rPr>
                <w:noProof/>
                <w:webHidden/>
              </w:rPr>
              <w:fldChar w:fldCharType="begin"/>
            </w:r>
            <w:r w:rsidR="00A15251">
              <w:rPr>
                <w:noProof/>
                <w:webHidden/>
              </w:rPr>
              <w:instrText xml:space="preserve"> PAGEREF _Toc144994868 \h </w:instrText>
            </w:r>
            <w:r w:rsidR="00A15251">
              <w:rPr>
                <w:noProof/>
                <w:webHidden/>
              </w:rPr>
            </w:r>
            <w:r w:rsidR="00A15251">
              <w:rPr>
                <w:noProof/>
                <w:webHidden/>
              </w:rPr>
              <w:fldChar w:fldCharType="separate"/>
            </w:r>
            <w:r w:rsidR="00A15251">
              <w:rPr>
                <w:noProof/>
                <w:webHidden/>
              </w:rPr>
              <w:t>30</w:t>
            </w:r>
            <w:r w:rsidR="00A15251">
              <w:rPr>
                <w:noProof/>
                <w:webHidden/>
              </w:rPr>
              <w:fldChar w:fldCharType="end"/>
            </w:r>
          </w:hyperlink>
        </w:p>
        <w:p w14:paraId="4256FA48" w14:textId="118F89B6" w:rsidR="00A15251" w:rsidRDefault="000519D8">
          <w:pPr>
            <w:pStyle w:val="TOC3"/>
            <w:rPr>
              <w:rFonts w:asciiTheme="minorHAnsi" w:eastAsiaTheme="minorEastAsia" w:hAnsiTheme="minorHAnsi" w:cstheme="minorBidi"/>
              <w:b w:val="0"/>
              <w:noProof/>
              <w:color w:val="auto"/>
              <w:szCs w:val="22"/>
              <w:lang w:eastAsia="en-AU"/>
            </w:rPr>
          </w:pPr>
          <w:hyperlink w:anchor="_Toc144994869" w:history="1">
            <w:r w:rsidR="00A15251" w:rsidRPr="00785BF5">
              <w:rPr>
                <w:rStyle w:val="Hyperlink"/>
                <w:noProof/>
              </w:rPr>
              <w:t>Proposed action</w:t>
            </w:r>
            <w:r w:rsidR="00A15251">
              <w:rPr>
                <w:noProof/>
                <w:webHidden/>
              </w:rPr>
              <w:tab/>
            </w:r>
            <w:r w:rsidR="00A15251">
              <w:rPr>
                <w:noProof/>
                <w:webHidden/>
              </w:rPr>
              <w:fldChar w:fldCharType="begin"/>
            </w:r>
            <w:r w:rsidR="00A15251">
              <w:rPr>
                <w:noProof/>
                <w:webHidden/>
              </w:rPr>
              <w:instrText xml:space="preserve"> PAGEREF _Toc144994869 \h </w:instrText>
            </w:r>
            <w:r w:rsidR="00A15251">
              <w:rPr>
                <w:noProof/>
                <w:webHidden/>
              </w:rPr>
            </w:r>
            <w:r w:rsidR="00A15251">
              <w:rPr>
                <w:noProof/>
                <w:webHidden/>
              </w:rPr>
              <w:fldChar w:fldCharType="separate"/>
            </w:r>
            <w:r w:rsidR="00A15251">
              <w:rPr>
                <w:noProof/>
                <w:webHidden/>
              </w:rPr>
              <w:t>32</w:t>
            </w:r>
            <w:r w:rsidR="00A15251">
              <w:rPr>
                <w:noProof/>
                <w:webHidden/>
              </w:rPr>
              <w:fldChar w:fldCharType="end"/>
            </w:r>
          </w:hyperlink>
        </w:p>
        <w:p w14:paraId="1DCC7998" w14:textId="48F8A327" w:rsidR="00A15251" w:rsidRDefault="000519D8">
          <w:pPr>
            <w:pStyle w:val="TOC3"/>
            <w:rPr>
              <w:rFonts w:asciiTheme="minorHAnsi" w:eastAsiaTheme="minorEastAsia" w:hAnsiTheme="minorHAnsi" w:cstheme="minorBidi"/>
              <w:b w:val="0"/>
              <w:noProof/>
              <w:color w:val="auto"/>
              <w:szCs w:val="22"/>
              <w:lang w:eastAsia="en-AU"/>
            </w:rPr>
          </w:pPr>
          <w:hyperlink w:anchor="_Toc144994870" w:history="1">
            <w:r w:rsidR="00A15251" w:rsidRPr="00785BF5">
              <w:rPr>
                <w:rStyle w:val="Hyperlink"/>
                <w:noProof/>
              </w:rPr>
              <w:t>Advisory Committee considerations</w:t>
            </w:r>
            <w:r w:rsidR="00A15251">
              <w:rPr>
                <w:noProof/>
                <w:webHidden/>
              </w:rPr>
              <w:tab/>
            </w:r>
            <w:r w:rsidR="00A15251">
              <w:rPr>
                <w:noProof/>
                <w:webHidden/>
              </w:rPr>
              <w:fldChar w:fldCharType="begin"/>
            </w:r>
            <w:r w:rsidR="00A15251">
              <w:rPr>
                <w:noProof/>
                <w:webHidden/>
              </w:rPr>
              <w:instrText xml:space="preserve"> PAGEREF _Toc144994870 \h </w:instrText>
            </w:r>
            <w:r w:rsidR="00A15251">
              <w:rPr>
                <w:noProof/>
                <w:webHidden/>
              </w:rPr>
            </w:r>
            <w:r w:rsidR="00A15251">
              <w:rPr>
                <w:noProof/>
                <w:webHidden/>
              </w:rPr>
              <w:fldChar w:fldCharType="separate"/>
            </w:r>
            <w:r w:rsidR="00A15251">
              <w:rPr>
                <w:noProof/>
                <w:webHidden/>
              </w:rPr>
              <w:t>32</w:t>
            </w:r>
            <w:r w:rsidR="00A15251">
              <w:rPr>
                <w:noProof/>
                <w:webHidden/>
              </w:rPr>
              <w:fldChar w:fldCharType="end"/>
            </w:r>
          </w:hyperlink>
        </w:p>
        <w:p w14:paraId="4861831A" w14:textId="7CB8A101" w:rsidR="00A15251" w:rsidRDefault="000519D8">
          <w:pPr>
            <w:pStyle w:val="TOC1"/>
            <w:rPr>
              <w:rFonts w:asciiTheme="minorHAnsi" w:eastAsiaTheme="minorEastAsia" w:hAnsiTheme="minorHAnsi" w:cstheme="minorBidi"/>
              <w:b w:val="0"/>
              <w:noProof/>
              <w:color w:val="auto"/>
              <w:sz w:val="22"/>
              <w:szCs w:val="22"/>
              <w:lang w:eastAsia="en-AU"/>
            </w:rPr>
          </w:pPr>
          <w:hyperlink w:anchor="_Toc144994871" w:history="1">
            <w:r w:rsidR="00A15251" w:rsidRPr="00785BF5">
              <w:rPr>
                <w:rStyle w:val="Hyperlink"/>
                <w:noProof/>
              </w:rPr>
              <w:t>Outcome</w:t>
            </w:r>
            <w:r w:rsidR="00A15251">
              <w:rPr>
                <w:noProof/>
                <w:webHidden/>
              </w:rPr>
              <w:tab/>
            </w:r>
            <w:r w:rsidR="00A15251">
              <w:rPr>
                <w:noProof/>
                <w:webHidden/>
              </w:rPr>
              <w:fldChar w:fldCharType="begin"/>
            </w:r>
            <w:r w:rsidR="00A15251">
              <w:rPr>
                <w:noProof/>
                <w:webHidden/>
              </w:rPr>
              <w:instrText xml:space="preserve"> PAGEREF _Toc144994871 \h </w:instrText>
            </w:r>
            <w:r w:rsidR="00A15251">
              <w:rPr>
                <w:noProof/>
                <w:webHidden/>
              </w:rPr>
            </w:r>
            <w:r w:rsidR="00A15251">
              <w:rPr>
                <w:noProof/>
                <w:webHidden/>
              </w:rPr>
              <w:fldChar w:fldCharType="separate"/>
            </w:r>
            <w:r w:rsidR="00A15251">
              <w:rPr>
                <w:noProof/>
                <w:webHidden/>
              </w:rPr>
              <w:t>34</w:t>
            </w:r>
            <w:r w:rsidR="00A15251">
              <w:rPr>
                <w:noProof/>
                <w:webHidden/>
              </w:rPr>
              <w:fldChar w:fldCharType="end"/>
            </w:r>
          </w:hyperlink>
        </w:p>
        <w:p w14:paraId="77659F2D" w14:textId="5FEF4FD7"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324B33">
      <w:pPr>
        <w:pStyle w:val="Heading2"/>
      </w:pPr>
      <w:bookmarkStart w:id="0" w:name="_Toc98931917"/>
      <w:bookmarkStart w:id="1" w:name="_Toc103679287"/>
      <w:bookmarkStart w:id="2" w:name="_Toc144994854"/>
      <w:bookmarkStart w:id="3" w:name="_Toc323739589"/>
      <w:bookmarkStart w:id="4" w:name="_Toc356305216"/>
      <w:r>
        <w:lastRenderedPageBreak/>
        <w:t>List of abbreviations</w:t>
      </w:r>
      <w:bookmarkEnd w:id="0"/>
      <w:bookmarkEnd w:id="1"/>
      <w:bookmarkEnd w:id="2"/>
    </w:p>
    <w:tbl>
      <w:tblPr>
        <w:tblStyle w:val="TableTGAblue2023"/>
        <w:tblW w:w="5000" w:type="pct"/>
        <w:tblLook w:val="04A0" w:firstRow="1" w:lastRow="0" w:firstColumn="1" w:lastColumn="0" w:noHBand="0" w:noVBand="1"/>
      </w:tblPr>
      <w:tblGrid>
        <w:gridCol w:w="2174"/>
        <w:gridCol w:w="6886"/>
      </w:tblGrid>
      <w:tr w:rsidR="00487C84" w:rsidRPr="00D01DDB" w14:paraId="718E152F" w14:textId="77777777" w:rsidTr="00B850F9">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3D7BA8FE" w14:textId="77777777" w:rsidR="00487C84" w:rsidRPr="00D01DDB" w:rsidRDefault="00487C84" w:rsidP="00B850F9">
            <w:pPr>
              <w:rPr>
                <w:szCs w:val="22"/>
              </w:rPr>
            </w:pPr>
            <w:r w:rsidRPr="00D01DDB">
              <w:rPr>
                <w:szCs w:val="22"/>
              </w:rPr>
              <w:t>Abbreviation</w:t>
            </w:r>
          </w:p>
        </w:tc>
        <w:tc>
          <w:tcPr>
            <w:tcW w:w="3800" w:type="pct"/>
          </w:tcPr>
          <w:p w14:paraId="4C0EDF01" w14:textId="77777777" w:rsidR="00487C84" w:rsidRPr="00D01DDB" w:rsidRDefault="00487C84" w:rsidP="00B850F9">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487C84" w:rsidRPr="00D01DDB" w14:paraId="2BE0DC19" w14:textId="77777777" w:rsidTr="00B850F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2CF9486" w14:textId="77777777" w:rsidR="00487C84" w:rsidRPr="00D01DDB" w:rsidRDefault="00487C84" w:rsidP="00B850F9">
            <w:pPr>
              <w:rPr>
                <w:szCs w:val="22"/>
              </w:rPr>
            </w:pPr>
            <w:r w:rsidRPr="00D01DDB">
              <w:rPr>
                <w:szCs w:val="22"/>
              </w:rPr>
              <w:t>ACV</w:t>
            </w:r>
          </w:p>
        </w:tc>
        <w:tc>
          <w:tcPr>
            <w:tcW w:w="3800" w:type="pct"/>
          </w:tcPr>
          <w:p w14:paraId="2081BA9D" w14:textId="77777777" w:rsidR="00487C84" w:rsidRPr="00D01DDB" w:rsidRDefault="00487C84" w:rsidP="00B850F9">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Advisory Committee on Vaccines</w:t>
            </w:r>
          </w:p>
        </w:tc>
      </w:tr>
      <w:tr w:rsidR="00487C84" w:rsidRPr="00D01DDB" w14:paraId="3351BC69" w14:textId="77777777" w:rsidTr="00B850F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C68745C" w14:textId="77777777" w:rsidR="00487C84" w:rsidRPr="00D01DDB" w:rsidRDefault="00487C84" w:rsidP="00B850F9">
            <w:pPr>
              <w:rPr>
                <w:szCs w:val="22"/>
              </w:rPr>
            </w:pPr>
            <w:r w:rsidRPr="00D01DDB">
              <w:rPr>
                <w:szCs w:val="22"/>
              </w:rPr>
              <w:t>ARTG</w:t>
            </w:r>
          </w:p>
        </w:tc>
        <w:tc>
          <w:tcPr>
            <w:tcW w:w="3800" w:type="pct"/>
          </w:tcPr>
          <w:p w14:paraId="7E44DFFC" w14:textId="77777777" w:rsidR="00487C84" w:rsidRPr="00D01DDB" w:rsidRDefault="00487C84" w:rsidP="00B850F9">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Australian Register of Therapeutic Goods</w:t>
            </w:r>
          </w:p>
        </w:tc>
      </w:tr>
      <w:tr w:rsidR="00487C84" w:rsidRPr="00D01DDB" w14:paraId="316F4B43" w14:textId="77777777" w:rsidTr="00B850F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1B5D758" w14:textId="77777777" w:rsidR="00487C84" w:rsidRPr="00D01DDB" w:rsidRDefault="00487C84" w:rsidP="00B850F9">
            <w:pPr>
              <w:rPr>
                <w:szCs w:val="22"/>
              </w:rPr>
            </w:pPr>
            <w:r w:rsidRPr="00D01DDB">
              <w:rPr>
                <w:szCs w:val="22"/>
              </w:rPr>
              <w:t>ASA</w:t>
            </w:r>
          </w:p>
        </w:tc>
        <w:tc>
          <w:tcPr>
            <w:tcW w:w="3800" w:type="pct"/>
          </w:tcPr>
          <w:p w14:paraId="18132496" w14:textId="77777777" w:rsidR="00487C84" w:rsidRPr="00D01DDB" w:rsidRDefault="00487C84" w:rsidP="00B850F9">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 specific annex</w:t>
            </w:r>
          </w:p>
        </w:tc>
      </w:tr>
      <w:tr w:rsidR="00487C84" w:rsidRPr="00D01DDB" w14:paraId="51421E96" w14:textId="77777777" w:rsidTr="00B850F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5A708BB" w14:textId="77777777" w:rsidR="00487C84" w:rsidRPr="00D01DDB" w:rsidRDefault="00487C84" w:rsidP="00B850F9">
            <w:pPr>
              <w:rPr>
                <w:szCs w:val="22"/>
              </w:rPr>
            </w:pPr>
            <w:r w:rsidRPr="00D01DDB">
              <w:rPr>
                <w:szCs w:val="22"/>
              </w:rPr>
              <w:t>CMI</w:t>
            </w:r>
          </w:p>
        </w:tc>
        <w:tc>
          <w:tcPr>
            <w:tcW w:w="3800" w:type="pct"/>
          </w:tcPr>
          <w:p w14:paraId="4406BB09" w14:textId="77777777" w:rsidR="00487C84" w:rsidRPr="00D01DDB" w:rsidRDefault="00487C84" w:rsidP="00B850F9">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Consumer Medicines Information</w:t>
            </w:r>
          </w:p>
        </w:tc>
      </w:tr>
      <w:tr w:rsidR="00487C84" w:rsidRPr="00D01DDB" w14:paraId="4D547620" w14:textId="77777777" w:rsidTr="00B850F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D09A0F5" w14:textId="77777777" w:rsidR="00487C84" w:rsidRPr="00D01DDB" w:rsidRDefault="00487C84" w:rsidP="00B850F9">
            <w:pPr>
              <w:rPr>
                <w:szCs w:val="22"/>
              </w:rPr>
            </w:pPr>
            <w:r w:rsidRPr="00D01DDB">
              <w:rPr>
                <w:szCs w:val="22"/>
              </w:rPr>
              <w:t>DLP</w:t>
            </w:r>
          </w:p>
        </w:tc>
        <w:tc>
          <w:tcPr>
            <w:tcW w:w="3800" w:type="pct"/>
          </w:tcPr>
          <w:p w14:paraId="0570A41C" w14:textId="77777777" w:rsidR="00487C84" w:rsidRPr="00D01DDB" w:rsidRDefault="00487C84" w:rsidP="00B850F9">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Data lock point</w:t>
            </w:r>
          </w:p>
        </w:tc>
      </w:tr>
      <w:tr w:rsidR="00487C84" w:rsidRPr="00D01DDB" w14:paraId="48AC9250" w14:textId="77777777" w:rsidTr="00B850F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C448D0E" w14:textId="77777777" w:rsidR="00487C84" w:rsidRDefault="00487C84" w:rsidP="00B850F9">
            <w:pPr>
              <w:rPr>
                <w:szCs w:val="22"/>
              </w:rPr>
            </w:pPr>
            <w:r>
              <w:rPr>
                <w:szCs w:val="22"/>
              </w:rPr>
              <w:t>EU</w:t>
            </w:r>
          </w:p>
        </w:tc>
        <w:tc>
          <w:tcPr>
            <w:tcW w:w="3800" w:type="pct"/>
          </w:tcPr>
          <w:p w14:paraId="2CE42D5A" w14:textId="77777777" w:rsidR="00487C84" w:rsidRDefault="00487C84" w:rsidP="00B850F9">
            <w:pPr>
              <w:cnfStyle w:val="000000000000" w:firstRow="0" w:lastRow="0" w:firstColumn="0" w:lastColumn="0" w:oddVBand="0" w:evenVBand="0" w:oddHBand="0" w:evenHBand="0" w:firstRowFirstColumn="0" w:firstRowLastColumn="0" w:lastRowFirstColumn="0" w:lastRowLastColumn="0"/>
            </w:pPr>
            <w:r>
              <w:t>European Union</w:t>
            </w:r>
          </w:p>
        </w:tc>
      </w:tr>
      <w:tr w:rsidR="00487C84" w:rsidRPr="00D01DDB" w14:paraId="3E588233" w14:textId="77777777" w:rsidTr="00B850F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F75DEE1" w14:textId="77777777" w:rsidR="00487C84" w:rsidRPr="00D01DDB" w:rsidRDefault="00487C84" w:rsidP="00B850F9">
            <w:pPr>
              <w:rPr>
                <w:szCs w:val="22"/>
              </w:rPr>
            </w:pPr>
            <w:r>
              <w:rPr>
                <w:szCs w:val="22"/>
              </w:rPr>
              <w:t>GMT</w:t>
            </w:r>
          </w:p>
        </w:tc>
        <w:tc>
          <w:tcPr>
            <w:tcW w:w="3800" w:type="pct"/>
          </w:tcPr>
          <w:p w14:paraId="07F43316" w14:textId="77777777" w:rsidR="00487C84" w:rsidRPr="00D01DDB" w:rsidRDefault="00487C84" w:rsidP="00B850F9">
            <w:pPr>
              <w:cnfStyle w:val="000000000000" w:firstRow="0" w:lastRow="0" w:firstColumn="0" w:lastColumn="0" w:oddVBand="0" w:evenVBand="0" w:oddHBand="0" w:evenHBand="0" w:firstRowFirstColumn="0" w:firstRowLastColumn="0" w:lastRowFirstColumn="0" w:lastRowLastColumn="0"/>
              <w:rPr>
                <w:szCs w:val="22"/>
              </w:rPr>
            </w:pPr>
            <w:r>
              <w:t>G</w:t>
            </w:r>
            <w:r w:rsidRPr="00EA7A44">
              <w:t>eometric mean tit</w:t>
            </w:r>
            <w:r>
              <w:t>re</w:t>
            </w:r>
          </w:p>
        </w:tc>
      </w:tr>
      <w:tr w:rsidR="00487C84" w:rsidRPr="00D01DDB" w14:paraId="6FDFC062" w14:textId="77777777" w:rsidTr="00B850F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487A2A3" w14:textId="77777777" w:rsidR="00487C84" w:rsidRPr="00D01DDB" w:rsidRDefault="00487C84" w:rsidP="00B850F9">
            <w:pPr>
              <w:rPr>
                <w:szCs w:val="22"/>
              </w:rPr>
            </w:pPr>
            <w:r>
              <w:rPr>
                <w:szCs w:val="22"/>
              </w:rPr>
              <w:t>IgG</w:t>
            </w:r>
          </w:p>
        </w:tc>
        <w:tc>
          <w:tcPr>
            <w:tcW w:w="3800" w:type="pct"/>
          </w:tcPr>
          <w:p w14:paraId="42772553" w14:textId="77777777" w:rsidR="00487C84" w:rsidRPr="00D01DDB" w:rsidRDefault="00487C84" w:rsidP="00B850F9">
            <w:pPr>
              <w:cnfStyle w:val="000000000000" w:firstRow="0" w:lastRow="0" w:firstColumn="0" w:lastColumn="0" w:oddVBand="0" w:evenVBand="0" w:oddHBand="0" w:evenHBand="0" w:firstRowFirstColumn="0" w:firstRowLastColumn="0" w:lastRowFirstColumn="0" w:lastRowLastColumn="0"/>
              <w:rPr>
                <w:szCs w:val="22"/>
              </w:rPr>
            </w:pPr>
            <w:r>
              <w:rPr>
                <w:szCs w:val="22"/>
              </w:rPr>
              <w:t>Immunoglobin G</w:t>
            </w:r>
          </w:p>
        </w:tc>
      </w:tr>
      <w:tr w:rsidR="00487C84" w:rsidRPr="00D01DDB" w14:paraId="4478A0FA" w14:textId="77777777" w:rsidTr="00B850F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5E46AA2" w14:textId="77777777" w:rsidR="00487C84" w:rsidRPr="00D01DDB" w:rsidRDefault="00487C84" w:rsidP="00B850F9">
            <w:pPr>
              <w:rPr>
                <w:szCs w:val="22"/>
              </w:rPr>
            </w:pPr>
            <w:r>
              <w:rPr>
                <w:szCs w:val="22"/>
              </w:rPr>
              <w:t>MVC</w:t>
            </w:r>
          </w:p>
        </w:tc>
        <w:tc>
          <w:tcPr>
            <w:tcW w:w="3800" w:type="pct"/>
          </w:tcPr>
          <w:p w14:paraId="56DBAC94" w14:textId="77777777" w:rsidR="00487C84" w:rsidRPr="00D01DDB" w:rsidRDefault="00487C84" w:rsidP="00B850F9">
            <w:pPr>
              <w:cnfStyle w:val="000000000000" w:firstRow="0" w:lastRow="0" w:firstColumn="0" w:lastColumn="0" w:oddVBand="0" w:evenVBand="0" w:oddHBand="0" w:evenHBand="0" w:firstRowFirstColumn="0" w:firstRowLastColumn="0" w:lastRowFirstColumn="0" w:lastRowLastColumn="0"/>
              <w:rPr>
                <w:szCs w:val="22"/>
              </w:rPr>
            </w:pPr>
            <w:r>
              <w:rPr>
                <w:szCs w:val="22"/>
              </w:rPr>
              <w:t>MVC COVID-19 vaccine</w:t>
            </w:r>
          </w:p>
        </w:tc>
      </w:tr>
      <w:tr w:rsidR="00487C84" w:rsidRPr="00D01DDB" w14:paraId="1CF4B51D" w14:textId="77777777" w:rsidTr="00B850F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2C47048" w14:textId="77777777" w:rsidR="00487C84" w:rsidRPr="00D01DDB" w:rsidRDefault="00487C84" w:rsidP="00B850F9">
            <w:pPr>
              <w:rPr>
                <w:szCs w:val="22"/>
              </w:rPr>
            </w:pPr>
            <w:proofErr w:type="spellStart"/>
            <w:r>
              <w:rPr>
                <w:szCs w:val="22"/>
              </w:rPr>
              <w:t>nAb</w:t>
            </w:r>
            <w:proofErr w:type="spellEnd"/>
          </w:p>
        </w:tc>
        <w:tc>
          <w:tcPr>
            <w:tcW w:w="3800" w:type="pct"/>
          </w:tcPr>
          <w:p w14:paraId="251475B7" w14:textId="77777777" w:rsidR="00487C84" w:rsidRPr="00D01DDB" w:rsidRDefault="00487C84" w:rsidP="00B850F9">
            <w:pPr>
              <w:cnfStyle w:val="000000000000" w:firstRow="0" w:lastRow="0" w:firstColumn="0" w:lastColumn="0" w:oddVBand="0" w:evenVBand="0" w:oddHBand="0" w:evenHBand="0" w:firstRowFirstColumn="0" w:firstRowLastColumn="0" w:lastRowFirstColumn="0" w:lastRowLastColumn="0"/>
              <w:rPr>
                <w:szCs w:val="22"/>
              </w:rPr>
            </w:pPr>
            <w:r>
              <w:rPr>
                <w:szCs w:val="22"/>
              </w:rPr>
              <w:t>Neutralising antibody</w:t>
            </w:r>
          </w:p>
        </w:tc>
      </w:tr>
      <w:tr w:rsidR="00487C84" w:rsidRPr="00D01DDB" w14:paraId="21D30F15" w14:textId="77777777" w:rsidTr="00B850F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2D4E5E2" w14:textId="77777777" w:rsidR="00487C84" w:rsidRPr="00D01DDB" w:rsidRDefault="00487C84" w:rsidP="00B850F9">
            <w:pPr>
              <w:rPr>
                <w:szCs w:val="22"/>
              </w:rPr>
            </w:pPr>
            <w:r w:rsidRPr="00D01DDB">
              <w:rPr>
                <w:szCs w:val="22"/>
              </w:rPr>
              <w:t>PI</w:t>
            </w:r>
          </w:p>
        </w:tc>
        <w:tc>
          <w:tcPr>
            <w:tcW w:w="3800" w:type="pct"/>
          </w:tcPr>
          <w:p w14:paraId="6C8412D3" w14:textId="77777777" w:rsidR="00487C84" w:rsidRPr="00D01DDB" w:rsidRDefault="00487C84" w:rsidP="00B850F9">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Product Information</w:t>
            </w:r>
          </w:p>
        </w:tc>
      </w:tr>
      <w:tr w:rsidR="00487C84" w:rsidRPr="00D01DDB" w14:paraId="6773C404" w14:textId="77777777" w:rsidTr="00B850F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8F657CB" w14:textId="77777777" w:rsidR="00487C84" w:rsidRPr="00D01DDB" w:rsidRDefault="00487C84" w:rsidP="00B850F9">
            <w:pPr>
              <w:rPr>
                <w:szCs w:val="22"/>
              </w:rPr>
            </w:pPr>
            <w:r w:rsidRPr="00D01DDB">
              <w:rPr>
                <w:szCs w:val="22"/>
              </w:rPr>
              <w:t>PSUR</w:t>
            </w:r>
          </w:p>
        </w:tc>
        <w:tc>
          <w:tcPr>
            <w:tcW w:w="3800" w:type="pct"/>
          </w:tcPr>
          <w:p w14:paraId="5D92E54E" w14:textId="77777777" w:rsidR="00487C84" w:rsidRPr="00D01DDB" w:rsidRDefault="00487C84" w:rsidP="00B850F9">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Periodic safety update report</w:t>
            </w:r>
          </w:p>
        </w:tc>
      </w:tr>
      <w:tr w:rsidR="00487C84" w:rsidRPr="00D01DDB" w14:paraId="2CEF0368" w14:textId="77777777" w:rsidTr="00B850F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F33AFC2" w14:textId="77777777" w:rsidR="00487C84" w:rsidRDefault="00487C84" w:rsidP="00B850F9">
            <w:pPr>
              <w:rPr>
                <w:szCs w:val="22"/>
              </w:rPr>
            </w:pPr>
            <w:r>
              <w:rPr>
                <w:szCs w:val="22"/>
              </w:rPr>
              <w:t>RAT</w:t>
            </w:r>
          </w:p>
        </w:tc>
        <w:tc>
          <w:tcPr>
            <w:tcW w:w="3800" w:type="pct"/>
          </w:tcPr>
          <w:p w14:paraId="5CEA8B4D" w14:textId="77777777" w:rsidR="00487C84" w:rsidRDefault="00487C84" w:rsidP="00B850F9">
            <w:pPr>
              <w:cnfStyle w:val="000000000000" w:firstRow="0" w:lastRow="0" w:firstColumn="0" w:lastColumn="0" w:oddVBand="0" w:evenVBand="0" w:oddHBand="0" w:evenHBand="0" w:firstRowFirstColumn="0" w:firstRowLastColumn="0" w:lastRowFirstColumn="0" w:lastRowLastColumn="0"/>
            </w:pPr>
            <w:r>
              <w:t>Rapid antigen test</w:t>
            </w:r>
          </w:p>
        </w:tc>
      </w:tr>
      <w:tr w:rsidR="00487C84" w:rsidRPr="00D01DDB" w14:paraId="242671DE" w14:textId="77777777" w:rsidTr="00B850F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8627EFA" w14:textId="77777777" w:rsidR="00487C84" w:rsidRPr="00D01DDB" w:rsidRDefault="00487C84" w:rsidP="00B850F9">
            <w:pPr>
              <w:rPr>
                <w:szCs w:val="22"/>
              </w:rPr>
            </w:pPr>
            <w:r w:rsidRPr="00D01DDB">
              <w:rPr>
                <w:szCs w:val="22"/>
              </w:rPr>
              <w:t>RMP</w:t>
            </w:r>
          </w:p>
        </w:tc>
        <w:tc>
          <w:tcPr>
            <w:tcW w:w="3800" w:type="pct"/>
          </w:tcPr>
          <w:p w14:paraId="25AE20A0" w14:textId="77777777" w:rsidR="00487C84" w:rsidRPr="00D01DDB" w:rsidRDefault="00487C84" w:rsidP="00B850F9">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Risk management plan</w:t>
            </w:r>
          </w:p>
        </w:tc>
      </w:tr>
      <w:tr w:rsidR="00487C84" w:rsidRPr="00D01DDB" w14:paraId="61C2B1D2" w14:textId="77777777" w:rsidTr="00B850F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1EB2005" w14:textId="77777777" w:rsidR="00487C84" w:rsidRPr="00D01DDB" w:rsidRDefault="00487C84" w:rsidP="00B850F9">
            <w:pPr>
              <w:rPr>
                <w:szCs w:val="22"/>
              </w:rPr>
            </w:pPr>
            <w:r>
              <w:rPr>
                <w:szCs w:val="22"/>
              </w:rPr>
              <w:t>SAR-CoV-2</w:t>
            </w:r>
          </w:p>
        </w:tc>
        <w:tc>
          <w:tcPr>
            <w:tcW w:w="3800" w:type="pct"/>
          </w:tcPr>
          <w:p w14:paraId="64385FDE" w14:textId="77777777" w:rsidR="00487C84" w:rsidRPr="00D01DDB" w:rsidRDefault="00487C84" w:rsidP="00B850F9">
            <w:pPr>
              <w:cnfStyle w:val="000000000000" w:firstRow="0" w:lastRow="0" w:firstColumn="0" w:lastColumn="0" w:oddVBand="0" w:evenVBand="0" w:oddHBand="0" w:evenHBand="0" w:firstRowFirstColumn="0" w:firstRowLastColumn="0" w:lastRowFirstColumn="0" w:lastRowLastColumn="0"/>
              <w:rPr>
                <w:szCs w:val="22"/>
              </w:rPr>
            </w:pPr>
            <w:r>
              <w:t>S</w:t>
            </w:r>
            <w:r w:rsidRPr="00377D50">
              <w:t>evere acute respiratory syndrome coronavirus 2</w:t>
            </w:r>
          </w:p>
        </w:tc>
      </w:tr>
      <w:tr w:rsidR="00487C84" w:rsidRPr="00D01DDB" w14:paraId="1227573F" w14:textId="77777777" w:rsidTr="00B850F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52CADE5" w14:textId="77777777" w:rsidR="00487C84" w:rsidRPr="00D01DDB" w:rsidRDefault="00487C84" w:rsidP="00B850F9">
            <w:pPr>
              <w:rPr>
                <w:szCs w:val="22"/>
              </w:rPr>
            </w:pPr>
            <w:r>
              <w:rPr>
                <w:szCs w:val="22"/>
              </w:rPr>
              <w:t>S-P2</w:t>
            </w:r>
          </w:p>
        </w:tc>
        <w:tc>
          <w:tcPr>
            <w:tcW w:w="3800" w:type="pct"/>
          </w:tcPr>
          <w:p w14:paraId="1E17CD2F" w14:textId="77777777" w:rsidR="00487C84" w:rsidRPr="00D01DDB" w:rsidRDefault="00487C84" w:rsidP="00B850F9">
            <w:pPr>
              <w:cnfStyle w:val="000000000000" w:firstRow="0" w:lastRow="0" w:firstColumn="0" w:lastColumn="0" w:oddVBand="0" w:evenVBand="0" w:oddHBand="0" w:evenHBand="0" w:firstRowFirstColumn="0" w:firstRowLastColumn="0" w:lastRowFirstColumn="0" w:lastRowLastColumn="0"/>
              <w:rPr>
                <w:szCs w:val="22"/>
              </w:rPr>
            </w:pPr>
            <w:r>
              <w:rPr>
                <w:szCs w:val="22"/>
              </w:rPr>
              <w:t>Spike protein</w:t>
            </w:r>
          </w:p>
        </w:tc>
      </w:tr>
      <w:tr w:rsidR="00487C84" w:rsidRPr="00D01DDB" w14:paraId="2CA6FF20" w14:textId="77777777" w:rsidTr="00B850F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A4AD731" w14:textId="77777777" w:rsidR="00487C84" w:rsidRPr="00D01DDB" w:rsidRDefault="00487C84" w:rsidP="00B850F9">
            <w:pPr>
              <w:rPr>
                <w:szCs w:val="22"/>
              </w:rPr>
            </w:pPr>
            <w:r w:rsidRPr="00D01DDB">
              <w:rPr>
                <w:szCs w:val="22"/>
              </w:rPr>
              <w:t>TGA</w:t>
            </w:r>
          </w:p>
        </w:tc>
        <w:tc>
          <w:tcPr>
            <w:tcW w:w="3800" w:type="pct"/>
          </w:tcPr>
          <w:p w14:paraId="742E3B54" w14:textId="77777777" w:rsidR="00487C84" w:rsidRPr="00D01DDB" w:rsidRDefault="00487C84" w:rsidP="00B850F9">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Therapeutic Goods Administration</w:t>
            </w:r>
          </w:p>
        </w:tc>
      </w:tr>
      <w:tr w:rsidR="00487C84" w:rsidRPr="00D01DDB" w14:paraId="549AF03D" w14:textId="77777777" w:rsidTr="00B850F9">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D9640F9" w14:textId="77777777" w:rsidR="00487C84" w:rsidRDefault="00487C84" w:rsidP="00B850F9">
            <w:pPr>
              <w:rPr>
                <w:szCs w:val="22"/>
              </w:rPr>
            </w:pPr>
            <w:r>
              <w:rPr>
                <w:szCs w:val="22"/>
              </w:rPr>
              <w:t>VE</w:t>
            </w:r>
          </w:p>
        </w:tc>
        <w:tc>
          <w:tcPr>
            <w:tcW w:w="3800" w:type="pct"/>
          </w:tcPr>
          <w:p w14:paraId="28475BD6" w14:textId="77777777" w:rsidR="00487C84" w:rsidRDefault="00487C84" w:rsidP="00B850F9">
            <w:pPr>
              <w:cnfStyle w:val="000000000000" w:firstRow="0" w:lastRow="0" w:firstColumn="0" w:lastColumn="0" w:oddVBand="0" w:evenVBand="0" w:oddHBand="0" w:evenHBand="0" w:firstRowFirstColumn="0" w:firstRowLastColumn="0" w:lastRowFirstColumn="0" w:lastRowLastColumn="0"/>
            </w:pPr>
            <w:r>
              <w:t>Vaccine efficacy</w:t>
            </w:r>
          </w:p>
        </w:tc>
      </w:tr>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5" w:name="_Toc103679288"/>
      <w:bookmarkStart w:id="6" w:name="_Toc144994855"/>
      <w:r>
        <w:lastRenderedPageBreak/>
        <w:t>Product submission</w:t>
      </w:r>
      <w:bookmarkEnd w:id="5"/>
      <w:bookmarkEnd w:id="6"/>
    </w:p>
    <w:p w14:paraId="21D559DF" w14:textId="77777777" w:rsidR="00324B33" w:rsidRDefault="00324B33" w:rsidP="00324B33">
      <w:pPr>
        <w:pStyle w:val="Heading3"/>
        <w:rPr>
          <w:lang w:eastAsia="en-AU"/>
        </w:rPr>
      </w:pPr>
      <w:bookmarkStart w:id="7" w:name="_Toc247691502"/>
      <w:bookmarkStart w:id="8" w:name="_Toc314842483"/>
      <w:bookmarkStart w:id="9" w:name="_Toc103679289"/>
      <w:bookmarkStart w:id="10" w:name="_Toc144994856"/>
      <w:r>
        <w:rPr>
          <w:lang w:eastAsia="en-AU"/>
        </w:rPr>
        <w:t>Submission details</w:t>
      </w:r>
      <w:bookmarkEnd w:id="7"/>
      <w:bookmarkEnd w:id="8"/>
      <w:bookmarkEnd w:id="9"/>
      <w:bookmarkEnd w:id="10"/>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77777777" w:rsidR="00324B33" w:rsidRPr="00BD5DBD" w:rsidRDefault="00324B33" w:rsidP="007452E8">
            <w:pPr>
              <w:rPr>
                <w:i/>
                <w:szCs w:val="22"/>
              </w:rPr>
            </w:pPr>
            <w:r w:rsidRPr="00BD5DBD">
              <w:rPr>
                <w:i/>
                <w:szCs w:val="22"/>
              </w:rPr>
              <w:t>Type of submission:</w:t>
            </w:r>
          </w:p>
        </w:tc>
        <w:tc>
          <w:tcPr>
            <w:tcW w:w="3423" w:type="pct"/>
          </w:tcPr>
          <w:p w14:paraId="4F07C303" w14:textId="7D4B9474" w:rsidR="00324B33" w:rsidRPr="00BD5DBD" w:rsidRDefault="00324B33" w:rsidP="007452E8">
            <w:pPr>
              <w:rPr>
                <w:szCs w:val="22"/>
              </w:rPr>
            </w:pPr>
            <w:r w:rsidRPr="00BD5DBD">
              <w:rPr>
                <w:szCs w:val="22"/>
              </w:rPr>
              <w:t xml:space="preserve">New </w:t>
            </w:r>
            <w:r w:rsidR="00CC469C">
              <w:rPr>
                <w:szCs w:val="22"/>
              </w:rPr>
              <w:t>biological</w:t>
            </w:r>
            <w:r w:rsidRPr="00BD5DBD">
              <w:rPr>
                <w:szCs w:val="22"/>
              </w:rPr>
              <w:t xml:space="preserve"> entity</w:t>
            </w:r>
          </w:p>
        </w:tc>
      </w:tr>
      <w:tr w:rsidR="00324B33" w:rsidRPr="00BD5DBD" w14:paraId="13482B61" w14:textId="77777777" w:rsidTr="00F865A7">
        <w:tc>
          <w:tcPr>
            <w:tcW w:w="1577" w:type="pct"/>
          </w:tcPr>
          <w:p w14:paraId="2C427FCF" w14:textId="49542E9E" w:rsidR="00324B33" w:rsidRPr="00BD5DBD" w:rsidRDefault="00324B33" w:rsidP="007452E8">
            <w:pPr>
              <w:rPr>
                <w:i/>
                <w:szCs w:val="22"/>
              </w:rPr>
            </w:pPr>
            <w:r w:rsidRPr="00BD5DBD">
              <w:rPr>
                <w:i/>
                <w:szCs w:val="22"/>
              </w:rPr>
              <w:t>Product name:</w:t>
            </w:r>
          </w:p>
        </w:tc>
        <w:tc>
          <w:tcPr>
            <w:tcW w:w="3423" w:type="pct"/>
          </w:tcPr>
          <w:p w14:paraId="0E2DEF76" w14:textId="16EC02C3" w:rsidR="00324B33" w:rsidRPr="00BD5DBD" w:rsidRDefault="00A97E5B" w:rsidP="007452E8">
            <w:pPr>
              <w:rPr>
                <w:szCs w:val="22"/>
              </w:rPr>
            </w:pPr>
            <w:r w:rsidRPr="00A97E5B">
              <w:rPr>
                <w:szCs w:val="22"/>
              </w:rPr>
              <w:t>MVC COVID-19 Vaccine</w:t>
            </w:r>
          </w:p>
        </w:tc>
      </w:tr>
      <w:tr w:rsidR="00324B33" w:rsidRPr="00BD5DBD" w14:paraId="01255B5B" w14:textId="77777777" w:rsidTr="00F865A7">
        <w:tc>
          <w:tcPr>
            <w:tcW w:w="1577" w:type="pct"/>
          </w:tcPr>
          <w:p w14:paraId="52B4F3D7" w14:textId="26215888" w:rsidR="00324B33" w:rsidRPr="00BD5DBD" w:rsidRDefault="00324B33" w:rsidP="007452E8">
            <w:pPr>
              <w:rPr>
                <w:i/>
                <w:szCs w:val="22"/>
              </w:rPr>
            </w:pPr>
            <w:r w:rsidRPr="00BD5DBD">
              <w:rPr>
                <w:i/>
                <w:szCs w:val="22"/>
              </w:rPr>
              <w:t>Active ingredient:</w:t>
            </w:r>
          </w:p>
        </w:tc>
        <w:tc>
          <w:tcPr>
            <w:tcW w:w="3423" w:type="pct"/>
          </w:tcPr>
          <w:p w14:paraId="02FB6383" w14:textId="4863F281" w:rsidR="00324B33" w:rsidRPr="00A97E5B" w:rsidRDefault="00A97E5B" w:rsidP="00A97E5B">
            <w:pPr>
              <w:rPr>
                <w:szCs w:val="24"/>
              </w:rPr>
            </w:pPr>
            <w:r>
              <w:t>MVC-COV1901</w:t>
            </w:r>
          </w:p>
        </w:tc>
      </w:tr>
      <w:tr w:rsidR="00324B33" w:rsidRPr="00BD5DBD" w14:paraId="219A281B" w14:textId="77777777" w:rsidTr="00F865A7">
        <w:tc>
          <w:tcPr>
            <w:tcW w:w="1577" w:type="pct"/>
          </w:tcPr>
          <w:p w14:paraId="112E5F78" w14:textId="77777777" w:rsidR="00324B33" w:rsidRPr="00054F53" w:rsidRDefault="00324B33" w:rsidP="007452E8">
            <w:pPr>
              <w:rPr>
                <w:i/>
                <w:szCs w:val="22"/>
              </w:rPr>
            </w:pPr>
            <w:r w:rsidRPr="00054F53">
              <w:rPr>
                <w:i/>
                <w:szCs w:val="22"/>
              </w:rPr>
              <w:t>Decision:</w:t>
            </w:r>
          </w:p>
        </w:tc>
        <w:tc>
          <w:tcPr>
            <w:tcW w:w="3423" w:type="pct"/>
          </w:tcPr>
          <w:p w14:paraId="3B114BEA" w14:textId="010678B1" w:rsidR="00324B33" w:rsidRPr="00054F53" w:rsidRDefault="00054F53" w:rsidP="007452E8">
            <w:pPr>
              <w:rPr>
                <w:szCs w:val="22"/>
              </w:rPr>
            </w:pPr>
            <w:r w:rsidRPr="00054F53">
              <w:rPr>
                <w:szCs w:val="22"/>
              </w:rPr>
              <w:t>Withdrawn</w:t>
            </w:r>
          </w:p>
        </w:tc>
      </w:tr>
      <w:tr w:rsidR="00AE1947" w:rsidRPr="00BD5DBD" w14:paraId="32B72632" w14:textId="77777777" w:rsidTr="00FC60F4">
        <w:tc>
          <w:tcPr>
            <w:tcW w:w="1577" w:type="pct"/>
            <w:shd w:val="clear" w:color="auto" w:fill="auto"/>
          </w:tcPr>
          <w:p w14:paraId="332A5CD5" w14:textId="283FC6C6" w:rsidR="00AE1947" w:rsidRPr="00054F53" w:rsidRDefault="00AE1947" w:rsidP="00054F53">
            <w:pPr>
              <w:rPr>
                <w:i/>
                <w:szCs w:val="22"/>
              </w:rPr>
            </w:pPr>
            <w:r w:rsidRPr="00054F53">
              <w:rPr>
                <w:i/>
                <w:szCs w:val="22"/>
              </w:rPr>
              <w:t>Date of decision:</w:t>
            </w:r>
          </w:p>
        </w:tc>
        <w:tc>
          <w:tcPr>
            <w:tcW w:w="3423" w:type="pct"/>
            <w:shd w:val="clear" w:color="auto" w:fill="auto"/>
          </w:tcPr>
          <w:p w14:paraId="7B381CD6" w14:textId="0FB83116" w:rsidR="00AE1947" w:rsidRPr="00054F53" w:rsidRDefault="00054F53" w:rsidP="00B850F9">
            <w:pPr>
              <w:rPr>
                <w:szCs w:val="22"/>
              </w:rPr>
            </w:pPr>
            <w:r w:rsidRPr="00054F53">
              <w:rPr>
                <w:szCs w:val="22"/>
              </w:rPr>
              <w:t>Not applicable</w:t>
            </w:r>
          </w:p>
        </w:tc>
      </w:tr>
      <w:tr w:rsidR="00054F53" w:rsidRPr="00BD5DBD" w14:paraId="6DC88335" w14:textId="77777777" w:rsidTr="00FC60F4">
        <w:tc>
          <w:tcPr>
            <w:tcW w:w="1577" w:type="pct"/>
            <w:shd w:val="clear" w:color="auto" w:fill="auto"/>
          </w:tcPr>
          <w:p w14:paraId="236A2A89" w14:textId="7B2DC73F" w:rsidR="00054F53" w:rsidRPr="00054F53" w:rsidRDefault="00054F53" w:rsidP="00054F53">
            <w:pPr>
              <w:rPr>
                <w:i/>
                <w:szCs w:val="22"/>
              </w:rPr>
            </w:pPr>
            <w:r w:rsidRPr="00054F53">
              <w:rPr>
                <w:i/>
                <w:szCs w:val="22"/>
              </w:rPr>
              <w:t>Date of entry on ARTG</w:t>
            </w:r>
          </w:p>
        </w:tc>
        <w:tc>
          <w:tcPr>
            <w:tcW w:w="3423" w:type="pct"/>
            <w:shd w:val="clear" w:color="auto" w:fill="auto"/>
          </w:tcPr>
          <w:p w14:paraId="3AEE94A0" w14:textId="4A6D5771" w:rsidR="00054F53" w:rsidRPr="00054F53" w:rsidRDefault="00054F53" w:rsidP="00B850F9">
            <w:pPr>
              <w:rPr>
                <w:szCs w:val="22"/>
              </w:rPr>
            </w:pPr>
            <w:r w:rsidRPr="00054F53">
              <w:rPr>
                <w:szCs w:val="22"/>
              </w:rPr>
              <w:t>Not applicable</w:t>
            </w:r>
          </w:p>
        </w:tc>
      </w:tr>
      <w:tr w:rsidR="00054F53" w:rsidRPr="00BD5DBD" w14:paraId="23800AC6" w14:textId="77777777" w:rsidTr="00FC60F4">
        <w:tc>
          <w:tcPr>
            <w:tcW w:w="1577" w:type="pct"/>
            <w:shd w:val="clear" w:color="auto" w:fill="auto"/>
          </w:tcPr>
          <w:p w14:paraId="5334353D" w14:textId="08A42F24" w:rsidR="00054F53" w:rsidRPr="00054F53" w:rsidRDefault="00054F53" w:rsidP="00054F53">
            <w:pPr>
              <w:rPr>
                <w:i/>
                <w:szCs w:val="22"/>
              </w:rPr>
            </w:pPr>
            <w:r w:rsidRPr="00054F53">
              <w:rPr>
                <w:i/>
                <w:szCs w:val="22"/>
              </w:rPr>
              <w:t>ARTG numbers</w:t>
            </w:r>
          </w:p>
        </w:tc>
        <w:tc>
          <w:tcPr>
            <w:tcW w:w="3423" w:type="pct"/>
            <w:shd w:val="clear" w:color="auto" w:fill="auto"/>
          </w:tcPr>
          <w:p w14:paraId="14EB5747" w14:textId="393E8CAF" w:rsidR="00054F53" w:rsidRPr="00054F53" w:rsidRDefault="00054F53" w:rsidP="00B850F9">
            <w:pPr>
              <w:rPr>
                <w:szCs w:val="22"/>
              </w:rPr>
            </w:pPr>
            <w:r w:rsidRPr="00054F53">
              <w:rPr>
                <w:szCs w:val="22"/>
              </w:rPr>
              <w:t>Not applicable</w:t>
            </w:r>
          </w:p>
        </w:tc>
      </w:tr>
      <w:tr w:rsidR="00054F53" w:rsidRPr="00BD5DBD" w14:paraId="1890AF89" w14:textId="77777777" w:rsidTr="00FC60F4">
        <w:tc>
          <w:tcPr>
            <w:tcW w:w="1577" w:type="pct"/>
            <w:shd w:val="clear" w:color="auto" w:fill="auto"/>
          </w:tcPr>
          <w:p w14:paraId="1FA78917" w14:textId="3BDCB4CF" w:rsidR="00054F53" w:rsidRPr="00054F53" w:rsidRDefault="00054F53" w:rsidP="00054F53">
            <w:pPr>
              <w:rPr>
                <w:i/>
                <w:szCs w:val="22"/>
              </w:rPr>
            </w:pPr>
            <w:r w:rsidRPr="00054F53">
              <w:rPr>
                <w:rFonts w:ascii="Wingdings 3" w:hAnsi="Wingdings 3"/>
                <w:sz w:val="34"/>
                <w:szCs w:val="34"/>
                <w:lang w:eastAsia="en-AU"/>
              </w:rPr>
              <w:t></w:t>
            </w:r>
            <w:hyperlink r:id="rId15" w:history="1">
              <w:r w:rsidRPr="00054F53">
                <w:rPr>
                  <w:rStyle w:val="Hyperlink"/>
                  <w:i/>
                </w:rPr>
                <w:t>Black Triangle Scheme</w:t>
              </w:r>
            </w:hyperlink>
          </w:p>
        </w:tc>
        <w:tc>
          <w:tcPr>
            <w:tcW w:w="3423" w:type="pct"/>
            <w:shd w:val="clear" w:color="auto" w:fill="auto"/>
          </w:tcPr>
          <w:p w14:paraId="7942F3D2" w14:textId="71B03D50" w:rsidR="00054F53" w:rsidRPr="00054F53" w:rsidRDefault="00054F53" w:rsidP="00B850F9">
            <w:pPr>
              <w:rPr>
                <w:szCs w:val="22"/>
              </w:rPr>
            </w:pPr>
            <w:r w:rsidRPr="00054F53">
              <w:rPr>
                <w:szCs w:val="22"/>
              </w:rPr>
              <w:t>Not applicable</w:t>
            </w:r>
          </w:p>
        </w:tc>
      </w:tr>
      <w:tr w:rsidR="00324B33" w:rsidRPr="00BD5DBD" w14:paraId="179E09FE" w14:textId="77777777" w:rsidTr="00FC60F4">
        <w:tc>
          <w:tcPr>
            <w:tcW w:w="1577" w:type="pct"/>
            <w:shd w:val="clear" w:color="auto" w:fill="auto"/>
          </w:tcPr>
          <w:p w14:paraId="1A592498" w14:textId="77777777" w:rsidR="00324B33" w:rsidRPr="00BD5DBD" w:rsidRDefault="00324B33" w:rsidP="007452E8">
            <w:pPr>
              <w:rPr>
                <w:i/>
                <w:szCs w:val="22"/>
              </w:rPr>
            </w:pPr>
            <w:r w:rsidRPr="00BD5DBD">
              <w:rPr>
                <w:i/>
                <w:szCs w:val="22"/>
              </w:rPr>
              <w:t>Sponsor’s name and address:</w:t>
            </w:r>
          </w:p>
        </w:tc>
        <w:tc>
          <w:tcPr>
            <w:tcW w:w="3423" w:type="pct"/>
            <w:shd w:val="clear" w:color="auto" w:fill="auto"/>
          </w:tcPr>
          <w:p w14:paraId="24545E3D" w14:textId="77777777" w:rsidR="00324B33" w:rsidRDefault="00FC60F4" w:rsidP="007452E8">
            <w:pPr>
              <w:rPr>
                <w:szCs w:val="22"/>
              </w:rPr>
            </w:pPr>
            <w:r w:rsidRPr="00FC60F4">
              <w:rPr>
                <w:szCs w:val="22"/>
              </w:rPr>
              <w:t>Grand Pacific CRO Australia</w:t>
            </w:r>
          </w:p>
          <w:p w14:paraId="0CA4FDF2" w14:textId="78E04DFD" w:rsidR="00FC60F4" w:rsidRPr="00FC60F4" w:rsidRDefault="00FC60F4" w:rsidP="00FC60F4">
            <w:pPr>
              <w:rPr>
                <w:szCs w:val="22"/>
              </w:rPr>
            </w:pPr>
            <w:r w:rsidRPr="00FC60F4">
              <w:rPr>
                <w:szCs w:val="22"/>
              </w:rPr>
              <w:t xml:space="preserve">Suite 201, </w:t>
            </w:r>
            <w:r>
              <w:rPr>
                <w:szCs w:val="22"/>
              </w:rPr>
              <w:t>L</w:t>
            </w:r>
            <w:r w:rsidRPr="00FC60F4">
              <w:rPr>
                <w:szCs w:val="22"/>
              </w:rPr>
              <w:t>evel 2</w:t>
            </w:r>
          </w:p>
          <w:p w14:paraId="68DD94B0" w14:textId="7F334200" w:rsidR="00FC60F4" w:rsidRPr="00BD5DBD" w:rsidRDefault="00FC60F4" w:rsidP="00FC60F4">
            <w:pPr>
              <w:rPr>
                <w:szCs w:val="22"/>
              </w:rPr>
            </w:pPr>
            <w:r w:rsidRPr="00FC60F4">
              <w:rPr>
                <w:szCs w:val="22"/>
              </w:rPr>
              <w:t>1</w:t>
            </w:r>
            <w:r>
              <w:rPr>
                <w:szCs w:val="22"/>
              </w:rPr>
              <w:t xml:space="preserve"> </w:t>
            </w:r>
            <w:r w:rsidRPr="00FC60F4">
              <w:rPr>
                <w:szCs w:val="22"/>
              </w:rPr>
              <w:t>-</w:t>
            </w:r>
            <w:r>
              <w:rPr>
                <w:szCs w:val="22"/>
              </w:rPr>
              <w:t xml:space="preserve"> </w:t>
            </w:r>
            <w:r w:rsidRPr="00FC60F4">
              <w:rPr>
                <w:szCs w:val="22"/>
              </w:rPr>
              <w:t>9 Chandos Street</w:t>
            </w:r>
            <w:r>
              <w:rPr>
                <w:szCs w:val="22"/>
              </w:rPr>
              <w:t xml:space="preserve">, </w:t>
            </w:r>
            <w:r w:rsidRPr="00FC60F4">
              <w:rPr>
                <w:szCs w:val="22"/>
              </w:rPr>
              <w:t>NSW 2065</w:t>
            </w:r>
          </w:p>
        </w:tc>
      </w:tr>
      <w:tr w:rsidR="00324B33" w:rsidRPr="00BD5DBD" w14:paraId="5322B989" w14:textId="77777777" w:rsidTr="00F865A7">
        <w:tc>
          <w:tcPr>
            <w:tcW w:w="1577" w:type="pct"/>
          </w:tcPr>
          <w:p w14:paraId="24F217E3" w14:textId="11904C4C" w:rsidR="00324B33" w:rsidRPr="00BD5DBD" w:rsidRDefault="00324B33" w:rsidP="007452E8">
            <w:pPr>
              <w:rPr>
                <w:i/>
                <w:szCs w:val="22"/>
              </w:rPr>
            </w:pPr>
            <w:r w:rsidRPr="00BD5DBD">
              <w:rPr>
                <w:i/>
                <w:szCs w:val="22"/>
              </w:rPr>
              <w:t>Dose form:</w:t>
            </w:r>
          </w:p>
        </w:tc>
        <w:tc>
          <w:tcPr>
            <w:tcW w:w="3423" w:type="pct"/>
          </w:tcPr>
          <w:p w14:paraId="768B254C" w14:textId="14EDE3F6" w:rsidR="00324B33" w:rsidRPr="00BD5DBD" w:rsidRDefault="00FC60F4" w:rsidP="007452E8">
            <w:pPr>
              <w:rPr>
                <w:szCs w:val="22"/>
              </w:rPr>
            </w:pPr>
            <w:r>
              <w:rPr>
                <w:szCs w:val="22"/>
              </w:rPr>
              <w:t>Suspension for injection</w:t>
            </w:r>
          </w:p>
        </w:tc>
      </w:tr>
      <w:tr w:rsidR="00324B33" w:rsidRPr="00BD5DBD" w14:paraId="115243E6" w14:textId="77777777" w:rsidTr="00F865A7">
        <w:tc>
          <w:tcPr>
            <w:tcW w:w="1577" w:type="pct"/>
          </w:tcPr>
          <w:p w14:paraId="7634B062" w14:textId="5BC41C38" w:rsidR="00324B33" w:rsidRPr="00BD5DBD" w:rsidRDefault="00324B33" w:rsidP="007452E8">
            <w:pPr>
              <w:rPr>
                <w:i/>
                <w:szCs w:val="22"/>
              </w:rPr>
            </w:pPr>
            <w:r w:rsidRPr="00BD5DBD">
              <w:rPr>
                <w:i/>
                <w:szCs w:val="22"/>
              </w:rPr>
              <w:t>Strength:</w:t>
            </w:r>
          </w:p>
        </w:tc>
        <w:tc>
          <w:tcPr>
            <w:tcW w:w="3423" w:type="pct"/>
          </w:tcPr>
          <w:p w14:paraId="5E5F83DB" w14:textId="7C8DA6B4" w:rsidR="00324B33" w:rsidRPr="00BD5DBD" w:rsidRDefault="00FC60F4" w:rsidP="007452E8">
            <w:pPr>
              <w:rPr>
                <w:szCs w:val="22"/>
              </w:rPr>
            </w:pPr>
            <w:r>
              <w:rPr>
                <w:szCs w:val="22"/>
              </w:rPr>
              <w:t>15 µg/0.5 mL</w:t>
            </w:r>
          </w:p>
        </w:tc>
      </w:tr>
      <w:tr w:rsidR="00324B33" w:rsidRPr="00BD5DBD" w14:paraId="34B07BA6" w14:textId="77777777" w:rsidTr="00F865A7">
        <w:tc>
          <w:tcPr>
            <w:tcW w:w="1577" w:type="pct"/>
          </w:tcPr>
          <w:p w14:paraId="1C039224" w14:textId="52A289A8" w:rsidR="00324B33" w:rsidRPr="00BD5DBD" w:rsidRDefault="00324B33" w:rsidP="007452E8">
            <w:pPr>
              <w:rPr>
                <w:i/>
                <w:szCs w:val="22"/>
              </w:rPr>
            </w:pPr>
            <w:r w:rsidRPr="00BD5DBD">
              <w:rPr>
                <w:i/>
                <w:szCs w:val="22"/>
              </w:rPr>
              <w:t>Container</w:t>
            </w:r>
            <w:r w:rsidR="00FC60F4">
              <w:rPr>
                <w:i/>
                <w:szCs w:val="22"/>
              </w:rPr>
              <w:t>s</w:t>
            </w:r>
            <w:r w:rsidRPr="00BD5DBD">
              <w:rPr>
                <w:i/>
                <w:szCs w:val="22"/>
              </w:rPr>
              <w:t>:</w:t>
            </w:r>
          </w:p>
        </w:tc>
        <w:tc>
          <w:tcPr>
            <w:tcW w:w="3423" w:type="pct"/>
          </w:tcPr>
          <w:p w14:paraId="500A42C6" w14:textId="6CA2F349" w:rsidR="00324B33" w:rsidRPr="00BD5DBD" w:rsidRDefault="00FC60F4" w:rsidP="007452E8">
            <w:pPr>
              <w:rPr>
                <w:szCs w:val="22"/>
              </w:rPr>
            </w:pPr>
            <w:r>
              <w:rPr>
                <w:szCs w:val="22"/>
              </w:rPr>
              <w:t>Multi-dose vial (10 doses per vial) and pre-filled syringe</w:t>
            </w:r>
          </w:p>
        </w:tc>
      </w:tr>
      <w:tr w:rsidR="00324B33" w:rsidRPr="00BD5DBD" w14:paraId="176B6773" w14:textId="77777777" w:rsidTr="00F865A7">
        <w:tc>
          <w:tcPr>
            <w:tcW w:w="1577" w:type="pct"/>
          </w:tcPr>
          <w:p w14:paraId="71846159" w14:textId="074E721D" w:rsidR="00324B33" w:rsidRPr="00BD5DBD" w:rsidRDefault="00324B33" w:rsidP="007452E8">
            <w:pPr>
              <w:rPr>
                <w:i/>
                <w:szCs w:val="22"/>
              </w:rPr>
            </w:pPr>
            <w:r w:rsidRPr="00BD5DBD">
              <w:rPr>
                <w:i/>
                <w:szCs w:val="22"/>
              </w:rPr>
              <w:t>Pack size:</w:t>
            </w:r>
          </w:p>
        </w:tc>
        <w:tc>
          <w:tcPr>
            <w:tcW w:w="3423" w:type="pct"/>
          </w:tcPr>
          <w:p w14:paraId="7E978F8F" w14:textId="62C191E1" w:rsidR="00324B33" w:rsidRPr="00BD5DBD" w:rsidRDefault="00A53B8F" w:rsidP="007452E8">
            <w:pPr>
              <w:rPr>
                <w:szCs w:val="22"/>
              </w:rPr>
            </w:pPr>
            <w:r>
              <w:rPr>
                <w:szCs w:val="22"/>
              </w:rPr>
              <w:t>Not applicable</w:t>
            </w:r>
          </w:p>
        </w:tc>
      </w:tr>
      <w:tr w:rsidR="00324B33" w:rsidRPr="00BD5DBD" w14:paraId="19A2544A" w14:textId="77777777" w:rsidTr="00F865A7">
        <w:tc>
          <w:tcPr>
            <w:tcW w:w="1577"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423" w:type="pct"/>
          </w:tcPr>
          <w:p w14:paraId="6E143E2E" w14:textId="4FEB40BB" w:rsidR="00324B33" w:rsidRPr="00BD5DBD" w:rsidRDefault="00054F53" w:rsidP="007452E8">
            <w:pPr>
              <w:rPr>
                <w:szCs w:val="22"/>
              </w:rPr>
            </w:pPr>
            <w:r>
              <w:rPr>
                <w:szCs w:val="22"/>
              </w:rPr>
              <w:t>Not applicable</w:t>
            </w:r>
          </w:p>
        </w:tc>
      </w:tr>
      <w:tr w:rsidR="00324B33" w:rsidRPr="00BD5DBD" w14:paraId="5AFDEED3" w14:textId="77777777" w:rsidTr="00F865A7">
        <w:tc>
          <w:tcPr>
            <w:tcW w:w="1577" w:type="pct"/>
          </w:tcPr>
          <w:p w14:paraId="03884BD1" w14:textId="47EEE9A2" w:rsidR="00324B33" w:rsidRPr="00BD5DBD" w:rsidRDefault="00324B33" w:rsidP="007452E8">
            <w:pPr>
              <w:rPr>
                <w:i/>
                <w:szCs w:val="22"/>
              </w:rPr>
            </w:pPr>
            <w:r w:rsidRPr="00BD5DBD">
              <w:rPr>
                <w:i/>
                <w:szCs w:val="22"/>
              </w:rPr>
              <w:t>Route of administration:</w:t>
            </w:r>
          </w:p>
        </w:tc>
        <w:tc>
          <w:tcPr>
            <w:tcW w:w="3423" w:type="pct"/>
          </w:tcPr>
          <w:p w14:paraId="1ED1357E" w14:textId="15A410FC" w:rsidR="00324B33" w:rsidRPr="00BD5DBD" w:rsidRDefault="00FC60F4" w:rsidP="007452E8">
            <w:pPr>
              <w:rPr>
                <w:szCs w:val="22"/>
              </w:rPr>
            </w:pPr>
            <w:r>
              <w:rPr>
                <w:szCs w:val="22"/>
              </w:rPr>
              <w:t>Intramuscular injection</w:t>
            </w:r>
          </w:p>
        </w:tc>
      </w:tr>
      <w:tr w:rsidR="00324B33" w:rsidRPr="00BD5DBD" w14:paraId="70D7E9FA" w14:textId="77777777" w:rsidTr="00F865A7">
        <w:tc>
          <w:tcPr>
            <w:tcW w:w="1577" w:type="pct"/>
          </w:tcPr>
          <w:p w14:paraId="5ABFFC80" w14:textId="77777777" w:rsidR="00324B33" w:rsidRPr="00BD5DBD" w:rsidRDefault="00324B33" w:rsidP="007452E8">
            <w:pPr>
              <w:rPr>
                <w:i/>
                <w:szCs w:val="22"/>
              </w:rPr>
            </w:pPr>
            <w:r w:rsidRPr="00BD5DBD">
              <w:rPr>
                <w:i/>
                <w:szCs w:val="22"/>
              </w:rPr>
              <w:t>Dosage:</w:t>
            </w:r>
          </w:p>
        </w:tc>
        <w:tc>
          <w:tcPr>
            <w:tcW w:w="3423" w:type="pct"/>
          </w:tcPr>
          <w:p w14:paraId="3D0B2D5C" w14:textId="43A73218" w:rsidR="00324B33" w:rsidRPr="00BD5DBD" w:rsidRDefault="00054F53" w:rsidP="007452E8">
            <w:pPr>
              <w:rPr>
                <w:szCs w:val="22"/>
              </w:rPr>
            </w:pPr>
            <w:r>
              <w:rPr>
                <w:szCs w:val="22"/>
              </w:rPr>
              <w:t>Not applicable</w:t>
            </w:r>
          </w:p>
        </w:tc>
      </w:tr>
      <w:tr w:rsidR="00324B33" w:rsidRPr="00BD5DBD" w14:paraId="24DC408E" w14:textId="77777777" w:rsidTr="00F865A7">
        <w:tc>
          <w:tcPr>
            <w:tcW w:w="1577" w:type="pct"/>
          </w:tcPr>
          <w:p w14:paraId="26380792" w14:textId="77777777" w:rsidR="00324B33" w:rsidRPr="00BD5DBD" w:rsidRDefault="00324B33" w:rsidP="007452E8">
            <w:pPr>
              <w:rPr>
                <w:i/>
                <w:szCs w:val="22"/>
              </w:rPr>
            </w:pPr>
            <w:r w:rsidRPr="00BD5DBD">
              <w:rPr>
                <w:i/>
                <w:szCs w:val="22"/>
              </w:rPr>
              <w:t>Pregnancy category:</w:t>
            </w:r>
          </w:p>
        </w:tc>
        <w:tc>
          <w:tcPr>
            <w:tcW w:w="3423" w:type="pct"/>
          </w:tcPr>
          <w:p w14:paraId="15438550" w14:textId="2C738D4E" w:rsidR="00010142" w:rsidRPr="00010142" w:rsidRDefault="00010142" w:rsidP="00010142">
            <w:pPr>
              <w:rPr>
                <w:szCs w:val="22"/>
              </w:rPr>
            </w:pPr>
            <w:r w:rsidRPr="00010142">
              <w:rPr>
                <w:szCs w:val="22"/>
              </w:rPr>
              <w:t>B2</w:t>
            </w:r>
          </w:p>
          <w:p w14:paraId="62E6C2E2" w14:textId="6800A414" w:rsidR="00010142" w:rsidRPr="00010142" w:rsidRDefault="00010142" w:rsidP="00010142">
            <w:pPr>
              <w:rPr>
                <w:szCs w:val="22"/>
              </w:rPr>
            </w:pPr>
            <w:r w:rsidRPr="00010142">
              <w:rPr>
                <w:szCs w:val="22"/>
              </w:rPr>
              <w:t xml:space="preserve">Drugs which have been taken by only a limited number of pregnant women and women of childbearing age, without an increase in the frequency of malformation or other direct or indirect harmful effects on the human </w:t>
            </w:r>
            <w:proofErr w:type="spellStart"/>
            <w:r w:rsidRPr="00010142">
              <w:rPr>
                <w:szCs w:val="22"/>
              </w:rPr>
              <w:t>fetus</w:t>
            </w:r>
            <w:proofErr w:type="spellEnd"/>
            <w:r w:rsidRPr="00010142">
              <w:rPr>
                <w:szCs w:val="22"/>
              </w:rPr>
              <w:t xml:space="preserve"> having been observed.</w:t>
            </w:r>
          </w:p>
          <w:p w14:paraId="5E2AA3D6" w14:textId="2CF259C4" w:rsidR="00324B33" w:rsidRPr="00BD5DBD" w:rsidRDefault="00010142" w:rsidP="00010142">
            <w:pPr>
              <w:rPr>
                <w:szCs w:val="22"/>
              </w:rPr>
            </w:pPr>
            <w:r w:rsidRPr="00010142">
              <w:rPr>
                <w:szCs w:val="22"/>
              </w:rPr>
              <w:t xml:space="preserve">Studies in animals are inadequate or may be lacking, but available data show no evidence of an increased occurrence of </w:t>
            </w:r>
            <w:proofErr w:type="spellStart"/>
            <w:r w:rsidRPr="00010142">
              <w:rPr>
                <w:szCs w:val="22"/>
              </w:rPr>
              <w:t>fetal</w:t>
            </w:r>
            <w:proofErr w:type="spellEnd"/>
            <w:r w:rsidRPr="00010142">
              <w:rPr>
                <w:szCs w:val="22"/>
              </w:rPr>
              <w:t xml:space="preserve"> damage. </w:t>
            </w:r>
            <w:r w:rsidR="00324B33" w:rsidRPr="00BD5DBD">
              <w:rPr>
                <w:szCs w:val="22"/>
              </w:rP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51F2479F" w14:textId="77777777" w:rsidR="00324B33" w:rsidRDefault="00324B33" w:rsidP="00324B33">
      <w:pPr>
        <w:pStyle w:val="Heading3"/>
      </w:pPr>
      <w:bookmarkStart w:id="11" w:name="_Toc247691503"/>
      <w:bookmarkStart w:id="12" w:name="_Toc314842484"/>
      <w:bookmarkStart w:id="13" w:name="_Toc103679290"/>
      <w:bookmarkStart w:id="14" w:name="_Toc144994857"/>
      <w:r>
        <w:lastRenderedPageBreak/>
        <w:t>Product background</w:t>
      </w:r>
      <w:bookmarkEnd w:id="11"/>
      <w:bookmarkEnd w:id="12"/>
      <w:bookmarkEnd w:id="13"/>
      <w:bookmarkEnd w:id="14"/>
    </w:p>
    <w:p w14:paraId="56B27CF2" w14:textId="67CBC8F6" w:rsidR="00324B33" w:rsidRPr="00BD5DBD" w:rsidRDefault="00324B33" w:rsidP="00324B33">
      <w:pPr>
        <w:rPr>
          <w:szCs w:val="22"/>
        </w:rPr>
      </w:pPr>
      <w:r w:rsidRPr="00BD5DBD">
        <w:rPr>
          <w:szCs w:val="22"/>
        </w:rPr>
        <w:t xml:space="preserve">This </w:t>
      </w:r>
      <w:proofErr w:type="spellStart"/>
      <w:r w:rsidRPr="00BD5DBD">
        <w:rPr>
          <w:szCs w:val="22"/>
        </w:rPr>
        <w:t>AusPAR</w:t>
      </w:r>
      <w:proofErr w:type="spellEnd"/>
      <w:r w:rsidRPr="00BD5DBD">
        <w:rPr>
          <w:szCs w:val="22"/>
        </w:rPr>
        <w:t xml:space="preserve"> describes the submission by </w:t>
      </w:r>
      <w:r w:rsidR="00010142">
        <w:rPr>
          <w:szCs w:val="22"/>
        </w:rPr>
        <w:t>Grand Pacific Cro Australia</w:t>
      </w:r>
      <w:r w:rsidRPr="00BD5DBD">
        <w:rPr>
          <w:szCs w:val="22"/>
        </w:rPr>
        <w:t xml:space="preserve"> (the sponsor) to register </w:t>
      </w:r>
      <w:r w:rsidR="00010142" w:rsidRPr="002D35F4">
        <w:t>MVC COVID-19 Vaccine</w:t>
      </w:r>
      <w:r w:rsidR="00010142">
        <w:t xml:space="preserve"> (</w:t>
      </w:r>
      <w:r w:rsidR="00010142" w:rsidRPr="002D35F4">
        <w:t>MVC-COV1901</w:t>
      </w:r>
      <w:r w:rsidRPr="00BD5DBD">
        <w:rPr>
          <w:szCs w:val="22"/>
        </w:rPr>
        <w:t xml:space="preserve">) </w:t>
      </w:r>
      <w:r w:rsidR="00010142">
        <w:rPr>
          <w:szCs w:val="22"/>
        </w:rPr>
        <w:t>15 µg/0.5 mL</w:t>
      </w:r>
      <w:r w:rsidRPr="00BD5DBD">
        <w:rPr>
          <w:szCs w:val="22"/>
        </w:rPr>
        <w:t xml:space="preserve">, </w:t>
      </w:r>
      <w:r w:rsidR="00010142">
        <w:rPr>
          <w:szCs w:val="22"/>
        </w:rPr>
        <w:t>suspension for injection</w:t>
      </w:r>
      <w:r w:rsidR="00D62877" w:rsidRPr="00BD5DBD">
        <w:rPr>
          <w:szCs w:val="22"/>
        </w:rPr>
        <w:t xml:space="preserve">, </w:t>
      </w:r>
      <w:proofErr w:type="gramStart"/>
      <w:r w:rsidR="00010142">
        <w:rPr>
          <w:szCs w:val="22"/>
        </w:rPr>
        <w:t>vial</w:t>
      </w:r>
      <w:proofErr w:type="gramEnd"/>
      <w:r w:rsidR="00010142">
        <w:rPr>
          <w:szCs w:val="22"/>
        </w:rPr>
        <w:t xml:space="preserve"> and pre</w:t>
      </w:r>
      <w:r w:rsidR="00785FF3">
        <w:rPr>
          <w:szCs w:val="22"/>
        </w:rPr>
        <w:noBreakHyphen/>
      </w:r>
      <w:r w:rsidR="00010142">
        <w:rPr>
          <w:szCs w:val="22"/>
        </w:rPr>
        <w:t>filled syringe</w:t>
      </w:r>
      <w:r w:rsidRPr="00BD5DBD">
        <w:rPr>
          <w:szCs w:val="22"/>
        </w:rPr>
        <w:t xml:space="preserve"> for the following proposed indication:</w:t>
      </w:r>
      <w:r w:rsidR="00D63760" w:rsidRPr="00BD5DBD">
        <w:rPr>
          <w:rStyle w:val="FootnoteReference"/>
          <w:szCs w:val="22"/>
        </w:rPr>
        <w:footnoteReference w:id="1"/>
      </w:r>
    </w:p>
    <w:p w14:paraId="251C8879" w14:textId="56391F5D" w:rsidR="00010142" w:rsidRPr="00010142" w:rsidRDefault="00010142" w:rsidP="00E65FC3">
      <w:pPr>
        <w:ind w:left="720"/>
        <w:rPr>
          <w:i/>
          <w:iCs/>
        </w:rPr>
      </w:pPr>
      <w:r w:rsidRPr="00010142">
        <w:rPr>
          <w:i/>
          <w:iCs/>
        </w:rPr>
        <w:t>For active immunisation to prevent novel coronavirus disease (COVID-19, also known as severe pneumonia with novel pathogens) in individuals 12 years of age and older.</w:t>
      </w:r>
      <w:r w:rsidR="00E65FC3">
        <w:rPr>
          <w:i/>
          <w:iCs/>
        </w:rPr>
        <w:t xml:space="preserve"> </w:t>
      </w:r>
      <w:r w:rsidR="00E65FC3" w:rsidRPr="00E65FC3">
        <w:rPr>
          <w:i/>
          <w:iCs/>
        </w:rPr>
        <w:t xml:space="preserve">The decision to approve this indication has been made </w:t>
      </w:r>
      <w:proofErr w:type="gramStart"/>
      <w:r w:rsidR="00E65FC3" w:rsidRPr="00E65FC3">
        <w:rPr>
          <w:i/>
          <w:iCs/>
        </w:rPr>
        <w:t>on the basis of</w:t>
      </w:r>
      <w:proofErr w:type="gramEnd"/>
      <w:r w:rsidR="00E65FC3" w:rsidRPr="00E65FC3">
        <w:rPr>
          <w:i/>
          <w:iCs/>
        </w:rPr>
        <w:t xml:space="preserve"> safety, immunogenicity, and efficacy data in completed and ongoing clinical trials and </w:t>
      </w:r>
      <w:proofErr w:type="spellStart"/>
      <w:r w:rsidR="00E65FC3" w:rsidRPr="00E65FC3">
        <w:rPr>
          <w:i/>
          <w:iCs/>
        </w:rPr>
        <w:t>immunobridging</w:t>
      </w:r>
      <w:proofErr w:type="spellEnd"/>
      <w:r w:rsidR="00E65FC3" w:rsidRPr="00E65FC3">
        <w:rPr>
          <w:i/>
          <w:iCs/>
        </w:rPr>
        <w:t xml:space="preserve"> studies. Continued approval of this indication depends on verification and description of benefit in confirmatory trials and post-market assessment.</w:t>
      </w:r>
    </w:p>
    <w:p w14:paraId="5CF8B8B4" w14:textId="353D37DC" w:rsidR="00010142" w:rsidRDefault="00010142" w:rsidP="00010142">
      <w:pPr>
        <w:ind w:left="720"/>
      </w:pPr>
      <w:r w:rsidRPr="00010142">
        <w:rPr>
          <w:i/>
          <w:iCs/>
        </w:rPr>
        <w:t>This vaccine should be administered in accordance with the COVID-19 vaccination plan of the Central Epidemic Command Centre.</w:t>
      </w:r>
    </w:p>
    <w:p w14:paraId="68341470" w14:textId="68CAE5D4" w:rsidR="00E65FC3" w:rsidRDefault="00E65FC3" w:rsidP="00E65FC3">
      <w:r>
        <w:t xml:space="preserve">This </w:t>
      </w:r>
      <w:r w:rsidR="00B850F9">
        <w:t>submission seeks the</w:t>
      </w:r>
      <w:r>
        <w:t xml:space="preserve"> provisional regist</w:t>
      </w:r>
      <w:r w:rsidR="00B850F9">
        <w:t>ration of</w:t>
      </w:r>
      <w:r>
        <w:t xml:space="preserve"> </w:t>
      </w:r>
      <w:r w:rsidR="00B850F9">
        <w:t xml:space="preserve">MVC COVID-19 Vaccine (MVC), </w:t>
      </w:r>
      <w:r w:rsidR="00C073CC">
        <w:t xml:space="preserve">a new vaccine </w:t>
      </w:r>
      <w:r w:rsidR="00B850F9">
        <w:t>providing immunisation against coronavirus-19 disease (COVID-19).</w:t>
      </w:r>
    </w:p>
    <w:p w14:paraId="4D535B45" w14:textId="536843F8" w:rsidR="00125306" w:rsidRDefault="00B850F9" w:rsidP="009D5ABA">
      <w:r>
        <w:t xml:space="preserve">The </w:t>
      </w:r>
      <w:r w:rsidR="00F65360">
        <w:t xml:space="preserve">MVC COVID-19 </w:t>
      </w:r>
      <w:r w:rsidR="00C073CC">
        <w:t>v</w:t>
      </w:r>
      <w:r w:rsidR="00F65360">
        <w:t>accine</w:t>
      </w:r>
      <w:r w:rsidR="00E65FC3">
        <w:t xml:space="preserve"> is a protein subunit vaccine consisting recombinant</w:t>
      </w:r>
      <w:r w:rsidR="00DA7398">
        <w:t xml:space="preserve"> form of the SARS-CoV-2 spike (S) protein.</w:t>
      </w:r>
      <w:r w:rsidR="00DA7398" w:rsidRPr="00DA7398">
        <w:t xml:space="preserve"> </w:t>
      </w:r>
      <w:r w:rsidR="00DA7398">
        <w:t xml:space="preserve">This is </w:t>
      </w:r>
      <w:r w:rsidR="009D5ABA">
        <w:t xml:space="preserve">adjuvanted with </w:t>
      </w:r>
      <w:r w:rsidR="00125306">
        <w:t>CpG 1018 (</w:t>
      </w:r>
      <w:proofErr w:type="spellStart"/>
      <w:r w:rsidR="00125306">
        <w:t>cystosine</w:t>
      </w:r>
      <w:proofErr w:type="spellEnd"/>
      <w:r w:rsidR="00125306">
        <w:t xml:space="preserve"> </w:t>
      </w:r>
      <w:proofErr w:type="spellStart"/>
      <w:r w:rsidR="00125306">
        <w:t>phosphoguanine</w:t>
      </w:r>
      <w:proofErr w:type="spellEnd"/>
      <w:r w:rsidR="00125306">
        <w:t xml:space="preserve"> </w:t>
      </w:r>
      <w:r w:rsidR="009D5ABA">
        <w:t>1018</w:t>
      </w:r>
      <w:r w:rsidR="00125306">
        <w:t>)</w:t>
      </w:r>
      <w:r w:rsidR="009D5ABA">
        <w:t xml:space="preserve"> and alumin</w:t>
      </w:r>
      <w:r w:rsidR="00125306">
        <w:t>i</w:t>
      </w:r>
      <w:r w:rsidR="009D5ABA">
        <w:t>um hydroxide</w:t>
      </w:r>
      <w:r w:rsidR="00DA7398">
        <w:t xml:space="preserve">, acting </w:t>
      </w:r>
      <w:r w:rsidR="009D5ABA">
        <w:t>as adjuvan</w:t>
      </w:r>
      <w:r w:rsidR="00125306">
        <w:t>ts which enhance recognition by the innate immune system.</w:t>
      </w:r>
    </w:p>
    <w:p w14:paraId="0DFDC99B" w14:textId="672A7B48" w:rsidR="00C073CC" w:rsidRPr="00BD5DBD" w:rsidRDefault="00C073CC" w:rsidP="00C073CC">
      <w:pPr>
        <w:rPr>
          <w:szCs w:val="22"/>
        </w:rPr>
      </w:pPr>
      <w:r>
        <w:t xml:space="preserve">The proposed new vaccine is to be supplied in the form of two presentations, a </w:t>
      </w:r>
      <w:r>
        <w:rPr>
          <w:szCs w:val="22"/>
        </w:rPr>
        <w:t>multi-dose vial containing 10 doses per vial and a single-use, single-patient pre-filled syringe.</w:t>
      </w:r>
    </w:p>
    <w:p w14:paraId="35E2384A" w14:textId="200297A6" w:rsidR="00693302" w:rsidRPr="00693302" w:rsidRDefault="00C073CC">
      <w:r>
        <w:t>For both presentations, each dose of MVC COVID-19 vaccine (0.5 mL) contains 15</w:t>
      </w:r>
      <w:r w:rsidR="00EE47A1">
        <w:t xml:space="preserve"> </w:t>
      </w:r>
      <w:r w:rsidR="00602D86">
        <w:t>µ</w:t>
      </w:r>
      <w:r>
        <w:t xml:space="preserve">g SARS-CoV-2 </w:t>
      </w:r>
      <w:proofErr w:type="spellStart"/>
      <w:r>
        <w:t>rS</w:t>
      </w:r>
      <w:proofErr w:type="spellEnd"/>
      <w:r>
        <w:t xml:space="preserve"> (MVC-COV1901).</w:t>
      </w:r>
    </w:p>
    <w:p w14:paraId="4D9230C5" w14:textId="55551F69" w:rsidR="00E65FC3" w:rsidRDefault="00E65FC3" w:rsidP="00E65FC3">
      <w:r>
        <w:t>A two-dose primary vaccination series is proposed, consisting of 15 µg at Days 0 and 28</w:t>
      </w:r>
      <w:r w:rsidR="00C073CC">
        <w:t xml:space="preserve"> given via intramuscular injection</w:t>
      </w:r>
      <w:r>
        <w:t>.</w:t>
      </w:r>
    </w:p>
    <w:p w14:paraId="77FF1A36" w14:textId="141AF651" w:rsidR="00EE47A1" w:rsidRDefault="00EE47A1" w:rsidP="00E65FC3">
      <w:r>
        <w:t xml:space="preserve">In support of this submission, the sponsor submitted </w:t>
      </w:r>
      <w:proofErr w:type="gramStart"/>
      <w:r>
        <w:t>a number of</w:t>
      </w:r>
      <w:proofErr w:type="gramEnd"/>
      <w:r>
        <w:t xml:space="preserve"> Phase II and Phase III studies, with the Phase III studies using the </w:t>
      </w:r>
      <w:proofErr w:type="spellStart"/>
      <w:r>
        <w:t>Vaxzevria</w:t>
      </w:r>
      <w:proofErr w:type="spellEnd"/>
      <w:r>
        <w:t xml:space="preserve"> COVID-19 vaccine as comparator.</w:t>
      </w:r>
      <w:r>
        <w:rPr>
          <w:rStyle w:val="FootnoteReference"/>
        </w:rPr>
        <w:footnoteReference w:id="2"/>
      </w:r>
      <w:r w:rsidR="00291BB0">
        <w:t>,</w:t>
      </w:r>
      <w:r w:rsidR="00291BB0">
        <w:rPr>
          <w:rStyle w:val="FootnoteReference"/>
        </w:rPr>
        <w:footnoteReference w:id="3"/>
      </w:r>
      <w:r>
        <w:t xml:space="preserve"> </w:t>
      </w:r>
      <w:proofErr w:type="spellStart"/>
      <w:r w:rsidRPr="00EE47A1">
        <w:t>Vaxzevria</w:t>
      </w:r>
      <w:proofErr w:type="spellEnd"/>
      <w:r w:rsidRPr="00EE47A1">
        <w:t xml:space="preserve"> COVID-19 vaccine (formerly known as AstraZeneca COVID-19 vaccine) was first approved in Australia (via provisional registration) on 15 February 2021. Unlike the </w:t>
      </w:r>
      <w:r w:rsidR="00D5220C">
        <w:t>MVC</w:t>
      </w:r>
      <w:r w:rsidR="00D5220C" w:rsidRPr="00EE47A1">
        <w:t xml:space="preserve"> </w:t>
      </w:r>
      <w:r w:rsidRPr="00EE47A1">
        <w:t xml:space="preserve">COVID-19 vaccine, which is a protein subunit vaccine, </w:t>
      </w:r>
      <w:proofErr w:type="spellStart"/>
      <w:r w:rsidRPr="00EE47A1">
        <w:t>Vaxzevria</w:t>
      </w:r>
      <w:proofErr w:type="spellEnd"/>
      <w:r w:rsidRPr="00EE47A1">
        <w:t xml:space="preserve"> is a viral vector vaccine. </w:t>
      </w:r>
      <w:proofErr w:type="spellStart"/>
      <w:r w:rsidRPr="00EE47A1">
        <w:t>Vaxzevria</w:t>
      </w:r>
      <w:proofErr w:type="spellEnd"/>
      <w:r w:rsidRPr="00EE47A1">
        <w:t xml:space="preserve"> is an adjuvated vaccine containing ChAdOx1 as </w:t>
      </w:r>
      <w:r w:rsidR="00602D86" w:rsidRPr="00EE47A1">
        <w:t>its</w:t>
      </w:r>
      <w:r w:rsidRPr="00EE47A1">
        <w:t xml:space="preserve"> active ingredient.</w:t>
      </w:r>
    </w:p>
    <w:p w14:paraId="000AE5C6" w14:textId="6AC50D1A" w:rsidR="00EE47A1" w:rsidRDefault="00EE47A1" w:rsidP="00E65FC3">
      <w:r w:rsidRPr="00EE47A1">
        <w:t>The sponsor also provided additional information in response to the TGA first round evaluations questions, including Real World data from the Taiwan Food and Drug Administration regarding vaccine efficacy and utilisation in Taiwan during the pandemic.</w:t>
      </w:r>
    </w:p>
    <w:p w14:paraId="0D615854" w14:textId="77777777" w:rsidR="00324B33" w:rsidRPr="003F31A2" w:rsidRDefault="00324B33" w:rsidP="00324B33">
      <w:pPr>
        <w:pStyle w:val="Heading3"/>
      </w:pPr>
      <w:bookmarkStart w:id="15" w:name="_Toc314842485"/>
      <w:bookmarkStart w:id="16" w:name="_Toc247691504"/>
      <w:bookmarkStart w:id="17" w:name="_Toc103679291"/>
      <w:bookmarkStart w:id="18" w:name="_Toc144994858"/>
      <w:r>
        <w:t>Regulatory status</w:t>
      </w:r>
      <w:bookmarkEnd w:id="15"/>
      <w:bookmarkEnd w:id="16"/>
      <w:bookmarkEnd w:id="17"/>
      <w:bookmarkEnd w:id="18"/>
    </w:p>
    <w:p w14:paraId="6A8633FA" w14:textId="00A24D5D" w:rsidR="00324B33" w:rsidRPr="00BD5DBD" w:rsidRDefault="00324B33" w:rsidP="00324B33">
      <w:pPr>
        <w:rPr>
          <w:szCs w:val="22"/>
        </w:rPr>
      </w:pPr>
      <w:r w:rsidRPr="00BD5DBD">
        <w:rPr>
          <w:szCs w:val="22"/>
        </w:rPr>
        <w:t>This product is considered a new chemical</w:t>
      </w:r>
      <w:r w:rsidR="008C754C" w:rsidRPr="00BD5DBD">
        <w:rPr>
          <w:szCs w:val="22"/>
        </w:rPr>
        <w:t xml:space="preserve"> entity</w:t>
      </w:r>
      <w:r w:rsidRPr="00BD5DBD">
        <w:rPr>
          <w:szCs w:val="22"/>
        </w:rPr>
        <w:t xml:space="preserve"> medicine for Australian regulatory purposes.</w:t>
      </w:r>
    </w:p>
    <w:p w14:paraId="715B7D2A" w14:textId="6AC521AA" w:rsidR="00324B33" w:rsidRPr="00BD5DBD" w:rsidRDefault="00324B33" w:rsidP="00324B33">
      <w:pPr>
        <w:rPr>
          <w:szCs w:val="22"/>
        </w:rPr>
      </w:pPr>
      <w:r w:rsidRPr="00BD5DBD">
        <w:rPr>
          <w:szCs w:val="22"/>
        </w:rPr>
        <w:lastRenderedPageBreak/>
        <w:t xml:space="preserve">At the time the TGA considered this submission, a similar submission had been </w:t>
      </w:r>
      <w:r w:rsidR="00693302">
        <w:rPr>
          <w:szCs w:val="22"/>
        </w:rPr>
        <w:t>granted Emergency Use Authorisation</w:t>
      </w:r>
      <w:r w:rsidR="00F65360">
        <w:rPr>
          <w:szCs w:val="22"/>
        </w:rPr>
        <w:t xml:space="preserve"> </w:t>
      </w:r>
      <w:r w:rsidR="00693302">
        <w:rPr>
          <w:szCs w:val="22"/>
        </w:rPr>
        <w:t xml:space="preserve">in Taiwan </w:t>
      </w:r>
      <w:r w:rsidRPr="00BD5DBD">
        <w:rPr>
          <w:szCs w:val="22"/>
        </w:rPr>
        <w:t xml:space="preserve">on </w:t>
      </w:r>
      <w:r w:rsidR="00693302">
        <w:rPr>
          <w:szCs w:val="22"/>
        </w:rPr>
        <w:t>15 June 2021</w:t>
      </w:r>
      <w:r w:rsidR="006E44CD">
        <w:rPr>
          <w:szCs w:val="22"/>
        </w:rPr>
        <w:t>, in Paraguay on 12 August 2021 and The Kingdom of Eswatini on 12 October 2021</w:t>
      </w:r>
      <w:r w:rsidRPr="00BD5DBD">
        <w:rPr>
          <w:szCs w:val="22"/>
        </w:rPr>
        <w:t>.</w:t>
      </w:r>
    </w:p>
    <w:p w14:paraId="1B9AB90D" w14:textId="3E8AA98C" w:rsidR="00324B33" w:rsidRPr="00BD5DBD" w:rsidRDefault="00324B33" w:rsidP="00324B33">
      <w:pPr>
        <w:rPr>
          <w:szCs w:val="22"/>
        </w:rPr>
      </w:pPr>
      <w:r w:rsidRPr="00BD5DBD">
        <w:rPr>
          <w:szCs w:val="22"/>
        </w:rPr>
        <w:t>The following table summarises these submissions and provides the indications where approved.</w:t>
      </w:r>
    </w:p>
    <w:p w14:paraId="19B9E0AC" w14:textId="405395E0" w:rsidR="00324B33" w:rsidRDefault="00324B33" w:rsidP="00324B33">
      <w:pPr>
        <w:pStyle w:val="TableTitle"/>
      </w:pPr>
      <w:bookmarkStart w:id="19" w:name="_Ref99705479"/>
      <w:r>
        <w:t xml:space="preserve">Table </w:t>
      </w:r>
      <w:r w:rsidR="000519D8">
        <w:fldChar w:fldCharType="begin"/>
      </w:r>
      <w:r w:rsidR="000519D8">
        <w:instrText xml:space="preserve"> SEQ Table \* ARABIC </w:instrText>
      </w:r>
      <w:r w:rsidR="000519D8">
        <w:fldChar w:fldCharType="separate"/>
      </w:r>
      <w:r w:rsidR="00A15251">
        <w:rPr>
          <w:noProof/>
        </w:rPr>
        <w:t>1</w:t>
      </w:r>
      <w:r w:rsidR="000519D8">
        <w:rPr>
          <w:noProof/>
        </w:rPr>
        <w:fldChar w:fldCharType="end"/>
      </w:r>
      <w:bookmarkEnd w:id="19"/>
      <w:r>
        <w:t>: International regulatory status</w:t>
      </w:r>
    </w:p>
    <w:tbl>
      <w:tblPr>
        <w:tblStyle w:val="TableTGAblue2023"/>
        <w:tblW w:w="4848" w:type="pct"/>
        <w:tblLook w:val="04A0" w:firstRow="1" w:lastRow="0" w:firstColumn="1" w:lastColumn="0" w:noHBand="0" w:noVBand="1"/>
      </w:tblPr>
      <w:tblGrid>
        <w:gridCol w:w="1836"/>
        <w:gridCol w:w="2126"/>
        <w:gridCol w:w="4823"/>
      </w:tblGrid>
      <w:tr w:rsidR="007D7D47" w:rsidRPr="00D01DDB" w14:paraId="405E5D78" w14:textId="16839333" w:rsidTr="00C740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 w:type="pct"/>
          </w:tcPr>
          <w:p w14:paraId="185B099B" w14:textId="7A4C0E6C" w:rsidR="007D7D47" w:rsidRPr="00D01DDB" w:rsidRDefault="007D7D47" w:rsidP="00324B33">
            <w:pPr>
              <w:rPr>
                <w:szCs w:val="22"/>
              </w:rPr>
            </w:pPr>
            <w:r w:rsidRPr="00D01DDB">
              <w:rPr>
                <w:szCs w:val="22"/>
              </w:rPr>
              <w:t>Region</w:t>
            </w:r>
          </w:p>
        </w:tc>
        <w:tc>
          <w:tcPr>
            <w:tcW w:w="1210" w:type="pct"/>
          </w:tcPr>
          <w:p w14:paraId="58F81584" w14:textId="66689ABF" w:rsidR="007D7D47" w:rsidRPr="00D01DDB" w:rsidRDefault="007D7D47"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Status</w:t>
            </w:r>
          </w:p>
        </w:tc>
        <w:tc>
          <w:tcPr>
            <w:tcW w:w="2745" w:type="pct"/>
          </w:tcPr>
          <w:p w14:paraId="50B2D435" w14:textId="560588D2" w:rsidR="007D7D47" w:rsidRPr="00D01DDB" w:rsidRDefault="007D7D47"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Approved indications</w:t>
            </w:r>
          </w:p>
        </w:tc>
      </w:tr>
      <w:tr w:rsidR="007D7D47" w:rsidRPr="00D01DDB" w14:paraId="38D24E86" w14:textId="77777777" w:rsidTr="00C74024">
        <w:tc>
          <w:tcPr>
            <w:cnfStyle w:val="001000000000" w:firstRow="0" w:lastRow="0" w:firstColumn="1" w:lastColumn="0" w:oddVBand="0" w:evenVBand="0" w:oddHBand="0" w:evenHBand="0" w:firstRowFirstColumn="0" w:firstRowLastColumn="0" w:lastRowFirstColumn="0" w:lastRowLastColumn="0"/>
            <w:tcW w:w="1045" w:type="pct"/>
          </w:tcPr>
          <w:p w14:paraId="4C540DE5" w14:textId="4D921386" w:rsidR="007D7D47" w:rsidRPr="00D01DDB" w:rsidRDefault="007D7D47" w:rsidP="00324B33">
            <w:pPr>
              <w:rPr>
                <w:szCs w:val="22"/>
              </w:rPr>
            </w:pPr>
            <w:r>
              <w:rPr>
                <w:szCs w:val="22"/>
              </w:rPr>
              <w:t>Taiwan</w:t>
            </w:r>
          </w:p>
        </w:tc>
        <w:tc>
          <w:tcPr>
            <w:tcW w:w="1210" w:type="pct"/>
          </w:tcPr>
          <w:p w14:paraId="29358393" w14:textId="7A5EA2D6" w:rsidR="007D7D47" w:rsidRPr="00D01DDB" w:rsidRDefault="00C7402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Emergency Use Authorisation granted</w:t>
            </w:r>
            <w:r w:rsidR="007D7D47" w:rsidRPr="00D01DDB">
              <w:rPr>
                <w:szCs w:val="22"/>
              </w:rPr>
              <w:t xml:space="preserve"> on </w:t>
            </w:r>
            <w:r>
              <w:rPr>
                <w:szCs w:val="22"/>
              </w:rPr>
              <w:t>15 June 2021</w:t>
            </w:r>
          </w:p>
        </w:tc>
        <w:tc>
          <w:tcPr>
            <w:tcW w:w="2745" w:type="pct"/>
          </w:tcPr>
          <w:p w14:paraId="05055674" w14:textId="243104E5" w:rsidR="007D7D47" w:rsidRPr="00C74024" w:rsidRDefault="00C74024" w:rsidP="00324B33">
            <w:pPr>
              <w:cnfStyle w:val="000000000000" w:firstRow="0" w:lastRow="0" w:firstColumn="0" w:lastColumn="0" w:oddVBand="0" w:evenVBand="0" w:oddHBand="0" w:evenHBand="0" w:firstRowFirstColumn="0" w:firstRowLastColumn="0" w:lastRowFirstColumn="0" w:lastRowLastColumn="0"/>
              <w:rPr>
                <w:i/>
                <w:iCs/>
                <w:szCs w:val="22"/>
              </w:rPr>
            </w:pPr>
            <w:r w:rsidRPr="00C74024">
              <w:rPr>
                <w:i/>
                <w:iCs/>
                <w:szCs w:val="22"/>
              </w:rPr>
              <w:t xml:space="preserve">MVC COVID-19 vaccine is indicated for </w:t>
            </w:r>
            <w:r w:rsidRPr="00C74024">
              <w:rPr>
                <w:i/>
                <w:iCs/>
              </w:rPr>
              <w:t>active immunisation to prevent novel coronavirus disease (COVID-19, also known as severe pneumonia with novel pathogens) in individuals 20 years of age and older.</w:t>
            </w:r>
          </w:p>
        </w:tc>
      </w:tr>
      <w:tr w:rsidR="007D7D47" w:rsidRPr="00D01DDB" w14:paraId="18B6E2AA" w14:textId="7783D66F" w:rsidTr="00C74024">
        <w:tc>
          <w:tcPr>
            <w:cnfStyle w:val="001000000000" w:firstRow="0" w:lastRow="0" w:firstColumn="1" w:lastColumn="0" w:oddVBand="0" w:evenVBand="0" w:oddHBand="0" w:evenHBand="0" w:firstRowFirstColumn="0" w:firstRowLastColumn="0" w:lastRowFirstColumn="0" w:lastRowLastColumn="0"/>
            <w:tcW w:w="1045" w:type="pct"/>
          </w:tcPr>
          <w:p w14:paraId="7F348960" w14:textId="70B94EC5" w:rsidR="007D7D47" w:rsidRPr="00D01DDB" w:rsidRDefault="007D7D47" w:rsidP="00324B33">
            <w:pPr>
              <w:rPr>
                <w:szCs w:val="22"/>
              </w:rPr>
            </w:pPr>
            <w:r>
              <w:rPr>
                <w:szCs w:val="22"/>
              </w:rPr>
              <w:t>Paraguay</w:t>
            </w:r>
          </w:p>
        </w:tc>
        <w:tc>
          <w:tcPr>
            <w:tcW w:w="1210" w:type="pct"/>
          </w:tcPr>
          <w:p w14:paraId="63A3A9D3" w14:textId="36D0F156" w:rsidR="007D7D47" w:rsidRPr="00D01DDB" w:rsidRDefault="00C7402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Emergency Use Authorisation granted</w:t>
            </w:r>
            <w:r w:rsidRPr="00D01DDB">
              <w:rPr>
                <w:szCs w:val="22"/>
              </w:rPr>
              <w:t xml:space="preserve"> on </w:t>
            </w:r>
            <w:r>
              <w:rPr>
                <w:szCs w:val="22"/>
              </w:rPr>
              <w:t>12 August 2021</w:t>
            </w:r>
          </w:p>
        </w:tc>
        <w:tc>
          <w:tcPr>
            <w:tcW w:w="2745" w:type="pct"/>
          </w:tcPr>
          <w:p w14:paraId="17C650B8" w14:textId="78A01807" w:rsidR="007D7D47" w:rsidRPr="00D01DDB" w:rsidRDefault="00C74024" w:rsidP="00324B33">
            <w:pPr>
              <w:cnfStyle w:val="000000000000" w:firstRow="0" w:lastRow="0" w:firstColumn="0" w:lastColumn="0" w:oddVBand="0" w:evenVBand="0" w:oddHBand="0" w:evenHBand="0" w:firstRowFirstColumn="0" w:firstRowLastColumn="0" w:lastRowFirstColumn="0" w:lastRowLastColumn="0"/>
              <w:rPr>
                <w:szCs w:val="22"/>
              </w:rPr>
            </w:pPr>
            <w:r w:rsidRPr="00C74024">
              <w:rPr>
                <w:i/>
                <w:iCs/>
                <w:szCs w:val="22"/>
              </w:rPr>
              <w:t xml:space="preserve">MVC COVID-19 vaccine is indicated for </w:t>
            </w:r>
            <w:r w:rsidRPr="00C74024">
              <w:rPr>
                <w:i/>
                <w:iCs/>
              </w:rPr>
              <w:t xml:space="preserve">active immunisation to prevent novel coronavirus disease (COVID-19, also known as severe pneumonia with novel pathogens) in individuals </w:t>
            </w:r>
            <w:r>
              <w:rPr>
                <w:i/>
                <w:iCs/>
              </w:rPr>
              <w:t>18</w:t>
            </w:r>
            <w:r w:rsidRPr="00C74024">
              <w:rPr>
                <w:i/>
                <w:iCs/>
              </w:rPr>
              <w:t xml:space="preserve"> years of age and older.</w:t>
            </w:r>
          </w:p>
        </w:tc>
      </w:tr>
      <w:tr w:rsidR="007D7D47" w:rsidRPr="00D01DDB" w14:paraId="3C0365CE" w14:textId="77777777" w:rsidTr="00C74024">
        <w:tc>
          <w:tcPr>
            <w:cnfStyle w:val="001000000000" w:firstRow="0" w:lastRow="0" w:firstColumn="1" w:lastColumn="0" w:oddVBand="0" w:evenVBand="0" w:oddHBand="0" w:evenHBand="0" w:firstRowFirstColumn="0" w:firstRowLastColumn="0" w:lastRowFirstColumn="0" w:lastRowLastColumn="0"/>
            <w:tcW w:w="1045" w:type="pct"/>
          </w:tcPr>
          <w:p w14:paraId="48C96E23" w14:textId="6B8C13FC" w:rsidR="007D7D47" w:rsidRDefault="007D7D47" w:rsidP="00324B33">
            <w:pPr>
              <w:rPr>
                <w:szCs w:val="22"/>
              </w:rPr>
            </w:pPr>
            <w:r>
              <w:rPr>
                <w:szCs w:val="22"/>
              </w:rPr>
              <w:t xml:space="preserve">The Kingdom of </w:t>
            </w:r>
            <w:proofErr w:type="spellStart"/>
            <w:r>
              <w:rPr>
                <w:szCs w:val="22"/>
              </w:rPr>
              <w:t>Eswantini</w:t>
            </w:r>
            <w:proofErr w:type="spellEnd"/>
          </w:p>
        </w:tc>
        <w:tc>
          <w:tcPr>
            <w:tcW w:w="1210" w:type="pct"/>
          </w:tcPr>
          <w:p w14:paraId="11936461" w14:textId="24BEBA64" w:rsidR="007D7D47" w:rsidRPr="00D01DDB" w:rsidRDefault="00C7402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Emergency Use Authorisation granted</w:t>
            </w:r>
            <w:r w:rsidRPr="00D01DDB">
              <w:rPr>
                <w:szCs w:val="22"/>
              </w:rPr>
              <w:t xml:space="preserve"> on </w:t>
            </w:r>
            <w:r>
              <w:rPr>
                <w:szCs w:val="22"/>
              </w:rPr>
              <w:t>12 October 2021</w:t>
            </w:r>
          </w:p>
        </w:tc>
        <w:tc>
          <w:tcPr>
            <w:tcW w:w="2745" w:type="pct"/>
          </w:tcPr>
          <w:p w14:paraId="5E7EA817" w14:textId="35E6810B" w:rsidR="007D7D47" w:rsidRPr="00D01DDB" w:rsidRDefault="00C74024" w:rsidP="00324B33">
            <w:pPr>
              <w:cnfStyle w:val="000000000000" w:firstRow="0" w:lastRow="0" w:firstColumn="0" w:lastColumn="0" w:oddVBand="0" w:evenVBand="0" w:oddHBand="0" w:evenHBand="0" w:firstRowFirstColumn="0" w:firstRowLastColumn="0" w:lastRowFirstColumn="0" w:lastRowLastColumn="0"/>
              <w:rPr>
                <w:szCs w:val="22"/>
              </w:rPr>
            </w:pPr>
            <w:r w:rsidRPr="00C74024">
              <w:rPr>
                <w:i/>
                <w:iCs/>
                <w:szCs w:val="22"/>
              </w:rPr>
              <w:t xml:space="preserve">MVC COVID-19 vaccine is indicated for </w:t>
            </w:r>
            <w:r w:rsidRPr="00C74024">
              <w:rPr>
                <w:i/>
                <w:iCs/>
              </w:rPr>
              <w:t>active immunisation to prevent novel coronavirus disease (COVID-19, also known as severe pneumonia with novel pathogens) in individuals 20 years of age and older.</w:t>
            </w:r>
          </w:p>
        </w:tc>
      </w:tr>
    </w:tbl>
    <w:p w14:paraId="56170D8F" w14:textId="7AF7675B" w:rsidR="00324B33" w:rsidRPr="0098350E" w:rsidRDefault="00324B33" w:rsidP="00BB1C14">
      <w:pPr>
        <w:pStyle w:val="TableDescription"/>
      </w:pPr>
    </w:p>
    <w:p w14:paraId="6D92589C" w14:textId="77777777" w:rsidR="00324B33" w:rsidRDefault="00324B33" w:rsidP="00324B33">
      <w:pPr>
        <w:pStyle w:val="Heading2"/>
      </w:pPr>
      <w:bookmarkStart w:id="20" w:name="_Toc504480011"/>
      <w:bookmarkStart w:id="21" w:name="_Toc103679293"/>
      <w:bookmarkStart w:id="22" w:name="_Toc144994859"/>
      <w:r>
        <w:t>Registration timeline</w:t>
      </w:r>
      <w:bookmarkEnd w:id="20"/>
      <w:bookmarkEnd w:id="21"/>
      <w:bookmarkEnd w:id="22"/>
    </w:p>
    <w:p w14:paraId="225E3D87" w14:textId="1F3070CE" w:rsidR="00324B33" w:rsidRPr="00BD5DBD" w:rsidRDefault="00324B33" w:rsidP="00324B33">
      <w:pPr>
        <w:rPr>
          <w:szCs w:val="22"/>
        </w:rPr>
      </w:pPr>
      <w:r w:rsidRPr="00BD5DBD">
        <w:rPr>
          <w:szCs w:val="22"/>
        </w:rPr>
        <w:t>The following table captures the key steps and dates for this submission.</w:t>
      </w:r>
    </w:p>
    <w:p w14:paraId="06850328" w14:textId="096ED592" w:rsidR="00C22214" w:rsidRPr="00BD5DBD" w:rsidRDefault="00C22214" w:rsidP="00C22214">
      <w:pPr>
        <w:rPr>
          <w:szCs w:val="22"/>
        </w:rPr>
      </w:pPr>
      <w:r w:rsidRPr="00BD5DBD">
        <w:rPr>
          <w:szCs w:val="22"/>
        </w:rPr>
        <w:t>Data were provided as a rolling submission. Under normal circumstances, TGA's assessment (for both provisional and general registration) begins once all information to support registration is available. As part of the Department of Health and Aged Care's response to the pandemic, the TGA has agreed to accept rolling data for COVID-19 vaccines and treatments, to enable early evaluation of data as it becomes available.</w:t>
      </w:r>
    </w:p>
    <w:tbl>
      <w:tblPr>
        <w:tblStyle w:val="TableTGAblue2023"/>
        <w:tblW w:w="8780" w:type="dxa"/>
        <w:tblLook w:val="04A0" w:firstRow="1" w:lastRow="0" w:firstColumn="1" w:lastColumn="0" w:noHBand="0" w:noVBand="1"/>
      </w:tblPr>
      <w:tblGrid>
        <w:gridCol w:w="4390"/>
        <w:gridCol w:w="4390"/>
      </w:tblGrid>
      <w:tr w:rsidR="00C22214" w:rsidRPr="00D01DDB" w14:paraId="1E6392AD" w14:textId="77777777" w:rsidTr="00C222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37E60B8C" w14:textId="0D831017" w:rsidR="00C22214" w:rsidRPr="00D01DDB" w:rsidRDefault="00C22214" w:rsidP="00C22214">
            <w:pPr>
              <w:rPr>
                <w:szCs w:val="22"/>
              </w:rPr>
            </w:pPr>
            <w:r w:rsidRPr="00D01DDB">
              <w:rPr>
                <w:szCs w:val="22"/>
              </w:rPr>
              <w:t>Description</w:t>
            </w:r>
          </w:p>
        </w:tc>
        <w:tc>
          <w:tcPr>
            <w:tcW w:w="4390" w:type="dxa"/>
          </w:tcPr>
          <w:p w14:paraId="0F55D5BA" w14:textId="780CEEDC" w:rsidR="00C22214" w:rsidRPr="00D01DDB" w:rsidRDefault="00C22214" w:rsidP="00C22214">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C22214" w:rsidRPr="00D01DDB" w14:paraId="3093B7A8" w14:textId="77777777" w:rsidTr="00C22214">
        <w:tc>
          <w:tcPr>
            <w:cnfStyle w:val="001000000000" w:firstRow="0" w:lastRow="0" w:firstColumn="1" w:lastColumn="0" w:oddVBand="0" w:evenVBand="0" w:oddHBand="0" w:evenHBand="0" w:firstRowFirstColumn="0" w:firstRowLastColumn="0" w:lastRowFirstColumn="0" w:lastRowLastColumn="0"/>
            <w:tcW w:w="4390" w:type="dxa"/>
          </w:tcPr>
          <w:p w14:paraId="32FD7037" w14:textId="77777777" w:rsidR="00C22214" w:rsidRDefault="00C22214" w:rsidP="00C22214">
            <w:pPr>
              <w:rPr>
                <w:iCs/>
                <w:color w:val="auto"/>
                <w:szCs w:val="22"/>
              </w:rPr>
            </w:pPr>
            <w:r w:rsidRPr="00E52BDA">
              <w:rPr>
                <w:iCs/>
                <w:color w:val="auto"/>
                <w:szCs w:val="22"/>
              </w:rPr>
              <w:t>Determination (Provisional)</w:t>
            </w:r>
          </w:p>
          <w:p w14:paraId="507D1677" w14:textId="217153BB" w:rsidR="00C677F2" w:rsidRPr="00D01DDB" w:rsidRDefault="00C677F2" w:rsidP="00C22214">
            <w:pPr>
              <w:rPr>
                <w:szCs w:val="22"/>
              </w:rPr>
            </w:pPr>
            <w:r>
              <w:rPr>
                <w:iCs/>
                <w:szCs w:val="22"/>
              </w:rPr>
              <w:t xml:space="preserve">Extension </w:t>
            </w:r>
          </w:p>
        </w:tc>
        <w:tc>
          <w:tcPr>
            <w:tcW w:w="4390" w:type="dxa"/>
          </w:tcPr>
          <w:p w14:paraId="5E68B727" w14:textId="77777777" w:rsidR="00324848" w:rsidRDefault="00C677F2" w:rsidP="00C22214">
            <w:pPr>
              <w:cnfStyle w:val="000000000000" w:firstRow="0" w:lastRow="0" w:firstColumn="0" w:lastColumn="0" w:oddVBand="0" w:evenVBand="0" w:oddHBand="0" w:evenHBand="0" w:firstRowFirstColumn="0" w:firstRowLastColumn="0" w:lastRowFirstColumn="0" w:lastRowLastColumn="0"/>
              <w:rPr>
                <w:szCs w:val="22"/>
              </w:rPr>
            </w:pPr>
            <w:r>
              <w:rPr>
                <w:szCs w:val="22"/>
              </w:rPr>
              <w:t>16 November</w:t>
            </w:r>
            <w:r w:rsidR="00324848">
              <w:rPr>
                <w:szCs w:val="22"/>
              </w:rPr>
              <w:t xml:space="preserve"> 2022</w:t>
            </w:r>
          </w:p>
          <w:p w14:paraId="69D3AB92" w14:textId="54155DF6" w:rsidR="00C677F2" w:rsidRPr="00D01DDB" w:rsidRDefault="00C677F2" w:rsidP="00C22214">
            <w:pPr>
              <w:cnfStyle w:val="000000000000" w:firstRow="0" w:lastRow="0" w:firstColumn="0" w:lastColumn="0" w:oddVBand="0" w:evenVBand="0" w:oddHBand="0" w:evenHBand="0" w:firstRowFirstColumn="0" w:firstRowLastColumn="0" w:lastRowFirstColumn="0" w:lastRowLastColumn="0"/>
              <w:rPr>
                <w:szCs w:val="22"/>
              </w:rPr>
            </w:pPr>
            <w:r>
              <w:rPr>
                <w:szCs w:val="22"/>
              </w:rPr>
              <w:t>2 May 2022</w:t>
            </w:r>
          </w:p>
        </w:tc>
      </w:tr>
      <w:tr w:rsidR="00C22214" w:rsidRPr="00D01DDB" w14:paraId="25F5A953" w14:textId="77777777" w:rsidTr="00C22214">
        <w:tc>
          <w:tcPr>
            <w:cnfStyle w:val="001000000000" w:firstRow="0" w:lastRow="0" w:firstColumn="1" w:lastColumn="0" w:oddVBand="0" w:evenVBand="0" w:oddHBand="0" w:evenHBand="0" w:firstRowFirstColumn="0" w:firstRowLastColumn="0" w:lastRowFirstColumn="0" w:lastRowLastColumn="0"/>
            <w:tcW w:w="4390" w:type="dxa"/>
          </w:tcPr>
          <w:p w14:paraId="10BB7432" w14:textId="1285FB59" w:rsidR="00C22214" w:rsidRPr="003B2DB8" w:rsidRDefault="00C22214" w:rsidP="00C22214">
            <w:pPr>
              <w:rPr>
                <w:szCs w:val="22"/>
              </w:rPr>
            </w:pPr>
            <w:r w:rsidRPr="003B2DB8">
              <w:rPr>
                <w:szCs w:val="22"/>
              </w:rPr>
              <w:t>Submission dossier accepted</w:t>
            </w:r>
          </w:p>
        </w:tc>
        <w:tc>
          <w:tcPr>
            <w:tcW w:w="4390" w:type="dxa"/>
          </w:tcPr>
          <w:p w14:paraId="026568FA" w14:textId="52275B24" w:rsidR="00C22214" w:rsidRPr="003B2DB8" w:rsidRDefault="00C677F2" w:rsidP="00C22214">
            <w:pPr>
              <w:cnfStyle w:val="000000000000" w:firstRow="0" w:lastRow="0" w:firstColumn="0" w:lastColumn="0" w:oddVBand="0" w:evenVBand="0" w:oddHBand="0" w:evenHBand="0" w:firstRowFirstColumn="0" w:firstRowLastColumn="0" w:lastRowFirstColumn="0" w:lastRowLastColumn="0"/>
              <w:rPr>
                <w:szCs w:val="22"/>
              </w:rPr>
            </w:pPr>
            <w:r w:rsidRPr="003B2DB8">
              <w:rPr>
                <w:szCs w:val="22"/>
              </w:rPr>
              <w:t>7 June</w:t>
            </w:r>
            <w:r w:rsidR="00010142" w:rsidRPr="003B2DB8">
              <w:rPr>
                <w:szCs w:val="22"/>
              </w:rPr>
              <w:t xml:space="preserve"> 202</w:t>
            </w:r>
            <w:r w:rsidR="006A074C" w:rsidRPr="00A8261D">
              <w:rPr>
                <w:szCs w:val="22"/>
              </w:rPr>
              <w:t>2</w:t>
            </w:r>
          </w:p>
        </w:tc>
      </w:tr>
      <w:tr w:rsidR="00C22214" w:rsidRPr="00D01DDB" w14:paraId="66817B4D" w14:textId="77777777" w:rsidTr="00C22214">
        <w:tc>
          <w:tcPr>
            <w:cnfStyle w:val="001000000000" w:firstRow="0" w:lastRow="0" w:firstColumn="1" w:lastColumn="0" w:oddVBand="0" w:evenVBand="0" w:oddHBand="0" w:evenHBand="0" w:firstRowFirstColumn="0" w:firstRowLastColumn="0" w:lastRowFirstColumn="0" w:lastRowLastColumn="0"/>
            <w:tcW w:w="4390" w:type="dxa"/>
          </w:tcPr>
          <w:p w14:paraId="43F1966F" w14:textId="36552DC6" w:rsidR="00C22214" w:rsidRPr="00D01DDB" w:rsidRDefault="00C22214" w:rsidP="00C22214">
            <w:pPr>
              <w:rPr>
                <w:szCs w:val="22"/>
              </w:rPr>
            </w:pPr>
            <w:r w:rsidRPr="00D01DDB">
              <w:rPr>
                <w:szCs w:val="22"/>
              </w:rPr>
              <w:t>Evaluation completed</w:t>
            </w:r>
          </w:p>
        </w:tc>
        <w:tc>
          <w:tcPr>
            <w:tcW w:w="4390" w:type="dxa"/>
          </w:tcPr>
          <w:p w14:paraId="2624F31D" w14:textId="27A42192" w:rsidR="00C22214" w:rsidRPr="00D01DDB" w:rsidRDefault="00C677F2" w:rsidP="00C22214">
            <w:pPr>
              <w:cnfStyle w:val="000000000000" w:firstRow="0" w:lastRow="0" w:firstColumn="0" w:lastColumn="0" w:oddVBand="0" w:evenVBand="0" w:oddHBand="0" w:evenHBand="0" w:firstRowFirstColumn="0" w:firstRowLastColumn="0" w:lastRowFirstColumn="0" w:lastRowLastColumn="0"/>
              <w:rPr>
                <w:szCs w:val="22"/>
              </w:rPr>
            </w:pPr>
            <w:r>
              <w:rPr>
                <w:szCs w:val="22"/>
              </w:rPr>
              <w:t>24 May 2023</w:t>
            </w:r>
          </w:p>
        </w:tc>
      </w:tr>
      <w:tr w:rsidR="00C22214" w:rsidRPr="00D01DDB" w14:paraId="4F6872C6" w14:textId="77777777" w:rsidTr="00C22214">
        <w:tc>
          <w:tcPr>
            <w:cnfStyle w:val="001000000000" w:firstRow="0" w:lastRow="0" w:firstColumn="1" w:lastColumn="0" w:oddVBand="0" w:evenVBand="0" w:oddHBand="0" w:evenHBand="0" w:firstRowFirstColumn="0" w:firstRowLastColumn="0" w:lastRowFirstColumn="0" w:lastRowLastColumn="0"/>
            <w:tcW w:w="4390" w:type="dxa"/>
          </w:tcPr>
          <w:p w14:paraId="013F36F2" w14:textId="2428F4F7" w:rsidR="00C22214" w:rsidRPr="00D01DDB" w:rsidRDefault="00C22214" w:rsidP="00C22214">
            <w:pPr>
              <w:rPr>
                <w:szCs w:val="22"/>
              </w:rPr>
            </w:pPr>
            <w:r w:rsidRPr="00D01DDB">
              <w:rPr>
                <w:szCs w:val="22"/>
              </w:rPr>
              <w:t xml:space="preserve">Delegate’s Overall benefit-risk assessment </w:t>
            </w:r>
            <w:r w:rsidRPr="00E52BDA">
              <w:rPr>
                <w:color w:val="auto"/>
                <w:szCs w:val="22"/>
              </w:rPr>
              <w:t>and request for Advisory Committee advice</w:t>
            </w:r>
          </w:p>
        </w:tc>
        <w:tc>
          <w:tcPr>
            <w:tcW w:w="4390" w:type="dxa"/>
          </w:tcPr>
          <w:p w14:paraId="712B89B3" w14:textId="06FF82CE" w:rsidR="00C22214" w:rsidRPr="00D01DDB" w:rsidRDefault="00E52BDA" w:rsidP="00C22214">
            <w:pPr>
              <w:cnfStyle w:val="000000000000" w:firstRow="0" w:lastRow="0" w:firstColumn="0" w:lastColumn="0" w:oddVBand="0" w:evenVBand="0" w:oddHBand="0" w:evenHBand="0" w:firstRowFirstColumn="0" w:firstRowLastColumn="0" w:lastRowFirstColumn="0" w:lastRowLastColumn="0"/>
              <w:rPr>
                <w:szCs w:val="22"/>
              </w:rPr>
            </w:pPr>
            <w:r>
              <w:rPr>
                <w:szCs w:val="22"/>
              </w:rPr>
              <w:t>2</w:t>
            </w:r>
            <w:r w:rsidR="00C677F2">
              <w:rPr>
                <w:szCs w:val="22"/>
              </w:rPr>
              <w:t>5</w:t>
            </w:r>
            <w:r>
              <w:rPr>
                <w:szCs w:val="22"/>
              </w:rPr>
              <w:t xml:space="preserve"> May 2023</w:t>
            </w:r>
          </w:p>
        </w:tc>
      </w:tr>
      <w:tr w:rsidR="00C22214" w:rsidRPr="00D01DDB" w14:paraId="3E7B1E31" w14:textId="77777777" w:rsidTr="00C22214">
        <w:tc>
          <w:tcPr>
            <w:cnfStyle w:val="001000000000" w:firstRow="0" w:lastRow="0" w:firstColumn="1" w:lastColumn="0" w:oddVBand="0" w:evenVBand="0" w:oddHBand="0" w:evenHBand="0" w:firstRowFirstColumn="0" w:firstRowLastColumn="0" w:lastRowFirstColumn="0" w:lastRowLastColumn="0"/>
            <w:tcW w:w="4390" w:type="dxa"/>
          </w:tcPr>
          <w:p w14:paraId="150B30FD" w14:textId="67CFF919" w:rsidR="00C22214" w:rsidRPr="00D01DDB" w:rsidRDefault="00C22214" w:rsidP="00C22214">
            <w:pPr>
              <w:rPr>
                <w:szCs w:val="22"/>
              </w:rPr>
            </w:pPr>
            <w:r w:rsidRPr="00D01DDB">
              <w:rPr>
                <w:szCs w:val="22"/>
              </w:rPr>
              <w:t>Sponsor’s pre-Advisory Committee response</w:t>
            </w:r>
          </w:p>
        </w:tc>
        <w:tc>
          <w:tcPr>
            <w:tcW w:w="4390" w:type="dxa"/>
          </w:tcPr>
          <w:p w14:paraId="69631301" w14:textId="41917B6D" w:rsidR="00C22214" w:rsidRPr="00D01DDB" w:rsidRDefault="00E52BDA" w:rsidP="00C22214">
            <w:pPr>
              <w:cnfStyle w:val="000000000000" w:firstRow="0" w:lastRow="0" w:firstColumn="0" w:lastColumn="0" w:oddVBand="0" w:evenVBand="0" w:oddHBand="0" w:evenHBand="0" w:firstRowFirstColumn="0" w:firstRowLastColumn="0" w:lastRowFirstColumn="0" w:lastRowLastColumn="0"/>
              <w:rPr>
                <w:szCs w:val="22"/>
              </w:rPr>
            </w:pPr>
            <w:r>
              <w:rPr>
                <w:szCs w:val="22"/>
              </w:rPr>
              <w:t>30 May 2023</w:t>
            </w:r>
          </w:p>
        </w:tc>
      </w:tr>
      <w:tr w:rsidR="00C22214" w:rsidRPr="00D01DDB" w14:paraId="075CCA22" w14:textId="77777777" w:rsidTr="00C22214">
        <w:tc>
          <w:tcPr>
            <w:cnfStyle w:val="001000000000" w:firstRow="0" w:lastRow="0" w:firstColumn="1" w:lastColumn="0" w:oddVBand="0" w:evenVBand="0" w:oddHBand="0" w:evenHBand="0" w:firstRowFirstColumn="0" w:firstRowLastColumn="0" w:lastRowFirstColumn="0" w:lastRowLastColumn="0"/>
            <w:tcW w:w="4390" w:type="dxa"/>
          </w:tcPr>
          <w:p w14:paraId="6FFA2C67" w14:textId="30942334" w:rsidR="00C22214" w:rsidRPr="00D01DDB" w:rsidRDefault="00C22214" w:rsidP="00C22214">
            <w:pPr>
              <w:rPr>
                <w:szCs w:val="22"/>
              </w:rPr>
            </w:pPr>
            <w:r w:rsidRPr="00D01DDB">
              <w:rPr>
                <w:szCs w:val="22"/>
              </w:rPr>
              <w:lastRenderedPageBreak/>
              <w:t>Advisory Committee meeting</w:t>
            </w:r>
          </w:p>
        </w:tc>
        <w:tc>
          <w:tcPr>
            <w:tcW w:w="4390" w:type="dxa"/>
          </w:tcPr>
          <w:p w14:paraId="6B8655BD" w14:textId="621C1460" w:rsidR="00C22214" w:rsidRPr="00D01DDB" w:rsidRDefault="00E52BDA" w:rsidP="00C22214">
            <w:pPr>
              <w:cnfStyle w:val="000000000000" w:firstRow="0" w:lastRow="0" w:firstColumn="0" w:lastColumn="0" w:oddVBand="0" w:evenVBand="0" w:oddHBand="0" w:evenHBand="0" w:firstRowFirstColumn="0" w:firstRowLastColumn="0" w:lastRowFirstColumn="0" w:lastRowLastColumn="0"/>
              <w:rPr>
                <w:szCs w:val="22"/>
              </w:rPr>
            </w:pPr>
            <w:r>
              <w:rPr>
                <w:szCs w:val="22"/>
              </w:rPr>
              <w:t>7 June 2023</w:t>
            </w:r>
          </w:p>
        </w:tc>
      </w:tr>
      <w:tr w:rsidR="00C22214" w:rsidRPr="00D01DDB" w14:paraId="7EF4EDFC" w14:textId="77777777" w:rsidTr="00C22214">
        <w:tc>
          <w:tcPr>
            <w:cnfStyle w:val="001000000000" w:firstRow="0" w:lastRow="0" w:firstColumn="1" w:lastColumn="0" w:oddVBand="0" w:evenVBand="0" w:oddHBand="0" w:evenHBand="0" w:firstRowFirstColumn="0" w:firstRowLastColumn="0" w:lastRowFirstColumn="0" w:lastRowLastColumn="0"/>
            <w:tcW w:w="4390" w:type="dxa"/>
          </w:tcPr>
          <w:p w14:paraId="1E268797" w14:textId="08A664C8" w:rsidR="00C22214" w:rsidRPr="00D01DDB" w:rsidRDefault="00C22214" w:rsidP="00C22214">
            <w:pPr>
              <w:rPr>
                <w:szCs w:val="22"/>
              </w:rPr>
            </w:pPr>
            <w:r w:rsidRPr="00D01DDB">
              <w:rPr>
                <w:szCs w:val="22"/>
              </w:rPr>
              <w:t>Registration decision (</w:t>
            </w:r>
            <w:r w:rsidR="00054F53">
              <w:rPr>
                <w:szCs w:val="22"/>
              </w:rPr>
              <w:t>Withdrawal</w:t>
            </w:r>
            <w:r w:rsidRPr="00D01DDB">
              <w:rPr>
                <w:szCs w:val="22"/>
              </w:rPr>
              <w:t>)</w:t>
            </w:r>
          </w:p>
        </w:tc>
        <w:tc>
          <w:tcPr>
            <w:tcW w:w="4390" w:type="dxa"/>
          </w:tcPr>
          <w:p w14:paraId="472C5C42" w14:textId="1D51E6BC" w:rsidR="00C22214" w:rsidRPr="00D01DDB" w:rsidRDefault="008141AC" w:rsidP="00C22214">
            <w:pPr>
              <w:cnfStyle w:val="000000000000" w:firstRow="0" w:lastRow="0" w:firstColumn="0" w:lastColumn="0" w:oddVBand="0" w:evenVBand="0" w:oddHBand="0" w:evenHBand="0" w:firstRowFirstColumn="0" w:firstRowLastColumn="0" w:lastRowFirstColumn="0" w:lastRowLastColumn="0"/>
              <w:rPr>
                <w:szCs w:val="22"/>
              </w:rPr>
            </w:pPr>
            <w:r>
              <w:rPr>
                <w:szCs w:val="22"/>
              </w:rPr>
              <w:t>25 July 2023</w:t>
            </w:r>
          </w:p>
        </w:tc>
      </w:tr>
    </w:tbl>
    <w:p w14:paraId="220925F1" w14:textId="77777777" w:rsidR="00C22214" w:rsidRPr="00792A32" w:rsidRDefault="00C22214" w:rsidP="00C22214">
      <w:pPr>
        <w:pStyle w:val="Heading2"/>
      </w:pPr>
      <w:bookmarkStart w:id="23" w:name="_Toc196046504"/>
      <w:bookmarkStart w:id="24" w:name="_Toc247691527"/>
      <w:bookmarkStart w:id="25" w:name="_Toc314842510"/>
      <w:bookmarkStart w:id="26" w:name="_Toc103679294"/>
      <w:bookmarkStart w:id="27" w:name="_Toc144994860"/>
      <w:r w:rsidRPr="00006FAB">
        <w:t xml:space="preserve">Submission overview </w:t>
      </w:r>
      <w:r w:rsidRPr="00792A32">
        <w:t xml:space="preserve">and </w:t>
      </w:r>
      <w:r>
        <w:t>r</w:t>
      </w:r>
      <w:r w:rsidRPr="00792A32">
        <w:t>isk/</w:t>
      </w:r>
      <w:r>
        <w:t>b</w:t>
      </w:r>
      <w:r w:rsidRPr="00792A32">
        <w:t xml:space="preserve">enefit </w:t>
      </w:r>
      <w:r>
        <w:t>a</w:t>
      </w:r>
      <w:r w:rsidRPr="00792A32">
        <w:t>ssessment</w:t>
      </w:r>
      <w:bookmarkEnd w:id="23"/>
      <w:bookmarkEnd w:id="24"/>
      <w:bookmarkEnd w:id="25"/>
      <w:bookmarkEnd w:id="26"/>
      <w:bookmarkEnd w:id="27"/>
    </w:p>
    <w:p w14:paraId="540151FC" w14:textId="77777777" w:rsidR="00C22214" w:rsidRPr="00BD5DBD" w:rsidRDefault="00C22214" w:rsidP="00BD5DBD">
      <w:pPr>
        <w:rPr>
          <w:szCs w:val="22"/>
        </w:rPr>
      </w:pPr>
      <w:bookmarkStart w:id="28" w:name="_Toc247691528"/>
      <w:bookmarkStart w:id="29" w:name="_Toc314842511"/>
      <w:r w:rsidRPr="00BD5DBD">
        <w:rPr>
          <w:szCs w:val="22"/>
        </w:rPr>
        <w:t>A summary of the TGA’s assessment for this submission is provided below.</w:t>
      </w:r>
    </w:p>
    <w:p w14:paraId="37F5A1C0" w14:textId="56D4991B" w:rsidR="00C22214" w:rsidRDefault="00C22214" w:rsidP="00C22214">
      <w:pPr>
        <w:pStyle w:val="Heading3"/>
      </w:pPr>
      <w:bookmarkStart w:id="30" w:name="_Toc103679295"/>
      <w:bookmarkStart w:id="31" w:name="_Toc144994861"/>
      <w:r>
        <w:t>Quality</w:t>
      </w:r>
      <w:bookmarkEnd w:id="28"/>
      <w:bookmarkEnd w:id="29"/>
      <w:bookmarkEnd w:id="30"/>
      <w:bookmarkEnd w:id="31"/>
    </w:p>
    <w:p w14:paraId="5A104C3B" w14:textId="5A771C93" w:rsidR="00AE30F6" w:rsidRDefault="00AE30F6" w:rsidP="00037B81">
      <w:pPr>
        <w:pStyle w:val="Standard"/>
      </w:pPr>
      <w:r>
        <w:t xml:space="preserve">The MVC COVID-19 Vaccine (MVC-COV1901) is a protein subunit vaccine based on the </w:t>
      </w:r>
      <w:r w:rsidRPr="00AE30F6">
        <w:t xml:space="preserve">stable prefusion spike protein (S-2P) </w:t>
      </w:r>
      <w:r>
        <w:t xml:space="preserve">with </w:t>
      </w:r>
      <w:r w:rsidRPr="00AE30F6">
        <w:t>adjuvant</w:t>
      </w:r>
      <w:r w:rsidR="0025114D">
        <w:t>s</w:t>
      </w:r>
      <w:r>
        <w:t>.</w:t>
      </w:r>
    </w:p>
    <w:p w14:paraId="3720E892" w14:textId="3B0F7A9B" w:rsidR="00037B81" w:rsidRDefault="00037B81" w:rsidP="00037B81">
      <w:pPr>
        <w:pStyle w:val="Standard"/>
      </w:pPr>
      <w:r w:rsidRPr="00762ADE">
        <w:t xml:space="preserve">The </w:t>
      </w:r>
      <w:r w:rsidR="0025114D">
        <w:t xml:space="preserve">MVC COVID-19 Vaccine contains </w:t>
      </w:r>
      <w:r w:rsidR="00AE30F6">
        <w:t xml:space="preserve">recombinant </w:t>
      </w:r>
      <w:r w:rsidRPr="002901DD">
        <w:t>SARS-CoV-2</w:t>
      </w:r>
      <w:r w:rsidR="00377D50">
        <w:t xml:space="preserve"> spike protein </w:t>
      </w:r>
      <w:r w:rsidR="0025114D">
        <w:t xml:space="preserve">(SARS-CoV-2 </w:t>
      </w:r>
      <w:proofErr w:type="spellStart"/>
      <w:r w:rsidR="0025114D">
        <w:t>rS</w:t>
      </w:r>
      <w:proofErr w:type="spellEnd"/>
      <w:r w:rsidR="0025114D">
        <w:t xml:space="preserve">), known as </w:t>
      </w:r>
      <w:r w:rsidRPr="002901DD">
        <w:t>MVC-COV1901</w:t>
      </w:r>
      <w:r w:rsidR="0025114D">
        <w:t>,</w:t>
      </w:r>
      <w:r>
        <w:t xml:space="preserve"> produced using recombinant</w:t>
      </w:r>
      <w:r w:rsidRPr="00762ADE">
        <w:t xml:space="preserve"> </w:t>
      </w:r>
      <w:r w:rsidR="00F65360">
        <w:t>Chinese hamster ovary</w:t>
      </w:r>
      <w:r w:rsidRPr="00762ADE">
        <w:t xml:space="preserve"> cell</w:t>
      </w:r>
      <w:r w:rsidR="00F65360">
        <w:t xml:space="preserve"> line </w:t>
      </w:r>
      <w:r w:rsidRPr="00762ADE">
        <w:t xml:space="preserve">transfected with a plasmid containing the </w:t>
      </w:r>
      <w:r>
        <w:t xml:space="preserve">gene </w:t>
      </w:r>
      <w:r w:rsidRPr="00762ADE">
        <w:t xml:space="preserve">sequence </w:t>
      </w:r>
      <w:r>
        <w:t xml:space="preserve">for </w:t>
      </w:r>
      <w:r w:rsidR="00377D50">
        <w:t>S</w:t>
      </w:r>
      <w:r w:rsidR="00AE30F6">
        <w:noBreakHyphen/>
      </w:r>
      <w:r w:rsidR="00377D50">
        <w:t>P2</w:t>
      </w:r>
      <w:r w:rsidRPr="00762ADE">
        <w:t>.</w:t>
      </w:r>
      <w:r>
        <w:t xml:space="preserve"> The vaccine formulation contains </w:t>
      </w:r>
      <w:r w:rsidR="00F65360">
        <w:t>a</w:t>
      </w:r>
      <w:r w:rsidRPr="00E37164">
        <w:t>luminium hydroxide</w:t>
      </w:r>
      <w:r>
        <w:t xml:space="preserve"> and CpG1018 </w:t>
      </w:r>
      <w:r w:rsidR="00912DF3">
        <w:t>oligonucleotide</w:t>
      </w:r>
      <w:r>
        <w:t xml:space="preserve"> adjuvants</w:t>
      </w:r>
      <w:r w:rsidR="0025114D">
        <w:t xml:space="preserve"> and is</w:t>
      </w:r>
      <w:r>
        <w:t xml:space="preserve"> formulated </w:t>
      </w:r>
      <w:r w:rsidR="0025114D">
        <w:t xml:space="preserve">with </w:t>
      </w:r>
      <w:r>
        <w:t>phosphate buffered saline.</w:t>
      </w:r>
    </w:p>
    <w:p w14:paraId="0486E942" w14:textId="6DF43BD3" w:rsidR="00037B81" w:rsidRDefault="00037B81" w:rsidP="00037B81">
      <w:pPr>
        <w:pStyle w:val="Standard"/>
        <w:rPr>
          <w:rFonts w:eastAsiaTheme="minorHAnsi"/>
        </w:rPr>
      </w:pPr>
      <w:r>
        <w:t xml:space="preserve">The </w:t>
      </w:r>
      <w:r w:rsidR="0025114D">
        <w:t xml:space="preserve">proposed </w:t>
      </w:r>
      <w:r>
        <w:t>vaccine is available</w:t>
      </w:r>
      <w:r w:rsidR="0025114D">
        <w:t xml:space="preserve"> </w:t>
      </w:r>
      <w:r>
        <w:t>in two</w:t>
      </w:r>
      <w:r>
        <w:rPr>
          <w:rFonts w:eastAsiaTheme="minorHAnsi"/>
        </w:rPr>
        <w:t xml:space="preserve"> container presentations</w:t>
      </w:r>
      <w:r w:rsidR="0025114D">
        <w:rPr>
          <w:rFonts w:eastAsiaTheme="minorHAnsi"/>
        </w:rPr>
        <w:t>, as follows</w:t>
      </w:r>
      <w:r>
        <w:rPr>
          <w:rFonts w:eastAsiaTheme="minorHAnsi"/>
        </w:rPr>
        <w:t>:</w:t>
      </w:r>
    </w:p>
    <w:p w14:paraId="46AF2FA4" w14:textId="4DA80B15" w:rsidR="00037B81" w:rsidRPr="002901DD" w:rsidRDefault="00037B81" w:rsidP="00037B81">
      <w:pPr>
        <w:pStyle w:val="ListBullet"/>
        <w:adjustRightInd w:val="0"/>
        <w:snapToGrid w:val="0"/>
        <w:spacing w:before="0" w:after="240"/>
        <w:ind w:left="567" w:hanging="425"/>
        <w:rPr>
          <w:rFonts w:eastAsia="Times New Roman"/>
          <w:szCs w:val="24"/>
        </w:rPr>
      </w:pPr>
      <w:r>
        <w:t xml:space="preserve">MVC COVID-19 Vaccine 15 </w:t>
      </w:r>
      <w:r w:rsidR="00377D50">
        <w:t>µg</w:t>
      </w:r>
      <w:r>
        <w:t>/0.5 mL injection suspension pre-filled syringe</w:t>
      </w:r>
    </w:p>
    <w:p w14:paraId="00087FEA" w14:textId="427BD0D2" w:rsidR="0025114D" w:rsidRDefault="00037B81" w:rsidP="00A54AF1">
      <w:pPr>
        <w:pStyle w:val="ListBullet"/>
        <w:adjustRightInd w:val="0"/>
        <w:snapToGrid w:val="0"/>
        <w:spacing w:before="0" w:after="240"/>
        <w:ind w:left="567" w:hanging="425"/>
      </w:pPr>
      <w:r>
        <w:t xml:space="preserve">MVC COVID-19 Vaccine 15 </w:t>
      </w:r>
      <w:r w:rsidR="0025114D">
        <w:t>µg</w:t>
      </w:r>
      <w:r w:rsidR="0025114D" w:rsidDel="0025114D">
        <w:t xml:space="preserve"> </w:t>
      </w:r>
      <w:r>
        <w:t>/0.5 mL injection suspension multi-dose vial (</w:t>
      </w:r>
      <w:r w:rsidRPr="002901DD">
        <w:t>10 x 0.5 mL doses</w:t>
      </w:r>
      <w:r>
        <w:t>).</w:t>
      </w:r>
    </w:p>
    <w:p w14:paraId="67FE42D1" w14:textId="6C38249D" w:rsidR="009F52CB" w:rsidRDefault="009F52CB" w:rsidP="009F52CB">
      <w:pPr>
        <w:pStyle w:val="ListBullet"/>
        <w:numPr>
          <w:ilvl w:val="0"/>
          <w:numId w:val="0"/>
        </w:numPr>
        <w:adjustRightInd w:val="0"/>
        <w:snapToGrid w:val="0"/>
        <w:spacing w:before="0" w:after="240"/>
      </w:pPr>
      <w:r w:rsidRPr="009F52CB">
        <w:t>There are significant issues identified from the TGA’s quality e</w:t>
      </w:r>
      <w:r>
        <w:t xml:space="preserve">valuation of the submitted data </w:t>
      </w:r>
      <w:r w:rsidRPr="009F52CB">
        <w:t xml:space="preserve">that would indicate the product should not be provisionally registered </w:t>
      </w:r>
      <w:proofErr w:type="gramStart"/>
      <w:r w:rsidRPr="009F52CB">
        <w:t>on the basis of</w:t>
      </w:r>
      <w:proofErr w:type="gramEnd"/>
      <w:r w:rsidRPr="009F52CB">
        <w:t xml:space="preserve"> quality, or safety-related issues arising from the quality of the product. The manufacturing quality information submitted by the sponsor has outstanding issues that need to be addressed before a recommendation can be made regarding the provisional registration of MVC COVID-19 Vaccine from a quality and pharmaceutical chemistry perspective.</w:t>
      </w:r>
    </w:p>
    <w:p w14:paraId="2BE90AAE" w14:textId="167944DB" w:rsidR="00C22214" w:rsidRDefault="00C22214" w:rsidP="00C22214">
      <w:pPr>
        <w:pStyle w:val="Heading3"/>
      </w:pPr>
      <w:bookmarkStart w:id="32" w:name="_Toc314842512"/>
      <w:bookmarkStart w:id="33" w:name="_Toc103679296"/>
      <w:bookmarkStart w:id="34" w:name="_Toc144994862"/>
      <w:r>
        <w:t>Nonc</w:t>
      </w:r>
      <w:r w:rsidR="00037B81">
        <w:t>l</w:t>
      </w:r>
      <w:r>
        <w:t>inical</w:t>
      </w:r>
      <w:bookmarkEnd w:id="32"/>
      <w:bookmarkEnd w:id="33"/>
      <w:bookmarkEnd w:id="34"/>
    </w:p>
    <w:p w14:paraId="31644AB4" w14:textId="7797F625" w:rsidR="004315B4" w:rsidRDefault="000317BD" w:rsidP="000317BD">
      <w:bookmarkStart w:id="35" w:name="_Toc247691530"/>
      <w:bookmarkStart w:id="36" w:name="_Toc314842513"/>
      <w:bookmarkStart w:id="37" w:name="_Toc103679297"/>
      <w:r>
        <w:t>The</w:t>
      </w:r>
      <w:r w:rsidR="00B718D7" w:rsidRPr="00B718D7">
        <w:t xml:space="preserve"> sponsor has conducted adequate studies on pharmacology and toxicity of the vaccine, </w:t>
      </w:r>
      <w:r w:rsidR="00B718D7" w:rsidRPr="005C5F98">
        <w:t>except that</w:t>
      </w:r>
      <w:r w:rsidR="0025114D" w:rsidRPr="005C5F98">
        <w:t xml:space="preserve"> </w:t>
      </w:r>
      <w:r w:rsidR="00B718D7" w:rsidRPr="005C5F98">
        <w:t>the potential effects of</w:t>
      </w:r>
      <w:r w:rsidR="0025114D" w:rsidRPr="005C5F98">
        <w:t xml:space="preserve"> </w:t>
      </w:r>
      <w:r w:rsidR="00B718D7" w:rsidRPr="005C5F98">
        <w:t>the novel adjuvant</w:t>
      </w:r>
      <w:r w:rsidR="004315B4" w:rsidRPr="005C5F98">
        <w:t xml:space="preserve"> (CpG1018)</w:t>
      </w:r>
      <w:r w:rsidR="0025114D" w:rsidRPr="005C5F98">
        <w:t xml:space="preserve"> </w:t>
      </w:r>
      <w:r w:rsidR="00B718D7" w:rsidRPr="005C5F98">
        <w:t>on embryofetal development were not fully studied.</w:t>
      </w:r>
    </w:p>
    <w:p w14:paraId="2B3C0EA6" w14:textId="38F39076" w:rsidR="00C14281" w:rsidRDefault="00B718D7" w:rsidP="000317BD">
      <w:r w:rsidRPr="00B718D7">
        <w:t>The composition of the nonclinical dossier submitted met regulatory guidelines for vaccines</w:t>
      </w:r>
      <w:r w:rsidR="004315B4">
        <w:t xml:space="preserve"> and the </w:t>
      </w:r>
      <w:r w:rsidR="004315B4" w:rsidRPr="00B718D7">
        <w:t>toxicity studies were conducted in compliance with</w:t>
      </w:r>
      <w:r w:rsidR="004315B4">
        <w:t xml:space="preserve"> Good Laboratory Practices.</w:t>
      </w:r>
      <w:r w:rsidR="004315B4" w:rsidRPr="00B718D7">
        <w:t xml:space="preserve"> </w:t>
      </w:r>
      <w:r w:rsidRPr="00B718D7">
        <w:t xml:space="preserve">The nonclinical studies with </w:t>
      </w:r>
      <w:r w:rsidR="004315B4">
        <w:t xml:space="preserve">adjuvant </w:t>
      </w:r>
      <w:r w:rsidRPr="00B718D7">
        <w:t>CpG</w:t>
      </w:r>
      <w:r w:rsidR="004315B4">
        <w:t xml:space="preserve"> </w:t>
      </w:r>
      <w:r w:rsidRPr="00B718D7">
        <w:t xml:space="preserve">1018 were submitted to the TGA by </w:t>
      </w:r>
      <w:proofErr w:type="spellStart"/>
      <w:r w:rsidRPr="00B718D7">
        <w:t>Dynavax</w:t>
      </w:r>
      <w:proofErr w:type="spellEnd"/>
      <w:r w:rsidRPr="00B718D7">
        <w:t xml:space="preserve"> Technologies</w:t>
      </w:r>
      <w:r w:rsidR="004315B4">
        <w:t xml:space="preserve">, the company responsible for development and commercialisation of adjuvant CpG 1018. These studies were </w:t>
      </w:r>
      <w:r w:rsidRPr="00B718D7">
        <w:t xml:space="preserve">assessed </w:t>
      </w:r>
      <w:r w:rsidR="004315B4" w:rsidRPr="00B718D7">
        <w:t xml:space="preserve">separately </w:t>
      </w:r>
      <w:r w:rsidR="004315B4">
        <w:t>during</w:t>
      </w:r>
      <w:r w:rsidR="004315B4" w:rsidRPr="00B718D7">
        <w:t xml:space="preserve"> </w:t>
      </w:r>
      <w:r w:rsidRPr="00B718D7">
        <w:t>the TGA</w:t>
      </w:r>
      <w:r w:rsidR="004315B4">
        <w:t>’s</w:t>
      </w:r>
      <w:r w:rsidRPr="00B718D7">
        <w:t xml:space="preserve"> nonclinical evaluat</w:t>
      </w:r>
      <w:r w:rsidR="004315B4">
        <w:t>ion</w:t>
      </w:r>
      <w:r w:rsidR="00C14281">
        <w:t>.</w:t>
      </w:r>
    </w:p>
    <w:p w14:paraId="613F03AA" w14:textId="7C0FF81C" w:rsidR="007D079C" w:rsidRDefault="004315B4" w:rsidP="000317BD">
      <w:r>
        <w:t xml:space="preserve">The </w:t>
      </w:r>
      <w:r w:rsidR="00B718D7" w:rsidRPr="00B718D7">
        <w:t xml:space="preserve">MVC-COV1901 </w:t>
      </w:r>
      <w:r w:rsidR="002723F9">
        <w:t>vaccine</w:t>
      </w:r>
      <w:r>
        <w:t xml:space="preserve"> </w:t>
      </w:r>
      <w:r w:rsidR="00B718D7" w:rsidRPr="00B718D7">
        <w:t>was shown to be immunogenic in mice, rats and hamsters</w:t>
      </w:r>
      <w:r>
        <w:t xml:space="preserve"> and </w:t>
      </w:r>
      <w:r w:rsidR="00B718D7" w:rsidRPr="00B718D7">
        <w:t>induced both humoral (virus neutralising antibodies) and cellular immune (T</w:t>
      </w:r>
      <w:r>
        <w:noBreakHyphen/>
      </w:r>
      <w:r w:rsidR="00B718D7" w:rsidRPr="00B718D7">
        <w:t>h</w:t>
      </w:r>
      <w:r w:rsidR="00377D50">
        <w:t xml:space="preserve">elper </w:t>
      </w:r>
      <w:r w:rsidR="00B718D7" w:rsidRPr="00B718D7">
        <w:t>1</w:t>
      </w:r>
      <w:r w:rsidR="00377D50">
        <w:t xml:space="preserve"> cell</w:t>
      </w:r>
      <w:r w:rsidR="00B718D7" w:rsidRPr="00B718D7">
        <w:t xml:space="preserve"> biased) response in mice, </w:t>
      </w:r>
      <w:proofErr w:type="gramStart"/>
      <w:r w:rsidR="00B718D7" w:rsidRPr="00B718D7">
        <w:t>rats</w:t>
      </w:r>
      <w:proofErr w:type="gramEnd"/>
      <w:r w:rsidR="00B718D7" w:rsidRPr="00B718D7">
        <w:t xml:space="preserve"> and hamsters. However, the </w:t>
      </w:r>
      <w:r w:rsidR="00377D50">
        <w:t>immunoglobin G (</w:t>
      </w:r>
      <w:r w:rsidR="00B718D7" w:rsidRPr="00B718D7">
        <w:t>IgG</w:t>
      </w:r>
      <w:r w:rsidR="00377D50">
        <w:t>)</w:t>
      </w:r>
      <w:r w:rsidR="00B718D7" w:rsidRPr="00B718D7">
        <w:t xml:space="preserve"> and </w:t>
      </w:r>
      <w:r w:rsidR="00B718D7" w:rsidRPr="00B718D7">
        <w:lastRenderedPageBreak/>
        <w:t>neutralising antibodies (</w:t>
      </w:r>
      <w:proofErr w:type="spellStart"/>
      <w:r w:rsidR="00B718D7" w:rsidRPr="00B718D7">
        <w:t>nAb</w:t>
      </w:r>
      <w:proofErr w:type="spellEnd"/>
      <w:r w:rsidR="00B718D7" w:rsidRPr="00B718D7">
        <w:t>) declined on Day 57 (four weeks after the third injection) in the rat repeat</w:t>
      </w:r>
      <w:r>
        <w:t>-</w:t>
      </w:r>
      <w:r w:rsidR="00B718D7" w:rsidRPr="00B718D7">
        <w:t>dose toxicity study.</w:t>
      </w:r>
    </w:p>
    <w:p w14:paraId="124F6EC1" w14:textId="7EFDD56D" w:rsidR="00B718D7" w:rsidRPr="00B718D7" w:rsidRDefault="00B718D7" w:rsidP="000317BD">
      <w:r w:rsidRPr="00B718D7">
        <w:t xml:space="preserve">The vaccine </w:t>
      </w:r>
      <w:r w:rsidRPr="00132FB2">
        <w:t>provided some protection</w:t>
      </w:r>
      <w:r w:rsidRPr="00B718D7">
        <w:t xml:space="preserve"> from infection in hamsters when challenged </w:t>
      </w:r>
      <w:r w:rsidR="00377D50">
        <w:t>four</w:t>
      </w:r>
      <w:r w:rsidRPr="00B718D7">
        <w:t xml:space="preserve"> weeks after the </w:t>
      </w:r>
      <w:r w:rsidR="000317BD">
        <w:t xml:space="preserve">second </w:t>
      </w:r>
      <w:r w:rsidRPr="00B718D7">
        <w:t xml:space="preserve">vaccine dose based on viral RNA load and lung pathology. The vaccine dose in hamsters (10 </w:t>
      </w:r>
      <w:r w:rsidR="000317BD">
        <w:t>µ</w:t>
      </w:r>
      <w:r w:rsidRPr="00B718D7">
        <w:t xml:space="preserve">g/kg or 50 </w:t>
      </w:r>
      <w:r w:rsidR="000317BD">
        <w:t>µ</w:t>
      </w:r>
      <w:r w:rsidRPr="00B718D7">
        <w:t xml:space="preserve">g/kg) was higher than the proposed clinical </w:t>
      </w:r>
      <w:r w:rsidR="004315B4">
        <w:t xml:space="preserve">human </w:t>
      </w:r>
      <w:r w:rsidRPr="00B718D7">
        <w:t>dose of 15</w:t>
      </w:r>
      <w:r w:rsidR="004315B4">
        <w:t> </w:t>
      </w:r>
      <w:r w:rsidR="000317BD">
        <w:t>µ</w:t>
      </w:r>
      <w:r w:rsidRPr="00B718D7">
        <w:t>g</w:t>
      </w:r>
      <w:r w:rsidR="004315B4">
        <w:t> </w:t>
      </w:r>
      <w:r w:rsidRPr="00B718D7">
        <w:t>(0.3</w:t>
      </w:r>
      <w:r w:rsidR="000317BD">
        <w:t> </w:t>
      </w:r>
      <w:r w:rsidR="008534E0">
        <w:t>µ</w:t>
      </w:r>
      <w:r w:rsidRPr="00B718D7">
        <w:t xml:space="preserve">g/kg). </w:t>
      </w:r>
      <w:r w:rsidRPr="00132FB2">
        <w:t xml:space="preserve">There were no protection studies in non-human primates, no long-term immunity </w:t>
      </w:r>
      <w:proofErr w:type="gramStart"/>
      <w:r w:rsidRPr="00132FB2">
        <w:t>data</w:t>
      </w:r>
      <w:proofErr w:type="gramEnd"/>
      <w:r w:rsidRPr="00132FB2">
        <w:t xml:space="preserve"> and no data on immunity against variants in animal models.</w:t>
      </w:r>
    </w:p>
    <w:p w14:paraId="1F4A5823" w14:textId="6697C64A" w:rsidR="000317BD" w:rsidRPr="000317BD" w:rsidRDefault="000317BD" w:rsidP="000317BD">
      <w:r w:rsidRPr="000317BD">
        <w:t>The novel CpG</w:t>
      </w:r>
      <w:r w:rsidR="004315B4">
        <w:t xml:space="preserve"> </w:t>
      </w:r>
      <w:r w:rsidRPr="000317BD">
        <w:t xml:space="preserve">1018 </w:t>
      </w:r>
      <w:r w:rsidR="004315B4" w:rsidRPr="000317BD">
        <w:t xml:space="preserve">adjuvant </w:t>
      </w:r>
      <w:r w:rsidRPr="000317BD">
        <w:t xml:space="preserve">is a </w:t>
      </w:r>
      <w:r>
        <w:t>toll</w:t>
      </w:r>
      <w:r w:rsidR="004315B4">
        <w:t>-</w:t>
      </w:r>
      <w:r>
        <w:t xml:space="preserve">like receptor </w:t>
      </w:r>
      <w:r w:rsidRPr="000317BD">
        <w:t xml:space="preserve">9 </w:t>
      </w:r>
      <w:r w:rsidR="004315B4">
        <w:t xml:space="preserve">(TLR9) </w:t>
      </w:r>
      <w:r w:rsidRPr="000317BD">
        <w:t xml:space="preserve">agonist and was shown to simulate </w:t>
      </w:r>
      <w:r w:rsidR="004315B4">
        <w:t>TLR</w:t>
      </w:r>
      <w:r w:rsidRPr="000317BD">
        <w:t>9</w:t>
      </w:r>
      <w:r w:rsidR="004315B4">
        <w:t>-</w:t>
      </w:r>
      <w:r w:rsidRPr="000317BD">
        <w:t xml:space="preserve">mediated immunostimulatory activity. </w:t>
      </w:r>
      <w:r w:rsidR="002723F9">
        <w:t>P</w:t>
      </w:r>
      <w:r w:rsidR="002723F9" w:rsidRPr="002723F9">
        <w:t>re-fusi</w:t>
      </w:r>
      <w:r w:rsidR="002723F9">
        <w:t>on-stabilised spike protein (</w:t>
      </w:r>
      <w:r w:rsidRPr="000317BD">
        <w:t>S-2P</w:t>
      </w:r>
      <w:r w:rsidR="002723F9">
        <w:t>)</w:t>
      </w:r>
      <w:r w:rsidRPr="000317BD">
        <w:t xml:space="preserve"> adjuvanted with both CpG</w:t>
      </w:r>
      <w:r w:rsidR="002723F9">
        <w:t xml:space="preserve"> </w:t>
      </w:r>
      <w:r w:rsidRPr="000317BD">
        <w:t xml:space="preserve">1018 and </w:t>
      </w:r>
      <w:r w:rsidR="008534E0">
        <w:t>aluminium hydroxide</w:t>
      </w:r>
      <w:r w:rsidRPr="000317BD">
        <w:t xml:space="preserve"> elicited higher </w:t>
      </w:r>
      <w:proofErr w:type="spellStart"/>
      <w:r w:rsidRPr="000317BD">
        <w:t>nAb</w:t>
      </w:r>
      <w:proofErr w:type="spellEnd"/>
      <w:r w:rsidRPr="000317BD">
        <w:t xml:space="preserve"> titres than S-2P adjuvanted with a single adjuvant (</w:t>
      </w:r>
      <w:r w:rsidR="002723F9">
        <w:t xml:space="preserve">either CpG 1018 </w:t>
      </w:r>
      <w:r w:rsidR="008534E0">
        <w:t>or aluminium hydroxide</w:t>
      </w:r>
      <w:r w:rsidR="002723F9">
        <w:t xml:space="preserve"> alone</w:t>
      </w:r>
      <w:r w:rsidRPr="000317BD">
        <w:t>) in mice.</w:t>
      </w:r>
    </w:p>
    <w:p w14:paraId="0223EB18" w14:textId="29DDEEF8" w:rsidR="000317BD" w:rsidRPr="000317BD" w:rsidRDefault="000317BD" w:rsidP="000317BD">
      <w:r w:rsidRPr="000317BD">
        <w:t xml:space="preserve">Examination of safety pharmacology (incorporated into general toxicity studies) revealed no effects of MVC-COV1901 on </w:t>
      </w:r>
      <w:r>
        <w:t>central nervous system</w:t>
      </w:r>
      <w:r w:rsidRPr="000317BD">
        <w:t xml:space="preserve"> or respiratory function in rats. Effects on cardiovascular function were not studied for the vaccine, but the adjuvant CpG1018 did not alter cardiovascular function in animal species. </w:t>
      </w:r>
      <w:r w:rsidRPr="00D5220C">
        <w:t xml:space="preserve">Noting myocarditis and pericarditis are noted as potential risks of the MVC-COV1901 vaccine in the </w:t>
      </w:r>
      <w:r w:rsidR="008534E0" w:rsidRPr="00D5220C">
        <w:t>r</w:t>
      </w:r>
      <w:r w:rsidRPr="00D5220C">
        <w:t xml:space="preserve">isk </w:t>
      </w:r>
      <w:r w:rsidR="008534E0" w:rsidRPr="00D5220C">
        <w:t>m</w:t>
      </w:r>
      <w:r w:rsidRPr="00D5220C">
        <w:t xml:space="preserve">anagement </w:t>
      </w:r>
      <w:r w:rsidR="008534E0" w:rsidRPr="00D5220C">
        <w:t>p</w:t>
      </w:r>
      <w:r w:rsidRPr="00D5220C">
        <w:t>lan</w:t>
      </w:r>
      <w:r w:rsidR="008534E0" w:rsidRPr="00D5220C">
        <w:t xml:space="preserve"> (RMP)</w:t>
      </w:r>
      <w:r w:rsidRPr="00D5220C">
        <w:t>, the effect of MVC-COV1901</w:t>
      </w:r>
      <w:r w:rsidR="008534E0" w:rsidRPr="00D5220C">
        <w:t xml:space="preserve"> vaccine</w:t>
      </w:r>
      <w:r w:rsidRPr="00D5220C">
        <w:t xml:space="preserve"> on cardiovascular function needs to be addressed by clinical data.</w:t>
      </w:r>
    </w:p>
    <w:p w14:paraId="36FEA9EC" w14:textId="4E38C976" w:rsidR="000317BD" w:rsidRPr="000317BD" w:rsidRDefault="000317BD" w:rsidP="000317BD">
      <w:r w:rsidRPr="000317BD">
        <w:t>There are no pharmacokinetic data on the MVC-COV1901 vaccine, consistent with the relevant guidelines. Limited studies in rats and monkeys with the adjuvant CpG</w:t>
      </w:r>
      <w:r w:rsidR="002723F9">
        <w:t xml:space="preserve"> </w:t>
      </w:r>
      <w:r w:rsidRPr="000317BD">
        <w:t xml:space="preserve">1018 showed low plasma concentrations and rapid clearance after relatively high </w:t>
      </w:r>
      <w:r w:rsidR="008534E0">
        <w:t xml:space="preserve">subcutaneous </w:t>
      </w:r>
      <w:r w:rsidRPr="000317BD">
        <w:t xml:space="preserve">doses (up to 12.5 mg/kg), consistent with literature data for other CpG oligodeoxynucleotides. As per literature data and findings from the toxicity studies, </w:t>
      </w:r>
      <w:r w:rsidR="002723F9">
        <w:t xml:space="preserve">adjuvant </w:t>
      </w:r>
      <w:r w:rsidRPr="000317BD">
        <w:t>CpG</w:t>
      </w:r>
      <w:r w:rsidR="002723F9">
        <w:t xml:space="preserve"> </w:t>
      </w:r>
      <w:r w:rsidRPr="000317BD">
        <w:t>1018 is expected to be distributed to kidney, liver, spleen, bone marrow and lymph nodes.</w:t>
      </w:r>
    </w:p>
    <w:p w14:paraId="62C99109" w14:textId="56CFF9FD" w:rsidR="000317BD" w:rsidRPr="000317BD" w:rsidRDefault="000317BD" w:rsidP="000317BD">
      <w:r w:rsidRPr="000317BD">
        <w:t>The repeat</w:t>
      </w:r>
      <w:r w:rsidR="002723F9">
        <w:t>-</w:t>
      </w:r>
      <w:r w:rsidRPr="000317BD">
        <w:t xml:space="preserve">dose studies in rats were adequately conducted, achieving high relative exposures (at least </w:t>
      </w:r>
      <w:r>
        <w:t>about</w:t>
      </w:r>
      <w:r w:rsidRPr="000317BD">
        <w:t xml:space="preserve"> 667 times and 400 times the clinical dose on a </w:t>
      </w:r>
      <w:r>
        <w:t>µ</w:t>
      </w:r>
      <w:r w:rsidRPr="000317BD">
        <w:t>g/kg basis for the S-2P and adjuvant CpG</w:t>
      </w:r>
      <w:r w:rsidR="002723F9">
        <w:t xml:space="preserve"> </w:t>
      </w:r>
      <w:r w:rsidRPr="000317BD">
        <w:t xml:space="preserve">1018, respectively). </w:t>
      </w:r>
      <w:r w:rsidR="002723F9">
        <w:t xml:space="preserve">The </w:t>
      </w:r>
      <w:r w:rsidRPr="000317BD">
        <w:t>MVC-COV1901</w:t>
      </w:r>
      <w:r w:rsidR="002723F9">
        <w:t xml:space="preserve"> vaccine</w:t>
      </w:r>
      <w:r w:rsidRPr="000317BD">
        <w:t xml:space="preserve"> was well tolerated in rats without evidence of systemic toxicity. The anticipated pharmacological responses (injection site reactions characterised by swelling, granulomatous inflammation, multifocal slight mineralisation/necrosis, increased cellular infiltration and minimal to moderate oedema/erythema, clinical pathology, and tissue pathology) were consistent with immune stimulation and inflammation responses mostly attributed to adjuvant class effects. Kupffer cell hypertrophy in liver and lymphoid hyperplasia, plasmacytosis and/or heterophil infiltrates in draining lymph nodes, thymus, and spleen were observed in rats treated with </w:t>
      </w:r>
      <w:r w:rsidR="002723F9">
        <w:t xml:space="preserve">adjuvant </w:t>
      </w:r>
      <w:r w:rsidRPr="000317BD">
        <w:t>CpG1018 with or without S-2P. All effects were either partially or fully reversible after 4 weeks of recovery.</w:t>
      </w:r>
    </w:p>
    <w:p w14:paraId="69CDEFFE" w14:textId="08181E92" w:rsidR="000317BD" w:rsidRPr="000317BD" w:rsidRDefault="000317BD" w:rsidP="000317BD">
      <w:r w:rsidRPr="000317BD">
        <w:t xml:space="preserve">There is a theoretic risk of increased autoimmunity due to </w:t>
      </w:r>
      <w:proofErr w:type="spellStart"/>
      <w:r w:rsidR="008534E0">
        <w:t>immuno</w:t>
      </w:r>
      <w:r w:rsidRPr="000317BD">
        <w:t>stimulation</w:t>
      </w:r>
      <w:proofErr w:type="spellEnd"/>
      <w:r w:rsidRPr="000317BD">
        <w:t xml:space="preserve"> induced by CpG1018. Limited nonclinical data did not indicate induction of autoimmunity, However, considering the limitations of animal models to predict the risk of autoimmunity in humans, the potential for induction of autoimmunity or enhancement of autoimmune diseases should be assessed by clinical data.</w:t>
      </w:r>
    </w:p>
    <w:p w14:paraId="1C7CC86E" w14:textId="098415A1" w:rsidR="000317BD" w:rsidRPr="000317BD" w:rsidRDefault="000317BD" w:rsidP="000317BD">
      <w:r w:rsidRPr="000317BD">
        <w:t>Based on the dosing regimen and infrequent use in humans, MVC-COV1901</w:t>
      </w:r>
      <w:r w:rsidR="008534E0">
        <w:t xml:space="preserve"> vaccine</w:t>
      </w:r>
      <w:r w:rsidRPr="000317BD">
        <w:t xml:space="preserve"> is not expected to be genotoxic or carcinogenic. CpG1018 was not genotoxic in a standard battery of genotoxicity tests.</w:t>
      </w:r>
    </w:p>
    <w:p w14:paraId="0AA263D4" w14:textId="2C363C2E" w:rsidR="00B718D7" w:rsidRDefault="002E1860" w:rsidP="000317BD">
      <w:r>
        <w:t>In rats, administration of t</w:t>
      </w:r>
      <w:r w:rsidR="008534E0">
        <w:t>he</w:t>
      </w:r>
      <w:r w:rsidR="002723F9">
        <w:t xml:space="preserve"> </w:t>
      </w:r>
      <w:r w:rsidR="000317BD" w:rsidRPr="000317BD">
        <w:t xml:space="preserve">MVC-COV1901 </w:t>
      </w:r>
      <w:r w:rsidR="008534E0">
        <w:t xml:space="preserve">vaccine </w:t>
      </w:r>
      <w:r w:rsidR="000317BD" w:rsidRPr="000317BD">
        <w:t xml:space="preserve">by </w:t>
      </w:r>
      <w:r w:rsidR="000317BD">
        <w:t xml:space="preserve">intramuscular </w:t>
      </w:r>
      <w:r w:rsidR="000317BD" w:rsidRPr="000317BD">
        <w:t>injection</w:t>
      </w:r>
      <w:r>
        <w:t xml:space="preserve"> using </w:t>
      </w:r>
      <w:r w:rsidR="000317BD" w:rsidRPr="000317BD">
        <w:t xml:space="preserve">adequate antigen doses (5 </w:t>
      </w:r>
      <w:r w:rsidR="002723F9">
        <w:t>µ</w:t>
      </w:r>
      <w:r w:rsidR="002723F9" w:rsidRPr="000317BD">
        <w:t xml:space="preserve">g </w:t>
      </w:r>
      <w:r w:rsidR="000317BD" w:rsidRPr="000317BD">
        <w:t>or 25</w:t>
      </w:r>
      <w:r w:rsidR="002723F9">
        <w:t> µ</w:t>
      </w:r>
      <w:r w:rsidR="002723F9" w:rsidRPr="000317BD">
        <w:t>g</w:t>
      </w:r>
      <w:r w:rsidR="002723F9" w:rsidDel="002723F9">
        <w:t xml:space="preserve"> </w:t>
      </w:r>
      <w:r w:rsidR="000317BD" w:rsidRPr="000317BD">
        <w:t>/dose</w:t>
      </w:r>
      <w:r>
        <w:t>,</w:t>
      </w:r>
      <w:r w:rsidR="000317BD" w:rsidRPr="000317BD">
        <w:t xml:space="preserve"> up to 200 times the human dose per kg body weight) did not raise safety concerns regarding female fertility, embryofetal development or postnatal development of offspring in a combined reproductive and developmental toxicity study. </w:t>
      </w:r>
      <w:r w:rsidR="000317BD" w:rsidRPr="000317BD">
        <w:lastRenderedPageBreak/>
        <w:t xml:space="preserve">However, </w:t>
      </w:r>
      <w:r w:rsidR="000317BD">
        <w:t>e</w:t>
      </w:r>
      <w:r w:rsidR="000317BD" w:rsidRPr="000317BD">
        <w:t>mbryofetal toxicity was reported for other CpG oligodeoxynucleotides in published studies</w:t>
      </w:r>
      <w:r w:rsidR="000317BD" w:rsidRPr="005C5F98">
        <w:t>. Noting the novelty of CpG adjuvants, embryofetal toxicity in animals reported for other CpG</w:t>
      </w:r>
      <w:r w:rsidR="00C073CC" w:rsidRPr="00CE64B1">
        <w:t xml:space="preserve"> adjuvants</w:t>
      </w:r>
      <w:r w:rsidR="000317BD" w:rsidRPr="005C5F98">
        <w:t xml:space="preserve"> and the absence of evaluation of potential effects of </w:t>
      </w:r>
      <w:r w:rsidRPr="005C5F98">
        <w:t xml:space="preserve">adjuvant </w:t>
      </w:r>
      <w:r w:rsidR="000317BD" w:rsidRPr="005C5F98">
        <w:t>CpG</w:t>
      </w:r>
      <w:r w:rsidRPr="005C5F98">
        <w:t xml:space="preserve"> </w:t>
      </w:r>
      <w:r w:rsidR="000317BD" w:rsidRPr="005C5F98">
        <w:t>1018 treatment during the full organogenesis period,</w:t>
      </w:r>
      <w:r w:rsidR="000317BD" w:rsidRPr="000317BD">
        <w:t xml:space="preserve"> it is recommended the vaccine not be used in pregnant women. Maternal antibodies were transferred across the placenta and/or through milk to the offspring, respectively, in rats.</w:t>
      </w:r>
    </w:p>
    <w:p w14:paraId="266CA5B9" w14:textId="5E6EE97D" w:rsidR="000317BD" w:rsidRPr="00BD5DBD" w:rsidRDefault="000317BD" w:rsidP="000317BD">
      <w:r>
        <w:t>The nonclinical evaluator has noted that there was no nonclinical evaluation of cardiovascular toxicity, which may be relevant to the incidence of myocarditis. They have also not recommended the vaccine for use in pregnant women. The nonclinical evaluator has recommended pregnancy class B2.</w:t>
      </w:r>
      <w:r w:rsidR="008534E0">
        <w:rPr>
          <w:rStyle w:val="FootnoteReference"/>
        </w:rPr>
        <w:footnoteReference w:id="4"/>
      </w:r>
    </w:p>
    <w:p w14:paraId="35B580A5" w14:textId="3C1ABC77" w:rsidR="00C22214" w:rsidRDefault="00C22214" w:rsidP="008804CF">
      <w:pPr>
        <w:pStyle w:val="Heading3"/>
      </w:pPr>
      <w:bookmarkStart w:id="38" w:name="_Toc144994863"/>
      <w:r>
        <w:t>Clinical</w:t>
      </w:r>
      <w:bookmarkEnd w:id="35"/>
      <w:bookmarkEnd w:id="36"/>
      <w:bookmarkEnd w:id="37"/>
      <w:bookmarkEnd w:id="38"/>
    </w:p>
    <w:p w14:paraId="5388E850" w14:textId="5FA78984" w:rsidR="00B508EB" w:rsidRDefault="00C073CC" w:rsidP="00B508EB">
      <w:r>
        <w:t>The clinical dossier include</w:t>
      </w:r>
      <w:r w:rsidR="00CA12E4">
        <w:t>d</w:t>
      </w:r>
      <w:r>
        <w:t xml:space="preserve"> three Phase III studies which have compared immunogenicity endpoints in subjects receiving </w:t>
      </w:r>
      <w:r w:rsidR="00CA12E4">
        <w:t xml:space="preserve">the </w:t>
      </w:r>
      <w:r>
        <w:t xml:space="preserve">MVC </w:t>
      </w:r>
      <w:r w:rsidR="00CA12E4">
        <w:t xml:space="preserve">COVID-19 vaccine </w:t>
      </w:r>
      <w:r>
        <w:t xml:space="preserve">with those receiving </w:t>
      </w:r>
      <w:proofErr w:type="spellStart"/>
      <w:r>
        <w:t>Vaxzevria</w:t>
      </w:r>
      <w:proofErr w:type="spellEnd"/>
      <w:r>
        <w:t>.</w:t>
      </w:r>
      <w:r w:rsidR="00CA12E4" w:rsidRPr="00CA12E4">
        <w:t xml:space="preserve"> </w:t>
      </w:r>
      <w:proofErr w:type="spellStart"/>
      <w:r w:rsidR="00B508EB">
        <w:t>Vaxzevria</w:t>
      </w:r>
      <w:proofErr w:type="spellEnd"/>
      <w:r w:rsidR="00B508EB">
        <w:t xml:space="preserve"> COVID-19 vaccine (formerly known as AstraZeneca COVID-19 vaccine) was first approved in Australia (via provisional registration) on 15 February 2021.</w:t>
      </w:r>
      <w:r w:rsidR="00B508EB">
        <w:rPr>
          <w:rStyle w:val="FootnoteReference"/>
        </w:rPr>
        <w:footnoteReference w:id="5"/>
      </w:r>
      <w:r w:rsidR="00B508EB">
        <w:t xml:space="preserve"> Unlike the </w:t>
      </w:r>
      <w:r w:rsidR="00D5220C">
        <w:t xml:space="preserve">MVC </w:t>
      </w:r>
      <w:r w:rsidR="00B508EB">
        <w:t xml:space="preserve">COVID-19 vaccine, which is a protein subunit vaccine, </w:t>
      </w:r>
      <w:proofErr w:type="spellStart"/>
      <w:r w:rsidR="00B508EB">
        <w:t>Vaxzevria</w:t>
      </w:r>
      <w:proofErr w:type="spellEnd"/>
      <w:r w:rsidR="00B508EB">
        <w:t xml:space="preserve"> is a viral vector vaccine. </w:t>
      </w:r>
      <w:proofErr w:type="spellStart"/>
      <w:r w:rsidR="00B508EB">
        <w:t>Vaxzevria</w:t>
      </w:r>
      <w:proofErr w:type="spellEnd"/>
      <w:r w:rsidR="00B508EB">
        <w:t xml:space="preserve"> is an adjuvated vaccine containing ChAdOx1 as its active ingredient.</w:t>
      </w:r>
    </w:p>
    <w:p w14:paraId="73C1C763" w14:textId="6C5FF86F" w:rsidR="00CA12E4" w:rsidRDefault="00B508EB" w:rsidP="00C073CC">
      <w:r>
        <w:t>These studies are:</w:t>
      </w:r>
    </w:p>
    <w:p w14:paraId="79BFE84F" w14:textId="02E26CCF" w:rsidR="00B508EB" w:rsidRPr="00132FB2" w:rsidRDefault="00B508EB" w:rsidP="00A54AF1">
      <w:pPr>
        <w:pStyle w:val="ListBullet"/>
      </w:pPr>
      <w:r w:rsidRPr="00132FB2">
        <w:t>Study CT-COV-31,</w:t>
      </w:r>
      <w:r w:rsidR="00CC6A6A">
        <w:t xml:space="preserve"> primary immunogenicity</w:t>
      </w:r>
      <w:r w:rsidRPr="00132FB2">
        <w:t xml:space="preserve"> endpoint measured 14 days after second </w:t>
      </w:r>
      <w:proofErr w:type="gramStart"/>
      <w:r w:rsidRPr="00132FB2">
        <w:t>dose</w:t>
      </w:r>
      <w:proofErr w:type="gramEnd"/>
    </w:p>
    <w:p w14:paraId="52400FB1" w14:textId="33C4DBAB" w:rsidR="00B508EB" w:rsidRPr="00132FB2" w:rsidRDefault="00B508EB" w:rsidP="00A54AF1">
      <w:pPr>
        <w:pStyle w:val="ListBullet"/>
      </w:pPr>
      <w:r w:rsidRPr="00132FB2">
        <w:t xml:space="preserve">Study CT-COV-32, </w:t>
      </w:r>
      <w:r w:rsidR="00CC6A6A">
        <w:t>primary immunogenicity</w:t>
      </w:r>
      <w:r w:rsidR="00CC6A6A" w:rsidRPr="00132FB2">
        <w:t xml:space="preserve"> endpoint</w:t>
      </w:r>
      <w:r w:rsidRPr="00132FB2">
        <w:t xml:space="preserve"> measured 14 days after second </w:t>
      </w:r>
      <w:proofErr w:type="gramStart"/>
      <w:r w:rsidRPr="00132FB2">
        <w:t>dose</w:t>
      </w:r>
      <w:proofErr w:type="gramEnd"/>
    </w:p>
    <w:p w14:paraId="38CAAD91" w14:textId="30D9E103" w:rsidR="00B508EB" w:rsidRPr="00132FB2" w:rsidRDefault="00B508EB" w:rsidP="00A54AF1">
      <w:pPr>
        <w:pStyle w:val="ListBullet"/>
      </w:pPr>
      <w:r w:rsidRPr="00132FB2">
        <w:t xml:space="preserve">Study CT-COV-34, </w:t>
      </w:r>
      <w:r w:rsidR="00CC6A6A">
        <w:t>primary immunogenicity</w:t>
      </w:r>
      <w:r w:rsidR="00CC6A6A" w:rsidRPr="00132FB2">
        <w:t xml:space="preserve"> endpoint</w:t>
      </w:r>
      <w:r w:rsidRPr="00132FB2">
        <w:t xml:space="preserve"> measured</w:t>
      </w:r>
      <w:r w:rsidR="005E31B1" w:rsidRPr="00132FB2">
        <w:t xml:space="preserve"> </w:t>
      </w:r>
      <w:r w:rsidR="00ED66C3" w:rsidRPr="00132FB2">
        <w:rPr>
          <w:color w:val="auto"/>
        </w:rPr>
        <w:t>14</w:t>
      </w:r>
      <w:r w:rsidR="005E31B1" w:rsidRPr="00132FB2">
        <w:rPr>
          <w:color w:val="auto"/>
        </w:rPr>
        <w:t xml:space="preserve"> </w:t>
      </w:r>
      <w:r w:rsidRPr="00132FB2">
        <w:t>days after second dose.</w:t>
      </w:r>
    </w:p>
    <w:p w14:paraId="1ABADCCE" w14:textId="5E0A2423" w:rsidR="00B508EB" w:rsidRDefault="00B508EB" w:rsidP="00C073CC">
      <w:r>
        <w:t>The clinical dossier also contained other, non-comparator studies including:</w:t>
      </w:r>
    </w:p>
    <w:p w14:paraId="5BF6BE8D" w14:textId="355858C8" w:rsidR="00B508EB" w:rsidRDefault="00B508EB" w:rsidP="00A54AF1">
      <w:pPr>
        <w:pStyle w:val="ListBullet"/>
      </w:pPr>
      <w:r>
        <w:t>Study CT-COV-22, a</w:t>
      </w:r>
      <w:r w:rsidR="00C073CC">
        <w:t xml:space="preserve"> Phase II study, examined immunogenicity in adolescents, endpoints measured 28 days after second dose.</w:t>
      </w:r>
    </w:p>
    <w:p w14:paraId="1079CC63" w14:textId="6C09EB61" w:rsidR="00C073CC" w:rsidRDefault="00C073CC" w:rsidP="00A54AF1">
      <w:pPr>
        <w:pStyle w:val="ListBullet"/>
      </w:pPr>
      <w:r>
        <w:t>Study CT-COV-21</w:t>
      </w:r>
      <w:r w:rsidR="00B508EB">
        <w:t xml:space="preserve">, </w:t>
      </w:r>
      <w:r w:rsidR="00D5220C">
        <w:t>a large Phase II study,</w:t>
      </w:r>
      <w:r w:rsidR="00B508EB">
        <w:t xml:space="preserve"> examined immunogenicity in </w:t>
      </w:r>
      <w:proofErr w:type="gramStart"/>
      <w:r w:rsidR="00B508EB">
        <w:t>adults</w:t>
      </w:r>
      <w:proofErr w:type="gramEnd"/>
    </w:p>
    <w:p w14:paraId="2BA29961" w14:textId="28D97BCD" w:rsidR="00C073CC" w:rsidRDefault="00C073CC" w:rsidP="00A54AF1">
      <w:pPr>
        <w:pStyle w:val="ListBullet"/>
      </w:pPr>
      <w:r>
        <w:t>Study CT-COV-11 was a small Phas</w:t>
      </w:r>
      <w:r w:rsidRPr="005E31B1">
        <w:t>e</w:t>
      </w:r>
      <w:r w:rsidRPr="005E31B1">
        <w:rPr>
          <w:color w:val="auto"/>
        </w:rPr>
        <w:t xml:space="preserve"> </w:t>
      </w:r>
      <w:r w:rsidR="00ED66C3" w:rsidRPr="005E31B1">
        <w:rPr>
          <w:color w:val="auto"/>
        </w:rPr>
        <w:t>I</w:t>
      </w:r>
      <w:r w:rsidRPr="005E31B1">
        <w:rPr>
          <w:color w:val="auto"/>
        </w:rPr>
        <w:t xml:space="preserve"> </w:t>
      </w:r>
      <w:r>
        <w:t>study that examined similar immunogenicity endpoints to the Phase III studies.</w:t>
      </w:r>
    </w:p>
    <w:p w14:paraId="17E2E68C" w14:textId="4E7E6EC8" w:rsidR="00C073CC" w:rsidRDefault="00C073CC" w:rsidP="00C073CC">
      <w:r>
        <w:t xml:space="preserve">The sponsor </w:t>
      </w:r>
      <w:r w:rsidR="00B508EB">
        <w:t>also</w:t>
      </w:r>
      <w:r>
        <w:t xml:space="preserve"> provided additional information in response to the TGA first round evaluations questions</w:t>
      </w:r>
      <w:r w:rsidR="00B508EB">
        <w:t>, including</w:t>
      </w:r>
      <w:r>
        <w:t xml:space="preserve"> </w:t>
      </w:r>
      <w:r w:rsidR="00B508EB">
        <w:t>Real World data from the T</w:t>
      </w:r>
      <w:r w:rsidRPr="0051307D">
        <w:t>aiwan F</w:t>
      </w:r>
      <w:r w:rsidR="00B508EB">
        <w:t xml:space="preserve">ood and Drug </w:t>
      </w:r>
      <w:r w:rsidRPr="0051307D">
        <w:t>A</w:t>
      </w:r>
      <w:r w:rsidR="00B508EB">
        <w:t>dministration</w:t>
      </w:r>
      <w:r w:rsidRPr="0051307D">
        <w:t xml:space="preserve"> regarding vaccine efficacy and utilisation</w:t>
      </w:r>
      <w:r w:rsidR="00B508EB">
        <w:t xml:space="preserve"> in Taiwan during the pandemic.</w:t>
      </w:r>
    </w:p>
    <w:p w14:paraId="70C6B16A" w14:textId="77777777" w:rsidR="000317BD" w:rsidRDefault="000317BD" w:rsidP="000317BD">
      <w:pPr>
        <w:pStyle w:val="Heading4"/>
      </w:pPr>
      <w:bookmarkStart w:id="39" w:name="_Toc144994864"/>
      <w:r>
        <w:t>Pharmacology</w:t>
      </w:r>
      <w:bookmarkEnd w:id="39"/>
    </w:p>
    <w:p w14:paraId="119121C7" w14:textId="6091FB7F" w:rsidR="000317BD" w:rsidRDefault="000317BD" w:rsidP="000317BD">
      <w:pPr>
        <w:pStyle w:val="Heading5"/>
      </w:pPr>
      <w:r>
        <w:t>Pharmacokinetics</w:t>
      </w:r>
    </w:p>
    <w:p w14:paraId="07C982EC" w14:textId="636CD77B" w:rsidR="000317BD" w:rsidRDefault="000317BD" w:rsidP="000317BD">
      <w:r>
        <w:t>As this is a locally administered vaccine, pharmacokinetic data was not submitted.</w:t>
      </w:r>
    </w:p>
    <w:p w14:paraId="58B050FA" w14:textId="51BD3291" w:rsidR="000317BD" w:rsidRDefault="000317BD" w:rsidP="006A0AEA">
      <w:pPr>
        <w:pStyle w:val="Heading5"/>
      </w:pPr>
      <w:r>
        <w:lastRenderedPageBreak/>
        <w:t>Pharmacodynamics</w:t>
      </w:r>
    </w:p>
    <w:p w14:paraId="763E51DA" w14:textId="10836EFB" w:rsidR="000317BD" w:rsidRDefault="000317BD" w:rsidP="000317BD">
      <w:r>
        <w:t>The main pharmacodynamic endpoint examined was the induction of neutralising antibodies</w:t>
      </w:r>
      <w:r w:rsidR="006A0AEA">
        <w:t xml:space="preserve">. </w:t>
      </w:r>
      <w:r>
        <w:t>This was also assessed as an efficacy endpoint in the efficacy studies submitted.</w:t>
      </w:r>
    </w:p>
    <w:p w14:paraId="1C84BB97" w14:textId="428ADFD5" w:rsidR="00FC13ED" w:rsidRDefault="00FC13ED" w:rsidP="00A54AF1">
      <w:pPr>
        <w:pStyle w:val="Heading6"/>
      </w:pPr>
      <w:r>
        <w:t>Study CT-COV-11</w:t>
      </w:r>
    </w:p>
    <w:p w14:paraId="67D31171" w14:textId="32A699F7" w:rsidR="000317BD" w:rsidRDefault="000317BD" w:rsidP="000317BD">
      <w:r>
        <w:t>Study CT-COV-11 examined the immune response to</w:t>
      </w:r>
      <w:r w:rsidR="002E1860">
        <w:t xml:space="preserve"> the </w:t>
      </w:r>
      <w:r w:rsidR="00D5220C">
        <w:t>MVC</w:t>
      </w:r>
      <w:r w:rsidR="003E7ED7">
        <w:t xml:space="preserve"> </w:t>
      </w:r>
      <w:r w:rsidR="002E1860">
        <w:t>COVID-19 Vaccine</w:t>
      </w:r>
      <w:r>
        <w:t xml:space="preserve"> in healthy subjects allocated to three</w:t>
      </w:r>
      <w:r w:rsidR="006A0AEA">
        <w:t xml:space="preserve"> </w:t>
      </w:r>
      <w:r>
        <w:t xml:space="preserve">arms </w:t>
      </w:r>
      <w:r w:rsidR="00412BF3">
        <w:t xml:space="preserve">with </w:t>
      </w:r>
      <w:r>
        <w:t xml:space="preserve">15 </w:t>
      </w:r>
      <w:r w:rsidR="00412BF3">
        <w:t xml:space="preserve">participants in </w:t>
      </w:r>
      <w:r>
        <w:t>each</w:t>
      </w:r>
      <w:r w:rsidR="00412BF3">
        <w:t xml:space="preserve"> arm. All participants </w:t>
      </w:r>
      <w:r>
        <w:t>received a two-dose schedule of</w:t>
      </w:r>
      <w:r w:rsidR="00412BF3">
        <w:t xml:space="preserve"> </w:t>
      </w:r>
      <w:r w:rsidR="00D5220C">
        <w:t xml:space="preserve">MVC </w:t>
      </w:r>
      <w:r w:rsidR="00412BF3">
        <w:t xml:space="preserve">COVID-19 Vaccine. The three arms were based on doses of </w:t>
      </w:r>
      <w:r>
        <w:t>5</w:t>
      </w:r>
      <w:r w:rsidR="00412BF3">
        <w:t xml:space="preserve"> µg followed by </w:t>
      </w:r>
      <w:r>
        <w:t>5</w:t>
      </w:r>
      <w:r w:rsidR="00EA7A44">
        <w:t xml:space="preserve"> µ</w:t>
      </w:r>
      <w:r>
        <w:t>g</w:t>
      </w:r>
      <w:r w:rsidR="00412BF3">
        <w:t>;</w:t>
      </w:r>
      <w:r>
        <w:t xml:space="preserve"> 15</w:t>
      </w:r>
      <w:r w:rsidR="00412BF3">
        <w:t xml:space="preserve"> µg followed by </w:t>
      </w:r>
      <w:r>
        <w:t>15</w:t>
      </w:r>
      <w:r w:rsidR="00412BF3">
        <w:t> </w:t>
      </w:r>
      <w:r w:rsidR="00EA7A44">
        <w:t>µ</w:t>
      </w:r>
      <w:r>
        <w:t>g</w:t>
      </w:r>
      <w:r w:rsidR="00412BF3">
        <w:t>;</w:t>
      </w:r>
      <w:r>
        <w:t xml:space="preserve"> or 25</w:t>
      </w:r>
      <w:r w:rsidR="00412BF3">
        <w:t xml:space="preserve"> µg followed by </w:t>
      </w:r>
      <w:r>
        <w:t>25</w:t>
      </w:r>
      <w:r w:rsidR="00EA7A44">
        <w:t xml:space="preserve"> µ</w:t>
      </w:r>
      <w:r>
        <w:t>g</w:t>
      </w:r>
      <w:r w:rsidR="00412BF3">
        <w:t>,</w:t>
      </w:r>
      <w:r>
        <w:t xml:space="preserve"> with 28 days</w:t>
      </w:r>
      <w:r w:rsidR="006A0AEA">
        <w:t xml:space="preserve"> </w:t>
      </w:r>
      <w:r>
        <w:t>between the first</w:t>
      </w:r>
      <w:r w:rsidR="00412BF3">
        <w:t xml:space="preserve"> and second</w:t>
      </w:r>
      <w:r>
        <w:t xml:space="preserve"> doses.</w:t>
      </w:r>
    </w:p>
    <w:p w14:paraId="2CD7C242" w14:textId="5A8B0907" w:rsidR="000317BD" w:rsidRDefault="000317BD" w:rsidP="00072636">
      <w:r>
        <w:t>At 28 days after the second dose (</w:t>
      </w:r>
      <w:r w:rsidR="00FC13ED">
        <w:t xml:space="preserve">study Visit </w:t>
      </w:r>
      <w:r w:rsidR="00072636">
        <w:t>8</w:t>
      </w:r>
      <w:r w:rsidR="00FC13ED">
        <w:t>/</w:t>
      </w:r>
      <w:r w:rsidR="008534E0">
        <w:t>D</w:t>
      </w:r>
      <w:r>
        <w:t xml:space="preserve">ay </w:t>
      </w:r>
      <w:r w:rsidR="00072636">
        <w:t>57</w:t>
      </w:r>
      <w:r>
        <w:t xml:space="preserve">), the mean </w:t>
      </w:r>
      <w:r w:rsidR="00EA7A44" w:rsidRPr="00EA7A44">
        <w:t>geometric mean tit</w:t>
      </w:r>
      <w:r w:rsidR="00EA7A44">
        <w:t>re (</w:t>
      </w:r>
      <w:r>
        <w:t>GMT</w:t>
      </w:r>
      <w:r w:rsidR="00EA7A44">
        <w:t>)</w:t>
      </w:r>
      <w:r>
        <w:t xml:space="preserve"> for wild</w:t>
      </w:r>
      <w:r w:rsidR="00EA7A44">
        <w:t xml:space="preserve"> </w:t>
      </w:r>
      <w:r>
        <w:t xml:space="preserve">type </w:t>
      </w:r>
      <w:r w:rsidR="00412BF3">
        <w:t xml:space="preserve">SARS-CoV-2 </w:t>
      </w:r>
      <w:r>
        <w:t>neutralisation</w:t>
      </w:r>
      <w:r w:rsidR="006A0AEA">
        <w:t xml:space="preserve"> </w:t>
      </w:r>
      <w:r>
        <w:t>had increased 9.2</w:t>
      </w:r>
      <w:r w:rsidR="00FC13ED">
        <w:t>-</w:t>
      </w:r>
      <w:r>
        <w:t>, 13.1</w:t>
      </w:r>
      <w:r w:rsidR="00FC13ED">
        <w:t>-</w:t>
      </w:r>
      <w:r>
        <w:t xml:space="preserve"> and 20.5-fold from </w:t>
      </w:r>
      <w:r w:rsidR="00EA7A44">
        <w:t>B</w:t>
      </w:r>
      <w:r>
        <w:t xml:space="preserve">aseline in the low, </w:t>
      </w:r>
      <w:proofErr w:type="gramStart"/>
      <w:r>
        <w:t>mid</w:t>
      </w:r>
      <w:proofErr w:type="gramEnd"/>
      <w:r>
        <w:t xml:space="preserve"> and high dose arms</w:t>
      </w:r>
      <w:r w:rsidR="006A0AEA">
        <w:t xml:space="preserve"> </w:t>
      </w:r>
      <w:r>
        <w:t>respectively</w:t>
      </w:r>
      <w:r w:rsidR="00562B32">
        <w:t xml:space="preserve"> (</w:t>
      </w:r>
      <w:r w:rsidR="00562B32">
        <w:fldChar w:fldCharType="begin"/>
      </w:r>
      <w:r w:rsidR="00562B32">
        <w:instrText xml:space="preserve"> REF _Ref137636957 \h </w:instrText>
      </w:r>
      <w:r w:rsidR="00562B32">
        <w:fldChar w:fldCharType="separate"/>
      </w:r>
      <w:r w:rsidR="00A15251" w:rsidRPr="003B2DB8">
        <w:t xml:space="preserve">Table </w:t>
      </w:r>
      <w:r w:rsidR="00A15251">
        <w:rPr>
          <w:noProof/>
        </w:rPr>
        <w:t>2</w:t>
      </w:r>
      <w:r w:rsidR="00562B32">
        <w:fldChar w:fldCharType="end"/>
      </w:r>
      <w:r w:rsidR="00562B32">
        <w:t>)</w:t>
      </w:r>
      <w:r>
        <w:t>.</w:t>
      </w:r>
    </w:p>
    <w:p w14:paraId="2C1FC514" w14:textId="280F764C" w:rsidR="00EA7A44" w:rsidRDefault="00EA7A44" w:rsidP="00EC5176">
      <w:pPr>
        <w:pStyle w:val="TableTitle"/>
      </w:pPr>
      <w:bookmarkStart w:id="40" w:name="_Ref137636957"/>
      <w:r w:rsidRPr="003B2DB8">
        <w:t xml:space="preserve">Table </w:t>
      </w:r>
      <w:r w:rsidR="000519D8">
        <w:fldChar w:fldCharType="begin"/>
      </w:r>
      <w:r w:rsidR="000519D8">
        <w:instrText xml:space="preserve"> SEQ Table \* ARABIC </w:instrText>
      </w:r>
      <w:r w:rsidR="000519D8">
        <w:fldChar w:fldCharType="separate"/>
      </w:r>
      <w:r w:rsidR="00A15251">
        <w:rPr>
          <w:noProof/>
        </w:rPr>
        <w:t>2</w:t>
      </w:r>
      <w:r w:rsidR="000519D8">
        <w:rPr>
          <w:noProof/>
        </w:rPr>
        <w:fldChar w:fldCharType="end"/>
      </w:r>
      <w:bookmarkEnd w:id="40"/>
      <w:r w:rsidRPr="003B2DB8">
        <w:t xml:space="preserve">: </w:t>
      </w:r>
      <w:r w:rsidR="000D4638" w:rsidRPr="003B2DB8">
        <w:t xml:space="preserve">Study CT-COV-11 </w:t>
      </w:r>
      <w:r w:rsidRPr="003B2DB8">
        <w:t>SAR</w:t>
      </w:r>
      <w:r w:rsidR="00EC5176" w:rsidRPr="003B2DB8">
        <w:t>S-CoV2 wild type neutralisation geometric mean titre</w:t>
      </w:r>
    </w:p>
    <w:p w14:paraId="41FE9B21" w14:textId="32091AF0" w:rsidR="00812073" w:rsidRDefault="00EA7A44" w:rsidP="00EA7A44">
      <w:r w:rsidRPr="00EA7A44">
        <w:rPr>
          <w:noProof/>
          <w:lang w:val="en-US" w:eastAsia="zh-TW"/>
        </w:rPr>
        <w:drawing>
          <wp:inline distT="0" distB="0" distL="0" distR="0" wp14:anchorId="117D5C67" wp14:editId="21DBCDEA">
            <wp:extent cx="4876836" cy="4586631"/>
            <wp:effectExtent l="0" t="0" r="0" b="4445"/>
            <wp:docPr id="3" name="Picture 3" descr="Study CT-COV-11 SARS-CoV2 wild type neutralisation geometric mean t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tudy CT-COV-11 SARS-CoV2 wild type neutralisation geometric mean titre"/>
                    <pic:cNvPicPr>
                      <a:picLocks noChangeAspect="1" noChangeArrowheads="1"/>
                    </pic:cNvPicPr>
                  </pic:nvPicPr>
                  <pic:blipFill rotWithShape="1">
                    <a:blip r:embed="rId16">
                      <a:extLst>
                        <a:ext uri="{28A0092B-C50C-407E-A947-70E740481C1C}">
                          <a14:useLocalDpi xmlns:a14="http://schemas.microsoft.com/office/drawing/2010/main" val="0"/>
                        </a:ext>
                      </a:extLst>
                    </a:blip>
                    <a:srcRect t="4335" r="-4"/>
                    <a:stretch/>
                  </pic:blipFill>
                  <pic:spPr bwMode="auto">
                    <a:xfrm>
                      <a:off x="0" y="0"/>
                      <a:ext cx="4884318" cy="4593668"/>
                    </a:xfrm>
                    <a:prstGeom prst="rect">
                      <a:avLst/>
                    </a:prstGeom>
                    <a:noFill/>
                    <a:ln>
                      <a:noFill/>
                    </a:ln>
                    <a:extLst>
                      <a:ext uri="{53640926-AAD7-44D8-BBD7-CCE9431645EC}">
                        <a14:shadowObscured xmlns:a14="http://schemas.microsoft.com/office/drawing/2010/main"/>
                      </a:ext>
                    </a:extLst>
                  </pic:spPr>
                </pic:pic>
              </a:graphicData>
            </a:graphic>
          </wp:inline>
        </w:drawing>
      </w:r>
    </w:p>
    <w:p w14:paraId="43224639" w14:textId="680F207C" w:rsidR="000D4638" w:rsidRDefault="000D4638" w:rsidP="004653CA">
      <w:r>
        <w:t xml:space="preserve">This corresponded to a seroconversion rate (an increase of </w:t>
      </w:r>
      <w:r w:rsidR="0091671A">
        <w:t>greater than</w:t>
      </w:r>
      <w:r w:rsidR="004653CA">
        <w:t xml:space="preserve"> </w:t>
      </w:r>
      <w:r>
        <w:t xml:space="preserve">4 times baseline GMT) of 80%, 100% and 100% for the low, </w:t>
      </w:r>
      <w:proofErr w:type="gramStart"/>
      <w:r>
        <w:t>mid</w:t>
      </w:r>
      <w:proofErr w:type="gramEnd"/>
      <w:r>
        <w:t xml:space="preserve"> and high dose arms respectively. The endpoints were measured against wild</w:t>
      </w:r>
      <w:r w:rsidR="00C965F6">
        <w:t xml:space="preserve"> </w:t>
      </w:r>
      <w:r>
        <w:t>type COVID virus antigen.</w:t>
      </w:r>
    </w:p>
    <w:p w14:paraId="275E1149" w14:textId="4DE6D685" w:rsidR="00FC13ED" w:rsidRDefault="00FC13ED" w:rsidP="00A54AF1">
      <w:pPr>
        <w:pStyle w:val="Heading6"/>
      </w:pPr>
      <w:r>
        <w:t>Study CT-COV-25</w:t>
      </w:r>
    </w:p>
    <w:p w14:paraId="14ECC8CF" w14:textId="10A70582" w:rsidR="000D4638" w:rsidRDefault="000D4638" w:rsidP="004653CA">
      <w:r w:rsidRPr="00C812D6">
        <w:t>Study CT-COV-25</w:t>
      </w:r>
      <w:r>
        <w:rPr>
          <w:b/>
          <w:bCs/>
        </w:rPr>
        <w:t xml:space="preserve"> </w:t>
      </w:r>
      <w:r>
        <w:t xml:space="preserve">examined the immune response in healthy subjects using a B.1.351 (Beta strain) of COVID. </w:t>
      </w:r>
      <w:r w:rsidR="00C965F6">
        <w:t>The Delegate noted that t</w:t>
      </w:r>
      <w:r>
        <w:t xml:space="preserve">his study used significantly different dosing schedules than proposed in this </w:t>
      </w:r>
      <w:r w:rsidR="00E33B75">
        <w:t>submission</w:t>
      </w:r>
      <w:r>
        <w:t>.</w:t>
      </w:r>
    </w:p>
    <w:p w14:paraId="5AE072CE" w14:textId="7242BCD1" w:rsidR="000D4638" w:rsidRDefault="000D4638" w:rsidP="004653CA">
      <w:pPr>
        <w:pStyle w:val="Heading5"/>
      </w:pPr>
      <w:r>
        <w:lastRenderedPageBreak/>
        <w:t>Effic</w:t>
      </w:r>
      <w:r w:rsidR="004653CA">
        <w:t>a</w:t>
      </w:r>
      <w:r>
        <w:t>cy</w:t>
      </w:r>
    </w:p>
    <w:p w14:paraId="6FA13F38" w14:textId="69133A4F" w:rsidR="000D4638" w:rsidRDefault="000D4638" w:rsidP="004653CA">
      <w:pPr>
        <w:pStyle w:val="Heading6"/>
      </w:pPr>
      <w:r>
        <w:t>Study CT-COV-31</w:t>
      </w:r>
    </w:p>
    <w:p w14:paraId="18034740" w14:textId="5B7A574D" w:rsidR="000D4638" w:rsidRDefault="00C965F6" w:rsidP="004653CA">
      <w:r>
        <w:t>Study CT-COV-31</w:t>
      </w:r>
      <w:r w:rsidR="000D4638">
        <w:t xml:space="preserve"> was a </w:t>
      </w:r>
      <w:r w:rsidR="009E4812">
        <w:t>P</w:t>
      </w:r>
      <w:r w:rsidR="000D4638">
        <w:t xml:space="preserve">hase III study </w:t>
      </w:r>
      <w:r w:rsidR="002E1860">
        <w:t xml:space="preserve">designed to </w:t>
      </w:r>
      <w:r w:rsidR="000D4638">
        <w:t>assess</w:t>
      </w:r>
      <w:r w:rsidR="002E1860">
        <w:t xml:space="preserve"> the</w:t>
      </w:r>
      <w:r w:rsidR="000D4638">
        <w:t xml:space="preserve"> immunogenicity and safety of </w:t>
      </w:r>
      <w:r w:rsidR="002E1860">
        <w:t xml:space="preserve">the MVC COVID-19 Vaccine </w:t>
      </w:r>
      <w:r w:rsidR="000D4638">
        <w:t xml:space="preserve">compared with </w:t>
      </w:r>
      <w:r w:rsidR="00FC13ED">
        <w:t xml:space="preserve">the </w:t>
      </w:r>
      <w:r w:rsidR="000D4638">
        <w:t>Vaxzervria</w:t>
      </w:r>
      <w:r w:rsidR="00FC13ED">
        <w:t xml:space="preserve"> COVID-19 vaccine</w:t>
      </w:r>
      <w:r w:rsidR="000D4638">
        <w:t xml:space="preserve"> in adult volunteers. The </w:t>
      </w:r>
      <w:r w:rsidR="00FC13ED">
        <w:t xml:space="preserve">MVC COVID-19 </w:t>
      </w:r>
      <w:r w:rsidR="000D4638">
        <w:t>arm (n</w:t>
      </w:r>
      <w:r w:rsidR="00C812D6">
        <w:t xml:space="preserve"> </w:t>
      </w:r>
      <w:r w:rsidR="000D4638">
        <w:t>=</w:t>
      </w:r>
      <w:r w:rsidR="00C812D6">
        <w:t xml:space="preserve"> </w:t>
      </w:r>
      <w:r w:rsidR="000D4638">
        <w:t xml:space="preserve">520) and </w:t>
      </w:r>
      <w:r w:rsidR="00C812D6">
        <w:t>Vaxzervria</w:t>
      </w:r>
      <w:r w:rsidR="000D4638">
        <w:t xml:space="preserve"> (n</w:t>
      </w:r>
      <w:r w:rsidR="00C812D6">
        <w:t xml:space="preserve"> </w:t>
      </w:r>
      <w:r w:rsidR="000D4638">
        <w:t>=</w:t>
      </w:r>
      <w:r w:rsidR="00C812D6">
        <w:t xml:space="preserve"> </w:t>
      </w:r>
      <w:r w:rsidR="000D4638">
        <w:t xml:space="preserve">510) arms received a two-dose schedule administered at </w:t>
      </w:r>
      <w:r w:rsidR="00C812D6">
        <w:t>D</w:t>
      </w:r>
      <w:r w:rsidR="000D4638">
        <w:t>ay 0 and 28.</w:t>
      </w:r>
    </w:p>
    <w:p w14:paraId="50D1181F" w14:textId="4FE97894" w:rsidR="000D4638" w:rsidRDefault="000D4638" w:rsidP="004653CA">
      <w:r>
        <w:t>The primary endpoints were:</w:t>
      </w:r>
    </w:p>
    <w:p w14:paraId="00974E1C" w14:textId="5F2EE2EC" w:rsidR="000D4638" w:rsidRDefault="00C812D6" w:rsidP="00A54AF1">
      <w:pPr>
        <w:pStyle w:val="ListBullet"/>
      </w:pPr>
      <w:r>
        <w:t>G</w:t>
      </w:r>
      <w:r w:rsidRPr="00EA7A44">
        <w:t>eometric mean tit</w:t>
      </w:r>
      <w:r>
        <w:t>re</w:t>
      </w:r>
      <w:r w:rsidR="000D4638">
        <w:t xml:space="preserve"> of neutralising antibodies at 14 days after the second dose (</w:t>
      </w:r>
      <w:r>
        <w:t>D</w:t>
      </w:r>
      <w:r w:rsidR="000D4638">
        <w:t xml:space="preserve">ay 43) measured on the </w:t>
      </w:r>
      <w:r w:rsidR="000D4638" w:rsidRPr="00C812D6">
        <w:t xml:space="preserve">first 225 evaluable patients. </w:t>
      </w:r>
      <w:r w:rsidR="000D4638">
        <w:t xml:space="preserve">The objective was to demonstrate the superiority of </w:t>
      </w:r>
      <w:r w:rsidR="00FC13ED">
        <w:t xml:space="preserve">the </w:t>
      </w:r>
      <w:r w:rsidR="000D4638">
        <w:t>MVC</w:t>
      </w:r>
      <w:r w:rsidR="00FC13ED">
        <w:t xml:space="preserve"> COVID-19 vaccine</w:t>
      </w:r>
      <w:r w:rsidR="000D4638">
        <w:t xml:space="preserve"> to </w:t>
      </w:r>
      <w:r w:rsidR="00FC13ED">
        <w:t xml:space="preserve">the </w:t>
      </w:r>
      <w:r>
        <w:t>Vaxzervria</w:t>
      </w:r>
      <w:r w:rsidR="00FC13ED">
        <w:t xml:space="preserve"> vaccine</w:t>
      </w:r>
      <w:r w:rsidR="000D4638">
        <w:t>.</w:t>
      </w:r>
    </w:p>
    <w:p w14:paraId="479C2A6A" w14:textId="7F74021B" w:rsidR="000D4638" w:rsidRDefault="000D4638" w:rsidP="00A54AF1">
      <w:pPr>
        <w:pStyle w:val="ListBullet"/>
      </w:pPr>
      <w:r>
        <w:t>Seroconversion (</w:t>
      </w:r>
      <w:proofErr w:type="gramStart"/>
      <w:r>
        <w:t>4 fold</w:t>
      </w:r>
      <w:proofErr w:type="gramEnd"/>
      <w:r>
        <w:t xml:space="preserve"> increase in neutralising antibody titre) at 14 days post second dose. The objective was to demonstrate non-inferiority of </w:t>
      </w:r>
      <w:r w:rsidR="00FC13ED">
        <w:t xml:space="preserve">the MVC COVID-19 Vaccine </w:t>
      </w:r>
      <w:r>
        <w:t xml:space="preserve">to </w:t>
      </w:r>
      <w:r w:rsidR="00FC13ED">
        <w:t xml:space="preserve">the </w:t>
      </w:r>
      <w:r w:rsidR="00C812D6">
        <w:t>Vaxzervria</w:t>
      </w:r>
      <w:r w:rsidR="00FC13ED">
        <w:t xml:space="preserve"> vaccine</w:t>
      </w:r>
      <w:r>
        <w:t>.</w:t>
      </w:r>
    </w:p>
    <w:p w14:paraId="131FD8D3" w14:textId="3D0F136A" w:rsidR="000D4638" w:rsidRDefault="000D4638" w:rsidP="004653CA">
      <w:r w:rsidRPr="00D5220C">
        <w:t>Included patients were almost entirely seronegative against wildtype COVID at enrolment (95.9%),</w:t>
      </w:r>
      <w:r w:rsidRPr="00CE64B1">
        <w:t xml:space="preserve"> but</w:t>
      </w:r>
      <w:r>
        <w:t xml:space="preserve"> about half (57.5%) had positive anti-N antibody tests on </w:t>
      </w:r>
      <w:r w:rsidR="00C812D6">
        <w:t>rapid antigen test (</w:t>
      </w:r>
      <w:r>
        <w:t>RAT</w:t>
      </w:r>
      <w:r w:rsidR="00C812D6">
        <w:t>)</w:t>
      </w:r>
      <w:r>
        <w:t xml:space="preserve"> prior to vaccination.</w:t>
      </w:r>
    </w:p>
    <w:p w14:paraId="03805A34" w14:textId="3348361F" w:rsidR="000D4638" w:rsidRDefault="000D4638" w:rsidP="004653CA">
      <w:r>
        <w:t xml:space="preserve">The study population had a </w:t>
      </w:r>
      <w:r w:rsidR="001A198E">
        <w:t xml:space="preserve">mean </w:t>
      </w:r>
      <w:r>
        <w:t>age of 32.1 years and was predominantly male (60.1%)</w:t>
      </w:r>
      <w:r w:rsidR="00562B32">
        <w:t xml:space="preserve"> (</w:t>
      </w:r>
      <w:r w:rsidR="00562B32">
        <w:fldChar w:fldCharType="begin"/>
      </w:r>
      <w:r w:rsidR="00562B32">
        <w:instrText xml:space="preserve"> REF _Ref137636897 \h </w:instrText>
      </w:r>
      <w:r w:rsidR="00562B32">
        <w:fldChar w:fldCharType="separate"/>
      </w:r>
      <w:r w:rsidR="00A15251" w:rsidRPr="00C812D6">
        <w:t xml:space="preserve">Figure </w:t>
      </w:r>
      <w:r w:rsidR="00A15251">
        <w:rPr>
          <w:noProof/>
        </w:rPr>
        <w:t>1</w:t>
      </w:r>
      <w:r w:rsidR="00562B32">
        <w:fldChar w:fldCharType="end"/>
      </w:r>
      <w:r w:rsidR="00562B32">
        <w:t>)</w:t>
      </w:r>
      <w:r>
        <w:t>.</w:t>
      </w:r>
    </w:p>
    <w:p w14:paraId="64D74C20" w14:textId="6F7597AF" w:rsidR="00FC13ED" w:rsidRDefault="00C812D6" w:rsidP="00C812D6">
      <w:pPr>
        <w:pStyle w:val="FigureTitle"/>
      </w:pPr>
      <w:bookmarkStart w:id="41" w:name="_Ref137636897"/>
      <w:r w:rsidRPr="00C812D6">
        <w:t xml:space="preserve">Figure </w:t>
      </w:r>
      <w:r w:rsidR="000519D8">
        <w:fldChar w:fldCharType="begin"/>
      </w:r>
      <w:r w:rsidR="000519D8">
        <w:instrText xml:space="preserve"> SEQ Figure \* ARABIC </w:instrText>
      </w:r>
      <w:r w:rsidR="000519D8">
        <w:fldChar w:fldCharType="separate"/>
      </w:r>
      <w:r w:rsidR="00A15251">
        <w:rPr>
          <w:noProof/>
        </w:rPr>
        <w:t>1</w:t>
      </w:r>
      <w:r w:rsidR="000519D8">
        <w:rPr>
          <w:noProof/>
        </w:rPr>
        <w:fldChar w:fldCharType="end"/>
      </w:r>
      <w:bookmarkEnd w:id="41"/>
      <w:r w:rsidRPr="00C812D6">
        <w:t>:</w:t>
      </w:r>
      <w:r>
        <w:t xml:space="preserve"> Study CT-COV-31 Patient disposition</w:t>
      </w:r>
    </w:p>
    <w:p w14:paraId="63C3DCE6" w14:textId="438984B2" w:rsidR="00C812D6" w:rsidRDefault="00C812D6" w:rsidP="00C812D6">
      <w:r w:rsidRPr="00C812D6">
        <w:rPr>
          <w:noProof/>
          <w:lang w:val="en-US" w:eastAsia="zh-TW"/>
        </w:rPr>
        <w:drawing>
          <wp:inline distT="0" distB="0" distL="0" distR="0" wp14:anchorId="3135E17D" wp14:editId="206381E2">
            <wp:extent cx="5332780" cy="2227203"/>
            <wp:effectExtent l="0" t="0" r="1270" b="1905"/>
            <wp:docPr id="1" name="Picture 1" descr="Study CT-COV-31 Patient disposition&#10;&#10;1105 participants were screened and 1030 participants were randomised into two arms. MVC COVID-19 arm has 520 participants, while AZD 1222 has 510 participants.  364 participants from MVC arm completed the trial and 367 participants from AZD 1222 completed the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udy CT-COV-31 Patient disposition&#10;&#10;1105 participants were screened and 1030 participants were randomised into two arms. MVC COVID-19 arm has 520 participants, while AZD 1222 has 510 participants.  364 participants from MVC arm completed the trial and 367 participants from AZD 1222 completed the trial."/>
                    <pic:cNvPicPr>
                      <a:picLocks noChangeAspect="1" noChangeArrowheads="1"/>
                    </pic:cNvPicPr>
                  </pic:nvPicPr>
                  <pic:blipFill rotWithShape="1">
                    <a:blip r:embed="rId17">
                      <a:extLst>
                        <a:ext uri="{28A0092B-C50C-407E-A947-70E740481C1C}">
                          <a14:useLocalDpi xmlns:a14="http://schemas.microsoft.com/office/drawing/2010/main" val="0"/>
                        </a:ext>
                      </a:extLst>
                    </a:blip>
                    <a:srcRect l="3938" r="1178" b="14788"/>
                    <a:stretch/>
                  </pic:blipFill>
                  <pic:spPr bwMode="auto">
                    <a:xfrm>
                      <a:off x="0" y="0"/>
                      <a:ext cx="5338477" cy="2229582"/>
                    </a:xfrm>
                    <a:prstGeom prst="rect">
                      <a:avLst/>
                    </a:prstGeom>
                    <a:noFill/>
                    <a:ln>
                      <a:noFill/>
                    </a:ln>
                    <a:extLst>
                      <a:ext uri="{53640926-AAD7-44D8-BBD7-CCE9431645EC}">
                        <a14:shadowObscured xmlns:a14="http://schemas.microsoft.com/office/drawing/2010/main"/>
                      </a:ext>
                    </a:extLst>
                  </pic:spPr>
                </pic:pic>
              </a:graphicData>
            </a:graphic>
          </wp:inline>
        </w:drawing>
      </w:r>
    </w:p>
    <w:p w14:paraId="0DB48B4A" w14:textId="367F469F" w:rsidR="00C812D6" w:rsidRDefault="00C812D6" w:rsidP="00C812D6">
      <w:pPr>
        <w:pStyle w:val="TableTitle"/>
      </w:pPr>
      <w:bookmarkStart w:id="42" w:name="_Ref137636880"/>
      <w:r w:rsidRPr="003D1CA5">
        <w:lastRenderedPageBreak/>
        <w:t xml:space="preserve">Table </w:t>
      </w:r>
      <w:r w:rsidR="000519D8">
        <w:fldChar w:fldCharType="begin"/>
      </w:r>
      <w:r w:rsidR="000519D8">
        <w:instrText xml:space="preserve"> SEQ Table \* ARABIC </w:instrText>
      </w:r>
      <w:r w:rsidR="000519D8">
        <w:fldChar w:fldCharType="separate"/>
      </w:r>
      <w:r w:rsidR="00A15251">
        <w:rPr>
          <w:noProof/>
        </w:rPr>
        <w:t>3</w:t>
      </w:r>
      <w:r w:rsidR="000519D8">
        <w:rPr>
          <w:noProof/>
        </w:rPr>
        <w:fldChar w:fldCharType="end"/>
      </w:r>
      <w:bookmarkEnd w:id="42"/>
      <w:r w:rsidRPr="003D1CA5">
        <w:t xml:space="preserve">: </w:t>
      </w:r>
      <w:r w:rsidR="00E33B75" w:rsidRPr="003D1CA5">
        <w:t xml:space="preserve">Study CT-COV-31 </w:t>
      </w:r>
      <w:r w:rsidRPr="003D1CA5">
        <w:t>Geometric mean titres and geometric mean titre ratio of the neutralising antibody (wild type) at Visit 4/Day 43 (per protocol immunogenicity analysis set)</w:t>
      </w:r>
    </w:p>
    <w:p w14:paraId="4078A6E9" w14:textId="6DEE754F" w:rsidR="00C812D6" w:rsidRDefault="00C812D6" w:rsidP="00C812D6">
      <w:r w:rsidRPr="00C812D6">
        <w:rPr>
          <w:noProof/>
          <w:lang w:val="en-US" w:eastAsia="zh-TW"/>
        </w:rPr>
        <w:drawing>
          <wp:inline distT="0" distB="0" distL="0" distR="0" wp14:anchorId="4B2B1DE2" wp14:editId="4235A41F">
            <wp:extent cx="5469147" cy="4624354"/>
            <wp:effectExtent l="0" t="0" r="0" b="5080"/>
            <wp:docPr id="4" name="Picture 4" descr="Geometric mean titres and geometric mean titre ratio of the neutralising antibody (wild type) at Visit 4/Day 43 (per protocol immunogenici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eometric mean titres and geometric mean titre ratio of the neutralising antibody (wild type) at Visit 4/Day 43 (per protocol immunogenicity analysis set)"/>
                    <pic:cNvPicPr>
                      <a:picLocks noChangeAspect="1" noChangeArrowheads="1"/>
                    </pic:cNvPicPr>
                  </pic:nvPicPr>
                  <pic:blipFill rotWithShape="1">
                    <a:blip r:embed="rId18">
                      <a:extLst>
                        <a:ext uri="{28A0092B-C50C-407E-A947-70E740481C1C}">
                          <a14:useLocalDpi xmlns:a14="http://schemas.microsoft.com/office/drawing/2010/main" val="0"/>
                        </a:ext>
                      </a:extLst>
                    </a:blip>
                    <a:srcRect l="2000" t="8403" r="4451" b="19586"/>
                    <a:stretch/>
                  </pic:blipFill>
                  <pic:spPr bwMode="auto">
                    <a:xfrm>
                      <a:off x="0" y="0"/>
                      <a:ext cx="5484788" cy="4637579"/>
                    </a:xfrm>
                    <a:prstGeom prst="rect">
                      <a:avLst/>
                    </a:prstGeom>
                    <a:noFill/>
                    <a:ln>
                      <a:noFill/>
                    </a:ln>
                    <a:extLst>
                      <a:ext uri="{53640926-AAD7-44D8-BBD7-CCE9431645EC}">
                        <a14:shadowObscured xmlns:a14="http://schemas.microsoft.com/office/drawing/2010/main"/>
                      </a:ext>
                    </a:extLst>
                  </pic:spPr>
                </pic:pic>
              </a:graphicData>
            </a:graphic>
          </wp:inline>
        </w:drawing>
      </w:r>
    </w:p>
    <w:p w14:paraId="001E1C13" w14:textId="0A46F520" w:rsidR="00E33B75" w:rsidRDefault="00E33B75" w:rsidP="00C812D6">
      <w:pPr>
        <w:pStyle w:val="TableDescription"/>
      </w:pPr>
      <w:r>
        <w:t xml:space="preserve">Note: MVC-COV1901 refers to MVC COVID-19 vaccine; AZD-1222 refers to </w:t>
      </w:r>
      <w:proofErr w:type="spellStart"/>
      <w:r>
        <w:t>Vaxzevria</w:t>
      </w:r>
      <w:proofErr w:type="spellEnd"/>
      <w:r>
        <w:t xml:space="preserve"> vaccine.</w:t>
      </w:r>
    </w:p>
    <w:p w14:paraId="701753DA" w14:textId="2081BD8C" w:rsidR="00C812D6" w:rsidRDefault="00C812D6" w:rsidP="00C812D6">
      <w:pPr>
        <w:pStyle w:val="TableDescription"/>
      </w:pPr>
      <w:r>
        <w:t>Abbreviations: N = number of participants in the population; n = number of participants with available data; GMT = geometric mean titre; CI = confidence interval; PPI = per protocol immunogenicity analysis set; GMTR = geometric mean titre treatment ratio</w:t>
      </w:r>
      <w:r w:rsidR="00E33B75">
        <w:t>.</w:t>
      </w:r>
    </w:p>
    <w:p w14:paraId="4920448B" w14:textId="047D37B7" w:rsidR="00C812D6" w:rsidRDefault="00C812D6" w:rsidP="00C812D6">
      <w:pPr>
        <w:pStyle w:val="TableDescription"/>
      </w:pPr>
      <w:r>
        <w:t>Note: blood samples on Day 1 for immunogenicity test were collected before the administration of study intervention. GMT ratio was compared to Day 1 (prior to first dose).</w:t>
      </w:r>
    </w:p>
    <w:p w14:paraId="52CF0F31" w14:textId="51F450D7" w:rsidR="00C812D6" w:rsidRDefault="00C812D6" w:rsidP="00C812D6">
      <w:pPr>
        <w:pStyle w:val="TableDescription"/>
      </w:pPr>
      <w:r>
        <w:t xml:space="preserve">1 GMT treatment ratio (GMTR) </w:t>
      </w:r>
      <w:r w:rsidR="0065280D">
        <w:t xml:space="preserve">= </w:t>
      </w:r>
      <m:oMath>
        <m:f>
          <m:fPr>
            <m:ctrlPr>
              <w:rPr>
                <w:rFonts w:ascii="Cambria Math" w:hAnsi="Cambria Math"/>
              </w:rPr>
            </m:ctrlPr>
          </m:fPr>
          <m:num>
            <m:r>
              <m:rPr>
                <m:sty m:val="p"/>
              </m:rPr>
              <w:rPr>
                <w:rFonts w:ascii="Cambria Math" w:hAnsi="Cambria Math" w:cs="Cambria Math"/>
              </w:rPr>
              <m:t>GMT MVC-COV 1901</m:t>
            </m:r>
          </m:num>
          <m:den>
            <m:r>
              <m:rPr>
                <m:sty m:val="p"/>
              </m:rPr>
              <w:rPr>
                <w:rFonts w:ascii="Cambria Math" w:hAnsi="Cambria Math" w:cs="Cambria Math"/>
              </w:rPr>
              <m:t>GMT AZD1222</m:t>
            </m:r>
          </m:den>
        </m:f>
      </m:oMath>
      <w:r w:rsidR="0065280D">
        <w:t xml:space="preserve"> at Day 43 (14 days after second dose).</w:t>
      </w:r>
    </w:p>
    <w:p w14:paraId="24CE2C5D" w14:textId="7633B3D9" w:rsidR="0065280D" w:rsidRDefault="0065280D" w:rsidP="00C812D6">
      <w:pPr>
        <w:pStyle w:val="TableDescription"/>
      </w:pPr>
      <w:r>
        <w:t>2 P-value based on two sample t test or Wilcoxon rank sum test.</w:t>
      </w:r>
    </w:p>
    <w:p w14:paraId="3887946D" w14:textId="30C63E12" w:rsidR="0065280D" w:rsidRDefault="0065280D" w:rsidP="0065280D">
      <w:r>
        <w:t>For the first 225 subjects the GMT for neutralising antibodies induced by MVC was superior to Vaxzervria when assessed 14 days after the second dose of vaccine</w:t>
      </w:r>
      <w:r w:rsidR="00562B32">
        <w:t xml:space="preserve"> (</w:t>
      </w:r>
      <w:r w:rsidR="00562B32">
        <w:fldChar w:fldCharType="begin"/>
      </w:r>
      <w:r w:rsidR="00562B32">
        <w:instrText xml:space="preserve"> REF _Ref137636880 \h </w:instrText>
      </w:r>
      <w:r w:rsidR="00562B32">
        <w:fldChar w:fldCharType="separate"/>
      </w:r>
      <w:r w:rsidR="00A15251" w:rsidRPr="003D1CA5">
        <w:t xml:space="preserve">Table </w:t>
      </w:r>
      <w:r w:rsidR="00A15251">
        <w:rPr>
          <w:noProof/>
        </w:rPr>
        <w:t>3</w:t>
      </w:r>
      <w:r w:rsidR="00562B32">
        <w:fldChar w:fldCharType="end"/>
      </w:r>
      <w:r w:rsidR="00562B32">
        <w:t>)</w:t>
      </w:r>
      <w:r>
        <w:t>.</w:t>
      </w:r>
    </w:p>
    <w:p w14:paraId="5968CED4" w14:textId="68A2C580" w:rsidR="0065280D" w:rsidRDefault="0065280D" w:rsidP="0065280D">
      <w:pPr>
        <w:pStyle w:val="TableTitle"/>
      </w:pPr>
      <w:bookmarkStart w:id="43" w:name="_Ref137636860"/>
      <w:r w:rsidRPr="0065280D">
        <w:lastRenderedPageBreak/>
        <w:t xml:space="preserve">Table </w:t>
      </w:r>
      <w:r w:rsidR="000519D8">
        <w:fldChar w:fldCharType="begin"/>
      </w:r>
      <w:r w:rsidR="000519D8">
        <w:instrText xml:space="preserve"> SEQ Table \* ARABIC </w:instrText>
      </w:r>
      <w:r w:rsidR="000519D8">
        <w:fldChar w:fldCharType="separate"/>
      </w:r>
      <w:r w:rsidR="00A15251">
        <w:rPr>
          <w:noProof/>
        </w:rPr>
        <w:t>4</w:t>
      </w:r>
      <w:r w:rsidR="000519D8">
        <w:rPr>
          <w:noProof/>
        </w:rPr>
        <w:fldChar w:fldCharType="end"/>
      </w:r>
      <w:bookmarkEnd w:id="43"/>
      <w:r w:rsidRPr="0065280D">
        <w:t>:</w:t>
      </w:r>
      <w:r>
        <w:t xml:space="preserve"> </w:t>
      </w:r>
      <w:r w:rsidR="00E33B75">
        <w:t xml:space="preserve">Study CT-COV-31 </w:t>
      </w:r>
      <w:r>
        <w:t xml:space="preserve">Geometric mean titres and geometric mean titre ratio of antigen specific immunoglobulin at Baseline and Visit </w:t>
      </w:r>
      <w:r w:rsidR="001D0D9A">
        <w:t>4</w:t>
      </w:r>
      <w:r>
        <w:t xml:space="preserve">/Day </w:t>
      </w:r>
      <w:r w:rsidR="001D0D9A">
        <w:t xml:space="preserve">43 </w:t>
      </w:r>
      <w:r>
        <w:t>(</w:t>
      </w:r>
      <w:r w:rsidR="00C965F6">
        <w:t>i</w:t>
      </w:r>
      <w:r>
        <w:t>mmunogenicity and per protocol immunogenicity analysis set) (in BAU/mL)</w:t>
      </w:r>
    </w:p>
    <w:p w14:paraId="61F12960" w14:textId="77777777" w:rsidR="005E4CD7" w:rsidRDefault="0065280D" w:rsidP="00E33B75">
      <w:pPr>
        <w:pStyle w:val="TableDescription"/>
      </w:pPr>
      <w:r w:rsidRPr="0065280D">
        <w:rPr>
          <w:noProof/>
          <w:lang w:val="en-US" w:eastAsia="zh-TW"/>
        </w:rPr>
        <w:drawing>
          <wp:inline distT="0" distB="0" distL="0" distR="0" wp14:anchorId="40E706ED" wp14:editId="6F2285FD">
            <wp:extent cx="4854252" cy="3825850"/>
            <wp:effectExtent l="0" t="0" r="3810" b="3810"/>
            <wp:docPr id="5" name="Picture 5" descr="Geometric mean titres and geometric mean titre ratio of antigen specific immunoglobulin at Baseline and Visit 3/Day 29 to Visit 7/Day 209 (Immunogenicity and per protocol immunogenicity analysis set) (in BAU/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eometric mean titres and geometric mean titre ratio of antigen specific immunoglobulin at Baseline and Visit 3/Day 29 to Visit 7/Day 209 (Immunogenicity and per protocol immunogenicity analysis set) (in BAU/mL)"/>
                    <pic:cNvPicPr>
                      <a:picLocks noChangeAspect="1" noChangeArrowheads="1"/>
                    </pic:cNvPicPr>
                  </pic:nvPicPr>
                  <pic:blipFill rotWithShape="1">
                    <a:blip r:embed="rId19">
                      <a:extLst>
                        <a:ext uri="{28A0092B-C50C-407E-A947-70E740481C1C}">
                          <a14:useLocalDpi xmlns:a14="http://schemas.microsoft.com/office/drawing/2010/main" val="0"/>
                        </a:ext>
                      </a:extLst>
                    </a:blip>
                    <a:srcRect l="2156" t="12263"/>
                    <a:stretch/>
                  </pic:blipFill>
                  <pic:spPr bwMode="auto">
                    <a:xfrm>
                      <a:off x="0" y="0"/>
                      <a:ext cx="4860823" cy="3831029"/>
                    </a:xfrm>
                    <a:prstGeom prst="rect">
                      <a:avLst/>
                    </a:prstGeom>
                    <a:noFill/>
                    <a:ln>
                      <a:noFill/>
                    </a:ln>
                    <a:extLst>
                      <a:ext uri="{53640926-AAD7-44D8-BBD7-CCE9431645EC}">
                        <a14:shadowObscured xmlns:a14="http://schemas.microsoft.com/office/drawing/2010/main"/>
                      </a:ext>
                    </a:extLst>
                  </pic:spPr>
                </pic:pic>
              </a:graphicData>
            </a:graphic>
          </wp:inline>
        </w:drawing>
      </w:r>
    </w:p>
    <w:p w14:paraId="7F330094" w14:textId="1D2650A9" w:rsidR="00E33B75" w:rsidRDefault="00E33B75" w:rsidP="00E33B75">
      <w:pPr>
        <w:pStyle w:val="TableDescription"/>
      </w:pPr>
      <w:r>
        <w:t xml:space="preserve">Note: MVC-COV1901 refers to MVC COVID-19 vaccine; AZD-1222 refers to </w:t>
      </w:r>
      <w:proofErr w:type="spellStart"/>
      <w:r>
        <w:t>Vaxzevria</w:t>
      </w:r>
      <w:proofErr w:type="spellEnd"/>
      <w:r>
        <w:t xml:space="preserve"> vaccine.</w:t>
      </w:r>
    </w:p>
    <w:p w14:paraId="06DA7083" w14:textId="09151719" w:rsidR="00E33B75" w:rsidRDefault="00E33B75" w:rsidP="00A54AF1">
      <w:pPr>
        <w:pStyle w:val="TableDescription"/>
      </w:pPr>
      <w:r>
        <w:t xml:space="preserve">Abbreviations: BAU/mL = </w:t>
      </w:r>
      <w:r w:rsidRPr="00E33B75">
        <w:t>Binding Antibodies Units</w:t>
      </w:r>
      <w:r>
        <w:t>; N = number of participants in the population; n = number of participants with available data; GMT = geometric mean titre; CI = confidence interval; PPI = per protocol immunogenicity analysis set; GMTR = geometric mean titre treatment ratio.</w:t>
      </w:r>
    </w:p>
    <w:p w14:paraId="79F67D8A" w14:textId="0961FBE3" w:rsidR="0065280D" w:rsidRDefault="0065280D" w:rsidP="0065280D">
      <w:r w:rsidRPr="00A8261D">
        <w:t xml:space="preserve">Seroconversion </w:t>
      </w:r>
      <w:r w:rsidR="00D5220C" w:rsidRPr="00A8261D">
        <w:t xml:space="preserve">based on </w:t>
      </w:r>
      <w:r w:rsidR="005E4CD7">
        <w:t>n</w:t>
      </w:r>
      <w:r w:rsidR="00D5220C" w:rsidRPr="00A8261D">
        <w:t>eutrali</w:t>
      </w:r>
      <w:r w:rsidR="005E4CD7">
        <w:t>s</w:t>
      </w:r>
      <w:r w:rsidR="00D5220C" w:rsidRPr="00A8261D">
        <w:t xml:space="preserve">ing </w:t>
      </w:r>
      <w:r w:rsidR="005E4CD7">
        <w:t>a</w:t>
      </w:r>
      <w:r w:rsidR="00D5220C" w:rsidRPr="00A8261D">
        <w:t xml:space="preserve">ntibody </w:t>
      </w:r>
      <w:r w:rsidR="005E4CD7">
        <w:t>t</w:t>
      </w:r>
      <w:r w:rsidR="00D5220C" w:rsidRPr="00A8261D">
        <w:t>it</w:t>
      </w:r>
      <w:r w:rsidR="005E4CD7">
        <w:t>re</w:t>
      </w:r>
      <w:r w:rsidR="00D5220C" w:rsidRPr="00A8261D">
        <w:t xml:space="preserve">s </w:t>
      </w:r>
      <w:r w:rsidRPr="00A8261D">
        <w:t xml:space="preserve">was </w:t>
      </w:r>
      <w:r w:rsidR="00C965F6" w:rsidRPr="00A8261D">
        <w:t xml:space="preserve">greater than </w:t>
      </w:r>
      <w:r w:rsidRPr="00A8261D">
        <w:t xml:space="preserve">90% in both arms of the </w:t>
      </w:r>
      <w:r w:rsidR="00C965F6" w:rsidRPr="00A8261D">
        <w:t>trial but</w:t>
      </w:r>
      <w:r w:rsidRPr="00A8261D">
        <w:t xml:space="preserve"> was statistically higher in the MVC</w:t>
      </w:r>
      <w:r w:rsidR="00E33B75" w:rsidRPr="00A8261D">
        <w:t xml:space="preserve"> COVID-19 vaccine</w:t>
      </w:r>
      <w:r w:rsidRPr="00A8261D">
        <w:t xml:space="preserve"> to the Vaxzervri</w:t>
      </w:r>
      <w:r w:rsidR="00E33B75" w:rsidRPr="00A8261D">
        <w:t>a vaccine</w:t>
      </w:r>
      <w:r w:rsidRPr="00A8261D">
        <w:t xml:space="preserve"> group (99.1% v</w:t>
      </w:r>
      <w:r w:rsidR="00C965F6" w:rsidRPr="00A8261D">
        <w:t xml:space="preserve">ersus </w:t>
      </w:r>
      <w:r w:rsidRPr="00A8261D">
        <w:t>91.7</w:t>
      </w:r>
      <w:r w:rsidRPr="005E4CD7">
        <w:t>%, p</w:t>
      </w:r>
      <w:r w:rsidR="00C965F6" w:rsidRPr="005E4CD7">
        <w:t xml:space="preserve"> </w:t>
      </w:r>
      <w:r w:rsidRPr="005E4CD7">
        <w:t>=</w:t>
      </w:r>
      <w:r w:rsidR="00C965F6" w:rsidRPr="005E4CD7">
        <w:t xml:space="preserve"> </w:t>
      </w:r>
      <w:r w:rsidRPr="005E4CD7">
        <w:t>0.008)</w:t>
      </w:r>
      <w:r w:rsidR="00562B32" w:rsidRPr="005E4CD7">
        <w:t xml:space="preserve"> (</w:t>
      </w:r>
      <w:proofErr w:type="spellStart"/>
      <w:r w:rsidR="00E33B75" w:rsidRPr="005E4CD7">
        <w:t>see</w:t>
      </w:r>
      <w:r w:rsidR="00403046" w:rsidRPr="005E4CD7">
        <w:fldChar w:fldCharType="begin"/>
      </w:r>
      <w:r w:rsidR="00403046" w:rsidRPr="005E4CD7">
        <w:instrText xml:space="preserve"> REF _Ref137636860 \h </w:instrText>
      </w:r>
      <w:r w:rsidR="005E4CD7">
        <w:instrText xml:space="preserve"> \* MERGEFORMAT </w:instrText>
      </w:r>
      <w:r w:rsidR="00403046" w:rsidRPr="005E4CD7">
        <w:fldChar w:fldCharType="separate"/>
      </w:r>
      <w:r w:rsidR="00A15251" w:rsidRPr="0065280D">
        <w:t>Table</w:t>
      </w:r>
      <w:proofErr w:type="spellEnd"/>
      <w:r w:rsidR="00A15251" w:rsidRPr="0065280D">
        <w:t xml:space="preserve"> </w:t>
      </w:r>
      <w:r w:rsidR="00A15251">
        <w:rPr>
          <w:noProof/>
        </w:rPr>
        <w:t>4</w:t>
      </w:r>
      <w:r w:rsidR="00403046" w:rsidRPr="005E4CD7">
        <w:fldChar w:fldCharType="end"/>
      </w:r>
      <w:r w:rsidR="005E4CD7" w:rsidRPr="005E4CD7">
        <w:t>).</w:t>
      </w:r>
      <w:r w:rsidR="00D5220C" w:rsidRPr="005E4CD7">
        <w:t xml:space="preserve"> </w:t>
      </w:r>
      <w:r w:rsidRPr="005E4CD7">
        <w:t xml:space="preserve">The </w:t>
      </w:r>
      <w:r w:rsidR="00E33B75" w:rsidRPr="005E4CD7">
        <w:t xml:space="preserve">TGA’s </w:t>
      </w:r>
      <w:r w:rsidR="00C965F6" w:rsidRPr="005E4CD7">
        <w:t>clinical evaluat</w:t>
      </w:r>
      <w:r w:rsidR="00E33B75" w:rsidRPr="005E4CD7">
        <w:t>ion</w:t>
      </w:r>
      <w:r w:rsidRPr="005E4CD7">
        <w:t xml:space="preserve"> has noted that </w:t>
      </w:r>
      <w:r w:rsidR="00E33B75" w:rsidRPr="005E4CD7">
        <w:t xml:space="preserve">MVC COVID-19 vaccine </w:t>
      </w:r>
      <w:r w:rsidRPr="005E4CD7">
        <w:t>was</w:t>
      </w:r>
      <w:r w:rsidR="00403046" w:rsidRPr="005E4CD7">
        <w:t xml:space="preserve"> not statistically superior</w:t>
      </w:r>
      <w:r w:rsidRPr="005E4CD7">
        <w:t xml:space="preserve"> to Vaxzervria in the sub-set of subjects who were </w:t>
      </w:r>
      <w:proofErr w:type="spellStart"/>
      <w:r w:rsidRPr="005E4CD7">
        <w:t>sero</w:t>
      </w:r>
      <w:proofErr w:type="spellEnd"/>
      <w:r w:rsidRPr="005E4CD7">
        <w:t>-naive at enrolment.</w:t>
      </w:r>
    </w:p>
    <w:p w14:paraId="1CB687D3" w14:textId="046BBBDC" w:rsidR="0065280D" w:rsidRDefault="0065280D" w:rsidP="0065280D">
      <w:r>
        <w:t xml:space="preserve">Based on the entire population available in the final </w:t>
      </w:r>
      <w:r w:rsidR="00C965F6">
        <w:t>clinical study report</w:t>
      </w:r>
      <w:r>
        <w:t xml:space="preserve"> (n</w:t>
      </w:r>
      <w:r w:rsidR="005F46C9">
        <w:t xml:space="preserve"> </w:t>
      </w:r>
      <w:r>
        <w:t>=</w:t>
      </w:r>
      <w:r w:rsidR="005F46C9">
        <w:t xml:space="preserve"> </w:t>
      </w:r>
      <w:r>
        <w:t xml:space="preserve">884), there appeared to be superior induction of antigen specific antibodies using </w:t>
      </w:r>
      <w:r w:rsidR="00E33B75">
        <w:t xml:space="preserve">MVC COVID-19 vaccine </w:t>
      </w:r>
      <w:r>
        <w:t>to Vaxzervria at 14 days after the second dose of vaccine.</w:t>
      </w:r>
    </w:p>
    <w:p w14:paraId="2185587C" w14:textId="77777777" w:rsidR="0065280D" w:rsidRDefault="0065280D" w:rsidP="0065280D">
      <w:pPr>
        <w:pStyle w:val="Heading6"/>
      </w:pPr>
      <w:r>
        <w:t>Study CT-COV-32</w:t>
      </w:r>
    </w:p>
    <w:p w14:paraId="304168AD" w14:textId="46CD98B0" w:rsidR="0065280D" w:rsidRDefault="0065280D" w:rsidP="0065280D">
      <w:r>
        <w:t xml:space="preserve">This was a </w:t>
      </w:r>
      <w:r w:rsidR="00587C1F">
        <w:t>P</w:t>
      </w:r>
      <w:r>
        <w:t xml:space="preserve">hase III study that compared the immunogenicity of </w:t>
      </w:r>
      <w:r w:rsidR="00E33B75">
        <w:t xml:space="preserve">the MVC COVID-19 vaccine </w:t>
      </w:r>
      <w:r>
        <w:t xml:space="preserve">and </w:t>
      </w:r>
      <w:r w:rsidR="00E33B75">
        <w:t xml:space="preserve">the </w:t>
      </w:r>
      <w:r>
        <w:t>Vaxzervria</w:t>
      </w:r>
      <w:r w:rsidR="00E33B75">
        <w:t xml:space="preserve"> vaccine</w:t>
      </w:r>
      <w:r>
        <w:t xml:space="preserve"> in 250 randomised adult subjects. Subjects were randomised to receive </w:t>
      </w:r>
      <w:r w:rsidR="00E33B75">
        <w:t>the</w:t>
      </w:r>
      <w:r w:rsidR="00CB59E2">
        <w:t xml:space="preserve"> </w:t>
      </w:r>
      <w:r w:rsidR="00E33B75">
        <w:t xml:space="preserve">MVC COVID-19 vaccine </w:t>
      </w:r>
      <w:r>
        <w:t>(n = 125) or Vaxzervria (n</w:t>
      </w:r>
      <w:r w:rsidR="005F46C9">
        <w:t> </w:t>
      </w:r>
      <w:r>
        <w:t>= 121) in two dose schedule 28 days apart.</w:t>
      </w:r>
    </w:p>
    <w:p w14:paraId="585974C3" w14:textId="77777777" w:rsidR="0065280D" w:rsidRDefault="0065280D" w:rsidP="0065280D">
      <w:r>
        <w:t>The primary endpoints were:</w:t>
      </w:r>
    </w:p>
    <w:p w14:paraId="6D521EF4" w14:textId="5E2F3F63" w:rsidR="0065280D" w:rsidRDefault="0065280D" w:rsidP="00A54AF1">
      <w:pPr>
        <w:pStyle w:val="ListBullet"/>
      </w:pPr>
      <w:r>
        <w:t xml:space="preserve">The GMT of neutralising antibodies measured at 14 days after the second dose of vaccine. The objective was to demonstrate superiority of </w:t>
      </w:r>
      <w:r w:rsidR="00E33B75">
        <w:t xml:space="preserve">MVC COVID-19 vaccine </w:t>
      </w:r>
      <w:r>
        <w:t>to Vaxzervria.</w:t>
      </w:r>
    </w:p>
    <w:p w14:paraId="6A8FB89C" w14:textId="4815356C" w:rsidR="0065280D" w:rsidRDefault="0065280D" w:rsidP="00A54AF1">
      <w:pPr>
        <w:pStyle w:val="ListBullet"/>
      </w:pPr>
      <w:r>
        <w:t>Seroconversion (</w:t>
      </w:r>
      <w:proofErr w:type="gramStart"/>
      <w:r>
        <w:t>4 fold</w:t>
      </w:r>
      <w:proofErr w:type="gramEnd"/>
      <w:r>
        <w:t xml:space="preserve"> increase in neutralising antibody titre). The objective was to demonstrate </w:t>
      </w:r>
      <w:r w:rsidR="00B26D5D">
        <w:t>non-inferiority</w:t>
      </w:r>
      <w:r>
        <w:t xml:space="preserve"> of </w:t>
      </w:r>
      <w:r w:rsidR="00E33B75">
        <w:t xml:space="preserve">MVC COVID-19 vaccine </w:t>
      </w:r>
      <w:r>
        <w:t>to Vaxzervria.</w:t>
      </w:r>
    </w:p>
    <w:p w14:paraId="3259F4D0" w14:textId="30F914F2" w:rsidR="0065280D" w:rsidRDefault="0065280D" w:rsidP="00FD0A12">
      <w:pPr>
        <w:pStyle w:val="FigureTitle"/>
        <w:keepNext/>
      </w:pPr>
      <w:bookmarkStart w:id="44" w:name="_Ref137636840"/>
      <w:r w:rsidRPr="0065280D">
        <w:lastRenderedPageBreak/>
        <w:t xml:space="preserve">Figure </w:t>
      </w:r>
      <w:r w:rsidR="000519D8">
        <w:fldChar w:fldCharType="begin"/>
      </w:r>
      <w:r w:rsidR="000519D8">
        <w:instrText xml:space="preserve"> SEQ Figure \* ARABIC </w:instrText>
      </w:r>
      <w:r w:rsidR="000519D8">
        <w:fldChar w:fldCharType="separate"/>
      </w:r>
      <w:r w:rsidR="00A15251">
        <w:rPr>
          <w:noProof/>
        </w:rPr>
        <w:t>2</w:t>
      </w:r>
      <w:r w:rsidR="000519D8">
        <w:rPr>
          <w:noProof/>
        </w:rPr>
        <w:fldChar w:fldCharType="end"/>
      </w:r>
      <w:bookmarkEnd w:id="44"/>
      <w:r>
        <w:t>: Study CT-COV-32 Patient disposition</w:t>
      </w:r>
    </w:p>
    <w:p w14:paraId="3BABF8C0" w14:textId="3FACCC9A" w:rsidR="0065280D" w:rsidRDefault="0065280D" w:rsidP="0065280D">
      <w:r w:rsidRPr="0065280D">
        <w:rPr>
          <w:noProof/>
          <w:lang w:val="en-US" w:eastAsia="zh-TW"/>
        </w:rPr>
        <w:drawing>
          <wp:inline distT="0" distB="0" distL="0" distR="0" wp14:anchorId="753C05F3" wp14:editId="215C8F62">
            <wp:extent cx="5546427" cy="5018227"/>
            <wp:effectExtent l="0" t="0" r="0" b="0"/>
            <wp:docPr id="6" name="Picture 6" descr="Study CT-COV-32 Patient disposition&#10;328 participants were screened and 250 participants were randomised into two arms, MVC (126 participants) or AZD1222 (124 participants). &#10;125 participants received first dose of MVC and 121 participants received first dose of ADZ1222. Of the 125 participants, 116 participants received the second dose of MVC. Of the 121 participants, 113 participants received the second dose of AZD1222. 115 participants from MVC arm and 110 participants from the AZD1222 arm completed the tr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tudy CT-COV-32 Patient disposition&#10;328 participants were screened and 250 participants were randomised into two arms, MVC (126 participants) or AZD1222 (124 participants). &#10;125 participants received first dose of MVC and 121 participants received first dose of ADZ1222. Of the 125 participants, 116 participants received the second dose of MVC. Of the 121 participants, 113 participants received the second dose of AZD1222. 115 participants from MVC arm and 110 participants from the AZD1222 arm completed the trial. "/>
                    <pic:cNvPicPr>
                      <a:picLocks noChangeAspect="1" noChangeArrowheads="1"/>
                    </pic:cNvPicPr>
                  </pic:nvPicPr>
                  <pic:blipFill rotWithShape="1">
                    <a:blip r:embed="rId20">
                      <a:extLst>
                        <a:ext uri="{28A0092B-C50C-407E-A947-70E740481C1C}">
                          <a14:useLocalDpi xmlns:a14="http://schemas.microsoft.com/office/drawing/2010/main" val="0"/>
                        </a:ext>
                      </a:extLst>
                    </a:blip>
                    <a:srcRect l="3683" t="6598" b="7990"/>
                    <a:stretch/>
                  </pic:blipFill>
                  <pic:spPr bwMode="auto">
                    <a:xfrm>
                      <a:off x="0" y="0"/>
                      <a:ext cx="5547310" cy="5019026"/>
                    </a:xfrm>
                    <a:prstGeom prst="rect">
                      <a:avLst/>
                    </a:prstGeom>
                    <a:noFill/>
                    <a:ln>
                      <a:noFill/>
                    </a:ln>
                    <a:extLst>
                      <a:ext uri="{53640926-AAD7-44D8-BBD7-CCE9431645EC}">
                        <a14:shadowObscured xmlns:a14="http://schemas.microsoft.com/office/drawing/2010/main"/>
                      </a:ext>
                    </a:extLst>
                  </pic:spPr>
                </pic:pic>
              </a:graphicData>
            </a:graphic>
          </wp:inline>
        </w:drawing>
      </w:r>
    </w:p>
    <w:p w14:paraId="0A781DB2" w14:textId="673F94B6" w:rsidR="00FE0466" w:rsidRDefault="00FE0466" w:rsidP="00A54AF1">
      <w:pPr>
        <w:pStyle w:val="TableDescription"/>
      </w:pPr>
      <w:r>
        <w:t xml:space="preserve">Note: MVC-COV1901 refers to MVC COVID-19 vaccine; AZD-1222 refers to </w:t>
      </w:r>
      <w:proofErr w:type="spellStart"/>
      <w:r>
        <w:t>Vaxzevria</w:t>
      </w:r>
      <w:proofErr w:type="spellEnd"/>
      <w:r>
        <w:t xml:space="preserve"> vaccine.</w:t>
      </w:r>
    </w:p>
    <w:p w14:paraId="7BE0E9E2" w14:textId="1AA1DD24" w:rsidR="0065280D" w:rsidRDefault="0065280D" w:rsidP="0065280D">
      <w:pPr>
        <w:pStyle w:val="FigureDescription"/>
      </w:pPr>
      <w:r>
        <w:t xml:space="preserve">Note: The </w:t>
      </w:r>
      <w:r w:rsidR="00FE0466">
        <w:t>‘</w:t>
      </w:r>
      <w:r>
        <w:t xml:space="preserve">2 </w:t>
      </w:r>
      <w:r w:rsidR="00FE0466">
        <w:t>S</w:t>
      </w:r>
      <w:r>
        <w:t xml:space="preserve">creen </w:t>
      </w:r>
      <w:r w:rsidR="00FE0466">
        <w:t>E</w:t>
      </w:r>
      <w:r>
        <w:t>rror</w:t>
      </w:r>
      <w:r w:rsidR="00FE0466">
        <w:t>’ refers to</w:t>
      </w:r>
      <w:r w:rsidR="00FD0A12">
        <w:t xml:space="preserve"> subjects who were eligible to participate in the study but did not enter study due to randomisation quota </w:t>
      </w:r>
      <w:r w:rsidR="00E33B75">
        <w:t xml:space="preserve">being </w:t>
      </w:r>
      <w:r w:rsidR="00FD0A12">
        <w:t>used up.</w:t>
      </w:r>
    </w:p>
    <w:p w14:paraId="6AFAE5F2" w14:textId="5030A570" w:rsidR="00FD0A12" w:rsidRDefault="00FD0A12" w:rsidP="00FD0A12">
      <w:r>
        <w:t xml:space="preserve">The study population was older than </w:t>
      </w:r>
      <w:r w:rsidR="00FE0466">
        <w:t xml:space="preserve">Study </w:t>
      </w:r>
      <w:r>
        <w:t>CT-COV-31, with a median age of 55.9 years. The majority were seronegative for neutralising antibodies at Baseline (95.9%). A significant proportion (38.6%) of subjects had positive anti-N antibodies at Baseline</w:t>
      </w:r>
      <w:r w:rsidR="00562B32">
        <w:t xml:space="preserve"> (</w:t>
      </w:r>
      <w:r w:rsidR="00FE0466">
        <w:t>see </w:t>
      </w:r>
      <w:r w:rsidR="00FE0466">
        <w:fldChar w:fldCharType="begin"/>
      </w:r>
      <w:r w:rsidR="00FE0466">
        <w:instrText xml:space="preserve"> REF _Ref137636840 \h </w:instrText>
      </w:r>
      <w:r w:rsidR="00FE0466">
        <w:fldChar w:fldCharType="separate"/>
      </w:r>
      <w:r w:rsidR="00A15251" w:rsidRPr="0065280D">
        <w:t xml:space="preserve">Figure </w:t>
      </w:r>
      <w:r w:rsidR="00A15251">
        <w:rPr>
          <w:noProof/>
        </w:rPr>
        <w:t>2</w:t>
      </w:r>
      <w:r w:rsidR="00FE0466">
        <w:fldChar w:fldCharType="end"/>
      </w:r>
      <w:r w:rsidR="00562B32">
        <w:t>)</w:t>
      </w:r>
      <w:r>
        <w:t>.</w:t>
      </w:r>
    </w:p>
    <w:p w14:paraId="0095AF7F" w14:textId="2F7CF84B" w:rsidR="00FE0466" w:rsidRDefault="00FE0466" w:rsidP="00FD0A12">
      <w:r>
        <w:br w:type="page"/>
      </w:r>
    </w:p>
    <w:p w14:paraId="32C8ABB5" w14:textId="2F8AB0C7" w:rsidR="00FD0A12" w:rsidRDefault="00FD0A12" w:rsidP="00E96CAB">
      <w:pPr>
        <w:pStyle w:val="TableTitle"/>
      </w:pPr>
      <w:bookmarkStart w:id="45" w:name="_Ref137636825"/>
      <w:r w:rsidRPr="00E96CAB">
        <w:lastRenderedPageBreak/>
        <w:t xml:space="preserve">Table </w:t>
      </w:r>
      <w:r w:rsidR="000519D8">
        <w:fldChar w:fldCharType="begin"/>
      </w:r>
      <w:r w:rsidR="000519D8">
        <w:instrText xml:space="preserve"> SEQ Table \* ARABIC </w:instrText>
      </w:r>
      <w:r w:rsidR="000519D8">
        <w:fldChar w:fldCharType="separate"/>
      </w:r>
      <w:r w:rsidR="00A15251">
        <w:rPr>
          <w:noProof/>
        </w:rPr>
        <w:t>5</w:t>
      </w:r>
      <w:r w:rsidR="000519D8">
        <w:rPr>
          <w:noProof/>
        </w:rPr>
        <w:fldChar w:fldCharType="end"/>
      </w:r>
      <w:bookmarkEnd w:id="45"/>
      <w:r w:rsidRPr="00E96CAB">
        <w:t>:</w:t>
      </w:r>
      <w:r>
        <w:t xml:space="preserve"> </w:t>
      </w:r>
      <w:r w:rsidR="00FE0466">
        <w:t xml:space="preserve">Study CT-COV-32 </w:t>
      </w:r>
      <w:r w:rsidR="00E96CAB">
        <w:t xml:space="preserve">Geometric mean titre and geometric mean titre ratio of wild type neutralising antibodies at Day 43 in full analysis </w:t>
      </w:r>
      <w:proofErr w:type="gramStart"/>
      <w:r w:rsidR="00E96CAB">
        <w:t>set</w:t>
      </w:r>
      <w:proofErr w:type="gramEnd"/>
    </w:p>
    <w:p w14:paraId="22FDD313" w14:textId="4939275A" w:rsidR="00FD0A12" w:rsidRDefault="00E96CAB" w:rsidP="00FD0A12">
      <w:r w:rsidRPr="00E96CAB">
        <w:rPr>
          <w:noProof/>
          <w:lang w:val="en-US" w:eastAsia="zh-TW"/>
        </w:rPr>
        <w:drawing>
          <wp:inline distT="0" distB="0" distL="0" distR="0" wp14:anchorId="091025F1" wp14:editId="7103012C">
            <wp:extent cx="5732705" cy="1535502"/>
            <wp:effectExtent l="0" t="0" r="1905" b="7620"/>
            <wp:docPr id="7" name="Picture 7" descr=": Geometric mean titre and geometric mean titre ratio of wild type neutralising antibodies at Day 43 in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 Geometric mean titre and geometric mean titre ratio of wild type neutralising antibodies at Day 43 in full analysis set"/>
                    <pic:cNvPicPr>
                      <a:picLocks noChangeAspect="1" noChangeArrowheads="1"/>
                    </pic:cNvPicPr>
                  </pic:nvPicPr>
                  <pic:blipFill rotWithShape="1">
                    <a:blip r:embed="rId21">
                      <a:lum contrast="-6000"/>
                      <a:extLst>
                        <a:ext uri="{28A0092B-C50C-407E-A947-70E740481C1C}">
                          <a14:useLocalDpi xmlns:a14="http://schemas.microsoft.com/office/drawing/2010/main" val="0"/>
                        </a:ext>
                      </a:extLst>
                    </a:blip>
                    <a:srcRect l="2101" t="20199" r="4947" b="14893"/>
                    <a:stretch/>
                  </pic:blipFill>
                  <pic:spPr bwMode="auto">
                    <a:xfrm>
                      <a:off x="0" y="0"/>
                      <a:ext cx="5766314" cy="1544504"/>
                    </a:xfrm>
                    <a:prstGeom prst="rect">
                      <a:avLst/>
                    </a:prstGeom>
                    <a:noFill/>
                    <a:ln>
                      <a:noFill/>
                    </a:ln>
                    <a:extLst>
                      <a:ext uri="{53640926-AAD7-44D8-BBD7-CCE9431645EC}">
                        <a14:shadowObscured xmlns:a14="http://schemas.microsoft.com/office/drawing/2010/main"/>
                      </a:ext>
                    </a:extLst>
                  </pic:spPr>
                </pic:pic>
              </a:graphicData>
            </a:graphic>
          </wp:inline>
        </w:drawing>
      </w:r>
    </w:p>
    <w:p w14:paraId="1690AE51" w14:textId="21ED2D61" w:rsidR="00FE0466" w:rsidRDefault="00FE0466" w:rsidP="00E96CAB">
      <w:pPr>
        <w:pStyle w:val="TableDescription"/>
      </w:pPr>
      <w:r>
        <w:t xml:space="preserve">Note: MVC-COV1901 refers to MVC COVID-19 vaccine; AZD-1222 refers to </w:t>
      </w:r>
      <w:proofErr w:type="spellStart"/>
      <w:r>
        <w:t>Vaxzevria</w:t>
      </w:r>
      <w:proofErr w:type="spellEnd"/>
      <w:r>
        <w:t xml:space="preserve"> vaccine.</w:t>
      </w:r>
    </w:p>
    <w:p w14:paraId="30A77BD7" w14:textId="432C539E" w:rsidR="00E96CAB" w:rsidRDefault="00E96CAB" w:rsidP="00E96CAB">
      <w:pPr>
        <w:pStyle w:val="TableDescription"/>
      </w:pPr>
      <w:r>
        <w:t>Abbreviations: N = number of participants in the full analysis set; n = number of participants with available data; Q1 = first quartile (</w:t>
      </w:r>
      <w:r w:rsidRPr="00FE0466">
        <w:t>25</w:t>
      </w:r>
      <w:r w:rsidRPr="00A54AF1">
        <w:t>th</w:t>
      </w:r>
      <w:r w:rsidRPr="00FE0466">
        <w:t xml:space="preserve"> percentile); Q3 = third quartile (75</w:t>
      </w:r>
      <w:r w:rsidRPr="00A54AF1">
        <w:t>th</w:t>
      </w:r>
      <w:r w:rsidRPr="00FE0466">
        <w:t xml:space="preserve"> percentile);</w:t>
      </w:r>
      <w:r>
        <w:t xml:space="preserve"> IQR = interquartile range; GMTR = geometric mean titre treatment ratio; GMT = geometric mean titre; CI = confidence interval; FAS = full analysis set</w:t>
      </w:r>
      <w:r w:rsidR="00FE0466">
        <w:t>.</w:t>
      </w:r>
    </w:p>
    <w:p w14:paraId="07AFDA4C" w14:textId="7F38195A" w:rsidR="00E96CAB" w:rsidRDefault="00E96CAB" w:rsidP="00E96CAB">
      <w:r>
        <w:t xml:space="preserve">The study found that </w:t>
      </w:r>
      <w:r w:rsidR="00FE0466">
        <w:t xml:space="preserve">MVC COVID-19 vaccine </w:t>
      </w:r>
      <w:r>
        <w:t xml:space="preserve">was superior to Vaxzervria </w:t>
      </w:r>
      <w:r w:rsidR="00FE0466">
        <w:t xml:space="preserve">vaccine </w:t>
      </w:r>
      <w:r>
        <w:t>based on the ratio of GMT for neutralising antibodies, 1.9 (95%</w:t>
      </w:r>
      <w:r w:rsidR="002B7E21">
        <w:t xml:space="preserve"> confidence interval:</w:t>
      </w:r>
      <w:r>
        <w:t xml:space="preserve"> 1.4</w:t>
      </w:r>
      <w:r w:rsidR="002B7E21">
        <w:t xml:space="preserve"> to </w:t>
      </w:r>
      <w:r>
        <w:t>2.7) at 14 days post vaccination</w:t>
      </w:r>
      <w:r w:rsidR="00562B32">
        <w:t xml:space="preserve"> (</w:t>
      </w:r>
      <w:r w:rsidR="00562B32">
        <w:fldChar w:fldCharType="begin"/>
      </w:r>
      <w:r w:rsidR="00562B32">
        <w:instrText xml:space="preserve"> REF _Ref137636825 \h </w:instrText>
      </w:r>
      <w:r w:rsidR="00562B32">
        <w:fldChar w:fldCharType="separate"/>
      </w:r>
      <w:r w:rsidR="00A15251" w:rsidRPr="00E96CAB">
        <w:t xml:space="preserve">Table </w:t>
      </w:r>
      <w:r w:rsidR="00A15251">
        <w:rPr>
          <w:noProof/>
        </w:rPr>
        <w:t>5</w:t>
      </w:r>
      <w:r w:rsidR="00562B32">
        <w:fldChar w:fldCharType="end"/>
      </w:r>
      <w:r w:rsidR="00562B32">
        <w:t>)</w:t>
      </w:r>
      <w:r>
        <w:t>.</w:t>
      </w:r>
    </w:p>
    <w:p w14:paraId="7773EF54" w14:textId="5B59F157" w:rsidR="00E96CAB" w:rsidRDefault="00E96CAB" w:rsidP="00E96CAB">
      <w:pPr>
        <w:pStyle w:val="TableTitle"/>
      </w:pPr>
      <w:bookmarkStart w:id="46" w:name="_Ref137636810"/>
      <w:r w:rsidRPr="00E96CAB">
        <w:t xml:space="preserve">Table </w:t>
      </w:r>
      <w:r w:rsidR="000519D8">
        <w:fldChar w:fldCharType="begin"/>
      </w:r>
      <w:r w:rsidR="000519D8">
        <w:instrText xml:space="preserve"> SEQ Table \* ARABIC </w:instrText>
      </w:r>
      <w:r w:rsidR="000519D8">
        <w:fldChar w:fldCharType="separate"/>
      </w:r>
      <w:r w:rsidR="00A15251">
        <w:rPr>
          <w:noProof/>
        </w:rPr>
        <w:t>6</w:t>
      </w:r>
      <w:r w:rsidR="000519D8">
        <w:rPr>
          <w:noProof/>
        </w:rPr>
        <w:fldChar w:fldCharType="end"/>
      </w:r>
      <w:bookmarkEnd w:id="46"/>
      <w:r>
        <w:t xml:space="preserve">: </w:t>
      </w:r>
      <w:r w:rsidR="00FE0466">
        <w:t xml:space="preserve">Study CT-COV-32 </w:t>
      </w:r>
      <w:r>
        <w:t>Antigen specific immunoglobulin titres at Day 1, 29 and 43 in the per protocol population</w:t>
      </w:r>
    </w:p>
    <w:p w14:paraId="09851573" w14:textId="700F6A3A" w:rsidR="00E96CAB" w:rsidRDefault="00E96CAB" w:rsidP="00E96CAB">
      <w:r w:rsidRPr="00E96CAB">
        <w:rPr>
          <w:noProof/>
          <w:lang w:val="en-US" w:eastAsia="zh-TW"/>
        </w:rPr>
        <w:drawing>
          <wp:inline distT="0" distB="0" distL="0" distR="0" wp14:anchorId="2FCF394B" wp14:editId="6727CD07">
            <wp:extent cx="5710687" cy="3149066"/>
            <wp:effectExtent l="0" t="0" r="4445" b="0"/>
            <wp:docPr id="8" name="Picture 8" descr="Antigen specific immunoglobulin titres at Day 1, 29 and 43 in the per protocol population (note reduced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ntigen specific immunoglobulin titres at Day 1, 29 and 43 in the per protocol population (note reduced numbers)"/>
                    <pic:cNvPicPr>
                      <a:picLocks noChangeAspect="1" noChangeArrowheads="1"/>
                    </pic:cNvPicPr>
                  </pic:nvPicPr>
                  <pic:blipFill rotWithShape="1">
                    <a:blip r:embed="rId22">
                      <a:extLst>
                        <a:ext uri="{28A0092B-C50C-407E-A947-70E740481C1C}">
                          <a14:useLocalDpi xmlns:a14="http://schemas.microsoft.com/office/drawing/2010/main" val="0"/>
                        </a:ext>
                      </a:extLst>
                    </a:blip>
                    <a:srcRect l="598" t="9417" r="4269" b="9553"/>
                    <a:stretch/>
                  </pic:blipFill>
                  <pic:spPr bwMode="auto">
                    <a:xfrm>
                      <a:off x="0" y="0"/>
                      <a:ext cx="5725781" cy="3157389"/>
                    </a:xfrm>
                    <a:prstGeom prst="rect">
                      <a:avLst/>
                    </a:prstGeom>
                    <a:noFill/>
                    <a:ln>
                      <a:noFill/>
                    </a:ln>
                    <a:extLst>
                      <a:ext uri="{53640926-AAD7-44D8-BBD7-CCE9431645EC}">
                        <a14:shadowObscured xmlns:a14="http://schemas.microsoft.com/office/drawing/2010/main"/>
                      </a:ext>
                    </a:extLst>
                  </pic:spPr>
                </pic:pic>
              </a:graphicData>
            </a:graphic>
          </wp:inline>
        </w:drawing>
      </w:r>
    </w:p>
    <w:p w14:paraId="0858604D" w14:textId="2D108B1F" w:rsidR="00FE0466" w:rsidRDefault="00FE0466" w:rsidP="00E96CAB">
      <w:pPr>
        <w:pStyle w:val="TableDescription"/>
      </w:pPr>
      <w:r>
        <w:t xml:space="preserve">Note: MVC-COV1901 refers to MVC COVID-19 vaccine; AZD-1222 refers to </w:t>
      </w:r>
      <w:proofErr w:type="spellStart"/>
      <w:r>
        <w:t>Vaxzevria</w:t>
      </w:r>
      <w:proofErr w:type="spellEnd"/>
      <w:r>
        <w:t xml:space="preserve"> vaccine.</w:t>
      </w:r>
    </w:p>
    <w:p w14:paraId="1A6B35BF" w14:textId="06DE2668" w:rsidR="00E96CAB" w:rsidRDefault="00E96CAB" w:rsidP="00E96CAB">
      <w:pPr>
        <w:pStyle w:val="TableDescription"/>
      </w:pPr>
      <w:r>
        <w:t xml:space="preserve">Abbreviations: </w:t>
      </w:r>
      <w:r w:rsidR="00F66008">
        <w:t xml:space="preserve">AZD1222 = Vaxzervria, </w:t>
      </w:r>
      <w:r>
        <w:t xml:space="preserve">N = number of participants in the </w:t>
      </w:r>
      <w:r w:rsidR="00F66008">
        <w:t xml:space="preserve">per protocol set at Visit 2; n = number of participants in the PPS which is determined by each </w:t>
      </w:r>
      <w:proofErr w:type="gramStart"/>
      <w:r w:rsidR="00F66008">
        <w:t>visit ;</w:t>
      </w:r>
      <w:proofErr w:type="gramEnd"/>
      <w:r w:rsidR="00F66008">
        <w:t xml:space="preserve"> 1 = first </w:t>
      </w:r>
      <w:r w:rsidR="00F66008" w:rsidRPr="00FE0466">
        <w:t>quartile (25</w:t>
      </w:r>
      <w:r w:rsidR="00F66008" w:rsidRPr="00A54AF1">
        <w:t>th</w:t>
      </w:r>
      <w:r w:rsidR="00F66008" w:rsidRPr="00FE0466">
        <w:t xml:space="preserve"> percentile); Q3 = third quartile (75</w:t>
      </w:r>
      <w:r w:rsidR="00F66008" w:rsidRPr="00A54AF1">
        <w:t>th</w:t>
      </w:r>
      <w:r w:rsidR="00F66008">
        <w:t xml:space="preserve"> percentile); IQR = interquartile range; GMT = geometric mean titre; GMTR = geometric mean titre treatment ratio; CI = confidence interval PPS = per protocol set.</w:t>
      </w:r>
    </w:p>
    <w:p w14:paraId="791F4775" w14:textId="2DAF3741" w:rsidR="00F66008" w:rsidRDefault="00C50FD0" w:rsidP="00C50FD0">
      <w:r w:rsidRPr="00A8261D">
        <w:t xml:space="preserve">The seroconversion rate was 90% for </w:t>
      </w:r>
      <w:r w:rsidR="00FE0466" w:rsidRPr="00A8261D">
        <w:t xml:space="preserve">the MVC COVID-19 vaccine </w:t>
      </w:r>
      <w:r w:rsidRPr="00A8261D">
        <w:t xml:space="preserve">and 82.3% for </w:t>
      </w:r>
      <w:r w:rsidR="00FE0466" w:rsidRPr="00A8261D">
        <w:t xml:space="preserve">the </w:t>
      </w:r>
      <w:r w:rsidR="00587C1F" w:rsidRPr="00A8261D">
        <w:t>Vaxzervria</w:t>
      </w:r>
      <w:r w:rsidRPr="00A8261D">
        <w:t xml:space="preserve"> </w:t>
      </w:r>
      <w:r w:rsidR="00FE0466" w:rsidRPr="00A8261D">
        <w:t xml:space="preserve">vaccine </w:t>
      </w:r>
      <w:r w:rsidRPr="00A8261D">
        <w:t>at 14 days post vaccination, which met non-inferiority criteria</w:t>
      </w:r>
      <w:r w:rsidR="00FE0466" w:rsidRPr="00A8261D">
        <w:t>; note the reduced numbers, as shown in</w:t>
      </w:r>
      <w:r w:rsidR="00562B32" w:rsidRPr="00A8261D">
        <w:t xml:space="preserve"> </w:t>
      </w:r>
      <w:r w:rsidR="00562B32" w:rsidRPr="00A8261D">
        <w:fldChar w:fldCharType="begin"/>
      </w:r>
      <w:r w:rsidR="00562B32" w:rsidRPr="00A8261D">
        <w:instrText xml:space="preserve"> REF _Ref137636810 \h </w:instrText>
      </w:r>
      <w:r w:rsidR="00CE64B1">
        <w:rPr>
          <w:highlight w:val="yellow"/>
        </w:rPr>
        <w:instrText xml:space="preserve"> \* MERGEFORMAT </w:instrText>
      </w:r>
      <w:r w:rsidR="00562B32" w:rsidRPr="00A8261D">
        <w:fldChar w:fldCharType="separate"/>
      </w:r>
      <w:r w:rsidR="00A15251" w:rsidRPr="00E96CAB">
        <w:t xml:space="preserve">Table </w:t>
      </w:r>
      <w:r w:rsidR="00A15251">
        <w:rPr>
          <w:noProof/>
        </w:rPr>
        <w:t>6</w:t>
      </w:r>
      <w:r w:rsidR="00562B32" w:rsidRPr="00A8261D">
        <w:fldChar w:fldCharType="end"/>
      </w:r>
      <w:r w:rsidR="00FE0466" w:rsidRPr="00A8261D">
        <w:t xml:space="preserve"> (above)</w:t>
      </w:r>
      <w:r w:rsidRPr="00A8261D">
        <w:t>.</w:t>
      </w:r>
    </w:p>
    <w:p w14:paraId="6C2642BC" w14:textId="7D8B588B" w:rsidR="00C50FD0" w:rsidRDefault="00C50FD0" w:rsidP="00C50FD0">
      <w:r>
        <w:t>An exploratory analysis of cell mediated immunity was performed on a subset of subjects (n</w:t>
      </w:r>
      <w:r w:rsidR="002B7E21">
        <w:t> </w:t>
      </w:r>
      <w:r>
        <w:t>=</w:t>
      </w:r>
      <w:r w:rsidR="002B7E21">
        <w:t> </w:t>
      </w:r>
      <w:r>
        <w:t>21) using an ELISpot assay.</w:t>
      </w:r>
    </w:p>
    <w:p w14:paraId="63546ACD" w14:textId="1715D7AB" w:rsidR="00C50FD0" w:rsidRDefault="00C50FD0" w:rsidP="00917AAE">
      <w:pPr>
        <w:ind w:left="720"/>
      </w:pPr>
      <w:r>
        <w:lastRenderedPageBreak/>
        <w:t>‘In the CMI population</w:t>
      </w:r>
      <w:r w:rsidR="00950518">
        <w:t xml:space="preserve"> [exploratory immunogenicity subset to examine cell-mediated immunity]</w:t>
      </w:r>
      <w:r>
        <w:t>, mean baseline IL-4 values were comparable between the treatment groups (0.3 ± 0.48 SFC/10</w:t>
      </w:r>
      <w:r w:rsidRPr="00C50FD0">
        <w:rPr>
          <w:vertAlign w:val="superscript"/>
        </w:rPr>
        <w:t>6</w:t>
      </w:r>
      <w:r>
        <w:t xml:space="preserve"> PBMC </w:t>
      </w:r>
      <w:r w:rsidR="00950518">
        <w:t>[</w:t>
      </w:r>
      <w:r w:rsidR="00950518" w:rsidRPr="00950518">
        <w:t>peripheral blood mononuclear cells</w:t>
      </w:r>
      <w:r w:rsidR="007406B6">
        <w:t xml:space="preserve">] </w:t>
      </w:r>
      <w:r>
        <w:t>in the MVC-COV1901 group versus 0.9</w:t>
      </w:r>
      <w:r w:rsidR="002B7E21">
        <w:t> </w:t>
      </w:r>
      <w:r>
        <w:t>±</w:t>
      </w:r>
      <w:r w:rsidR="002B7E21">
        <w:t> </w:t>
      </w:r>
      <w:r>
        <w:t>2.35 SFC/10</w:t>
      </w:r>
      <w:r w:rsidRPr="00C50FD0">
        <w:rPr>
          <w:vertAlign w:val="superscript"/>
        </w:rPr>
        <w:t>6</w:t>
      </w:r>
      <w:r>
        <w:t xml:space="preserve"> PBMC in the AZD1222</w:t>
      </w:r>
      <w:r w:rsidR="007406B6">
        <w:t xml:space="preserve"> [</w:t>
      </w:r>
      <w:proofErr w:type="spellStart"/>
      <w:r w:rsidR="007406B6">
        <w:t>Vaxzevria</w:t>
      </w:r>
      <w:proofErr w:type="spellEnd"/>
      <w:r w:rsidR="007406B6">
        <w:t xml:space="preserve"> vaccine]</w:t>
      </w:r>
      <w:r>
        <w:t xml:space="preserve"> group, p</w:t>
      </w:r>
      <w:r w:rsidR="007406B6">
        <w:t> </w:t>
      </w:r>
      <w:r>
        <w:t>=</w:t>
      </w:r>
      <w:r w:rsidR="007406B6">
        <w:t> </w:t>
      </w:r>
      <w:r>
        <w:t>0.55). At Visit 4/Day 43, mean values increased to 2.1 ± 3.94 SFC/10</w:t>
      </w:r>
      <w:r w:rsidRPr="00C50FD0">
        <w:rPr>
          <w:vertAlign w:val="superscript"/>
        </w:rPr>
        <w:t>6</w:t>
      </w:r>
      <w:r>
        <w:t xml:space="preserve"> PBMC in the MVC-COV1901 group, and remained constant in the </w:t>
      </w:r>
      <w:r w:rsidR="00F00ECB">
        <w:t>AZD1222 group (0.9 ± 1.82 SFC/10</w:t>
      </w:r>
      <w:r w:rsidR="00F00ECB" w:rsidRPr="00F00ECB">
        <w:rPr>
          <w:vertAlign w:val="superscript"/>
        </w:rPr>
        <w:t>6</w:t>
      </w:r>
      <w:r w:rsidR="00F00ECB">
        <w:t xml:space="preserve"> PBMC), without difference between the 2 treatment arms (P = 0.7). No difference was observed between the groups in IL-4 mean change from Baseline to Visit 4 (1.8 ± 3.83 SFC/10</w:t>
      </w:r>
      <w:r w:rsidR="00F00ECB" w:rsidRPr="00F00ECB">
        <w:rPr>
          <w:vertAlign w:val="superscript"/>
        </w:rPr>
        <w:t>6</w:t>
      </w:r>
      <w:r w:rsidR="00F00ECB">
        <w:t xml:space="preserve"> PBMC versus 0.0 ± 1.6 SFC/10</w:t>
      </w:r>
      <w:r w:rsidR="00F00ECB" w:rsidRPr="00F00ECB">
        <w:rPr>
          <w:vertAlign w:val="superscript"/>
        </w:rPr>
        <w:t>6</w:t>
      </w:r>
      <w:r w:rsidR="00F00ECB">
        <w:t xml:space="preserve"> PBMC, p = 0.55, respectively)</w:t>
      </w:r>
    </w:p>
    <w:p w14:paraId="68D00A78" w14:textId="3BFF8A65" w:rsidR="00F00ECB" w:rsidRDefault="00F00ECB" w:rsidP="00917AAE">
      <w:pPr>
        <w:ind w:left="720"/>
      </w:pPr>
      <w:r>
        <w:t xml:space="preserve">Interferon (IFN) gamma responses between Visit 2 and Visit 4 for the CMI and PP-CMI </w:t>
      </w:r>
      <w:r w:rsidR="007406B6">
        <w:t xml:space="preserve">population [exploratory immunogenicity and per protocol subset to examine cell mediated immunity] </w:t>
      </w:r>
      <w:r>
        <w:t>are provided in sponsor submitted dossier.</w:t>
      </w:r>
    </w:p>
    <w:p w14:paraId="48C2B6CC" w14:textId="556D2546" w:rsidR="00F00ECB" w:rsidRDefault="00F00ECB" w:rsidP="00917AAE">
      <w:pPr>
        <w:ind w:left="720"/>
      </w:pPr>
      <w:r>
        <w:t>In the CMI population, mean baseline IF</w:t>
      </w:r>
      <w:r w:rsidR="007406B6">
        <w:t>N</w:t>
      </w:r>
      <w:r>
        <w:t>-gamma values were comparable between the treatment groups (1.9 ± 3.05 SFC/10</w:t>
      </w:r>
      <w:r w:rsidRPr="00F00ECB">
        <w:rPr>
          <w:vertAlign w:val="superscript"/>
        </w:rPr>
        <w:t>6</w:t>
      </w:r>
      <w:r>
        <w:t xml:space="preserve"> PBMC in the MVC-COV1901 group versus 2.7 ± 2.26 SFC/10</w:t>
      </w:r>
      <w:r w:rsidRPr="00F00ECB">
        <w:rPr>
          <w:vertAlign w:val="superscript"/>
        </w:rPr>
        <w:t>6</w:t>
      </w:r>
      <w:r>
        <w:t xml:space="preserve"> PBMC in the ADZ1222 group, p = 0.36). At Visit 4/Day 43, mean values increased to 6.0 ± 6.52 SFC/10</w:t>
      </w:r>
      <w:r w:rsidRPr="00F00ECB">
        <w:rPr>
          <w:vertAlign w:val="superscript"/>
        </w:rPr>
        <w:t>6</w:t>
      </w:r>
      <w:r>
        <w:t xml:space="preserve"> PBMC in the MVC-COV1901 group, and 5.8 ± 4.85 SFC/10</w:t>
      </w:r>
      <w:r w:rsidRPr="00F00ECB">
        <w:rPr>
          <w:vertAlign w:val="superscript"/>
        </w:rPr>
        <w:t>6</w:t>
      </w:r>
      <w:r>
        <w:t xml:space="preserve"> PBMC, without difference between the 2 treatment arms (P = 0.5). No difference was observed between the groups in IFN-gamma mean change from Baseline to Visit 4 (4.1 ± 5.68 SFC/10</w:t>
      </w:r>
      <w:r w:rsidRPr="00F00ECB">
        <w:rPr>
          <w:vertAlign w:val="superscript"/>
        </w:rPr>
        <w:t>6</w:t>
      </w:r>
      <w:r>
        <w:t xml:space="preserve"> PBMC versus 3.1 ± 4.24 SFC/10</w:t>
      </w:r>
      <w:r w:rsidRPr="00F00ECB">
        <w:rPr>
          <w:vertAlign w:val="superscript"/>
        </w:rPr>
        <w:t>6</w:t>
      </w:r>
      <w:r>
        <w:t xml:space="preserve"> PBMC, p = 0.53, respectively).</w:t>
      </w:r>
      <w:r w:rsidR="00917AAE">
        <w:t>’</w:t>
      </w:r>
    </w:p>
    <w:p w14:paraId="0770AA2F" w14:textId="0AE3B5B2" w:rsidR="00C50FD0" w:rsidRDefault="00917AAE" w:rsidP="00C50FD0">
      <w:r>
        <w:t>Source: transcribed from clinical study report, CT-COV-32</w:t>
      </w:r>
      <w:r w:rsidR="002B7E21">
        <w:t>.</w:t>
      </w:r>
    </w:p>
    <w:p w14:paraId="15DC7100" w14:textId="77777777" w:rsidR="00917AAE" w:rsidRDefault="00917AAE" w:rsidP="00917AAE">
      <w:pPr>
        <w:pStyle w:val="Heading6"/>
      </w:pPr>
      <w:r>
        <w:t>Study CT-COV-34</w:t>
      </w:r>
    </w:p>
    <w:p w14:paraId="44E7B8C2" w14:textId="573BCD70" w:rsidR="00917AAE" w:rsidRDefault="007C0B18" w:rsidP="00917AAE">
      <w:r w:rsidRPr="007C0B18">
        <w:t>Study CT-COV-34</w:t>
      </w:r>
      <w:r>
        <w:t xml:space="preserve"> </w:t>
      </w:r>
      <w:r w:rsidR="00917AAE">
        <w:t xml:space="preserve">was a Phase III comparison of </w:t>
      </w:r>
      <w:r w:rsidR="007406B6">
        <w:t xml:space="preserve">MVC COVID-19 vaccine </w:t>
      </w:r>
      <w:r w:rsidR="00917AAE">
        <w:t xml:space="preserve">to Vaxzervria </w:t>
      </w:r>
      <w:r w:rsidR="007406B6">
        <w:t xml:space="preserve">vaccine </w:t>
      </w:r>
      <w:r w:rsidR="00917AAE">
        <w:t>conducted in adults.</w:t>
      </w:r>
    </w:p>
    <w:p w14:paraId="08A7C751" w14:textId="77777777" w:rsidR="00917AAE" w:rsidRDefault="00917AAE" w:rsidP="00917AAE">
      <w:r>
        <w:t>The primary endpoints were:</w:t>
      </w:r>
    </w:p>
    <w:p w14:paraId="279623ED" w14:textId="1E297B3C" w:rsidR="00917AAE" w:rsidRDefault="00917AAE" w:rsidP="00A54AF1">
      <w:pPr>
        <w:pStyle w:val="ListBullet"/>
      </w:pPr>
      <w:r>
        <w:t xml:space="preserve">The GMT of neutralising antibodies measured at 14 days after the second dose of vaccine. The objective was to demonstrate superiority of </w:t>
      </w:r>
      <w:r w:rsidR="007406B6">
        <w:t xml:space="preserve">MVC COVID-19 vaccine </w:t>
      </w:r>
      <w:r>
        <w:t>to Vaxzervria.</w:t>
      </w:r>
    </w:p>
    <w:p w14:paraId="1A4207F2" w14:textId="7758B852" w:rsidR="00917AAE" w:rsidRDefault="00917AAE" w:rsidP="00A54AF1">
      <w:pPr>
        <w:pStyle w:val="ListBullet"/>
      </w:pPr>
      <w:r>
        <w:t>Seroconversion (4</w:t>
      </w:r>
      <w:r w:rsidR="002F1FFD">
        <w:t>-</w:t>
      </w:r>
      <w:r>
        <w:t xml:space="preserve">fold increase in neutralising antibody titre). The objective was to demonstrate </w:t>
      </w:r>
      <w:r w:rsidR="00B26D5D">
        <w:t xml:space="preserve">non-inferiority </w:t>
      </w:r>
      <w:r>
        <w:t xml:space="preserve">of </w:t>
      </w:r>
      <w:r w:rsidR="007406B6">
        <w:t xml:space="preserve">MVC COVID-19 vaccine </w:t>
      </w:r>
      <w:r>
        <w:t>to Vaxzervria.</w:t>
      </w:r>
    </w:p>
    <w:p w14:paraId="3DEE318B" w14:textId="2343EB47" w:rsidR="007406B6" w:rsidRPr="00A54AF1" w:rsidRDefault="007406B6" w:rsidP="00A54AF1">
      <w:r>
        <w:br w:type="page"/>
      </w:r>
    </w:p>
    <w:p w14:paraId="2B2A91F2" w14:textId="521E5DEE" w:rsidR="00917AAE" w:rsidRDefault="00917AAE" w:rsidP="00917AAE">
      <w:pPr>
        <w:pStyle w:val="FigureTitle"/>
      </w:pPr>
      <w:bookmarkStart w:id="47" w:name="_Ref137636787"/>
      <w:r w:rsidRPr="00917AAE">
        <w:lastRenderedPageBreak/>
        <w:t xml:space="preserve">Figure </w:t>
      </w:r>
      <w:r w:rsidR="000519D8">
        <w:fldChar w:fldCharType="begin"/>
      </w:r>
      <w:r w:rsidR="000519D8">
        <w:instrText xml:space="preserve"> SEQ Figure \* ARABIC </w:instrText>
      </w:r>
      <w:r w:rsidR="000519D8">
        <w:fldChar w:fldCharType="separate"/>
      </w:r>
      <w:r w:rsidR="00A15251">
        <w:rPr>
          <w:noProof/>
        </w:rPr>
        <w:t>3</w:t>
      </w:r>
      <w:r w:rsidR="000519D8">
        <w:rPr>
          <w:noProof/>
        </w:rPr>
        <w:fldChar w:fldCharType="end"/>
      </w:r>
      <w:bookmarkEnd w:id="47"/>
      <w:r>
        <w:t>: Study CT-COV-34 Patient disposition</w:t>
      </w:r>
    </w:p>
    <w:p w14:paraId="6ACE9393" w14:textId="5EAB7475" w:rsidR="00917AAE" w:rsidRDefault="00917AAE" w:rsidP="00917AAE">
      <w:r w:rsidRPr="00917AAE">
        <w:rPr>
          <w:noProof/>
          <w:lang w:val="en-US" w:eastAsia="zh-TW"/>
        </w:rPr>
        <w:drawing>
          <wp:inline distT="0" distB="0" distL="0" distR="0" wp14:anchorId="18D0923F" wp14:editId="242A523A">
            <wp:extent cx="5486786" cy="3398807"/>
            <wp:effectExtent l="0" t="0" r="0" b="0"/>
            <wp:docPr id="10" name="Picture 10" descr="Study CT-COV-34 Patient disposition&#10;461 participants were screened and 200 were randomised into two arm, MVC and AZD1222. Of the 97 participants randomised into MVC arm, 71 completed two doses and 26 discontinued. Of the 100 participants randomised into the AZD1222 arm, 68 completed two doses and 32 discontinu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tudy CT-COV-34 Patient disposition&#10;461 participants were screened and 200 were randomised into two arm, MVC and AZD1222. Of the 97 participants randomised into MVC arm, 71 completed two doses and 26 discontinued. Of the 100 participants randomised into the AZD1222 arm, 68 completed two doses and 32 discontinued.&#10;"/>
                    <pic:cNvPicPr>
                      <a:picLocks noChangeAspect="1" noChangeArrowheads="1"/>
                    </pic:cNvPicPr>
                  </pic:nvPicPr>
                  <pic:blipFill rotWithShape="1">
                    <a:blip r:embed="rId23">
                      <a:extLst>
                        <a:ext uri="{28A0092B-C50C-407E-A947-70E740481C1C}">
                          <a14:useLocalDpi xmlns:a14="http://schemas.microsoft.com/office/drawing/2010/main" val="0"/>
                        </a:ext>
                      </a:extLst>
                    </a:blip>
                    <a:srcRect l="9400" t="12502" r="3848" b="3533"/>
                    <a:stretch/>
                  </pic:blipFill>
                  <pic:spPr bwMode="auto">
                    <a:xfrm>
                      <a:off x="0" y="0"/>
                      <a:ext cx="5496008" cy="3404519"/>
                    </a:xfrm>
                    <a:prstGeom prst="rect">
                      <a:avLst/>
                    </a:prstGeom>
                    <a:noFill/>
                    <a:ln>
                      <a:noFill/>
                    </a:ln>
                    <a:extLst>
                      <a:ext uri="{53640926-AAD7-44D8-BBD7-CCE9431645EC}">
                        <a14:shadowObscured xmlns:a14="http://schemas.microsoft.com/office/drawing/2010/main"/>
                      </a:ext>
                    </a:extLst>
                  </pic:spPr>
                </pic:pic>
              </a:graphicData>
            </a:graphic>
          </wp:inline>
        </w:drawing>
      </w:r>
    </w:p>
    <w:p w14:paraId="729F9D6B" w14:textId="09A24E1E" w:rsidR="00917AAE" w:rsidRDefault="00917AAE" w:rsidP="00917AAE">
      <w:r>
        <w:t xml:space="preserve">The mean age of participants was 32.3 years. A large percentage of subjects had neutralising antibodies at Baseline (79.7%), but most (99.5%) had negative anti-N antibodies on </w:t>
      </w:r>
      <w:r w:rsidR="002F1FFD">
        <w:t xml:space="preserve">rapid antigen testing </w:t>
      </w:r>
      <w:r>
        <w:t>at Baseline. The Delegate notes that previous vaccination was an exclusion criterion for this trial</w:t>
      </w:r>
      <w:r w:rsidR="00562B32">
        <w:t xml:space="preserve"> (</w:t>
      </w:r>
      <w:r w:rsidR="00562B32">
        <w:fldChar w:fldCharType="begin"/>
      </w:r>
      <w:r w:rsidR="00562B32">
        <w:instrText xml:space="preserve"> REF _Ref137636787 \h </w:instrText>
      </w:r>
      <w:r w:rsidR="00562B32">
        <w:fldChar w:fldCharType="separate"/>
      </w:r>
      <w:r w:rsidR="00A15251" w:rsidRPr="00917AAE">
        <w:t xml:space="preserve">Figure </w:t>
      </w:r>
      <w:r w:rsidR="00A15251">
        <w:rPr>
          <w:noProof/>
        </w:rPr>
        <w:t>3</w:t>
      </w:r>
      <w:r w:rsidR="00562B32">
        <w:fldChar w:fldCharType="end"/>
      </w:r>
      <w:r w:rsidR="00562B32">
        <w:t>)</w:t>
      </w:r>
      <w:r>
        <w:t>.</w:t>
      </w:r>
    </w:p>
    <w:p w14:paraId="514BE1EF" w14:textId="361E0C68" w:rsidR="00821348" w:rsidRDefault="00821348" w:rsidP="00821348">
      <w:pPr>
        <w:pStyle w:val="TableTitle"/>
      </w:pPr>
      <w:bookmarkStart w:id="48" w:name="_Ref137636762"/>
      <w:r w:rsidRPr="00821348">
        <w:t xml:space="preserve">Table </w:t>
      </w:r>
      <w:r w:rsidR="000519D8">
        <w:fldChar w:fldCharType="begin"/>
      </w:r>
      <w:r w:rsidR="000519D8">
        <w:instrText xml:space="preserve"> SEQ Table \* ARABIC </w:instrText>
      </w:r>
      <w:r w:rsidR="000519D8">
        <w:fldChar w:fldCharType="separate"/>
      </w:r>
      <w:r w:rsidR="00A15251">
        <w:rPr>
          <w:noProof/>
        </w:rPr>
        <w:t>7</w:t>
      </w:r>
      <w:r w:rsidR="000519D8">
        <w:rPr>
          <w:noProof/>
        </w:rPr>
        <w:fldChar w:fldCharType="end"/>
      </w:r>
      <w:bookmarkEnd w:id="48"/>
      <w:r>
        <w:t xml:space="preserve">: </w:t>
      </w:r>
      <w:r w:rsidR="002F1FFD">
        <w:t xml:space="preserve">Study CT-COV-34 </w:t>
      </w:r>
      <w:r>
        <w:t>G</w:t>
      </w:r>
      <w:r w:rsidRPr="00821348">
        <w:t xml:space="preserve">eometric mean titre of wild-type neutralising antibodies at </w:t>
      </w:r>
      <w:r>
        <w:t>D</w:t>
      </w:r>
      <w:r w:rsidRPr="00821348">
        <w:t>ay 43</w:t>
      </w:r>
    </w:p>
    <w:p w14:paraId="1A863F48" w14:textId="1A93A16C" w:rsidR="00821348" w:rsidRDefault="00821348" w:rsidP="00821348">
      <w:r w:rsidRPr="00821348">
        <w:rPr>
          <w:noProof/>
          <w:lang w:val="en-US" w:eastAsia="zh-TW"/>
        </w:rPr>
        <w:drawing>
          <wp:inline distT="0" distB="0" distL="0" distR="0" wp14:anchorId="376D6910" wp14:editId="380D5222">
            <wp:extent cx="5172075" cy="1353032"/>
            <wp:effectExtent l="0" t="0" r="0" b="0"/>
            <wp:docPr id="14" name="Picture 14" descr="Geometric mean titre of wild-type neutralising antibodies at Day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eometric mean titre of wild-type neutralising antibodies at Day 43"/>
                    <pic:cNvPicPr>
                      <a:picLocks noChangeAspect="1" noChangeArrowheads="1"/>
                    </pic:cNvPicPr>
                  </pic:nvPicPr>
                  <pic:blipFill rotWithShape="1">
                    <a:blip r:embed="rId24">
                      <a:extLst>
                        <a:ext uri="{28A0092B-C50C-407E-A947-70E740481C1C}">
                          <a14:useLocalDpi xmlns:a14="http://schemas.microsoft.com/office/drawing/2010/main" val="0"/>
                        </a:ext>
                      </a:extLst>
                    </a:blip>
                    <a:srcRect t="25105"/>
                    <a:stretch/>
                  </pic:blipFill>
                  <pic:spPr bwMode="auto">
                    <a:xfrm>
                      <a:off x="0" y="0"/>
                      <a:ext cx="5172075" cy="1353032"/>
                    </a:xfrm>
                    <a:prstGeom prst="rect">
                      <a:avLst/>
                    </a:prstGeom>
                    <a:noFill/>
                    <a:ln>
                      <a:noFill/>
                    </a:ln>
                    <a:extLst>
                      <a:ext uri="{53640926-AAD7-44D8-BBD7-CCE9431645EC}">
                        <a14:shadowObscured xmlns:a14="http://schemas.microsoft.com/office/drawing/2010/main"/>
                      </a:ext>
                    </a:extLst>
                  </pic:spPr>
                </pic:pic>
              </a:graphicData>
            </a:graphic>
          </wp:inline>
        </w:drawing>
      </w:r>
      <w:r w:rsidRPr="00821348">
        <w:t xml:space="preserve"> </w:t>
      </w:r>
      <w:r w:rsidRPr="00821348">
        <w:rPr>
          <w:noProof/>
          <w:lang w:val="en-US" w:eastAsia="zh-TW"/>
        </w:rPr>
        <w:drawing>
          <wp:inline distT="0" distB="0" distL="0" distR="0" wp14:anchorId="171D7F80" wp14:editId="44EC6A36">
            <wp:extent cx="5098415" cy="431596"/>
            <wp:effectExtent l="0" t="0" r="0" b="6985"/>
            <wp:docPr id="15" name="Picture 15" descr="Table 7: Study CT-COV-34 Geometric mean titre of wild-type neutralising antibodies at Day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 7: Study CT-COV-34 Geometric mean titre of wild-type neutralising antibodies at Day 43"/>
                    <pic:cNvPicPr>
                      <a:picLocks noChangeAspect="1" noChangeArrowheads="1"/>
                    </pic:cNvPicPr>
                  </pic:nvPicPr>
                  <pic:blipFill rotWithShape="1">
                    <a:blip r:embed="rId25">
                      <a:extLst>
                        <a:ext uri="{28A0092B-C50C-407E-A947-70E740481C1C}">
                          <a14:useLocalDpi xmlns:a14="http://schemas.microsoft.com/office/drawing/2010/main" val="0"/>
                        </a:ext>
                      </a:extLst>
                    </a:blip>
                    <a:srcRect b="62655"/>
                    <a:stretch/>
                  </pic:blipFill>
                  <pic:spPr bwMode="auto">
                    <a:xfrm>
                      <a:off x="0" y="0"/>
                      <a:ext cx="5098415" cy="431596"/>
                    </a:xfrm>
                    <a:prstGeom prst="rect">
                      <a:avLst/>
                    </a:prstGeom>
                    <a:noFill/>
                    <a:ln>
                      <a:noFill/>
                    </a:ln>
                    <a:extLst>
                      <a:ext uri="{53640926-AAD7-44D8-BBD7-CCE9431645EC}">
                        <a14:shadowObscured xmlns:a14="http://schemas.microsoft.com/office/drawing/2010/main"/>
                      </a:ext>
                    </a:extLst>
                  </pic:spPr>
                </pic:pic>
              </a:graphicData>
            </a:graphic>
          </wp:inline>
        </w:drawing>
      </w:r>
    </w:p>
    <w:p w14:paraId="1E77DDA8" w14:textId="43F2AD82" w:rsidR="002F1FFD" w:rsidRDefault="002F1FFD" w:rsidP="00821348">
      <w:pPr>
        <w:pStyle w:val="TableDescription"/>
      </w:pPr>
      <w:r>
        <w:t xml:space="preserve">Note: MVC-COV1901 refers to MVC COVID-19 vaccine; AZD-1222 refers to </w:t>
      </w:r>
      <w:proofErr w:type="spellStart"/>
      <w:r>
        <w:t>Vaxzevria</w:t>
      </w:r>
      <w:proofErr w:type="spellEnd"/>
      <w:r>
        <w:t xml:space="preserve"> vaccine.</w:t>
      </w:r>
    </w:p>
    <w:p w14:paraId="2CA46CAD" w14:textId="4B768FCF" w:rsidR="00821348" w:rsidRDefault="00821348" w:rsidP="00821348">
      <w:pPr>
        <w:pStyle w:val="TableDescription"/>
      </w:pPr>
      <w:r>
        <w:t>Abbreviations: N = number of subjects in the population; n = number of subjects with available data; GMT = geometric mean titre; CI = confidence interval</w:t>
      </w:r>
    </w:p>
    <w:p w14:paraId="28E6332D" w14:textId="7A51DEED" w:rsidR="00821348" w:rsidRDefault="00821348" w:rsidP="00821348">
      <w:pPr>
        <w:pStyle w:val="TableDescription"/>
      </w:pPr>
      <w:r>
        <w:t>Note: Blood sample for immunogenicity test are collected before administration of study intervention.</w:t>
      </w:r>
    </w:p>
    <w:p w14:paraId="31E21C37" w14:textId="623159C3" w:rsidR="00821348" w:rsidRDefault="00821348" w:rsidP="00821348">
      <w:pPr>
        <w:pStyle w:val="TableDescription"/>
      </w:pPr>
      <w:r>
        <w:t>1 P value based on general linear model including the Ln (titres) as the dependent variable, the vaccine group as the independent variable and the age group as a covariate.</w:t>
      </w:r>
    </w:p>
    <w:p w14:paraId="1A4D8727" w14:textId="6467C1CB" w:rsidR="00821348" w:rsidRDefault="00821348" w:rsidP="00821348">
      <w:pPr>
        <w:pStyle w:val="TableDescription"/>
      </w:pPr>
      <w:r>
        <w:t>2 GMT ratio compared to Day 1 (pre-vaccination).</w:t>
      </w:r>
    </w:p>
    <w:p w14:paraId="20085A91" w14:textId="2E3FF160" w:rsidR="00821348" w:rsidRPr="00821348" w:rsidRDefault="00821348" w:rsidP="00821348">
      <w:r w:rsidRPr="00821348">
        <w:t xml:space="preserve">The study found no significant increase in GMT for neutralising antibodies in </w:t>
      </w:r>
      <w:r w:rsidR="002F1FFD">
        <w:t xml:space="preserve">MVC COVID-19 vaccine </w:t>
      </w:r>
      <w:r w:rsidRPr="00821348">
        <w:t xml:space="preserve">recipients compared to </w:t>
      </w:r>
      <w:r w:rsidR="00A21B8B">
        <w:t>Vaxzervria</w:t>
      </w:r>
      <w:r w:rsidR="002F1FFD">
        <w:t xml:space="preserve"> vaccine</w:t>
      </w:r>
      <w:r w:rsidRPr="00821348">
        <w:t xml:space="preserve"> recipients at 14 days after the second dose of vaccine. The </w:t>
      </w:r>
      <w:r w:rsidR="00A21B8B">
        <w:t>evaluator</w:t>
      </w:r>
      <w:r w:rsidRPr="00821348">
        <w:t xml:space="preserve"> has noted that the numbers in this study were smaller than in other studies.</w:t>
      </w:r>
    </w:p>
    <w:p w14:paraId="7B8740AB" w14:textId="260246D5" w:rsidR="00821348" w:rsidRPr="00821348" w:rsidRDefault="00821348" w:rsidP="00821348">
      <w:r w:rsidRPr="00EA7936">
        <w:lastRenderedPageBreak/>
        <w:t xml:space="preserve">The seroconversion rate was 49.3% for </w:t>
      </w:r>
      <w:r w:rsidR="002F1FFD" w:rsidRPr="00EA7936">
        <w:t xml:space="preserve">MVC COVID-19 vaccine </w:t>
      </w:r>
      <w:r w:rsidRPr="00EA7936">
        <w:t xml:space="preserve">and 63.8% for </w:t>
      </w:r>
      <w:r w:rsidR="00A21B8B" w:rsidRPr="00EA7936">
        <w:t>Vaxzervria</w:t>
      </w:r>
      <w:r w:rsidRPr="00EA7936">
        <w:t xml:space="preserve"> </w:t>
      </w:r>
      <w:r w:rsidR="002F1FFD" w:rsidRPr="00EA7936">
        <w:t xml:space="preserve">vaccine </w:t>
      </w:r>
      <w:r w:rsidRPr="00EA7936">
        <w:t xml:space="preserve">following </w:t>
      </w:r>
      <w:r w:rsidR="00A21B8B" w:rsidRPr="00EA7936">
        <w:t>two</w:t>
      </w:r>
      <w:r w:rsidRPr="00EA7936">
        <w:t xml:space="preserve"> doses</w:t>
      </w:r>
      <w:r w:rsidR="00562B32">
        <w:t xml:space="preserve">, </w:t>
      </w:r>
      <w:r>
        <w:t>that is</w:t>
      </w:r>
      <w:r w:rsidRPr="00821348">
        <w:t xml:space="preserve"> a GMT rise of </w:t>
      </w:r>
      <w:r w:rsidR="007C0B18">
        <w:t>greater than</w:t>
      </w:r>
      <w:r w:rsidR="00A21B8B">
        <w:t xml:space="preserve"> </w:t>
      </w:r>
      <w:r w:rsidRPr="00821348">
        <w:t xml:space="preserve">4 times from </w:t>
      </w:r>
      <w:r w:rsidR="00A21B8B">
        <w:t>B</w:t>
      </w:r>
      <w:r w:rsidRPr="00821348">
        <w:t>aseline</w:t>
      </w:r>
      <w:r w:rsidR="00562B32">
        <w:t xml:space="preserve"> (</w:t>
      </w:r>
      <w:r w:rsidR="00562B32">
        <w:fldChar w:fldCharType="begin"/>
      </w:r>
      <w:r w:rsidR="00562B32">
        <w:instrText xml:space="preserve"> REF _Ref137636762 \h </w:instrText>
      </w:r>
      <w:r w:rsidR="00562B32">
        <w:fldChar w:fldCharType="separate"/>
      </w:r>
      <w:r w:rsidR="00A15251" w:rsidRPr="00821348">
        <w:t xml:space="preserve">Table </w:t>
      </w:r>
      <w:r w:rsidR="00A15251">
        <w:rPr>
          <w:noProof/>
        </w:rPr>
        <w:t>7</w:t>
      </w:r>
      <w:r w:rsidR="00562B32">
        <w:fldChar w:fldCharType="end"/>
      </w:r>
      <w:r w:rsidRPr="00821348">
        <w:t>).</w:t>
      </w:r>
    </w:p>
    <w:p w14:paraId="0EC8D1B7" w14:textId="51920771" w:rsidR="00821348" w:rsidRPr="00821348" w:rsidRDefault="00821348" w:rsidP="00821348">
      <w:r w:rsidRPr="00EA7936">
        <w:t xml:space="preserve">The </w:t>
      </w:r>
      <w:r w:rsidR="00A21B8B" w:rsidRPr="00EA7936">
        <w:t>clinical evaluator</w:t>
      </w:r>
      <w:r w:rsidRPr="00EA7936">
        <w:t xml:space="preserve"> requested further information from the sponsor regarding this low seroconversion rate. The </w:t>
      </w:r>
      <w:r w:rsidR="00A21B8B" w:rsidRPr="00EA7936">
        <w:t>s</w:t>
      </w:r>
      <w:r w:rsidRPr="00EA7936">
        <w:t xml:space="preserve">ponsor has indicated that this was due to the high pre-existing </w:t>
      </w:r>
      <w:proofErr w:type="spellStart"/>
      <w:r w:rsidRPr="00EA7936">
        <w:t>sero</w:t>
      </w:r>
      <w:proofErr w:type="spellEnd"/>
      <w:r w:rsidR="00A21B8B" w:rsidRPr="00EA7936">
        <w:noBreakHyphen/>
      </w:r>
      <w:r w:rsidRPr="00EA7936">
        <w:t xml:space="preserve">positivity in this trial in which was 84.5% in the </w:t>
      </w:r>
      <w:r w:rsidR="002F1FFD" w:rsidRPr="00EA7936">
        <w:t xml:space="preserve">MVC COVID-19 vaccine </w:t>
      </w:r>
      <w:r w:rsidRPr="00EA7936">
        <w:t xml:space="preserve">group. The </w:t>
      </w:r>
      <w:r w:rsidR="00A21B8B" w:rsidRPr="00EA7936">
        <w:t>s</w:t>
      </w:r>
      <w:r w:rsidRPr="00EA7936">
        <w:t xml:space="preserve">ponsor has indicated that this made achieving a </w:t>
      </w:r>
      <w:r w:rsidR="007C0B18" w:rsidRPr="00EA7936">
        <w:t>four</w:t>
      </w:r>
      <w:r w:rsidR="002F1FFD" w:rsidRPr="00EA7936">
        <w:t>-</w:t>
      </w:r>
      <w:r w:rsidRPr="00EA7936">
        <w:t>fold increase in titre difficult.</w:t>
      </w:r>
    </w:p>
    <w:p w14:paraId="49221B0B" w14:textId="21071FCF" w:rsidR="00821348" w:rsidRPr="00821348" w:rsidRDefault="00821348" w:rsidP="00A21B8B">
      <w:pPr>
        <w:pStyle w:val="Heading6"/>
      </w:pPr>
      <w:r w:rsidRPr="00821348">
        <w:t>Study CT-COV-21</w:t>
      </w:r>
    </w:p>
    <w:p w14:paraId="3C744C5D" w14:textId="27D497D7" w:rsidR="00821348" w:rsidRPr="00821348" w:rsidRDefault="00821348" w:rsidP="00A21B8B">
      <w:r w:rsidRPr="00821348">
        <w:t xml:space="preserve">Study CT-COV-21 was a large </w:t>
      </w:r>
      <w:proofErr w:type="gramStart"/>
      <w:r w:rsidRPr="00821348">
        <w:t>placebo controlled</w:t>
      </w:r>
      <w:proofErr w:type="gramEnd"/>
      <w:r w:rsidRPr="00821348">
        <w:t xml:space="preserve"> </w:t>
      </w:r>
      <w:r w:rsidR="00A21B8B">
        <w:t>P</w:t>
      </w:r>
      <w:r w:rsidRPr="00821348">
        <w:t xml:space="preserve">hase II trial intended to examine the safety and immunogenicity of </w:t>
      </w:r>
      <w:r w:rsidR="002F1FFD">
        <w:t xml:space="preserve">MVC COVID-19 vaccine </w:t>
      </w:r>
      <w:r w:rsidRPr="00821348">
        <w:t xml:space="preserve">in healthy subjects. Included were adults between over 20 years of age, who received two doses of vaccine or placebo at </w:t>
      </w:r>
      <w:r w:rsidR="00A21B8B">
        <w:t>D</w:t>
      </w:r>
      <w:r w:rsidRPr="00821348">
        <w:t>ay</w:t>
      </w:r>
      <w:r w:rsidR="002F1FFD">
        <w:t>s</w:t>
      </w:r>
      <w:r w:rsidRPr="00821348">
        <w:t xml:space="preserve"> 0 and 28</w:t>
      </w:r>
      <w:r w:rsidR="00562B32">
        <w:t xml:space="preserve"> (</w:t>
      </w:r>
      <w:r w:rsidR="00562B32">
        <w:fldChar w:fldCharType="begin"/>
      </w:r>
      <w:r w:rsidR="00562B32">
        <w:instrText xml:space="preserve"> REF _Ref137636667 \h </w:instrText>
      </w:r>
      <w:r w:rsidR="00562B32">
        <w:fldChar w:fldCharType="separate"/>
      </w:r>
      <w:r w:rsidR="00A15251" w:rsidRPr="00562B32">
        <w:t xml:space="preserve">Figure </w:t>
      </w:r>
      <w:r w:rsidR="00A15251">
        <w:rPr>
          <w:noProof/>
        </w:rPr>
        <w:t>4</w:t>
      </w:r>
      <w:r w:rsidR="00562B32">
        <w:fldChar w:fldCharType="end"/>
      </w:r>
      <w:r w:rsidR="00562B32">
        <w:t>)</w:t>
      </w:r>
      <w:r w:rsidRPr="00821348">
        <w:t>.</w:t>
      </w:r>
    </w:p>
    <w:p w14:paraId="54A25DAE" w14:textId="738BEE9F" w:rsidR="00821348" w:rsidRPr="00821348" w:rsidRDefault="00821348" w:rsidP="00A21B8B">
      <w:r w:rsidRPr="00821348">
        <w:t>This study is of significant</w:t>
      </w:r>
      <w:r w:rsidR="002F1FFD">
        <w:t xml:space="preserve"> interest</w:t>
      </w:r>
      <w:r w:rsidRPr="00821348">
        <w:t xml:space="preserve"> to this </w:t>
      </w:r>
      <w:r w:rsidR="002F1FFD">
        <w:t>submission</w:t>
      </w:r>
      <w:r w:rsidR="002F1FFD" w:rsidRPr="00821348">
        <w:t xml:space="preserve"> </w:t>
      </w:r>
      <w:r w:rsidRPr="00821348">
        <w:t>as it provided the adult comparators for immune response used in the adolescent study</w:t>
      </w:r>
      <w:r w:rsidR="00A21B8B">
        <w:t xml:space="preserve">, Study </w:t>
      </w:r>
      <w:r w:rsidRPr="00821348">
        <w:t>CT-COV-22.</w:t>
      </w:r>
    </w:p>
    <w:p w14:paraId="7B828353" w14:textId="019A901A" w:rsidR="00821348" w:rsidRDefault="00821348" w:rsidP="00A21B8B">
      <w:r w:rsidRPr="00821348">
        <w:t>Immunogenicity was assessed at 28 days post the second dose of treatment (</w:t>
      </w:r>
      <w:r w:rsidR="00562B32">
        <w:t>D</w:t>
      </w:r>
      <w:r w:rsidRPr="00821348">
        <w:t>ay 57).</w:t>
      </w:r>
    </w:p>
    <w:p w14:paraId="0746C651" w14:textId="1E825B37" w:rsidR="00A21B8B" w:rsidRDefault="00562B32" w:rsidP="00562B32">
      <w:pPr>
        <w:pStyle w:val="FigureTitle"/>
      </w:pPr>
      <w:bookmarkStart w:id="49" w:name="_Ref137636667"/>
      <w:r w:rsidRPr="00562B32">
        <w:t xml:space="preserve">Figure </w:t>
      </w:r>
      <w:r w:rsidR="000519D8">
        <w:fldChar w:fldCharType="begin"/>
      </w:r>
      <w:r w:rsidR="000519D8">
        <w:instrText xml:space="preserve"> SEQ Figure \* ARABIC </w:instrText>
      </w:r>
      <w:r w:rsidR="000519D8">
        <w:fldChar w:fldCharType="separate"/>
      </w:r>
      <w:r w:rsidR="00A15251">
        <w:rPr>
          <w:noProof/>
        </w:rPr>
        <w:t>4</w:t>
      </w:r>
      <w:r w:rsidR="000519D8">
        <w:rPr>
          <w:noProof/>
        </w:rPr>
        <w:fldChar w:fldCharType="end"/>
      </w:r>
      <w:bookmarkEnd w:id="49"/>
      <w:r>
        <w:t xml:space="preserve">: </w:t>
      </w:r>
      <w:r w:rsidR="00A21B8B">
        <w:t xml:space="preserve">Study CT-COV-21 Disposition of </w:t>
      </w:r>
      <w:proofErr w:type="gramStart"/>
      <w:r w:rsidR="00A21B8B">
        <w:t>participants</w:t>
      </w:r>
      <w:proofErr w:type="gramEnd"/>
    </w:p>
    <w:p w14:paraId="2A03D362" w14:textId="3A3F09C8" w:rsidR="00A21B8B" w:rsidRDefault="00A21B8B" w:rsidP="00A21B8B">
      <w:r w:rsidRPr="00A21B8B">
        <w:rPr>
          <w:noProof/>
          <w:lang w:val="en-US" w:eastAsia="zh-TW"/>
        </w:rPr>
        <w:drawing>
          <wp:inline distT="0" distB="0" distL="0" distR="0" wp14:anchorId="0BE66B90" wp14:editId="74433B8E">
            <wp:extent cx="5178883" cy="2647815"/>
            <wp:effectExtent l="0" t="0" r="3175" b="635"/>
            <wp:docPr id="16" name="Picture 16" descr="Study CT-COV-21 Disposition of participants&#10;4173 participants were screened and 3854 were randomised into two arms, MVC and placebo. Of the 3304 participants randomised into the MVC arm, 3271 completed two doses and 33 discontinued. Of the 550 participants randomised into the placebo arm, 545 completed two doses and 5 dis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tudy CT-COV-21 Disposition of participants&#10;4173 participants were screened and 3854 were randomised into two arms, MVC and placebo. Of the 3304 participants randomised into the MVC arm, 3271 completed two doses and 33 discontinued. Of the 550 participants randomised into the placebo arm, 545 completed two doses and 5 discontinued."/>
                    <pic:cNvPicPr>
                      <a:picLocks noChangeAspect="1" noChangeArrowheads="1"/>
                    </pic:cNvPicPr>
                  </pic:nvPicPr>
                  <pic:blipFill rotWithShape="1">
                    <a:blip r:embed="rId26">
                      <a:extLst>
                        <a:ext uri="{28A0092B-C50C-407E-A947-70E740481C1C}">
                          <a14:useLocalDpi xmlns:a14="http://schemas.microsoft.com/office/drawing/2010/main" val="0"/>
                        </a:ext>
                      </a:extLst>
                    </a:blip>
                    <a:srcRect l="5001" t="8372" r="4224" b="7444"/>
                    <a:stretch/>
                  </pic:blipFill>
                  <pic:spPr bwMode="auto">
                    <a:xfrm>
                      <a:off x="0" y="0"/>
                      <a:ext cx="5179765" cy="2648266"/>
                    </a:xfrm>
                    <a:prstGeom prst="rect">
                      <a:avLst/>
                    </a:prstGeom>
                    <a:noFill/>
                    <a:ln>
                      <a:noFill/>
                    </a:ln>
                    <a:extLst>
                      <a:ext uri="{53640926-AAD7-44D8-BBD7-CCE9431645EC}">
                        <a14:shadowObscured xmlns:a14="http://schemas.microsoft.com/office/drawing/2010/main"/>
                      </a:ext>
                    </a:extLst>
                  </pic:spPr>
                </pic:pic>
              </a:graphicData>
            </a:graphic>
          </wp:inline>
        </w:drawing>
      </w:r>
    </w:p>
    <w:p w14:paraId="1F671241" w14:textId="46CC9973" w:rsidR="002F1FFD" w:rsidRDefault="002F1FFD" w:rsidP="00A54AF1">
      <w:pPr>
        <w:pStyle w:val="TableDescription"/>
      </w:pPr>
      <w:r>
        <w:t>Note: MVC-COV1901 refers to MVC COVID-19 vaccine</w:t>
      </w:r>
    </w:p>
    <w:p w14:paraId="7571E0BF" w14:textId="4A0DCF26" w:rsidR="00A21B8B" w:rsidRDefault="00A21B8B" w:rsidP="00A21B8B">
      <w:r>
        <w:t xml:space="preserve">The average age of the subjects was 44.9 years with a near equal gender balance. </w:t>
      </w:r>
      <w:proofErr w:type="gramStart"/>
      <w:r>
        <w:t>The majority of</w:t>
      </w:r>
      <w:proofErr w:type="gramEnd"/>
      <w:r>
        <w:t xml:space="preserve"> subjects (99%) were seronegative for neutralising antibodies against </w:t>
      </w:r>
      <w:r w:rsidR="002F1FFD">
        <w:t>SARS-CoV-2</w:t>
      </w:r>
      <w:r>
        <w:t>, but anti</w:t>
      </w:r>
      <w:r w:rsidR="00562B32">
        <w:noBreakHyphen/>
      </w:r>
      <w:r>
        <w:t>nucleocapsid status was not reported</w:t>
      </w:r>
      <w:r w:rsidR="00562B32">
        <w:t xml:space="preserve"> (</w:t>
      </w:r>
      <w:r w:rsidR="00562B32">
        <w:fldChar w:fldCharType="begin"/>
      </w:r>
      <w:r w:rsidR="00562B32">
        <w:instrText xml:space="preserve"> REF _Ref137636667 \h </w:instrText>
      </w:r>
      <w:r w:rsidR="00562B32">
        <w:fldChar w:fldCharType="separate"/>
      </w:r>
      <w:r w:rsidR="00A15251" w:rsidRPr="00562B32">
        <w:t xml:space="preserve">Figure </w:t>
      </w:r>
      <w:r w:rsidR="00A15251">
        <w:rPr>
          <w:noProof/>
        </w:rPr>
        <w:t>4</w:t>
      </w:r>
      <w:r w:rsidR="00562B32">
        <w:fldChar w:fldCharType="end"/>
      </w:r>
      <w:r w:rsidR="00562B32">
        <w:t>)</w:t>
      </w:r>
      <w:r>
        <w:t>.</w:t>
      </w:r>
    </w:p>
    <w:p w14:paraId="7FDEA8C5" w14:textId="7B7A7391" w:rsidR="00A21B8B" w:rsidRDefault="00A21B8B" w:rsidP="001E30AE">
      <w:pPr>
        <w:pStyle w:val="TableTitle"/>
      </w:pPr>
      <w:bookmarkStart w:id="50" w:name="_Ref137636627"/>
      <w:r w:rsidRPr="001E30AE">
        <w:lastRenderedPageBreak/>
        <w:t xml:space="preserve">Table </w:t>
      </w:r>
      <w:r w:rsidR="000519D8">
        <w:fldChar w:fldCharType="begin"/>
      </w:r>
      <w:r w:rsidR="000519D8">
        <w:instrText xml:space="preserve"> SEQ Table \* ARABIC </w:instrText>
      </w:r>
      <w:r w:rsidR="000519D8">
        <w:fldChar w:fldCharType="separate"/>
      </w:r>
      <w:r w:rsidR="00A15251">
        <w:rPr>
          <w:noProof/>
        </w:rPr>
        <w:t>8</w:t>
      </w:r>
      <w:r w:rsidR="000519D8">
        <w:rPr>
          <w:noProof/>
        </w:rPr>
        <w:fldChar w:fldCharType="end"/>
      </w:r>
      <w:bookmarkEnd w:id="50"/>
      <w:r>
        <w:t xml:space="preserve">: </w:t>
      </w:r>
      <w:r w:rsidR="002F1FFD">
        <w:t xml:space="preserve">Study CT-COV-21 </w:t>
      </w:r>
      <w:r w:rsidR="001E30AE">
        <w:t xml:space="preserve">Geometric mean titres </w:t>
      </w:r>
      <w:r w:rsidRPr="00A21B8B">
        <w:t xml:space="preserve">of wild-type neutralising antibodies at </w:t>
      </w:r>
      <w:r w:rsidR="001E30AE">
        <w:t>D</w:t>
      </w:r>
      <w:r w:rsidRPr="00A21B8B">
        <w:t>ay 57</w:t>
      </w:r>
    </w:p>
    <w:p w14:paraId="71B37318" w14:textId="7E77EB8B" w:rsidR="00A21B8B" w:rsidRDefault="00A21B8B" w:rsidP="00A21B8B">
      <w:r w:rsidRPr="00A21B8B">
        <w:rPr>
          <w:noProof/>
          <w:lang w:val="en-US" w:eastAsia="zh-TW"/>
        </w:rPr>
        <w:drawing>
          <wp:inline distT="0" distB="0" distL="0" distR="0" wp14:anchorId="283547DA" wp14:editId="4C71594F">
            <wp:extent cx="4410706" cy="3750336"/>
            <wp:effectExtent l="0" t="0" r="9525" b="2540"/>
            <wp:docPr id="17" name="Picture 17" descr="Geometric mean titres of wild-type neutralising antibodies in CT-COV-21 at Day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eometric mean titres of wild-type neutralising antibodies in CT-COV-21 at Day 57"/>
                    <pic:cNvPicPr>
                      <a:picLocks noChangeAspect="1" noChangeArrowheads="1"/>
                    </pic:cNvPicPr>
                  </pic:nvPicPr>
                  <pic:blipFill rotWithShape="1">
                    <a:blip r:embed="rId27">
                      <a:extLst>
                        <a:ext uri="{28A0092B-C50C-407E-A947-70E740481C1C}">
                          <a14:useLocalDpi xmlns:a14="http://schemas.microsoft.com/office/drawing/2010/main" val="0"/>
                        </a:ext>
                      </a:extLst>
                    </a:blip>
                    <a:srcRect t="8561"/>
                    <a:stretch/>
                  </pic:blipFill>
                  <pic:spPr bwMode="auto">
                    <a:xfrm>
                      <a:off x="0" y="0"/>
                      <a:ext cx="4421305" cy="3759348"/>
                    </a:xfrm>
                    <a:prstGeom prst="rect">
                      <a:avLst/>
                    </a:prstGeom>
                    <a:noFill/>
                    <a:ln>
                      <a:noFill/>
                    </a:ln>
                    <a:extLst>
                      <a:ext uri="{53640926-AAD7-44D8-BBD7-CCE9431645EC}">
                        <a14:shadowObscured xmlns:a14="http://schemas.microsoft.com/office/drawing/2010/main"/>
                      </a:ext>
                    </a:extLst>
                  </pic:spPr>
                </pic:pic>
              </a:graphicData>
            </a:graphic>
          </wp:inline>
        </w:drawing>
      </w:r>
      <w:r w:rsidRPr="00A21B8B">
        <w:t xml:space="preserve"> </w:t>
      </w:r>
      <w:r w:rsidRPr="00A21B8B">
        <w:rPr>
          <w:noProof/>
          <w:lang w:val="en-US" w:eastAsia="zh-TW"/>
        </w:rPr>
        <w:drawing>
          <wp:inline distT="0" distB="0" distL="0" distR="0" wp14:anchorId="12BA1F48" wp14:editId="785380FE">
            <wp:extent cx="4410359" cy="1111910"/>
            <wp:effectExtent l="0" t="0" r="9525" b="0"/>
            <wp:docPr id="18" name="Picture 18" descr="Table 8: Study CT-COV-21 Geometric mean titres of wild-type neutralising antibodies at Day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 8: Study CT-COV-21 Geometric mean titres of wild-type neutralising antibodies at Day 57"/>
                    <pic:cNvPicPr>
                      <a:picLocks noChangeAspect="1" noChangeArrowheads="1"/>
                    </pic:cNvPicPr>
                  </pic:nvPicPr>
                  <pic:blipFill rotWithShape="1">
                    <a:blip r:embed="rId28">
                      <a:extLst>
                        <a:ext uri="{28A0092B-C50C-407E-A947-70E740481C1C}">
                          <a14:useLocalDpi xmlns:a14="http://schemas.microsoft.com/office/drawing/2010/main" val="0"/>
                        </a:ext>
                      </a:extLst>
                    </a:blip>
                    <a:srcRect l="1" r="1200" b="36900"/>
                    <a:stretch/>
                  </pic:blipFill>
                  <pic:spPr bwMode="auto">
                    <a:xfrm>
                      <a:off x="0" y="0"/>
                      <a:ext cx="4410359" cy="1111910"/>
                    </a:xfrm>
                    <a:prstGeom prst="rect">
                      <a:avLst/>
                    </a:prstGeom>
                    <a:noFill/>
                    <a:ln>
                      <a:noFill/>
                    </a:ln>
                    <a:extLst>
                      <a:ext uri="{53640926-AAD7-44D8-BBD7-CCE9431645EC}">
                        <a14:shadowObscured xmlns:a14="http://schemas.microsoft.com/office/drawing/2010/main"/>
                      </a:ext>
                    </a:extLst>
                  </pic:spPr>
                </pic:pic>
              </a:graphicData>
            </a:graphic>
          </wp:inline>
        </w:drawing>
      </w:r>
    </w:p>
    <w:p w14:paraId="27930885" w14:textId="45DBAB10" w:rsidR="002F1FFD" w:rsidRDefault="002F1FFD" w:rsidP="001E30AE">
      <w:pPr>
        <w:pStyle w:val="TableDescription"/>
      </w:pPr>
      <w:r>
        <w:t>Note: MVC-COV1901 refers to MVC COVID-19 vaccine</w:t>
      </w:r>
    </w:p>
    <w:p w14:paraId="59942EFA" w14:textId="19568758" w:rsidR="001E30AE" w:rsidRDefault="001E30AE" w:rsidP="001E30AE">
      <w:pPr>
        <w:pStyle w:val="TableDescription"/>
      </w:pPr>
      <w:r>
        <w:t>Abbreviations: N = number of participants in the population; n = number of participants with available data; GMT = geometric mean titre; CI = confidence interval.</w:t>
      </w:r>
    </w:p>
    <w:p w14:paraId="185BAD54" w14:textId="3A75199C" w:rsidR="001E30AE" w:rsidRDefault="001E30AE" w:rsidP="001E30AE">
      <w:pPr>
        <w:pStyle w:val="TableDescription"/>
      </w:pPr>
      <w:r>
        <w:t>Note: Blood samples on Day 1 for immunogenicity test were collected before the administration of study intervention. GMT ratio was compared to Day 1 (prior to first dose).</w:t>
      </w:r>
    </w:p>
    <w:p w14:paraId="396438F5" w14:textId="77480DF9" w:rsidR="001E30AE" w:rsidRDefault="001E30AE" w:rsidP="001E30AE">
      <w:pPr>
        <w:pStyle w:val="TableDescription"/>
      </w:pPr>
      <w:r>
        <w:t>1 p</w:t>
      </w:r>
      <w:r w:rsidR="002F1FFD">
        <w:t>-</w:t>
      </w:r>
      <w:r>
        <w:t>value based on two sample t test or Wilcoxon rank sum test.</w:t>
      </w:r>
    </w:p>
    <w:p w14:paraId="6590F94C" w14:textId="5BEC1444" w:rsidR="001E30AE" w:rsidRPr="001E30AE" w:rsidRDefault="001E30AE" w:rsidP="001E30AE">
      <w:r w:rsidRPr="001E30AE">
        <w:t xml:space="preserve">The study found a significant increase in GMT for neutralising antibodies at </w:t>
      </w:r>
      <w:r>
        <w:t>D</w:t>
      </w:r>
      <w:r w:rsidRPr="001E30AE">
        <w:t>ay 57 in subjects who received MVC</w:t>
      </w:r>
      <w:r w:rsidR="00562B32">
        <w:t xml:space="preserve"> (</w:t>
      </w:r>
      <w:r w:rsidR="00562B32">
        <w:fldChar w:fldCharType="begin"/>
      </w:r>
      <w:r w:rsidR="00562B32">
        <w:instrText xml:space="preserve"> REF _Ref137636627 \h </w:instrText>
      </w:r>
      <w:r w:rsidR="00562B32">
        <w:fldChar w:fldCharType="separate"/>
      </w:r>
      <w:r w:rsidR="00A15251" w:rsidRPr="001E30AE">
        <w:t xml:space="preserve">Table </w:t>
      </w:r>
      <w:r w:rsidR="00A15251">
        <w:rPr>
          <w:noProof/>
        </w:rPr>
        <w:t>8</w:t>
      </w:r>
      <w:r w:rsidR="00562B32">
        <w:fldChar w:fldCharType="end"/>
      </w:r>
      <w:r w:rsidR="00562B32">
        <w:t>)</w:t>
      </w:r>
      <w:r w:rsidRPr="001E30AE">
        <w:t>.</w:t>
      </w:r>
    </w:p>
    <w:p w14:paraId="01937C48" w14:textId="1F4EE20D" w:rsidR="001E30AE" w:rsidRDefault="001E30AE" w:rsidP="001E30AE">
      <w:r w:rsidRPr="001E30AE">
        <w:t xml:space="preserve">This corresponded to a seroconversion rate of 99.8% overall, with no difference between the 682 subjects </w:t>
      </w:r>
      <w:r w:rsidR="007C0B18">
        <w:t>younger than</w:t>
      </w:r>
      <w:r>
        <w:t xml:space="preserve"> </w:t>
      </w:r>
      <w:r w:rsidRPr="001E30AE">
        <w:t xml:space="preserve">65 years of age (99.9%) and the 221 subjects </w:t>
      </w:r>
      <w:r w:rsidR="007C0B18">
        <w:t>greater than</w:t>
      </w:r>
      <w:r>
        <w:t xml:space="preserve"> </w:t>
      </w:r>
      <w:r w:rsidRPr="001E30AE">
        <w:t>65 years of age (99.5%).</w:t>
      </w:r>
    </w:p>
    <w:p w14:paraId="00FEB654" w14:textId="42AD1369" w:rsidR="001E30AE" w:rsidRDefault="001E30AE" w:rsidP="001E30AE">
      <w:pPr>
        <w:pStyle w:val="Heading6"/>
      </w:pPr>
      <w:r>
        <w:t>Study CT-COV-22</w:t>
      </w:r>
    </w:p>
    <w:p w14:paraId="04CE720C" w14:textId="1A1A2ECB" w:rsidR="001E30AE" w:rsidRDefault="007C0B18" w:rsidP="001E30AE">
      <w:r w:rsidRPr="007C0B18">
        <w:t>Study CT-COV-22</w:t>
      </w:r>
      <w:r w:rsidR="001E30AE" w:rsidRPr="001E30AE">
        <w:t xml:space="preserve"> was a </w:t>
      </w:r>
      <w:r w:rsidR="001E30AE">
        <w:t>P</w:t>
      </w:r>
      <w:r w:rsidR="001E30AE" w:rsidRPr="001E30AE">
        <w:t>hase II study conducted in healthy subjects between the ages of 12 and 18 years of age.</w:t>
      </w:r>
    </w:p>
    <w:p w14:paraId="60E3D432" w14:textId="58E0502B" w:rsidR="001E30AE" w:rsidRDefault="00562B32" w:rsidP="00562B32">
      <w:pPr>
        <w:pStyle w:val="FigureTitle"/>
        <w:keepNext/>
      </w:pPr>
      <w:bookmarkStart w:id="51" w:name="_Ref137636568"/>
      <w:r w:rsidRPr="00562B32">
        <w:lastRenderedPageBreak/>
        <w:t xml:space="preserve">Figure </w:t>
      </w:r>
      <w:r w:rsidR="000519D8">
        <w:fldChar w:fldCharType="begin"/>
      </w:r>
      <w:r w:rsidR="000519D8">
        <w:instrText xml:space="preserve"> SEQ Figure \* ARABIC </w:instrText>
      </w:r>
      <w:r w:rsidR="000519D8">
        <w:fldChar w:fldCharType="separate"/>
      </w:r>
      <w:r w:rsidR="00A15251">
        <w:rPr>
          <w:noProof/>
        </w:rPr>
        <w:t>5</w:t>
      </w:r>
      <w:r w:rsidR="000519D8">
        <w:rPr>
          <w:noProof/>
        </w:rPr>
        <w:fldChar w:fldCharType="end"/>
      </w:r>
      <w:bookmarkEnd w:id="51"/>
      <w:r>
        <w:t xml:space="preserve">: </w:t>
      </w:r>
      <w:r w:rsidR="001E30AE">
        <w:t>Study CT-COV-22 Patient disposition</w:t>
      </w:r>
    </w:p>
    <w:p w14:paraId="4D1E9D85" w14:textId="1F9B23BC" w:rsidR="001E30AE" w:rsidRDefault="001E30AE" w:rsidP="001E30AE">
      <w:r w:rsidRPr="001E30AE">
        <w:rPr>
          <w:noProof/>
          <w:lang w:val="en-US" w:eastAsia="zh-TW"/>
        </w:rPr>
        <w:drawing>
          <wp:inline distT="0" distB="0" distL="0" distR="0" wp14:anchorId="3E7A2151" wp14:editId="7F3C8CC0">
            <wp:extent cx="4776825" cy="5420136"/>
            <wp:effectExtent l="0" t="0" r="5080" b="9525"/>
            <wp:docPr id="19" name="Picture 19" descr="Study CT-COV-22 Patient disposition&#10;405 participants were screened and 399 were randomised into two arms, MVC and placebo. Of the 341 participants randomised into the MVC arm, 340 completed two doses. All 58 participants randomised into placebo completed two doses of placebo.&#10;All participants from MVC arm were analysed for safety analysis set. All participants from placebo were analysed for safety analysis set.&#10;From the MVC arm, 334 participants were analysed for immunogenicity analysis set. &#10;From the placebo arm, 46 participants were analysed for the immunogenici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tudy CT-COV-22 Patient disposition&#10;405 participants were screened and 399 were randomised into two arms, MVC and placebo. Of the 341 participants randomised into the MVC arm, 340 completed two doses. All 58 participants randomised into placebo completed two doses of placebo.&#10;All participants from MVC arm were analysed for safety analysis set. All participants from placebo were analysed for safety analysis set.&#10;From the MVC arm, 334 participants were analysed for immunogenicity analysis set. &#10;From the placebo arm, 46 participants were analysed for the immunogenicity analysis set."/>
                    <pic:cNvPicPr>
                      <a:picLocks noChangeAspect="1" noChangeArrowheads="1"/>
                    </pic:cNvPicPr>
                  </pic:nvPicPr>
                  <pic:blipFill rotWithShape="1">
                    <a:blip r:embed="rId29">
                      <a:extLst>
                        <a:ext uri="{28A0092B-C50C-407E-A947-70E740481C1C}">
                          <a14:useLocalDpi xmlns:a14="http://schemas.microsoft.com/office/drawing/2010/main" val="0"/>
                        </a:ext>
                      </a:extLst>
                    </a:blip>
                    <a:srcRect l="8050" r="2859"/>
                    <a:stretch/>
                  </pic:blipFill>
                  <pic:spPr bwMode="auto">
                    <a:xfrm>
                      <a:off x="0" y="0"/>
                      <a:ext cx="4777023" cy="5420360"/>
                    </a:xfrm>
                    <a:prstGeom prst="rect">
                      <a:avLst/>
                    </a:prstGeom>
                    <a:noFill/>
                    <a:ln>
                      <a:noFill/>
                    </a:ln>
                    <a:extLst>
                      <a:ext uri="{53640926-AAD7-44D8-BBD7-CCE9431645EC}">
                        <a14:shadowObscured xmlns:a14="http://schemas.microsoft.com/office/drawing/2010/main"/>
                      </a:ext>
                    </a:extLst>
                  </pic:spPr>
                </pic:pic>
              </a:graphicData>
            </a:graphic>
          </wp:inline>
        </w:drawing>
      </w:r>
    </w:p>
    <w:p w14:paraId="5EDCBD60" w14:textId="39FA6395" w:rsidR="001E30AE" w:rsidRPr="001E30AE" w:rsidRDefault="001E30AE" w:rsidP="001E30AE">
      <w:r w:rsidRPr="001E30AE">
        <w:t xml:space="preserve">Subjects were randomised to receive either </w:t>
      </w:r>
      <w:r w:rsidR="002F1FFD">
        <w:t xml:space="preserve">MVC COVID-19 vaccine </w:t>
      </w:r>
      <w:r w:rsidRPr="001E30AE">
        <w:t>or placebo in a two</w:t>
      </w:r>
      <w:r w:rsidR="00B276D6">
        <w:t>-</w:t>
      </w:r>
      <w:r w:rsidRPr="001E30AE">
        <w:t xml:space="preserve">dose schedule administered at </w:t>
      </w:r>
      <w:r>
        <w:t>D</w:t>
      </w:r>
      <w:r w:rsidRPr="001E30AE">
        <w:t>ay 0 and 28</w:t>
      </w:r>
      <w:r w:rsidR="00562B32">
        <w:t xml:space="preserve"> (</w:t>
      </w:r>
      <w:r w:rsidR="00562B32">
        <w:fldChar w:fldCharType="begin"/>
      </w:r>
      <w:r w:rsidR="00562B32">
        <w:instrText xml:space="preserve"> REF _Ref137636568 \h </w:instrText>
      </w:r>
      <w:r w:rsidR="00562B32">
        <w:fldChar w:fldCharType="separate"/>
      </w:r>
      <w:r w:rsidR="00A15251" w:rsidRPr="00562B32">
        <w:t xml:space="preserve">Figure </w:t>
      </w:r>
      <w:r w:rsidR="00A15251">
        <w:rPr>
          <w:noProof/>
        </w:rPr>
        <w:t>5</w:t>
      </w:r>
      <w:r w:rsidR="00562B32">
        <w:fldChar w:fldCharType="end"/>
      </w:r>
      <w:r w:rsidR="00562B32">
        <w:t>)</w:t>
      </w:r>
    </w:p>
    <w:p w14:paraId="5559F6CC" w14:textId="7A76E3E7" w:rsidR="001E30AE" w:rsidRPr="001E30AE" w:rsidRDefault="001E30AE" w:rsidP="001E30AE">
      <w:r w:rsidRPr="001E30AE">
        <w:t xml:space="preserve">The primary immunogenicity endpoint was anti-spike GMT at </w:t>
      </w:r>
      <w:r>
        <w:t>D</w:t>
      </w:r>
      <w:r w:rsidRPr="001E30AE">
        <w:t>ay 57 (28 days post</w:t>
      </w:r>
      <w:r>
        <w:t>-D</w:t>
      </w:r>
      <w:r w:rsidRPr="001E30AE">
        <w:t>ose 2).</w:t>
      </w:r>
    </w:p>
    <w:p w14:paraId="775DD1AA" w14:textId="67442B8F" w:rsidR="001E30AE" w:rsidRPr="001E30AE" w:rsidRDefault="001E30AE" w:rsidP="001E30AE">
      <w:r w:rsidRPr="001E30AE">
        <w:t xml:space="preserve">Immunogenicity in adults was compared with young </w:t>
      </w:r>
      <w:proofErr w:type="gramStart"/>
      <w:r w:rsidRPr="001E30AE">
        <w:t>adults</w:t>
      </w:r>
      <w:proofErr w:type="gramEnd"/>
      <w:r w:rsidRPr="001E30AE">
        <w:t xml:space="preserve"> immunogenicity endpoints from </w:t>
      </w:r>
      <w:r>
        <w:t>S</w:t>
      </w:r>
      <w:r w:rsidRPr="001E30AE">
        <w:t xml:space="preserve">tudy CT-COV-21, which was a similar </w:t>
      </w:r>
      <w:r>
        <w:t>P</w:t>
      </w:r>
      <w:r w:rsidRPr="001E30AE">
        <w:t>hase II study conducted in young adults 20</w:t>
      </w:r>
      <w:r>
        <w:t xml:space="preserve"> to </w:t>
      </w:r>
      <w:r w:rsidRPr="001E30AE">
        <w:t>30 years of age.</w:t>
      </w:r>
    </w:p>
    <w:p w14:paraId="1DB6B3B3" w14:textId="2F4FCCE2" w:rsidR="001E30AE" w:rsidRDefault="001E30AE" w:rsidP="001E30AE">
      <w:r w:rsidRPr="001E30AE">
        <w:t>The objective was to establish non-inferiority for the adolescent group to the young</w:t>
      </w:r>
      <w:r w:rsidR="007C0B18">
        <w:t xml:space="preserve"> </w:t>
      </w:r>
      <w:r w:rsidRPr="001E30AE">
        <w:t xml:space="preserve">adult group based on the ratio of GMT for adolescents/adults of </w:t>
      </w:r>
      <w:r w:rsidR="007C0B18">
        <w:t>greater than</w:t>
      </w:r>
      <w:r>
        <w:t xml:space="preserve"> </w:t>
      </w:r>
      <w:r w:rsidRPr="001E30AE">
        <w:t>0.66.</w:t>
      </w:r>
    </w:p>
    <w:p w14:paraId="72291ECE" w14:textId="5BEA8631" w:rsidR="001E30AE" w:rsidRDefault="001E30AE" w:rsidP="001E30AE">
      <w:pPr>
        <w:pStyle w:val="TableTitle"/>
      </w:pPr>
      <w:bookmarkStart w:id="52" w:name="_Ref137636591"/>
      <w:r w:rsidRPr="001E30AE">
        <w:lastRenderedPageBreak/>
        <w:t xml:space="preserve">Table </w:t>
      </w:r>
      <w:r w:rsidR="000519D8">
        <w:fldChar w:fldCharType="begin"/>
      </w:r>
      <w:r w:rsidR="000519D8">
        <w:instrText xml:space="preserve"> SEQ Table \* ARABIC </w:instrText>
      </w:r>
      <w:r w:rsidR="000519D8">
        <w:fldChar w:fldCharType="separate"/>
      </w:r>
      <w:r w:rsidR="00A15251">
        <w:rPr>
          <w:noProof/>
        </w:rPr>
        <w:t>9</w:t>
      </w:r>
      <w:r w:rsidR="000519D8">
        <w:rPr>
          <w:noProof/>
        </w:rPr>
        <w:fldChar w:fldCharType="end"/>
      </w:r>
      <w:bookmarkEnd w:id="52"/>
      <w:r w:rsidRPr="001E30AE">
        <w:t>:</w:t>
      </w:r>
      <w:r>
        <w:t xml:space="preserve"> Study CT-COV-22 Geometric mean titres of wild type neutralising antibodies</w:t>
      </w:r>
    </w:p>
    <w:p w14:paraId="2911E08A" w14:textId="28841FFC" w:rsidR="001E30AE" w:rsidRDefault="001E30AE" w:rsidP="001E30AE">
      <w:r w:rsidRPr="001E30AE">
        <w:rPr>
          <w:noProof/>
          <w:lang w:val="en-US" w:eastAsia="zh-TW"/>
        </w:rPr>
        <w:drawing>
          <wp:inline distT="0" distB="0" distL="0" distR="0" wp14:anchorId="618E8D67" wp14:editId="13FC8948">
            <wp:extent cx="5397564" cy="2260397"/>
            <wp:effectExtent l="0" t="0" r="0" b="6985"/>
            <wp:docPr id="20" name="Picture 20" descr="Study CT-COV-22 Geometric mean titres of wild type neutralising antibo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tudy CT-COV-22 Geometric mean titres of wild type neutralising antibodies"/>
                    <pic:cNvPicPr>
                      <a:picLocks noChangeAspect="1" noChangeArrowheads="1"/>
                    </pic:cNvPicPr>
                  </pic:nvPicPr>
                  <pic:blipFill rotWithShape="1">
                    <a:blip r:embed="rId30">
                      <a:extLst>
                        <a:ext uri="{28A0092B-C50C-407E-A947-70E740481C1C}">
                          <a14:useLocalDpi xmlns:a14="http://schemas.microsoft.com/office/drawing/2010/main" val="0"/>
                        </a:ext>
                      </a:extLst>
                    </a:blip>
                    <a:srcRect l="2414" t="7992" r="3839" b="28670"/>
                    <a:stretch/>
                  </pic:blipFill>
                  <pic:spPr bwMode="auto">
                    <a:xfrm>
                      <a:off x="0" y="0"/>
                      <a:ext cx="5399359" cy="2261149"/>
                    </a:xfrm>
                    <a:prstGeom prst="rect">
                      <a:avLst/>
                    </a:prstGeom>
                    <a:noFill/>
                    <a:ln>
                      <a:noFill/>
                    </a:ln>
                    <a:extLst>
                      <a:ext uri="{53640926-AAD7-44D8-BBD7-CCE9431645EC}">
                        <a14:shadowObscured xmlns:a14="http://schemas.microsoft.com/office/drawing/2010/main"/>
                      </a:ext>
                    </a:extLst>
                  </pic:spPr>
                </pic:pic>
              </a:graphicData>
            </a:graphic>
          </wp:inline>
        </w:drawing>
      </w:r>
    </w:p>
    <w:p w14:paraId="33629F67" w14:textId="1963A37B" w:rsidR="002F1FFD" w:rsidRDefault="002F1FFD" w:rsidP="00CB758C">
      <w:pPr>
        <w:pStyle w:val="TableDescription"/>
      </w:pPr>
      <w:r>
        <w:t>Note: MVC-COV1901 refers to MVC COVID-19 vaccine.</w:t>
      </w:r>
    </w:p>
    <w:p w14:paraId="6FCBE062" w14:textId="4AEAF916" w:rsidR="001E30AE" w:rsidRDefault="001E30AE" w:rsidP="00CB758C">
      <w:pPr>
        <w:pStyle w:val="TableDescription"/>
      </w:pPr>
      <w:r>
        <w:t xml:space="preserve">1 For CI (WT, within group), t denotes by using one sample t-test, w denotes CI of </w:t>
      </w:r>
      <w:proofErr w:type="gramStart"/>
      <w:r>
        <w:t>median</w:t>
      </w:r>
      <w:proofErr w:type="gramEnd"/>
    </w:p>
    <w:p w14:paraId="5095E2C1" w14:textId="792BFFE1" w:rsidR="001E30AE" w:rsidRDefault="001E30AE" w:rsidP="00CB758C">
      <w:pPr>
        <w:pStyle w:val="TableDescription"/>
      </w:pPr>
      <w:r>
        <w:t xml:space="preserve">2 For CI and p-value (between </w:t>
      </w:r>
      <w:proofErr w:type="spellStart"/>
      <w:r>
        <w:t>groupds</w:t>
      </w:r>
      <w:proofErr w:type="spellEnd"/>
      <w:r>
        <w:t xml:space="preserve">), T denotes two sample t test, Wilcox z denotes Wilcoxon rank-sum test in normal approximation, HL denotes CI using Hodges-Lehman for </w:t>
      </w:r>
      <w:proofErr w:type="gramStart"/>
      <w:r>
        <w:t>median</w:t>
      </w:r>
      <w:proofErr w:type="gramEnd"/>
    </w:p>
    <w:p w14:paraId="28044EA7" w14:textId="1027DA67" w:rsidR="001E30AE" w:rsidRDefault="001E30AE" w:rsidP="00CB758C">
      <w:pPr>
        <w:pStyle w:val="TableDescription"/>
      </w:pPr>
      <w:r>
        <w:t>3 For groups diff, §</w:t>
      </w:r>
      <w:r w:rsidR="00CB758C">
        <w:t xml:space="preserve"> </w:t>
      </w:r>
      <w:proofErr w:type="spellStart"/>
      <w:r>
        <w:t>Adole</w:t>
      </w:r>
      <w:proofErr w:type="spellEnd"/>
      <w:r>
        <w:t xml:space="preserve"> = adolescents of MVC-COV1901, § Young</w:t>
      </w:r>
      <w:r w:rsidR="00CB758C">
        <w:t xml:space="preserve"> = young adults of MVC-COV1901, T = Student t </w:t>
      </w:r>
    </w:p>
    <w:p w14:paraId="53396E8D" w14:textId="5053A9EF" w:rsidR="00CB758C" w:rsidRDefault="00CB758C" w:rsidP="00CB758C">
      <w:pPr>
        <w:pStyle w:val="TableDescription"/>
      </w:pPr>
      <w:r>
        <w:rPr>
          <w:noProof/>
          <w:lang w:val="en-US" w:eastAsia="zh-TW"/>
        </w:rPr>
        <mc:AlternateContent>
          <mc:Choice Requires="wps">
            <w:drawing>
              <wp:anchor distT="0" distB="0" distL="114300" distR="114300" simplePos="0" relativeHeight="251658240" behindDoc="0" locked="0" layoutInCell="1" allowOverlap="1" wp14:anchorId="1EDA6A7F" wp14:editId="0B57BEC4">
                <wp:simplePos x="0" y="0"/>
                <wp:positionH relativeFrom="column">
                  <wp:posOffset>690880</wp:posOffset>
                </wp:positionH>
                <wp:positionV relativeFrom="paragraph">
                  <wp:posOffset>40640</wp:posOffset>
                </wp:positionV>
                <wp:extent cx="85725" cy="74930"/>
                <wp:effectExtent l="38100" t="19050" r="66675" b="39370"/>
                <wp:wrapNone/>
                <wp:docPr id="21" name="Star: 5 Points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5725" cy="74930"/>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5E11F" id="Star: 5 Points 21" o:spid="_x0000_s1026" alt="&quot;&quot;" style="position:absolute;margin-left:54.4pt;margin-top:3.2pt;width:6.75pt;height:5.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5725,74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" path="m,28621r32744,l42863,,52981,28621r32744,l59234,46309,69353,74930,42863,57241,16372,74930,26491,46309,,28621xe" fillcolor="black [3200]" strokecolor="black [1600]" strokeweight="1pt">
                <v:stroke joinstyle="miter"/>
                <v:path arrowok="t" o:connecttype="custom" o:connectlocs="0,28621;32744,28621;42863,0;52981,28621;85725,28621;59234,46309;69353,74930;42863,57241;16372,74930;26491,46309;0,28621" o:connectangles="0,0,0,0,0,0,0,0,0,0,0"/>
              </v:shape>
            </w:pict>
          </mc:Fallback>
        </mc:AlternateContent>
      </w:r>
      <w:r>
        <w:t>4 For p-</w:t>
      </w:r>
      <w:proofErr w:type="gramStart"/>
      <w:r>
        <w:t xml:space="preserve">value,   </w:t>
      </w:r>
      <w:proofErr w:type="gramEnd"/>
      <w:r>
        <w:t xml:space="preserve">  denotes significant at level 0.05.</w:t>
      </w:r>
    </w:p>
    <w:p w14:paraId="75E9E1E6" w14:textId="38546BD2" w:rsidR="00CB758C" w:rsidRPr="00CB758C" w:rsidRDefault="00CB758C" w:rsidP="00CB758C">
      <w:r w:rsidRPr="00CB758C">
        <w:t>At 28 days post-</w:t>
      </w:r>
      <w:r>
        <w:t>D</w:t>
      </w:r>
      <w:r w:rsidRPr="00CB758C">
        <w:t>ose</w:t>
      </w:r>
      <w:r>
        <w:t xml:space="preserve"> 2</w:t>
      </w:r>
      <w:r w:rsidRPr="00CB758C">
        <w:t xml:space="preserve"> the GMT for the adolescent group and the adult group was essentially equivalent and within the pre-stated margins of non-inferiority</w:t>
      </w:r>
      <w:r w:rsidR="00562B32">
        <w:t xml:space="preserve"> (</w:t>
      </w:r>
      <w:r w:rsidR="00562B32">
        <w:fldChar w:fldCharType="begin"/>
      </w:r>
      <w:r w:rsidR="00562B32">
        <w:instrText xml:space="preserve"> REF _Ref137636591 \h </w:instrText>
      </w:r>
      <w:r w:rsidR="00562B32">
        <w:fldChar w:fldCharType="separate"/>
      </w:r>
      <w:r w:rsidR="00A15251" w:rsidRPr="001E30AE">
        <w:t xml:space="preserve">Table </w:t>
      </w:r>
      <w:r w:rsidR="00A15251">
        <w:rPr>
          <w:noProof/>
        </w:rPr>
        <w:t>9</w:t>
      </w:r>
      <w:r w:rsidR="00562B32">
        <w:fldChar w:fldCharType="end"/>
      </w:r>
      <w:r w:rsidR="00562B32">
        <w:t>)</w:t>
      </w:r>
      <w:r w:rsidRPr="00CB758C">
        <w:t xml:space="preserve">. The </w:t>
      </w:r>
      <w:r>
        <w:t>clinical evaluator</w:t>
      </w:r>
      <w:r w:rsidRPr="00CB758C">
        <w:t xml:space="preserve"> has noted that this was a comparison across two different studies rather than within a study protocol, albeit with similar protocols. </w:t>
      </w:r>
    </w:p>
    <w:p w14:paraId="2FC7A47C" w14:textId="23CBA5B9" w:rsidR="00155680" w:rsidRPr="00155680" w:rsidRDefault="00155680" w:rsidP="00155680">
      <w:pPr>
        <w:pStyle w:val="Heading5"/>
      </w:pPr>
      <w:r>
        <w:t>S</w:t>
      </w:r>
      <w:r w:rsidRPr="00155680">
        <w:t>afety</w:t>
      </w:r>
    </w:p>
    <w:p w14:paraId="18FDF8C6" w14:textId="56A15E22" w:rsidR="00155680" w:rsidRPr="00155680" w:rsidRDefault="00155680" w:rsidP="00155680">
      <w:pPr>
        <w:rPr>
          <w:szCs w:val="22"/>
        </w:rPr>
      </w:pPr>
      <w:r w:rsidRPr="00155680">
        <w:rPr>
          <w:rFonts w:cs="Cambria"/>
          <w:szCs w:val="22"/>
        </w:rPr>
        <w:t>No dedicated safety studies were submitted.</w:t>
      </w:r>
    </w:p>
    <w:p w14:paraId="4FF89591" w14:textId="77777777" w:rsidR="005E4CD7" w:rsidRDefault="001B4376" w:rsidP="00155680">
      <w:pPr>
        <w:rPr>
          <w:rFonts w:cs="Cambria"/>
          <w:szCs w:val="22"/>
        </w:rPr>
      </w:pPr>
      <w:r>
        <w:rPr>
          <w:rFonts w:cs="Cambria"/>
          <w:szCs w:val="22"/>
        </w:rPr>
        <w:t>Data from controlled studies was short term and mainly recorded reactogenic adverse events.</w:t>
      </w:r>
    </w:p>
    <w:p w14:paraId="2692F421" w14:textId="353867F3" w:rsidR="00155680" w:rsidRDefault="00155680" w:rsidP="00155680">
      <w:pPr>
        <w:rPr>
          <w:rFonts w:cs="Cambria"/>
          <w:szCs w:val="22"/>
        </w:rPr>
      </w:pPr>
      <w:r w:rsidRPr="00155680">
        <w:rPr>
          <w:rFonts w:cs="Cambria"/>
          <w:szCs w:val="22"/>
        </w:rPr>
        <w:t xml:space="preserve">There is a significant body of post-marketed adverse event reporting from the use of MVC in Taiwan, which was provided following </w:t>
      </w:r>
      <w:r>
        <w:rPr>
          <w:rFonts w:cs="Cambria"/>
          <w:szCs w:val="22"/>
        </w:rPr>
        <w:t xml:space="preserve">TGA’s </w:t>
      </w:r>
      <w:r w:rsidRPr="00155680">
        <w:rPr>
          <w:rFonts w:cs="Cambria"/>
          <w:szCs w:val="22"/>
        </w:rPr>
        <w:t xml:space="preserve">questions posed to the </w:t>
      </w:r>
      <w:r>
        <w:rPr>
          <w:rFonts w:cs="Cambria"/>
          <w:szCs w:val="22"/>
        </w:rPr>
        <w:t>s</w:t>
      </w:r>
      <w:r w:rsidRPr="00155680">
        <w:rPr>
          <w:rFonts w:cs="Cambria"/>
          <w:szCs w:val="22"/>
        </w:rPr>
        <w:t xml:space="preserve">ponsor </w:t>
      </w:r>
      <w:r w:rsidR="00AC1E3B">
        <w:rPr>
          <w:rFonts w:cs="Cambria"/>
          <w:szCs w:val="22"/>
        </w:rPr>
        <w:t>following the first round of clinical</w:t>
      </w:r>
      <w:r w:rsidRPr="00155680">
        <w:rPr>
          <w:rFonts w:cs="Cambria"/>
          <w:szCs w:val="22"/>
        </w:rPr>
        <w:t xml:space="preserve"> evaluation.</w:t>
      </w:r>
    </w:p>
    <w:p w14:paraId="4424492E" w14:textId="12374A48" w:rsidR="00155680" w:rsidRDefault="00155680" w:rsidP="00155680">
      <w:pPr>
        <w:pStyle w:val="TableTitle"/>
      </w:pPr>
      <w:bookmarkStart w:id="53" w:name="_Ref137637297"/>
      <w:r w:rsidRPr="00155680">
        <w:lastRenderedPageBreak/>
        <w:t xml:space="preserve">Table </w:t>
      </w:r>
      <w:r w:rsidR="000519D8">
        <w:fldChar w:fldCharType="begin"/>
      </w:r>
      <w:r w:rsidR="000519D8">
        <w:instrText xml:space="preserve"> SEQ Table \* ARABIC </w:instrText>
      </w:r>
      <w:r w:rsidR="000519D8">
        <w:fldChar w:fldCharType="separate"/>
      </w:r>
      <w:r w:rsidR="00A15251">
        <w:rPr>
          <w:noProof/>
        </w:rPr>
        <w:t>10</w:t>
      </w:r>
      <w:r w:rsidR="000519D8">
        <w:rPr>
          <w:noProof/>
        </w:rPr>
        <w:fldChar w:fldCharType="end"/>
      </w:r>
      <w:bookmarkEnd w:id="53"/>
      <w:r>
        <w:t xml:space="preserve">: </w:t>
      </w:r>
      <w:r w:rsidR="00AC1E3B">
        <w:t xml:space="preserve">Study CT-COV-31 </w:t>
      </w:r>
      <w:r>
        <w:t xml:space="preserve">Solicited adverse events by symptom and </w:t>
      </w:r>
      <w:proofErr w:type="gramStart"/>
      <w:r>
        <w:t>severity</w:t>
      </w:r>
      <w:proofErr w:type="gramEnd"/>
    </w:p>
    <w:p w14:paraId="192FF33A" w14:textId="0A09289F" w:rsidR="00155680" w:rsidRDefault="00155680" w:rsidP="00155680">
      <w:r w:rsidRPr="00155680">
        <w:rPr>
          <w:noProof/>
          <w:lang w:val="en-US" w:eastAsia="zh-TW"/>
        </w:rPr>
        <w:drawing>
          <wp:inline distT="0" distB="0" distL="0" distR="0" wp14:anchorId="01AAA936" wp14:editId="3A19D327">
            <wp:extent cx="5759450" cy="3590544"/>
            <wp:effectExtent l="0" t="0" r="0" b="0"/>
            <wp:docPr id="27" name="Picture 27" descr="Solicited adverse events by symptom and severity in Study CT-COV-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olicited adverse events by symptom and severity in Study CT-COV-31"/>
                    <pic:cNvPicPr>
                      <a:picLocks noChangeAspect="1" noChangeArrowheads="1"/>
                    </pic:cNvPicPr>
                  </pic:nvPicPr>
                  <pic:blipFill rotWithShape="1">
                    <a:blip r:embed="rId31">
                      <a:extLst>
                        <a:ext uri="{28A0092B-C50C-407E-A947-70E740481C1C}">
                          <a14:useLocalDpi xmlns:a14="http://schemas.microsoft.com/office/drawing/2010/main" val="0"/>
                        </a:ext>
                      </a:extLst>
                    </a:blip>
                    <a:srcRect t="5760"/>
                    <a:stretch/>
                  </pic:blipFill>
                  <pic:spPr bwMode="auto">
                    <a:xfrm>
                      <a:off x="0" y="0"/>
                      <a:ext cx="5759450" cy="3590544"/>
                    </a:xfrm>
                    <a:prstGeom prst="rect">
                      <a:avLst/>
                    </a:prstGeom>
                    <a:noFill/>
                    <a:ln>
                      <a:noFill/>
                    </a:ln>
                    <a:extLst>
                      <a:ext uri="{53640926-AAD7-44D8-BBD7-CCE9431645EC}">
                        <a14:shadowObscured xmlns:a14="http://schemas.microsoft.com/office/drawing/2010/main"/>
                      </a:ext>
                    </a:extLst>
                  </pic:spPr>
                </pic:pic>
              </a:graphicData>
            </a:graphic>
          </wp:inline>
        </w:drawing>
      </w:r>
      <w:r w:rsidRPr="00155680">
        <w:rPr>
          <w:noProof/>
          <w:lang w:val="en-US" w:eastAsia="zh-TW"/>
        </w:rPr>
        <w:drawing>
          <wp:inline distT="0" distB="0" distL="0" distR="0" wp14:anchorId="0E5B2688" wp14:editId="4C1AFED1">
            <wp:extent cx="5759282" cy="4476903"/>
            <wp:effectExtent l="0" t="0" r="0" b="0"/>
            <wp:docPr id="28" name="Picture 28" descr="Table 10: Study CT-COV-31 Solicited adverse events by symptom and seve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able 10: Study CT-COV-31 Solicited adverse events by symptom and severity"/>
                    <pic:cNvPicPr>
                      <a:picLocks noChangeAspect="1" noChangeArrowheads="1"/>
                    </pic:cNvPicPr>
                  </pic:nvPicPr>
                  <pic:blipFill rotWithShape="1">
                    <a:blip r:embed="rId32">
                      <a:extLst>
                        <a:ext uri="{28A0092B-C50C-407E-A947-70E740481C1C}">
                          <a14:useLocalDpi xmlns:a14="http://schemas.microsoft.com/office/drawing/2010/main" val="0"/>
                        </a:ext>
                      </a:extLst>
                    </a:blip>
                    <a:srcRect b="45278"/>
                    <a:stretch/>
                  </pic:blipFill>
                  <pic:spPr bwMode="auto">
                    <a:xfrm>
                      <a:off x="0" y="0"/>
                      <a:ext cx="5759450" cy="4477034"/>
                    </a:xfrm>
                    <a:prstGeom prst="rect">
                      <a:avLst/>
                    </a:prstGeom>
                    <a:noFill/>
                    <a:ln>
                      <a:noFill/>
                    </a:ln>
                    <a:extLst>
                      <a:ext uri="{53640926-AAD7-44D8-BBD7-CCE9431645EC}">
                        <a14:shadowObscured xmlns:a14="http://schemas.microsoft.com/office/drawing/2010/main"/>
                      </a:ext>
                    </a:extLst>
                  </pic:spPr>
                </pic:pic>
              </a:graphicData>
            </a:graphic>
          </wp:inline>
        </w:drawing>
      </w:r>
    </w:p>
    <w:p w14:paraId="1C680F64" w14:textId="19C2B1D2" w:rsidR="00155680" w:rsidRDefault="00155680" w:rsidP="00155680">
      <w:pPr>
        <w:pStyle w:val="TableTitle"/>
      </w:pPr>
      <w:r w:rsidRPr="00155680">
        <w:lastRenderedPageBreak/>
        <w:t>Table 1</w:t>
      </w:r>
      <w:r w:rsidR="002617A8">
        <w:t>2</w:t>
      </w:r>
      <w:r w:rsidR="00AC1E3B">
        <w:t xml:space="preserve"> (continued)</w:t>
      </w:r>
      <w:r w:rsidRPr="00155680">
        <w:t xml:space="preserve">: </w:t>
      </w:r>
      <w:r w:rsidR="00AC1E3B">
        <w:t xml:space="preserve">Study CT-COV-31 Solicited adverse events by symptom and </w:t>
      </w:r>
      <w:proofErr w:type="gramStart"/>
      <w:r w:rsidR="00AC1E3B">
        <w:t>severity</w:t>
      </w:r>
      <w:proofErr w:type="gramEnd"/>
    </w:p>
    <w:p w14:paraId="22E35CE6" w14:textId="55F3C51F" w:rsidR="00AC1E3B" w:rsidRDefault="00155680" w:rsidP="00155680">
      <w:pPr>
        <w:pStyle w:val="TableTitle"/>
      </w:pPr>
      <w:r w:rsidRPr="00155680">
        <w:rPr>
          <w:noProof/>
          <w:lang w:val="en-US" w:eastAsia="zh-TW"/>
        </w:rPr>
        <w:drawing>
          <wp:inline distT="0" distB="0" distL="0" distR="0" wp14:anchorId="01336ED0" wp14:editId="75050823">
            <wp:extent cx="5757545" cy="3724690"/>
            <wp:effectExtent l="0" t="0" r="0" b="9525"/>
            <wp:docPr id="29" name="Picture 29" descr="Table 12 (continued): Study CT-COV-31 Solicited adverse events by symptom and seve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 12 (continued): Study CT-COV-31 Solicited adverse events by symptom and severity"/>
                    <pic:cNvPicPr>
                      <a:picLocks noChangeAspect="1" noChangeArrowheads="1"/>
                    </pic:cNvPicPr>
                  </pic:nvPicPr>
                  <pic:blipFill rotWithShape="1">
                    <a:blip r:embed="rId32">
                      <a:extLst>
                        <a:ext uri="{28A0092B-C50C-407E-A947-70E740481C1C}">
                          <a14:useLocalDpi xmlns:a14="http://schemas.microsoft.com/office/drawing/2010/main" val="0"/>
                        </a:ext>
                      </a:extLst>
                    </a:blip>
                    <a:srcRect t="54458"/>
                    <a:stretch/>
                  </pic:blipFill>
                  <pic:spPr bwMode="auto">
                    <a:xfrm>
                      <a:off x="0" y="0"/>
                      <a:ext cx="5759450" cy="3725922"/>
                    </a:xfrm>
                    <a:prstGeom prst="rect">
                      <a:avLst/>
                    </a:prstGeom>
                    <a:noFill/>
                    <a:ln>
                      <a:noFill/>
                    </a:ln>
                    <a:extLst>
                      <a:ext uri="{53640926-AAD7-44D8-BBD7-CCE9431645EC}">
                        <a14:shadowObscured xmlns:a14="http://schemas.microsoft.com/office/drawing/2010/main"/>
                      </a:ext>
                    </a:extLst>
                  </pic:spPr>
                </pic:pic>
              </a:graphicData>
            </a:graphic>
          </wp:inline>
        </w:drawing>
      </w:r>
      <w:r w:rsidRPr="00155680">
        <w:t xml:space="preserve"> </w:t>
      </w:r>
      <w:r w:rsidRPr="00155680">
        <w:rPr>
          <w:noProof/>
          <w:lang w:val="en-US" w:eastAsia="zh-TW"/>
        </w:rPr>
        <w:drawing>
          <wp:inline distT="0" distB="0" distL="0" distR="0" wp14:anchorId="462A39BA" wp14:editId="7BA4C332">
            <wp:extent cx="5757545" cy="4638048"/>
            <wp:effectExtent l="0" t="0" r="0" b="0"/>
            <wp:docPr id="30" name="Picture 30" descr="Table 12 (continued): Study CT-COV-31 Solicited adverse events by symptom and seve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able 12 (continued): Study CT-COV-31 Solicited adverse events by symptom and severity"/>
                    <pic:cNvPicPr>
                      <a:picLocks noChangeAspect="1" noChangeArrowheads="1"/>
                    </pic:cNvPicPr>
                  </pic:nvPicPr>
                  <pic:blipFill rotWithShape="1">
                    <a:blip r:embed="rId33">
                      <a:extLst>
                        <a:ext uri="{28A0092B-C50C-407E-A947-70E740481C1C}">
                          <a14:useLocalDpi xmlns:a14="http://schemas.microsoft.com/office/drawing/2010/main" val="0"/>
                        </a:ext>
                      </a:extLst>
                    </a:blip>
                    <a:srcRect r="668" b="34439"/>
                    <a:stretch/>
                  </pic:blipFill>
                  <pic:spPr bwMode="auto">
                    <a:xfrm>
                      <a:off x="0" y="0"/>
                      <a:ext cx="5758450" cy="4638777"/>
                    </a:xfrm>
                    <a:prstGeom prst="rect">
                      <a:avLst/>
                    </a:prstGeom>
                    <a:noFill/>
                    <a:ln>
                      <a:noFill/>
                    </a:ln>
                    <a:extLst>
                      <a:ext uri="{53640926-AAD7-44D8-BBD7-CCE9431645EC}">
                        <a14:shadowObscured xmlns:a14="http://schemas.microsoft.com/office/drawing/2010/main"/>
                      </a:ext>
                    </a:extLst>
                  </pic:spPr>
                </pic:pic>
              </a:graphicData>
            </a:graphic>
          </wp:inline>
        </w:drawing>
      </w:r>
      <w:r w:rsidRPr="00155680">
        <w:t xml:space="preserve"> </w:t>
      </w:r>
    </w:p>
    <w:p w14:paraId="69F46D05" w14:textId="63682C8C" w:rsidR="00155680" w:rsidRPr="00AC1E3B" w:rsidRDefault="00AC1E3B" w:rsidP="00A54AF1">
      <w:r>
        <w:br w:type="page"/>
      </w:r>
      <w:r w:rsidRPr="00A54AF1">
        <w:rPr>
          <w:b/>
        </w:rPr>
        <w:lastRenderedPageBreak/>
        <w:t>Table 1</w:t>
      </w:r>
      <w:r w:rsidR="00A23706">
        <w:rPr>
          <w:b/>
        </w:rPr>
        <w:t>0</w:t>
      </w:r>
      <w:r w:rsidRPr="00A54AF1">
        <w:rPr>
          <w:b/>
        </w:rPr>
        <w:t xml:space="preserve"> (continued): Study CT-COV-31 Solicited adverse events by symptom and </w:t>
      </w:r>
      <w:proofErr w:type="gramStart"/>
      <w:r w:rsidRPr="00A54AF1">
        <w:rPr>
          <w:b/>
        </w:rPr>
        <w:t>severity</w:t>
      </w:r>
      <w:proofErr w:type="gramEnd"/>
    </w:p>
    <w:p w14:paraId="46ACF6B3" w14:textId="69435D10" w:rsidR="00155680" w:rsidRDefault="00155680" w:rsidP="00155680">
      <w:r w:rsidRPr="00155680">
        <w:rPr>
          <w:noProof/>
          <w:lang w:val="en-US" w:eastAsia="zh-TW"/>
        </w:rPr>
        <w:drawing>
          <wp:inline distT="0" distB="0" distL="0" distR="0" wp14:anchorId="25BFF69F" wp14:editId="0860A8BA">
            <wp:extent cx="5720080" cy="1492301"/>
            <wp:effectExtent l="0" t="0" r="0" b="0"/>
            <wp:docPr id="31" name="Picture 31" descr="Table 10 (continued): Study CT-COV-31 Solicited adverse events by symptom and seve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 10 (continued): Study CT-COV-31 Solicited adverse events by symptom and severity"/>
                    <pic:cNvPicPr>
                      <a:picLocks noChangeAspect="1" noChangeArrowheads="1"/>
                    </pic:cNvPicPr>
                  </pic:nvPicPr>
                  <pic:blipFill rotWithShape="1">
                    <a:blip r:embed="rId33">
                      <a:extLst>
                        <a:ext uri="{28A0092B-C50C-407E-A947-70E740481C1C}">
                          <a14:useLocalDpi xmlns:a14="http://schemas.microsoft.com/office/drawing/2010/main" val="0"/>
                        </a:ext>
                      </a:extLst>
                    </a:blip>
                    <a:srcRect t="64937" r="664" b="13830"/>
                    <a:stretch/>
                  </pic:blipFill>
                  <pic:spPr bwMode="auto">
                    <a:xfrm>
                      <a:off x="0" y="0"/>
                      <a:ext cx="5721252" cy="1492607"/>
                    </a:xfrm>
                    <a:prstGeom prst="rect">
                      <a:avLst/>
                    </a:prstGeom>
                    <a:noFill/>
                    <a:ln>
                      <a:noFill/>
                    </a:ln>
                    <a:extLst>
                      <a:ext uri="{53640926-AAD7-44D8-BBD7-CCE9431645EC}">
                        <a14:shadowObscured xmlns:a14="http://schemas.microsoft.com/office/drawing/2010/main"/>
                      </a:ext>
                    </a:extLst>
                  </pic:spPr>
                </pic:pic>
              </a:graphicData>
            </a:graphic>
          </wp:inline>
        </w:drawing>
      </w:r>
    </w:p>
    <w:p w14:paraId="585618D6" w14:textId="146413DB" w:rsidR="00155680" w:rsidRDefault="00155680" w:rsidP="00155680">
      <w:pPr>
        <w:pStyle w:val="TableDescription"/>
      </w:pPr>
      <w:r>
        <w:t>Abbreviations: AE = adverse event; N = number of participants in the population, n = number of participants in the specific category</w:t>
      </w:r>
    </w:p>
    <w:p w14:paraId="5E5A63B7" w14:textId="5CB5156E" w:rsidR="00155680" w:rsidRDefault="00155680" w:rsidP="00155680">
      <w:pPr>
        <w:pStyle w:val="TableDescription"/>
      </w:pPr>
      <w:r>
        <w:t xml:space="preserve">Note: Percentages of participants were calculated with N as the denominator. For each </w:t>
      </w:r>
      <w:proofErr w:type="gramStart"/>
      <w:r>
        <w:t>time period</w:t>
      </w:r>
      <w:proofErr w:type="gramEnd"/>
      <w:r>
        <w:t>, the number and percentage of participants who experienced any of the individual solicited AEs by the highest severity were presented.</w:t>
      </w:r>
    </w:p>
    <w:p w14:paraId="6B0F382B" w14:textId="00176BAC" w:rsidR="00155680" w:rsidRPr="00155680" w:rsidRDefault="00155680" w:rsidP="00155680">
      <w:r w:rsidRPr="00155680">
        <w:t xml:space="preserve">In </w:t>
      </w:r>
      <w:r>
        <w:t>S</w:t>
      </w:r>
      <w:r w:rsidRPr="00155680">
        <w:t xml:space="preserve">tudy CT-COV-31 the percentage of systemic adverse events after the first dose was 45.7% and after the second was 24.5% in recipients of </w:t>
      </w:r>
      <w:r w:rsidR="00AC1E3B">
        <w:t>MVC COVID-19 vaccine</w:t>
      </w:r>
      <w:r w:rsidRPr="00155680">
        <w:t>. The most common</w:t>
      </w:r>
      <w:r>
        <w:t xml:space="preserve"> </w:t>
      </w:r>
      <w:r w:rsidRPr="00155680">
        <w:t xml:space="preserve">adverse events were pain/tenderness (33.1%), which was comparable between </w:t>
      </w:r>
      <w:r w:rsidR="00AC1E3B">
        <w:t xml:space="preserve">MVC COVID-19 vaccine </w:t>
      </w:r>
      <w:r w:rsidRPr="00155680">
        <w:t xml:space="preserve">and </w:t>
      </w:r>
      <w:r w:rsidR="00587C1F">
        <w:t>Vaxzervria</w:t>
      </w:r>
      <w:r w:rsidRPr="00155680">
        <w:t xml:space="preserve">. Headache, fever, malaise and myalgia were relatively common with </w:t>
      </w:r>
      <w:r w:rsidR="00AC1E3B">
        <w:t xml:space="preserve">MVC COVID-19 vaccine </w:t>
      </w:r>
      <w:proofErr w:type="gramStart"/>
      <w:r w:rsidRPr="00155680">
        <w:t>administration, but</w:t>
      </w:r>
      <w:proofErr w:type="gramEnd"/>
      <w:r w:rsidRPr="00155680">
        <w:t xml:space="preserve"> occurred at lower rates than </w:t>
      </w:r>
      <w:r w:rsidR="00587C1F">
        <w:t>Vaxzervria</w:t>
      </w:r>
      <w:r w:rsidR="00562B32">
        <w:t xml:space="preserve"> (</w:t>
      </w:r>
      <w:r w:rsidR="00562B32">
        <w:fldChar w:fldCharType="begin"/>
      </w:r>
      <w:r w:rsidR="00562B32">
        <w:instrText xml:space="preserve"> REF _Ref137637297 \h </w:instrText>
      </w:r>
      <w:r w:rsidR="00562B32">
        <w:fldChar w:fldCharType="separate"/>
      </w:r>
      <w:r w:rsidR="00A15251" w:rsidRPr="00155680">
        <w:t xml:space="preserve">Table </w:t>
      </w:r>
      <w:r w:rsidR="00A15251">
        <w:rPr>
          <w:noProof/>
        </w:rPr>
        <w:t>10</w:t>
      </w:r>
      <w:r w:rsidR="00562B32">
        <w:fldChar w:fldCharType="end"/>
      </w:r>
      <w:r w:rsidR="00562B32">
        <w:t xml:space="preserve"> )</w:t>
      </w:r>
      <w:r w:rsidRPr="00155680">
        <w:t>.</w:t>
      </w:r>
    </w:p>
    <w:p w14:paraId="576CDD91" w14:textId="5D8F5532" w:rsidR="00155680" w:rsidRDefault="00155680" w:rsidP="00155680">
      <w:r w:rsidRPr="00155680">
        <w:t xml:space="preserve">There was one death in an adult in </w:t>
      </w:r>
      <w:r w:rsidR="00562B32">
        <w:t>S</w:t>
      </w:r>
      <w:r w:rsidRPr="00155680">
        <w:t>tudy CT-COV-21 due to respiratory failure, which was considered unrelated to vaccine.</w:t>
      </w:r>
      <w:r>
        <w:t xml:space="preserve"> In the adolescent population (Study CT-COV-22) the rate of solicited </w:t>
      </w:r>
      <w:r w:rsidR="00AC1E3B">
        <w:t xml:space="preserve">adverse events (AEs) </w:t>
      </w:r>
      <w:r>
        <w:t xml:space="preserve">observed was </w:t>
      </w:r>
      <w:proofErr w:type="gramStart"/>
      <w:r>
        <w:t>similar to</w:t>
      </w:r>
      <w:proofErr w:type="gramEnd"/>
      <w:r>
        <w:t xml:space="preserve"> that in adults, but with a higher rate of local pain/tenderness (69.8%) after the first dose at a mild grade of severity</w:t>
      </w:r>
      <w:r w:rsidR="002617A8">
        <w:t xml:space="preserve"> (</w:t>
      </w:r>
      <w:r w:rsidR="002617A8">
        <w:fldChar w:fldCharType="begin"/>
      </w:r>
      <w:r w:rsidR="002617A8">
        <w:instrText xml:space="preserve"> REF _Ref137637438 \h </w:instrText>
      </w:r>
      <w:r w:rsidR="002617A8">
        <w:fldChar w:fldCharType="separate"/>
      </w:r>
      <w:r w:rsidR="00A15251" w:rsidRPr="00155680">
        <w:t xml:space="preserve">Table </w:t>
      </w:r>
      <w:r w:rsidR="00A15251">
        <w:rPr>
          <w:noProof/>
        </w:rPr>
        <w:t>11</w:t>
      </w:r>
      <w:r w:rsidR="002617A8">
        <w:fldChar w:fldCharType="end"/>
      </w:r>
      <w:r w:rsidR="002617A8">
        <w:t>)</w:t>
      </w:r>
      <w:r>
        <w:t xml:space="preserve">. </w:t>
      </w:r>
      <w:proofErr w:type="gramStart"/>
      <w:r>
        <w:t>Overall</w:t>
      </w:r>
      <w:proofErr w:type="gramEnd"/>
      <w:r>
        <w:t xml:space="preserve"> 47.5% of the </w:t>
      </w:r>
      <w:r w:rsidR="00AC1E3B">
        <w:t xml:space="preserve">MVC COVID-19 vaccine </w:t>
      </w:r>
      <w:r>
        <w:t>and 44.8% of the placebo group experienced at least one solicited systemic AE</w:t>
      </w:r>
      <w:r w:rsidR="00AC1E3B">
        <w:t>s</w:t>
      </w:r>
    </w:p>
    <w:p w14:paraId="067CE22A" w14:textId="50ACC058" w:rsidR="00155680" w:rsidRDefault="00155680" w:rsidP="00155680">
      <w:r>
        <w:t xml:space="preserve">No </w:t>
      </w:r>
      <w:r w:rsidR="00AC1E3B">
        <w:t>serious adverse events</w:t>
      </w:r>
      <w:r>
        <w:t xml:space="preserve">, </w:t>
      </w:r>
      <w:r w:rsidR="00AC1E3B">
        <w:t xml:space="preserve">vaccine associated enhanced disease </w:t>
      </w:r>
      <w:r>
        <w:t xml:space="preserve">or </w:t>
      </w:r>
      <w:r w:rsidR="00AC1E3B">
        <w:t>adverse events of special interest</w:t>
      </w:r>
      <w:r>
        <w:t xml:space="preserve"> were reported.</w:t>
      </w:r>
    </w:p>
    <w:p w14:paraId="2A03F1C8" w14:textId="0B435ED1" w:rsidR="00155680" w:rsidRDefault="00155680" w:rsidP="00155680">
      <w:r>
        <w:t>There was no significant pattern amongst the un-solicited AEs.</w:t>
      </w:r>
    </w:p>
    <w:p w14:paraId="329923C3" w14:textId="5108F071" w:rsidR="00155680" w:rsidRDefault="00155680" w:rsidP="00155680">
      <w:pPr>
        <w:pStyle w:val="TableTitle"/>
      </w:pPr>
      <w:bookmarkStart w:id="54" w:name="_Ref137637438"/>
      <w:r w:rsidRPr="00155680">
        <w:lastRenderedPageBreak/>
        <w:t xml:space="preserve">Table </w:t>
      </w:r>
      <w:r w:rsidR="000519D8">
        <w:fldChar w:fldCharType="begin"/>
      </w:r>
      <w:r w:rsidR="000519D8">
        <w:instrText xml:space="preserve"> SEQ Table \* ARABIC </w:instrText>
      </w:r>
      <w:r w:rsidR="000519D8">
        <w:fldChar w:fldCharType="separate"/>
      </w:r>
      <w:r w:rsidR="00A15251">
        <w:rPr>
          <w:noProof/>
        </w:rPr>
        <w:t>11</w:t>
      </w:r>
      <w:r w:rsidR="000519D8">
        <w:rPr>
          <w:noProof/>
        </w:rPr>
        <w:fldChar w:fldCharType="end"/>
      </w:r>
      <w:bookmarkEnd w:id="54"/>
      <w:r>
        <w:t xml:space="preserve">: Study CT-COV-22 </w:t>
      </w:r>
      <w:r w:rsidRPr="00155680">
        <w:t xml:space="preserve">Solicited adverse events by symptom and severity in </w:t>
      </w:r>
      <w:proofErr w:type="gramStart"/>
      <w:r w:rsidRPr="00155680">
        <w:t>adolescents</w:t>
      </w:r>
      <w:proofErr w:type="gramEnd"/>
    </w:p>
    <w:p w14:paraId="0DE3F3FF" w14:textId="56E28007" w:rsidR="00155680" w:rsidRDefault="00155680" w:rsidP="00155680">
      <w:r w:rsidRPr="00155680">
        <w:rPr>
          <w:noProof/>
          <w:lang w:val="en-US" w:eastAsia="zh-TW"/>
        </w:rPr>
        <w:drawing>
          <wp:inline distT="0" distB="0" distL="0" distR="0" wp14:anchorId="72A218B3" wp14:editId="6762E5C0">
            <wp:extent cx="5591173" cy="5952226"/>
            <wp:effectExtent l="0" t="0" r="0" b="0"/>
            <wp:docPr id="32" name="Picture 32" descr="Study CT-COV-22 Solicited adverse events by symptom and severity in adolesc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tudy CT-COV-22 Solicited adverse events by symptom and severity in adolescents"/>
                    <pic:cNvPicPr/>
                  </pic:nvPicPr>
                  <pic:blipFill rotWithShape="1">
                    <a:blip r:embed="rId34"/>
                    <a:srcRect r="10964"/>
                    <a:stretch/>
                  </pic:blipFill>
                  <pic:spPr bwMode="auto">
                    <a:xfrm>
                      <a:off x="0" y="0"/>
                      <a:ext cx="5601390" cy="5963103"/>
                    </a:xfrm>
                    <a:prstGeom prst="rect">
                      <a:avLst/>
                    </a:prstGeom>
                    <a:ln>
                      <a:noFill/>
                    </a:ln>
                    <a:extLst>
                      <a:ext uri="{53640926-AAD7-44D8-BBD7-CCE9431645EC}">
                        <a14:shadowObscured xmlns:a14="http://schemas.microsoft.com/office/drawing/2010/main"/>
                      </a:ext>
                    </a:extLst>
                  </pic:spPr>
                </pic:pic>
              </a:graphicData>
            </a:graphic>
          </wp:inline>
        </w:drawing>
      </w:r>
    </w:p>
    <w:p w14:paraId="4A5680AE" w14:textId="7190A4EC" w:rsidR="00155680" w:rsidRDefault="00155680" w:rsidP="00155680">
      <w:r>
        <w:t>Markers of potential myocarditis were examined in the pharmacodynamic studies</w:t>
      </w:r>
      <w:r w:rsidR="00562B32">
        <w:t>, St</w:t>
      </w:r>
      <w:r w:rsidR="00B0324D">
        <w:t>udies</w:t>
      </w:r>
      <w:r w:rsidR="00AC1E3B">
        <w:t> </w:t>
      </w:r>
      <w:r>
        <w:t>CT</w:t>
      </w:r>
      <w:r w:rsidR="00AC1E3B">
        <w:noBreakHyphen/>
      </w:r>
      <w:r>
        <w:t>COV-</w:t>
      </w:r>
      <w:proofErr w:type="gramStart"/>
      <w:r>
        <w:t>11</w:t>
      </w:r>
      <w:proofErr w:type="gramEnd"/>
      <w:r>
        <w:t xml:space="preserve"> and CT-COV-25. There was one possibly related </w:t>
      </w:r>
      <w:r w:rsidR="00B0324D">
        <w:t>G</w:t>
      </w:r>
      <w:r>
        <w:t>rade 1 ECG abnormality reported but no cases of myocarditis reported in these studies.</w:t>
      </w:r>
    </w:p>
    <w:p w14:paraId="0B49BCB1" w14:textId="1BA73583" w:rsidR="00155680" w:rsidRDefault="00155680" w:rsidP="00155680">
      <w:r>
        <w:t xml:space="preserve">In Studies CT-COV-11 and CT-COV-25 platelet count, coagulation time and </w:t>
      </w:r>
      <w:r w:rsidR="00562B32">
        <w:t>a</w:t>
      </w:r>
      <w:r w:rsidR="00562B32" w:rsidRPr="00562B32">
        <w:t>ctivated partial thromboplastin time</w:t>
      </w:r>
      <w:r>
        <w:t xml:space="preserve"> were conducted at </w:t>
      </w:r>
      <w:r w:rsidR="00B0324D">
        <w:t>B</w:t>
      </w:r>
      <w:r>
        <w:t xml:space="preserve">aseline, </w:t>
      </w:r>
      <w:r w:rsidR="00B0324D">
        <w:t>Day</w:t>
      </w:r>
      <w:r>
        <w:t xml:space="preserve"> 15, 29, 43 and 57. No abnormalities </w:t>
      </w:r>
      <w:r w:rsidR="00B0324D">
        <w:t>o</w:t>
      </w:r>
      <w:r>
        <w:t>f clotting function were detected in patients in these trials.</w:t>
      </w:r>
    </w:p>
    <w:p w14:paraId="26D8907E" w14:textId="77777777" w:rsidR="00155680" w:rsidRDefault="00155680" w:rsidP="00155680">
      <w:pPr>
        <w:pStyle w:val="Heading6"/>
      </w:pPr>
      <w:r>
        <w:t>Post-market data on safety</w:t>
      </w:r>
    </w:p>
    <w:p w14:paraId="5D2C0278" w14:textId="7660F685" w:rsidR="00155680" w:rsidRDefault="00155680" w:rsidP="00155680">
      <w:r>
        <w:t xml:space="preserve">The </w:t>
      </w:r>
      <w:r w:rsidR="00B0324D">
        <w:t>s</w:t>
      </w:r>
      <w:r>
        <w:t>ponsor has noted that in the complete clinical trial data set to 29 March 2023 (n</w:t>
      </w:r>
      <w:r w:rsidR="00B0324D">
        <w:t xml:space="preserve"> </w:t>
      </w:r>
      <w:r>
        <w:t>=</w:t>
      </w:r>
      <w:r w:rsidR="00B0324D">
        <w:t xml:space="preserve"> </w:t>
      </w:r>
      <w:r>
        <w:t xml:space="preserve">5945), which post-dates this </w:t>
      </w:r>
      <w:r w:rsidR="0010690C">
        <w:t xml:space="preserve">submission </w:t>
      </w:r>
      <w:r>
        <w:t xml:space="preserve">by several months, there have been no cases of </w:t>
      </w:r>
      <w:r w:rsidR="0010690C" w:rsidRPr="0010690C">
        <w:t>vaccine-induced imm</w:t>
      </w:r>
      <w:r w:rsidR="0010690C">
        <w:t>une thrombotic thrombocytopenia</w:t>
      </w:r>
      <w:r>
        <w:t>, myocarditis, Guillain-Barre syndrome or anaphylaxis reported.</w:t>
      </w:r>
    </w:p>
    <w:p w14:paraId="21EA5ECB" w14:textId="3CB8AC68" w:rsidR="00155680" w:rsidRDefault="00155680" w:rsidP="00155680">
      <w:r>
        <w:lastRenderedPageBreak/>
        <w:t xml:space="preserve">There has been significant use of </w:t>
      </w:r>
      <w:r w:rsidR="0010690C">
        <w:t xml:space="preserve">the MVC COVID-19 vaccine </w:t>
      </w:r>
      <w:r>
        <w:t>in Taiwan which provides post</w:t>
      </w:r>
      <w:r w:rsidR="0010690C">
        <w:noBreakHyphen/>
      </w:r>
      <w:r>
        <w:t xml:space="preserve">marketing data through pharmacovigilance reporting to the Taiwan </w:t>
      </w:r>
      <w:r w:rsidR="0010690C">
        <w:t>Food and Drug Administration</w:t>
      </w:r>
      <w:r>
        <w:t xml:space="preserve">. A summary of </w:t>
      </w:r>
      <w:r w:rsidR="0010690C">
        <w:t xml:space="preserve">adverse event </w:t>
      </w:r>
      <w:r>
        <w:t xml:space="preserve">reports from 3,069,255 doses of </w:t>
      </w:r>
      <w:r w:rsidR="0010690C">
        <w:t xml:space="preserve">MVC COVID-19 vaccine </w:t>
      </w:r>
      <w:r>
        <w:t xml:space="preserve">administered is provided in </w:t>
      </w:r>
      <w:r w:rsidR="00562B32">
        <w:fldChar w:fldCharType="begin"/>
      </w:r>
      <w:r w:rsidR="00562B32">
        <w:instrText xml:space="preserve"> REF _Ref137637460 \h </w:instrText>
      </w:r>
      <w:r w:rsidR="00562B32">
        <w:fldChar w:fldCharType="separate"/>
      </w:r>
      <w:r w:rsidR="00A15251" w:rsidRPr="00B0324D">
        <w:t xml:space="preserve">Table </w:t>
      </w:r>
      <w:r w:rsidR="00A15251">
        <w:rPr>
          <w:noProof/>
        </w:rPr>
        <w:t>12</w:t>
      </w:r>
      <w:r w:rsidR="00562B32">
        <w:fldChar w:fldCharType="end"/>
      </w:r>
      <w:r w:rsidR="00562B32">
        <w:t>.</w:t>
      </w:r>
    </w:p>
    <w:p w14:paraId="7BE34829" w14:textId="2699B277" w:rsidR="00B0324D" w:rsidRDefault="00B0324D" w:rsidP="00B0324D">
      <w:pPr>
        <w:pStyle w:val="TableTitle"/>
      </w:pPr>
      <w:bookmarkStart w:id="55" w:name="_Ref137637460"/>
      <w:r w:rsidRPr="00B0324D">
        <w:t xml:space="preserve">Table </w:t>
      </w:r>
      <w:r w:rsidR="000519D8">
        <w:fldChar w:fldCharType="begin"/>
      </w:r>
      <w:r w:rsidR="000519D8">
        <w:instrText xml:space="preserve"> SEQ Table \* ARABIC </w:instrText>
      </w:r>
      <w:r w:rsidR="000519D8">
        <w:fldChar w:fldCharType="separate"/>
      </w:r>
      <w:r w:rsidR="00A15251">
        <w:rPr>
          <w:noProof/>
        </w:rPr>
        <w:t>12</w:t>
      </w:r>
      <w:r w:rsidR="000519D8">
        <w:rPr>
          <w:noProof/>
        </w:rPr>
        <w:fldChar w:fldCharType="end"/>
      </w:r>
      <w:bookmarkEnd w:id="55"/>
      <w:r>
        <w:t xml:space="preserve">: </w:t>
      </w:r>
      <w:r w:rsidR="00841E16">
        <w:t>Taiwan Food and Drug Administration; E</w:t>
      </w:r>
      <w:r w:rsidRPr="00B0324D">
        <w:t xml:space="preserve">stimates of rates of </w:t>
      </w:r>
      <w:r>
        <w:t>adverse event</w:t>
      </w:r>
      <w:r w:rsidR="0010690C">
        <w:t>s</w:t>
      </w:r>
      <w:r>
        <w:t xml:space="preserve"> of special interest </w:t>
      </w:r>
      <w:r w:rsidR="00841E16">
        <w:t xml:space="preserve">from adverse event notification </w:t>
      </w:r>
      <w:r w:rsidRPr="00B0324D">
        <w:t xml:space="preserve">during deployment of </w:t>
      </w:r>
      <w:r w:rsidR="0010690C">
        <w:t xml:space="preserve">MVC COVID-19 </w:t>
      </w:r>
      <w:proofErr w:type="gramStart"/>
      <w:r w:rsidRPr="00B0324D">
        <w:t>vaccine</w:t>
      </w:r>
      <w:proofErr w:type="gramEnd"/>
    </w:p>
    <w:p w14:paraId="7CB7A91D" w14:textId="5074FFBD" w:rsidR="00B0324D" w:rsidRDefault="00B0324D" w:rsidP="00B0324D">
      <w:r w:rsidRPr="00B0324D">
        <w:rPr>
          <w:noProof/>
          <w:lang w:val="en-US" w:eastAsia="zh-TW"/>
        </w:rPr>
        <w:drawing>
          <wp:inline distT="0" distB="0" distL="0" distR="0" wp14:anchorId="74775E88" wp14:editId="6BF3B909">
            <wp:extent cx="5394098" cy="5175849"/>
            <wp:effectExtent l="0" t="0" r="0" b="6350"/>
            <wp:docPr id="33" name="Picture 33" descr="Estimates of rates of adverse event of special interest reported to the Taiwan FDA during deployment of MVC vac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Estimates of rates of adverse event of special interest reported to the Taiwan FDA during deployment of MVC vaccine"/>
                    <pic:cNvPicPr>
                      <a:picLocks noChangeAspect="1" noChangeArrowheads="1"/>
                    </pic:cNvPicPr>
                  </pic:nvPicPr>
                  <pic:blipFill rotWithShape="1">
                    <a:blip r:embed="rId35">
                      <a:extLst>
                        <a:ext uri="{28A0092B-C50C-407E-A947-70E740481C1C}">
                          <a14:useLocalDpi xmlns:a14="http://schemas.microsoft.com/office/drawing/2010/main" val="0"/>
                        </a:ext>
                      </a:extLst>
                    </a:blip>
                    <a:srcRect b="2803"/>
                    <a:stretch/>
                  </pic:blipFill>
                  <pic:spPr bwMode="auto">
                    <a:xfrm>
                      <a:off x="0" y="0"/>
                      <a:ext cx="5398510" cy="5180083"/>
                    </a:xfrm>
                    <a:prstGeom prst="rect">
                      <a:avLst/>
                    </a:prstGeom>
                    <a:noFill/>
                    <a:ln>
                      <a:noFill/>
                    </a:ln>
                    <a:extLst>
                      <a:ext uri="{53640926-AAD7-44D8-BBD7-CCE9431645EC}">
                        <a14:shadowObscured xmlns:a14="http://schemas.microsoft.com/office/drawing/2010/main"/>
                      </a:ext>
                    </a:extLst>
                  </pic:spPr>
                </pic:pic>
              </a:graphicData>
            </a:graphic>
          </wp:inline>
        </w:drawing>
      </w:r>
    </w:p>
    <w:p w14:paraId="3383DDA9" w14:textId="2CA68EF7" w:rsidR="0010690C" w:rsidRDefault="00841E16" w:rsidP="00A54AF1">
      <w:pPr>
        <w:pStyle w:val="TableDescription"/>
      </w:pPr>
      <w:r>
        <w:t>Abbreviations: OE = observed-</w:t>
      </w:r>
      <w:r w:rsidR="0010690C">
        <w:t>expected</w:t>
      </w:r>
      <w:r>
        <w:t xml:space="preserve"> analyses are conducted by the Taiwan Food and Drug Administration and announced weekly.</w:t>
      </w:r>
    </w:p>
    <w:p w14:paraId="1A823947" w14:textId="03F0C345" w:rsidR="0010690C" w:rsidRDefault="0010690C" w:rsidP="00A54AF1">
      <w:pPr>
        <w:pStyle w:val="TableDescription"/>
      </w:pPr>
      <w:r>
        <w:t xml:space="preserve">* OE </w:t>
      </w:r>
      <w:proofErr w:type="gramStart"/>
      <w:r>
        <w:t>analysis</w:t>
      </w:r>
      <w:proofErr w:type="gramEnd"/>
      <w:r>
        <w:t xml:space="preserve"> are conducted by Taiwan Food and Drug Administration and announced weekly.</w:t>
      </w:r>
    </w:p>
    <w:p w14:paraId="6C1DD5F3" w14:textId="66DFC06E" w:rsidR="00841E16" w:rsidRPr="00A54AF1" w:rsidRDefault="00841E16">
      <w:pPr>
        <w:rPr>
          <w:rFonts w:eastAsia="Cambria" w:cs="Times New Roman"/>
          <w:sz w:val="18"/>
          <w:szCs w:val="19"/>
        </w:rPr>
      </w:pPr>
      <w:r>
        <w:br w:type="page"/>
      </w:r>
    </w:p>
    <w:p w14:paraId="15F6382D" w14:textId="08AFBFEC" w:rsidR="00B0324D" w:rsidRDefault="00B0324D" w:rsidP="00B0324D">
      <w:pPr>
        <w:pStyle w:val="TableTitle"/>
      </w:pPr>
      <w:bookmarkStart w:id="56" w:name="_Ref137637485"/>
      <w:r w:rsidRPr="00B0324D">
        <w:lastRenderedPageBreak/>
        <w:t xml:space="preserve">Table </w:t>
      </w:r>
      <w:r w:rsidR="000519D8">
        <w:fldChar w:fldCharType="begin"/>
      </w:r>
      <w:r w:rsidR="000519D8">
        <w:instrText xml:space="preserve"> SEQ Table \* ARABIC </w:instrText>
      </w:r>
      <w:r w:rsidR="000519D8">
        <w:fldChar w:fldCharType="separate"/>
      </w:r>
      <w:r w:rsidR="00A15251">
        <w:rPr>
          <w:noProof/>
        </w:rPr>
        <w:t>13</w:t>
      </w:r>
      <w:r w:rsidR="000519D8">
        <w:rPr>
          <w:noProof/>
        </w:rPr>
        <w:fldChar w:fldCharType="end"/>
      </w:r>
      <w:bookmarkEnd w:id="56"/>
      <w:r>
        <w:t xml:space="preserve">: </w:t>
      </w:r>
      <w:r w:rsidR="00841E16">
        <w:t>Taiwan COVID-19 immunisation data; C</w:t>
      </w:r>
      <w:r>
        <w:t xml:space="preserve">omparison of rates of adverse event of special interest observed in </w:t>
      </w:r>
      <w:r w:rsidR="00841E16">
        <w:t xml:space="preserve">with MVC COVID-19 vaccine </w:t>
      </w:r>
      <w:r>
        <w:t xml:space="preserve">and other </w:t>
      </w:r>
      <w:r w:rsidR="00841E16">
        <w:t xml:space="preserve">licensed </w:t>
      </w:r>
      <w:r>
        <w:t>COVID</w:t>
      </w:r>
      <w:r w:rsidR="00841E16">
        <w:t xml:space="preserve">-19 </w:t>
      </w:r>
      <w:proofErr w:type="gramStart"/>
      <w:r>
        <w:t>vaccines</w:t>
      </w:r>
      <w:proofErr w:type="gramEnd"/>
    </w:p>
    <w:p w14:paraId="79324630" w14:textId="513FBC7C" w:rsidR="00B0324D" w:rsidRDefault="00B0324D" w:rsidP="00B0324D">
      <w:r w:rsidRPr="00B0324D">
        <w:rPr>
          <w:noProof/>
          <w:lang w:val="en-US" w:eastAsia="zh-TW"/>
        </w:rPr>
        <w:drawing>
          <wp:inline distT="0" distB="0" distL="0" distR="0" wp14:anchorId="1DE869A4" wp14:editId="0DA14ACD">
            <wp:extent cx="5464175" cy="1155802"/>
            <wp:effectExtent l="0" t="0" r="3175" b="6350"/>
            <wp:docPr id="34" name="Picture 34" descr="Table 13: Taiwan COVID-19 immunisation data; Comparison of rates of adverse event of special interest observed in with MVC COVID-19 vaccine and other licensed COVID-19 vacc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able 13: Taiwan COVID-19 immunisation data; Comparison of rates of adverse event of special interest observed in with MVC COVID-19 vaccine and other licensed COVID-19 vaccines"/>
                    <pic:cNvPicPr>
                      <a:picLocks noChangeAspect="1" noChangeArrowheads="1"/>
                    </pic:cNvPicPr>
                  </pic:nvPicPr>
                  <pic:blipFill rotWithShape="1">
                    <a:blip r:embed="rId36">
                      <a:extLst>
                        <a:ext uri="{28A0092B-C50C-407E-A947-70E740481C1C}">
                          <a14:useLocalDpi xmlns:a14="http://schemas.microsoft.com/office/drawing/2010/main" val="0"/>
                        </a:ext>
                      </a:extLst>
                    </a:blip>
                    <a:srcRect l="1269" r="3852" b="6845"/>
                    <a:stretch/>
                  </pic:blipFill>
                  <pic:spPr bwMode="auto">
                    <a:xfrm>
                      <a:off x="0" y="0"/>
                      <a:ext cx="5464454" cy="1155861"/>
                    </a:xfrm>
                    <a:prstGeom prst="rect">
                      <a:avLst/>
                    </a:prstGeom>
                    <a:noFill/>
                    <a:ln>
                      <a:noFill/>
                    </a:ln>
                    <a:extLst>
                      <a:ext uri="{53640926-AAD7-44D8-BBD7-CCE9431645EC}">
                        <a14:shadowObscured xmlns:a14="http://schemas.microsoft.com/office/drawing/2010/main"/>
                      </a:ext>
                    </a:extLst>
                  </pic:spPr>
                </pic:pic>
              </a:graphicData>
            </a:graphic>
          </wp:inline>
        </w:drawing>
      </w:r>
    </w:p>
    <w:p w14:paraId="152EBB7D" w14:textId="10640717" w:rsidR="00841E16" w:rsidRDefault="00841E16" w:rsidP="00A54AF1">
      <w:pPr>
        <w:pStyle w:val="TableDescription"/>
      </w:pPr>
      <w:r>
        <w:t xml:space="preserve">Abbreviations: AZD1222 = </w:t>
      </w:r>
      <w:proofErr w:type="spellStart"/>
      <w:r>
        <w:t>Vaxzevria</w:t>
      </w:r>
      <w:proofErr w:type="spellEnd"/>
      <w:r>
        <w:t xml:space="preserve"> COVID-19 vaccine (</w:t>
      </w:r>
      <w:proofErr w:type="gramStart"/>
      <w:r>
        <w:t>Astra-Zeneca</w:t>
      </w:r>
      <w:proofErr w:type="gramEnd"/>
      <w:r>
        <w:t>); BNT162b2 = Comirnaty COVID-19 vaccine (Pfizer); MVC-COV1901 = MVC COVID-19 vaccine; mRNA-1273 = Spikevax COVID-19 vaccine (Moderna)</w:t>
      </w:r>
    </w:p>
    <w:p w14:paraId="3F0FB1F0" w14:textId="03FC7910" w:rsidR="00B0324D" w:rsidRDefault="00B0324D" w:rsidP="00B0324D">
      <w:pPr>
        <w:rPr>
          <w:szCs w:val="22"/>
        </w:rPr>
      </w:pPr>
      <w:r>
        <w:rPr>
          <w:szCs w:val="22"/>
        </w:rPr>
        <w:t xml:space="preserve">In comparison to reports received for other vaccines used in Taiwan, the rate of rare </w:t>
      </w:r>
      <w:r>
        <w:t>adverse event of special interest</w:t>
      </w:r>
      <w:r>
        <w:rPr>
          <w:szCs w:val="22"/>
        </w:rPr>
        <w:t xml:space="preserve"> for </w:t>
      </w:r>
      <w:r w:rsidR="00D63A9F">
        <w:rPr>
          <w:szCs w:val="22"/>
        </w:rPr>
        <w:t xml:space="preserve">the </w:t>
      </w:r>
      <w:r w:rsidR="00D63A9F">
        <w:t xml:space="preserve">MVC COVID-19 vaccine </w:t>
      </w:r>
      <w:r>
        <w:rPr>
          <w:szCs w:val="22"/>
        </w:rPr>
        <w:t>appears to have lower rates except for severe allergic reactions</w:t>
      </w:r>
      <w:r w:rsidR="00562B32">
        <w:rPr>
          <w:szCs w:val="22"/>
        </w:rPr>
        <w:t xml:space="preserve"> (</w:t>
      </w:r>
      <w:r w:rsidR="00562B32">
        <w:rPr>
          <w:szCs w:val="22"/>
        </w:rPr>
        <w:fldChar w:fldCharType="begin"/>
      </w:r>
      <w:r w:rsidR="00562B32">
        <w:rPr>
          <w:szCs w:val="22"/>
        </w:rPr>
        <w:instrText xml:space="preserve"> REF _Ref137637485 \h </w:instrText>
      </w:r>
      <w:r w:rsidR="00562B32">
        <w:rPr>
          <w:szCs w:val="22"/>
        </w:rPr>
      </w:r>
      <w:r w:rsidR="00562B32">
        <w:rPr>
          <w:szCs w:val="22"/>
        </w:rPr>
        <w:fldChar w:fldCharType="separate"/>
      </w:r>
      <w:r w:rsidR="00A15251" w:rsidRPr="00B0324D">
        <w:t xml:space="preserve">Table </w:t>
      </w:r>
      <w:r w:rsidR="00A15251">
        <w:rPr>
          <w:noProof/>
        </w:rPr>
        <w:t>13</w:t>
      </w:r>
      <w:r w:rsidR="00562B32">
        <w:rPr>
          <w:szCs w:val="22"/>
        </w:rPr>
        <w:fldChar w:fldCharType="end"/>
      </w:r>
      <w:r w:rsidR="00562B32">
        <w:rPr>
          <w:szCs w:val="22"/>
        </w:rPr>
        <w:t>)</w:t>
      </w:r>
      <w:r>
        <w:rPr>
          <w:szCs w:val="22"/>
        </w:rPr>
        <w:t xml:space="preserve">. It has a low rate of myocarditis reported. However, the Delegate notes that the Emergency Usage Authorisation reported in 2022 for </w:t>
      </w:r>
      <w:r w:rsidR="00D63A9F">
        <w:rPr>
          <w:szCs w:val="22"/>
        </w:rPr>
        <w:t xml:space="preserve">the </w:t>
      </w:r>
      <w:r w:rsidR="00D63A9F">
        <w:t>MVC COVID-19 vaccine</w:t>
      </w:r>
      <w:r w:rsidR="00D63A9F">
        <w:rPr>
          <w:szCs w:val="22"/>
        </w:rPr>
        <w:t xml:space="preserve"> </w:t>
      </w:r>
      <w:r>
        <w:rPr>
          <w:szCs w:val="22"/>
        </w:rPr>
        <w:t>in Taiwan was for adults and this excludes the highest risk cohorts for myocarditis.</w:t>
      </w:r>
    </w:p>
    <w:p w14:paraId="2858B006" w14:textId="77777777" w:rsidR="00C22214" w:rsidRDefault="00C22214" w:rsidP="00C22214">
      <w:pPr>
        <w:pStyle w:val="Heading3"/>
        <w:rPr>
          <w:lang w:eastAsia="en-AU"/>
        </w:rPr>
      </w:pPr>
      <w:bookmarkStart w:id="57" w:name="_Toc314842514"/>
      <w:bookmarkStart w:id="58" w:name="_Toc103679298"/>
      <w:bookmarkStart w:id="59" w:name="_Toc144994865"/>
      <w:r>
        <w:rPr>
          <w:lang w:eastAsia="en-AU"/>
        </w:rPr>
        <w:t>Risk management plan</w:t>
      </w:r>
      <w:bookmarkEnd w:id="57"/>
      <w:bookmarkEnd w:id="58"/>
      <w:bookmarkEnd w:id="59"/>
    </w:p>
    <w:p w14:paraId="760960D4" w14:textId="56C2FD5A" w:rsidR="0020074E" w:rsidRDefault="0020074E" w:rsidP="0020074E">
      <w:pPr>
        <w:rPr>
          <w:szCs w:val="22"/>
        </w:rPr>
      </w:pPr>
      <w:bookmarkStart w:id="60" w:name="_Toc247691531"/>
      <w:bookmarkStart w:id="61" w:name="_Toc314842515"/>
      <w:r>
        <w:rPr>
          <w:szCs w:val="22"/>
        </w:rPr>
        <w:t>The sponsor</w:t>
      </w:r>
      <w:r w:rsidRPr="0020074E">
        <w:rPr>
          <w:szCs w:val="22"/>
        </w:rPr>
        <w:t xml:space="preserve"> has submitted </w:t>
      </w:r>
      <w:r w:rsidR="00B217D4">
        <w:rPr>
          <w:szCs w:val="22"/>
        </w:rPr>
        <w:t>European</w:t>
      </w:r>
      <w:r w:rsidR="00562B32">
        <w:rPr>
          <w:szCs w:val="22"/>
        </w:rPr>
        <w:t xml:space="preserve"> Union</w:t>
      </w:r>
      <w:r w:rsidR="00181A6A">
        <w:rPr>
          <w:szCs w:val="22"/>
        </w:rPr>
        <w:t xml:space="preserve"> (EU)</w:t>
      </w:r>
      <w:r w:rsidRPr="0020074E">
        <w:rPr>
          <w:szCs w:val="22"/>
        </w:rPr>
        <w:t xml:space="preserve">-RMP version 0.1 (dated 25 April 2022; </w:t>
      </w:r>
      <w:r w:rsidR="00562B32">
        <w:rPr>
          <w:szCs w:val="22"/>
        </w:rPr>
        <w:t>data lock point (D</w:t>
      </w:r>
      <w:r w:rsidRPr="0020074E">
        <w:rPr>
          <w:szCs w:val="22"/>
        </w:rPr>
        <w:t>LP</w:t>
      </w:r>
      <w:r w:rsidR="00562B32">
        <w:rPr>
          <w:szCs w:val="22"/>
        </w:rPr>
        <w:t>)</w:t>
      </w:r>
      <w:r w:rsidRPr="0020074E">
        <w:rPr>
          <w:szCs w:val="22"/>
        </w:rPr>
        <w:t xml:space="preserve"> 30 March 2022) and </w:t>
      </w:r>
      <w:r w:rsidR="00562B32">
        <w:rPr>
          <w:szCs w:val="22"/>
        </w:rPr>
        <w:t>Australia specific annex (</w:t>
      </w:r>
      <w:r w:rsidRPr="0020074E">
        <w:rPr>
          <w:szCs w:val="22"/>
        </w:rPr>
        <w:t>ASA</w:t>
      </w:r>
      <w:r w:rsidR="00562B32">
        <w:rPr>
          <w:szCs w:val="22"/>
        </w:rPr>
        <w:t>)</w:t>
      </w:r>
      <w:r w:rsidRPr="0020074E">
        <w:rPr>
          <w:szCs w:val="22"/>
        </w:rPr>
        <w:t xml:space="preserve"> version 0.1 (dated 28</w:t>
      </w:r>
      <w:r w:rsidR="00D63A9F">
        <w:rPr>
          <w:szCs w:val="22"/>
        </w:rPr>
        <w:t> </w:t>
      </w:r>
      <w:r w:rsidRPr="0020074E">
        <w:rPr>
          <w:szCs w:val="22"/>
        </w:rPr>
        <w:t>April</w:t>
      </w:r>
      <w:r w:rsidR="00D63A9F">
        <w:rPr>
          <w:szCs w:val="22"/>
        </w:rPr>
        <w:t> </w:t>
      </w:r>
      <w:r w:rsidRPr="0020074E">
        <w:rPr>
          <w:szCs w:val="22"/>
        </w:rPr>
        <w:t xml:space="preserve">2022) in support of this application. </w:t>
      </w:r>
      <w:r>
        <w:rPr>
          <w:szCs w:val="22"/>
        </w:rPr>
        <w:t>The s</w:t>
      </w:r>
      <w:r w:rsidRPr="0020074E">
        <w:rPr>
          <w:szCs w:val="22"/>
        </w:rPr>
        <w:t xml:space="preserve">ponsor has provided EU-RMP version 0.2 (dated 7 October 2022; DLP 30 September 2022) and ASA version 0.2 (dated 13 October 2022) </w:t>
      </w:r>
      <w:r>
        <w:rPr>
          <w:szCs w:val="22"/>
        </w:rPr>
        <w:t>in response to TGA’s questions</w:t>
      </w:r>
      <w:r w:rsidRPr="0020074E">
        <w:rPr>
          <w:szCs w:val="22"/>
        </w:rPr>
        <w:t>.</w:t>
      </w:r>
      <w:r>
        <w:rPr>
          <w:szCs w:val="22"/>
        </w:rPr>
        <w:t xml:space="preserve"> </w:t>
      </w:r>
      <w:r w:rsidRPr="0020074E">
        <w:rPr>
          <w:szCs w:val="22"/>
        </w:rPr>
        <w:t xml:space="preserve">At </w:t>
      </w:r>
      <w:r>
        <w:rPr>
          <w:szCs w:val="22"/>
        </w:rPr>
        <w:t>third round of evaluation</w:t>
      </w:r>
      <w:r w:rsidRPr="0020074E">
        <w:rPr>
          <w:szCs w:val="22"/>
        </w:rPr>
        <w:t>, sponsor has provided EU-RMP version 0.3 (dated 25 November 2022; DLP 25 November 2022) and ASA version 0.3 (dated 1</w:t>
      </w:r>
      <w:r w:rsidR="00D63A9F">
        <w:rPr>
          <w:szCs w:val="22"/>
        </w:rPr>
        <w:t> </w:t>
      </w:r>
      <w:r w:rsidRPr="0020074E">
        <w:rPr>
          <w:szCs w:val="22"/>
        </w:rPr>
        <w:t>December 2022).</w:t>
      </w:r>
    </w:p>
    <w:p w14:paraId="39F3CD1D" w14:textId="3F337D49" w:rsidR="0072003B" w:rsidRPr="00BD5DBD" w:rsidRDefault="00C22214" w:rsidP="00C22214">
      <w:pPr>
        <w:rPr>
          <w:szCs w:val="22"/>
        </w:rPr>
      </w:pPr>
      <w:r w:rsidRPr="00BD5DBD">
        <w:rPr>
          <w:szCs w:val="22"/>
        </w:rPr>
        <w:t>The summary of safety concerns and their associated risk monitoring and mitigation strategies are summarised in</w:t>
      </w:r>
      <w:r w:rsidR="003B149C">
        <w:rPr>
          <w:szCs w:val="22"/>
        </w:rPr>
        <w:t xml:space="preserve"> </w:t>
      </w:r>
      <w:r w:rsidR="003B149C" w:rsidRPr="003B149C">
        <w:rPr>
          <w:szCs w:val="22"/>
        </w:rPr>
        <w:fldChar w:fldCharType="begin"/>
      </w:r>
      <w:r w:rsidR="003B149C" w:rsidRPr="003B149C">
        <w:rPr>
          <w:szCs w:val="22"/>
        </w:rPr>
        <w:instrText xml:space="preserve"> REF _Ref97629131 \h </w:instrText>
      </w:r>
      <w:r w:rsidR="003B149C">
        <w:rPr>
          <w:szCs w:val="22"/>
        </w:rPr>
        <w:instrText xml:space="preserve"> \* MERGEFORMAT </w:instrText>
      </w:r>
      <w:r w:rsidR="003B149C" w:rsidRPr="003B149C">
        <w:rPr>
          <w:szCs w:val="22"/>
        </w:rPr>
      </w:r>
      <w:r w:rsidR="003B149C" w:rsidRPr="003B149C">
        <w:rPr>
          <w:szCs w:val="22"/>
        </w:rPr>
        <w:fldChar w:fldCharType="separate"/>
      </w:r>
      <w:r w:rsidR="00A15251" w:rsidRPr="00A15251">
        <w:rPr>
          <w:szCs w:val="22"/>
        </w:rPr>
        <w:t xml:space="preserve">Table </w:t>
      </w:r>
      <w:r w:rsidR="00A15251" w:rsidRPr="00A15251">
        <w:rPr>
          <w:noProof/>
          <w:szCs w:val="22"/>
        </w:rPr>
        <w:t>14</w:t>
      </w:r>
      <w:r w:rsidR="003B149C" w:rsidRPr="003B149C">
        <w:rPr>
          <w:szCs w:val="22"/>
        </w:rPr>
        <w:fldChar w:fldCharType="end"/>
      </w:r>
      <w:r w:rsidR="008C49C6" w:rsidRPr="003B149C">
        <w:rPr>
          <w:szCs w:val="22"/>
        </w:rPr>
        <w:t>.</w:t>
      </w:r>
      <w:r w:rsidR="0072003B" w:rsidRPr="00BD5DBD">
        <w:rPr>
          <w:szCs w:val="22"/>
        </w:rPr>
        <w:t xml:space="preserve"> The TGA</w:t>
      </w:r>
      <w:r w:rsidR="00C07551" w:rsidRPr="00BD5DBD">
        <w:rPr>
          <w:szCs w:val="22"/>
        </w:rPr>
        <w:t xml:space="preserve"> may</w:t>
      </w:r>
      <w:r w:rsidR="0072003B" w:rsidRPr="00BD5DBD">
        <w:rPr>
          <w:szCs w:val="22"/>
        </w:rPr>
        <w:t xml:space="preserve"> request an updated RMP at any stage of a product's </w:t>
      </w:r>
      <w:proofErr w:type="gramStart"/>
      <w:r w:rsidR="0072003B" w:rsidRPr="00BD5DBD">
        <w:rPr>
          <w:szCs w:val="22"/>
        </w:rPr>
        <w:t>life-cycle</w:t>
      </w:r>
      <w:proofErr w:type="gramEnd"/>
      <w:r w:rsidR="0072003B" w:rsidRPr="00BD5DBD">
        <w:rPr>
          <w:szCs w:val="22"/>
        </w:rPr>
        <w:t>, during both the pre-approval and post-approval phases.</w:t>
      </w:r>
    </w:p>
    <w:p w14:paraId="56B51A93" w14:textId="04B0DBFD" w:rsidR="006A277A" w:rsidRDefault="00C22214" w:rsidP="00C22214">
      <w:pPr>
        <w:pStyle w:val="TableTitle"/>
      </w:pPr>
      <w:bookmarkStart w:id="62" w:name="_Ref97629131"/>
      <w:r>
        <w:t xml:space="preserve">Table </w:t>
      </w:r>
      <w:r w:rsidR="000519D8">
        <w:fldChar w:fldCharType="begin"/>
      </w:r>
      <w:r w:rsidR="000519D8">
        <w:instrText xml:space="preserve"> SEQ Table \* ARABIC </w:instrText>
      </w:r>
      <w:r w:rsidR="000519D8">
        <w:fldChar w:fldCharType="separate"/>
      </w:r>
      <w:r w:rsidR="00A15251">
        <w:rPr>
          <w:noProof/>
        </w:rPr>
        <w:t>14</w:t>
      </w:r>
      <w:r w:rsidR="000519D8">
        <w:rPr>
          <w:noProof/>
        </w:rPr>
        <w:fldChar w:fldCharType="end"/>
      </w:r>
      <w:bookmarkEnd w:id="62"/>
      <w:r>
        <w:t>: Summary of safety concerns</w:t>
      </w:r>
    </w:p>
    <w:tbl>
      <w:tblPr>
        <w:tblStyle w:val="TableTGAblue2023"/>
        <w:tblW w:w="5000" w:type="pct"/>
        <w:tblLook w:val="04A0" w:firstRow="1" w:lastRow="0" w:firstColumn="1" w:lastColumn="0" w:noHBand="0" w:noVBand="1"/>
      </w:tblPr>
      <w:tblGrid>
        <w:gridCol w:w="1438"/>
        <w:gridCol w:w="3934"/>
        <w:gridCol w:w="822"/>
        <w:gridCol w:w="1022"/>
        <w:gridCol w:w="822"/>
        <w:gridCol w:w="1022"/>
      </w:tblGrid>
      <w:tr w:rsidR="0020074E" w:rsidRPr="00C41949" w14:paraId="5EF7546D" w14:textId="77777777" w:rsidTr="00A54AF1">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2917" w:type="pct"/>
            <w:gridSpan w:val="2"/>
            <w:vMerge w:val="restart"/>
          </w:tcPr>
          <w:p w14:paraId="15095D1F" w14:textId="77777777" w:rsidR="0020074E" w:rsidRPr="00C41949" w:rsidRDefault="0020074E" w:rsidP="00B850F9">
            <w:pPr>
              <w:pStyle w:val="Tabletext0"/>
              <w:rPr>
                <w:b w:val="0"/>
                <w:kern w:val="0"/>
              </w:rPr>
            </w:pPr>
            <w:r w:rsidRPr="00C41949">
              <w:rPr>
                <w:kern w:val="0"/>
              </w:rPr>
              <w:t>Summary of safety concerns</w:t>
            </w:r>
          </w:p>
        </w:tc>
        <w:tc>
          <w:tcPr>
            <w:tcW w:w="1048" w:type="pct"/>
            <w:gridSpan w:val="2"/>
          </w:tcPr>
          <w:p w14:paraId="234623B0" w14:textId="0EA05E6D" w:rsidR="0020074E" w:rsidRPr="00C41949" w:rsidRDefault="0020074E" w:rsidP="0020074E">
            <w:pPr>
              <w:pStyle w:val="Tabletext0"/>
              <w:ind w:left="0"/>
              <w:cnfStyle w:val="100000000000" w:firstRow="1" w:lastRow="0" w:firstColumn="0" w:lastColumn="0" w:oddVBand="0" w:evenVBand="0" w:oddHBand="0" w:evenHBand="0" w:firstRowFirstColumn="0" w:firstRowLastColumn="0" w:lastRowFirstColumn="0" w:lastRowLastColumn="0"/>
              <w:rPr>
                <w:b w:val="0"/>
                <w:kern w:val="0"/>
                <w:sz w:val="18"/>
              </w:rPr>
            </w:pPr>
            <w:r w:rsidRPr="00C41949">
              <w:rPr>
                <w:kern w:val="0"/>
                <w:sz w:val="18"/>
              </w:rPr>
              <w:t>Pharmacovigilance</w:t>
            </w:r>
          </w:p>
        </w:tc>
        <w:tc>
          <w:tcPr>
            <w:tcW w:w="1035" w:type="pct"/>
            <w:gridSpan w:val="2"/>
          </w:tcPr>
          <w:p w14:paraId="54D3DDF8" w14:textId="77777777" w:rsidR="0020074E" w:rsidRPr="00C41949" w:rsidRDefault="0020074E" w:rsidP="0020074E">
            <w:pPr>
              <w:pStyle w:val="Tabletext0"/>
              <w:ind w:left="0"/>
              <w:cnfStyle w:val="100000000000" w:firstRow="1" w:lastRow="0" w:firstColumn="0" w:lastColumn="0" w:oddVBand="0" w:evenVBand="0" w:oddHBand="0" w:evenHBand="0" w:firstRowFirstColumn="0" w:firstRowLastColumn="0" w:lastRowFirstColumn="0" w:lastRowLastColumn="0"/>
              <w:rPr>
                <w:b w:val="0"/>
                <w:kern w:val="0"/>
                <w:sz w:val="18"/>
              </w:rPr>
            </w:pPr>
            <w:r w:rsidRPr="00C41949">
              <w:rPr>
                <w:kern w:val="0"/>
                <w:sz w:val="18"/>
              </w:rPr>
              <w:t>Risk Minimisation</w:t>
            </w:r>
          </w:p>
        </w:tc>
      </w:tr>
      <w:tr w:rsidR="0020074E" w:rsidRPr="00C41949" w14:paraId="60C1CB08" w14:textId="77777777" w:rsidTr="00A54AF1">
        <w:trPr>
          <w:trHeight w:val="150"/>
        </w:trPr>
        <w:tc>
          <w:tcPr>
            <w:cnfStyle w:val="001000000000" w:firstRow="0" w:lastRow="0" w:firstColumn="1" w:lastColumn="0" w:oddVBand="0" w:evenVBand="0" w:oddHBand="0" w:evenHBand="0" w:firstRowFirstColumn="0" w:firstRowLastColumn="0" w:lastRowFirstColumn="0" w:lastRowLastColumn="0"/>
            <w:tcW w:w="2917" w:type="pct"/>
            <w:gridSpan w:val="2"/>
            <w:vMerge/>
          </w:tcPr>
          <w:p w14:paraId="516EB190" w14:textId="77777777" w:rsidR="0020074E" w:rsidRPr="00C41949" w:rsidRDefault="0020074E" w:rsidP="00B850F9">
            <w:pPr>
              <w:pStyle w:val="Tabletext0"/>
              <w:rPr>
                <w:b/>
                <w:kern w:val="0"/>
              </w:rPr>
            </w:pPr>
          </w:p>
        </w:tc>
        <w:tc>
          <w:tcPr>
            <w:tcW w:w="449" w:type="pct"/>
          </w:tcPr>
          <w:p w14:paraId="1E9EC498" w14:textId="77777777" w:rsidR="0020074E" w:rsidRPr="00C41949" w:rsidRDefault="0020074E" w:rsidP="0020074E">
            <w:pPr>
              <w:pStyle w:val="Tabletext0"/>
              <w:ind w:left="0"/>
              <w:cnfStyle w:val="000000000000" w:firstRow="0" w:lastRow="0" w:firstColumn="0" w:lastColumn="0" w:oddVBand="0" w:evenVBand="0" w:oddHBand="0" w:evenHBand="0" w:firstRowFirstColumn="0" w:firstRowLastColumn="0" w:lastRowFirstColumn="0" w:lastRowLastColumn="0"/>
              <w:rPr>
                <w:kern w:val="0"/>
                <w:sz w:val="18"/>
              </w:rPr>
            </w:pPr>
            <w:r w:rsidRPr="00C41949">
              <w:rPr>
                <w:kern w:val="0"/>
                <w:sz w:val="18"/>
              </w:rPr>
              <w:t>Routine</w:t>
            </w:r>
          </w:p>
        </w:tc>
        <w:tc>
          <w:tcPr>
            <w:tcW w:w="599" w:type="pct"/>
          </w:tcPr>
          <w:p w14:paraId="4BE8C88B" w14:textId="4AD99431" w:rsidR="0020074E" w:rsidRPr="00C41949" w:rsidRDefault="0020074E" w:rsidP="0020074E">
            <w:pPr>
              <w:pStyle w:val="Tabletext0"/>
              <w:ind w:left="0"/>
              <w:cnfStyle w:val="000000000000" w:firstRow="0" w:lastRow="0" w:firstColumn="0" w:lastColumn="0" w:oddVBand="0" w:evenVBand="0" w:oddHBand="0" w:evenHBand="0" w:firstRowFirstColumn="0" w:firstRowLastColumn="0" w:lastRowFirstColumn="0" w:lastRowLastColumn="0"/>
              <w:rPr>
                <w:kern w:val="0"/>
                <w:sz w:val="18"/>
              </w:rPr>
            </w:pPr>
            <w:r>
              <w:rPr>
                <w:kern w:val="0"/>
                <w:sz w:val="18"/>
              </w:rPr>
              <w:t>A</w:t>
            </w:r>
            <w:r w:rsidRPr="00C41949">
              <w:rPr>
                <w:kern w:val="0"/>
                <w:sz w:val="18"/>
              </w:rPr>
              <w:t>dditional</w:t>
            </w:r>
          </w:p>
        </w:tc>
        <w:tc>
          <w:tcPr>
            <w:tcW w:w="482" w:type="pct"/>
          </w:tcPr>
          <w:p w14:paraId="3C6267B8" w14:textId="41A13FDB" w:rsidR="0020074E" w:rsidRPr="00C41949" w:rsidRDefault="0020074E" w:rsidP="0020074E">
            <w:pPr>
              <w:pStyle w:val="Tabletext0"/>
              <w:ind w:left="0"/>
              <w:cnfStyle w:val="000000000000" w:firstRow="0" w:lastRow="0" w:firstColumn="0" w:lastColumn="0" w:oddVBand="0" w:evenVBand="0" w:oddHBand="0" w:evenHBand="0" w:firstRowFirstColumn="0" w:firstRowLastColumn="0" w:lastRowFirstColumn="0" w:lastRowLastColumn="0"/>
              <w:rPr>
                <w:kern w:val="0"/>
                <w:sz w:val="18"/>
              </w:rPr>
            </w:pPr>
            <w:r>
              <w:rPr>
                <w:kern w:val="0"/>
                <w:sz w:val="18"/>
              </w:rPr>
              <w:t>R</w:t>
            </w:r>
            <w:r w:rsidRPr="00C41949">
              <w:rPr>
                <w:kern w:val="0"/>
                <w:sz w:val="18"/>
              </w:rPr>
              <w:t>outine</w:t>
            </w:r>
          </w:p>
        </w:tc>
        <w:tc>
          <w:tcPr>
            <w:tcW w:w="553" w:type="pct"/>
          </w:tcPr>
          <w:p w14:paraId="2631D4EA" w14:textId="77777777" w:rsidR="0020074E" w:rsidRPr="00C41949" w:rsidRDefault="0020074E" w:rsidP="0020074E">
            <w:pPr>
              <w:pStyle w:val="Tabletext0"/>
              <w:ind w:left="0"/>
              <w:cnfStyle w:val="000000000000" w:firstRow="0" w:lastRow="0" w:firstColumn="0" w:lastColumn="0" w:oddVBand="0" w:evenVBand="0" w:oddHBand="0" w:evenHBand="0" w:firstRowFirstColumn="0" w:firstRowLastColumn="0" w:lastRowFirstColumn="0" w:lastRowLastColumn="0"/>
              <w:rPr>
                <w:kern w:val="0"/>
                <w:sz w:val="18"/>
              </w:rPr>
            </w:pPr>
            <w:r w:rsidRPr="00C41949">
              <w:rPr>
                <w:kern w:val="0"/>
                <w:sz w:val="18"/>
              </w:rPr>
              <w:t>Additional</w:t>
            </w:r>
          </w:p>
        </w:tc>
      </w:tr>
      <w:tr w:rsidR="0020074E" w:rsidRPr="00C41949" w14:paraId="28C8DAF7" w14:textId="77777777" w:rsidTr="00A54AF1">
        <w:trPr>
          <w:trHeight w:val="789"/>
        </w:trPr>
        <w:tc>
          <w:tcPr>
            <w:cnfStyle w:val="001000000000" w:firstRow="0" w:lastRow="0" w:firstColumn="1" w:lastColumn="0" w:oddVBand="0" w:evenVBand="0" w:oddHBand="0" w:evenHBand="0" w:firstRowFirstColumn="0" w:firstRowLastColumn="0" w:lastRowFirstColumn="0" w:lastRowLastColumn="0"/>
            <w:tcW w:w="701" w:type="pct"/>
          </w:tcPr>
          <w:p w14:paraId="0596CA53" w14:textId="77777777" w:rsidR="0020074E" w:rsidRPr="00C41949" w:rsidRDefault="0020074E" w:rsidP="0020074E">
            <w:pPr>
              <w:pStyle w:val="Tabletext0"/>
              <w:ind w:left="0"/>
              <w:rPr>
                <w:b/>
                <w:kern w:val="0"/>
              </w:rPr>
            </w:pPr>
            <w:r w:rsidRPr="00C41949">
              <w:rPr>
                <w:b/>
                <w:kern w:val="0"/>
              </w:rPr>
              <w:t>Important identified risks</w:t>
            </w:r>
          </w:p>
        </w:tc>
        <w:tc>
          <w:tcPr>
            <w:tcW w:w="2216" w:type="pct"/>
          </w:tcPr>
          <w:p w14:paraId="04DC9285" w14:textId="77777777" w:rsidR="0020074E" w:rsidRPr="00C41949" w:rsidRDefault="0020074E" w:rsidP="00B850F9">
            <w:pPr>
              <w:pStyle w:val="Tabletext0"/>
              <w:cnfStyle w:val="000000000000" w:firstRow="0" w:lastRow="0" w:firstColumn="0" w:lastColumn="0" w:oddVBand="0" w:evenVBand="0" w:oddHBand="0" w:evenHBand="0" w:firstRowFirstColumn="0" w:firstRowLastColumn="0" w:lastRowFirstColumn="0" w:lastRowLastColumn="0"/>
              <w:rPr>
                <w:kern w:val="0"/>
              </w:rPr>
            </w:pPr>
            <w:r w:rsidRPr="00C41949">
              <w:rPr>
                <w:kern w:val="0"/>
              </w:rPr>
              <w:t>None</w:t>
            </w:r>
          </w:p>
        </w:tc>
        <w:tc>
          <w:tcPr>
            <w:tcW w:w="449" w:type="pct"/>
          </w:tcPr>
          <w:p w14:paraId="1CEDACEB" w14:textId="77777777" w:rsidR="0020074E" w:rsidRPr="00C41949" w:rsidRDefault="0020074E" w:rsidP="00B850F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C41949">
              <w:rPr>
                <w:kern w:val="0"/>
              </w:rPr>
              <w:t>–</w:t>
            </w:r>
          </w:p>
        </w:tc>
        <w:tc>
          <w:tcPr>
            <w:tcW w:w="599" w:type="pct"/>
          </w:tcPr>
          <w:p w14:paraId="650F7A7A" w14:textId="77777777" w:rsidR="0020074E" w:rsidRPr="00C41949" w:rsidRDefault="0020074E" w:rsidP="00B850F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C41949">
              <w:rPr>
                <w:kern w:val="0"/>
              </w:rPr>
              <w:t>–</w:t>
            </w:r>
          </w:p>
        </w:tc>
        <w:tc>
          <w:tcPr>
            <w:tcW w:w="482" w:type="pct"/>
          </w:tcPr>
          <w:p w14:paraId="1DDA829F" w14:textId="77777777" w:rsidR="0020074E" w:rsidRPr="00C41949" w:rsidRDefault="0020074E" w:rsidP="00B850F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C41949">
              <w:rPr>
                <w:kern w:val="0"/>
              </w:rPr>
              <w:t>–</w:t>
            </w:r>
          </w:p>
        </w:tc>
        <w:tc>
          <w:tcPr>
            <w:tcW w:w="553" w:type="pct"/>
          </w:tcPr>
          <w:p w14:paraId="62D1E19B" w14:textId="77777777" w:rsidR="0020074E" w:rsidRPr="00C41949" w:rsidRDefault="0020074E" w:rsidP="00B850F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C41949">
              <w:rPr>
                <w:kern w:val="0"/>
              </w:rPr>
              <w:t>–</w:t>
            </w:r>
          </w:p>
        </w:tc>
      </w:tr>
      <w:tr w:rsidR="0020074E" w:rsidRPr="00C41949" w14:paraId="3CF98C73" w14:textId="77777777" w:rsidTr="00A54AF1">
        <w:trPr>
          <w:trHeight w:val="159"/>
        </w:trPr>
        <w:tc>
          <w:tcPr>
            <w:cnfStyle w:val="001000000000" w:firstRow="0" w:lastRow="0" w:firstColumn="1" w:lastColumn="0" w:oddVBand="0" w:evenVBand="0" w:oddHBand="0" w:evenHBand="0" w:firstRowFirstColumn="0" w:firstRowLastColumn="0" w:lastRowFirstColumn="0" w:lastRowLastColumn="0"/>
            <w:tcW w:w="701" w:type="pct"/>
            <w:vMerge w:val="restart"/>
          </w:tcPr>
          <w:p w14:paraId="3C84FF89" w14:textId="77777777" w:rsidR="0020074E" w:rsidRPr="00C41949" w:rsidRDefault="0020074E" w:rsidP="0020074E">
            <w:pPr>
              <w:pStyle w:val="Tabletext0"/>
              <w:ind w:left="0"/>
              <w:rPr>
                <w:b/>
                <w:kern w:val="0"/>
              </w:rPr>
            </w:pPr>
            <w:r w:rsidRPr="00C41949">
              <w:rPr>
                <w:b/>
                <w:kern w:val="0"/>
              </w:rPr>
              <w:t>Important potential risks</w:t>
            </w:r>
          </w:p>
        </w:tc>
        <w:tc>
          <w:tcPr>
            <w:tcW w:w="2216" w:type="pct"/>
          </w:tcPr>
          <w:p w14:paraId="554C0163" w14:textId="77777777" w:rsidR="0020074E" w:rsidRPr="00C41949" w:rsidRDefault="0020074E" w:rsidP="00B850F9">
            <w:pPr>
              <w:pStyle w:val="Tabletext0"/>
              <w:cnfStyle w:val="000000000000" w:firstRow="0" w:lastRow="0" w:firstColumn="0" w:lastColumn="0" w:oddVBand="0" w:evenVBand="0" w:oddHBand="0" w:evenHBand="0" w:firstRowFirstColumn="0" w:firstRowLastColumn="0" w:lastRowFirstColumn="0" w:lastRowLastColumn="0"/>
              <w:rPr>
                <w:kern w:val="0"/>
              </w:rPr>
            </w:pPr>
            <w:r w:rsidRPr="00C41949">
              <w:rPr>
                <w:kern w:val="0"/>
              </w:rPr>
              <w:t>Myocarditis/Pericarditis</w:t>
            </w:r>
          </w:p>
        </w:tc>
        <w:tc>
          <w:tcPr>
            <w:tcW w:w="449" w:type="pct"/>
          </w:tcPr>
          <w:p w14:paraId="5FDE0BE7" w14:textId="77777777" w:rsidR="0020074E" w:rsidRPr="00C41949" w:rsidRDefault="0020074E" w:rsidP="00B850F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C41949">
              <w:rPr>
                <w:rFonts w:eastAsia="Cambria"/>
                <w:kern w:val="0"/>
              </w:rPr>
              <w:sym w:font="Wingdings" w:char="F0FC"/>
            </w:r>
          </w:p>
        </w:tc>
        <w:tc>
          <w:tcPr>
            <w:tcW w:w="599" w:type="pct"/>
          </w:tcPr>
          <w:p w14:paraId="647B8E0F" w14:textId="77777777" w:rsidR="0020074E" w:rsidRPr="00C41949" w:rsidRDefault="0020074E" w:rsidP="00B850F9">
            <w:pPr>
              <w:pStyle w:val="Tabletext0"/>
              <w:jc w:val="center"/>
              <w:cnfStyle w:val="000000000000" w:firstRow="0" w:lastRow="0" w:firstColumn="0" w:lastColumn="0" w:oddVBand="0" w:evenVBand="0" w:oddHBand="0" w:evenHBand="0" w:firstRowFirstColumn="0" w:firstRowLastColumn="0" w:lastRowFirstColumn="0" w:lastRowLastColumn="0"/>
              <w:rPr>
                <w:kern w:val="0"/>
                <w:vertAlign w:val="superscript"/>
              </w:rPr>
            </w:pPr>
            <w:r w:rsidRPr="00C41949">
              <w:rPr>
                <w:rFonts w:eastAsia="Cambria"/>
                <w:kern w:val="0"/>
              </w:rPr>
              <w:sym w:font="Wingdings" w:char="F0FC"/>
            </w:r>
            <w:r w:rsidRPr="00C41949">
              <w:rPr>
                <w:rFonts w:eastAsia="Cambria"/>
                <w:kern w:val="0"/>
                <w:vertAlign w:val="superscript"/>
              </w:rPr>
              <w:t>1</w:t>
            </w:r>
          </w:p>
        </w:tc>
        <w:tc>
          <w:tcPr>
            <w:tcW w:w="482" w:type="pct"/>
          </w:tcPr>
          <w:p w14:paraId="7305B9ED" w14:textId="77777777" w:rsidR="0020074E" w:rsidRPr="00C41949" w:rsidRDefault="0020074E" w:rsidP="00B850F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C41949">
              <w:rPr>
                <w:rFonts w:eastAsia="Cambria"/>
                <w:kern w:val="0"/>
              </w:rPr>
              <w:sym w:font="Wingdings" w:char="F0FC"/>
            </w:r>
          </w:p>
        </w:tc>
        <w:tc>
          <w:tcPr>
            <w:tcW w:w="553" w:type="pct"/>
          </w:tcPr>
          <w:p w14:paraId="3DBAA931" w14:textId="77777777" w:rsidR="0020074E" w:rsidRPr="00C41949" w:rsidRDefault="0020074E" w:rsidP="00B850F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C41949">
              <w:rPr>
                <w:kern w:val="0"/>
              </w:rPr>
              <w:t>–</w:t>
            </w:r>
          </w:p>
        </w:tc>
      </w:tr>
      <w:tr w:rsidR="0020074E" w:rsidRPr="00C41949" w14:paraId="15924752" w14:textId="77777777" w:rsidTr="00A54AF1">
        <w:trPr>
          <w:trHeight w:val="122"/>
        </w:trPr>
        <w:tc>
          <w:tcPr>
            <w:cnfStyle w:val="001000000000" w:firstRow="0" w:lastRow="0" w:firstColumn="1" w:lastColumn="0" w:oddVBand="0" w:evenVBand="0" w:oddHBand="0" w:evenHBand="0" w:firstRowFirstColumn="0" w:firstRowLastColumn="0" w:lastRowFirstColumn="0" w:lastRowLastColumn="0"/>
            <w:tcW w:w="701" w:type="pct"/>
            <w:vMerge/>
          </w:tcPr>
          <w:p w14:paraId="4C8DF4D6" w14:textId="77777777" w:rsidR="0020074E" w:rsidRPr="00C41949" w:rsidRDefault="0020074E" w:rsidP="00B850F9">
            <w:pPr>
              <w:pStyle w:val="Tabletext0"/>
              <w:rPr>
                <w:b/>
                <w:kern w:val="0"/>
              </w:rPr>
            </w:pPr>
          </w:p>
        </w:tc>
        <w:tc>
          <w:tcPr>
            <w:tcW w:w="2216" w:type="pct"/>
          </w:tcPr>
          <w:p w14:paraId="7CF6A682" w14:textId="77777777" w:rsidR="0020074E" w:rsidRPr="00C41949" w:rsidRDefault="0020074E" w:rsidP="00B850F9">
            <w:pPr>
              <w:pStyle w:val="Tabletext0"/>
              <w:cnfStyle w:val="000000000000" w:firstRow="0" w:lastRow="0" w:firstColumn="0" w:lastColumn="0" w:oddVBand="0" w:evenVBand="0" w:oddHBand="0" w:evenHBand="0" w:firstRowFirstColumn="0" w:firstRowLastColumn="0" w:lastRowFirstColumn="0" w:lastRowLastColumn="0"/>
              <w:rPr>
                <w:kern w:val="0"/>
              </w:rPr>
            </w:pPr>
            <w:r w:rsidRPr="00C41949">
              <w:rPr>
                <w:kern w:val="0"/>
              </w:rPr>
              <w:t>Severe allergic reactions including anaphylaxis</w:t>
            </w:r>
          </w:p>
        </w:tc>
        <w:tc>
          <w:tcPr>
            <w:tcW w:w="449" w:type="pct"/>
          </w:tcPr>
          <w:p w14:paraId="1D5EB13B" w14:textId="77777777" w:rsidR="0020074E" w:rsidRPr="00C41949" w:rsidRDefault="0020074E" w:rsidP="00B850F9">
            <w:pPr>
              <w:pStyle w:val="Tabletext0"/>
              <w:cnfStyle w:val="000000000000" w:firstRow="0" w:lastRow="0" w:firstColumn="0" w:lastColumn="0" w:oddVBand="0" w:evenVBand="0" w:oddHBand="0" w:evenHBand="0" w:firstRowFirstColumn="0" w:firstRowLastColumn="0" w:lastRowFirstColumn="0" w:lastRowLastColumn="0"/>
              <w:rPr>
                <w:kern w:val="0"/>
                <w:vertAlign w:val="superscript"/>
              </w:rPr>
            </w:pPr>
            <w:r w:rsidRPr="00C41949">
              <w:rPr>
                <w:rFonts w:eastAsia="Cambria"/>
                <w:kern w:val="0"/>
              </w:rPr>
              <w:t xml:space="preserve">     </w:t>
            </w:r>
            <w:r w:rsidRPr="00C41949">
              <w:rPr>
                <w:rFonts w:eastAsia="Cambria"/>
                <w:kern w:val="0"/>
              </w:rPr>
              <w:sym w:font="Wingdings" w:char="F0FC"/>
            </w:r>
            <w:r w:rsidRPr="00C41949">
              <w:rPr>
                <w:rFonts w:eastAsia="Cambria"/>
                <w:kern w:val="0"/>
                <w:vertAlign w:val="superscript"/>
              </w:rPr>
              <w:t>2</w:t>
            </w:r>
          </w:p>
        </w:tc>
        <w:tc>
          <w:tcPr>
            <w:tcW w:w="599" w:type="pct"/>
          </w:tcPr>
          <w:p w14:paraId="54C1DC67" w14:textId="77777777" w:rsidR="0020074E" w:rsidRPr="00C41949" w:rsidRDefault="0020074E" w:rsidP="00B850F9">
            <w:pPr>
              <w:pStyle w:val="Tabletext0"/>
              <w:jc w:val="center"/>
              <w:cnfStyle w:val="000000000000" w:firstRow="0" w:lastRow="0" w:firstColumn="0" w:lastColumn="0" w:oddVBand="0" w:evenVBand="0" w:oddHBand="0" w:evenHBand="0" w:firstRowFirstColumn="0" w:firstRowLastColumn="0" w:lastRowFirstColumn="0" w:lastRowLastColumn="0"/>
              <w:rPr>
                <w:kern w:val="0"/>
                <w:vertAlign w:val="superscript"/>
              </w:rPr>
            </w:pPr>
            <w:r w:rsidRPr="00C41949">
              <w:rPr>
                <w:rFonts w:eastAsia="Cambria"/>
                <w:kern w:val="0"/>
              </w:rPr>
              <w:sym w:font="Wingdings" w:char="F0FC"/>
            </w:r>
            <w:r w:rsidRPr="00C41949">
              <w:rPr>
                <w:rFonts w:eastAsia="Cambria"/>
                <w:kern w:val="0"/>
                <w:vertAlign w:val="superscript"/>
              </w:rPr>
              <w:t>1</w:t>
            </w:r>
          </w:p>
        </w:tc>
        <w:tc>
          <w:tcPr>
            <w:tcW w:w="482" w:type="pct"/>
          </w:tcPr>
          <w:p w14:paraId="2C314F8F" w14:textId="77777777" w:rsidR="0020074E" w:rsidRPr="00C41949" w:rsidRDefault="0020074E" w:rsidP="00B850F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C41949">
              <w:rPr>
                <w:rFonts w:eastAsia="Cambria"/>
                <w:kern w:val="0"/>
              </w:rPr>
              <w:sym w:font="Wingdings" w:char="F0FC"/>
            </w:r>
          </w:p>
        </w:tc>
        <w:tc>
          <w:tcPr>
            <w:tcW w:w="553" w:type="pct"/>
          </w:tcPr>
          <w:p w14:paraId="7AC5E940" w14:textId="77777777" w:rsidR="0020074E" w:rsidRPr="00C41949" w:rsidRDefault="0020074E" w:rsidP="00B850F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C41949">
              <w:rPr>
                <w:kern w:val="0"/>
              </w:rPr>
              <w:t>–</w:t>
            </w:r>
          </w:p>
        </w:tc>
      </w:tr>
      <w:tr w:rsidR="0020074E" w:rsidRPr="00C41949" w14:paraId="2131DA75" w14:textId="77777777" w:rsidTr="00A54AF1">
        <w:trPr>
          <w:trHeight w:val="112"/>
        </w:trPr>
        <w:tc>
          <w:tcPr>
            <w:cnfStyle w:val="001000000000" w:firstRow="0" w:lastRow="0" w:firstColumn="1" w:lastColumn="0" w:oddVBand="0" w:evenVBand="0" w:oddHBand="0" w:evenHBand="0" w:firstRowFirstColumn="0" w:firstRowLastColumn="0" w:lastRowFirstColumn="0" w:lastRowLastColumn="0"/>
            <w:tcW w:w="701" w:type="pct"/>
            <w:vMerge/>
          </w:tcPr>
          <w:p w14:paraId="27C6CD10" w14:textId="77777777" w:rsidR="0020074E" w:rsidRPr="00C41949" w:rsidRDefault="0020074E" w:rsidP="00B850F9">
            <w:pPr>
              <w:pStyle w:val="Tabletext0"/>
              <w:rPr>
                <w:b/>
                <w:kern w:val="0"/>
              </w:rPr>
            </w:pPr>
          </w:p>
        </w:tc>
        <w:tc>
          <w:tcPr>
            <w:tcW w:w="2216" w:type="pct"/>
          </w:tcPr>
          <w:p w14:paraId="10B5A21A" w14:textId="77777777" w:rsidR="0020074E" w:rsidRPr="00C41949" w:rsidRDefault="0020074E" w:rsidP="00B850F9">
            <w:pPr>
              <w:pStyle w:val="Tabletext0"/>
              <w:cnfStyle w:val="000000000000" w:firstRow="0" w:lastRow="0" w:firstColumn="0" w:lastColumn="0" w:oddVBand="0" w:evenVBand="0" w:oddHBand="0" w:evenHBand="0" w:firstRowFirstColumn="0" w:firstRowLastColumn="0" w:lastRowFirstColumn="0" w:lastRowLastColumn="0"/>
              <w:rPr>
                <w:kern w:val="0"/>
              </w:rPr>
            </w:pPr>
            <w:r w:rsidRPr="00C41949">
              <w:rPr>
                <w:kern w:val="0"/>
              </w:rPr>
              <w:t>Vaccine-associated enhanced disease (VAED),</w:t>
            </w:r>
          </w:p>
          <w:p w14:paraId="23187745" w14:textId="77777777" w:rsidR="0020074E" w:rsidRPr="00C41949" w:rsidRDefault="0020074E" w:rsidP="00B850F9">
            <w:pPr>
              <w:pStyle w:val="Tabletext0"/>
              <w:cnfStyle w:val="000000000000" w:firstRow="0" w:lastRow="0" w:firstColumn="0" w:lastColumn="0" w:oddVBand="0" w:evenVBand="0" w:oddHBand="0" w:evenHBand="0" w:firstRowFirstColumn="0" w:firstRowLastColumn="0" w:lastRowFirstColumn="0" w:lastRowLastColumn="0"/>
              <w:rPr>
                <w:kern w:val="0"/>
              </w:rPr>
            </w:pPr>
            <w:r w:rsidRPr="00C41949">
              <w:rPr>
                <w:kern w:val="0"/>
              </w:rPr>
              <w:t>including vaccine-associated enhanced</w:t>
            </w:r>
          </w:p>
          <w:p w14:paraId="7CA451E7" w14:textId="77777777" w:rsidR="0020074E" w:rsidRPr="00C41949" w:rsidRDefault="0020074E" w:rsidP="00B850F9">
            <w:pPr>
              <w:pStyle w:val="Tabletext0"/>
              <w:cnfStyle w:val="000000000000" w:firstRow="0" w:lastRow="0" w:firstColumn="0" w:lastColumn="0" w:oddVBand="0" w:evenVBand="0" w:oddHBand="0" w:evenHBand="0" w:firstRowFirstColumn="0" w:firstRowLastColumn="0" w:lastRowFirstColumn="0" w:lastRowLastColumn="0"/>
              <w:rPr>
                <w:kern w:val="0"/>
              </w:rPr>
            </w:pPr>
            <w:r w:rsidRPr="00C41949">
              <w:rPr>
                <w:kern w:val="0"/>
              </w:rPr>
              <w:t>respiratory disease (VAERD)</w:t>
            </w:r>
          </w:p>
        </w:tc>
        <w:tc>
          <w:tcPr>
            <w:tcW w:w="449" w:type="pct"/>
          </w:tcPr>
          <w:p w14:paraId="46E701D4" w14:textId="77777777" w:rsidR="0020074E" w:rsidRPr="00C41949" w:rsidRDefault="0020074E" w:rsidP="00B850F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C41949">
              <w:rPr>
                <w:rFonts w:eastAsia="Cambria"/>
                <w:kern w:val="0"/>
              </w:rPr>
              <w:sym w:font="Wingdings" w:char="F0FC"/>
            </w:r>
            <w:r w:rsidRPr="00C41949">
              <w:rPr>
                <w:rFonts w:eastAsia="Cambria"/>
                <w:kern w:val="0"/>
                <w:vertAlign w:val="superscript"/>
              </w:rPr>
              <w:t>2</w:t>
            </w:r>
          </w:p>
        </w:tc>
        <w:tc>
          <w:tcPr>
            <w:tcW w:w="599" w:type="pct"/>
          </w:tcPr>
          <w:p w14:paraId="273E060C" w14:textId="77777777" w:rsidR="0020074E" w:rsidRPr="00C41949" w:rsidRDefault="0020074E" w:rsidP="00B850F9">
            <w:pPr>
              <w:pStyle w:val="Tabletext0"/>
              <w:jc w:val="center"/>
              <w:cnfStyle w:val="000000000000" w:firstRow="0" w:lastRow="0" w:firstColumn="0" w:lastColumn="0" w:oddVBand="0" w:evenVBand="0" w:oddHBand="0" w:evenHBand="0" w:firstRowFirstColumn="0" w:firstRowLastColumn="0" w:lastRowFirstColumn="0" w:lastRowLastColumn="0"/>
              <w:rPr>
                <w:kern w:val="0"/>
                <w:vertAlign w:val="superscript"/>
              </w:rPr>
            </w:pPr>
            <w:r w:rsidRPr="00C41949">
              <w:rPr>
                <w:rFonts w:eastAsia="Cambria"/>
                <w:kern w:val="0"/>
              </w:rPr>
              <w:sym w:font="Wingdings" w:char="F0FC"/>
            </w:r>
            <w:r w:rsidRPr="00C41949">
              <w:rPr>
                <w:rFonts w:eastAsia="Cambria"/>
                <w:kern w:val="0"/>
                <w:vertAlign w:val="superscript"/>
              </w:rPr>
              <w:t>1</w:t>
            </w:r>
          </w:p>
        </w:tc>
        <w:tc>
          <w:tcPr>
            <w:tcW w:w="482" w:type="pct"/>
          </w:tcPr>
          <w:p w14:paraId="117AC0A5" w14:textId="77777777" w:rsidR="0020074E" w:rsidRPr="00C41949" w:rsidRDefault="0020074E" w:rsidP="00B850F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C41949">
              <w:rPr>
                <w:kern w:val="0"/>
              </w:rPr>
              <w:t>–</w:t>
            </w:r>
          </w:p>
        </w:tc>
        <w:tc>
          <w:tcPr>
            <w:tcW w:w="553" w:type="pct"/>
          </w:tcPr>
          <w:p w14:paraId="2D3D3BF4" w14:textId="77777777" w:rsidR="0020074E" w:rsidRPr="00C41949" w:rsidRDefault="0020074E" w:rsidP="00B850F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C41949">
              <w:rPr>
                <w:kern w:val="0"/>
              </w:rPr>
              <w:t>–</w:t>
            </w:r>
          </w:p>
        </w:tc>
      </w:tr>
      <w:tr w:rsidR="0020074E" w:rsidRPr="00C41949" w14:paraId="38BC11C6" w14:textId="77777777" w:rsidTr="00A54AF1">
        <w:trPr>
          <w:trHeight w:val="178"/>
        </w:trPr>
        <w:tc>
          <w:tcPr>
            <w:cnfStyle w:val="001000000000" w:firstRow="0" w:lastRow="0" w:firstColumn="1" w:lastColumn="0" w:oddVBand="0" w:evenVBand="0" w:oddHBand="0" w:evenHBand="0" w:firstRowFirstColumn="0" w:firstRowLastColumn="0" w:lastRowFirstColumn="0" w:lastRowLastColumn="0"/>
            <w:tcW w:w="701" w:type="pct"/>
            <w:vMerge w:val="restart"/>
          </w:tcPr>
          <w:p w14:paraId="109673AD" w14:textId="77777777" w:rsidR="0020074E" w:rsidRPr="00C41949" w:rsidRDefault="0020074E" w:rsidP="0020074E">
            <w:pPr>
              <w:pStyle w:val="Tabletext0"/>
              <w:ind w:left="0"/>
              <w:rPr>
                <w:b/>
                <w:kern w:val="0"/>
              </w:rPr>
            </w:pPr>
            <w:r w:rsidRPr="00C41949">
              <w:rPr>
                <w:b/>
                <w:kern w:val="0"/>
              </w:rPr>
              <w:t>Missing information</w:t>
            </w:r>
          </w:p>
        </w:tc>
        <w:tc>
          <w:tcPr>
            <w:tcW w:w="2216" w:type="pct"/>
          </w:tcPr>
          <w:p w14:paraId="76E07E06" w14:textId="77777777" w:rsidR="0020074E" w:rsidRPr="00C41949" w:rsidRDefault="0020074E" w:rsidP="00B850F9">
            <w:pPr>
              <w:pStyle w:val="Tabletext0"/>
              <w:cnfStyle w:val="000000000000" w:firstRow="0" w:lastRow="0" w:firstColumn="0" w:lastColumn="0" w:oddVBand="0" w:evenVBand="0" w:oddHBand="0" w:evenHBand="0" w:firstRowFirstColumn="0" w:firstRowLastColumn="0" w:lastRowFirstColumn="0" w:lastRowLastColumn="0"/>
              <w:rPr>
                <w:kern w:val="0"/>
              </w:rPr>
            </w:pPr>
            <w:r w:rsidRPr="00C41949">
              <w:rPr>
                <w:kern w:val="0"/>
              </w:rPr>
              <w:t>Children below 12 years of age</w:t>
            </w:r>
          </w:p>
        </w:tc>
        <w:tc>
          <w:tcPr>
            <w:tcW w:w="449" w:type="pct"/>
          </w:tcPr>
          <w:p w14:paraId="1D4FA5A4" w14:textId="77777777" w:rsidR="0020074E" w:rsidRPr="00C41949" w:rsidRDefault="0020074E" w:rsidP="00B850F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C41949">
              <w:rPr>
                <w:rFonts w:eastAsia="Cambria"/>
                <w:kern w:val="0"/>
              </w:rPr>
              <w:sym w:font="Wingdings" w:char="F0FC"/>
            </w:r>
          </w:p>
        </w:tc>
        <w:tc>
          <w:tcPr>
            <w:tcW w:w="599" w:type="pct"/>
          </w:tcPr>
          <w:p w14:paraId="139248FE" w14:textId="77777777" w:rsidR="0020074E" w:rsidRPr="00C41949" w:rsidRDefault="0020074E" w:rsidP="00B850F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C41949">
              <w:rPr>
                <w:kern w:val="0"/>
              </w:rPr>
              <w:t>–</w:t>
            </w:r>
          </w:p>
        </w:tc>
        <w:tc>
          <w:tcPr>
            <w:tcW w:w="482" w:type="pct"/>
          </w:tcPr>
          <w:p w14:paraId="6E06E587" w14:textId="77777777" w:rsidR="0020074E" w:rsidRPr="00C41949" w:rsidRDefault="0020074E" w:rsidP="00B850F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C41949">
              <w:rPr>
                <w:rFonts w:eastAsia="Cambria"/>
                <w:kern w:val="0"/>
              </w:rPr>
              <w:sym w:font="Wingdings" w:char="F0FC"/>
            </w:r>
          </w:p>
        </w:tc>
        <w:tc>
          <w:tcPr>
            <w:tcW w:w="553" w:type="pct"/>
          </w:tcPr>
          <w:p w14:paraId="19A06129" w14:textId="77777777" w:rsidR="0020074E" w:rsidRPr="00C41949" w:rsidRDefault="0020074E" w:rsidP="00B850F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C41949">
              <w:rPr>
                <w:kern w:val="0"/>
              </w:rPr>
              <w:t>–</w:t>
            </w:r>
          </w:p>
        </w:tc>
      </w:tr>
      <w:tr w:rsidR="0020074E" w:rsidRPr="00C41949" w14:paraId="5F85D2E3" w14:textId="77777777" w:rsidTr="00A54AF1">
        <w:trPr>
          <w:trHeight w:val="103"/>
        </w:trPr>
        <w:tc>
          <w:tcPr>
            <w:cnfStyle w:val="001000000000" w:firstRow="0" w:lastRow="0" w:firstColumn="1" w:lastColumn="0" w:oddVBand="0" w:evenVBand="0" w:oddHBand="0" w:evenHBand="0" w:firstRowFirstColumn="0" w:firstRowLastColumn="0" w:lastRowFirstColumn="0" w:lastRowLastColumn="0"/>
            <w:tcW w:w="701" w:type="pct"/>
            <w:vMerge/>
          </w:tcPr>
          <w:p w14:paraId="2202B565" w14:textId="77777777" w:rsidR="0020074E" w:rsidRPr="00C41949" w:rsidRDefault="0020074E" w:rsidP="00B850F9">
            <w:pPr>
              <w:pStyle w:val="Tabletext0"/>
              <w:rPr>
                <w:kern w:val="0"/>
              </w:rPr>
            </w:pPr>
          </w:p>
        </w:tc>
        <w:tc>
          <w:tcPr>
            <w:tcW w:w="2216" w:type="pct"/>
          </w:tcPr>
          <w:p w14:paraId="5CF59CB6" w14:textId="77777777" w:rsidR="0020074E" w:rsidRPr="00C41949" w:rsidRDefault="0020074E" w:rsidP="00B850F9">
            <w:pPr>
              <w:pStyle w:val="Tabletext0"/>
              <w:cnfStyle w:val="000000000000" w:firstRow="0" w:lastRow="0" w:firstColumn="0" w:lastColumn="0" w:oddVBand="0" w:evenVBand="0" w:oddHBand="0" w:evenHBand="0" w:firstRowFirstColumn="0" w:firstRowLastColumn="0" w:lastRowFirstColumn="0" w:lastRowLastColumn="0"/>
              <w:rPr>
                <w:kern w:val="0"/>
              </w:rPr>
            </w:pPr>
            <w:r w:rsidRPr="00C41949">
              <w:rPr>
                <w:kern w:val="0"/>
              </w:rPr>
              <w:t>Use in pregnancy and while breast-feeding</w:t>
            </w:r>
          </w:p>
        </w:tc>
        <w:tc>
          <w:tcPr>
            <w:tcW w:w="449" w:type="pct"/>
          </w:tcPr>
          <w:p w14:paraId="5589D4B9" w14:textId="77777777" w:rsidR="0020074E" w:rsidRPr="00C41949" w:rsidRDefault="0020074E" w:rsidP="00B850F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C41949">
              <w:rPr>
                <w:rFonts w:eastAsia="Cambria"/>
                <w:kern w:val="0"/>
              </w:rPr>
              <w:sym w:font="Wingdings" w:char="F0FC"/>
            </w:r>
          </w:p>
        </w:tc>
        <w:tc>
          <w:tcPr>
            <w:tcW w:w="599" w:type="pct"/>
          </w:tcPr>
          <w:p w14:paraId="23B2988C" w14:textId="77777777" w:rsidR="0020074E" w:rsidRPr="00C41949" w:rsidRDefault="0020074E" w:rsidP="00B850F9">
            <w:pPr>
              <w:pStyle w:val="Tabletext0"/>
              <w:jc w:val="center"/>
              <w:cnfStyle w:val="000000000000" w:firstRow="0" w:lastRow="0" w:firstColumn="0" w:lastColumn="0" w:oddVBand="0" w:evenVBand="0" w:oddHBand="0" w:evenHBand="0" w:firstRowFirstColumn="0" w:firstRowLastColumn="0" w:lastRowFirstColumn="0" w:lastRowLastColumn="0"/>
              <w:rPr>
                <w:kern w:val="0"/>
                <w:vertAlign w:val="superscript"/>
              </w:rPr>
            </w:pPr>
            <w:r w:rsidRPr="00C41949">
              <w:rPr>
                <w:rFonts w:eastAsia="Cambria"/>
                <w:kern w:val="0"/>
              </w:rPr>
              <w:sym w:font="Wingdings" w:char="F0FC"/>
            </w:r>
            <w:r w:rsidRPr="00C41949">
              <w:rPr>
                <w:rFonts w:eastAsia="Cambria"/>
                <w:kern w:val="0"/>
                <w:vertAlign w:val="superscript"/>
              </w:rPr>
              <w:t>3</w:t>
            </w:r>
          </w:p>
        </w:tc>
        <w:tc>
          <w:tcPr>
            <w:tcW w:w="482" w:type="pct"/>
          </w:tcPr>
          <w:p w14:paraId="1592F673" w14:textId="77777777" w:rsidR="0020074E" w:rsidRPr="00C41949" w:rsidRDefault="0020074E" w:rsidP="00B850F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C41949">
              <w:rPr>
                <w:rFonts w:eastAsia="Cambria"/>
                <w:kern w:val="0"/>
              </w:rPr>
              <w:sym w:font="Wingdings" w:char="F0FC"/>
            </w:r>
          </w:p>
        </w:tc>
        <w:tc>
          <w:tcPr>
            <w:tcW w:w="553" w:type="pct"/>
          </w:tcPr>
          <w:p w14:paraId="4205471C" w14:textId="77777777" w:rsidR="0020074E" w:rsidRPr="00C41949" w:rsidRDefault="0020074E" w:rsidP="00B850F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C41949">
              <w:rPr>
                <w:kern w:val="0"/>
              </w:rPr>
              <w:t>–</w:t>
            </w:r>
          </w:p>
        </w:tc>
      </w:tr>
      <w:tr w:rsidR="0020074E" w:rsidRPr="00C41949" w14:paraId="5CB2E728" w14:textId="77777777" w:rsidTr="00A54AF1">
        <w:trPr>
          <w:trHeight w:val="103"/>
        </w:trPr>
        <w:tc>
          <w:tcPr>
            <w:cnfStyle w:val="001000000000" w:firstRow="0" w:lastRow="0" w:firstColumn="1" w:lastColumn="0" w:oddVBand="0" w:evenVBand="0" w:oddHBand="0" w:evenHBand="0" w:firstRowFirstColumn="0" w:firstRowLastColumn="0" w:lastRowFirstColumn="0" w:lastRowLastColumn="0"/>
            <w:tcW w:w="701" w:type="pct"/>
            <w:vMerge/>
          </w:tcPr>
          <w:p w14:paraId="2BF846E0" w14:textId="77777777" w:rsidR="0020074E" w:rsidRPr="00C41949" w:rsidRDefault="0020074E" w:rsidP="00B850F9">
            <w:pPr>
              <w:pStyle w:val="Tabletext0"/>
              <w:rPr>
                <w:kern w:val="0"/>
              </w:rPr>
            </w:pPr>
          </w:p>
        </w:tc>
        <w:tc>
          <w:tcPr>
            <w:tcW w:w="2216" w:type="pct"/>
          </w:tcPr>
          <w:p w14:paraId="6EC3D53E" w14:textId="77777777" w:rsidR="0020074E" w:rsidRPr="00C41949" w:rsidRDefault="0020074E" w:rsidP="00B850F9">
            <w:pPr>
              <w:pStyle w:val="Tabletext0"/>
              <w:cnfStyle w:val="000000000000" w:firstRow="0" w:lastRow="0" w:firstColumn="0" w:lastColumn="0" w:oddVBand="0" w:evenVBand="0" w:oddHBand="0" w:evenHBand="0" w:firstRowFirstColumn="0" w:firstRowLastColumn="0" w:lastRowFirstColumn="0" w:lastRowLastColumn="0"/>
              <w:rPr>
                <w:kern w:val="0"/>
              </w:rPr>
            </w:pPr>
            <w:r w:rsidRPr="00C41949">
              <w:rPr>
                <w:kern w:val="0"/>
              </w:rPr>
              <w:t>Interaction with other vaccines</w:t>
            </w:r>
          </w:p>
        </w:tc>
        <w:tc>
          <w:tcPr>
            <w:tcW w:w="449" w:type="pct"/>
          </w:tcPr>
          <w:p w14:paraId="69D88B81" w14:textId="77777777" w:rsidR="0020074E" w:rsidRPr="00C41949" w:rsidRDefault="0020074E" w:rsidP="00B850F9">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kern w:val="0"/>
              </w:rPr>
            </w:pPr>
            <w:r w:rsidRPr="00C41949">
              <w:rPr>
                <w:rFonts w:eastAsia="Cambria"/>
                <w:kern w:val="0"/>
              </w:rPr>
              <w:sym w:font="Wingdings" w:char="F0FC"/>
            </w:r>
          </w:p>
        </w:tc>
        <w:tc>
          <w:tcPr>
            <w:tcW w:w="599" w:type="pct"/>
          </w:tcPr>
          <w:p w14:paraId="336CC7EE" w14:textId="77777777" w:rsidR="0020074E" w:rsidRPr="00C41949" w:rsidRDefault="0020074E" w:rsidP="00B850F9">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kern w:val="0"/>
              </w:rPr>
            </w:pPr>
            <w:r w:rsidRPr="00C41949">
              <w:rPr>
                <w:kern w:val="0"/>
              </w:rPr>
              <w:t>–</w:t>
            </w:r>
          </w:p>
        </w:tc>
        <w:tc>
          <w:tcPr>
            <w:tcW w:w="482" w:type="pct"/>
          </w:tcPr>
          <w:p w14:paraId="6F3EB6CC" w14:textId="77777777" w:rsidR="0020074E" w:rsidRPr="00C41949" w:rsidRDefault="0020074E" w:rsidP="00B850F9">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kern w:val="0"/>
              </w:rPr>
            </w:pPr>
            <w:r w:rsidRPr="00C41949">
              <w:rPr>
                <w:rFonts w:eastAsia="Cambria"/>
                <w:kern w:val="0"/>
              </w:rPr>
              <w:sym w:font="Wingdings" w:char="F0FC"/>
            </w:r>
          </w:p>
        </w:tc>
        <w:tc>
          <w:tcPr>
            <w:tcW w:w="553" w:type="pct"/>
          </w:tcPr>
          <w:p w14:paraId="53F798EF" w14:textId="77777777" w:rsidR="0020074E" w:rsidRPr="00C41949" w:rsidRDefault="0020074E" w:rsidP="00B850F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C41949">
              <w:rPr>
                <w:kern w:val="0"/>
              </w:rPr>
              <w:t>–</w:t>
            </w:r>
          </w:p>
        </w:tc>
      </w:tr>
      <w:tr w:rsidR="0020074E" w:rsidRPr="00C41949" w14:paraId="304B05C8" w14:textId="77777777" w:rsidTr="00A54AF1">
        <w:trPr>
          <w:trHeight w:val="103"/>
        </w:trPr>
        <w:tc>
          <w:tcPr>
            <w:cnfStyle w:val="001000000000" w:firstRow="0" w:lastRow="0" w:firstColumn="1" w:lastColumn="0" w:oddVBand="0" w:evenVBand="0" w:oddHBand="0" w:evenHBand="0" w:firstRowFirstColumn="0" w:firstRowLastColumn="0" w:lastRowFirstColumn="0" w:lastRowLastColumn="0"/>
            <w:tcW w:w="701" w:type="pct"/>
            <w:vMerge/>
          </w:tcPr>
          <w:p w14:paraId="565ADDAB" w14:textId="77777777" w:rsidR="0020074E" w:rsidRPr="00C41949" w:rsidRDefault="0020074E" w:rsidP="00B850F9">
            <w:pPr>
              <w:pStyle w:val="Tabletext0"/>
              <w:rPr>
                <w:kern w:val="0"/>
              </w:rPr>
            </w:pPr>
          </w:p>
        </w:tc>
        <w:tc>
          <w:tcPr>
            <w:tcW w:w="2216" w:type="pct"/>
          </w:tcPr>
          <w:p w14:paraId="76F6D7CA" w14:textId="77777777" w:rsidR="0020074E" w:rsidRPr="00C41949" w:rsidRDefault="0020074E" w:rsidP="00B850F9">
            <w:pPr>
              <w:pStyle w:val="Tabletext0"/>
              <w:cnfStyle w:val="000000000000" w:firstRow="0" w:lastRow="0" w:firstColumn="0" w:lastColumn="0" w:oddVBand="0" w:evenVBand="0" w:oddHBand="0" w:evenHBand="0" w:firstRowFirstColumn="0" w:firstRowLastColumn="0" w:lastRowFirstColumn="0" w:lastRowLastColumn="0"/>
              <w:rPr>
                <w:kern w:val="0"/>
              </w:rPr>
            </w:pPr>
            <w:r w:rsidRPr="00C41949">
              <w:rPr>
                <w:kern w:val="0"/>
              </w:rPr>
              <w:t xml:space="preserve">Use in frail subjects with unstable </w:t>
            </w:r>
            <w:proofErr w:type="gramStart"/>
            <w:r w:rsidRPr="00C41949">
              <w:rPr>
                <w:kern w:val="0"/>
              </w:rPr>
              <w:t>health</w:t>
            </w:r>
            <w:proofErr w:type="gramEnd"/>
          </w:p>
          <w:p w14:paraId="76C14515" w14:textId="77777777" w:rsidR="0020074E" w:rsidRPr="00C41949" w:rsidRDefault="0020074E" w:rsidP="00B850F9">
            <w:pPr>
              <w:pStyle w:val="Tabletext0"/>
              <w:cnfStyle w:val="000000000000" w:firstRow="0" w:lastRow="0" w:firstColumn="0" w:lastColumn="0" w:oddVBand="0" w:evenVBand="0" w:oddHBand="0" w:evenHBand="0" w:firstRowFirstColumn="0" w:firstRowLastColumn="0" w:lastRowFirstColumn="0" w:lastRowLastColumn="0"/>
              <w:rPr>
                <w:kern w:val="0"/>
              </w:rPr>
            </w:pPr>
            <w:r w:rsidRPr="00C41949">
              <w:rPr>
                <w:kern w:val="0"/>
              </w:rPr>
              <w:t>conditions and co-morbidities (e.g., chronic</w:t>
            </w:r>
          </w:p>
          <w:p w14:paraId="6F843BA0" w14:textId="77777777" w:rsidR="0020074E" w:rsidRPr="00C41949" w:rsidRDefault="0020074E" w:rsidP="00B850F9">
            <w:pPr>
              <w:pStyle w:val="Tabletext0"/>
              <w:cnfStyle w:val="000000000000" w:firstRow="0" w:lastRow="0" w:firstColumn="0" w:lastColumn="0" w:oddVBand="0" w:evenVBand="0" w:oddHBand="0" w:evenHBand="0" w:firstRowFirstColumn="0" w:firstRowLastColumn="0" w:lastRowFirstColumn="0" w:lastRowLastColumn="0"/>
              <w:rPr>
                <w:kern w:val="0"/>
              </w:rPr>
            </w:pPr>
            <w:r w:rsidRPr="00C41949">
              <w:rPr>
                <w:kern w:val="0"/>
              </w:rPr>
              <w:t>obstructive pulmonary disease (COPD), diabetes, chronic neurological disease, cardiovascular disorders)</w:t>
            </w:r>
          </w:p>
        </w:tc>
        <w:tc>
          <w:tcPr>
            <w:tcW w:w="449" w:type="pct"/>
          </w:tcPr>
          <w:p w14:paraId="3EF052D9" w14:textId="77777777" w:rsidR="0020074E" w:rsidRPr="00C41949" w:rsidRDefault="0020074E" w:rsidP="00B850F9">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kern w:val="0"/>
              </w:rPr>
            </w:pPr>
            <w:r w:rsidRPr="00C41949">
              <w:rPr>
                <w:rFonts w:eastAsia="Cambria"/>
                <w:kern w:val="0"/>
              </w:rPr>
              <w:sym w:font="Wingdings" w:char="F0FC"/>
            </w:r>
          </w:p>
        </w:tc>
        <w:tc>
          <w:tcPr>
            <w:tcW w:w="599" w:type="pct"/>
          </w:tcPr>
          <w:p w14:paraId="24A73410" w14:textId="77777777" w:rsidR="0020074E" w:rsidRPr="00C41949" w:rsidRDefault="0020074E" w:rsidP="00B850F9">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kern w:val="0"/>
              </w:rPr>
            </w:pPr>
            <w:r w:rsidRPr="00C41949">
              <w:rPr>
                <w:kern w:val="0"/>
              </w:rPr>
              <w:t>–</w:t>
            </w:r>
          </w:p>
        </w:tc>
        <w:tc>
          <w:tcPr>
            <w:tcW w:w="482" w:type="pct"/>
          </w:tcPr>
          <w:p w14:paraId="3D850C80" w14:textId="77777777" w:rsidR="0020074E" w:rsidRPr="00C41949" w:rsidRDefault="0020074E" w:rsidP="00B850F9">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kern w:val="0"/>
              </w:rPr>
            </w:pPr>
            <w:r w:rsidRPr="00C41949">
              <w:rPr>
                <w:kern w:val="0"/>
              </w:rPr>
              <w:t>–</w:t>
            </w:r>
          </w:p>
        </w:tc>
        <w:tc>
          <w:tcPr>
            <w:tcW w:w="553" w:type="pct"/>
          </w:tcPr>
          <w:p w14:paraId="343D574D" w14:textId="77777777" w:rsidR="0020074E" w:rsidRPr="00C41949" w:rsidRDefault="0020074E" w:rsidP="00B850F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C41949">
              <w:rPr>
                <w:kern w:val="0"/>
              </w:rPr>
              <w:t>–</w:t>
            </w:r>
          </w:p>
        </w:tc>
      </w:tr>
      <w:tr w:rsidR="0020074E" w:rsidRPr="00C41949" w14:paraId="716B1677" w14:textId="77777777" w:rsidTr="00A54AF1">
        <w:trPr>
          <w:trHeight w:val="103"/>
        </w:trPr>
        <w:tc>
          <w:tcPr>
            <w:cnfStyle w:val="001000000000" w:firstRow="0" w:lastRow="0" w:firstColumn="1" w:lastColumn="0" w:oddVBand="0" w:evenVBand="0" w:oddHBand="0" w:evenHBand="0" w:firstRowFirstColumn="0" w:firstRowLastColumn="0" w:lastRowFirstColumn="0" w:lastRowLastColumn="0"/>
            <w:tcW w:w="701" w:type="pct"/>
            <w:vMerge/>
          </w:tcPr>
          <w:p w14:paraId="49299735" w14:textId="77777777" w:rsidR="0020074E" w:rsidRPr="00C41949" w:rsidRDefault="0020074E" w:rsidP="00B850F9">
            <w:pPr>
              <w:pStyle w:val="Tabletext0"/>
              <w:rPr>
                <w:kern w:val="0"/>
              </w:rPr>
            </w:pPr>
          </w:p>
        </w:tc>
        <w:tc>
          <w:tcPr>
            <w:tcW w:w="2216" w:type="pct"/>
          </w:tcPr>
          <w:p w14:paraId="5B9AA604" w14:textId="77777777" w:rsidR="0020074E" w:rsidRPr="00C41949" w:rsidRDefault="0020074E" w:rsidP="00B850F9">
            <w:pPr>
              <w:pStyle w:val="Tabletext0"/>
              <w:cnfStyle w:val="000000000000" w:firstRow="0" w:lastRow="0" w:firstColumn="0" w:lastColumn="0" w:oddVBand="0" w:evenVBand="0" w:oddHBand="0" w:evenHBand="0" w:firstRowFirstColumn="0" w:firstRowLastColumn="0" w:lastRowFirstColumn="0" w:lastRowLastColumn="0"/>
              <w:rPr>
                <w:kern w:val="0"/>
              </w:rPr>
            </w:pPr>
            <w:r w:rsidRPr="00C41949">
              <w:rPr>
                <w:kern w:val="0"/>
              </w:rPr>
              <w:t>Use in immunocompromised subjects</w:t>
            </w:r>
          </w:p>
        </w:tc>
        <w:tc>
          <w:tcPr>
            <w:tcW w:w="449" w:type="pct"/>
          </w:tcPr>
          <w:p w14:paraId="56DFD885" w14:textId="77777777" w:rsidR="0020074E" w:rsidRPr="00C41949" w:rsidRDefault="0020074E" w:rsidP="00B850F9">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kern w:val="0"/>
              </w:rPr>
            </w:pPr>
            <w:r w:rsidRPr="00C41949">
              <w:rPr>
                <w:rFonts w:eastAsia="Cambria"/>
                <w:kern w:val="0"/>
              </w:rPr>
              <w:sym w:font="Wingdings" w:char="F0FC"/>
            </w:r>
          </w:p>
        </w:tc>
        <w:tc>
          <w:tcPr>
            <w:tcW w:w="599" w:type="pct"/>
          </w:tcPr>
          <w:p w14:paraId="648243D3" w14:textId="77777777" w:rsidR="0020074E" w:rsidRPr="00C41949" w:rsidRDefault="0020074E" w:rsidP="00B850F9">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kern w:val="0"/>
              </w:rPr>
            </w:pPr>
            <w:r w:rsidRPr="00C41949">
              <w:rPr>
                <w:rFonts w:eastAsia="Cambria"/>
                <w:kern w:val="0"/>
              </w:rPr>
              <w:sym w:font="Wingdings" w:char="F0FC"/>
            </w:r>
            <w:r w:rsidRPr="00C41949">
              <w:rPr>
                <w:rFonts w:eastAsia="Cambria"/>
                <w:kern w:val="0"/>
                <w:vertAlign w:val="superscript"/>
              </w:rPr>
              <w:t>1</w:t>
            </w:r>
          </w:p>
        </w:tc>
        <w:tc>
          <w:tcPr>
            <w:tcW w:w="482" w:type="pct"/>
          </w:tcPr>
          <w:p w14:paraId="7470E9DD" w14:textId="77777777" w:rsidR="0020074E" w:rsidRPr="00C41949" w:rsidRDefault="0020074E" w:rsidP="00B850F9">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kern w:val="0"/>
              </w:rPr>
            </w:pPr>
            <w:r w:rsidRPr="00C41949">
              <w:rPr>
                <w:rFonts w:eastAsia="Cambria"/>
                <w:kern w:val="0"/>
              </w:rPr>
              <w:sym w:font="Wingdings" w:char="F0FC"/>
            </w:r>
          </w:p>
        </w:tc>
        <w:tc>
          <w:tcPr>
            <w:tcW w:w="553" w:type="pct"/>
          </w:tcPr>
          <w:p w14:paraId="2AC8B8ED" w14:textId="77777777" w:rsidR="0020074E" w:rsidRPr="00C41949" w:rsidRDefault="0020074E" w:rsidP="00B850F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C41949">
              <w:rPr>
                <w:kern w:val="0"/>
              </w:rPr>
              <w:t>–</w:t>
            </w:r>
          </w:p>
        </w:tc>
      </w:tr>
      <w:tr w:rsidR="0020074E" w:rsidRPr="00C41949" w14:paraId="062D8D75" w14:textId="77777777" w:rsidTr="00A54AF1">
        <w:trPr>
          <w:trHeight w:val="103"/>
        </w:trPr>
        <w:tc>
          <w:tcPr>
            <w:cnfStyle w:val="001000000000" w:firstRow="0" w:lastRow="0" w:firstColumn="1" w:lastColumn="0" w:oddVBand="0" w:evenVBand="0" w:oddHBand="0" w:evenHBand="0" w:firstRowFirstColumn="0" w:firstRowLastColumn="0" w:lastRowFirstColumn="0" w:lastRowLastColumn="0"/>
            <w:tcW w:w="701" w:type="pct"/>
            <w:vMerge/>
          </w:tcPr>
          <w:p w14:paraId="3449C02D" w14:textId="77777777" w:rsidR="0020074E" w:rsidRPr="00C41949" w:rsidRDefault="0020074E" w:rsidP="00B850F9">
            <w:pPr>
              <w:pStyle w:val="Tabletext0"/>
              <w:rPr>
                <w:kern w:val="0"/>
              </w:rPr>
            </w:pPr>
          </w:p>
        </w:tc>
        <w:tc>
          <w:tcPr>
            <w:tcW w:w="2216" w:type="pct"/>
          </w:tcPr>
          <w:p w14:paraId="0C5E5C63" w14:textId="77777777" w:rsidR="0020074E" w:rsidRPr="00C41949" w:rsidRDefault="0020074E" w:rsidP="00B850F9">
            <w:pPr>
              <w:pStyle w:val="Tabletext0"/>
              <w:cnfStyle w:val="000000000000" w:firstRow="0" w:lastRow="0" w:firstColumn="0" w:lastColumn="0" w:oddVBand="0" w:evenVBand="0" w:oddHBand="0" w:evenHBand="0" w:firstRowFirstColumn="0" w:firstRowLastColumn="0" w:lastRowFirstColumn="0" w:lastRowLastColumn="0"/>
              <w:rPr>
                <w:kern w:val="0"/>
              </w:rPr>
            </w:pPr>
            <w:r w:rsidRPr="00C41949">
              <w:rPr>
                <w:kern w:val="0"/>
              </w:rPr>
              <w:t>Use in patients with autoimmune disorders or</w:t>
            </w:r>
          </w:p>
          <w:p w14:paraId="1B0AF3DF" w14:textId="77777777" w:rsidR="0020074E" w:rsidRPr="00C41949" w:rsidRDefault="0020074E" w:rsidP="00B850F9">
            <w:pPr>
              <w:pStyle w:val="Tabletext0"/>
              <w:cnfStyle w:val="000000000000" w:firstRow="0" w:lastRow="0" w:firstColumn="0" w:lastColumn="0" w:oddVBand="0" w:evenVBand="0" w:oddHBand="0" w:evenHBand="0" w:firstRowFirstColumn="0" w:firstRowLastColumn="0" w:lastRowFirstColumn="0" w:lastRowLastColumn="0"/>
              <w:rPr>
                <w:kern w:val="0"/>
              </w:rPr>
            </w:pPr>
            <w:r w:rsidRPr="00C41949">
              <w:rPr>
                <w:kern w:val="0"/>
              </w:rPr>
              <w:t>inflammatory disorders</w:t>
            </w:r>
          </w:p>
        </w:tc>
        <w:tc>
          <w:tcPr>
            <w:tcW w:w="449" w:type="pct"/>
          </w:tcPr>
          <w:p w14:paraId="0E3A6471" w14:textId="77777777" w:rsidR="0020074E" w:rsidRPr="00C41949" w:rsidRDefault="0020074E" w:rsidP="00B850F9">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kern w:val="0"/>
              </w:rPr>
            </w:pPr>
            <w:r w:rsidRPr="00C41949">
              <w:rPr>
                <w:rFonts w:eastAsia="Cambria"/>
                <w:kern w:val="0"/>
              </w:rPr>
              <w:sym w:font="Wingdings" w:char="F0FC"/>
            </w:r>
          </w:p>
        </w:tc>
        <w:tc>
          <w:tcPr>
            <w:tcW w:w="599" w:type="pct"/>
          </w:tcPr>
          <w:p w14:paraId="712BFFE4" w14:textId="77777777" w:rsidR="0020074E" w:rsidRPr="00C41949" w:rsidRDefault="0020074E" w:rsidP="00B850F9">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kern w:val="0"/>
              </w:rPr>
            </w:pPr>
            <w:r w:rsidRPr="00C41949">
              <w:rPr>
                <w:kern w:val="0"/>
              </w:rPr>
              <w:t>–</w:t>
            </w:r>
          </w:p>
        </w:tc>
        <w:tc>
          <w:tcPr>
            <w:tcW w:w="482" w:type="pct"/>
          </w:tcPr>
          <w:p w14:paraId="4004BA8D" w14:textId="77777777" w:rsidR="0020074E" w:rsidRPr="00C41949" w:rsidRDefault="0020074E" w:rsidP="00B850F9">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kern w:val="0"/>
              </w:rPr>
            </w:pPr>
            <w:r w:rsidRPr="00C41949">
              <w:rPr>
                <w:rFonts w:eastAsia="Cambria"/>
                <w:kern w:val="0"/>
              </w:rPr>
              <w:sym w:font="Wingdings" w:char="F0FC"/>
            </w:r>
          </w:p>
        </w:tc>
        <w:tc>
          <w:tcPr>
            <w:tcW w:w="553" w:type="pct"/>
          </w:tcPr>
          <w:p w14:paraId="10757C48" w14:textId="77777777" w:rsidR="0020074E" w:rsidRPr="00C41949" w:rsidRDefault="0020074E" w:rsidP="00B850F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C41949">
              <w:rPr>
                <w:kern w:val="0"/>
              </w:rPr>
              <w:t>–</w:t>
            </w:r>
          </w:p>
        </w:tc>
      </w:tr>
      <w:tr w:rsidR="0020074E" w:rsidRPr="00C41949" w14:paraId="2044E8C7" w14:textId="77777777" w:rsidTr="00A54AF1">
        <w:trPr>
          <w:trHeight w:val="140"/>
        </w:trPr>
        <w:tc>
          <w:tcPr>
            <w:cnfStyle w:val="001000000000" w:firstRow="0" w:lastRow="0" w:firstColumn="1" w:lastColumn="0" w:oddVBand="0" w:evenVBand="0" w:oddHBand="0" w:evenHBand="0" w:firstRowFirstColumn="0" w:firstRowLastColumn="0" w:lastRowFirstColumn="0" w:lastRowLastColumn="0"/>
            <w:tcW w:w="701" w:type="pct"/>
            <w:vMerge/>
          </w:tcPr>
          <w:p w14:paraId="1C9876EE" w14:textId="77777777" w:rsidR="0020074E" w:rsidRPr="00C41949" w:rsidRDefault="0020074E" w:rsidP="00B850F9">
            <w:pPr>
              <w:pStyle w:val="Tabletext0"/>
              <w:rPr>
                <w:kern w:val="0"/>
              </w:rPr>
            </w:pPr>
          </w:p>
        </w:tc>
        <w:tc>
          <w:tcPr>
            <w:tcW w:w="2216" w:type="pct"/>
          </w:tcPr>
          <w:p w14:paraId="20174F7F" w14:textId="77777777" w:rsidR="0020074E" w:rsidRPr="00C41949" w:rsidRDefault="0020074E" w:rsidP="00B850F9">
            <w:pPr>
              <w:pStyle w:val="Tabletext0"/>
              <w:cnfStyle w:val="000000000000" w:firstRow="0" w:lastRow="0" w:firstColumn="0" w:lastColumn="0" w:oddVBand="0" w:evenVBand="0" w:oddHBand="0" w:evenHBand="0" w:firstRowFirstColumn="0" w:firstRowLastColumn="0" w:lastRowFirstColumn="0" w:lastRowLastColumn="0"/>
              <w:rPr>
                <w:kern w:val="0"/>
              </w:rPr>
            </w:pPr>
            <w:r w:rsidRPr="00C41949">
              <w:rPr>
                <w:kern w:val="0"/>
              </w:rPr>
              <w:t>Long-term safety</w:t>
            </w:r>
          </w:p>
        </w:tc>
        <w:tc>
          <w:tcPr>
            <w:tcW w:w="449" w:type="pct"/>
          </w:tcPr>
          <w:p w14:paraId="3951761B" w14:textId="77777777" w:rsidR="0020074E" w:rsidRPr="00C41949" w:rsidRDefault="0020074E" w:rsidP="00B850F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C41949">
              <w:rPr>
                <w:rFonts w:eastAsia="Cambria"/>
                <w:kern w:val="0"/>
              </w:rPr>
              <w:sym w:font="Wingdings" w:char="F0FC"/>
            </w:r>
          </w:p>
        </w:tc>
        <w:tc>
          <w:tcPr>
            <w:tcW w:w="599" w:type="pct"/>
          </w:tcPr>
          <w:p w14:paraId="052CC1C7" w14:textId="77777777" w:rsidR="0020074E" w:rsidRPr="00C41949" w:rsidRDefault="0020074E" w:rsidP="00B850F9">
            <w:pPr>
              <w:pStyle w:val="Tabletext0"/>
              <w:jc w:val="center"/>
              <w:cnfStyle w:val="000000000000" w:firstRow="0" w:lastRow="0" w:firstColumn="0" w:lastColumn="0" w:oddVBand="0" w:evenVBand="0" w:oddHBand="0" w:evenHBand="0" w:firstRowFirstColumn="0" w:firstRowLastColumn="0" w:lastRowFirstColumn="0" w:lastRowLastColumn="0"/>
              <w:rPr>
                <w:kern w:val="0"/>
                <w:vertAlign w:val="superscript"/>
              </w:rPr>
            </w:pPr>
            <w:r w:rsidRPr="00C41949">
              <w:rPr>
                <w:rFonts w:eastAsia="Cambria"/>
                <w:kern w:val="0"/>
              </w:rPr>
              <w:sym w:font="Wingdings" w:char="F0FC"/>
            </w:r>
            <w:r w:rsidRPr="00C41949">
              <w:rPr>
                <w:rFonts w:eastAsia="Cambria"/>
                <w:kern w:val="0"/>
                <w:vertAlign w:val="superscript"/>
              </w:rPr>
              <w:t>1</w:t>
            </w:r>
          </w:p>
        </w:tc>
        <w:tc>
          <w:tcPr>
            <w:tcW w:w="482" w:type="pct"/>
          </w:tcPr>
          <w:p w14:paraId="2112AC36" w14:textId="77777777" w:rsidR="0020074E" w:rsidRPr="00C41949" w:rsidRDefault="0020074E" w:rsidP="00B850F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C41949">
              <w:rPr>
                <w:kern w:val="0"/>
              </w:rPr>
              <w:t>–</w:t>
            </w:r>
          </w:p>
        </w:tc>
        <w:tc>
          <w:tcPr>
            <w:tcW w:w="553" w:type="pct"/>
          </w:tcPr>
          <w:p w14:paraId="646560F1" w14:textId="77777777" w:rsidR="0020074E" w:rsidRPr="00C41949" w:rsidRDefault="0020074E" w:rsidP="00B850F9">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C41949">
              <w:rPr>
                <w:kern w:val="0"/>
              </w:rPr>
              <w:t>–</w:t>
            </w:r>
          </w:p>
        </w:tc>
      </w:tr>
    </w:tbl>
    <w:p w14:paraId="5EA0B3CE" w14:textId="77777777" w:rsidR="00B54997" w:rsidRPr="00261E20" w:rsidRDefault="00B54997" w:rsidP="00B54997">
      <w:pPr>
        <w:pStyle w:val="TableDescription"/>
      </w:pPr>
      <w:r w:rsidRPr="00261E20">
        <w:rPr>
          <w:vertAlign w:val="superscript"/>
        </w:rPr>
        <w:t xml:space="preserve">1 </w:t>
      </w:r>
      <w:r w:rsidRPr="00261E20">
        <w:t xml:space="preserve">Clinical </w:t>
      </w:r>
      <w:proofErr w:type="gramStart"/>
      <w:r w:rsidRPr="00261E20">
        <w:t>trials</w:t>
      </w:r>
      <w:proofErr w:type="gramEnd"/>
    </w:p>
    <w:p w14:paraId="561EDD32" w14:textId="77777777" w:rsidR="00B54997" w:rsidRDefault="00B54997" w:rsidP="00B54997">
      <w:pPr>
        <w:pStyle w:val="TableDescription"/>
      </w:pPr>
      <w:r w:rsidRPr="00261E20">
        <w:rPr>
          <w:vertAlign w:val="superscript"/>
        </w:rPr>
        <w:t xml:space="preserve">2 </w:t>
      </w:r>
      <w:r w:rsidRPr="00261E20">
        <w:t>Follow-up questionnaires</w:t>
      </w:r>
    </w:p>
    <w:p w14:paraId="7918AE90" w14:textId="77777777" w:rsidR="00B54997" w:rsidRPr="00C41949" w:rsidRDefault="00B54997" w:rsidP="00B54997">
      <w:pPr>
        <w:pStyle w:val="TableDescription"/>
      </w:pPr>
      <w:r w:rsidRPr="00C41949">
        <w:rPr>
          <w:vertAlign w:val="superscript"/>
        </w:rPr>
        <w:t>3</w:t>
      </w:r>
      <w:r w:rsidRPr="00C41949">
        <w:t>Pregnancy registry</w:t>
      </w:r>
    </w:p>
    <w:p w14:paraId="35BD2961" w14:textId="77777777" w:rsidR="00B54997" w:rsidRPr="00B54997" w:rsidRDefault="00B54997" w:rsidP="00B54997">
      <w:r w:rsidRPr="00B54997">
        <w:t>Subject to comments from the clinical and nonclinical evaluators, the summary of safety concerns is considered acceptable from an RMP perspective.</w:t>
      </w:r>
    </w:p>
    <w:p w14:paraId="34E94741" w14:textId="5C96E308" w:rsidR="00B54997" w:rsidRPr="00B54997" w:rsidRDefault="00B54997" w:rsidP="00B54997">
      <w:r w:rsidRPr="00B54997">
        <w:t xml:space="preserve">The sponsor was requested to provide clarification on the additional pharmacovigilance activities, amend the follow-up questionnaires and provide a clinical study plan. In the response to TGA questions, </w:t>
      </w:r>
      <w:r w:rsidR="00640DAB">
        <w:t xml:space="preserve">the </w:t>
      </w:r>
      <w:r w:rsidRPr="00B54997">
        <w:t>ASA has been updated with a clinical study plan and amended follow-up questionnaires. At third round of evaluation, sponsor has updated the ASA to remove discrepancies about the additional pharmacovigilance activities. Further editorial amendment has been requested at the next ASA update. Overall, the pharmacovigilance plan is acceptable.</w:t>
      </w:r>
    </w:p>
    <w:p w14:paraId="745F5A5B" w14:textId="5E312F04" w:rsidR="00B54997" w:rsidRPr="00B54997" w:rsidRDefault="00B54997" w:rsidP="00B54997">
      <w:r w:rsidRPr="00B54997">
        <w:t xml:space="preserve">Only routine risk minimisation activities have been proposed and this approach is acceptable. The draft PI and </w:t>
      </w:r>
      <w:r w:rsidR="00181A6A">
        <w:t>Consumer Medicines Information (</w:t>
      </w:r>
      <w:r w:rsidRPr="00B54997">
        <w:t>CMI</w:t>
      </w:r>
      <w:r w:rsidR="00181A6A">
        <w:t>)</w:t>
      </w:r>
      <w:r w:rsidRPr="00B54997">
        <w:t xml:space="preserve"> have been amended as requested and the Risk minimisation plan is acceptable.</w:t>
      </w:r>
    </w:p>
    <w:p w14:paraId="24637B71" w14:textId="0FE58BA4" w:rsidR="0020074E" w:rsidRDefault="00B54997" w:rsidP="00B54997">
      <w:pPr>
        <w:pStyle w:val="Heading4"/>
      </w:pPr>
      <w:bookmarkStart w:id="63" w:name="_Toc144994866"/>
      <w:r>
        <w:t>Proposed wording for conditions of registration</w:t>
      </w:r>
      <w:bookmarkEnd w:id="63"/>
    </w:p>
    <w:p w14:paraId="2F66CDF0" w14:textId="3EEC169C" w:rsidR="00B54997" w:rsidRPr="00B54997" w:rsidRDefault="00B54997" w:rsidP="00B54997">
      <w:r w:rsidRPr="00B54997">
        <w:t xml:space="preserve">Any changes to which the sponsor has agreed should be included in a revised RMP and ASA. However, irrespective of </w:t>
      </w:r>
      <w:proofErr w:type="gramStart"/>
      <w:r w:rsidRPr="00B54997">
        <w:t>whether or not</w:t>
      </w:r>
      <w:proofErr w:type="gramEnd"/>
      <w:r w:rsidRPr="00B54997">
        <w:t xml:space="preserve"> they are included in the currently available version of the RMP document, the agreed changes become part of the risk management system.</w:t>
      </w:r>
    </w:p>
    <w:p w14:paraId="15F74263" w14:textId="022C2855" w:rsidR="00B54997" w:rsidRPr="00B54997" w:rsidRDefault="00B54997" w:rsidP="00B54997">
      <w:pPr>
        <w:ind w:left="720"/>
      </w:pPr>
      <w:r>
        <w:t>‘</w:t>
      </w:r>
      <w:r w:rsidRPr="00B54997">
        <w:t>The MVC COVID-19 Vaccine EU-Risk Management Plan (RMP) (version 0.3, dated 25 November 2022, data lock point 25 November 2022), with Australia Specific Annex (version 0.3, dated 1 December 2022), included with submission PM-2022-011101-1-2, to be revised to the satisfaction of the TGA, and any subsequent revisions, will be implemented in Australia.</w:t>
      </w:r>
    </w:p>
    <w:p w14:paraId="49BA8D68" w14:textId="77777777" w:rsidR="00B54997" w:rsidRPr="00B54997" w:rsidRDefault="00B54997" w:rsidP="00B54997">
      <w:pPr>
        <w:ind w:left="720"/>
      </w:pPr>
      <w:r w:rsidRPr="00B54997">
        <w:t>An obligatory component of risk management plans is routine pharmacovigilance. Routine pharmacovigilance includes the submission of periodic safety update reports (PSURs).</w:t>
      </w:r>
    </w:p>
    <w:p w14:paraId="14CFA686" w14:textId="2B2009ED" w:rsidR="00B54997" w:rsidRPr="00B54997" w:rsidRDefault="00B54997" w:rsidP="00B54997">
      <w:pPr>
        <w:ind w:left="720"/>
      </w:pPr>
      <w:r w:rsidRPr="00B54997">
        <w:t>Unless agreed separately between the supplier who is the recipient of the approval and the TGA, the first report must be submitted to TGA no later than 15 calendar months after the date of th</w:t>
      </w:r>
      <w:r>
        <w:t>e</w:t>
      </w:r>
      <w:r w:rsidRPr="00B54997">
        <w:t xml:space="preserve"> approval letter. The subsequent reports must be submitted no less frequently than annually from the date of the first submitted report until the period </w:t>
      </w:r>
      <w:r w:rsidRPr="00B54997">
        <w:lastRenderedPageBreak/>
        <w:t>covered by such reports is not less than three years from the date of th</w:t>
      </w:r>
      <w:r>
        <w:t>e</w:t>
      </w:r>
      <w:r w:rsidRPr="00B54997">
        <w:t xml:space="preserve"> approval letter, or the entire period of provisional registration, whichever is longer. </w:t>
      </w:r>
    </w:p>
    <w:p w14:paraId="7D34310D" w14:textId="77777777" w:rsidR="00B54997" w:rsidRPr="00B54997" w:rsidRDefault="00B54997" w:rsidP="00B54997">
      <w:pPr>
        <w:ind w:left="720"/>
      </w:pPr>
      <w:r w:rsidRPr="00B54997">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564ABFC6" w14:textId="77777777" w:rsidR="00B54997" w:rsidRPr="00B54997" w:rsidRDefault="00B54997" w:rsidP="00B54997">
      <w:pPr>
        <w:ind w:left="720"/>
      </w:pPr>
      <w:r w:rsidRPr="00B54997">
        <w:t xml:space="preserve">Additional to the routine submission of the routine PSURs, expedited monthly safety summary reports (including safety data for patients in Australia) are to be provided for </w:t>
      </w:r>
      <w:r w:rsidRPr="00B54997">
        <w:rPr>
          <w:b/>
          <w:bCs/>
        </w:rPr>
        <w:t>the 6 months from the date of first supply in Australia</w:t>
      </w:r>
      <w:r w:rsidRPr="00B54997">
        <w:t>, and thereafter at intervals specified by the TGA.</w:t>
      </w:r>
    </w:p>
    <w:p w14:paraId="742AD9C2" w14:textId="2C96ED00" w:rsidR="00B54997" w:rsidRPr="00B54997" w:rsidRDefault="00B54997" w:rsidP="00B54997">
      <w:pPr>
        <w:ind w:left="720"/>
      </w:pPr>
      <w:r w:rsidRPr="00B54997">
        <w:t xml:space="preserve">MVC COVID-19 Vaccine </w:t>
      </w:r>
      <w:r w:rsidRPr="00B54997">
        <w:rPr>
          <w:lang w:eastAsia="en-AU"/>
        </w:rPr>
        <w:t xml:space="preserve">(SARS-CoV-2 </w:t>
      </w:r>
      <w:proofErr w:type="spellStart"/>
      <w:r w:rsidRPr="00B54997">
        <w:rPr>
          <w:lang w:eastAsia="en-AU"/>
        </w:rPr>
        <w:t>rS</w:t>
      </w:r>
      <w:proofErr w:type="spellEnd"/>
      <w:r w:rsidR="00640DAB">
        <w:rPr>
          <w:lang w:eastAsia="en-AU"/>
        </w:rPr>
        <w:t xml:space="preserve"> </w:t>
      </w:r>
      <w:r w:rsidRPr="00B54997">
        <w:rPr>
          <w:lang w:eastAsia="en-AU"/>
        </w:rPr>
        <w:t>(MVC-COV1901)</w:t>
      </w:r>
      <w:r w:rsidR="00640DAB">
        <w:rPr>
          <w:lang w:eastAsia="en-AU"/>
        </w:rPr>
        <w:t>)</w:t>
      </w:r>
      <w:r w:rsidRPr="00B54997">
        <w:t xml:space="preserve"> is to be included in the Black Triangle Scheme. The PI and CMI for MVC COVID-19 Vaccine must include the black triangle symbol and mandatory accompanying text for five years, or the product’s entire period of provisional registration, whichever is longer.</w:t>
      </w:r>
      <w:r>
        <w:t>’</w:t>
      </w:r>
    </w:p>
    <w:p w14:paraId="74A4F87F" w14:textId="77777777" w:rsidR="00C22214" w:rsidRDefault="00C22214" w:rsidP="00C22214">
      <w:pPr>
        <w:pStyle w:val="Heading3"/>
      </w:pPr>
      <w:bookmarkStart w:id="64" w:name="_Toc103679299"/>
      <w:bookmarkStart w:id="65" w:name="_Toc144994867"/>
      <w:r>
        <w:t>Risk-benefit analysis</w:t>
      </w:r>
      <w:bookmarkEnd w:id="60"/>
      <w:bookmarkEnd w:id="61"/>
      <w:bookmarkEnd w:id="64"/>
      <w:bookmarkEnd w:id="65"/>
    </w:p>
    <w:p w14:paraId="77DE2655" w14:textId="77777777" w:rsidR="00C22214" w:rsidRDefault="00C22214" w:rsidP="00C22214">
      <w:pPr>
        <w:pStyle w:val="Heading4"/>
      </w:pPr>
      <w:bookmarkStart w:id="66" w:name="_Toc98931932"/>
      <w:bookmarkStart w:id="67" w:name="_Toc144994868"/>
      <w:r>
        <w:t>Delegate’s considerations</w:t>
      </w:r>
      <w:bookmarkEnd w:id="66"/>
      <w:bookmarkEnd w:id="67"/>
    </w:p>
    <w:p w14:paraId="4F43D471" w14:textId="26EDA29D" w:rsidR="00B54997" w:rsidRDefault="00B54997" w:rsidP="00587C1F">
      <w:pPr>
        <w:tabs>
          <w:tab w:val="left" w:pos="3402"/>
        </w:tabs>
      </w:pPr>
      <w:r>
        <w:t xml:space="preserve">The </w:t>
      </w:r>
      <w:r w:rsidR="00587C1F">
        <w:t>s</w:t>
      </w:r>
      <w:r>
        <w:t xml:space="preserve">ponsor has provided several </w:t>
      </w:r>
      <w:r w:rsidR="00587C1F">
        <w:t>P</w:t>
      </w:r>
      <w:r>
        <w:t>hase III trials which demonstrate induction of serological immunity 14</w:t>
      </w:r>
      <w:r w:rsidR="00610D29">
        <w:t xml:space="preserve"> to </w:t>
      </w:r>
      <w:r>
        <w:t xml:space="preserve">28 days after a </w:t>
      </w:r>
      <w:proofErr w:type="gramStart"/>
      <w:r>
        <w:t>two dose</w:t>
      </w:r>
      <w:proofErr w:type="gramEnd"/>
      <w:r>
        <w:t xml:space="preserve"> schedule of </w:t>
      </w:r>
      <w:r w:rsidR="00640DAB">
        <w:t xml:space="preserve">MVC COVID-19 vaccine </w:t>
      </w:r>
      <w:r>
        <w:t xml:space="preserve">administered at </w:t>
      </w:r>
      <w:r w:rsidR="00610D29">
        <w:t>Day</w:t>
      </w:r>
      <w:r w:rsidR="00640DAB">
        <w:t>s </w:t>
      </w:r>
      <w:r>
        <w:t xml:space="preserve">0 and 28 in </w:t>
      </w:r>
      <w:r w:rsidRPr="00661FEE">
        <w:t>subjects 12 years and</w:t>
      </w:r>
      <w:r>
        <w:t xml:space="preserve"> older. There is no vaccine efficacy data, and the immunogenicity is validated against wild</w:t>
      </w:r>
      <w:r w:rsidR="00610D29">
        <w:t xml:space="preserve"> </w:t>
      </w:r>
      <w:r>
        <w:t xml:space="preserve">type </w:t>
      </w:r>
      <w:r w:rsidR="00640DAB">
        <w:t>SARS-CoV-2 infection</w:t>
      </w:r>
      <w:r>
        <w:t xml:space="preserve">. The Delegate notes that this limits the applicability of the results in these trials to contemporary use of the vaccine against Omicron and future </w:t>
      </w:r>
      <w:r w:rsidR="00640DAB">
        <w:t xml:space="preserve">SARS-CoV-2 </w:t>
      </w:r>
      <w:r>
        <w:t>strains. The one study (</w:t>
      </w:r>
      <w:r w:rsidR="00640DAB">
        <w:t xml:space="preserve">Study </w:t>
      </w:r>
      <w:r>
        <w:t xml:space="preserve">CT-COV-25) which did explore immunogenicity against </w:t>
      </w:r>
      <w:r w:rsidR="00610D29">
        <w:t>variant</w:t>
      </w:r>
      <w:r w:rsidR="00640DAB">
        <w:t>s</w:t>
      </w:r>
      <w:r w:rsidR="00610D29">
        <w:t xml:space="preserve"> of concern</w:t>
      </w:r>
      <w:r>
        <w:t>, including Omicron, used a three or four dose schedule of vaccination and so the Delegate does not consider the results to be applicable to the proposed primary schedule of two doses.</w:t>
      </w:r>
    </w:p>
    <w:p w14:paraId="7839E5B0" w14:textId="05842839" w:rsidR="00B54997" w:rsidRDefault="00B54997" w:rsidP="00B54997">
      <w:pPr>
        <w:pStyle w:val="Heading5"/>
      </w:pPr>
      <w:r>
        <w:t xml:space="preserve">Clinical </w:t>
      </w:r>
      <w:r w:rsidR="00640DAB">
        <w:t>e</w:t>
      </w:r>
      <w:r>
        <w:t>fficacy</w:t>
      </w:r>
    </w:p>
    <w:p w14:paraId="602D8DB1" w14:textId="69B4EFED" w:rsidR="00B54997" w:rsidRDefault="00B54997" w:rsidP="00B54997">
      <w:r>
        <w:t xml:space="preserve">Clinical validation of the efficacy of MVC within the trial dossier relies on a </w:t>
      </w:r>
      <w:proofErr w:type="gramStart"/>
      <w:r>
        <w:t>head</w:t>
      </w:r>
      <w:r w:rsidR="00610D29">
        <w:t xml:space="preserve"> </w:t>
      </w:r>
      <w:r>
        <w:t>to</w:t>
      </w:r>
      <w:r w:rsidR="00610D29">
        <w:t xml:space="preserve"> </w:t>
      </w:r>
      <w:r>
        <w:t>head</w:t>
      </w:r>
      <w:proofErr w:type="gramEnd"/>
      <w:r>
        <w:t xml:space="preserve"> comparison with </w:t>
      </w:r>
      <w:r w:rsidR="00640DAB">
        <w:t xml:space="preserve">the </w:t>
      </w:r>
      <w:proofErr w:type="spellStart"/>
      <w:r w:rsidR="00587C1F">
        <w:t>Vaxzevria</w:t>
      </w:r>
      <w:proofErr w:type="spellEnd"/>
      <w:r w:rsidR="00640DAB">
        <w:t xml:space="preserve"> vaccine</w:t>
      </w:r>
      <w:r>
        <w:t xml:space="preserve"> in </w:t>
      </w:r>
      <w:r w:rsidR="00610D29">
        <w:t>S</w:t>
      </w:r>
      <w:r>
        <w:t xml:space="preserve">tudies CT-COV-31, </w:t>
      </w:r>
      <w:r w:rsidR="00640DAB">
        <w:t>-</w:t>
      </w:r>
      <w:r>
        <w:t xml:space="preserve">32 and </w:t>
      </w:r>
      <w:r w:rsidR="00640DAB">
        <w:t>-</w:t>
      </w:r>
      <w:r>
        <w:t xml:space="preserve">34. However, the primary endpoints of seroconversion and GMT ratio for neutralising antibodies in these studies was measured 14 days after the second dose of vaccine. While this provides provisional evidence of comparative efficacy, it provides no evidence of the duration of immunity expected from MVC. The Delegate notes that the protocol for </w:t>
      </w:r>
      <w:r w:rsidR="00610D29">
        <w:t xml:space="preserve">Study </w:t>
      </w:r>
      <w:r>
        <w:t xml:space="preserve">CT-COV-31 has visits to </w:t>
      </w:r>
      <w:r w:rsidR="00610D29">
        <w:t>D</w:t>
      </w:r>
      <w:r>
        <w:t xml:space="preserve">ay 209 post vaccination and these immune endpoints at six months would be valuable in forming an assessment of the overall utility of </w:t>
      </w:r>
      <w:r w:rsidR="00640DAB">
        <w:t>the MVC COVID-19 vaccine</w:t>
      </w:r>
      <w:r>
        <w:t xml:space="preserve">. The Delegate also notes that while </w:t>
      </w:r>
      <w:r w:rsidR="00640DAB">
        <w:t xml:space="preserve">the </w:t>
      </w:r>
      <w:proofErr w:type="spellStart"/>
      <w:r w:rsidR="00640DAB">
        <w:t>Vaxzevria</w:t>
      </w:r>
      <w:proofErr w:type="spellEnd"/>
      <w:r w:rsidR="00640DAB">
        <w:t xml:space="preserve"> vaccine </w:t>
      </w:r>
      <w:r>
        <w:t xml:space="preserve">can be administered as </w:t>
      </w:r>
      <w:r w:rsidR="00610D29">
        <w:t>two</w:t>
      </w:r>
      <w:r>
        <w:t xml:space="preserve"> doses over 4 weeks, the optimal dosage interval is 12 weeks. The Delegate considers, therefore, that the non-inferiority of </w:t>
      </w:r>
      <w:r w:rsidR="00640DAB">
        <w:t xml:space="preserve">the MVC COVID-19 vaccine </w:t>
      </w:r>
      <w:r>
        <w:t xml:space="preserve">to </w:t>
      </w:r>
      <w:proofErr w:type="spellStart"/>
      <w:r w:rsidR="00640DAB">
        <w:t>Vaxzevria</w:t>
      </w:r>
      <w:proofErr w:type="spellEnd"/>
      <w:r w:rsidR="00640DAB">
        <w:t xml:space="preserve"> vaccine </w:t>
      </w:r>
      <w:r>
        <w:t>may not be valid for prospective vaccination outside of an epidemic in which shorter intervals are necessary to achieve rapid population immunity.</w:t>
      </w:r>
    </w:p>
    <w:p w14:paraId="4EA1A9C6" w14:textId="2ECF532B" w:rsidR="00B54997" w:rsidRDefault="00B54997" w:rsidP="00B54997">
      <w:r>
        <w:t xml:space="preserve">Information provided by the Taiwan </w:t>
      </w:r>
      <w:r w:rsidR="00640DAB">
        <w:t xml:space="preserve">Food and Drug Regulator </w:t>
      </w:r>
      <w:r>
        <w:t xml:space="preserve">provides useful observational data regarding efficacy. Within a limited cohort of patients who had only received two doses of vaccine between 2021 and 2022 in Taiwan, the </w:t>
      </w:r>
      <w:r w:rsidR="00640DAB">
        <w:t xml:space="preserve">vaccine efficacy </w:t>
      </w:r>
      <w:r>
        <w:t xml:space="preserve">of </w:t>
      </w:r>
      <w:r w:rsidR="00640DAB">
        <w:t xml:space="preserve">the MVC COVID-19 vaccine </w:t>
      </w:r>
      <w:r>
        <w:t>against COVID</w:t>
      </w:r>
      <w:r w:rsidR="00640DAB">
        <w:t>-19</w:t>
      </w:r>
      <w:r>
        <w:t xml:space="preserve"> </w:t>
      </w:r>
      <w:r w:rsidR="00640DAB">
        <w:t xml:space="preserve">disease </w:t>
      </w:r>
      <w:r>
        <w:t xml:space="preserve">and death appeared </w:t>
      </w:r>
      <w:proofErr w:type="gramStart"/>
      <w:r>
        <w:t>similar to</w:t>
      </w:r>
      <w:proofErr w:type="gramEnd"/>
      <w:r>
        <w:t xml:space="preserve"> </w:t>
      </w:r>
      <w:proofErr w:type="spellStart"/>
      <w:r w:rsidR="00640DAB">
        <w:t>Vaxzevria</w:t>
      </w:r>
      <w:proofErr w:type="spellEnd"/>
      <w:r>
        <w:t xml:space="preserve">. </w:t>
      </w:r>
      <w:r w:rsidR="00640DAB">
        <w:t>The</w:t>
      </w:r>
      <w:r w:rsidR="00640DAB" w:rsidRPr="00640DAB">
        <w:t xml:space="preserve"> </w:t>
      </w:r>
      <w:r w:rsidR="00640DAB">
        <w:t xml:space="preserve">MVC COVID-19 vaccine </w:t>
      </w:r>
      <w:r>
        <w:lastRenderedPageBreak/>
        <w:t xml:space="preserve">was clearly less effective than two doses of mRNA </w:t>
      </w:r>
      <w:r w:rsidR="00610D29">
        <w:t>vaccine and</w:t>
      </w:r>
      <w:r>
        <w:t xml:space="preserve"> provided moderate levels of protection that was lower in older </w:t>
      </w:r>
      <w:r w:rsidR="00D64E73">
        <w:t>recipients</w:t>
      </w:r>
      <w:r>
        <w:t>. This dataset did not contain any adolescent data.</w:t>
      </w:r>
    </w:p>
    <w:p w14:paraId="77B131DD" w14:textId="1C5C68D3" w:rsidR="00B54997" w:rsidRDefault="00B54997" w:rsidP="00B54997">
      <w:pPr>
        <w:pStyle w:val="Heading5"/>
      </w:pPr>
      <w:r>
        <w:t xml:space="preserve">Effect of prior exposure of the trial recipients to </w:t>
      </w:r>
      <w:r w:rsidR="003637AB">
        <w:t>SARS-CoV-2</w:t>
      </w:r>
    </w:p>
    <w:p w14:paraId="31EEA5C4" w14:textId="26E350AD" w:rsidR="00B54997" w:rsidRPr="00ED66C3" w:rsidRDefault="00B54997" w:rsidP="00B54997">
      <w:r>
        <w:t xml:space="preserve">The Delegate notes that in </w:t>
      </w:r>
      <w:r w:rsidR="00612B08">
        <w:t>S</w:t>
      </w:r>
      <w:r>
        <w:t>tud</w:t>
      </w:r>
      <w:r w:rsidR="00612B08">
        <w:t>ies</w:t>
      </w:r>
      <w:r>
        <w:t xml:space="preserve"> CT-COV-31 and </w:t>
      </w:r>
      <w:r w:rsidR="003637AB">
        <w:t>-</w:t>
      </w:r>
      <w:r>
        <w:t xml:space="preserve">32 a significant proportion of subjects had anti-nucleocapsid antibodies at </w:t>
      </w:r>
      <w:r w:rsidR="00610D29">
        <w:t>B</w:t>
      </w:r>
      <w:r>
        <w:t>aseline, which indicates prior infection with COVID. Prior infection may influence the immune response achieved following vaccination by acting as a natural ‘booster’. In</w:t>
      </w:r>
      <w:r w:rsidR="00612B08">
        <w:t xml:space="preserve"> Study</w:t>
      </w:r>
      <w:r>
        <w:t xml:space="preserve"> CT-COV-31, for example, the GMT for neutralising antibodies in the </w:t>
      </w:r>
      <w:r w:rsidR="003637AB">
        <w:t xml:space="preserve">MVC COVID-19 vaccine </w:t>
      </w:r>
      <w:r>
        <w:t xml:space="preserve">group was 1087.8 after dose two in the overall population, and 434.6 in the </w:t>
      </w:r>
      <w:proofErr w:type="spellStart"/>
      <w:r>
        <w:t>sero</w:t>
      </w:r>
      <w:proofErr w:type="spellEnd"/>
      <w:r w:rsidR="00610D29">
        <w:t>-</w:t>
      </w:r>
      <w:r>
        <w:t>naïve subpopulation</w:t>
      </w:r>
      <w:r w:rsidRPr="00ED66C3">
        <w:t xml:space="preserve">. </w:t>
      </w:r>
      <w:r w:rsidRPr="005E31B1">
        <w:t xml:space="preserve">This analysis does not appear to have been performed in </w:t>
      </w:r>
      <w:r w:rsidR="00612B08" w:rsidRPr="005E31B1">
        <w:t>Study</w:t>
      </w:r>
      <w:r w:rsidR="003637AB" w:rsidRPr="005E31B1">
        <w:t> </w:t>
      </w:r>
      <w:r w:rsidRPr="005E31B1">
        <w:t>CT-COV-32.</w:t>
      </w:r>
    </w:p>
    <w:p w14:paraId="612D2C33" w14:textId="77461FA7" w:rsidR="00B54997" w:rsidRDefault="00B54997" w:rsidP="00B54997">
      <w:r w:rsidRPr="00A8261D">
        <w:t xml:space="preserve">The Delegate notes that in </w:t>
      </w:r>
      <w:r w:rsidR="00612B08" w:rsidRPr="00A8261D">
        <w:t xml:space="preserve">Study </w:t>
      </w:r>
      <w:r w:rsidRPr="00A8261D">
        <w:t>CT-COV-34 the population was almost universally anti-</w:t>
      </w:r>
      <w:r w:rsidR="00610D29" w:rsidRPr="00A8261D">
        <w:t>nucleocapsid</w:t>
      </w:r>
      <w:r w:rsidRPr="00A8261D">
        <w:t xml:space="preserve"> negative, but also 80% neutralising antibody positive at </w:t>
      </w:r>
      <w:r w:rsidR="00610D29" w:rsidRPr="00A8261D">
        <w:t>B</w:t>
      </w:r>
      <w:r w:rsidRPr="00A8261D">
        <w:t>aseline. This would suggest the population was vaccinated prior to baseline, which clearly shouldn’t be the case. However</w:t>
      </w:r>
      <w:r w:rsidR="00612B08" w:rsidRPr="00A8261D">
        <w:t>,</w:t>
      </w:r>
      <w:r w:rsidRPr="00A8261D">
        <w:t xml:space="preserve"> it makes the interpretation of the results of this study difficult</w:t>
      </w:r>
      <w:r w:rsidR="00612B08" w:rsidRPr="00A8261D">
        <w:t>.</w:t>
      </w:r>
    </w:p>
    <w:p w14:paraId="1D058D7A" w14:textId="77777777" w:rsidR="00B54997" w:rsidRDefault="00B54997" w:rsidP="00B54997">
      <w:pPr>
        <w:pStyle w:val="Heading5"/>
      </w:pPr>
      <w:r>
        <w:t xml:space="preserve">Cell mediated </w:t>
      </w:r>
      <w:proofErr w:type="gramStart"/>
      <w:r>
        <w:t>immunity</w:t>
      </w:r>
      <w:proofErr w:type="gramEnd"/>
    </w:p>
    <w:p w14:paraId="791138D7" w14:textId="3A6F3938" w:rsidR="00B54997" w:rsidRDefault="00B54997" w:rsidP="00B54997">
      <w:r>
        <w:t>There is limited exploratory analysis of the stimulation of cell mediated immunity by MVC</w:t>
      </w:r>
      <w:r w:rsidR="00610D29">
        <w:t xml:space="preserve"> vaccine</w:t>
      </w:r>
      <w:r>
        <w:t xml:space="preserve">, but where this has been examined in </w:t>
      </w:r>
      <w:r w:rsidR="00612B08">
        <w:t xml:space="preserve">Study </w:t>
      </w:r>
      <w:r>
        <w:t>CT-COV-3</w:t>
      </w:r>
      <w:r w:rsidR="00ED66C3" w:rsidRPr="005E31B1">
        <w:t>2</w:t>
      </w:r>
      <w:r>
        <w:t xml:space="preserve"> it provides some evidence of cellular recruitment. While this is helpful, the Delegate notes that correlating these findings to long term protection would require clinical outcome studies.</w:t>
      </w:r>
    </w:p>
    <w:p w14:paraId="24BE80CD" w14:textId="77777777" w:rsidR="00B54997" w:rsidRDefault="00B54997" w:rsidP="00B54997">
      <w:pPr>
        <w:pStyle w:val="Heading5"/>
      </w:pPr>
      <w:r>
        <w:t>Adolescent population</w:t>
      </w:r>
    </w:p>
    <w:p w14:paraId="3B5FF324" w14:textId="117E5B1C" w:rsidR="00B54997" w:rsidRDefault="00B54997" w:rsidP="00B54997">
      <w:r>
        <w:t xml:space="preserve">The serological response achieved in adolescents in </w:t>
      </w:r>
      <w:r w:rsidR="00612B08">
        <w:t>S</w:t>
      </w:r>
      <w:r>
        <w:t xml:space="preserve">tudy CT-COV-22 appears </w:t>
      </w:r>
      <w:proofErr w:type="gramStart"/>
      <w:r>
        <w:t>similar to</w:t>
      </w:r>
      <w:proofErr w:type="gramEnd"/>
      <w:r>
        <w:t xml:space="preserve"> that in younger adults in </w:t>
      </w:r>
      <w:r w:rsidR="00612B08">
        <w:t xml:space="preserve">Study </w:t>
      </w:r>
      <w:r>
        <w:t xml:space="preserve">CT-COV-21. This analysis is potentially flawed by it being across two different trial populations with, potentially, different rates of pre-existing exposure to </w:t>
      </w:r>
      <w:r w:rsidR="003637AB">
        <w:t>SARS</w:t>
      </w:r>
      <w:r w:rsidR="003637AB">
        <w:noBreakHyphen/>
        <w:t>CoV-2</w:t>
      </w:r>
      <w:r>
        <w:t>. However</w:t>
      </w:r>
      <w:r w:rsidR="00612B08">
        <w:t>,</w:t>
      </w:r>
      <w:r>
        <w:t xml:space="preserve"> the Delegate feels that it provides a reasonable basis for extrapolating the use of </w:t>
      </w:r>
      <w:r w:rsidR="003637AB">
        <w:t>the MVC COVID-19 vaccine</w:t>
      </w:r>
      <w:r w:rsidR="00610D29">
        <w:t xml:space="preserve"> </w:t>
      </w:r>
      <w:r>
        <w:t>into this group.</w:t>
      </w:r>
    </w:p>
    <w:p w14:paraId="6AFF8E88" w14:textId="77777777" w:rsidR="00B54997" w:rsidRDefault="00B54997" w:rsidP="00B54997">
      <w:pPr>
        <w:pStyle w:val="Heading5"/>
      </w:pPr>
      <w:r>
        <w:t>Safety</w:t>
      </w:r>
    </w:p>
    <w:p w14:paraId="023769ED" w14:textId="75AABB92" w:rsidR="00B54997" w:rsidRDefault="00B54997" w:rsidP="00B54997">
      <w:proofErr w:type="gramStart"/>
      <w:r>
        <w:t>All of</w:t>
      </w:r>
      <w:proofErr w:type="gramEnd"/>
      <w:r>
        <w:t xml:space="preserve"> the clinical studies submitted are short term and so there is limited controlled data regarding the safety of </w:t>
      </w:r>
      <w:r w:rsidR="003637AB">
        <w:t>the MVC COVID-19 vaccine</w:t>
      </w:r>
      <w:r>
        <w:t xml:space="preserve">. This is largely reactogenicity data, which the </w:t>
      </w:r>
      <w:r w:rsidR="003637AB">
        <w:t xml:space="preserve">TGA </w:t>
      </w:r>
      <w:r>
        <w:t xml:space="preserve">Delegate feels is </w:t>
      </w:r>
      <w:proofErr w:type="gramStart"/>
      <w:r>
        <w:t>fairly unremarkable</w:t>
      </w:r>
      <w:proofErr w:type="gramEnd"/>
      <w:r>
        <w:t xml:space="preserve"> for a COVID vaccine. There is, however, considerable post-market experience with this vaccine and the </w:t>
      </w:r>
      <w:r w:rsidR="00587C1F">
        <w:t>s</w:t>
      </w:r>
      <w:r>
        <w:t>ponsor has provided data from pharmacovigilance reporting to the Taiwan FDA. While the emergence of a new rare adverse events cannot be excluded from the current data, the observed rates of known severe adverse events of COVID vaccination (</w:t>
      </w:r>
      <w:r w:rsidR="00612B08">
        <w:t>for example,</w:t>
      </w:r>
      <w:r>
        <w:t xml:space="preserve"> </w:t>
      </w:r>
      <w:r w:rsidR="00612B08" w:rsidRPr="00612B08">
        <w:t>vaccine induced immune thrombotic thrombocytopenia</w:t>
      </w:r>
      <w:r>
        <w:t>, anaphylaxis, myocarditis</w:t>
      </w:r>
      <w:r w:rsidR="003637AB">
        <w:t>, and so on</w:t>
      </w:r>
      <w:r>
        <w:t xml:space="preserve">) appear to be within the rates observed with other products. </w:t>
      </w:r>
      <w:r w:rsidR="003637AB">
        <w:t xml:space="preserve">The MVC COVID-19 vaccine </w:t>
      </w:r>
      <w:r>
        <w:t>may have a benefit in causing lower rates of myocarditis, which would suggest a potential role in adolescents.</w:t>
      </w:r>
    </w:p>
    <w:p w14:paraId="02B1E3D4" w14:textId="55511BED" w:rsidR="003637AB" w:rsidRDefault="003637AB" w:rsidP="00B54997">
      <w:r>
        <w:br w:type="page"/>
      </w:r>
    </w:p>
    <w:p w14:paraId="05547E8C" w14:textId="77777777" w:rsidR="00B54997" w:rsidRDefault="00B54997" w:rsidP="00B54997">
      <w:pPr>
        <w:pStyle w:val="Heading5"/>
      </w:pPr>
      <w:r>
        <w:lastRenderedPageBreak/>
        <w:t>Provisional status</w:t>
      </w:r>
    </w:p>
    <w:p w14:paraId="63A31545" w14:textId="4B822B6D" w:rsidR="00B54997" w:rsidRDefault="00B54997" w:rsidP="00B54997">
      <w:r>
        <w:t>The Delegate notes that the requirements for provisional registration under the Therapeutic Goods Act (1990) are</w:t>
      </w:r>
      <w:r w:rsidR="007B29A6">
        <w:t xml:space="preserve"> as follows</w:t>
      </w:r>
      <w:r>
        <w:t>:</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3637AB" w14:paraId="74837FD3" w14:textId="77777777" w:rsidTr="00A54AF1">
        <w:tc>
          <w:tcPr>
            <w:tcW w:w="9060" w:type="dxa"/>
          </w:tcPr>
          <w:p w14:paraId="2790AE82" w14:textId="57BBB15A" w:rsidR="003637AB" w:rsidRPr="00A54AF1" w:rsidRDefault="007B29A6" w:rsidP="00B54997">
            <w:pPr>
              <w:rPr>
                <w:b/>
              </w:rPr>
            </w:pPr>
            <w:r w:rsidRPr="00A54AF1">
              <w:rPr>
                <w:b/>
              </w:rPr>
              <w:t>Therapeutic Goods Act (1990)</w:t>
            </w:r>
          </w:p>
        </w:tc>
      </w:tr>
      <w:tr w:rsidR="003637AB" w14:paraId="6BA7B6FE" w14:textId="77777777" w:rsidTr="00A54AF1">
        <w:tc>
          <w:tcPr>
            <w:tcW w:w="9060" w:type="dxa"/>
          </w:tcPr>
          <w:p w14:paraId="5B824773" w14:textId="77777777" w:rsidR="007B29A6" w:rsidRDefault="007B29A6" w:rsidP="00B54997"/>
          <w:p w14:paraId="56A3882D" w14:textId="75D8D1AE" w:rsidR="003637AB" w:rsidRDefault="003637AB" w:rsidP="00B54997">
            <w:r>
              <w:t>(d) for an application for provisional registration of a medicine:</w:t>
            </w:r>
          </w:p>
          <w:p w14:paraId="19F10656" w14:textId="77777777" w:rsidR="007B29A6" w:rsidRDefault="007B29A6" w:rsidP="00B54997"/>
          <w:p w14:paraId="717271DE" w14:textId="4EF85CB9" w:rsidR="003637AB" w:rsidRDefault="003637AB" w:rsidP="00A54AF1">
            <w:pPr>
              <w:pStyle w:val="ListParagraph"/>
              <w:numPr>
                <w:ilvl w:val="0"/>
                <w:numId w:val="18"/>
              </w:numPr>
            </w:pPr>
            <w:r>
              <w:t>whether based on preliminary clinical data, the safety and efficacy of the medicine for the purposes for which it is to be used have been satisfactorily established; and</w:t>
            </w:r>
            <w:r w:rsidR="007B29A6">
              <w:br/>
            </w:r>
          </w:p>
          <w:p w14:paraId="360317D5" w14:textId="77777777" w:rsidR="007B29A6" w:rsidRDefault="003637AB" w:rsidP="00A54AF1">
            <w:pPr>
              <w:pStyle w:val="ListParagraph"/>
              <w:numPr>
                <w:ilvl w:val="0"/>
                <w:numId w:val="18"/>
              </w:numPr>
            </w:pPr>
            <w:r>
              <w:t>whether the quality of the medicine for the purposes for which it is to be used has been satisfactorily established; and</w:t>
            </w:r>
            <w:r w:rsidR="007B29A6">
              <w:br/>
            </w:r>
          </w:p>
          <w:p w14:paraId="73CBC73F" w14:textId="0167B269" w:rsidR="003637AB" w:rsidRDefault="003637AB" w:rsidP="00A54AF1">
            <w:pPr>
              <w:pStyle w:val="ListParagraph"/>
              <w:numPr>
                <w:ilvl w:val="0"/>
                <w:numId w:val="18"/>
              </w:numPr>
            </w:pPr>
            <w:r>
              <w:t>whether, if the Secretary were</w:t>
            </w:r>
            <w:r w:rsidR="007B29A6">
              <w:t xml:space="preserve"> to register the medicine, the S</w:t>
            </w:r>
            <w:r>
              <w:t xml:space="preserve">ecretary is </w:t>
            </w:r>
            <w:r w:rsidR="007B29A6">
              <w:t>satisfied with the applicant’s plan to submit comprehensive clinical data on the safety and efficacy of the medicine before the end of the 6 years that would start on the day that registration would commence.</w:t>
            </w:r>
          </w:p>
        </w:tc>
      </w:tr>
    </w:tbl>
    <w:p w14:paraId="2E262061" w14:textId="77777777" w:rsidR="003637AB" w:rsidRDefault="003637AB" w:rsidP="00B54997"/>
    <w:p w14:paraId="4CFA6A66" w14:textId="1141A890" w:rsidR="00B54997" w:rsidRPr="00B54997" w:rsidRDefault="00B54997" w:rsidP="00B54997">
      <w:r>
        <w:rPr>
          <w:szCs w:val="22"/>
        </w:rPr>
        <w:t xml:space="preserve">The data provided is certainly preliminary in that there is no </w:t>
      </w:r>
      <w:proofErr w:type="gramStart"/>
      <w:r>
        <w:rPr>
          <w:szCs w:val="22"/>
        </w:rPr>
        <w:t>long</w:t>
      </w:r>
      <w:r w:rsidR="00610D29">
        <w:rPr>
          <w:szCs w:val="22"/>
        </w:rPr>
        <w:t xml:space="preserve"> </w:t>
      </w:r>
      <w:r>
        <w:rPr>
          <w:szCs w:val="22"/>
        </w:rPr>
        <w:t>term</w:t>
      </w:r>
      <w:proofErr w:type="gramEnd"/>
      <w:r>
        <w:rPr>
          <w:szCs w:val="22"/>
        </w:rPr>
        <w:t xml:space="preserve"> immunogenicity data or vaccine efficacy data. Whether this constitutes a satisfactory establishment of efficacy for </w:t>
      </w:r>
      <w:r w:rsidR="007B29A6">
        <w:rPr>
          <w:szCs w:val="22"/>
        </w:rPr>
        <w:t xml:space="preserve">the </w:t>
      </w:r>
      <w:r w:rsidR="007B29A6">
        <w:t xml:space="preserve">MVC COVID-19 vaccine </w:t>
      </w:r>
      <w:r>
        <w:rPr>
          <w:szCs w:val="22"/>
        </w:rPr>
        <w:t xml:space="preserve">may depend somewhat on the clinical and historical context of its proposed use. Short term data was accepted for vaccines early in the COVID pandemic because achieving immunity in a </w:t>
      </w:r>
      <w:proofErr w:type="spellStart"/>
      <w:r>
        <w:rPr>
          <w:szCs w:val="22"/>
        </w:rPr>
        <w:t>sero</w:t>
      </w:r>
      <w:proofErr w:type="spellEnd"/>
      <w:r>
        <w:rPr>
          <w:szCs w:val="22"/>
        </w:rPr>
        <w:t xml:space="preserve">-naïve population was a priority. However, most vaccines in use have now demonstrated a degree of </w:t>
      </w:r>
      <w:proofErr w:type="gramStart"/>
      <w:r>
        <w:rPr>
          <w:szCs w:val="22"/>
        </w:rPr>
        <w:t>long term</w:t>
      </w:r>
      <w:proofErr w:type="gramEnd"/>
      <w:r>
        <w:rPr>
          <w:szCs w:val="22"/>
        </w:rPr>
        <w:t xml:space="preserve"> protection more appropriate for use protecting vulnerable individuals in populations where COVID</w:t>
      </w:r>
      <w:r w:rsidR="007B29A6">
        <w:rPr>
          <w:szCs w:val="22"/>
        </w:rPr>
        <w:t>-19</w:t>
      </w:r>
      <w:r>
        <w:rPr>
          <w:szCs w:val="22"/>
        </w:rPr>
        <w:t xml:space="preserve"> is endemic.</w:t>
      </w:r>
    </w:p>
    <w:p w14:paraId="3916F296" w14:textId="77777777" w:rsidR="00C22214" w:rsidRDefault="00C22214" w:rsidP="00C22214">
      <w:pPr>
        <w:pStyle w:val="Heading4"/>
      </w:pPr>
      <w:bookmarkStart w:id="68" w:name="_Toc98931933"/>
      <w:bookmarkStart w:id="69" w:name="_Toc144994869"/>
      <w:r w:rsidRPr="00D23139">
        <w:t xml:space="preserve">Proposed </w:t>
      </w:r>
      <w:proofErr w:type="gramStart"/>
      <w:r w:rsidRPr="00D23139">
        <w:t>action</w:t>
      </w:r>
      <w:bookmarkEnd w:id="68"/>
      <w:bookmarkEnd w:id="69"/>
      <w:proofErr w:type="gramEnd"/>
    </w:p>
    <w:p w14:paraId="263DB10A" w14:textId="09596C6F" w:rsidR="00B54997" w:rsidRDefault="007B29A6" w:rsidP="00B54997">
      <w:r>
        <w:t>At the time, t</w:t>
      </w:r>
      <w:r w:rsidR="00B54997">
        <w:t xml:space="preserve">he Delegate </w:t>
      </w:r>
      <w:r>
        <w:t xml:space="preserve">was </w:t>
      </w:r>
      <w:r w:rsidR="00B54997">
        <w:t xml:space="preserve">minded to provisionally register </w:t>
      </w:r>
      <w:r>
        <w:t xml:space="preserve">the MVC COVID-19 vaccine </w:t>
      </w:r>
      <w:r w:rsidR="00B54997">
        <w:t xml:space="preserve">for the proposed indication, pending the advice of </w:t>
      </w:r>
      <w:r>
        <w:t>Advisory Committee on Vaccines (</w:t>
      </w:r>
      <w:r w:rsidR="00B54997">
        <w:t>ACV</w:t>
      </w:r>
      <w:r>
        <w:t>)</w:t>
      </w:r>
      <w:r w:rsidR="00B54997">
        <w:t xml:space="preserve">. The sponsor should note that the Delegate will consider the view of ACV to be determinative in </w:t>
      </w:r>
      <w:r>
        <w:t>relation to this submission</w:t>
      </w:r>
      <w:r w:rsidR="00B54997">
        <w:t>.</w:t>
      </w:r>
    </w:p>
    <w:p w14:paraId="27BD946A" w14:textId="46A19D1D" w:rsidR="00B54997" w:rsidRDefault="00B54997" w:rsidP="00B54997">
      <w:pPr>
        <w:rPr>
          <w:szCs w:val="22"/>
        </w:rPr>
      </w:pPr>
      <w:r>
        <w:rPr>
          <w:szCs w:val="22"/>
        </w:rPr>
        <w:t xml:space="preserve">Any decision to register </w:t>
      </w:r>
      <w:r w:rsidR="007B29A6">
        <w:rPr>
          <w:szCs w:val="22"/>
        </w:rPr>
        <w:t xml:space="preserve">the </w:t>
      </w:r>
      <w:r w:rsidR="007B29A6">
        <w:t>MVC COVID-19 vaccine</w:t>
      </w:r>
      <w:r w:rsidR="007B29A6">
        <w:rPr>
          <w:szCs w:val="22"/>
        </w:rPr>
        <w:t xml:space="preserve"> </w:t>
      </w:r>
      <w:r>
        <w:rPr>
          <w:szCs w:val="22"/>
        </w:rPr>
        <w:t>is conditional on:</w:t>
      </w:r>
    </w:p>
    <w:p w14:paraId="2EF380CC" w14:textId="67CFD552" w:rsidR="00B54997" w:rsidRDefault="00B54997" w:rsidP="00B54997">
      <w:pPr>
        <w:pStyle w:val="Numberbullet0"/>
        <w:numPr>
          <w:ilvl w:val="0"/>
          <w:numId w:val="15"/>
        </w:numPr>
      </w:pPr>
      <w:r>
        <w:t xml:space="preserve">The </w:t>
      </w:r>
      <w:r w:rsidR="00E5186D">
        <w:t>s</w:t>
      </w:r>
      <w:r>
        <w:t>ponsor resolv</w:t>
      </w:r>
      <w:r w:rsidR="007B29A6">
        <w:t>ing</w:t>
      </w:r>
      <w:r>
        <w:t xml:space="preserve"> outstanding </w:t>
      </w:r>
      <w:r w:rsidR="007B29A6">
        <w:t>quality requirements</w:t>
      </w:r>
      <w:r>
        <w:t>, particularly GMP for manufacturing sites, satisfactorily.</w:t>
      </w:r>
    </w:p>
    <w:p w14:paraId="0DD3831A" w14:textId="2B378B39" w:rsidR="00B54997" w:rsidRDefault="00B54997" w:rsidP="00B54997">
      <w:pPr>
        <w:pStyle w:val="Numberbullet0"/>
      </w:pPr>
      <w:r>
        <w:t xml:space="preserve">The </w:t>
      </w:r>
      <w:r w:rsidR="00E5186D">
        <w:t>s</w:t>
      </w:r>
      <w:r>
        <w:t>ponsor provid</w:t>
      </w:r>
      <w:r w:rsidR="007B29A6">
        <w:t>ing</w:t>
      </w:r>
      <w:r>
        <w:t xml:space="preserve"> details of an updated study plan detailing when studies will be submitted to TGA to transition to full registration.</w:t>
      </w:r>
    </w:p>
    <w:p w14:paraId="2528F293" w14:textId="0CE4DAC8" w:rsidR="00B54997" w:rsidRDefault="00B54997" w:rsidP="00B54997">
      <w:pPr>
        <w:pStyle w:val="Numberbullet0"/>
      </w:pPr>
      <w:r>
        <w:t xml:space="preserve">The </w:t>
      </w:r>
      <w:r w:rsidR="00587C1F">
        <w:t>s</w:t>
      </w:r>
      <w:r>
        <w:t>ponsor providi</w:t>
      </w:r>
      <w:r w:rsidR="007B29A6">
        <w:t>ng</w:t>
      </w:r>
      <w:r>
        <w:t xml:space="preserve"> a PI document annotated to indicate amendments as recommended by the RMP, pre-clinical and (where applicable) quality evaluators. </w:t>
      </w:r>
    </w:p>
    <w:p w14:paraId="318CFABC" w14:textId="77777777" w:rsidR="00C22214" w:rsidRPr="00F73346" w:rsidRDefault="00C22214" w:rsidP="00C22214">
      <w:pPr>
        <w:pStyle w:val="Heading4"/>
      </w:pPr>
      <w:bookmarkStart w:id="70" w:name="_Toc98931936"/>
      <w:bookmarkStart w:id="71" w:name="_Toc144994870"/>
      <w:bookmarkStart w:id="72" w:name="_Toc247691532"/>
      <w:bookmarkStart w:id="73" w:name="_Toc314842516"/>
      <w:r w:rsidRPr="00F73346">
        <w:t>Advisory Committee considerations</w:t>
      </w:r>
      <w:bookmarkEnd w:id="70"/>
      <w:bookmarkEnd w:id="71"/>
    </w:p>
    <w:p w14:paraId="087BB9CB" w14:textId="5EE473F0" w:rsidR="00C22214" w:rsidRDefault="00C22214" w:rsidP="00C22214">
      <w:pPr>
        <w:rPr>
          <w:bCs/>
          <w:szCs w:val="22"/>
        </w:rPr>
      </w:pPr>
      <w:r w:rsidRPr="00BD5DBD">
        <w:rPr>
          <w:bCs/>
          <w:szCs w:val="22"/>
        </w:rPr>
        <w:t xml:space="preserve">The </w:t>
      </w:r>
      <w:hyperlink r:id="rId37" w:history="1">
        <w:r w:rsidRPr="00BD5DBD">
          <w:rPr>
            <w:rStyle w:val="Hyperlink"/>
            <w:szCs w:val="22"/>
          </w:rPr>
          <w:t>Advisory Committee on Vaccines (ACV)</w:t>
        </w:r>
      </w:hyperlink>
      <w:r w:rsidRPr="00BD5DBD">
        <w:rPr>
          <w:szCs w:val="22"/>
        </w:rPr>
        <w:t>,</w:t>
      </w:r>
      <w:r w:rsidRPr="00BD5DBD">
        <w:rPr>
          <w:bCs/>
          <w:szCs w:val="22"/>
        </w:rPr>
        <w:t xml:space="preserve"> having considered the evaluations and the Delegate’s overview, as well as the sponsor’s response to these documents, advised the following.</w:t>
      </w:r>
    </w:p>
    <w:p w14:paraId="5B132E5E" w14:textId="2BCCB607" w:rsidR="00513DCD" w:rsidRPr="00BD5DBD" w:rsidRDefault="00513DCD" w:rsidP="00C22214">
      <w:pPr>
        <w:rPr>
          <w:bCs/>
          <w:szCs w:val="22"/>
        </w:rPr>
      </w:pPr>
      <w:r>
        <w:rPr>
          <w:bCs/>
          <w:szCs w:val="22"/>
        </w:rPr>
        <w:br w:type="page"/>
      </w:r>
    </w:p>
    <w:p w14:paraId="0D935CC4" w14:textId="77777777" w:rsidR="00C22214" w:rsidRPr="00F73346" w:rsidRDefault="00C22214" w:rsidP="00C22214">
      <w:pPr>
        <w:pStyle w:val="Heading5"/>
      </w:pPr>
      <w:r w:rsidRPr="00F73346">
        <w:lastRenderedPageBreak/>
        <w:t>Specific advice to the Delegate</w:t>
      </w:r>
    </w:p>
    <w:p w14:paraId="6752D988" w14:textId="3B8CF936" w:rsidR="00FA1705" w:rsidRPr="00A54AF1" w:rsidRDefault="00FA1705" w:rsidP="00A54AF1">
      <w:pPr>
        <w:pStyle w:val="Numberbullet0"/>
        <w:numPr>
          <w:ilvl w:val="0"/>
          <w:numId w:val="17"/>
        </w:numPr>
        <w:rPr>
          <w:rFonts w:eastAsiaTheme="minorHAnsi" w:cstheme="minorBidi"/>
          <w:b/>
          <w:bCs/>
          <w:i/>
          <w:iCs/>
          <w:color w:val="auto"/>
        </w:rPr>
      </w:pPr>
      <w:r w:rsidRPr="00A54AF1">
        <w:rPr>
          <w:b/>
          <w:bCs/>
          <w:i/>
          <w:iCs/>
        </w:rPr>
        <w:t>Is the preliminary data provided sufficient to support the provisional registration of MVC COVID-19 vaccine</w:t>
      </w:r>
      <w:r w:rsidRPr="00A54AF1">
        <w:rPr>
          <w:rFonts w:eastAsiaTheme="minorHAnsi" w:cstheme="minorBidi"/>
          <w:b/>
          <w:bCs/>
          <w:i/>
          <w:iCs/>
          <w:color w:val="auto"/>
        </w:rPr>
        <w:t>?</w:t>
      </w:r>
    </w:p>
    <w:p w14:paraId="19736CCC" w14:textId="2A415154" w:rsidR="00FA1705" w:rsidRPr="00FA1705" w:rsidRDefault="00FA1705" w:rsidP="00FA1705">
      <w:r w:rsidRPr="00FA1705">
        <w:t>The ACV advised that the preliminary data were not sufficient to support provisional registration of a two</w:t>
      </w:r>
      <w:r w:rsidR="00513DCD">
        <w:t>-</w:t>
      </w:r>
      <w:r w:rsidRPr="00FA1705">
        <w:t xml:space="preserve">dose schedule of the MVC COVID-19 </w:t>
      </w:r>
      <w:r>
        <w:t>vaccine</w:t>
      </w:r>
      <w:r w:rsidRPr="00FA1705">
        <w:t>.</w:t>
      </w:r>
    </w:p>
    <w:p w14:paraId="68BA8AC8" w14:textId="0C8CBA93" w:rsidR="00513DCD" w:rsidRDefault="00FA1705" w:rsidP="00FA1705">
      <w:r w:rsidRPr="00FA1705">
        <w:t xml:space="preserve">Clinical data demonstrated induction of </w:t>
      </w:r>
      <w:proofErr w:type="gramStart"/>
      <w:r w:rsidRPr="00FA1705">
        <w:t>short term</w:t>
      </w:r>
      <w:proofErr w:type="gramEnd"/>
      <w:r w:rsidRPr="00FA1705">
        <w:t xml:space="preserve"> immunological response 14 days after a </w:t>
      </w:r>
      <w:r w:rsidR="00513DCD">
        <w:t>two</w:t>
      </w:r>
      <w:r w:rsidR="00513DCD">
        <w:noBreakHyphen/>
      </w:r>
      <w:r w:rsidRPr="00FA1705">
        <w:t xml:space="preserve">dose schedule administered 28 days apart in subjects </w:t>
      </w:r>
      <w:r w:rsidR="00513DCD">
        <w:t xml:space="preserve">aged </w:t>
      </w:r>
      <w:r w:rsidRPr="00FA1705">
        <w:t>18 years and older that was not inferior to the comparator vaccine</w:t>
      </w:r>
      <w:r w:rsidR="00513DCD">
        <w:t xml:space="preserve"> [</w:t>
      </w:r>
      <w:proofErr w:type="spellStart"/>
      <w:r w:rsidR="00513DCD">
        <w:t>Vaxzevria</w:t>
      </w:r>
      <w:proofErr w:type="spellEnd"/>
      <w:r w:rsidR="00513DCD">
        <w:t>]</w:t>
      </w:r>
      <w:r w:rsidRPr="00FA1705">
        <w:t>.</w:t>
      </w:r>
    </w:p>
    <w:p w14:paraId="7C21998F" w14:textId="23E4C92A" w:rsidR="00FA1705" w:rsidRPr="00FA1705" w:rsidRDefault="00FA1705" w:rsidP="00FA1705">
      <w:r w:rsidRPr="00FA1705">
        <w:t>Against these benefits, the ACV highlighted the following points</w:t>
      </w:r>
      <w:r w:rsidR="00513DCD">
        <w:t>:</w:t>
      </w:r>
    </w:p>
    <w:p w14:paraId="300CFFC8" w14:textId="51626E1D" w:rsidR="00FA1705" w:rsidRPr="00FA1705" w:rsidRDefault="00FA1705" w:rsidP="00FA1705">
      <w:pPr>
        <w:pStyle w:val="ListBullet"/>
      </w:pPr>
      <w:r w:rsidRPr="00FA1705">
        <w:t>No long</w:t>
      </w:r>
      <w:r w:rsidR="00513DCD">
        <w:t>-</w:t>
      </w:r>
      <w:r w:rsidRPr="00FA1705">
        <w:t xml:space="preserve">term immunogenicity data were presented relevant to the proposed </w:t>
      </w:r>
      <w:r w:rsidR="00513DCD">
        <w:t>two-</w:t>
      </w:r>
      <w:r w:rsidRPr="00FA1705">
        <w:t>dose schedule.</w:t>
      </w:r>
    </w:p>
    <w:p w14:paraId="7DBD66CE" w14:textId="482733B0" w:rsidR="00FA1705" w:rsidRPr="00FA1705" w:rsidRDefault="00FA1705" w:rsidP="00FA1705">
      <w:pPr>
        <w:pStyle w:val="ListBullet"/>
      </w:pPr>
      <w:r w:rsidRPr="00FA1705">
        <w:t xml:space="preserve">Immunogenicity following the </w:t>
      </w:r>
      <w:r w:rsidR="00513DCD">
        <w:t>two-</w:t>
      </w:r>
      <w:r w:rsidRPr="00FA1705">
        <w:t xml:space="preserve">dose schedule was demonstrated only against wild-type </w:t>
      </w:r>
      <w:r w:rsidR="00513DCD">
        <w:t xml:space="preserve">strain of </w:t>
      </w:r>
      <w:r w:rsidRPr="00FA1705">
        <w:t>SARS-CoV-2.</w:t>
      </w:r>
    </w:p>
    <w:p w14:paraId="661DF428" w14:textId="3696EBCD" w:rsidR="00FA1705" w:rsidRPr="00FA1705" w:rsidRDefault="00FA1705" w:rsidP="00FA1705">
      <w:pPr>
        <w:pStyle w:val="ListBullet"/>
      </w:pPr>
      <w:r w:rsidRPr="00FA1705">
        <w:t>Immunogenicity data were not stratified for prior infection in all studies.</w:t>
      </w:r>
    </w:p>
    <w:p w14:paraId="43BD7383" w14:textId="48A77D8F" w:rsidR="00FA1705" w:rsidRPr="002617A8" w:rsidRDefault="00FA1705" w:rsidP="005E4CD7">
      <w:pPr>
        <w:pStyle w:val="ListBullet"/>
      </w:pPr>
      <w:r w:rsidRPr="002617A8">
        <w:t>Clinical trial data did not provide any clinical vaccine efficacy assessment</w:t>
      </w:r>
      <w:r w:rsidR="00932854">
        <w:t>,</w:t>
      </w:r>
      <w:r w:rsidR="00932854" w:rsidRPr="00932854">
        <w:t xml:space="preserve"> </w:t>
      </w:r>
      <w:r w:rsidR="00932854" w:rsidRPr="00FA1705">
        <w:t>and while the observational vaccine effectiveness data suggested that a two</w:t>
      </w:r>
      <w:r w:rsidR="00932854">
        <w:t>-</w:t>
      </w:r>
      <w:r w:rsidR="00932854" w:rsidRPr="00FA1705">
        <w:t>dose vaccine schedule may have been moderately effective early in the pandemic against severe COVID-19 from the ancestral virus, this virus is no longer in circulation.</w:t>
      </w:r>
    </w:p>
    <w:p w14:paraId="60AD2CF1" w14:textId="7140F48A" w:rsidR="00FA1705" w:rsidRDefault="00FA1705" w:rsidP="00FA1705">
      <w:pPr>
        <w:pStyle w:val="ListBullet"/>
      </w:pPr>
      <w:r w:rsidRPr="00FA1705">
        <w:t>There were limited clinical trial data in adolescents (</w:t>
      </w:r>
      <w:r w:rsidR="00513DCD">
        <w:t xml:space="preserve">approximately </w:t>
      </w:r>
      <w:r w:rsidRPr="00FA1705">
        <w:t>300</w:t>
      </w:r>
      <w:r w:rsidR="00513DCD">
        <w:t xml:space="preserve"> individuals</w:t>
      </w:r>
      <w:r w:rsidRPr="00FA1705">
        <w:t>), which were potentially flawed by reliance on cross-study comparisons, and there were no post</w:t>
      </w:r>
      <w:r w:rsidR="00513DCD">
        <w:noBreakHyphen/>
      </w:r>
      <w:r w:rsidRPr="00FA1705">
        <w:t>market data for this age group.</w:t>
      </w:r>
    </w:p>
    <w:p w14:paraId="7620AA66" w14:textId="1D31DE81" w:rsidR="00932854" w:rsidRDefault="00932854" w:rsidP="00932854">
      <w:pPr>
        <w:pStyle w:val="ListBullet"/>
      </w:pPr>
      <w:r w:rsidRPr="00FA1705">
        <w:t>All studies were in healthy subjects or people with stable chronic disease.</w:t>
      </w:r>
    </w:p>
    <w:p w14:paraId="0F923371" w14:textId="7C75CD50" w:rsidR="00FA1705" w:rsidRPr="00FA1705" w:rsidRDefault="00FA1705" w:rsidP="00FA1705">
      <w:pPr>
        <w:pStyle w:val="ListBullet"/>
      </w:pPr>
      <w:r w:rsidRPr="00FA1705">
        <w:t>The novel adjuvant does not have a sufficient safety profile.</w:t>
      </w:r>
    </w:p>
    <w:p w14:paraId="76CC2FE4" w14:textId="63F2393B" w:rsidR="00FA1705" w:rsidRPr="00FA1705" w:rsidRDefault="00FA1705" w:rsidP="00FA1705">
      <w:r w:rsidRPr="00FA1705">
        <w:t xml:space="preserve">The ACV noted that real-world data suggested that a third dose of MVC COVID-19 </w:t>
      </w:r>
      <w:r>
        <w:t>vaccine</w:t>
      </w:r>
      <w:r w:rsidRPr="00FA1705">
        <w:t xml:space="preserve"> appeared to substantially improve vaccine effectiveness, however a </w:t>
      </w:r>
      <w:r>
        <w:t>three</w:t>
      </w:r>
      <w:r w:rsidR="00513DCD">
        <w:t>-</w:t>
      </w:r>
      <w:r w:rsidRPr="00FA1705">
        <w:t>dose schedule was not proposed by the sponsor</w:t>
      </w:r>
      <w:r>
        <w:t>.</w:t>
      </w:r>
    </w:p>
    <w:p w14:paraId="125646BA" w14:textId="6C41C6B7" w:rsidR="00FA1705" w:rsidRPr="00FA1705" w:rsidRDefault="00FA1705" w:rsidP="00FA1705">
      <w:r w:rsidRPr="00FA1705">
        <w:t>The ACV advised that it did not support a first provisional registration (compared to renewal of provisional registration) of a COVID-19 vaccine with clinical trial data only on immunogenicity and only against the ancestral strain of SARS-CoV-2.</w:t>
      </w:r>
    </w:p>
    <w:p w14:paraId="12E3FBA7" w14:textId="2EA726F5" w:rsidR="00FA1705" w:rsidRPr="00FA1705" w:rsidRDefault="00FA1705" w:rsidP="00FA1705">
      <w:r w:rsidRPr="00FA1705">
        <w:t xml:space="preserve">Should the </w:t>
      </w:r>
      <w:r>
        <w:t>D</w:t>
      </w:r>
      <w:r w:rsidRPr="00FA1705">
        <w:t>elegate proceed to approve the vaccine, the ACV advised that the indication should:</w:t>
      </w:r>
    </w:p>
    <w:p w14:paraId="4F3A0458" w14:textId="423374D9" w:rsidR="00FA1705" w:rsidRPr="00FA1705" w:rsidRDefault="00FA1705" w:rsidP="00FA1705">
      <w:pPr>
        <w:pStyle w:val="ListBullet"/>
      </w:pPr>
      <w:r w:rsidRPr="00FA1705">
        <w:t xml:space="preserve">allow use for individuals 18 years and </w:t>
      </w:r>
      <w:proofErr w:type="gramStart"/>
      <w:r w:rsidRPr="00FA1705">
        <w:t>older</w:t>
      </w:r>
      <w:r w:rsidR="00513DCD">
        <w:t>;</w:t>
      </w:r>
      <w:proofErr w:type="gramEnd"/>
    </w:p>
    <w:p w14:paraId="7FC5732A" w14:textId="1A6B0CC2" w:rsidR="00FA1705" w:rsidRPr="00FA1705" w:rsidRDefault="00FA1705" w:rsidP="00FA1705">
      <w:pPr>
        <w:pStyle w:val="ListBullet"/>
      </w:pPr>
      <w:r w:rsidRPr="00FA1705">
        <w:t>be similar in form to that used for other COVID-19 vaccines (for example, to require use in accordance with official guidelines)</w:t>
      </w:r>
      <w:r w:rsidR="00513DCD">
        <w:t>; and</w:t>
      </w:r>
    </w:p>
    <w:p w14:paraId="54E0123C" w14:textId="5BE88ABD" w:rsidR="00FA1705" w:rsidRPr="00FA1705" w:rsidRDefault="00FA1705" w:rsidP="00FA1705">
      <w:pPr>
        <w:pStyle w:val="ListBullet"/>
      </w:pPr>
      <w:r w:rsidRPr="00FA1705">
        <w:t xml:space="preserve">state that the decision has been made ‘on the basis of short-term immunogenicity data (against the ancestral strain) and safety </w:t>
      </w:r>
      <w:proofErr w:type="gramStart"/>
      <w:r w:rsidRPr="00FA1705">
        <w:t>data’</w:t>
      </w:r>
      <w:proofErr w:type="gramEnd"/>
    </w:p>
    <w:p w14:paraId="5291EA2A" w14:textId="77777777" w:rsidR="00C22214" w:rsidRPr="00F73346" w:rsidRDefault="00C22214" w:rsidP="00C22214">
      <w:pPr>
        <w:pStyle w:val="Heading5"/>
      </w:pPr>
      <w:r w:rsidRPr="00F73346">
        <w:t>Conclusion</w:t>
      </w:r>
    </w:p>
    <w:p w14:paraId="4D34925A" w14:textId="7841F6FB" w:rsidR="00FA1705" w:rsidRPr="00FA1705" w:rsidRDefault="00FA1705" w:rsidP="00FA1705">
      <w:r w:rsidRPr="00FA1705">
        <w:t>The proposed indication considered by the ACV was:</w:t>
      </w:r>
    </w:p>
    <w:p w14:paraId="74DF6327" w14:textId="45126DC3" w:rsidR="00FA1705" w:rsidRPr="00FA1705" w:rsidRDefault="00FA1705" w:rsidP="00FA1705">
      <w:pPr>
        <w:ind w:left="720"/>
        <w:rPr>
          <w:i/>
          <w:iCs/>
        </w:rPr>
      </w:pPr>
      <w:r>
        <w:rPr>
          <w:i/>
          <w:iCs/>
        </w:rPr>
        <w:t>‘</w:t>
      </w:r>
      <w:r w:rsidRPr="00FA1705">
        <w:rPr>
          <w:i/>
          <w:iCs/>
        </w:rPr>
        <w:t xml:space="preserve">This vaccine has provisional approval in Australia for active immunisation to prevent novel coronavirus disease (COVID-19, also known as severe pneumonia with novel pathogens) in individuals 12 years of age and older. </w:t>
      </w:r>
    </w:p>
    <w:p w14:paraId="38EBD4EA" w14:textId="77777777" w:rsidR="00FA1705" w:rsidRPr="00FA1705" w:rsidRDefault="00FA1705" w:rsidP="00FA1705">
      <w:pPr>
        <w:ind w:left="720"/>
        <w:rPr>
          <w:i/>
          <w:iCs/>
        </w:rPr>
      </w:pPr>
      <w:r w:rsidRPr="00FA1705">
        <w:rPr>
          <w:i/>
          <w:iCs/>
        </w:rPr>
        <w:lastRenderedPageBreak/>
        <w:t xml:space="preserve">The decision to approve this indication has been made </w:t>
      </w:r>
      <w:proofErr w:type="gramStart"/>
      <w:r w:rsidRPr="00FA1705">
        <w:rPr>
          <w:i/>
          <w:iCs/>
        </w:rPr>
        <w:t>on the basis of</w:t>
      </w:r>
      <w:proofErr w:type="gramEnd"/>
      <w:r w:rsidRPr="00FA1705">
        <w:rPr>
          <w:i/>
          <w:iCs/>
        </w:rPr>
        <w:t xml:space="preserve"> safety, immunogenicity, and efficacy data in completed and ongoing clinical trials and </w:t>
      </w:r>
      <w:proofErr w:type="spellStart"/>
      <w:r w:rsidRPr="00FA1705">
        <w:rPr>
          <w:i/>
          <w:iCs/>
        </w:rPr>
        <w:t>immunobridging</w:t>
      </w:r>
      <w:proofErr w:type="spellEnd"/>
      <w:r w:rsidRPr="00FA1705">
        <w:rPr>
          <w:i/>
          <w:iCs/>
        </w:rPr>
        <w:t xml:space="preserve"> studies. Continued approval of this indication depends on verification and description of benefit in confirmatory trials and post-market assessment. </w:t>
      </w:r>
    </w:p>
    <w:p w14:paraId="4A53F7B0" w14:textId="3AC496B3" w:rsidR="00FA1705" w:rsidRPr="00FA1705" w:rsidRDefault="00FA1705" w:rsidP="00FA1705">
      <w:pPr>
        <w:ind w:left="720"/>
      </w:pPr>
      <w:r w:rsidRPr="00FA1705">
        <w:rPr>
          <w:i/>
          <w:iCs/>
        </w:rPr>
        <w:t>This vaccine should be administered in accordance with the COVID-19 vaccination plan of the Central Epidemic Command Centre.</w:t>
      </w:r>
      <w:r>
        <w:rPr>
          <w:i/>
          <w:iCs/>
        </w:rPr>
        <w:t>’</w:t>
      </w:r>
    </w:p>
    <w:p w14:paraId="1251FD3F" w14:textId="0F71CC12" w:rsidR="00FA1705" w:rsidRPr="00FA1705" w:rsidRDefault="00FA1705" w:rsidP="00FA1705">
      <w:pPr>
        <w:ind w:left="720"/>
        <w:rPr>
          <w:i/>
          <w:iCs/>
        </w:rPr>
      </w:pPr>
      <w:r w:rsidRPr="00FA1705">
        <w:rPr>
          <w:i/>
          <w:iCs/>
        </w:rPr>
        <w:t>Explanation:</w:t>
      </w:r>
    </w:p>
    <w:p w14:paraId="6E6D1959" w14:textId="314DC455" w:rsidR="00FA1705" w:rsidRPr="00FA1705" w:rsidRDefault="00FA1705" w:rsidP="00FA1705">
      <w:pPr>
        <w:ind w:left="720"/>
      </w:pPr>
      <w:r w:rsidRPr="00FA1705">
        <w:rPr>
          <w:i/>
          <w:iCs/>
        </w:rPr>
        <w:t>The indications are based on the neutralising antibody titre being comparable in amount, after two doses of the vaccine, to import products that have received special approval for use.</w:t>
      </w:r>
      <w:r>
        <w:rPr>
          <w:i/>
          <w:iCs/>
        </w:rPr>
        <w:t>’</w:t>
      </w:r>
    </w:p>
    <w:p w14:paraId="78786538" w14:textId="6864C71B" w:rsidR="00FA1705" w:rsidRPr="00FA1705" w:rsidRDefault="00FA1705" w:rsidP="00FA1705">
      <w:r w:rsidRPr="00FA1705">
        <w:t xml:space="preserve">The ACV agreed that </w:t>
      </w:r>
      <w:r w:rsidR="00513DCD">
        <w:t xml:space="preserve">the </w:t>
      </w:r>
      <w:r w:rsidRPr="00FA1705">
        <w:t xml:space="preserve">MVC COVID-19 </w:t>
      </w:r>
      <w:r>
        <w:t>vaccine</w:t>
      </w:r>
      <w:r w:rsidRPr="00FA1705">
        <w:t xml:space="preserve"> did not have a clear benefit-risk profile sufficient for provisional registration for the proposed indication as the evidence submitted did not satisfactorily establish the quality, </w:t>
      </w:r>
      <w:proofErr w:type="gramStart"/>
      <w:r w:rsidRPr="00FA1705">
        <w:t>safety</w:t>
      </w:r>
      <w:proofErr w:type="gramEnd"/>
      <w:r w:rsidRPr="00FA1705">
        <w:t xml:space="preserve"> and efficacy of the vaccine within the context of the current circulating </w:t>
      </w:r>
      <w:r w:rsidR="00513DCD">
        <w:t xml:space="preserve">SARS-CoV-2 </w:t>
      </w:r>
      <w:r w:rsidRPr="00FA1705">
        <w:t>virus variants.</w:t>
      </w:r>
    </w:p>
    <w:p w14:paraId="307F236C" w14:textId="77777777" w:rsidR="00C22214" w:rsidRPr="002E238E" w:rsidRDefault="00C22214" w:rsidP="00C22214">
      <w:pPr>
        <w:pStyle w:val="Heading2"/>
      </w:pPr>
      <w:bookmarkStart w:id="74" w:name="_Toc103679300"/>
      <w:bookmarkStart w:id="75" w:name="_Toc144994871"/>
      <w:r>
        <w:t>Outcome</w:t>
      </w:r>
      <w:bookmarkEnd w:id="72"/>
      <w:bookmarkEnd w:id="73"/>
      <w:bookmarkEnd w:id="74"/>
      <w:bookmarkEnd w:id="75"/>
    </w:p>
    <w:p w14:paraId="0DDDC4DE" w14:textId="43FFC6D9" w:rsidR="00932854" w:rsidRDefault="00932854" w:rsidP="00054F53">
      <w:r>
        <w:t xml:space="preserve">The sponsor withdrew their submission on 25 July 2023 before a decision had been made by the TGA. The sponsor </w:t>
      </w:r>
      <w:r w:rsidR="002C4D1F">
        <w:t xml:space="preserve">expressed </w:t>
      </w:r>
      <w:r w:rsidR="00DB57D6">
        <w:t xml:space="preserve">their intention to </w:t>
      </w:r>
      <w:r w:rsidR="002C4D1F">
        <w:t>resubmit the application as a three-dose schedule.</w:t>
      </w:r>
    </w:p>
    <w:p w14:paraId="40740B65" w14:textId="77777777" w:rsidR="00C22214" w:rsidRPr="00D40F03" w:rsidRDefault="00C22214" w:rsidP="00C22214">
      <w:pPr>
        <w:autoSpaceDE w:val="0"/>
        <w:autoSpaceDN w:val="0"/>
        <w:adjustRightInd w:val="0"/>
        <w:spacing w:after="0"/>
      </w:pPr>
      <w:r w:rsidRPr="005E4CD7">
        <w:br w:type="page"/>
      </w:r>
    </w:p>
    <w:p w14:paraId="53357BF3" w14:textId="276457B5" w:rsidR="00C22214" w:rsidRDefault="00C22214" w:rsidP="00C22214">
      <w:pPr>
        <w:rPr>
          <w:lang w:eastAsia="ja-JP"/>
        </w:rPr>
        <w:sectPr w:rsidR="00C22214" w:rsidSect="007452E8">
          <w:headerReference w:type="default" r:id="rId38"/>
          <w:footerReference w:type="default" r:id="rId39"/>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3"/>
          <w:bookmarkEnd w:id="4"/>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488A8982" w:rsidR="00F02AEC" w:rsidRDefault="00F02AEC">
            <w:pPr>
              <w:pStyle w:val="Address"/>
              <w:jc w:val="center"/>
              <w:rPr>
                <w:sz w:val="22"/>
                <w:szCs w:val="22"/>
              </w:rPr>
            </w:pPr>
            <w:r w:rsidRPr="00215D48">
              <w:t xml:space="preserve">Email: </w:t>
            </w:r>
            <w:hyperlink r:id="rId40"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4533D80F" w14:textId="340C3EB9" w:rsidR="00F02AEC" w:rsidRPr="00215D48" w:rsidRDefault="000519D8">
            <w:pPr>
              <w:pStyle w:val="Address"/>
              <w:jc w:val="center"/>
              <w:rPr>
                <w:rStyle w:val="Hyperlink"/>
                <w:b/>
                <w:color w:val="auto"/>
                <w:sz w:val="22"/>
              </w:rPr>
            </w:pPr>
            <w:hyperlink r:id="rId41" w:history="1">
              <w:r w:rsidR="00F02AEC"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7452E8">
      <w:headerReference w:type="first" r:id="rId42"/>
      <w:footerReference w:type="first" r:id="rId43"/>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BC541" w14:textId="77777777" w:rsidR="00D67200" w:rsidRDefault="00D67200" w:rsidP="00F02AEC">
      <w:pPr>
        <w:spacing w:after="0" w:line="240" w:lineRule="auto"/>
      </w:pPr>
      <w:r>
        <w:separator/>
      </w:r>
    </w:p>
  </w:endnote>
  <w:endnote w:type="continuationSeparator" w:id="0">
    <w:p w14:paraId="1B403C55" w14:textId="77777777" w:rsidR="00D67200" w:rsidRDefault="00D67200"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DE4215" w:rsidRPr="00257138" w14:paraId="162D69C2" w14:textId="77777777" w:rsidTr="007452E8">
      <w:trPr>
        <w:trHeight w:val="423"/>
      </w:trPr>
      <w:tc>
        <w:tcPr>
          <w:tcW w:w="4360" w:type="dxa"/>
          <w:tcBorders>
            <w:top w:val="single" w:sz="4" w:space="0" w:color="auto"/>
          </w:tcBorders>
        </w:tcPr>
        <w:p w14:paraId="32E1B782" w14:textId="77777777" w:rsidR="00DE4215" w:rsidRDefault="00DE4215" w:rsidP="007452E8">
          <w:pPr>
            <w:pStyle w:val="Footer"/>
          </w:pPr>
        </w:p>
        <w:p w14:paraId="1849C07C" w14:textId="77777777" w:rsidR="00DE4215" w:rsidRPr="00257138" w:rsidRDefault="00DE4215"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DE4215" w:rsidRDefault="00DE4215" w:rsidP="007452E8">
              <w:pPr>
                <w:pStyle w:val="Footer"/>
                <w:jc w:val="right"/>
              </w:pPr>
            </w:p>
            <w:p w14:paraId="5EDE6DF6" w14:textId="77777777" w:rsidR="00DE4215" w:rsidRPr="00257138" w:rsidRDefault="00DE4215"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0519D8">
                <w:fldChar w:fldCharType="begin"/>
              </w:r>
              <w:r w:rsidR="000519D8">
                <w:instrText xml:space="preserve"> NUMPAGES  </w:instrText>
              </w:r>
              <w:r w:rsidR="000519D8">
                <w:fldChar w:fldCharType="separate"/>
              </w:r>
              <w:r>
                <w:rPr>
                  <w:noProof/>
                </w:rPr>
                <w:t>2</w:t>
              </w:r>
              <w:r w:rsidR="000519D8">
                <w:rPr>
                  <w:noProof/>
                </w:rPr>
                <w:fldChar w:fldCharType="end"/>
              </w:r>
            </w:p>
          </w:sdtContent>
        </w:sdt>
      </w:tc>
    </w:tr>
    <w:tr w:rsidR="00DE4215" w:rsidRPr="00257138" w14:paraId="280F09C8" w14:textId="77777777" w:rsidTr="007452E8">
      <w:trPr>
        <w:trHeight w:val="263"/>
      </w:trPr>
      <w:tc>
        <w:tcPr>
          <w:tcW w:w="4360" w:type="dxa"/>
        </w:tcPr>
        <w:p w14:paraId="673F06D3" w14:textId="77777777" w:rsidR="00DE4215" w:rsidRPr="00257138" w:rsidRDefault="00DE4215" w:rsidP="007452E8">
          <w:pPr>
            <w:pStyle w:val="Footer"/>
          </w:pPr>
          <w:r w:rsidRPr="00257138">
            <w:t xml:space="preserve">V1.0 </w:t>
          </w:r>
          <w:r>
            <w:t>Month</w:t>
          </w:r>
          <w:r w:rsidRPr="00257138">
            <w:t xml:space="preserve"> 201</w:t>
          </w:r>
          <w:r>
            <w:t>2</w:t>
          </w:r>
        </w:p>
      </w:tc>
      <w:tc>
        <w:tcPr>
          <w:tcW w:w="4360" w:type="dxa"/>
        </w:tcPr>
        <w:p w14:paraId="77F5B433" w14:textId="77777777" w:rsidR="00DE4215" w:rsidRPr="00257138" w:rsidRDefault="00DE4215" w:rsidP="007452E8">
          <w:pPr>
            <w:pStyle w:val="Footer"/>
            <w:jc w:val="right"/>
          </w:pPr>
        </w:p>
      </w:tc>
    </w:tr>
  </w:tbl>
  <w:p w14:paraId="63F6FDDE" w14:textId="77777777" w:rsidR="00DE4215" w:rsidRPr="00826007" w:rsidRDefault="00DE4215"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DE4215" w:rsidRDefault="00DE4215"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DE4215" w:rsidRPr="004A3084" w14:paraId="6266BC33" w14:textId="77777777" w:rsidTr="007452E8">
      <w:trPr>
        <w:trHeight w:val="423"/>
      </w:trPr>
      <w:tc>
        <w:tcPr>
          <w:tcW w:w="7338" w:type="dxa"/>
          <w:tcBorders>
            <w:top w:val="single" w:sz="4" w:space="0" w:color="auto"/>
          </w:tcBorders>
        </w:tcPr>
        <w:p w14:paraId="3C421323" w14:textId="2F91CA3A" w:rsidR="00DE4215" w:rsidRPr="004A3084" w:rsidRDefault="00DE4215" w:rsidP="007452E8">
          <w:pPr>
            <w:pStyle w:val="Footer"/>
          </w:pPr>
          <w:proofErr w:type="spellStart"/>
          <w:r w:rsidRPr="00487162">
            <w:t>AusPA</w:t>
          </w:r>
          <w:r>
            <w:t>R</w:t>
          </w:r>
          <w:proofErr w:type="spellEnd"/>
          <w:r>
            <w:t xml:space="preserve"> - </w:t>
          </w:r>
          <w:r w:rsidRPr="002D35F4">
            <w:t>MVC COVID-19 Vaccine</w:t>
          </w:r>
          <w:r>
            <w:t xml:space="preserve"> -</w:t>
          </w:r>
          <w:r w:rsidRPr="00460036">
            <w:t xml:space="preserve"> </w:t>
          </w:r>
          <w:r w:rsidRPr="002D35F4">
            <w:t>MVC-COV1901</w:t>
          </w:r>
          <w:r w:rsidRPr="00460036">
            <w:t xml:space="preserve"> </w:t>
          </w:r>
          <w:r>
            <w:t xml:space="preserve">- </w:t>
          </w:r>
          <w:r w:rsidRPr="002D35F4">
            <w:t>Grand Pacific CRO Australia</w:t>
          </w:r>
          <w:r>
            <w:t xml:space="preserve"> - </w:t>
          </w:r>
          <w:r w:rsidRPr="002D35F4">
            <w:t>PM-2022-01101-1-2</w:t>
          </w:r>
          <w:r>
            <w:br/>
          </w:r>
          <w:r w:rsidR="00A15251">
            <w:t>FINAL</w:t>
          </w:r>
          <w:r w:rsidRPr="00487162">
            <w:t xml:space="preserve"> </w:t>
          </w:r>
          <w:r w:rsidR="00A15251">
            <w:t>7 September</w:t>
          </w:r>
          <w:r>
            <w:t xml:space="preserve"> 2023</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2CDA660" w:rsidR="00DE4215" w:rsidRPr="004A3084" w:rsidRDefault="00DE4215" w:rsidP="007452E8">
              <w:pPr>
                <w:pStyle w:val="Footer"/>
                <w:jc w:val="right"/>
              </w:pPr>
              <w:r w:rsidRPr="004A3084">
                <w:t xml:space="preserve">Page </w:t>
              </w:r>
              <w:r>
                <w:fldChar w:fldCharType="begin"/>
              </w:r>
              <w:r>
                <w:instrText xml:space="preserve"> PAGE </w:instrText>
              </w:r>
              <w:r>
                <w:fldChar w:fldCharType="separate"/>
              </w:r>
              <w:r w:rsidR="00EE5521">
                <w:rPr>
                  <w:noProof/>
                </w:rPr>
                <w:t>41</w:t>
              </w:r>
              <w:r>
                <w:rPr>
                  <w:noProof/>
                </w:rPr>
                <w:fldChar w:fldCharType="end"/>
              </w:r>
              <w:r w:rsidRPr="004A3084">
                <w:t xml:space="preserve"> of </w:t>
              </w:r>
              <w:r w:rsidR="000519D8">
                <w:fldChar w:fldCharType="begin"/>
              </w:r>
              <w:r w:rsidR="000519D8">
                <w:instrText xml:space="preserve"> NUMPAGES  </w:instrText>
              </w:r>
              <w:r w:rsidR="000519D8">
                <w:fldChar w:fldCharType="separate"/>
              </w:r>
              <w:r w:rsidR="00EE5521">
                <w:rPr>
                  <w:noProof/>
                </w:rPr>
                <w:t>42</w:t>
              </w:r>
              <w:r w:rsidR="000519D8">
                <w:rPr>
                  <w:noProof/>
                </w:rPr>
                <w:fldChar w:fldCharType="end"/>
              </w:r>
            </w:p>
          </w:sdtContent>
        </w:sdt>
      </w:tc>
    </w:tr>
  </w:tbl>
  <w:p w14:paraId="1A4EDE60" w14:textId="77777777" w:rsidR="00DE4215" w:rsidRPr="00826007" w:rsidRDefault="00DE4215"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DE4215" w:rsidRPr="008E3C43" w:rsidRDefault="00DE4215"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064B62" w14:textId="77777777" w:rsidR="00D67200" w:rsidRDefault="00D67200" w:rsidP="00F02AEC">
      <w:pPr>
        <w:spacing w:after="0" w:line="240" w:lineRule="auto"/>
      </w:pPr>
      <w:r>
        <w:separator/>
      </w:r>
    </w:p>
  </w:footnote>
  <w:footnote w:type="continuationSeparator" w:id="0">
    <w:p w14:paraId="33858297" w14:textId="77777777" w:rsidR="00D67200" w:rsidRDefault="00D67200" w:rsidP="00F02AEC">
      <w:pPr>
        <w:spacing w:after="0" w:line="240" w:lineRule="auto"/>
      </w:pPr>
      <w:r>
        <w:continuationSeparator/>
      </w:r>
    </w:p>
  </w:footnote>
  <w:footnote w:id="1">
    <w:p w14:paraId="68402A9B" w14:textId="60286C39" w:rsidR="00DE4215" w:rsidRPr="00A93DC6" w:rsidRDefault="00DE4215">
      <w:pPr>
        <w:pStyle w:val="FootnoteText"/>
        <w:rPr>
          <w:lang w:val="en-GB"/>
        </w:rPr>
      </w:pPr>
      <w:r>
        <w:rPr>
          <w:rStyle w:val="FootnoteReference"/>
        </w:rPr>
        <w:footnoteRef/>
      </w:r>
      <w:r>
        <w:t xml:space="preserve"> This is the original indication proposed by the sponsor</w:t>
      </w:r>
      <w:r>
        <w:rPr>
          <w:lang w:val="en-GB"/>
        </w:rPr>
        <w:t xml:space="preserve"> when the TGA commenced the evaluation of this submission. It </w:t>
      </w:r>
      <w:r w:rsidRPr="007452E8">
        <w:rPr>
          <w:lang w:val="en-GB"/>
        </w:rPr>
        <w:t xml:space="preserve">may </w:t>
      </w:r>
      <w:r>
        <w:rPr>
          <w:lang w:val="en-GB"/>
        </w:rPr>
        <w:t>differ</w:t>
      </w:r>
      <w:r w:rsidRPr="007452E8">
        <w:rPr>
          <w:lang w:val="en-GB"/>
        </w:rPr>
        <w:t xml:space="preserve"> to the final indication approved by th</w:t>
      </w:r>
      <w:r>
        <w:rPr>
          <w:lang w:val="en-GB"/>
        </w:rPr>
        <w:t>e TGA and registered on the Australian Register of Therapeutic Goods.</w:t>
      </w:r>
    </w:p>
  </w:footnote>
  <w:footnote w:id="2">
    <w:p w14:paraId="2E68F82D" w14:textId="725661AE" w:rsidR="00DE4215" w:rsidRPr="00A54AF1" w:rsidRDefault="00DE4215">
      <w:pPr>
        <w:pStyle w:val="FootnoteText"/>
        <w:rPr>
          <w:lang w:val="en-GB"/>
        </w:rPr>
      </w:pPr>
      <w:r>
        <w:rPr>
          <w:rStyle w:val="FootnoteReference"/>
        </w:rPr>
        <w:footnoteRef/>
      </w:r>
      <w:r>
        <w:t xml:space="preserve"> </w:t>
      </w:r>
      <w:r>
        <w:t xml:space="preserve">Vaxzevria COVID-19 vaccine (formerly AstraZeneca COVID-19 vaccine) 1 x 1011 viral particles (vp; ChAdOx1)/mL, solution for injection. ARTG number: 349072. </w:t>
      </w:r>
    </w:p>
  </w:footnote>
  <w:footnote w:id="3">
    <w:p w14:paraId="57A3C680" w14:textId="5F9CECC3" w:rsidR="00DE4215" w:rsidRDefault="00DE4215">
      <w:pPr>
        <w:pStyle w:val="FootnoteText"/>
      </w:pPr>
      <w:r>
        <w:rPr>
          <w:rStyle w:val="FootnoteReference"/>
        </w:rPr>
        <w:footnoteRef/>
      </w:r>
      <w:r>
        <w:t xml:space="preserve"> </w:t>
      </w:r>
      <w:r>
        <w:t xml:space="preserve">Vaxzevria AusPAR available at </w:t>
      </w:r>
      <w:hyperlink r:id="rId1" w:history="1">
        <w:r w:rsidRPr="00865E99">
          <w:rPr>
            <w:rStyle w:val="Hyperlink"/>
          </w:rPr>
          <w:t>https://www.tga.gov.au/resources/auspar/auspar-chadox1-s</w:t>
        </w:r>
      </w:hyperlink>
    </w:p>
  </w:footnote>
  <w:footnote w:id="4">
    <w:p w14:paraId="600058F8" w14:textId="14C21DF2" w:rsidR="00DE4215" w:rsidRDefault="00DE4215" w:rsidP="008534E0">
      <w:pPr>
        <w:pStyle w:val="FootnoteText"/>
      </w:pPr>
      <w:r>
        <w:rPr>
          <w:rStyle w:val="FootnoteReference"/>
        </w:rPr>
        <w:footnoteRef/>
      </w:r>
      <w:r>
        <w:t xml:space="preserve"> Category B2: Drugs which have been taken by only a limited number of pregnant women and women of childbearing age, without an increase in the frequency of malformation or other direct or indirect harmful effects on the human </w:t>
      </w:r>
      <w:r>
        <w:t>fetus having been observed. Studies in animals are inadequate or may be lacking, but available data show no evidence of an increased occurrence of fetal damage.</w:t>
      </w:r>
    </w:p>
  </w:footnote>
  <w:footnote w:id="5">
    <w:p w14:paraId="64663999" w14:textId="5B5B8379" w:rsidR="00DE4215" w:rsidRPr="00A54AF1" w:rsidRDefault="00DE4215" w:rsidP="00B508EB">
      <w:pPr>
        <w:pStyle w:val="FootnoteText"/>
      </w:pPr>
      <w:r>
        <w:rPr>
          <w:rStyle w:val="FootnoteReference"/>
        </w:rPr>
        <w:footnoteRef/>
      </w:r>
      <w:r>
        <w:t xml:space="preserve"> </w:t>
      </w:r>
      <w:r>
        <w:t>Vaxzevria COVID-19 vaccine (formerly AstraZeneca COVID-19 vaccine) 1 x 1011 viral particles (vp; ChAdOx1)/mL, solution for injection. ARTG number: 349072.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DE4215" w:rsidRPr="00CB0550" w:rsidRDefault="00DE4215"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DE4215" w:rsidRPr="002B29B2" w14:paraId="3E15C3BC" w14:textId="77777777" w:rsidTr="007452E8">
      <w:trPr>
        <w:trHeight w:hRule="exact" w:val="8845"/>
      </w:trPr>
      <w:tc>
        <w:tcPr>
          <w:tcW w:w="11964" w:type="dxa"/>
          <w:vAlign w:val="center"/>
        </w:tcPr>
        <w:p w14:paraId="6FDE4BFB" w14:textId="77777777" w:rsidR="00DE4215" w:rsidRPr="002B29B2" w:rsidRDefault="000519D8" w:rsidP="007452E8">
          <w:pPr>
            <w:ind w:left="-57"/>
            <w:rPr>
              <w:noProof/>
            </w:rPr>
          </w:pPr>
          <w:sdt>
            <w:sdtPr>
              <w:rPr>
                <w:noProof/>
              </w:rPr>
              <w:id w:val="1926993388"/>
              <w:showingPlcHdr/>
              <w:picture/>
            </w:sdtPr>
            <w:sdtEndPr/>
            <w:sdtContent>
              <w:r w:rsidR="00DE4215" w:rsidRPr="00F71E1E">
                <w:rPr>
                  <w:noProof/>
                  <w:lang w:val="en-US" w:eastAsia="zh-TW"/>
                </w:rPr>
                <w:drawing>
                  <wp:inline distT="0" distB="0" distL="0" distR="0" wp14:anchorId="5C7F8AC9" wp14:editId="403E20C5">
                    <wp:extent cx="7631430" cy="5523865"/>
                    <wp:effectExtent l="0" t="0" r="7620" b="63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DE4215" w:rsidRDefault="00DE4215" w:rsidP="007452E8">
    <w:pPr>
      <w:rPr>
        <w:noProof/>
      </w:rPr>
    </w:pPr>
    <w:r>
      <w:rPr>
        <w:noProof/>
        <w:lang w:val="en-US" w:eastAsia="zh-TW"/>
      </w:rPr>
      <w:drawing>
        <wp:inline distT="0" distB="0" distL="0" distR="0" wp14:anchorId="19C10218" wp14:editId="0BF3F06D">
          <wp:extent cx="2676525" cy="621665"/>
          <wp:effectExtent l="0" t="0" r="9525" b="6985"/>
          <wp:docPr id="12" name="Picture 1" descr="Australian Government, Department of Health and Aged Care, Therapeutic Goods Admini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Australian Government, Department of Health and Aged Care, Therapeutic Goods Administration. "/>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inline>
      </w:drawing>
    </w:r>
    <w:r w:rsidRPr="002B29B2">
      <w:rPr>
        <w:noProof/>
        <w:lang w:val="en-US" w:eastAsia="zh-TW"/>
      </w:rPr>
      <w:drawing>
        <wp:anchor distT="0" distB="0" distL="114300" distR="114300" simplePos="0" relativeHeight="251660288" behindDoc="0" locked="0" layoutInCell="0" allowOverlap="1" wp14:anchorId="14BBEAC1" wp14:editId="25460C6F">
          <wp:simplePos x="0" y="0"/>
          <wp:positionH relativeFrom="page">
            <wp:align>left</wp:align>
          </wp:positionH>
          <wp:positionV relativeFrom="page">
            <wp:posOffset>3239495</wp:posOffset>
          </wp:positionV>
          <wp:extent cx="7663815" cy="4323091"/>
          <wp:effectExtent l="0" t="0" r="0" b="127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DE4215" w:rsidRDefault="00DE4215"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DE4215" w:rsidRPr="00FE501F" w:rsidRDefault="00DE4215"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9039663"/>
    <w:multiLevelType w:val="hybridMultilevel"/>
    <w:tmpl w:val="A9B9E5A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053F11"/>
    <w:multiLevelType w:val="multilevel"/>
    <w:tmpl w:val="E58A81F0"/>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15:restartNumberingAfterBreak="0">
    <w:nsid w:val="13AA2438"/>
    <w:multiLevelType w:val="hybridMultilevel"/>
    <w:tmpl w:val="865E63B4"/>
    <w:lvl w:ilvl="0" w:tplc="5178E52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7" w15:restartNumberingAfterBreak="0">
    <w:nsid w:val="49D3710D"/>
    <w:multiLevelType w:val="hybridMultilevel"/>
    <w:tmpl w:val="28FA5972"/>
    <w:lvl w:ilvl="0" w:tplc="47202126">
      <w:start w:val="6"/>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4152EC"/>
    <w:multiLevelType w:val="hybridMultilevel"/>
    <w:tmpl w:val="F498F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0"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5858858"/>
    <w:multiLevelType w:val="hybridMultilevel"/>
    <w:tmpl w:val="7AC3F3D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F4E00B2"/>
    <w:multiLevelType w:val="hybridMultilevel"/>
    <w:tmpl w:val="ABC9EF5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2088990353">
    <w:abstractNumId w:val="5"/>
  </w:num>
  <w:num w:numId="2" w16cid:durableId="188841530">
    <w:abstractNumId w:val="2"/>
  </w:num>
  <w:num w:numId="3" w16cid:durableId="2052874608">
    <w:abstractNumId w:val="4"/>
  </w:num>
  <w:num w:numId="4" w16cid:durableId="1117290081">
    <w:abstractNumId w:val="10"/>
  </w:num>
  <w:num w:numId="5" w16cid:durableId="701054131">
    <w:abstractNumId w:val="6"/>
  </w:num>
  <w:num w:numId="6" w16cid:durableId="1044794569">
    <w:abstractNumId w:val="9"/>
  </w:num>
  <w:num w:numId="7" w16cid:durableId="194580474">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9357822">
    <w:abstractNumId w:val="11"/>
  </w:num>
  <w:num w:numId="9" w16cid:durableId="1114522020">
    <w:abstractNumId w:val="12"/>
  </w:num>
  <w:num w:numId="10" w16cid:durableId="729697371">
    <w:abstractNumId w:val="0"/>
  </w:num>
  <w:num w:numId="11" w16cid:durableId="3959033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9155429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9070669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79898322">
    <w:abstractNumId w:val="1"/>
  </w:num>
  <w:num w:numId="15" w16cid:durableId="15340278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641616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5324840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07243750">
    <w:abstractNumId w:val="3"/>
  </w:num>
  <w:num w:numId="19" w16cid:durableId="984353309">
    <w:abstractNumId w:val="7"/>
  </w:num>
  <w:num w:numId="20" w16cid:durableId="117958786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10142"/>
    <w:rsid w:val="0001781D"/>
    <w:rsid w:val="00027BB3"/>
    <w:rsid w:val="000317BD"/>
    <w:rsid w:val="000355B7"/>
    <w:rsid w:val="00037B81"/>
    <w:rsid w:val="00040DF5"/>
    <w:rsid w:val="000519D8"/>
    <w:rsid w:val="00054F53"/>
    <w:rsid w:val="00072636"/>
    <w:rsid w:val="00077844"/>
    <w:rsid w:val="0008125E"/>
    <w:rsid w:val="00082161"/>
    <w:rsid w:val="00094B81"/>
    <w:rsid w:val="000975AA"/>
    <w:rsid w:val="000A08C8"/>
    <w:rsid w:val="000C5DB7"/>
    <w:rsid w:val="000D064A"/>
    <w:rsid w:val="000D4638"/>
    <w:rsid w:val="000D7934"/>
    <w:rsid w:val="000F31B0"/>
    <w:rsid w:val="00101FB1"/>
    <w:rsid w:val="0010690C"/>
    <w:rsid w:val="001106DE"/>
    <w:rsid w:val="0012473C"/>
    <w:rsid w:val="00125306"/>
    <w:rsid w:val="0013132F"/>
    <w:rsid w:val="00132FB2"/>
    <w:rsid w:val="0013528C"/>
    <w:rsid w:val="00141B81"/>
    <w:rsid w:val="0015250E"/>
    <w:rsid w:val="00155680"/>
    <w:rsid w:val="00155D64"/>
    <w:rsid w:val="00165D28"/>
    <w:rsid w:val="00175CD8"/>
    <w:rsid w:val="00176FBD"/>
    <w:rsid w:val="00181A6A"/>
    <w:rsid w:val="001857BF"/>
    <w:rsid w:val="001944A2"/>
    <w:rsid w:val="001A067D"/>
    <w:rsid w:val="001A198E"/>
    <w:rsid w:val="001B2C91"/>
    <w:rsid w:val="001B4376"/>
    <w:rsid w:val="001C1C2E"/>
    <w:rsid w:val="001C466A"/>
    <w:rsid w:val="001D0D9A"/>
    <w:rsid w:val="001E30AE"/>
    <w:rsid w:val="001F3B3B"/>
    <w:rsid w:val="0020074E"/>
    <w:rsid w:val="0020369B"/>
    <w:rsid w:val="00226F39"/>
    <w:rsid w:val="00230BB4"/>
    <w:rsid w:val="00241B60"/>
    <w:rsid w:val="0025114D"/>
    <w:rsid w:val="00257909"/>
    <w:rsid w:val="00261118"/>
    <w:rsid w:val="002617A8"/>
    <w:rsid w:val="00272152"/>
    <w:rsid w:val="002723F9"/>
    <w:rsid w:val="00275146"/>
    <w:rsid w:val="0027580A"/>
    <w:rsid w:val="00285848"/>
    <w:rsid w:val="00291BB0"/>
    <w:rsid w:val="002924E7"/>
    <w:rsid w:val="002B587B"/>
    <w:rsid w:val="002B7E21"/>
    <w:rsid w:val="002C4D1F"/>
    <w:rsid w:val="002C5E29"/>
    <w:rsid w:val="002D35F4"/>
    <w:rsid w:val="002D7127"/>
    <w:rsid w:val="002E1860"/>
    <w:rsid w:val="002F1FFD"/>
    <w:rsid w:val="003008D8"/>
    <w:rsid w:val="00303959"/>
    <w:rsid w:val="00312AC3"/>
    <w:rsid w:val="00314430"/>
    <w:rsid w:val="00324848"/>
    <w:rsid w:val="00324B33"/>
    <w:rsid w:val="00334888"/>
    <w:rsid w:val="00342091"/>
    <w:rsid w:val="00346EC2"/>
    <w:rsid w:val="0035444D"/>
    <w:rsid w:val="00355DC3"/>
    <w:rsid w:val="003637AB"/>
    <w:rsid w:val="00377D50"/>
    <w:rsid w:val="0039320A"/>
    <w:rsid w:val="00395140"/>
    <w:rsid w:val="003B0862"/>
    <w:rsid w:val="003B149C"/>
    <w:rsid w:val="003B2DB8"/>
    <w:rsid w:val="003D1CA5"/>
    <w:rsid w:val="003D71A1"/>
    <w:rsid w:val="003E7ED7"/>
    <w:rsid w:val="00400C8C"/>
    <w:rsid w:val="00403046"/>
    <w:rsid w:val="00410C69"/>
    <w:rsid w:val="00412BF3"/>
    <w:rsid w:val="0041688F"/>
    <w:rsid w:val="0042376F"/>
    <w:rsid w:val="004246B8"/>
    <w:rsid w:val="004315B4"/>
    <w:rsid w:val="00433318"/>
    <w:rsid w:val="00433D30"/>
    <w:rsid w:val="004653CA"/>
    <w:rsid w:val="00477C4E"/>
    <w:rsid w:val="0048286C"/>
    <w:rsid w:val="00487C84"/>
    <w:rsid w:val="00491A55"/>
    <w:rsid w:val="004B3081"/>
    <w:rsid w:val="004D6CD2"/>
    <w:rsid w:val="0051307D"/>
    <w:rsid w:val="00513DCD"/>
    <w:rsid w:val="00535DFE"/>
    <w:rsid w:val="00562B32"/>
    <w:rsid w:val="00562F42"/>
    <w:rsid w:val="0056766D"/>
    <w:rsid w:val="005701A6"/>
    <w:rsid w:val="0058575E"/>
    <w:rsid w:val="0058783C"/>
    <w:rsid w:val="00587C1F"/>
    <w:rsid w:val="00590721"/>
    <w:rsid w:val="005911AE"/>
    <w:rsid w:val="0059313A"/>
    <w:rsid w:val="005B023F"/>
    <w:rsid w:val="005C5F98"/>
    <w:rsid w:val="005D2089"/>
    <w:rsid w:val="005D7514"/>
    <w:rsid w:val="005E1A7B"/>
    <w:rsid w:val="005E31B1"/>
    <w:rsid w:val="005E4CD7"/>
    <w:rsid w:val="005F46C9"/>
    <w:rsid w:val="00602D86"/>
    <w:rsid w:val="00610D29"/>
    <w:rsid w:val="00612B08"/>
    <w:rsid w:val="00613430"/>
    <w:rsid w:val="00616B39"/>
    <w:rsid w:val="006277A1"/>
    <w:rsid w:val="006351D9"/>
    <w:rsid w:val="00637130"/>
    <w:rsid w:val="00637F0E"/>
    <w:rsid w:val="00640DAB"/>
    <w:rsid w:val="006423F2"/>
    <w:rsid w:val="0065280D"/>
    <w:rsid w:val="00661FEE"/>
    <w:rsid w:val="00692CCD"/>
    <w:rsid w:val="00693302"/>
    <w:rsid w:val="006A074C"/>
    <w:rsid w:val="006A0AEA"/>
    <w:rsid w:val="006A1243"/>
    <w:rsid w:val="006A1F0B"/>
    <w:rsid w:val="006A277A"/>
    <w:rsid w:val="006D6B44"/>
    <w:rsid w:val="006E19D9"/>
    <w:rsid w:val="006E44CD"/>
    <w:rsid w:val="007072A1"/>
    <w:rsid w:val="00710BC5"/>
    <w:rsid w:val="0071789F"/>
    <w:rsid w:val="0072003B"/>
    <w:rsid w:val="007357B9"/>
    <w:rsid w:val="007406B6"/>
    <w:rsid w:val="007452E8"/>
    <w:rsid w:val="00746990"/>
    <w:rsid w:val="00750D70"/>
    <w:rsid w:val="0075233D"/>
    <w:rsid w:val="0077162F"/>
    <w:rsid w:val="00785FF3"/>
    <w:rsid w:val="00787D64"/>
    <w:rsid w:val="00793272"/>
    <w:rsid w:val="007A4DB2"/>
    <w:rsid w:val="007B04DE"/>
    <w:rsid w:val="007B29A6"/>
    <w:rsid w:val="007C0B18"/>
    <w:rsid w:val="007C57BC"/>
    <w:rsid w:val="007C79FA"/>
    <w:rsid w:val="007D079C"/>
    <w:rsid w:val="007D4138"/>
    <w:rsid w:val="007D7D47"/>
    <w:rsid w:val="007F0A77"/>
    <w:rsid w:val="007F50D3"/>
    <w:rsid w:val="00810977"/>
    <w:rsid w:val="00812073"/>
    <w:rsid w:val="008141AC"/>
    <w:rsid w:val="00821348"/>
    <w:rsid w:val="008329DB"/>
    <w:rsid w:val="008361C5"/>
    <w:rsid w:val="0083628F"/>
    <w:rsid w:val="00836F0E"/>
    <w:rsid w:val="00837AB9"/>
    <w:rsid w:val="00841E16"/>
    <w:rsid w:val="00850637"/>
    <w:rsid w:val="008534E0"/>
    <w:rsid w:val="00854D98"/>
    <w:rsid w:val="00860B29"/>
    <w:rsid w:val="00873F9C"/>
    <w:rsid w:val="008804CF"/>
    <w:rsid w:val="008964B3"/>
    <w:rsid w:val="008C28FA"/>
    <w:rsid w:val="008C49C6"/>
    <w:rsid w:val="008C754C"/>
    <w:rsid w:val="008D6A54"/>
    <w:rsid w:val="0090605E"/>
    <w:rsid w:val="009108CE"/>
    <w:rsid w:val="00912DF3"/>
    <w:rsid w:val="00915A9F"/>
    <w:rsid w:val="0091671A"/>
    <w:rsid w:val="00917AAE"/>
    <w:rsid w:val="009237B9"/>
    <w:rsid w:val="00930D58"/>
    <w:rsid w:val="00932854"/>
    <w:rsid w:val="00950518"/>
    <w:rsid w:val="00966EF1"/>
    <w:rsid w:val="0098350E"/>
    <w:rsid w:val="00996617"/>
    <w:rsid w:val="00996FA5"/>
    <w:rsid w:val="009B0B2F"/>
    <w:rsid w:val="009D5ABA"/>
    <w:rsid w:val="009E3EA1"/>
    <w:rsid w:val="009E4812"/>
    <w:rsid w:val="009E6F8C"/>
    <w:rsid w:val="009F52CB"/>
    <w:rsid w:val="00A01C56"/>
    <w:rsid w:val="00A036DB"/>
    <w:rsid w:val="00A15251"/>
    <w:rsid w:val="00A21B8B"/>
    <w:rsid w:val="00A23706"/>
    <w:rsid w:val="00A358E7"/>
    <w:rsid w:val="00A51A2D"/>
    <w:rsid w:val="00A53B8F"/>
    <w:rsid w:val="00A54AF1"/>
    <w:rsid w:val="00A63D9B"/>
    <w:rsid w:val="00A74A78"/>
    <w:rsid w:val="00A8261D"/>
    <w:rsid w:val="00A84D25"/>
    <w:rsid w:val="00A93DC6"/>
    <w:rsid w:val="00A97E5B"/>
    <w:rsid w:val="00AB7CBF"/>
    <w:rsid w:val="00AC1E3B"/>
    <w:rsid w:val="00AE1947"/>
    <w:rsid w:val="00AE30F6"/>
    <w:rsid w:val="00AF1DD0"/>
    <w:rsid w:val="00AF29F0"/>
    <w:rsid w:val="00B0324D"/>
    <w:rsid w:val="00B14CCB"/>
    <w:rsid w:val="00B17C78"/>
    <w:rsid w:val="00B217D4"/>
    <w:rsid w:val="00B26D5D"/>
    <w:rsid w:val="00B276D6"/>
    <w:rsid w:val="00B46BC0"/>
    <w:rsid w:val="00B508EB"/>
    <w:rsid w:val="00B54997"/>
    <w:rsid w:val="00B55681"/>
    <w:rsid w:val="00B718D7"/>
    <w:rsid w:val="00B850F9"/>
    <w:rsid w:val="00B90E25"/>
    <w:rsid w:val="00B967FF"/>
    <w:rsid w:val="00BA7F7D"/>
    <w:rsid w:val="00BB1020"/>
    <w:rsid w:val="00BB1C14"/>
    <w:rsid w:val="00BD07DF"/>
    <w:rsid w:val="00BD5DBD"/>
    <w:rsid w:val="00BF1588"/>
    <w:rsid w:val="00BF4638"/>
    <w:rsid w:val="00BF61B2"/>
    <w:rsid w:val="00C073CC"/>
    <w:rsid w:val="00C07551"/>
    <w:rsid w:val="00C11A82"/>
    <w:rsid w:val="00C12BBA"/>
    <w:rsid w:val="00C14281"/>
    <w:rsid w:val="00C22214"/>
    <w:rsid w:val="00C30214"/>
    <w:rsid w:val="00C407AB"/>
    <w:rsid w:val="00C50FD0"/>
    <w:rsid w:val="00C570FF"/>
    <w:rsid w:val="00C6574E"/>
    <w:rsid w:val="00C677F2"/>
    <w:rsid w:val="00C74024"/>
    <w:rsid w:val="00C76148"/>
    <w:rsid w:val="00C812D6"/>
    <w:rsid w:val="00C816C6"/>
    <w:rsid w:val="00C85F72"/>
    <w:rsid w:val="00C965F6"/>
    <w:rsid w:val="00CA12E4"/>
    <w:rsid w:val="00CB0550"/>
    <w:rsid w:val="00CB59E2"/>
    <w:rsid w:val="00CB7290"/>
    <w:rsid w:val="00CB758C"/>
    <w:rsid w:val="00CC469C"/>
    <w:rsid w:val="00CC6A6A"/>
    <w:rsid w:val="00CE5C30"/>
    <w:rsid w:val="00CE64B1"/>
    <w:rsid w:val="00D01DDB"/>
    <w:rsid w:val="00D078BE"/>
    <w:rsid w:val="00D13F8A"/>
    <w:rsid w:val="00D40F03"/>
    <w:rsid w:val="00D45328"/>
    <w:rsid w:val="00D5220C"/>
    <w:rsid w:val="00D62877"/>
    <w:rsid w:val="00D63760"/>
    <w:rsid w:val="00D63A9F"/>
    <w:rsid w:val="00D64E73"/>
    <w:rsid w:val="00D67200"/>
    <w:rsid w:val="00D67E3E"/>
    <w:rsid w:val="00D7047B"/>
    <w:rsid w:val="00D918D5"/>
    <w:rsid w:val="00D94C8E"/>
    <w:rsid w:val="00DA7398"/>
    <w:rsid w:val="00DB192C"/>
    <w:rsid w:val="00DB1CF3"/>
    <w:rsid w:val="00DB57D6"/>
    <w:rsid w:val="00DE4215"/>
    <w:rsid w:val="00DF2EDB"/>
    <w:rsid w:val="00DF5BFE"/>
    <w:rsid w:val="00E33B75"/>
    <w:rsid w:val="00E40F28"/>
    <w:rsid w:val="00E47E0C"/>
    <w:rsid w:val="00E51813"/>
    <w:rsid w:val="00E5186D"/>
    <w:rsid w:val="00E52BDA"/>
    <w:rsid w:val="00E53D3F"/>
    <w:rsid w:val="00E5579B"/>
    <w:rsid w:val="00E65FC3"/>
    <w:rsid w:val="00E7112B"/>
    <w:rsid w:val="00E81FAF"/>
    <w:rsid w:val="00E84215"/>
    <w:rsid w:val="00E96CAB"/>
    <w:rsid w:val="00E97471"/>
    <w:rsid w:val="00EA0109"/>
    <w:rsid w:val="00EA7936"/>
    <w:rsid w:val="00EA7A44"/>
    <w:rsid w:val="00EB0D7A"/>
    <w:rsid w:val="00EC5176"/>
    <w:rsid w:val="00ED63FA"/>
    <w:rsid w:val="00ED66C3"/>
    <w:rsid w:val="00EE47A1"/>
    <w:rsid w:val="00EE5521"/>
    <w:rsid w:val="00EE68DA"/>
    <w:rsid w:val="00F00ECB"/>
    <w:rsid w:val="00F02AEC"/>
    <w:rsid w:val="00F04825"/>
    <w:rsid w:val="00F06C0C"/>
    <w:rsid w:val="00F157FC"/>
    <w:rsid w:val="00F30AF3"/>
    <w:rsid w:val="00F41863"/>
    <w:rsid w:val="00F47087"/>
    <w:rsid w:val="00F546D9"/>
    <w:rsid w:val="00F65360"/>
    <w:rsid w:val="00F657B4"/>
    <w:rsid w:val="00F66008"/>
    <w:rsid w:val="00F865A7"/>
    <w:rsid w:val="00FA0754"/>
    <w:rsid w:val="00FA1705"/>
    <w:rsid w:val="00FA1BC9"/>
    <w:rsid w:val="00FA49C3"/>
    <w:rsid w:val="00FB236E"/>
    <w:rsid w:val="00FC13ED"/>
    <w:rsid w:val="00FC4505"/>
    <w:rsid w:val="00FC60F4"/>
    <w:rsid w:val="00FC6F56"/>
    <w:rsid w:val="00FD0A12"/>
    <w:rsid w:val="00FD5EE1"/>
    <w:rsid w:val="00FE0466"/>
    <w:rsid w:val="00FE087C"/>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DD87B6DE-C918-43FF-AF98-9481D5BFC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73CC"/>
    <w:rPr>
      <w:rFonts w:ascii="Cambria" w:hAnsi="Cambria"/>
      <w:sz w:val="2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qFormat/>
    <w:rsid w:val="00F02AEC"/>
    <w:pPr>
      <w:numPr>
        <w:numId w:val="5"/>
      </w:numPr>
      <w:tabs>
        <w:tab w:val="left" w:pos="425"/>
      </w:tabs>
    </w:pPr>
  </w:style>
  <w:style w:type="paragraph" w:customStyle="1" w:styleId="ListBullet-donotcross">
    <w:name w:val="List Bullet - do not (cross)"/>
    <w:basedOn w:val="ListBullet"/>
    <w:autoRedefine/>
    <w:uiPriority w:val="1"/>
    <w:qFormat/>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customStyle="1" w:styleId="UnresolvedMention1">
    <w:name w:val="Unresolved Mention1"/>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98350E"/>
    <w:rPr>
      <w:color w:val="000000" w:themeColor="text1"/>
      <w:sz w:val="20"/>
      <w:lang w:val="en-GB"/>
    </w:rPr>
  </w:style>
  <w:style w:type="paragraph" w:customStyle="1" w:styleId="FigureTitle">
    <w:name w:val="Figure Title"/>
    <w:basedOn w:val="Normal"/>
    <w:qFormat/>
    <w:rsid w:val="00FC6F56"/>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98350E"/>
    <w:rPr>
      <w:b w:val="0"/>
      <w:sz w:val="19"/>
    </w:rPr>
  </w:style>
  <w:style w:type="paragraph" w:customStyle="1" w:styleId="Default">
    <w:name w:val="Default"/>
    <w:rsid w:val="00A97E5B"/>
    <w:pPr>
      <w:autoSpaceDE w:val="0"/>
      <w:autoSpaceDN w:val="0"/>
      <w:adjustRightInd w:val="0"/>
      <w:spacing w:after="0" w:line="240" w:lineRule="auto"/>
    </w:pPr>
    <w:rPr>
      <w:rFonts w:ascii="Cambria" w:hAnsi="Cambria" w:cs="Cambria"/>
      <w:color w:val="000000"/>
      <w:sz w:val="24"/>
      <w:szCs w:val="24"/>
    </w:rPr>
  </w:style>
  <w:style w:type="paragraph" w:customStyle="1" w:styleId="Standard">
    <w:name w:val="Standard"/>
    <w:basedOn w:val="Normal"/>
    <w:link w:val="StandardChar"/>
    <w:qFormat/>
    <w:rsid w:val="00037B81"/>
    <w:pPr>
      <w:spacing w:after="180" w:line="252" w:lineRule="auto"/>
    </w:pPr>
    <w:rPr>
      <w:rFonts w:eastAsia="Times New Roman" w:cs="Times New Roman"/>
      <w:snapToGrid w:val="0"/>
      <w:kern w:val="16"/>
      <w:szCs w:val="24"/>
    </w:rPr>
  </w:style>
  <w:style w:type="character" w:customStyle="1" w:styleId="StandardChar">
    <w:name w:val="Standard Char"/>
    <w:basedOn w:val="DefaultParagraphFont"/>
    <w:link w:val="Standard"/>
    <w:rsid w:val="00037B81"/>
    <w:rPr>
      <w:rFonts w:ascii="Cambria" w:eastAsia="Times New Roman" w:hAnsi="Cambria" w:cs="Times New Roman"/>
      <w:snapToGrid w:val="0"/>
      <w:kern w:val="16"/>
      <w:sz w:val="22"/>
      <w:szCs w:val="24"/>
    </w:rPr>
  </w:style>
  <w:style w:type="paragraph" w:customStyle="1" w:styleId="Tabletext0">
    <w:name w:val="Table text"/>
    <w:basedOn w:val="Standard"/>
    <w:link w:val="TabletextChar"/>
    <w:qFormat/>
    <w:rsid w:val="0020074E"/>
    <w:pPr>
      <w:spacing w:before="20" w:after="20"/>
    </w:pPr>
  </w:style>
  <w:style w:type="character" w:customStyle="1" w:styleId="TabletextChar">
    <w:name w:val="Table text Char"/>
    <w:basedOn w:val="StandardChar"/>
    <w:link w:val="Tabletext0"/>
    <w:rsid w:val="0020074E"/>
    <w:rPr>
      <w:rFonts w:ascii="Cambria" w:eastAsia="Times New Roman" w:hAnsi="Cambria" w:cs="Times New Roman"/>
      <w:snapToGrid w:val="0"/>
      <w:kern w:val="16"/>
      <w:sz w:val="22"/>
      <w:szCs w:val="24"/>
    </w:rPr>
  </w:style>
  <w:style w:type="paragraph" w:customStyle="1" w:styleId="Bulletlist">
    <w:name w:val="Bullet list"/>
    <w:basedOn w:val="Standard"/>
    <w:link w:val="BulletlistChar"/>
    <w:qFormat/>
    <w:rsid w:val="00B54997"/>
    <w:pPr>
      <w:numPr>
        <w:numId w:val="14"/>
      </w:numPr>
      <w:ind w:left="426" w:hanging="284"/>
    </w:pPr>
    <w:rPr>
      <w:kern w:val="2"/>
      <w:sz w:val="23"/>
      <w:szCs w:val="22"/>
    </w:rPr>
  </w:style>
  <w:style w:type="character" w:customStyle="1" w:styleId="BulletlistChar">
    <w:name w:val="Bullet list Char"/>
    <w:basedOn w:val="StandardChar"/>
    <w:link w:val="Bulletlist"/>
    <w:rsid w:val="00B54997"/>
    <w:rPr>
      <w:rFonts w:ascii="Cambria" w:eastAsia="Times New Roman" w:hAnsi="Cambria" w:cs="Times New Roman"/>
      <w:snapToGrid w:val="0"/>
      <w:kern w:val="2"/>
      <w:sz w:val="23"/>
      <w:szCs w:val="22"/>
    </w:rPr>
  </w:style>
  <w:style w:type="table" w:styleId="TableGridLight">
    <w:name w:val="Grid Table Light"/>
    <w:basedOn w:val="TableNormal"/>
    <w:uiPriority w:val="40"/>
    <w:rsid w:val="007B29A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7B29A6"/>
    <w:pPr>
      <w:ind w:left="720"/>
      <w:contextualSpacing/>
    </w:pPr>
  </w:style>
  <w:style w:type="character" w:customStyle="1" w:styleId="UnresolvedMention2">
    <w:name w:val="Unresolved Mention2"/>
    <w:basedOn w:val="DefaultParagraphFont"/>
    <w:uiPriority w:val="99"/>
    <w:semiHidden/>
    <w:unhideWhenUsed/>
    <w:rsid w:val="00291B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485734">
      <w:bodyDiv w:val="1"/>
      <w:marLeft w:val="0"/>
      <w:marRight w:val="0"/>
      <w:marTop w:val="0"/>
      <w:marBottom w:val="0"/>
      <w:divBdr>
        <w:top w:val="none" w:sz="0" w:space="0" w:color="auto"/>
        <w:left w:val="none" w:sz="0" w:space="0" w:color="auto"/>
        <w:bottom w:val="none" w:sz="0" w:space="0" w:color="auto"/>
        <w:right w:val="none" w:sz="0" w:space="0" w:color="auto"/>
      </w:divBdr>
    </w:div>
    <w:div w:id="107890668">
      <w:bodyDiv w:val="1"/>
      <w:marLeft w:val="0"/>
      <w:marRight w:val="0"/>
      <w:marTop w:val="0"/>
      <w:marBottom w:val="0"/>
      <w:divBdr>
        <w:top w:val="none" w:sz="0" w:space="0" w:color="auto"/>
        <w:left w:val="none" w:sz="0" w:space="0" w:color="auto"/>
        <w:bottom w:val="none" w:sz="0" w:space="0" w:color="auto"/>
        <w:right w:val="none" w:sz="0" w:space="0" w:color="auto"/>
      </w:divBdr>
    </w:div>
    <w:div w:id="183370195">
      <w:bodyDiv w:val="1"/>
      <w:marLeft w:val="0"/>
      <w:marRight w:val="0"/>
      <w:marTop w:val="0"/>
      <w:marBottom w:val="0"/>
      <w:divBdr>
        <w:top w:val="none" w:sz="0" w:space="0" w:color="auto"/>
        <w:left w:val="none" w:sz="0" w:space="0" w:color="auto"/>
        <w:bottom w:val="none" w:sz="0" w:space="0" w:color="auto"/>
        <w:right w:val="none" w:sz="0" w:space="0" w:color="auto"/>
      </w:divBdr>
    </w:div>
    <w:div w:id="206919716">
      <w:bodyDiv w:val="1"/>
      <w:marLeft w:val="0"/>
      <w:marRight w:val="0"/>
      <w:marTop w:val="0"/>
      <w:marBottom w:val="0"/>
      <w:divBdr>
        <w:top w:val="none" w:sz="0" w:space="0" w:color="auto"/>
        <w:left w:val="none" w:sz="0" w:space="0" w:color="auto"/>
        <w:bottom w:val="none" w:sz="0" w:space="0" w:color="auto"/>
        <w:right w:val="none" w:sz="0" w:space="0" w:color="auto"/>
      </w:divBdr>
    </w:div>
    <w:div w:id="225185508">
      <w:bodyDiv w:val="1"/>
      <w:marLeft w:val="0"/>
      <w:marRight w:val="0"/>
      <w:marTop w:val="0"/>
      <w:marBottom w:val="0"/>
      <w:divBdr>
        <w:top w:val="none" w:sz="0" w:space="0" w:color="auto"/>
        <w:left w:val="none" w:sz="0" w:space="0" w:color="auto"/>
        <w:bottom w:val="none" w:sz="0" w:space="0" w:color="auto"/>
        <w:right w:val="none" w:sz="0" w:space="0" w:color="auto"/>
      </w:divBdr>
    </w:div>
    <w:div w:id="539167576">
      <w:bodyDiv w:val="1"/>
      <w:marLeft w:val="0"/>
      <w:marRight w:val="0"/>
      <w:marTop w:val="0"/>
      <w:marBottom w:val="0"/>
      <w:divBdr>
        <w:top w:val="none" w:sz="0" w:space="0" w:color="auto"/>
        <w:left w:val="none" w:sz="0" w:space="0" w:color="auto"/>
        <w:bottom w:val="none" w:sz="0" w:space="0" w:color="auto"/>
        <w:right w:val="none" w:sz="0" w:space="0" w:color="auto"/>
      </w:divBdr>
    </w:div>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766611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859929961">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388648184">
      <w:bodyDiv w:val="1"/>
      <w:marLeft w:val="0"/>
      <w:marRight w:val="0"/>
      <w:marTop w:val="0"/>
      <w:marBottom w:val="0"/>
      <w:divBdr>
        <w:top w:val="none" w:sz="0" w:space="0" w:color="auto"/>
        <w:left w:val="none" w:sz="0" w:space="0" w:color="auto"/>
        <w:bottom w:val="none" w:sz="0" w:space="0" w:color="auto"/>
        <w:right w:val="none" w:sz="0" w:space="0" w:color="auto"/>
      </w:divBdr>
      <w:divsChild>
        <w:div w:id="772362152">
          <w:marLeft w:val="0"/>
          <w:marRight w:val="0"/>
          <w:marTop w:val="0"/>
          <w:marBottom w:val="0"/>
          <w:divBdr>
            <w:top w:val="single" w:sz="2" w:space="0" w:color="D9D9E3"/>
            <w:left w:val="single" w:sz="2" w:space="0" w:color="D9D9E3"/>
            <w:bottom w:val="single" w:sz="2" w:space="0" w:color="D9D9E3"/>
            <w:right w:val="single" w:sz="2" w:space="0" w:color="D9D9E3"/>
          </w:divBdr>
          <w:divsChild>
            <w:div w:id="557210555">
              <w:marLeft w:val="0"/>
              <w:marRight w:val="0"/>
              <w:marTop w:val="0"/>
              <w:marBottom w:val="0"/>
              <w:divBdr>
                <w:top w:val="single" w:sz="2" w:space="0" w:color="D9D9E3"/>
                <w:left w:val="single" w:sz="2" w:space="0" w:color="D9D9E3"/>
                <w:bottom w:val="single" w:sz="2" w:space="0" w:color="D9D9E3"/>
                <w:right w:val="single" w:sz="2" w:space="0" w:color="D9D9E3"/>
              </w:divBdr>
              <w:divsChild>
                <w:div w:id="509179886">
                  <w:marLeft w:val="0"/>
                  <w:marRight w:val="0"/>
                  <w:marTop w:val="0"/>
                  <w:marBottom w:val="0"/>
                  <w:divBdr>
                    <w:top w:val="single" w:sz="2" w:space="0" w:color="D9D9E3"/>
                    <w:left w:val="single" w:sz="2" w:space="0" w:color="D9D9E3"/>
                    <w:bottom w:val="single" w:sz="2" w:space="0" w:color="D9D9E3"/>
                    <w:right w:val="single" w:sz="2" w:space="0" w:color="D9D9E3"/>
                  </w:divBdr>
                  <w:divsChild>
                    <w:div w:id="380205462">
                      <w:marLeft w:val="0"/>
                      <w:marRight w:val="0"/>
                      <w:marTop w:val="0"/>
                      <w:marBottom w:val="0"/>
                      <w:divBdr>
                        <w:top w:val="none" w:sz="0" w:space="0" w:color="auto"/>
                        <w:left w:val="none" w:sz="0" w:space="0" w:color="auto"/>
                        <w:bottom w:val="none" w:sz="0" w:space="0" w:color="auto"/>
                        <w:right w:val="none" w:sz="0" w:space="0" w:color="auto"/>
                      </w:divBdr>
                      <w:divsChild>
                        <w:div w:id="1666081669">
                          <w:marLeft w:val="0"/>
                          <w:marRight w:val="0"/>
                          <w:marTop w:val="0"/>
                          <w:marBottom w:val="0"/>
                          <w:divBdr>
                            <w:top w:val="single" w:sz="6" w:space="0" w:color="auto"/>
                            <w:left w:val="single" w:sz="2" w:space="0" w:color="auto"/>
                            <w:bottom w:val="single" w:sz="2" w:space="0" w:color="auto"/>
                            <w:right w:val="single" w:sz="2" w:space="0" w:color="auto"/>
                          </w:divBdr>
                          <w:divsChild>
                            <w:div w:id="2076196844">
                              <w:marLeft w:val="0"/>
                              <w:marRight w:val="0"/>
                              <w:marTop w:val="0"/>
                              <w:marBottom w:val="0"/>
                              <w:divBdr>
                                <w:top w:val="single" w:sz="2" w:space="0" w:color="D9D9E3"/>
                                <w:left w:val="single" w:sz="2" w:space="0" w:color="D9D9E3"/>
                                <w:bottom w:val="single" w:sz="2" w:space="0" w:color="D9D9E3"/>
                                <w:right w:val="single" w:sz="2" w:space="0" w:color="D9D9E3"/>
                              </w:divBdr>
                              <w:divsChild>
                                <w:div w:id="751122127">
                                  <w:marLeft w:val="0"/>
                                  <w:marRight w:val="0"/>
                                  <w:marTop w:val="0"/>
                                  <w:marBottom w:val="0"/>
                                  <w:divBdr>
                                    <w:top w:val="single" w:sz="2" w:space="0" w:color="D9D9E3"/>
                                    <w:left w:val="single" w:sz="2" w:space="0" w:color="D9D9E3"/>
                                    <w:bottom w:val="single" w:sz="2" w:space="0" w:color="D9D9E3"/>
                                    <w:right w:val="single" w:sz="2" w:space="0" w:color="D9D9E3"/>
                                  </w:divBdr>
                                  <w:divsChild>
                                    <w:div w:id="2759114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2320374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68524589">
                          <w:marLeft w:val="0"/>
                          <w:marRight w:val="0"/>
                          <w:marTop w:val="0"/>
                          <w:marBottom w:val="0"/>
                          <w:divBdr>
                            <w:top w:val="single" w:sz="2" w:space="0" w:color="D9D9E3"/>
                            <w:left w:val="single" w:sz="2" w:space="0" w:color="D9D9E3"/>
                            <w:bottom w:val="single" w:sz="2" w:space="0" w:color="D9D9E3"/>
                            <w:right w:val="single" w:sz="2" w:space="0" w:color="D9D9E3"/>
                          </w:divBdr>
                          <w:divsChild>
                            <w:div w:id="398675480">
                              <w:marLeft w:val="0"/>
                              <w:marRight w:val="0"/>
                              <w:marTop w:val="0"/>
                              <w:marBottom w:val="0"/>
                              <w:divBdr>
                                <w:top w:val="single" w:sz="2" w:space="0" w:color="D9D9E3"/>
                                <w:left w:val="single" w:sz="2" w:space="0" w:color="D9D9E3"/>
                                <w:bottom w:val="single" w:sz="2" w:space="0" w:color="D9D9E3"/>
                                <w:right w:val="single" w:sz="2" w:space="0" w:color="D9D9E3"/>
                              </w:divBdr>
                              <w:divsChild>
                                <w:div w:id="1845586819">
                                  <w:marLeft w:val="0"/>
                                  <w:marRight w:val="0"/>
                                  <w:marTop w:val="0"/>
                                  <w:marBottom w:val="0"/>
                                  <w:divBdr>
                                    <w:top w:val="single" w:sz="2" w:space="0" w:color="D9D9E3"/>
                                    <w:left w:val="single" w:sz="2" w:space="0" w:color="D9D9E3"/>
                                    <w:bottom w:val="single" w:sz="2" w:space="0" w:color="D9D9E3"/>
                                    <w:right w:val="single" w:sz="2" w:space="0" w:color="D9D9E3"/>
                                  </w:divBdr>
                                  <w:divsChild>
                                    <w:div w:id="905148184">
                                      <w:marLeft w:val="0"/>
                                      <w:marRight w:val="0"/>
                                      <w:marTop w:val="0"/>
                                      <w:marBottom w:val="0"/>
                                      <w:divBdr>
                                        <w:top w:val="single" w:sz="2" w:space="0" w:color="D9D9E3"/>
                                        <w:left w:val="single" w:sz="2" w:space="0" w:color="D9D9E3"/>
                                        <w:bottom w:val="single" w:sz="2" w:space="0" w:color="D9D9E3"/>
                                        <w:right w:val="single" w:sz="2" w:space="0" w:color="D9D9E3"/>
                                      </w:divBdr>
                                      <w:divsChild>
                                        <w:div w:id="60715051">
                                          <w:marLeft w:val="0"/>
                                          <w:marRight w:val="0"/>
                                          <w:marTop w:val="0"/>
                                          <w:marBottom w:val="0"/>
                                          <w:divBdr>
                                            <w:top w:val="single" w:sz="2" w:space="0" w:color="D9D9E3"/>
                                            <w:left w:val="single" w:sz="2" w:space="0" w:color="D9D9E3"/>
                                            <w:bottom w:val="single" w:sz="2" w:space="0" w:color="D9D9E3"/>
                                            <w:right w:val="single" w:sz="2" w:space="0" w:color="D9D9E3"/>
                                          </w:divBdr>
                                        </w:div>
                                        <w:div w:id="583224805">
                                          <w:marLeft w:val="0"/>
                                          <w:marRight w:val="0"/>
                                          <w:marTop w:val="0"/>
                                          <w:marBottom w:val="0"/>
                                          <w:divBdr>
                                            <w:top w:val="single" w:sz="2" w:space="0" w:color="D9D9E3"/>
                                            <w:left w:val="single" w:sz="2" w:space="0" w:color="D9D9E3"/>
                                            <w:bottom w:val="single" w:sz="2" w:space="0" w:color="D9D9E3"/>
                                            <w:right w:val="single" w:sz="2" w:space="0" w:color="D9D9E3"/>
                                          </w:divBdr>
                                        </w:div>
                                        <w:div w:id="825055184">
                                          <w:marLeft w:val="0"/>
                                          <w:marRight w:val="0"/>
                                          <w:marTop w:val="0"/>
                                          <w:marBottom w:val="0"/>
                                          <w:divBdr>
                                            <w:top w:val="single" w:sz="2" w:space="0" w:color="D9D9E3"/>
                                            <w:left w:val="single" w:sz="2" w:space="0" w:color="D9D9E3"/>
                                            <w:bottom w:val="single" w:sz="2" w:space="0" w:color="D9D9E3"/>
                                            <w:right w:val="single" w:sz="2" w:space="0" w:color="D9D9E3"/>
                                          </w:divBdr>
                                        </w:div>
                                        <w:div w:id="1320966253">
                                          <w:marLeft w:val="0"/>
                                          <w:marRight w:val="0"/>
                                          <w:marTop w:val="0"/>
                                          <w:marBottom w:val="0"/>
                                          <w:divBdr>
                                            <w:top w:val="single" w:sz="2" w:space="0" w:color="D9D9E3"/>
                                            <w:left w:val="single" w:sz="2" w:space="0" w:color="D9D9E3"/>
                                            <w:bottom w:val="single" w:sz="2" w:space="0" w:color="D9D9E3"/>
                                            <w:right w:val="single" w:sz="2" w:space="0" w:color="D9D9E3"/>
                                          </w:divBdr>
                                        </w:div>
                                        <w:div w:id="1451515201">
                                          <w:marLeft w:val="0"/>
                                          <w:marRight w:val="0"/>
                                          <w:marTop w:val="0"/>
                                          <w:marBottom w:val="0"/>
                                          <w:divBdr>
                                            <w:top w:val="single" w:sz="2" w:space="0" w:color="D9D9E3"/>
                                            <w:left w:val="single" w:sz="2" w:space="0" w:color="D9D9E3"/>
                                            <w:bottom w:val="single" w:sz="2" w:space="0" w:color="D9D9E3"/>
                                            <w:right w:val="single" w:sz="2" w:space="0" w:color="D9D9E3"/>
                                          </w:divBdr>
                                        </w:div>
                                        <w:div w:id="1452477524">
                                          <w:marLeft w:val="0"/>
                                          <w:marRight w:val="0"/>
                                          <w:marTop w:val="0"/>
                                          <w:marBottom w:val="0"/>
                                          <w:divBdr>
                                            <w:top w:val="single" w:sz="2" w:space="0" w:color="D9D9E3"/>
                                            <w:left w:val="single" w:sz="2" w:space="0" w:color="D9D9E3"/>
                                            <w:bottom w:val="single" w:sz="2" w:space="0" w:color="D9D9E3"/>
                                            <w:right w:val="single" w:sz="2" w:space="0" w:color="D9D9E3"/>
                                          </w:divBdr>
                                        </w:div>
                                        <w:div w:id="1925644326">
                                          <w:marLeft w:val="0"/>
                                          <w:marRight w:val="0"/>
                                          <w:marTop w:val="0"/>
                                          <w:marBottom w:val="0"/>
                                          <w:divBdr>
                                            <w:top w:val="single" w:sz="2" w:space="0" w:color="D9D9E3"/>
                                            <w:left w:val="single" w:sz="2" w:space="0" w:color="D9D9E3"/>
                                            <w:bottom w:val="single" w:sz="2" w:space="0" w:color="D9D9E3"/>
                                            <w:right w:val="single" w:sz="2" w:space="0" w:color="D9D9E3"/>
                                          </w:divBdr>
                                        </w:div>
                                        <w:div w:id="2065787631">
                                          <w:marLeft w:val="0"/>
                                          <w:marRight w:val="0"/>
                                          <w:marTop w:val="0"/>
                                          <w:marBottom w:val="0"/>
                                          <w:divBdr>
                                            <w:top w:val="single" w:sz="2" w:space="0" w:color="D9D9E3"/>
                                            <w:left w:val="single" w:sz="2" w:space="0" w:color="D9D9E3"/>
                                            <w:bottom w:val="single" w:sz="2" w:space="0" w:color="D9D9E3"/>
                                            <w:right w:val="single" w:sz="2" w:space="0" w:color="D9D9E3"/>
                                          </w:divBdr>
                                        </w:div>
                                        <w:div w:id="21276932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979268744">
                                      <w:marLeft w:val="0"/>
                                      <w:marRight w:val="0"/>
                                      <w:marTop w:val="0"/>
                                      <w:marBottom w:val="0"/>
                                      <w:divBdr>
                                        <w:top w:val="single" w:sz="2" w:space="0" w:color="D9D9E3"/>
                                        <w:left w:val="single" w:sz="2" w:space="0" w:color="D9D9E3"/>
                                        <w:bottom w:val="single" w:sz="2" w:space="0" w:color="D9D9E3"/>
                                        <w:right w:val="single" w:sz="2" w:space="0" w:color="D9D9E3"/>
                                      </w:divBdr>
                                      <w:divsChild>
                                        <w:div w:id="1782645108">
                                          <w:marLeft w:val="0"/>
                                          <w:marRight w:val="0"/>
                                          <w:marTop w:val="0"/>
                                          <w:marBottom w:val="0"/>
                                          <w:divBdr>
                                            <w:top w:val="single" w:sz="2" w:space="0" w:color="D9D9E3"/>
                                            <w:left w:val="single" w:sz="2" w:space="0" w:color="D9D9E3"/>
                                            <w:bottom w:val="single" w:sz="2" w:space="0" w:color="D9D9E3"/>
                                            <w:right w:val="single" w:sz="2" w:space="0" w:color="D9D9E3"/>
                                          </w:divBdr>
                                        </w:div>
                                        <w:div w:id="19583663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859267383">
                                      <w:marLeft w:val="0"/>
                                      <w:marRight w:val="0"/>
                                      <w:marTop w:val="0"/>
                                      <w:marBottom w:val="0"/>
                                      <w:divBdr>
                                        <w:top w:val="single" w:sz="2" w:space="0" w:color="D9D9E3"/>
                                        <w:left w:val="single" w:sz="2" w:space="0" w:color="D9D9E3"/>
                                        <w:bottom w:val="single" w:sz="2" w:space="0" w:color="D9D9E3"/>
                                        <w:right w:val="single" w:sz="2" w:space="0" w:color="D9D9E3"/>
                                      </w:divBdr>
                                      <w:divsChild>
                                        <w:div w:id="615522233">
                                          <w:marLeft w:val="0"/>
                                          <w:marRight w:val="0"/>
                                          <w:marTop w:val="0"/>
                                          <w:marBottom w:val="0"/>
                                          <w:divBdr>
                                            <w:top w:val="single" w:sz="2" w:space="0" w:color="D9D9E3"/>
                                            <w:left w:val="single" w:sz="2" w:space="0" w:color="D9D9E3"/>
                                            <w:bottom w:val="single" w:sz="2" w:space="0" w:color="D9D9E3"/>
                                            <w:right w:val="single" w:sz="2" w:space="0" w:color="D9D9E3"/>
                                          </w:divBdr>
                                        </w:div>
                                        <w:div w:id="774642373">
                                          <w:marLeft w:val="0"/>
                                          <w:marRight w:val="0"/>
                                          <w:marTop w:val="0"/>
                                          <w:marBottom w:val="0"/>
                                          <w:divBdr>
                                            <w:top w:val="single" w:sz="2" w:space="0" w:color="D9D9E3"/>
                                            <w:left w:val="single" w:sz="2" w:space="0" w:color="D9D9E3"/>
                                            <w:bottom w:val="single" w:sz="2" w:space="0" w:color="D9D9E3"/>
                                            <w:right w:val="single" w:sz="2" w:space="0" w:color="D9D9E3"/>
                                          </w:divBdr>
                                        </w:div>
                                        <w:div w:id="1732263725">
                                          <w:marLeft w:val="0"/>
                                          <w:marRight w:val="0"/>
                                          <w:marTop w:val="0"/>
                                          <w:marBottom w:val="0"/>
                                          <w:divBdr>
                                            <w:top w:val="single" w:sz="2" w:space="0" w:color="D9D9E3"/>
                                            <w:left w:val="single" w:sz="2" w:space="0" w:color="D9D9E3"/>
                                            <w:bottom w:val="single" w:sz="2" w:space="0" w:color="D9D9E3"/>
                                            <w:right w:val="single" w:sz="2" w:space="0" w:color="D9D9E3"/>
                                          </w:divBdr>
                                        </w:div>
                                        <w:div w:id="21059579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2016416633">
                                      <w:marLeft w:val="0"/>
                                      <w:marRight w:val="0"/>
                                      <w:marTop w:val="0"/>
                                      <w:marBottom w:val="0"/>
                                      <w:divBdr>
                                        <w:top w:val="single" w:sz="2" w:space="0" w:color="D9D9E3"/>
                                        <w:left w:val="single" w:sz="2" w:space="0" w:color="D9D9E3"/>
                                        <w:bottom w:val="single" w:sz="2" w:space="0" w:color="D9D9E3"/>
                                        <w:right w:val="single" w:sz="2" w:space="0" w:color="D9D9E3"/>
                                      </w:divBdr>
                                      <w:divsChild>
                                        <w:div w:id="20327292">
                                          <w:marLeft w:val="0"/>
                                          <w:marRight w:val="0"/>
                                          <w:marTop w:val="0"/>
                                          <w:marBottom w:val="0"/>
                                          <w:divBdr>
                                            <w:top w:val="single" w:sz="2" w:space="0" w:color="D9D9E3"/>
                                            <w:left w:val="single" w:sz="2" w:space="0" w:color="D9D9E3"/>
                                            <w:bottom w:val="single" w:sz="2" w:space="0" w:color="D9D9E3"/>
                                            <w:right w:val="single" w:sz="2" w:space="0" w:color="D9D9E3"/>
                                          </w:divBdr>
                                        </w:div>
                                        <w:div w:id="232205501">
                                          <w:marLeft w:val="0"/>
                                          <w:marRight w:val="0"/>
                                          <w:marTop w:val="0"/>
                                          <w:marBottom w:val="0"/>
                                          <w:divBdr>
                                            <w:top w:val="single" w:sz="2" w:space="0" w:color="D9D9E3"/>
                                            <w:left w:val="single" w:sz="2" w:space="0" w:color="D9D9E3"/>
                                            <w:bottom w:val="single" w:sz="2" w:space="0" w:color="D9D9E3"/>
                                            <w:right w:val="single" w:sz="2" w:space="0" w:color="D9D9E3"/>
                                          </w:divBdr>
                                        </w:div>
                                        <w:div w:id="440225259">
                                          <w:marLeft w:val="0"/>
                                          <w:marRight w:val="0"/>
                                          <w:marTop w:val="0"/>
                                          <w:marBottom w:val="0"/>
                                          <w:divBdr>
                                            <w:top w:val="single" w:sz="2" w:space="0" w:color="D9D9E3"/>
                                            <w:left w:val="single" w:sz="2" w:space="0" w:color="D9D9E3"/>
                                            <w:bottom w:val="single" w:sz="2" w:space="0" w:color="D9D9E3"/>
                                            <w:right w:val="single" w:sz="2" w:space="0" w:color="D9D9E3"/>
                                          </w:divBdr>
                                        </w:div>
                                        <w:div w:id="625233870">
                                          <w:marLeft w:val="0"/>
                                          <w:marRight w:val="0"/>
                                          <w:marTop w:val="0"/>
                                          <w:marBottom w:val="0"/>
                                          <w:divBdr>
                                            <w:top w:val="single" w:sz="2" w:space="0" w:color="D9D9E3"/>
                                            <w:left w:val="single" w:sz="2" w:space="0" w:color="D9D9E3"/>
                                            <w:bottom w:val="single" w:sz="2" w:space="0" w:color="D9D9E3"/>
                                            <w:right w:val="single" w:sz="2" w:space="0" w:color="D9D9E3"/>
                                          </w:divBdr>
                                        </w:div>
                                        <w:div w:id="830826649">
                                          <w:marLeft w:val="0"/>
                                          <w:marRight w:val="0"/>
                                          <w:marTop w:val="0"/>
                                          <w:marBottom w:val="0"/>
                                          <w:divBdr>
                                            <w:top w:val="single" w:sz="2" w:space="0" w:color="D9D9E3"/>
                                            <w:left w:val="single" w:sz="2" w:space="0" w:color="D9D9E3"/>
                                            <w:bottom w:val="single" w:sz="2" w:space="0" w:color="D9D9E3"/>
                                            <w:right w:val="single" w:sz="2" w:space="0" w:color="D9D9E3"/>
                                          </w:divBdr>
                                        </w:div>
                                        <w:div w:id="854685481">
                                          <w:marLeft w:val="0"/>
                                          <w:marRight w:val="0"/>
                                          <w:marTop w:val="0"/>
                                          <w:marBottom w:val="0"/>
                                          <w:divBdr>
                                            <w:top w:val="single" w:sz="2" w:space="0" w:color="D9D9E3"/>
                                            <w:left w:val="single" w:sz="2" w:space="0" w:color="D9D9E3"/>
                                            <w:bottom w:val="single" w:sz="2" w:space="0" w:color="D9D9E3"/>
                                            <w:right w:val="single" w:sz="2" w:space="0" w:color="D9D9E3"/>
                                          </w:divBdr>
                                        </w:div>
                                        <w:div w:id="909270866">
                                          <w:marLeft w:val="0"/>
                                          <w:marRight w:val="0"/>
                                          <w:marTop w:val="0"/>
                                          <w:marBottom w:val="0"/>
                                          <w:divBdr>
                                            <w:top w:val="single" w:sz="2" w:space="0" w:color="D9D9E3"/>
                                            <w:left w:val="single" w:sz="2" w:space="0" w:color="D9D9E3"/>
                                            <w:bottom w:val="single" w:sz="2" w:space="0" w:color="D9D9E3"/>
                                            <w:right w:val="single" w:sz="2" w:space="0" w:color="D9D9E3"/>
                                          </w:divBdr>
                                        </w:div>
                                        <w:div w:id="915942909">
                                          <w:marLeft w:val="0"/>
                                          <w:marRight w:val="0"/>
                                          <w:marTop w:val="0"/>
                                          <w:marBottom w:val="0"/>
                                          <w:divBdr>
                                            <w:top w:val="single" w:sz="2" w:space="0" w:color="D9D9E3"/>
                                            <w:left w:val="single" w:sz="2" w:space="0" w:color="D9D9E3"/>
                                            <w:bottom w:val="single" w:sz="2" w:space="0" w:color="D9D9E3"/>
                                            <w:right w:val="single" w:sz="2" w:space="0" w:color="D9D9E3"/>
                                          </w:divBdr>
                                        </w:div>
                                        <w:div w:id="1112751592">
                                          <w:marLeft w:val="0"/>
                                          <w:marRight w:val="0"/>
                                          <w:marTop w:val="0"/>
                                          <w:marBottom w:val="0"/>
                                          <w:divBdr>
                                            <w:top w:val="single" w:sz="2" w:space="0" w:color="D9D9E3"/>
                                            <w:left w:val="single" w:sz="2" w:space="0" w:color="D9D9E3"/>
                                            <w:bottom w:val="single" w:sz="2" w:space="0" w:color="D9D9E3"/>
                                            <w:right w:val="single" w:sz="2" w:space="0" w:color="D9D9E3"/>
                                          </w:divBdr>
                                        </w:div>
                                        <w:div w:id="1321614598">
                                          <w:marLeft w:val="0"/>
                                          <w:marRight w:val="0"/>
                                          <w:marTop w:val="0"/>
                                          <w:marBottom w:val="0"/>
                                          <w:divBdr>
                                            <w:top w:val="single" w:sz="2" w:space="0" w:color="D9D9E3"/>
                                            <w:left w:val="single" w:sz="2" w:space="0" w:color="D9D9E3"/>
                                            <w:bottom w:val="single" w:sz="2" w:space="0" w:color="D9D9E3"/>
                                            <w:right w:val="single" w:sz="2" w:space="0" w:color="D9D9E3"/>
                                          </w:divBdr>
                                        </w:div>
                                        <w:div w:id="1441031783">
                                          <w:marLeft w:val="0"/>
                                          <w:marRight w:val="0"/>
                                          <w:marTop w:val="0"/>
                                          <w:marBottom w:val="0"/>
                                          <w:divBdr>
                                            <w:top w:val="single" w:sz="2" w:space="0" w:color="D9D9E3"/>
                                            <w:left w:val="single" w:sz="2" w:space="0" w:color="D9D9E3"/>
                                            <w:bottom w:val="single" w:sz="2" w:space="0" w:color="D9D9E3"/>
                                            <w:right w:val="single" w:sz="2" w:space="0" w:color="D9D9E3"/>
                                          </w:divBdr>
                                        </w:div>
                                        <w:div w:id="1452095864">
                                          <w:marLeft w:val="0"/>
                                          <w:marRight w:val="0"/>
                                          <w:marTop w:val="0"/>
                                          <w:marBottom w:val="0"/>
                                          <w:divBdr>
                                            <w:top w:val="single" w:sz="2" w:space="0" w:color="D9D9E3"/>
                                            <w:left w:val="single" w:sz="2" w:space="0" w:color="D9D9E3"/>
                                            <w:bottom w:val="single" w:sz="2" w:space="0" w:color="D9D9E3"/>
                                            <w:right w:val="single" w:sz="2" w:space="0" w:color="D9D9E3"/>
                                          </w:divBdr>
                                        </w:div>
                                        <w:div w:id="1532261760">
                                          <w:marLeft w:val="0"/>
                                          <w:marRight w:val="0"/>
                                          <w:marTop w:val="0"/>
                                          <w:marBottom w:val="0"/>
                                          <w:divBdr>
                                            <w:top w:val="single" w:sz="2" w:space="0" w:color="D9D9E3"/>
                                            <w:left w:val="single" w:sz="2" w:space="0" w:color="D9D9E3"/>
                                            <w:bottom w:val="single" w:sz="2" w:space="0" w:color="D9D9E3"/>
                                            <w:right w:val="single" w:sz="2" w:space="0" w:color="D9D9E3"/>
                                          </w:divBdr>
                                        </w:div>
                                        <w:div w:id="1672559166">
                                          <w:marLeft w:val="0"/>
                                          <w:marRight w:val="0"/>
                                          <w:marTop w:val="0"/>
                                          <w:marBottom w:val="0"/>
                                          <w:divBdr>
                                            <w:top w:val="single" w:sz="2" w:space="0" w:color="D9D9E3"/>
                                            <w:left w:val="single" w:sz="2" w:space="0" w:color="D9D9E3"/>
                                            <w:bottom w:val="single" w:sz="2" w:space="0" w:color="D9D9E3"/>
                                            <w:right w:val="single" w:sz="2" w:space="0" w:color="D9D9E3"/>
                                          </w:divBdr>
                                        </w:div>
                                        <w:div w:id="1859196672">
                                          <w:marLeft w:val="0"/>
                                          <w:marRight w:val="0"/>
                                          <w:marTop w:val="0"/>
                                          <w:marBottom w:val="0"/>
                                          <w:divBdr>
                                            <w:top w:val="single" w:sz="2" w:space="0" w:color="D9D9E3"/>
                                            <w:left w:val="single" w:sz="2" w:space="0" w:color="D9D9E3"/>
                                            <w:bottom w:val="single" w:sz="2" w:space="0" w:color="D9D9E3"/>
                                            <w:right w:val="single" w:sz="2" w:space="0" w:color="D9D9E3"/>
                                          </w:divBdr>
                                        </w:div>
                                        <w:div w:id="19503123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227493432">
          <w:marLeft w:val="0"/>
          <w:marRight w:val="0"/>
          <w:marTop w:val="0"/>
          <w:marBottom w:val="0"/>
          <w:divBdr>
            <w:top w:val="single" w:sz="2" w:space="0" w:color="D9D9E3"/>
            <w:left w:val="single" w:sz="2" w:space="0" w:color="D9D9E3"/>
            <w:bottom w:val="single" w:sz="2" w:space="0" w:color="D9D9E3"/>
            <w:right w:val="single" w:sz="2" w:space="0" w:color="D9D9E3"/>
          </w:divBdr>
          <w:divsChild>
            <w:div w:id="556939840">
              <w:marLeft w:val="0"/>
              <w:marRight w:val="0"/>
              <w:marTop w:val="0"/>
              <w:marBottom w:val="0"/>
              <w:divBdr>
                <w:top w:val="single" w:sz="2" w:space="0" w:color="D9D9E3"/>
                <w:left w:val="single" w:sz="2" w:space="0" w:color="D9D9E3"/>
                <w:bottom w:val="single" w:sz="2" w:space="0" w:color="D9D9E3"/>
                <w:right w:val="single" w:sz="2" w:space="0" w:color="D9D9E3"/>
              </w:divBdr>
              <w:divsChild>
                <w:div w:id="1851484542">
                  <w:marLeft w:val="0"/>
                  <w:marRight w:val="0"/>
                  <w:marTop w:val="0"/>
                  <w:marBottom w:val="0"/>
                  <w:divBdr>
                    <w:top w:val="single" w:sz="2" w:space="0" w:color="D9D9E3"/>
                    <w:left w:val="single" w:sz="2" w:space="0" w:color="D9D9E3"/>
                    <w:bottom w:val="single" w:sz="2" w:space="0" w:color="D9D9E3"/>
                    <w:right w:val="single" w:sz="2" w:space="0" w:color="D9D9E3"/>
                  </w:divBdr>
                  <w:divsChild>
                    <w:div w:id="843128243">
                      <w:marLeft w:val="0"/>
                      <w:marRight w:val="0"/>
                      <w:marTop w:val="0"/>
                      <w:marBottom w:val="0"/>
                      <w:divBdr>
                        <w:top w:val="single" w:sz="2" w:space="0" w:color="D9D9E3"/>
                        <w:left w:val="single" w:sz="2" w:space="0" w:color="D9D9E3"/>
                        <w:bottom w:val="single" w:sz="2" w:space="0" w:color="D9D9E3"/>
                        <w:right w:val="single" w:sz="2" w:space="0" w:color="D9D9E3"/>
                      </w:divBdr>
                      <w:divsChild>
                        <w:div w:id="1149248876">
                          <w:marLeft w:val="0"/>
                          <w:marRight w:val="0"/>
                          <w:marTop w:val="0"/>
                          <w:marBottom w:val="0"/>
                          <w:divBdr>
                            <w:top w:val="single" w:sz="2" w:space="0" w:color="D9D9E3"/>
                            <w:left w:val="single" w:sz="2" w:space="0" w:color="D9D9E3"/>
                            <w:bottom w:val="single" w:sz="2" w:space="0" w:color="D9D9E3"/>
                            <w:right w:val="single" w:sz="2" w:space="0" w:color="D9D9E3"/>
                          </w:divBdr>
                          <w:divsChild>
                            <w:div w:id="451674474">
                              <w:marLeft w:val="0"/>
                              <w:marRight w:val="0"/>
                              <w:marTop w:val="0"/>
                              <w:marBottom w:val="0"/>
                              <w:divBdr>
                                <w:top w:val="single" w:sz="2" w:space="0" w:color="D9D9E3"/>
                                <w:left w:val="single" w:sz="2" w:space="0" w:color="D9D9E3"/>
                                <w:bottom w:val="single" w:sz="2" w:space="0" w:color="D9D9E3"/>
                                <w:right w:val="single" w:sz="2" w:space="0" w:color="D9D9E3"/>
                              </w:divBdr>
                              <w:divsChild>
                                <w:div w:id="371153526">
                                  <w:marLeft w:val="0"/>
                                  <w:marRight w:val="0"/>
                                  <w:marTop w:val="0"/>
                                  <w:marBottom w:val="0"/>
                                  <w:divBdr>
                                    <w:top w:val="single" w:sz="2" w:space="0" w:color="auto"/>
                                    <w:left w:val="single" w:sz="2" w:space="0" w:color="auto"/>
                                    <w:bottom w:val="single" w:sz="6" w:space="0" w:color="auto"/>
                                    <w:right w:val="single" w:sz="2" w:space="0" w:color="auto"/>
                                  </w:divBdr>
                                  <w:divsChild>
                                    <w:div w:id="2046516635">
                                      <w:marLeft w:val="0"/>
                                      <w:marRight w:val="0"/>
                                      <w:marTop w:val="100"/>
                                      <w:marBottom w:val="100"/>
                                      <w:divBdr>
                                        <w:top w:val="single" w:sz="2" w:space="0" w:color="D9D9E3"/>
                                        <w:left w:val="single" w:sz="2" w:space="0" w:color="D9D9E3"/>
                                        <w:bottom w:val="single" w:sz="2" w:space="0" w:color="D9D9E3"/>
                                        <w:right w:val="single" w:sz="2" w:space="0" w:color="D9D9E3"/>
                                      </w:divBdr>
                                      <w:divsChild>
                                        <w:div w:id="795753774">
                                          <w:marLeft w:val="0"/>
                                          <w:marRight w:val="0"/>
                                          <w:marTop w:val="0"/>
                                          <w:marBottom w:val="0"/>
                                          <w:divBdr>
                                            <w:top w:val="single" w:sz="2" w:space="0" w:color="D9D9E3"/>
                                            <w:left w:val="single" w:sz="2" w:space="0" w:color="D9D9E3"/>
                                            <w:bottom w:val="single" w:sz="2" w:space="0" w:color="D9D9E3"/>
                                            <w:right w:val="single" w:sz="2" w:space="0" w:color="D9D9E3"/>
                                          </w:divBdr>
                                          <w:divsChild>
                                            <w:div w:id="1222598991">
                                              <w:marLeft w:val="0"/>
                                              <w:marRight w:val="0"/>
                                              <w:marTop w:val="0"/>
                                              <w:marBottom w:val="0"/>
                                              <w:divBdr>
                                                <w:top w:val="single" w:sz="2" w:space="0" w:color="D9D9E3"/>
                                                <w:left w:val="single" w:sz="2" w:space="0" w:color="D9D9E3"/>
                                                <w:bottom w:val="single" w:sz="2" w:space="0" w:color="D9D9E3"/>
                                                <w:right w:val="single" w:sz="2" w:space="0" w:color="D9D9E3"/>
                                              </w:divBdr>
                                              <w:divsChild>
                                                <w:div w:id="17884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18161115">
                                          <w:marLeft w:val="0"/>
                                          <w:marRight w:val="0"/>
                                          <w:marTop w:val="0"/>
                                          <w:marBottom w:val="0"/>
                                          <w:divBdr>
                                            <w:top w:val="single" w:sz="2" w:space="0" w:color="D9D9E3"/>
                                            <w:left w:val="single" w:sz="2" w:space="0" w:color="D9D9E3"/>
                                            <w:bottom w:val="single" w:sz="2" w:space="0" w:color="D9D9E3"/>
                                            <w:right w:val="single" w:sz="2" w:space="0" w:color="D9D9E3"/>
                                          </w:divBdr>
                                          <w:divsChild>
                                            <w:div w:id="677733132">
                                              <w:marLeft w:val="0"/>
                                              <w:marRight w:val="0"/>
                                              <w:marTop w:val="0"/>
                                              <w:marBottom w:val="0"/>
                                              <w:divBdr>
                                                <w:top w:val="single" w:sz="2" w:space="0" w:color="D9D9E3"/>
                                                <w:left w:val="single" w:sz="2" w:space="0" w:color="D9D9E3"/>
                                                <w:bottom w:val="single" w:sz="2" w:space="0" w:color="D9D9E3"/>
                                                <w:right w:val="single" w:sz="2" w:space="0" w:color="D9D9E3"/>
                                              </w:divBdr>
                                              <w:divsChild>
                                                <w:div w:id="92868330">
                                                  <w:marLeft w:val="0"/>
                                                  <w:marRight w:val="0"/>
                                                  <w:marTop w:val="0"/>
                                                  <w:marBottom w:val="0"/>
                                                  <w:divBdr>
                                                    <w:top w:val="single" w:sz="2" w:space="0" w:color="D9D9E3"/>
                                                    <w:left w:val="single" w:sz="2" w:space="0" w:color="D9D9E3"/>
                                                    <w:bottom w:val="single" w:sz="2" w:space="0" w:color="D9D9E3"/>
                                                    <w:right w:val="single" w:sz="2" w:space="0" w:color="D9D9E3"/>
                                                  </w:divBdr>
                                                  <w:divsChild>
                                                    <w:div w:id="8783939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755711797">
                                  <w:marLeft w:val="0"/>
                                  <w:marRight w:val="0"/>
                                  <w:marTop w:val="0"/>
                                  <w:marBottom w:val="0"/>
                                  <w:divBdr>
                                    <w:top w:val="single" w:sz="2" w:space="0" w:color="auto"/>
                                    <w:left w:val="single" w:sz="2" w:space="0" w:color="auto"/>
                                    <w:bottom w:val="single" w:sz="6" w:space="0" w:color="auto"/>
                                    <w:right w:val="single" w:sz="2" w:space="0" w:color="auto"/>
                                  </w:divBdr>
                                  <w:divsChild>
                                    <w:div w:id="1937979127">
                                      <w:marLeft w:val="0"/>
                                      <w:marRight w:val="0"/>
                                      <w:marTop w:val="100"/>
                                      <w:marBottom w:val="100"/>
                                      <w:divBdr>
                                        <w:top w:val="single" w:sz="2" w:space="0" w:color="D9D9E3"/>
                                        <w:left w:val="single" w:sz="2" w:space="0" w:color="D9D9E3"/>
                                        <w:bottom w:val="single" w:sz="2" w:space="0" w:color="D9D9E3"/>
                                        <w:right w:val="single" w:sz="2" w:space="0" w:color="D9D9E3"/>
                                      </w:divBdr>
                                      <w:divsChild>
                                        <w:div w:id="1182939647">
                                          <w:marLeft w:val="0"/>
                                          <w:marRight w:val="0"/>
                                          <w:marTop w:val="0"/>
                                          <w:marBottom w:val="0"/>
                                          <w:divBdr>
                                            <w:top w:val="single" w:sz="2" w:space="0" w:color="D9D9E3"/>
                                            <w:left w:val="single" w:sz="2" w:space="0" w:color="D9D9E3"/>
                                            <w:bottom w:val="single" w:sz="2" w:space="0" w:color="D9D9E3"/>
                                            <w:right w:val="single" w:sz="2" w:space="0" w:color="D9D9E3"/>
                                          </w:divBdr>
                                          <w:divsChild>
                                            <w:div w:id="920719867">
                                              <w:marLeft w:val="0"/>
                                              <w:marRight w:val="0"/>
                                              <w:marTop w:val="0"/>
                                              <w:marBottom w:val="0"/>
                                              <w:divBdr>
                                                <w:top w:val="single" w:sz="2" w:space="0" w:color="D9D9E3"/>
                                                <w:left w:val="single" w:sz="2" w:space="0" w:color="D9D9E3"/>
                                                <w:bottom w:val="single" w:sz="2" w:space="0" w:color="D9D9E3"/>
                                                <w:right w:val="single" w:sz="2" w:space="0" w:color="D9D9E3"/>
                                              </w:divBdr>
                                              <w:divsChild>
                                                <w:div w:id="308680660">
                                                  <w:marLeft w:val="0"/>
                                                  <w:marRight w:val="0"/>
                                                  <w:marTop w:val="0"/>
                                                  <w:marBottom w:val="0"/>
                                                  <w:divBdr>
                                                    <w:top w:val="single" w:sz="2" w:space="0" w:color="D9D9E3"/>
                                                    <w:left w:val="single" w:sz="2" w:space="0" w:color="D9D9E3"/>
                                                    <w:bottom w:val="single" w:sz="2" w:space="0" w:color="D9D9E3"/>
                                                    <w:right w:val="single" w:sz="2" w:space="0" w:color="D9D9E3"/>
                                                  </w:divBdr>
                                                  <w:divsChild>
                                                    <w:div w:id="12574394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365593769">
                                          <w:marLeft w:val="0"/>
                                          <w:marRight w:val="0"/>
                                          <w:marTop w:val="0"/>
                                          <w:marBottom w:val="0"/>
                                          <w:divBdr>
                                            <w:top w:val="single" w:sz="2" w:space="0" w:color="D9D9E3"/>
                                            <w:left w:val="single" w:sz="2" w:space="0" w:color="D9D9E3"/>
                                            <w:bottom w:val="single" w:sz="2" w:space="0" w:color="D9D9E3"/>
                                            <w:right w:val="single" w:sz="2" w:space="0" w:color="D9D9E3"/>
                                          </w:divBdr>
                                          <w:divsChild>
                                            <w:div w:id="1665278133">
                                              <w:marLeft w:val="0"/>
                                              <w:marRight w:val="0"/>
                                              <w:marTop w:val="0"/>
                                              <w:marBottom w:val="0"/>
                                              <w:divBdr>
                                                <w:top w:val="single" w:sz="2" w:space="0" w:color="D9D9E3"/>
                                                <w:left w:val="single" w:sz="2" w:space="0" w:color="D9D9E3"/>
                                                <w:bottom w:val="single" w:sz="2" w:space="0" w:color="D9D9E3"/>
                                                <w:right w:val="single" w:sz="2" w:space="0" w:color="D9D9E3"/>
                                              </w:divBdr>
                                              <w:divsChild>
                                                <w:div w:id="4437699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062563752">
                                  <w:marLeft w:val="0"/>
                                  <w:marRight w:val="0"/>
                                  <w:marTop w:val="0"/>
                                  <w:marBottom w:val="0"/>
                                  <w:divBdr>
                                    <w:top w:val="single" w:sz="2" w:space="0" w:color="auto"/>
                                    <w:left w:val="single" w:sz="2" w:space="0" w:color="auto"/>
                                    <w:bottom w:val="single" w:sz="6" w:space="0" w:color="auto"/>
                                    <w:right w:val="single" w:sz="2" w:space="0" w:color="auto"/>
                                  </w:divBdr>
                                  <w:divsChild>
                                    <w:div w:id="1785071832">
                                      <w:marLeft w:val="0"/>
                                      <w:marRight w:val="0"/>
                                      <w:marTop w:val="100"/>
                                      <w:marBottom w:val="100"/>
                                      <w:divBdr>
                                        <w:top w:val="single" w:sz="2" w:space="0" w:color="D9D9E3"/>
                                        <w:left w:val="single" w:sz="2" w:space="0" w:color="D9D9E3"/>
                                        <w:bottom w:val="single" w:sz="2" w:space="0" w:color="D9D9E3"/>
                                        <w:right w:val="single" w:sz="2" w:space="0" w:color="D9D9E3"/>
                                      </w:divBdr>
                                      <w:divsChild>
                                        <w:div w:id="114105939">
                                          <w:marLeft w:val="0"/>
                                          <w:marRight w:val="0"/>
                                          <w:marTop w:val="0"/>
                                          <w:marBottom w:val="0"/>
                                          <w:divBdr>
                                            <w:top w:val="single" w:sz="2" w:space="0" w:color="D9D9E3"/>
                                            <w:left w:val="single" w:sz="2" w:space="0" w:color="D9D9E3"/>
                                            <w:bottom w:val="single" w:sz="2" w:space="0" w:color="D9D9E3"/>
                                            <w:right w:val="single" w:sz="2" w:space="0" w:color="D9D9E3"/>
                                          </w:divBdr>
                                          <w:divsChild>
                                            <w:div w:id="1637442714">
                                              <w:marLeft w:val="0"/>
                                              <w:marRight w:val="0"/>
                                              <w:marTop w:val="0"/>
                                              <w:marBottom w:val="0"/>
                                              <w:divBdr>
                                                <w:top w:val="single" w:sz="2" w:space="0" w:color="D9D9E3"/>
                                                <w:left w:val="single" w:sz="2" w:space="0" w:color="D9D9E3"/>
                                                <w:bottom w:val="single" w:sz="2" w:space="0" w:color="D9D9E3"/>
                                                <w:right w:val="single" w:sz="2" w:space="0" w:color="D9D9E3"/>
                                              </w:divBdr>
                                              <w:divsChild>
                                                <w:div w:id="1861580033">
                                                  <w:marLeft w:val="0"/>
                                                  <w:marRight w:val="0"/>
                                                  <w:marTop w:val="0"/>
                                                  <w:marBottom w:val="0"/>
                                                  <w:divBdr>
                                                    <w:top w:val="single" w:sz="2" w:space="0" w:color="D9D9E3"/>
                                                    <w:left w:val="single" w:sz="2" w:space="0" w:color="D9D9E3"/>
                                                    <w:bottom w:val="single" w:sz="2" w:space="0" w:color="D9D9E3"/>
                                                    <w:right w:val="single" w:sz="2" w:space="0" w:color="D9D9E3"/>
                                                  </w:divBdr>
                                                  <w:divsChild>
                                                    <w:div w:id="17240168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041126164">
                                          <w:marLeft w:val="0"/>
                                          <w:marRight w:val="0"/>
                                          <w:marTop w:val="0"/>
                                          <w:marBottom w:val="0"/>
                                          <w:divBdr>
                                            <w:top w:val="single" w:sz="2" w:space="0" w:color="D9D9E3"/>
                                            <w:left w:val="single" w:sz="2" w:space="0" w:color="D9D9E3"/>
                                            <w:bottom w:val="single" w:sz="2" w:space="0" w:color="D9D9E3"/>
                                            <w:right w:val="single" w:sz="2" w:space="0" w:color="D9D9E3"/>
                                          </w:divBdr>
                                          <w:divsChild>
                                            <w:div w:id="1969894085">
                                              <w:marLeft w:val="0"/>
                                              <w:marRight w:val="0"/>
                                              <w:marTop w:val="0"/>
                                              <w:marBottom w:val="0"/>
                                              <w:divBdr>
                                                <w:top w:val="single" w:sz="2" w:space="0" w:color="D9D9E3"/>
                                                <w:left w:val="single" w:sz="2" w:space="0" w:color="D9D9E3"/>
                                                <w:bottom w:val="single" w:sz="2" w:space="0" w:color="D9D9E3"/>
                                                <w:right w:val="single" w:sz="2" w:space="0" w:color="D9D9E3"/>
                                              </w:divBdr>
                                              <w:divsChild>
                                                <w:div w:id="18991262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99659097">
                                  <w:marLeft w:val="0"/>
                                  <w:marRight w:val="0"/>
                                  <w:marTop w:val="0"/>
                                  <w:marBottom w:val="0"/>
                                  <w:divBdr>
                                    <w:top w:val="single" w:sz="2" w:space="0" w:color="auto"/>
                                    <w:left w:val="single" w:sz="2" w:space="0" w:color="auto"/>
                                    <w:bottom w:val="single" w:sz="6" w:space="0" w:color="auto"/>
                                    <w:right w:val="single" w:sz="2" w:space="0" w:color="auto"/>
                                  </w:divBdr>
                                  <w:divsChild>
                                    <w:div w:id="289288270">
                                      <w:marLeft w:val="0"/>
                                      <w:marRight w:val="0"/>
                                      <w:marTop w:val="100"/>
                                      <w:marBottom w:val="100"/>
                                      <w:divBdr>
                                        <w:top w:val="single" w:sz="2" w:space="0" w:color="D9D9E3"/>
                                        <w:left w:val="single" w:sz="2" w:space="0" w:color="D9D9E3"/>
                                        <w:bottom w:val="single" w:sz="2" w:space="0" w:color="D9D9E3"/>
                                        <w:right w:val="single" w:sz="2" w:space="0" w:color="D9D9E3"/>
                                      </w:divBdr>
                                      <w:divsChild>
                                        <w:div w:id="607667315">
                                          <w:marLeft w:val="0"/>
                                          <w:marRight w:val="0"/>
                                          <w:marTop w:val="0"/>
                                          <w:marBottom w:val="0"/>
                                          <w:divBdr>
                                            <w:top w:val="single" w:sz="2" w:space="0" w:color="D9D9E3"/>
                                            <w:left w:val="single" w:sz="2" w:space="0" w:color="D9D9E3"/>
                                            <w:bottom w:val="single" w:sz="2" w:space="0" w:color="D9D9E3"/>
                                            <w:right w:val="single" w:sz="2" w:space="0" w:color="D9D9E3"/>
                                          </w:divBdr>
                                          <w:divsChild>
                                            <w:div w:id="1147624542">
                                              <w:marLeft w:val="0"/>
                                              <w:marRight w:val="0"/>
                                              <w:marTop w:val="0"/>
                                              <w:marBottom w:val="0"/>
                                              <w:divBdr>
                                                <w:top w:val="single" w:sz="2" w:space="0" w:color="D9D9E3"/>
                                                <w:left w:val="single" w:sz="2" w:space="0" w:color="D9D9E3"/>
                                                <w:bottom w:val="single" w:sz="2" w:space="0" w:color="D9D9E3"/>
                                                <w:right w:val="single" w:sz="2" w:space="0" w:color="D9D9E3"/>
                                              </w:divBdr>
                                              <w:divsChild>
                                                <w:div w:id="965815965">
                                                  <w:marLeft w:val="0"/>
                                                  <w:marRight w:val="0"/>
                                                  <w:marTop w:val="0"/>
                                                  <w:marBottom w:val="0"/>
                                                  <w:divBdr>
                                                    <w:top w:val="single" w:sz="2" w:space="0" w:color="D9D9E3"/>
                                                    <w:left w:val="single" w:sz="2" w:space="0" w:color="D9D9E3"/>
                                                    <w:bottom w:val="single" w:sz="2" w:space="0" w:color="D9D9E3"/>
                                                    <w:right w:val="single" w:sz="2" w:space="0" w:color="D9D9E3"/>
                                                  </w:divBdr>
                                                  <w:divsChild>
                                                    <w:div w:id="1344183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605261405">
                                          <w:marLeft w:val="0"/>
                                          <w:marRight w:val="0"/>
                                          <w:marTop w:val="0"/>
                                          <w:marBottom w:val="0"/>
                                          <w:divBdr>
                                            <w:top w:val="single" w:sz="2" w:space="0" w:color="D9D9E3"/>
                                            <w:left w:val="single" w:sz="2" w:space="0" w:color="D9D9E3"/>
                                            <w:bottom w:val="single" w:sz="2" w:space="0" w:color="D9D9E3"/>
                                            <w:right w:val="single" w:sz="2" w:space="0" w:color="D9D9E3"/>
                                          </w:divBdr>
                                          <w:divsChild>
                                            <w:div w:id="569734111">
                                              <w:marLeft w:val="0"/>
                                              <w:marRight w:val="0"/>
                                              <w:marTop w:val="0"/>
                                              <w:marBottom w:val="0"/>
                                              <w:divBdr>
                                                <w:top w:val="single" w:sz="2" w:space="0" w:color="D9D9E3"/>
                                                <w:left w:val="single" w:sz="2" w:space="0" w:color="D9D9E3"/>
                                                <w:bottom w:val="single" w:sz="2" w:space="0" w:color="D9D9E3"/>
                                                <w:right w:val="single" w:sz="2" w:space="0" w:color="D9D9E3"/>
                                              </w:divBdr>
                                              <w:divsChild>
                                                <w:div w:id="6323704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345983052">
                                  <w:marLeft w:val="0"/>
                                  <w:marRight w:val="0"/>
                                  <w:marTop w:val="0"/>
                                  <w:marBottom w:val="0"/>
                                  <w:divBdr>
                                    <w:top w:val="single" w:sz="2" w:space="0" w:color="auto"/>
                                    <w:left w:val="single" w:sz="2" w:space="0" w:color="auto"/>
                                    <w:bottom w:val="single" w:sz="6" w:space="0" w:color="auto"/>
                                    <w:right w:val="single" w:sz="2" w:space="0" w:color="auto"/>
                                  </w:divBdr>
                                  <w:divsChild>
                                    <w:div w:id="1297092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402748369">
                                  <w:marLeft w:val="0"/>
                                  <w:marRight w:val="0"/>
                                  <w:marTop w:val="0"/>
                                  <w:marBottom w:val="0"/>
                                  <w:divBdr>
                                    <w:top w:val="single" w:sz="2" w:space="0" w:color="auto"/>
                                    <w:left w:val="single" w:sz="2" w:space="0" w:color="auto"/>
                                    <w:bottom w:val="single" w:sz="6" w:space="0" w:color="auto"/>
                                    <w:right w:val="single" w:sz="2" w:space="0" w:color="auto"/>
                                  </w:divBdr>
                                  <w:divsChild>
                                    <w:div w:id="446043740">
                                      <w:marLeft w:val="0"/>
                                      <w:marRight w:val="0"/>
                                      <w:marTop w:val="100"/>
                                      <w:marBottom w:val="100"/>
                                      <w:divBdr>
                                        <w:top w:val="single" w:sz="2" w:space="0" w:color="D9D9E3"/>
                                        <w:left w:val="single" w:sz="2" w:space="0" w:color="D9D9E3"/>
                                        <w:bottom w:val="single" w:sz="2" w:space="0" w:color="D9D9E3"/>
                                        <w:right w:val="single" w:sz="2" w:space="0" w:color="D9D9E3"/>
                                      </w:divBdr>
                                      <w:divsChild>
                                        <w:div w:id="2071414649">
                                          <w:marLeft w:val="0"/>
                                          <w:marRight w:val="0"/>
                                          <w:marTop w:val="0"/>
                                          <w:marBottom w:val="0"/>
                                          <w:divBdr>
                                            <w:top w:val="single" w:sz="2" w:space="0" w:color="D9D9E3"/>
                                            <w:left w:val="single" w:sz="2" w:space="0" w:color="D9D9E3"/>
                                            <w:bottom w:val="single" w:sz="2" w:space="0" w:color="D9D9E3"/>
                                            <w:right w:val="single" w:sz="2" w:space="0" w:color="D9D9E3"/>
                                          </w:divBdr>
                                          <w:divsChild>
                                            <w:div w:id="975841579">
                                              <w:marLeft w:val="0"/>
                                              <w:marRight w:val="0"/>
                                              <w:marTop w:val="0"/>
                                              <w:marBottom w:val="0"/>
                                              <w:divBdr>
                                                <w:top w:val="single" w:sz="2" w:space="0" w:color="D9D9E3"/>
                                                <w:left w:val="single" w:sz="2" w:space="0" w:color="D9D9E3"/>
                                                <w:bottom w:val="single" w:sz="2" w:space="0" w:color="D9D9E3"/>
                                                <w:right w:val="single" w:sz="2" w:space="0" w:color="D9D9E3"/>
                                              </w:divBdr>
                                              <w:divsChild>
                                                <w:div w:id="418259395">
                                                  <w:marLeft w:val="0"/>
                                                  <w:marRight w:val="0"/>
                                                  <w:marTop w:val="0"/>
                                                  <w:marBottom w:val="0"/>
                                                  <w:divBdr>
                                                    <w:top w:val="single" w:sz="2" w:space="0" w:color="D9D9E3"/>
                                                    <w:left w:val="single" w:sz="2" w:space="0" w:color="D9D9E3"/>
                                                    <w:bottom w:val="single" w:sz="2" w:space="0" w:color="D9D9E3"/>
                                                    <w:right w:val="single" w:sz="2" w:space="0" w:color="D9D9E3"/>
                                                  </w:divBdr>
                                                  <w:divsChild>
                                                    <w:div w:id="8222341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2115245265">
                                          <w:marLeft w:val="0"/>
                                          <w:marRight w:val="0"/>
                                          <w:marTop w:val="0"/>
                                          <w:marBottom w:val="0"/>
                                          <w:divBdr>
                                            <w:top w:val="single" w:sz="2" w:space="0" w:color="D9D9E3"/>
                                            <w:left w:val="single" w:sz="2" w:space="0" w:color="D9D9E3"/>
                                            <w:bottom w:val="single" w:sz="2" w:space="0" w:color="D9D9E3"/>
                                            <w:right w:val="single" w:sz="2" w:space="0" w:color="D9D9E3"/>
                                          </w:divBdr>
                                          <w:divsChild>
                                            <w:div w:id="457451966">
                                              <w:marLeft w:val="0"/>
                                              <w:marRight w:val="0"/>
                                              <w:marTop w:val="0"/>
                                              <w:marBottom w:val="0"/>
                                              <w:divBdr>
                                                <w:top w:val="single" w:sz="2" w:space="0" w:color="D9D9E3"/>
                                                <w:left w:val="single" w:sz="2" w:space="0" w:color="D9D9E3"/>
                                                <w:bottom w:val="single" w:sz="2" w:space="0" w:color="D9D9E3"/>
                                                <w:right w:val="single" w:sz="2" w:space="0" w:color="D9D9E3"/>
                                              </w:divBdr>
                                              <w:divsChild>
                                                <w:div w:id="5695341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03676426">
                                  <w:marLeft w:val="0"/>
                                  <w:marRight w:val="0"/>
                                  <w:marTop w:val="0"/>
                                  <w:marBottom w:val="0"/>
                                  <w:divBdr>
                                    <w:top w:val="single" w:sz="2" w:space="0" w:color="auto"/>
                                    <w:left w:val="single" w:sz="2" w:space="0" w:color="auto"/>
                                    <w:bottom w:val="single" w:sz="6" w:space="0" w:color="auto"/>
                                    <w:right w:val="single" w:sz="2" w:space="0" w:color="auto"/>
                                  </w:divBdr>
                                  <w:divsChild>
                                    <w:div w:id="2004625620">
                                      <w:marLeft w:val="0"/>
                                      <w:marRight w:val="0"/>
                                      <w:marTop w:val="100"/>
                                      <w:marBottom w:val="100"/>
                                      <w:divBdr>
                                        <w:top w:val="single" w:sz="2" w:space="0" w:color="D9D9E3"/>
                                        <w:left w:val="single" w:sz="2" w:space="0" w:color="D9D9E3"/>
                                        <w:bottom w:val="single" w:sz="2" w:space="0" w:color="D9D9E3"/>
                                        <w:right w:val="single" w:sz="2" w:space="0" w:color="D9D9E3"/>
                                      </w:divBdr>
                                      <w:divsChild>
                                        <w:div w:id="88504662">
                                          <w:marLeft w:val="0"/>
                                          <w:marRight w:val="0"/>
                                          <w:marTop w:val="0"/>
                                          <w:marBottom w:val="0"/>
                                          <w:divBdr>
                                            <w:top w:val="single" w:sz="2" w:space="0" w:color="D9D9E3"/>
                                            <w:left w:val="single" w:sz="2" w:space="0" w:color="D9D9E3"/>
                                            <w:bottom w:val="single" w:sz="2" w:space="0" w:color="D9D9E3"/>
                                            <w:right w:val="single" w:sz="2" w:space="0" w:color="D9D9E3"/>
                                          </w:divBdr>
                                          <w:divsChild>
                                            <w:div w:id="766734924">
                                              <w:marLeft w:val="0"/>
                                              <w:marRight w:val="0"/>
                                              <w:marTop w:val="0"/>
                                              <w:marBottom w:val="0"/>
                                              <w:divBdr>
                                                <w:top w:val="single" w:sz="2" w:space="0" w:color="D9D9E3"/>
                                                <w:left w:val="single" w:sz="2" w:space="0" w:color="D9D9E3"/>
                                                <w:bottom w:val="single" w:sz="2" w:space="0" w:color="D9D9E3"/>
                                                <w:right w:val="single" w:sz="2" w:space="0" w:color="D9D9E3"/>
                                              </w:divBdr>
                                              <w:divsChild>
                                                <w:div w:id="180170413">
                                                  <w:marLeft w:val="0"/>
                                                  <w:marRight w:val="0"/>
                                                  <w:marTop w:val="0"/>
                                                  <w:marBottom w:val="0"/>
                                                  <w:divBdr>
                                                    <w:top w:val="single" w:sz="2" w:space="0" w:color="D9D9E3"/>
                                                    <w:left w:val="single" w:sz="2" w:space="0" w:color="D9D9E3"/>
                                                    <w:bottom w:val="single" w:sz="2" w:space="0" w:color="D9D9E3"/>
                                                    <w:right w:val="single" w:sz="2" w:space="0" w:color="D9D9E3"/>
                                                  </w:divBdr>
                                                  <w:divsChild>
                                                    <w:div w:id="21265394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256641521">
                                          <w:marLeft w:val="0"/>
                                          <w:marRight w:val="0"/>
                                          <w:marTop w:val="0"/>
                                          <w:marBottom w:val="0"/>
                                          <w:divBdr>
                                            <w:top w:val="single" w:sz="2" w:space="0" w:color="D9D9E3"/>
                                            <w:left w:val="single" w:sz="2" w:space="0" w:color="D9D9E3"/>
                                            <w:bottom w:val="single" w:sz="2" w:space="0" w:color="D9D9E3"/>
                                            <w:right w:val="single" w:sz="2" w:space="0" w:color="D9D9E3"/>
                                          </w:divBdr>
                                          <w:divsChild>
                                            <w:div w:id="844131509">
                                              <w:marLeft w:val="0"/>
                                              <w:marRight w:val="0"/>
                                              <w:marTop w:val="0"/>
                                              <w:marBottom w:val="0"/>
                                              <w:divBdr>
                                                <w:top w:val="single" w:sz="2" w:space="0" w:color="D9D9E3"/>
                                                <w:left w:val="single" w:sz="2" w:space="0" w:color="D9D9E3"/>
                                                <w:bottom w:val="single" w:sz="2" w:space="0" w:color="D9D9E3"/>
                                                <w:right w:val="single" w:sz="2" w:space="0" w:color="D9D9E3"/>
                                              </w:divBdr>
                                              <w:divsChild>
                                                <w:div w:id="4047669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82959435">
                                  <w:marLeft w:val="0"/>
                                  <w:marRight w:val="0"/>
                                  <w:marTop w:val="0"/>
                                  <w:marBottom w:val="0"/>
                                  <w:divBdr>
                                    <w:top w:val="single" w:sz="2" w:space="0" w:color="auto"/>
                                    <w:left w:val="single" w:sz="2" w:space="0" w:color="auto"/>
                                    <w:bottom w:val="single" w:sz="6" w:space="0" w:color="auto"/>
                                    <w:right w:val="single" w:sz="2" w:space="0" w:color="auto"/>
                                  </w:divBdr>
                                  <w:divsChild>
                                    <w:div w:id="1794983796">
                                      <w:marLeft w:val="0"/>
                                      <w:marRight w:val="0"/>
                                      <w:marTop w:val="100"/>
                                      <w:marBottom w:val="100"/>
                                      <w:divBdr>
                                        <w:top w:val="single" w:sz="2" w:space="0" w:color="D9D9E3"/>
                                        <w:left w:val="single" w:sz="2" w:space="0" w:color="D9D9E3"/>
                                        <w:bottom w:val="single" w:sz="2" w:space="0" w:color="D9D9E3"/>
                                        <w:right w:val="single" w:sz="2" w:space="0" w:color="D9D9E3"/>
                                      </w:divBdr>
                                      <w:divsChild>
                                        <w:div w:id="551116996">
                                          <w:marLeft w:val="0"/>
                                          <w:marRight w:val="0"/>
                                          <w:marTop w:val="0"/>
                                          <w:marBottom w:val="0"/>
                                          <w:divBdr>
                                            <w:top w:val="single" w:sz="2" w:space="0" w:color="D9D9E3"/>
                                            <w:left w:val="single" w:sz="2" w:space="0" w:color="D9D9E3"/>
                                            <w:bottom w:val="single" w:sz="2" w:space="0" w:color="D9D9E3"/>
                                            <w:right w:val="single" w:sz="2" w:space="0" w:color="D9D9E3"/>
                                          </w:divBdr>
                                          <w:divsChild>
                                            <w:div w:id="463013092">
                                              <w:marLeft w:val="0"/>
                                              <w:marRight w:val="0"/>
                                              <w:marTop w:val="0"/>
                                              <w:marBottom w:val="0"/>
                                              <w:divBdr>
                                                <w:top w:val="single" w:sz="2" w:space="0" w:color="D9D9E3"/>
                                                <w:left w:val="single" w:sz="2" w:space="0" w:color="D9D9E3"/>
                                                <w:bottom w:val="single" w:sz="2" w:space="0" w:color="D9D9E3"/>
                                                <w:right w:val="single" w:sz="2" w:space="0" w:color="D9D9E3"/>
                                              </w:divBdr>
                                              <w:divsChild>
                                                <w:div w:id="1057583756">
                                                  <w:marLeft w:val="0"/>
                                                  <w:marRight w:val="0"/>
                                                  <w:marTop w:val="0"/>
                                                  <w:marBottom w:val="0"/>
                                                  <w:divBdr>
                                                    <w:top w:val="single" w:sz="2" w:space="0" w:color="D9D9E3"/>
                                                    <w:left w:val="single" w:sz="2" w:space="0" w:color="D9D9E3"/>
                                                    <w:bottom w:val="single" w:sz="2" w:space="0" w:color="D9D9E3"/>
                                                    <w:right w:val="single" w:sz="2" w:space="0" w:color="D9D9E3"/>
                                                  </w:divBdr>
                                                  <w:divsChild>
                                                    <w:div w:id="14587977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302735237">
                                          <w:marLeft w:val="0"/>
                                          <w:marRight w:val="0"/>
                                          <w:marTop w:val="0"/>
                                          <w:marBottom w:val="0"/>
                                          <w:divBdr>
                                            <w:top w:val="single" w:sz="2" w:space="0" w:color="D9D9E3"/>
                                            <w:left w:val="single" w:sz="2" w:space="0" w:color="D9D9E3"/>
                                            <w:bottom w:val="single" w:sz="2" w:space="0" w:color="D9D9E3"/>
                                            <w:right w:val="single" w:sz="2" w:space="0" w:color="D9D9E3"/>
                                          </w:divBdr>
                                          <w:divsChild>
                                            <w:div w:id="1070007288">
                                              <w:marLeft w:val="0"/>
                                              <w:marRight w:val="0"/>
                                              <w:marTop w:val="0"/>
                                              <w:marBottom w:val="0"/>
                                              <w:divBdr>
                                                <w:top w:val="single" w:sz="2" w:space="0" w:color="D9D9E3"/>
                                                <w:left w:val="single" w:sz="2" w:space="0" w:color="D9D9E3"/>
                                                <w:bottom w:val="single" w:sz="2" w:space="0" w:color="D9D9E3"/>
                                                <w:right w:val="single" w:sz="2" w:space="0" w:color="D9D9E3"/>
                                              </w:divBdr>
                                              <w:divsChild>
                                                <w:div w:id="11890997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98259972">
                                  <w:marLeft w:val="0"/>
                                  <w:marRight w:val="0"/>
                                  <w:marTop w:val="0"/>
                                  <w:marBottom w:val="0"/>
                                  <w:divBdr>
                                    <w:top w:val="single" w:sz="2" w:space="0" w:color="auto"/>
                                    <w:left w:val="single" w:sz="2" w:space="0" w:color="auto"/>
                                    <w:bottom w:val="single" w:sz="6" w:space="0" w:color="auto"/>
                                    <w:right w:val="single" w:sz="2" w:space="0" w:color="auto"/>
                                  </w:divBdr>
                                  <w:divsChild>
                                    <w:div w:id="346565040">
                                      <w:marLeft w:val="0"/>
                                      <w:marRight w:val="0"/>
                                      <w:marTop w:val="100"/>
                                      <w:marBottom w:val="100"/>
                                      <w:divBdr>
                                        <w:top w:val="single" w:sz="2" w:space="0" w:color="D9D9E3"/>
                                        <w:left w:val="single" w:sz="2" w:space="0" w:color="D9D9E3"/>
                                        <w:bottom w:val="single" w:sz="2" w:space="0" w:color="D9D9E3"/>
                                        <w:right w:val="single" w:sz="2" w:space="0" w:color="D9D9E3"/>
                                      </w:divBdr>
                                      <w:divsChild>
                                        <w:div w:id="1293366907">
                                          <w:marLeft w:val="0"/>
                                          <w:marRight w:val="0"/>
                                          <w:marTop w:val="0"/>
                                          <w:marBottom w:val="0"/>
                                          <w:divBdr>
                                            <w:top w:val="single" w:sz="2" w:space="0" w:color="D9D9E3"/>
                                            <w:left w:val="single" w:sz="2" w:space="0" w:color="D9D9E3"/>
                                            <w:bottom w:val="single" w:sz="2" w:space="0" w:color="D9D9E3"/>
                                            <w:right w:val="single" w:sz="2" w:space="0" w:color="D9D9E3"/>
                                          </w:divBdr>
                                          <w:divsChild>
                                            <w:div w:id="1320771699">
                                              <w:marLeft w:val="0"/>
                                              <w:marRight w:val="0"/>
                                              <w:marTop w:val="0"/>
                                              <w:marBottom w:val="0"/>
                                              <w:divBdr>
                                                <w:top w:val="single" w:sz="2" w:space="0" w:color="D9D9E3"/>
                                                <w:left w:val="single" w:sz="2" w:space="0" w:color="D9D9E3"/>
                                                <w:bottom w:val="single" w:sz="2" w:space="0" w:color="D9D9E3"/>
                                                <w:right w:val="single" w:sz="2" w:space="0" w:color="D9D9E3"/>
                                              </w:divBdr>
                                              <w:divsChild>
                                                <w:div w:id="1537087752">
                                                  <w:marLeft w:val="0"/>
                                                  <w:marRight w:val="0"/>
                                                  <w:marTop w:val="0"/>
                                                  <w:marBottom w:val="0"/>
                                                  <w:divBdr>
                                                    <w:top w:val="single" w:sz="2" w:space="0" w:color="D9D9E3"/>
                                                    <w:left w:val="single" w:sz="2" w:space="0" w:color="D9D9E3"/>
                                                    <w:bottom w:val="single" w:sz="2" w:space="0" w:color="D9D9E3"/>
                                                    <w:right w:val="single" w:sz="2" w:space="0" w:color="D9D9E3"/>
                                                  </w:divBdr>
                                                  <w:divsChild>
                                                    <w:div w:id="6260100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537085749">
                                          <w:marLeft w:val="0"/>
                                          <w:marRight w:val="0"/>
                                          <w:marTop w:val="0"/>
                                          <w:marBottom w:val="0"/>
                                          <w:divBdr>
                                            <w:top w:val="single" w:sz="2" w:space="0" w:color="D9D9E3"/>
                                            <w:left w:val="single" w:sz="2" w:space="0" w:color="D9D9E3"/>
                                            <w:bottom w:val="single" w:sz="2" w:space="0" w:color="D9D9E3"/>
                                            <w:right w:val="single" w:sz="2" w:space="0" w:color="D9D9E3"/>
                                          </w:divBdr>
                                          <w:divsChild>
                                            <w:div w:id="265431906">
                                              <w:marLeft w:val="0"/>
                                              <w:marRight w:val="0"/>
                                              <w:marTop w:val="0"/>
                                              <w:marBottom w:val="0"/>
                                              <w:divBdr>
                                                <w:top w:val="single" w:sz="2" w:space="0" w:color="D9D9E3"/>
                                                <w:left w:val="single" w:sz="2" w:space="0" w:color="D9D9E3"/>
                                                <w:bottom w:val="single" w:sz="2" w:space="0" w:color="D9D9E3"/>
                                                <w:right w:val="single" w:sz="2" w:space="0" w:color="D9D9E3"/>
                                              </w:divBdr>
                                              <w:divsChild>
                                                <w:div w:id="18491710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70793696">
                                  <w:marLeft w:val="0"/>
                                  <w:marRight w:val="0"/>
                                  <w:marTop w:val="0"/>
                                  <w:marBottom w:val="0"/>
                                  <w:divBdr>
                                    <w:top w:val="single" w:sz="2" w:space="0" w:color="auto"/>
                                    <w:left w:val="single" w:sz="2" w:space="0" w:color="auto"/>
                                    <w:bottom w:val="single" w:sz="6" w:space="0" w:color="auto"/>
                                    <w:right w:val="single" w:sz="2" w:space="0" w:color="auto"/>
                                  </w:divBdr>
                                  <w:divsChild>
                                    <w:div w:id="1717775379">
                                      <w:marLeft w:val="0"/>
                                      <w:marRight w:val="0"/>
                                      <w:marTop w:val="100"/>
                                      <w:marBottom w:val="100"/>
                                      <w:divBdr>
                                        <w:top w:val="single" w:sz="2" w:space="0" w:color="D9D9E3"/>
                                        <w:left w:val="single" w:sz="2" w:space="0" w:color="D9D9E3"/>
                                        <w:bottom w:val="single" w:sz="2" w:space="0" w:color="D9D9E3"/>
                                        <w:right w:val="single" w:sz="2" w:space="0" w:color="D9D9E3"/>
                                      </w:divBdr>
                                      <w:divsChild>
                                        <w:div w:id="1278944935">
                                          <w:marLeft w:val="0"/>
                                          <w:marRight w:val="0"/>
                                          <w:marTop w:val="0"/>
                                          <w:marBottom w:val="0"/>
                                          <w:divBdr>
                                            <w:top w:val="single" w:sz="2" w:space="0" w:color="D9D9E3"/>
                                            <w:left w:val="single" w:sz="2" w:space="0" w:color="D9D9E3"/>
                                            <w:bottom w:val="single" w:sz="2" w:space="0" w:color="D9D9E3"/>
                                            <w:right w:val="single" w:sz="2" w:space="0" w:color="D9D9E3"/>
                                          </w:divBdr>
                                          <w:divsChild>
                                            <w:div w:id="1928348899">
                                              <w:marLeft w:val="0"/>
                                              <w:marRight w:val="0"/>
                                              <w:marTop w:val="0"/>
                                              <w:marBottom w:val="0"/>
                                              <w:divBdr>
                                                <w:top w:val="single" w:sz="2" w:space="0" w:color="D9D9E3"/>
                                                <w:left w:val="single" w:sz="2" w:space="0" w:color="D9D9E3"/>
                                                <w:bottom w:val="single" w:sz="2" w:space="0" w:color="D9D9E3"/>
                                                <w:right w:val="single" w:sz="2" w:space="0" w:color="D9D9E3"/>
                                              </w:divBdr>
                                              <w:divsChild>
                                                <w:div w:id="1169059484">
                                                  <w:marLeft w:val="0"/>
                                                  <w:marRight w:val="0"/>
                                                  <w:marTop w:val="0"/>
                                                  <w:marBottom w:val="0"/>
                                                  <w:divBdr>
                                                    <w:top w:val="single" w:sz="2" w:space="0" w:color="D9D9E3"/>
                                                    <w:left w:val="single" w:sz="2" w:space="0" w:color="D9D9E3"/>
                                                    <w:bottom w:val="single" w:sz="2" w:space="0" w:color="D9D9E3"/>
                                                    <w:right w:val="single" w:sz="2" w:space="0" w:color="D9D9E3"/>
                                                  </w:divBdr>
                                                  <w:divsChild>
                                                    <w:div w:id="17840318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775514523">
                                          <w:marLeft w:val="0"/>
                                          <w:marRight w:val="0"/>
                                          <w:marTop w:val="0"/>
                                          <w:marBottom w:val="0"/>
                                          <w:divBdr>
                                            <w:top w:val="single" w:sz="2" w:space="0" w:color="D9D9E3"/>
                                            <w:left w:val="single" w:sz="2" w:space="0" w:color="D9D9E3"/>
                                            <w:bottom w:val="single" w:sz="2" w:space="0" w:color="D9D9E3"/>
                                            <w:right w:val="single" w:sz="2" w:space="0" w:color="D9D9E3"/>
                                          </w:divBdr>
                                          <w:divsChild>
                                            <w:div w:id="235672240">
                                              <w:marLeft w:val="0"/>
                                              <w:marRight w:val="0"/>
                                              <w:marTop w:val="0"/>
                                              <w:marBottom w:val="0"/>
                                              <w:divBdr>
                                                <w:top w:val="single" w:sz="2" w:space="0" w:color="D9D9E3"/>
                                                <w:left w:val="single" w:sz="2" w:space="0" w:color="D9D9E3"/>
                                                <w:bottom w:val="single" w:sz="2" w:space="0" w:color="D9D9E3"/>
                                                <w:right w:val="single" w:sz="2" w:space="0" w:color="D9D9E3"/>
                                              </w:divBdr>
                                              <w:divsChild>
                                                <w:div w:id="15456797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108188345">
                                  <w:marLeft w:val="0"/>
                                  <w:marRight w:val="0"/>
                                  <w:marTop w:val="0"/>
                                  <w:marBottom w:val="0"/>
                                  <w:divBdr>
                                    <w:top w:val="single" w:sz="2" w:space="0" w:color="auto"/>
                                    <w:left w:val="single" w:sz="2" w:space="0" w:color="auto"/>
                                    <w:bottom w:val="single" w:sz="6" w:space="0" w:color="auto"/>
                                    <w:right w:val="single" w:sz="2" w:space="0" w:color="auto"/>
                                  </w:divBdr>
                                  <w:divsChild>
                                    <w:div w:id="90129589">
                                      <w:marLeft w:val="0"/>
                                      <w:marRight w:val="0"/>
                                      <w:marTop w:val="100"/>
                                      <w:marBottom w:val="100"/>
                                      <w:divBdr>
                                        <w:top w:val="single" w:sz="2" w:space="0" w:color="D9D9E3"/>
                                        <w:left w:val="single" w:sz="2" w:space="0" w:color="D9D9E3"/>
                                        <w:bottom w:val="single" w:sz="2" w:space="0" w:color="D9D9E3"/>
                                        <w:right w:val="single" w:sz="2" w:space="0" w:color="D9D9E3"/>
                                      </w:divBdr>
                                      <w:divsChild>
                                        <w:div w:id="624507415">
                                          <w:marLeft w:val="0"/>
                                          <w:marRight w:val="0"/>
                                          <w:marTop w:val="0"/>
                                          <w:marBottom w:val="0"/>
                                          <w:divBdr>
                                            <w:top w:val="single" w:sz="2" w:space="0" w:color="D9D9E3"/>
                                            <w:left w:val="single" w:sz="2" w:space="0" w:color="D9D9E3"/>
                                            <w:bottom w:val="single" w:sz="2" w:space="0" w:color="D9D9E3"/>
                                            <w:right w:val="single" w:sz="2" w:space="0" w:color="D9D9E3"/>
                                          </w:divBdr>
                                          <w:divsChild>
                                            <w:div w:id="2113278221">
                                              <w:marLeft w:val="0"/>
                                              <w:marRight w:val="0"/>
                                              <w:marTop w:val="0"/>
                                              <w:marBottom w:val="0"/>
                                              <w:divBdr>
                                                <w:top w:val="single" w:sz="2" w:space="0" w:color="D9D9E3"/>
                                                <w:left w:val="single" w:sz="2" w:space="0" w:color="D9D9E3"/>
                                                <w:bottom w:val="single" w:sz="2" w:space="0" w:color="D9D9E3"/>
                                                <w:right w:val="single" w:sz="2" w:space="0" w:color="D9D9E3"/>
                                              </w:divBdr>
                                              <w:divsChild>
                                                <w:div w:id="18519841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96336704">
                                          <w:marLeft w:val="0"/>
                                          <w:marRight w:val="0"/>
                                          <w:marTop w:val="0"/>
                                          <w:marBottom w:val="0"/>
                                          <w:divBdr>
                                            <w:top w:val="single" w:sz="2" w:space="0" w:color="D9D9E3"/>
                                            <w:left w:val="single" w:sz="2" w:space="0" w:color="D9D9E3"/>
                                            <w:bottom w:val="single" w:sz="2" w:space="0" w:color="D9D9E3"/>
                                            <w:right w:val="single" w:sz="2" w:space="0" w:color="D9D9E3"/>
                                          </w:divBdr>
                                          <w:divsChild>
                                            <w:div w:id="802583298">
                                              <w:marLeft w:val="0"/>
                                              <w:marRight w:val="0"/>
                                              <w:marTop w:val="0"/>
                                              <w:marBottom w:val="0"/>
                                              <w:divBdr>
                                                <w:top w:val="single" w:sz="2" w:space="0" w:color="D9D9E3"/>
                                                <w:left w:val="single" w:sz="2" w:space="0" w:color="D9D9E3"/>
                                                <w:bottom w:val="single" w:sz="2" w:space="0" w:color="D9D9E3"/>
                                                <w:right w:val="single" w:sz="2" w:space="0" w:color="D9D9E3"/>
                                              </w:divBdr>
                                              <w:divsChild>
                                                <w:div w:id="1152984338">
                                                  <w:marLeft w:val="0"/>
                                                  <w:marRight w:val="0"/>
                                                  <w:marTop w:val="0"/>
                                                  <w:marBottom w:val="0"/>
                                                  <w:divBdr>
                                                    <w:top w:val="single" w:sz="2" w:space="0" w:color="D9D9E3"/>
                                                    <w:left w:val="single" w:sz="2" w:space="0" w:color="D9D9E3"/>
                                                    <w:bottom w:val="single" w:sz="2" w:space="0" w:color="D9D9E3"/>
                                                    <w:right w:val="single" w:sz="2" w:space="0" w:color="D9D9E3"/>
                                                  </w:divBdr>
                                                  <w:divsChild>
                                                    <w:div w:id="7453034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1657107056">
      <w:bodyDiv w:val="1"/>
      <w:marLeft w:val="0"/>
      <w:marRight w:val="0"/>
      <w:marTop w:val="0"/>
      <w:marBottom w:val="0"/>
      <w:divBdr>
        <w:top w:val="none" w:sz="0" w:space="0" w:color="auto"/>
        <w:left w:val="none" w:sz="0" w:space="0" w:color="auto"/>
        <w:bottom w:val="none" w:sz="0" w:space="0" w:color="auto"/>
        <w:right w:val="none" w:sz="0" w:space="0" w:color="auto"/>
      </w:divBdr>
    </w:div>
    <w:div w:id="1814365890">
      <w:bodyDiv w:val="1"/>
      <w:marLeft w:val="0"/>
      <w:marRight w:val="0"/>
      <w:marTop w:val="0"/>
      <w:marBottom w:val="0"/>
      <w:divBdr>
        <w:top w:val="none" w:sz="0" w:space="0" w:color="auto"/>
        <w:left w:val="none" w:sz="0" w:space="0" w:color="auto"/>
        <w:bottom w:val="none" w:sz="0" w:space="0" w:color="auto"/>
        <w:right w:val="none" w:sz="0" w:space="0" w:color="auto"/>
      </w:divBdr>
    </w:div>
    <w:div w:id="1891653309">
      <w:bodyDiv w:val="1"/>
      <w:marLeft w:val="0"/>
      <w:marRight w:val="0"/>
      <w:marTop w:val="0"/>
      <w:marBottom w:val="0"/>
      <w:divBdr>
        <w:top w:val="none" w:sz="0" w:space="0" w:color="auto"/>
        <w:left w:val="none" w:sz="0" w:space="0" w:color="auto"/>
        <w:bottom w:val="none" w:sz="0" w:space="0" w:color="auto"/>
        <w:right w:val="none" w:sz="0" w:space="0" w:color="auto"/>
      </w:divBdr>
    </w:div>
    <w:div w:id="1943295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tga.gov.au/australian-public-assessment-report-auspar-guidance" TargetMode="External"/><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image" Target="media/image22.png"/><Relationship Id="rId42"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s://www.tga.gov.au" TargetMode="Externa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hyperlink" Target="https://www.tga.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hyperlink" Target="https://www.tga.gov.au/committee/advisory-committee-vaccines-acv" TargetMode="External"/><Relationship Id="rId40" Type="http://schemas.openxmlformats.org/officeDocument/2006/relationships/hyperlink" Target="mailto:info@tga.gov.au"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tga.gov.au/black-triangle-scheme" TargetMode="External"/><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10" Type="http://schemas.openxmlformats.org/officeDocument/2006/relationships/header" Target="header2.xml"/><Relationship Id="rId19" Type="http://schemas.openxmlformats.org/officeDocument/2006/relationships/image" Target="media/image7.emf"/><Relationship Id="rId31" Type="http://schemas.openxmlformats.org/officeDocument/2006/relationships/image" Target="media/image19.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tga.copyright@tga.gov.au" TargetMode="Externa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footer" Target="footer4.xml"/></Relationships>
</file>

<file path=word/_rels/footnotes.xml.rels><?xml version="1.0" encoding="UTF-8" standalone="yes"?>
<Relationships xmlns="http://schemas.openxmlformats.org/package/2006/relationships"><Relationship Id="rId1" Type="http://schemas.openxmlformats.org/officeDocument/2006/relationships/hyperlink" Target="https://www.tga.gov.au/resources/auspar/auspar-chadox1-s"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89A539-06EF-4756-902E-A8FF83214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8719</Words>
  <Characters>49007</Characters>
  <Application>Microsoft Office Word</Application>
  <DocSecurity>4</DocSecurity>
  <Lines>1042</Lines>
  <Paragraphs>555</Paragraphs>
  <ScaleCrop>false</ScaleCrop>
  <HeadingPairs>
    <vt:vector size="2" baseType="variant">
      <vt:variant>
        <vt:lpstr>Title</vt:lpstr>
      </vt:variant>
      <vt:variant>
        <vt:i4>1</vt:i4>
      </vt:variant>
    </vt:vector>
  </HeadingPairs>
  <TitlesOfParts>
    <vt:vector size="1" baseType="lpstr">
      <vt:lpstr>Australian public assessment report for MVC COVID-19 Vaccine</vt:lpstr>
    </vt:vector>
  </TitlesOfParts>
  <Company>Department of Health and Aged Care</Company>
  <LinksUpToDate>false</LinksUpToDate>
  <CharactersWithSpaces>57171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MVC COVID-19 Vaccine</dc:title>
  <dc:subject>Prescription medicine regulation</dc:subject>
  <dc:creator>Therapeutic Goods Administration</dc:creator>
  <cp:keywords/>
  <dc:description/>
  <cp:lastModifiedBy>MCMAHON, Emily</cp:lastModifiedBy>
  <cp:revision>2</cp:revision>
  <dcterms:created xsi:type="dcterms:W3CDTF">2023-09-10T23:58:00Z</dcterms:created>
  <dcterms:modified xsi:type="dcterms:W3CDTF">2023-09-10T23:58:00Z</dcterms:modified>
</cp:coreProperties>
</file>