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0347C1B" w:rsidR="00F02AEC" w:rsidRPr="00215D48" w:rsidRDefault="00346EC2" w:rsidP="007452E8">
            <w:pPr>
              <w:pStyle w:val="Title"/>
            </w:pPr>
            <w:r w:rsidRPr="00346EC2">
              <w:t xml:space="preserve">Australian Public Assessment Report for </w:t>
            </w:r>
            <w:r w:rsidR="00052C14">
              <w:t>Nuceiva</w:t>
            </w:r>
          </w:p>
        </w:tc>
      </w:tr>
      <w:tr w:rsidR="00F02AEC" w:rsidRPr="00215D48" w14:paraId="318A40A3" w14:textId="77777777" w:rsidTr="00346EC2">
        <w:trPr>
          <w:trHeight w:val="995"/>
        </w:trPr>
        <w:tc>
          <w:tcPr>
            <w:tcW w:w="8720" w:type="dxa"/>
          </w:tcPr>
          <w:p w14:paraId="1AA7C701" w14:textId="5666BC9B" w:rsidR="00F02AEC" w:rsidRPr="00215D48" w:rsidRDefault="00346EC2" w:rsidP="007452E8">
            <w:pPr>
              <w:pStyle w:val="Subtitle"/>
              <w:ind w:left="0"/>
            </w:pPr>
            <w:r w:rsidRPr="00346EC2">
              <w:t xml:space="preserve">Active ingredient/s: </w:t>
            </w:r>
            <w:proofErr w:type="spellStart"/>
            <w:r w:rsidR="00052C14">
              <w:t>P</w:t>
            </w:r>
            <w:r w:rsidR="00052C14" w:rsidRPr="00052C14">
              <w:t>rabotulinum</w:t>
            </w:r>
            <w:proofErr w:type="spellEnd"/>
            <w:r w:rsidR="00052C14" w:rsidRPr="00052C14">
              <w:t xml:space="preserve"> toxin A</w:t>
            </w:r>
          </w:p>
        </w:tc>
      </w:tr>
      <w:tr w:rsidR="00346EC2" w:rsidRPr="00215D48" w14:paraId="362CCAE4" w14:textId="77777777" w:rsidTr="007452E8">
        <w:trPr>
          <w:trHeight w:val="1916"/>
        </w:trPr>
        <w:tc>
          <w:tcPr>
            <w:tcW w:w="8720" w:type="dxa"/>
          </w:tcPr>
          <w:p w14:paraId="709C45C0" w14:textId="4C81D7C0" w:rsidR="00346EC2" w:rsidRPr="00215D48" w:rsidRDefault="00346EC2" w:rsidP="007452E8">
            <w:pPr>
              <w:pStyle w:val="Subtitle"/>
              <w:ind w:left="0"/>
            </w:pPr>
            <w:r w:rsidRPr="00346EC2">
              <w:t>Sponsor:</w:t>
            </w:r>
            <w:r w:rsidR="00052C14">
              <w:t xml:space="preserve"> </w:t>
            </w:r>
            <w:r w:rsidR="00052C14" w:rsidRPr="00052C14">
              <w:t>PPD Australia Pty Ltd</w:t>
            </w:r>
          </w:p>
        </w:tc>
      </w:tr>
      <w:tr w:rsidR="00F02AEC" w:rsidRPr="00215D48" w14:paraId="37F2AA1F" w14:textId="77777777" w:rsidTr="007452E8">
        <w:tc>
          <w:tcPr>
            <w:tcW w:w="8720" w:type="dxa"/>
          </w:tcPr>
          <w:p w14:paraId="1FDE8DCD" w14:textId="783F4578" w:rsidR="00F02AEC" w:rsidRPr="00215D48" w:rsidRDefault="002A6784" w:rsidP="007452E8">
            <w:pPr>
              <w:pStyle w:val="Date"/>
            </w:pPr>
            <w:r>
              <w:t>September</w:t>
            </w:r>
            <w:r w:rsidR="00052C14">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E1F0084"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266399A0"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6096883"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61E3E77" w14:textId="5F30CB75" w:rsidR="005630CE"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3693792" w:history="1">
            <w:r w:rsidR="005630CE" w:rsidRPr="002741D8">
              <w:rPr>
                <w:rStyle w:val="Hyperlink"/>
                <w:noProof/>
              </w:rPr>
              <w:t>List of abbreviations</w:t>
            </w:r>
            <w:r w:rsidR="005630CE">
              <w:rPr>
                <w:noProof/>
                <w:webHidden/>
              </w:rPr>
              <w:tab/>
            </w:r>
            <w:r w:rsidR="005630CE">
              <w:rPr>
                <w:noProof/>
                <w:webHidden/>
              </w:rPr>
              <w:fldChar w:fldCharType="begin"/>
            </w:r>
            <w:r w:rsidR="005630CE">
              <w:rPr>
                <w:noProof/>
                <w:webHidden/>
              </w:rPr>
              <w:instrText xml:space="preserve"> PAGEREF _Toc143693792 \h </w:instrText>
            </w:r>
            <w:r w:rsidR="005630CE">
              <w:rPr>
                <w:noProof/>
                <w:webHidden/>
              </w:rPr>
            </w:r>
            <w:r w:rsidR="005630CE">
              <w:rPr>
                <w:noProof/>
                <w:webHidden/>
              </w:rPr>
              <w:fldChar w:fldCharType="separate"/>
            </w:r>
            <w:r w:rsidR="005630CE">
              <w:rPr>
                <w:noProof/>
                <w:webHidden/>
              </w:rPr>
              <w:t>4</w:t>
            </w:r>
            <w:r w:rsidR="005630CE">
              <w:rPr>
                <w:noProof/>
                <w:webHidden/>
              </w:rPr>
              <w:fldChar w:fldCharType="end"/>
            </w:r>
          </w:hyperlink>
        </w:p>
        <w:p w14:paraId="014F4DF3" w14:textId="0C0A4D78" w:rsidR="005630CE" w:rsidRDefault="00000000">
          <w:pPr>
            <w:pStyle w:val="TOC1"/>
            <w:rPr>
              <w:rFonts w:asciiTheme="minorHAnsi" w:eastAsiaTheme="minorEastAsia" w:hAnsiTheme="minorHAnsi" w:cstheme="minorBidi"/>
              <w:b w:val="0"/>
              <w:noProof/>
              <w:color w:val="auto"/>
              <w:sz w:val="22"/>
              <w:szCs w:val="22"/>
              <w:lang w:eastAsia="en-AU"/>
            </w:rPr>
          </w:pPr>
          <w:hyperlink w:anchor="_Toc143693793" w:history="1">
            <w:r w:rsidR="005630CE" w:rsidRPr="002741D8">
              <w:rPr>
                <w:rStyle w:val="Hyperlink"/>
                <w:noProof/>
              </w:rPr>
              <w:t>Product submission</w:t>
            </w:r>
            <w:r w:rsidR="005630CE">
              <w:rPr>
                <w:noProof/>
                <w:webHidden/>
              </w:rPr>
              <w:tab/>
            </w:r>
            <w:r w:rsidR="005630CE">
              <w:rPr>
                <w:noProof/>
                <w:webHidden/>
              </w:rPr>
              <w:fldChar w:fldCharType="begin"/>
            </w:r>
            <w:r w:rsidR="005630CE">
              <w:rPr>
                <w:noProof/>
                <w:webHidden/>
              </w:rPr>
              <w:instrText xml:space="preserve"> PAGEREF _Toc143693793 \h </w:instrText>
            </w:r>
            <w:r w:rsidR="005630CE">
              <w:rPr>
                <w:noProof/>
                <w:webHidden/>
              </w:rPr>
            </w:r>
            <w:r w:rsidR="005630CE">
              <w:rPr>
                <w:noProof/>
                <w:webHidden/>
              </w:rPr>
              <w:fldChar w:fldCharType="separate"/>
            </w:r>
            <w:r w:rsidR="005630CE">
              <w:rPr>
                <w:noProof/>
                <w:webHidden/>
              </w:rPr>
              <w:t>5</w:t>
            </w:r>
            <w:r w:rsidR="005630CE">
              <w:rPr>
                <w:noProof/>
                <w:webHidden/>
              </w:rPr>
              <w:fldChar w:fldCharType="end"/>
            </w:r>
          </w:hyperlink>
        </w:p>
        <w:p w14:paraId="5A6E1A59" w14:textId="30E8B3D4" w:rsidR="005630CE" w:rsidRDefault="00000000">
          <w:pPr>
            <w:pStyle w:val="TOC2"/>
            <w:rPr>
              <w:rFonts w:asciiTheme="minorHAnsi" w:eastAsiaTheme="minorEastAsia" w:hAnsiTheme="minorHAnsi" w:cstheme="minorBidi"/>
              <w:b w:val="0"/>
              <w:noProof/>
              <w:color w:val="auto"/>
              <w:sz w:val="22"/>
              <w:szCs w:val="22"/>
              <w:lang w:eastAsia="en-AU"/>
            </w:rPr>
          </w:pPr>
          <w:hyperlink w:anchor="_Toc143693794" w:history="1">
            <w:r w:rsidR="005630CE" w:rsidRPr="002741D8">
              <w:rPr>
                <w:rStyle w:val="Hyperlink"/>
                <w:noProof/>
                <w:lang w:eastAsia="en-AU"/>
              </w:rPr>
              <w:t>Submission details</w:t>
            </w:r>
            <w:r w:rsidR="005630CE">
              <w:rPr>
                <w:noProof/>
                <w:webHidden/>
              </w:rPr>
              <w:tab/>
            </w:r>
            <w:r w:rsidR="005630CE">
              <w:rPr>
                <w:noProof/>
                <w:webHidden/>
              </w:rPr>
              <w:fldChar w:fldCharType="begin"/>
            </w:r>
            <w:r w:rsidR="005630CE">
              <w:rPr>
                <w:noProof/>
                <w:webHidden/>
              </w:rPr>
              <w:instrText xml:space="preserve"> PAGEREF _Toc143693794 \h </w:instrText>
            </w:r>
            <w:r w:rsidR="005630CE">
              <w:rPr>
                <w:noProof/>
                <w:webHidden/>
              </w:rPr>
            </w:r>
            <w:r w:rsidR="005630CE">
              <w:rPr>
                <w:noProof/>
                <w:webHidden/>
              </w:rPr>
              <w:fldChar w:fldCharType="separate"/>
            </w:r>
            <w:r w:rsidR="005630CE">
              <w:rPr>
                <w:noProof/>
                <w:webHidden/>
              </w:rPr>
              <w:t>5</w:t>
            </w:r>
            <w:r w:rsidR="005630CE">
              <w:rPr>
                <w:noProof/>
                <w:webHidden/>
              </w:rPr>
              <w:fldChar w:fldCharType="end"/>
            </w:r>
          </w:hyperlink>
        </w:p>
        <w:p w14:paraId="4CF5B594" w14:textId="5A68F725" w:rsidR="005630CE" w:rsidRDefault="00000000">
          <w:pPr>
            <w:pStyle w:val="TOC2"/>
            <w:rPr>
              <w:rFonts w:asciiTheme="minorHAnsi" w:eastAsiaTheme="minorEastAsia" w:hAnsiTheme="minorHAnsi" w:cstheme="minorBidi"/>
              <w:b w:val="0"/>
              <w:noProof/>
              <w:color w:val="auto"/>
              <w:sz w:val="22"/>
              <w:szCs w:val="22"/>
              <w:lang w:eastAsia="en-AU"/>
            </w:rPr>
          </w:pPr>
          <w:hyperlink w:anchor="_Toc143693795" w:history="1">
            <w:r w:rsidR="005630CE" w:rsidRPr="002741D8">
              <w:rPr>
                <w:rStyle w:val="Hyperlink"/>
                <w:noProof/>
              </w:rPr>
              <w:t>Product background</w:t>
            </w:r>
            <w:r w:rsidR="005630CE">
              <w:rPr>
                <w:noProof/>
                <w:webHidden/>
              </w:rPr>
              <w:tab/>
            </w:r>
            <w:r w:rsidR="005630CE">
              <w:rPr>
                <w:noProof/>
                <w:webHidden/>
              </w:rPr>
              <w:fldChar w:fldCharType="begin"/>
            </w:r>
            <w:r w:rsidR="005630CE">
              <w:rPr>
                <w:noProof/>
                <w:webHidden/>
              </w:rPr>
              <w:instrText xml:space="preserve"> PAGEREF _Toc143693795 \h </w:instrText>
            </w:r>
            <w:r w:rsidR="005630CE">
              <w:rPr>
                <w:noProof/>
                <w:webHidden/>
              </w:rPr>
            </w:r>
            <w:r w:rsidR="005630CE">
              <w:rPr>
                <w:noProof/>
                <w:webHidden/>
              </w:rPr>
              <w:fldChar w:fldCharType="separate"/>
            </w:r>
            <w:r w:rsidR="005630CE">
              <w:rPr>
                <w:noProof/>
                <w:webHidden/>
              </w:rPr>
              <w:t>6</w:t>
            </w:r>
            <w:r w:rsidR="005630CE">
              <w:rPr>
                <w:noProof/>
                <w:webHidden/>
              </w:rPr>
              <w:fldChar w:fldCharType="end"/>
            </w:r>
          </w:hyperlink>
        </w:p>
        <w:p w14:paraId="0943CDA1" w14:textId="1E5A311B" w:rsidR="005630CE" w:rsidRDefault="00000000">
          <w:pPr>
            <w:pStyle w:val="TOC3"/>
            <w:rPr>
              <w:rFonts w:asciiTheme="minorHAnsi" w:eastAsiaTheme="minorEastAsia" w:hAnsiTheme="minorHAnsi" w:cstheme="minorBidi"/>
              <w:b w:val="0"/>
              <w:noProof/>
              <w:color w:val="auto"/>
              <w:szCs w:val="22"/>
              <w:lang w:eastAsia="en-AU"/>
            </w:rPr>
          </w:pPr>
          <w:hyperlink w:anchor="_Toc143693796" w:history="1">
            <w:r w:rsidR="005630CE" w:rsidRPr="002741D8">
              <w:rPr>
                <w:rStyle w:val="Hyperlink"/>
                <w:noProof/>
              </w:rPr>
              <w:t>Condition</w:t>
            </w:r>
            <w:r w:rsidR="005630CE">
              <w:rPr>
                <w:noProof/>
                <w:webHidden/>
              </w:rPr>
              <w:tab/>
            </w:r>
            <w:r w:rsidR="005630CE">
              <w:rPr>
                <w:noProof/>
                <w:webHidden/>
              </w:rPr>
              <w:fldChar w:fldCharType="begin"/>
            </w:r>
            <w:r w:rsidR="005630CE">
              <w:rPr>
                <w:noProof/>
                <w:webHidden/>
              </w:rPr>
              <w:instrText xml:space="preserve"> PAGEREF _Toc143693796 \h </w:instrText>
            </w:r>
            <w:r w:rsidR="005630CE">
              <w:rPr>
                <w:noProof/>
                <w:webHidden/>
              </w:rPr>
            </w:r>
            <w:r w:rsidR="005630CE">
              <w:rPr>
                <w:noProof/>
                <w:webHidden/>
              </w:rPr>
              <w:fldChar w:fldCharType="separate"/>
            </w:r>
            <w:r w:rsidR="005630CE">
              <w:rPr>
                <w:noProof/>
                <w:webHidden/>
              </w:rPr>
              <w:t>6</w:t>
            </w:r>
            <w:r w:rsidR="005630CE">
              <w:rPr>
                <w:noProof/>
                <w:webHidden/>
              </w:rPr>
              <w:fldChar w:fldCharType="end"/>
            </w:r>
          </w:hyperlink>
        </w:p>
        <w:p w14:paraId="09344B52" w14:textId="1CAE0275" w:rsidR="005630CE" w:rsidRDefault="00000000">
          <w:pPr>
            <w:pStyle w:val="TOC3"/>
            <w:rPr>
              <w:rFonts w:asciiTheme="minorHAnsi" w:eastAsiaTheme="minorEastAsia" w:hAnsiTheme="minorHAnsi" w:cstheme="minorBidi"/>
              <w:b w:val="0"/>
              <w:noProof/>
              <w:color w:val="auto"/>
              <w:szCs w:val="22"/>
              <w:lang w:eastAsia="en-AU"/>
            </w:rPr>
          </w:pPr>
          <w:hyperlink w:anchor="_Toc143693797" w:history="1">
            <w:r w:rsidR="005630CE" w:rsidRPr="002741D8">
              <w:rPr>
                <w:rStyle w:val="Hyperlink"/>
                <w:noProof/>
              </w:rPr>
              <w:t>Current treatment options</w:t>
            </w:r>
            <w:r w:rsidR="005630CE">
              <w:rPr>
                <w:noProof/>
                <w:webHidden/>
              </w:rPr>
              <w:tab/>
            </w:r>
            <w:r w:rsidR="005630CE">
              <w:rPr>
                <w:noProof/>
                <w:webHidden/>
              </w:rPr>
              <w:fldChar w:fldCharType="begin"/>
            </w:r>
            <w:r w:rsidR="005630CE">
              <w:rPr>
                <w:noProof/>
                <w:webHidden/>
              </w:rPr>
              <w:instrText xml:space="preserve"> PAGEREF _Toc143693797 \h </w:instrText>
            </w:r>
            <w:r w:rsidR="005630CE">
              <w:rPr>
                <w:noProof/>
                <w:webHidden/>
              </w:rPr>
            </w:r>
            <w:r w:rsidR="005630CE">
              <w:rPr>
                <w:noProof/>
                <w:webHidden/>
              </w:rPr>
              <w:fldChar w:fldCharType="separate"/>
            </w:r>
            <w:r w:rsidR="005630CE">
              <w:rPr>
                <w:noProof/>
                <w:webHidden/>
              </w:rPr>
              <w:t>7</w:t>
            </w:r>
            <w:r w:rsidR="005630CE">
              <w:rPr>
                <w:noProof/>
                <w:webHidden/>
              </w:rPr>
              <w:fldChar w:fldCharType="end"/>
            </w:r>
          </w:hyperlink>
        </w:p>
        <w:p w14:paraId="363A3440" w14:textId="4BE75562" w:rsidR="005630CE" w:rsidRDefault="00000000">
          <w:pPr>
            <w:pStyle w:val="TOC2"/>
            <w:rPr>
              <w:rFonts w:asciiTheme="minorHAnsi" w:eastAsiaTheme="minorEastAsia" w:hAnsiTheme="minorHAnsi" w:cstheme="minorBidi"/>
              <w:b w:val="0"/>
              <w:noProof/>
              <w:color w:val="auto"/>
              <w:sz w:val="22"/>
              <w:szCs w:val="22"/>
              <w:lang w:eastAsia="en-AU"/>
            </w:rPr>
          </w:pPr>
          <w:hyperlink w:anchor="_Toc143693798" w:history="1">
            <w:r w:rsidR="005630CE" w:rsidRPr="002741D8">
              <w:rPr>
                <w:rStyle w:val="Hyperlink"/>
                <w:noProof/>
              </w:rPr>
              <w:t>Regulatory status</w:t>
            </w:r>
            <w:r w:rsidR="005630CE">
              <w:rPr>
                <w:noProof/>
                <w:webHidden/>
              </w:rPr>
              <w:tab/>
            </w:r>
            <w:r w:rsidR="005630CE">
              <w:rPr>
                <w:noProof/>
                <w:webHidden/>
              </w:rPr>
              <w:fldChar w:fldCharType="begin"/>
            </w:r>
            <w:r w:rsidR="005630CE">
              <w:rPr>
                <w:noProof/>
                <w:webHidden/>
              </w:rPr>
              <w:instrText xml:space="preserve"> PAGEREF _Toc143693798 \h </w:instrText>
            </w:r>
            <w:r w:rsidR="005630CE">
              <w:rPr>
                <w:noProof/>
                <w:webHidden/>
              </w:rPr>
            </w:r>
            <w:r w:rsidR="005630CE">
              <w:rPr>
                <w:noProof/>
                <w:webHidden/>
              </w:rPr>
              <w:fldChar w:fldCharType="separate"/>
            </w:r>
            <w:r w:rsidR="005630CE">
              <w:rPr>
                <w:noProof/>
                <w:webHidden/>
              </w:rPr>
              <w:t>8</w:t>
            </w:r>
            <w:r w:rsidR="005630CE">
              <w:rPr>
                <w:noProof/>
                <w:webHidden/>
              </w:rPr>
              <w:fldChar w:fldCharType="end"/>
            </w:r>
          </w:hyperlink>
        </w:p>
        <w:p w14:paraId="71F33C36" w14:textId="5074F17E" w:rsidR="005630CE" w:rsidRDefault="00000000">
          <w:pPr>
            <w:pStyle w:val="TOC2"/>
            <w:rPr>
              <w:rFonts w:asciiTheme="minorHAnsi" w:eastAsiaTheme="minorEastAsia" w:hAnsiTheme="minorHAnsi" w:cstheme="minorBidi"/>
              <w:b w:val="0"/>
              <w:noProof/>
              <w:color w:val="auto"/>
              <w:sz w:val="22"/>
              <w:szCs w:val="22"/>
              <w:lang w:eastAsia="en-AU"/>
            </w:rPr>
          </w:pPr>
          <w:hyperlink w:anchor="_Toc143693799" w:history="1">
            <w:r w:rsidR="005630CE" w:rsidRPr="002741D8">
              <w:rPr>
                <w:rStyle w:val="Hyperlink"/>
                <w:noProof/>
              </w:rPr>
              <w:t>Product Information</w:t>
            </w:r>
            <w:r w:rsidR="005630CE">
              <w:rPr>
                <w:noProof/>
                <w:webHidden/>
              </w:rPr>
              <w:tab/>
            </w:r>
            <w:r w:rsidR="005630CE">
              <w:rPr>
                <w:noProof/>
                <w:webHidden/>
              </w:rPr>
              <w:fldChar w:fldCharType="begin"/>
            </w:r>
            <w:r w:rsidR="005630CE">
              <w:rPr>
                <w:noProof/>
                <w:webHidden/>
              </w:rPr>
              <w:instrText xml:space="preserve"> PAGEREF _Toc143693799 \h </w:instrText>
            </w:r>
            <w:r w:rsidR="005630CE">
              <w:rPr>
                <w:noProof/>
                <w:webHidden/>
              </w:rPr>
            </w:r>
            <w:r w:rsidR="005630CE">
              <w:rPr>
                <w:noProof/>
                <w:webHidden/>
              </w:rPr>
              <w:fldChar w:fldCharType="separate"/>
            </w:r>
            <w:r w:rsidR="005630CE">
              <w:rPr>
                <w:noProof/>
                <w:webHidden/>
              </w:rPr>
              <w:t>8</w:t>
            </w:r>
            <w:r w:rsidR="005630CE">
              <w:rPr>
                <w:noProof/>
                <w:webHidden/>
              </w:rPr>
              <w:fldChar w:fldCharType="end"/>
            </w:r>
          </w:hyperlink>
        </w:p>
        <w:p w14:paraId="1B59CFF7" w14:textId="20AD65C5" w:rsidR="005630CE" w:rsidRDefault="00000000">
          <w:pPr>
            <w:pStyle w:val="TOC1"/>
            <w:rPr>
              <w:rFonts w:asciiTheme="minorHAnsi" w:eastAsiaTheme="minorEastAsia" w:hAnsiTheme="minorHAnsi" w:cstheme="minorBidi"/>
              <w:b w:val="0"/>
              <w:noProof/>
              <w:color w:val="auto"/>
              <w:sz w:val="22"/>
              <w:szCs w:val="22"/>
              <w:lang w:eastAsia="en-AU"/>
            </w:rPr>
          </w:pPr>
          <w:hyperlink w:anchor="_Toc143693800" w:history="1">
            <w:r w:rsidR="005630CE" w:rsidRPr="002741D8">
              <w:rPr>
                <w:rStyle w:val="Hyperlink"/>
                <w:noProof/>
              </w:rPr>
              <w:t>Registration timeline</w:t>
            </w:r>
            <w:r w:rsidR="005630CE">
              <w:rPr>
                <w:noProof/>
                <w:webHidden/>
              </w:rPr>
              <w:tab/>
            </w:r>
            <w:r w:rsidR="005630CE">
              <w:rPr>
                <w:noProof/>
                <w:webHidden/>
              </w:rPr>
              <w:fldChar w:fldCharType="begin"/>
            </w:r>
            <w:r w:rsidR="005630CE">
              <w:rPr>
                <w:noProof/>
                <w:webHidden/>
              </w:rPr>
              <w:instrText xml:space="preserve"> PAGEREF _Toc143693800 \h </w:instrText>
            </w:r>
            <w:r w:rsidR="005630CE">
              <w:rPr>
                <w:noProof/>
                <w:webHidden/>
              </w:rPr>
            </w:r>
            <w:r w:rsidR="005630CE">
              <w:rPr>
                <w:noProof/>
                <w:webHidden/>
              </w:rPr>
              <w:fldChar w:fldCharType="separate"/>
            </w:r>
            <w:r w:rsidR="005630CE">
              <w:rPr>
                <w:noProof/>
                <w:webHidden/>
              </w:rPr>
              <w:t>9</w:t>
            </w:r>
            <w:r w:rsidR="005630CE">
              <w:rPr>
                <w:noProof/>
                <w:webHidden/>
              </w:rPr>
              <w:fldChar w:fldCharType="end"/>
            </w:r>
          </w:hyperlink>
        </w:p>
        <w:p w14:paraId="5F8C0361" w14:textId="76FBFFDA" w:rsidR="005630CE" w:rsidRDefault="00000000">
          <w:pPr>
            <w:pStyle w:val="TOC1"/>
            <w:rPr>
              <w:rFonts w:asciiTheme="minorHAnsi" w:eastAsiaTheme="minorEastAsia" w:hAnsiTheme="minorHAnsi" w:cstheme="minorBidi"/>
              <w:b w:val="0"/>
              <w:noProof/>
              <w:color w:val="auto"/>
              <w:sz w:val="22"/>
              <w:szCs w:val="22"/>
              <w:lang w:eastAsia="en-AU"/>
            </w:rPr>
          </w:pPr>
          <w:hyperlink w:anchor="_Toc143693801" w:history="1">
            <w:r w:rsidR="005630CE" w:rsidRPr="002741D8">
              <w:rPr>
                <w:rStyle w:val="Hyperlink"/>
                <w:noProof/>
              </w:rPr>
              <w:t>Submission overview and risk/benefit assessment</w:t>
            </w:r>
            <w:r w:rsidR="005630CE">
              <w:rPr>
                <w:noProof/>
                <w:webHidden/>
              </w:rPr>
              <w:tab/>
            </w:r>
            <w:r w:rsidR="005630CE">
              <w:rPr>
                <w:noProof/>
                <w:webHidden/>
              </w:rPr>
              <w:fldChar w:fldCharType="begin"/>
            </w:r>
            <w:r w:rsidR="005630CE">
              <w:rPr>
                <w:noProof/>
                <w:webHidden/>
              </w:rPr>
              <w:instrText xml:space="preserve"> PAGEREF _Toc143693801 \h </w:instrText>
            </w:r>
            <w:r w:rsidR="005630CE">
              <w:rPr>
                <w:noProof/>
                <w:webHidden/>
              </w:rPr>
            </w:r>
            <w:r w:rsidR="005630CE">
              <w:rPr>
                <w:noProof/>
                <w:webHidden/>
              </w:rPr>
              <w:fldChar w:fldCharType="separate"/>
            </w:r>
            <w:r w:rsidR="005630CE">
              <w:rPr>
                <w:noProof/>
                <w:webHidden/>
              </w:rPr>
              <w:t>9</w:t>
            </w:r>
            <w:r w:rsidR="005630CE">
              <w:rPr>
                <w:noProof/>
                <w:webHidden/>
              </w:rPr>
              <w:fldChar w:fldCharType="end"/>
            </w:r>
          </w:hyperlink>
        </w:p>
        <w:p w14:paraId="196A997A" w14:textId="27084476"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02" w:history="1">
            <w:r w:rsidR="005630CE" w:rsidRPr="002741D8">
              <w:rPr>
                <w:rStyle w:val="Hyperlink"/>
                <w:noProof/>
              </w:rPr>
              <w:t>Quality</w:t>
            </w:r>
            <w:r w:rsidR="005630CE">
              <w:rPr>
                <w:noProof/>
                <w:webHidden/>
              </w:rPr>
              <w:tab/>
            </w:r>
            <w:r w:rsidR="005630CE">
              <w:rPr>
                <w:noProof/>
                <w:webHidden/>
              </w:rPr>
              <w:fldChar w:fldCharType="begin"/>
            </w:r>
            <w:r w:rsidR="005630CE">
              <w:rPr>
                <w:noProof/>
                <w:webHidden/>
              </w:rPr>
              <w:instrText xml:space="preserve"> PAGEREF _Toc143693802 \h </w:instrText>
            </w:r>
            <w:r w:rsidR="005630CE">
              <w:rPr>
                <w:noProof/>
                <w:webHidden/>
              </w:rPr>
            </w:r>
            <w:r w:rsidR="005630CE">
              <w:rPr>
                <w:noProof/>
                <w:webHidden/>
              </w:rPr>
              <w:fldChar w:fldCharType="separate"/>
            </w:r>
            <w:r w:rsidR="005630CE">
              <w:rPr>
                <w:noProof/>
                <w:webHidden/>
              </w:rPr>
              <w:t>9</w:t>
            </w:r>
            <w:r w:rsidR="005630CE">
              <w:rPr>
                <w:noProof/>
                <w:webHidden/>
              </w:rPr>
              <w:fldChar w:fldCharType="end"/>
            </w:r>
          </w:hyperlink>
        </w:p>
        <w:p w14:paraId="298E8CC0" w14:textId="666C29D6"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03" w:history="1">
            <w:r w:rsidR="005630CE" w:rsidRPr="002741D8">
              <w:rPr>
                <w:rStyle w:val="Hyperlink"/>
                <w:noProof/>
              </w:rPr>
              <w:t>Nonclinical</w:t>
            </w:r>
            <w:r w:rsidR="005630CE">
              <w:rPr>
                <w:noProof/>
                <w:webHidden/>
              </w:rPr>
              <w:tab/>
            </w:r>
            <w:r w:rsidR="005630CE">
              <w:rPr>
                <w:noProof/>
                <w:webHidden/>
              </w:rPr>
              <w:fldChar w:fldCharType="begin"/>
            </w:r>
            <w:r w:rsidR="005630CE">
              <w:rPr>
                <w:noProof/>
                <w:webHidden/>
              </w:rPr>
              <w:instrText xml:space="preserve"> PAGEREF _Toc143693803 \h </w:instrText>
            </w:r>
            <w:r w:rsidR="005630CE">
              <w:rPr>
                <w:noProof/>
                <w:webHidden/>
              </w:rPr>
            </w:r>
            <w:r w:rsidR="005630CE">
              <w:rPr>
                <w:noProof/>
                <w:webHidden/>
              </w:rPr>
              <w:fldChar w:fldCharType="separate"/>
            </w:r>
            <w:r w:rsidR="005630CE">
              <w:rPr>
                <w:noProof/>
                <w:webHidden/>
              </w:rPr>
              <w:t>10</w:t>
            </w:r>
            <w:r w:rsidR="005630CE">
              <w:rPr>
                <w:noProof/>
                <w:webHidden/>
              </w:rPr>
              <w:fldChar w:fldCharType="end"/>
            </w:r>
          </w:hyperlink>
        </w:p>
        <w:p w14:paraId="5CBA7AC3" w14:textId="5EF22374"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04" w:history="1">
            <w:r w:rsidR="005630CE" w:rsidRPr="002741D8">
              <w:rPr>
                <w:rStyle w:val="Hyperlink"/>
                <w:noProof/>
              </w:rPr>
              <w:t>Clinical</w:t>
            </w:r>
            <w:r w:rsidR="005630CE">
              <w:rPr>
                <w:noProof/>
                <w:webHidden/>
              </w:rPr>
              <w:tab/>
            </w:r>
            <w:r w:rsidR="005630CE">
              <w:rPr>
                <w:noProof/>
                <w:webHidden/>
              </w:rPr>
              <w:fldChar w:fldCharType="begin"/>
            </w:r>
            <w:r w:rsidR="005630CE">
              <w:rPr>
                <w:noProof/>
                <w:webHidden/>
              </w:rPr>
              <w:instrText xml:space="preserve"> PAGEREF _Toc143693804 \h </w:instrText>
            </w:r>
            <w:r w:rsidR="005630CE">
              <w:rPr>
                <w:noProof/>
                <w:webHidden/>
              </w:rPr>
            </w:r>
            <w:r w:rsidR="005630CE">
              <w:rPr>
                <w:noProof/>
                <w:webHidden/>
              </w:rPr>
              <w:fldChar w:fldCharType="separate"/>
            </w:r>
            <w:r w:rsidR="005630CE">
              <w:rPr>
                <w:noProof/>
                <w:webHidden/>
              </w:rPr>
              <w:t>12</w:t>
            </w:r>
            <w:r w:rsidR="005630CE">
              <w:rPr>
                <w:noProof/>
                <w:webHidden/>
              </w:rPr>
              <w:fldChar w:fldCharType="end"/>
            </w:r>
          </w:hyperlink>
        </w:p>
        <w:p w14:paraId="790482F2" w14:textId="4E71009B" w:rsidR="005630CE" w:rsidRDefault="00000000">
          <w:pPr>
            <w:pStyle w:val="TOC3"/>
            <w:rPr>
              <w:rFonts w:asciiTheme="minorHAnsi" w:eastAsiaTheme="minorEastAsia" w:hAnsiTheme="minorHAnsi" w:cstheme="minorBidi"/>
              <w:b w:val="0"/>
              <w:noProof/>
              <w:color w:val="auto"/>
              <w:szCs w:val="22"/>
              <w:lang w:eastAsia="en-AU"/>
            </w:rPr>
          </w:pPr>
          <w:hyperlink w:anchor="_Toc143693805" w:history="1">
            <w:r w:rsidR="005630CE" w:rsidRPr="002741D8">
              <w:rPr>
                <w:rStyle w:val="Hyperlink"/>
                <w:noProof/>
              </w:rPr>
              <w:t>Summary of clinical studies</w:t>
            </w:r>
            <w:r w:rsidR="005630CE">
              <w:rPr>
                <w:noProof/>
                <w:webHidden/>
              </w:rPr>
              <w:tab/>
            </w:r>
            <w:r w:rsidR="005630CE">
              <w:rPr>
                <w:noProof/>
                <w:webHidden/>
              </w:rPr>
              <w:fldChar w:fldCharType="begin"/>
            </w:r>
            <w:r w:rsidR="005630CE">
              <w:rPr>
                <w:noProof/>
                <w:webHidden/>
              </w:rPr>
              <w:instrText xml:space="preserve"> PAGEREF _Toc143693805 \h </w:instrText>
            </w:r>
            <w:r w:rsidR="005630CE">
              <w:rPr>
                <w:noProof/>
                <w:webHidden/>
              </w:rPr>
            </w:r>
            <w:r w:rsidR="005630CE">
              <w:rPr>
                <w:noProof/>
                <w:webHidden/>
              </w:rPr>
              <w:fldChar w:fldCharType="separate"/>
            </w:r>
            <w:r w:rsidR="005630CE">
              <w:rPr>
                <w:noProof/>
                <w:webHidden/>
              </w:rPr>
              <w:t>12</w:t>
            </w:r>
            <w:r w:rsidR="005630CE">
              <w:rPr>
                <w:noProof/>
                <w:webHidden/>
              </w:rPr>
              <w:fldChar w:fldCharType="end"/>
            </w:r>
          </w:hyperlink>
        </w:p>
        <w:p w14:paraId="3D2084A3" w14:textId="6B4F311A" w:rsidR="005630CE" w:rsidRDefault="00000000">
          <w:pPr>
            <w:pStyle w:val="TOC3"/>
            <w:rPr>
              <w:rFonts w:asciiTheme="minorHAnsi" w:eastAsiaTheme="minorEastAsia" w:hAnsiTheme="minorHAnsi" w:cstheme="minorBidi"/>
              <w:b w:val="0"/>
              <w:noProof/>
              <w:color w:val="auto"/>
              <w:szCs w:val="22"/>
              <w:lang w:eastAsia="en-AU"/>
            </w:rPr>
          </w:pPr>
          <w:hyperlink w:anchor="_Toc143693806" w:history="1">
            <w:r w:rsidR="005630CE" w:rsidRPr="002741D8">
              <w:rPr>
                <w:rStyle w:val="Hyperlink"/>
                <w:noProof/>
              </w:rPr>
              <w:t>Pharmacology</w:t>
            </w:r>
            <w:r w:rsidR="005630CE">
              <w:rPr>
                <w:noProof/>
                <w:webHidden/>
              </w:rPr>
              <w:tab/>
            </w:r>
            <w:r w:rsidR="005630CE">
              <w:rPr>
                <w:noProof/>
                <w:webHidden/>
              </w:rPr>
              <w:fldChar w:fldCharType="begin"/>
            </w:r>
            <w:r w:rsidR="005630CE">
              <w:rPr>
                <w:noProof/>
                <w:webHidden/>
              </w:rPr>
              <w:instrText xml:space="preserve"> PAGEREF _Toc143693806 \h </w:instrText>
            </w:r>
            <w:r w:rsidR="005630CE">
              <w:rPr>
                <w:noProof/>
                <w:webHidden/>
              </w:rPr>
            </w:r>
            <w:r w:rsidR="005630CE">
              <w:rPr>
                <w:noProof/>
                <w:webHidden/>
              </w:rPr>
              <w:fldChar w:fldCharType="separate"/>
            </w:r>
            <w:r w:rsidR="005630CE">
              <w:rPr>
                <w:noProof/>
                <w:webHidden/>
              </w:rPr>
              <w:t>13</w:t>
            </w:r>
            <w:r w:rsidR="005630CE">
              <w:rPr>
                <w:noProof/>
                <w:webHidden/>
              </w:rPr>
              <w:fldChar w:fldCharType="end"/>
            </w:r>
          </w:hyperlink>
        </w:p>
        <w:p w14:paraId="238D2B79" w14:textId="3C3461D8" w:rsidR="005630CE" w:rsidRDefault="00000000">
          <w:pPr>
            <w:pStyle w:val="TOC3"/>
            <w:rPr>
              <w:rFonts w:asciiTheme="minorHAnsi" w:eastAsiaTheme="minorEastAsia" w:hAnsiTheme="minorHAnsi" w:cstheme="minorBidi"/>
              <w:b w:val="0"/>
              <w:noProof/>
              <w:color w:val="auto"/>
              <w:szCs w:val="22"/>
              <w:lang w:eastAsia="en-AU"/>
            </w:rPr>
          </w:pPr>
          <w:hyperlink w:anchor="_Toc143693807" w:history="1">
            <w:r w:rsidR="005630CE" w:rsidRPr="002741D8">
              <w:rPr>
                <w:rStyle w:val="Hyperlink"/>
                <w:noProof/>
              </w:rPr>
              <w:t>Efficacy</w:t>
            </w:r>
            <w:r w:rsidR="005630CE">
              <w:rPr>
                <w:noProof/>
                <w:webHidden/>
              </w:rPr>
              <w:tab/>
            </w:r>
            <w:r w:rsidR="005630CE">
              <w:rPr>
                <w:noProof/>
                <w:webHidden/>
              </w:rPr>
              <w:fldChar w:fldCharType="begin"/>
            </w:r>
            <w:r w:rsidR="005630CE">
              <w:rPr>
                <w:noProof/>
                <w:webHidden/>
              </w:rPr>
              <w:instrText xml:space="preserve"> PAGEREF _Toc143693807 \h </w:instrText>
            </w:r>
            <w:r w:rsidR="005630CE">
              <w:rPr>
                <w:noProof/>
                <w:webHidden/>
              </w:rPr>
            </w:r>
            <w:r w:rsidR="005630CE">
              <w:rPr>
                <w:noProof/>
                <w:webHidden/>
              </w:rPr>
              <w:fldChar w:fldCharType="separate"/>
            </w:r>
            <w:r w:rsidR="005630CE">
              <w:rPr>
                <w:noProof/>
                <w:webHidden/>
              </w:rPr>
              <w:t>14</w:t>
            </w:r>
            <w:r w:rsidR="005630CE">
              <w:rPr>
                <w:noProof/>
                <w:webHidden/>
              </w:rPr>
              <w:fldChar w:fldCharType="end"/>
            </w:r>
          </w:hyperlink>
        </w:p>
        <w:p w14:paraId="79C974A8" w14:textId="6D08D93C" w:rsidR="005630CE" w:rsidRDefault="00000000">
          <w:pPr>
            <w:pStyle w:val="TOC3"/>
            <w:rPr>
              <w:rFonts w:asciiTheme="minorHAnsi" w:eastAsiaTheme="minorEastAsia" w:hAnsiTheme="minorHAnsi" w:cstheme="minorBidi"/>
              <w:b w:val="0"/>
              <w:noProof/>
              <w:color w:val="auto"/>
              <w:szCs w:val="22"/>
              <w:lang w:eastAsia="en-AU"/>
            </w:rPr>
          </w:pPr>
          <w:hyperlink w:anchor="_Toc143693808" w:history="1">
            <w:r w:rsidR="005630CE" w:rsidRPr="002741D8">
              <w:rPr>
                <w:rStyle w:val="Hyperlink"/>
                <w:noProof/>
              </w:rPr>
              <w:t>Safety</w:t>
            </w:r>
            <w:r w:rsidR="005630CE">
              <w:rPr>
                <w:noProof/>
                <w:webHidden/>
              </w:rPr>
              <w:tab/>
            </w:r>
            <w:r w:rsidR="005630CE">
              <w:rPr>
                <w:noProof/>
                <w:webHidden/>
              </w:rPr>
              <w:fldChar w:fldCharType="begin"/>
            </w:r>
            <w:r w:rsidR="005630CE">
              <w:rPr>
                <w:noProof/>
                <w:webHidden/>
              </w:rPr>
              <w:instrText xml:space="preserve"> PAGEREF _Toc143693808 \h </w:instrText>
            </w:r>
            <w:r w:rsidR="005630CE">
              <w:rPr>
                <w:noProof/>
                <w:webHidden/>
              </w:rPr>
            </w:r>
            <w:r w:rsidR="005630CE">
              <w:rPr>
                <w:noProof/>
                <w:webHidden/>
              </w:rPr>
              <w:fldChar w:fldCharType="separate"/>
            </w:r>
            <w:r w:rsidR="005630CE">
              <w:rPr>
                <w:noProof/>
                <w:webHidden/>
              </w:rPr>
              <w:t>22</w:t>
            </w:r>
            <w:r w:rsidR="005630CE">
              <w:rPr>
                <w:noProof/>
                <w:webHidden/>
              </w:rPr>
              <w:fldChar w:fldCharType="end"/>
            </w:r>
          </w:hyperlink>
        </w:p>
        <w:p w14:paraId="408D379C" w14:textId="3589B2FD" w:rsidR="005630CE" w:rsidRDefault="00000000">
          <w:pPr>
            <w:pStyle w:val="TOC3"/>
            <w:rPr>
              <w:rFonts w:asciiTheme="minorHAnsi" w:eastAsiaTheme="minorEastAsia" w:hAnsiTheme="minorHAnsi" w:cstheme="minorBidi"/>
              <w:b w:val="0"/>
              <w:noProof/>
              <w:color w:val="auto"/>
              <w:szCs w:val="22"/>
              <w:lang w:eastAsia="en-AU"/>
            </w:rPr>
          </w:pPr>
          <w:hyperlink w:anchor="_Toc143693809" w:history="1">
            <w:r w:rsidR="005630CE" w:rsidRPr="002741D8">
              <w:rPr>
                <w:rStyle w:val="Hyperlink"/>
                <w:noProof/>
              </w:rPr>
              <w:t>Recommendation following the clinical evaluation</w:t>
            </w:r>
            <w:r w:rsidR="005630CE">
              <w:rPr>
                <w:noProof/>
                <w:webHidden/>
              </w:rPr>
              <w:tab/>
            </w:r>
            <w:r w:rsidR="005630CE">
              <w:rPr>
                <w:noProof/>
                <w:webHidden/>
              </w:rPr>
              <w:fldChar w:fldCharType="begin"/>
            </w:r>
            <w:r w:rsidR="005630CE">
              <w:rPr>
                <w:noProof/>
                <w:webHidden/>
              </w:rPr>
              <w:instrText xml:space="preserve"> PAGEREF _Toc143693809 \h </w:instrText>
            </w:r>
            <w:r w:rsidR="005630CE">
              <w:rPr>
                <w:noProof/>
                <w:webHidden/>
              </w:rPr>
            </w:r>
            <w:r w:rsidR="005630CE">
              <w:rPr>
                <w:noProof/>
                <w:webHidden/>
              </w:rPr>
              <w:fldChar w:fldCharType="separate"/>
            </w:r>
            <w:r w:rsidR="005630CE">
              <w:rPr>
                <w:noProof/>
                <w:webHidden/>
              </w:rPr>
              <w:t>28</w:t>
            </w:r>
            <w:r w:rsidR="005630CE">
              <w:rPr>
                <w:noProof/>
                <w:webHidden/>
              </w:rPr>
              <w:fldChar w:fldCharType="end"/>
            </w:r>
          </w:hyperlink>
        </w:p>
        <w:p w14:paraId="049B28C7" w14:textId="59FCF3C2"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10" w:history="1">
            <w:r w:rsidR="005630CE" w:rsidRPr="002741D8">
              <w:rPr>
                <w:rStyle w:val="Hyperlink"/>
                <w:noProof/>
                <w:lang w:eastAsia="en-AU"/>
              </w:rPr>
              <w:t>Risk management plan</w:t>
            </w:r>
            <w:r w:rsidR="005630CE">
              <w:rPr>
                <w:noProof/>
                <w:webHidden/>
              </w:rPr>
              <w:tab/>
            </w:r>
            <w:r w:rsidR="005630CE">
              <w:rPr>
                <w:noProof/>
                <w:webHidden/>
              </w:rPr>
              <w:fldChar w:fldCharType="begin"/>
            </w:r>
            <w:r w:rsidR="005630CE">
              <w:rPr>
                <w:noProof/>
                <w:webHidden/>
              </w:rPr>
              <w:instrText xml:space="preserve"> PAGEREF _Toc143693810 \h </w:instrText>
            </w:r>
            <w:r w:rsidR="005630CE">
              <w:rPr>
                <w:noProof/>
                <w:webHidden/>
              </w:rPr>
            </w:r>
            <w:r w:rsidR="005630CE">
              <w:rPr>
                <w:noProof/>
                <w:webHidden/>
              </w:rPr>
              <w:fldChar w:fldCharType="separate"/>
            </w:r>
            <w:r w:rsidR="005630CE">
              <w:rPr>
                <w:noProof/>
                <w:webHidden/>
              </w:rPr>
              <w:t>28</w:t>
            </w:r>
            <w:r w:rsidR="005630CE">
              <w:rPr>
                <w:noProof/>
                <w:webHidden/>
              </w:rPr>
              <w:fldChar w:fldCharType="end"/>
            </w:r>
          </w:hyperlink>
        </w:p>
        <w:p w14:paraId="4F780A3F" w14:textId="2F62FB70" w:rsidR="005630CE" w:rsidRDefault="00000000">
          <w:pPr>
            <w:pStyle w:val="TOC3"/>
            <w:rPr>
              <w:rFonts w:asciiTheme="minorHAnsi" w:eastAsiaTheme="minorEastAsia" w:hAnsiTheme="minorHAnsi" w:cstheme="minorBidi"/>
              <w:b w:val="0"/>
              <w:noProof/>
              <w:color w:val="auto"/>
              <w:szCs w:val="22"/>
              <w:lang w:eastAsia="en-AU"/>
            </w:rPr>
          </w:pPr>
          <w:hyperlink w:anchor="_Toc143693811" w:history="1">
            <w:r w:rsidR="005630CE" w:rsidRPr="002741D8">
              <w:rPr>
                <w:rStyle w:val="Hyperlink"/>
                <w:noProof/>
              </w:rPr>
              <w:t>Proposed wording of condition of registration</w:t>
            </w:r>
            <w:r w:rsidR="005630CE">
              <w:rPr>
                <w:noProof/>
                <w:webHidden/>
              </w:rPr>
              <w:tab/>
            </w:r>
            <w:r w:rsidR="005630CE">
              <w:rPr>
                <w:noProof/>
                <w:webHidden/>
              </w:rPr>
              <w:fldChar w:fldCharType="begin"/>
            </w:r>
            <w:r w:rsidR="005630CE">
              <w:rPr>
                <w:noProof/>
                <w:webHidden/>
              </w:rPr>
              <w:instrText xml:space="preserve"> PAGEREF _Toc143693811 \h </w:instrText>
            </w:r>
            <w:r w:rsidR="005630CE">
              <w:rPr>
                <w:noProof/>
                <w:webHidden/>
              </w:rPr>
            </w:r>
            <w:r w:rsidR="005630CE">
              <w:rPr>
                <w:noProof/>
                <w:webHidden/>
              </w:rPr>
              <w:fldChar w:fldCharType="separate"/>
            </w:r>
            <w:r w:rsidR="005630CE">
              <w:rPr>
                <w:noProof/>
                <w:webHidden/>
              </w:rPr>
              <w:t>29</w:t>
            </w:r>
            <w:r w:rsidR="005630CE">
              <w:rPr>
                <w:noProof/>
                <w:webHidden/>
              </w:rPr>
              <w:fldChar w:fldCharType="end"/>
            </w:r>
          </w:hyperlink>
        </w:p>
        <w:p w14:paraId="4B2DF651" w14:textId="1B80CCFC"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12" w:history="1">
            <w:r w:rsidR="005630CE" w:rsidRPr="002741D8">
              <w:rPr>
                <w:rStyle w:val="Hyperlink"/>
                <w:noProof/>
              </w:rPr>
              <w:t>Risk-benefit analysis</w:t>
            </w:r>
            <w:r w:rsidR="005630CE">
              <w:rPr>
                <w:noProof/>
                <w:webHidden/>
              </w:rPr>
              <w:tab/>
            </w:r>
            <w:r w:rsidR="005630CE">
              <w:rPr>
                <w:noProof/>
                <w:webHidden/>
              </w:rPr>
              <w:fldChar w:fldCharType="begin"/>
            </w:r>
            <w:r w:rsidR="005630CE">
              <w:rPr>
                <w:noProof/>
                <w:webHidden/>
              </w:rPr>
              <w:instrText xml:space="preserve"> PAGEREF _Toc143693812 \h </w:instrText>
            </w:r>
            <w:r w:rsidR="005630CE">
              <w:rPr>
                <w:noProof/>
                <w:webHidden/>
              </w:rPr>
            </w:r>
            <w:r w:rsidR="005630CE">
              <w:rPr>
                <w:noProof/>
                <w:webHidden/>
              </w:rPr>
              <w:fldChar w:fldCharType="separate"/>
            </w:r>
            <w:r w:rsidR="005630CE">
              <w:rPr>
                <w:noProof/>
                <w:webHidden/>
              </w:rPr>
              <w:t>30</w:t>
            </w:r>
            <w:r w:rsidR="005630CE">
              <w:rPr>
                <w:noProof/>
                <w:webHidden/>
              </w:rPr>
              <w:fldChar w:fldCharType="end"/>
            </w:r>
          </w:hyperlink>
        </w:p>
        <w:p w14:paraId="3D4F5CB0" w14:textId="551C94F6" w:rsidR="005630CE" w:rsidRDefault="00000000">
          <w:pPr>
            <w:pStyle w:val="TOC3"/>
            <w:rPr>
              <w:rFonts w:asciiTheme="minorHAnsi" w:eastAsiaTheme="minorEastAsia" w:hAnsiTheme="minorHAnsi" w:cstheme="minorBidi"/>
              <w:b w:val="0"/>
              <w:noProof/>
              <w:color w:val="auto"/>
              <w:szCs w:val="22"/>
              <w:lang w:eastAsia="en-AU"/>
            </w:rPr>
          </w:pPr>
          <w:hyperlink w:anchor="_Toc143693813" w:history="1">
            <w:r w:rsidR="005630CE" w:rsidRPr="002741D8">
              <w:rPr>
                <w:rStyle w:val="Hyperlink"/>
                <w:noProof/>
              </w:rPr>
              <w:t>Delegate’s considerations</w:t>
            </w:r>
            <w:r w:rsidR="005630CE">
              <w:rPr>
                <w:noProof/>
                <w:webHidden/>
              </w:rPr>
              <w:tab/>
            </w:r>
            <w:r w:rsidR="005630CE">
              <w:rPr>
                <w:noProof/>
                <w:webHidden/>
              </w:rPr>
              <w:fldChar w:fldCharType="begin"/>
            </w:r>
            <w:r w:rsidR="005630CE">
              <w:rPr>
                <w:noProof/>
                <w:webHidden/>
              </w:rPr>
              <w:instrText xml:space="preserve"> PAGEREF _Toc143693813 \h </w:instrText>
            </w:r>
            <w:r w:rsidR="005630CE">
              <w:rPr>
                <w:noProof/>
                <w:webHidden/>
              </w:rPr>
            </w:r>
            <w:r w:rsidR="005630CE">
              <w:rPr>
                <w:noProof/>
                <w:webHidden/>
              </w:rPr>
              <w:fldChar w:fldCharType="separate"/>
            </w:r>
            <w:r w:rsidR="005630CE">
              <w:rPr>
                <w:noProof/>
                <w:webHidden/>
              </w:rPr>
              <w:t>30</w:t>
            </w:r>
            <w:r w:rsidR="005630CE">
              <w:rPr>
                <w:noProof/>
                <w:webHidden/>
              </w:rPr>
              <w:fldChar w:fldCharType="end"/>
            </w:r>
          </w:hyperlink>
        </w:p>
        <w:p w14:paraId="28A3AEEB" w14:textId="6DD1C749" w:rsidR="005630CE" w:rsidRDefault="00000000">
          <w:pPr>
            <w:pStyle w:val="TOC3"/>
            <w:rPr>
              <w:rFonts w:asciiTheme="minorHAnsi" w:eastAsiaTheme="minorEastAsia" w:hAnsiTheme="minorHAnsi" w:cstheme="minorBidi"/>
              <w:b w:val="0"/>
              <w:noProof/>
              <w:color w:val="auto"/>
              <w:szCs w:val="22"/>
              <w:lang w:eastAsia="en-AU"/>
            </w:rPr>
          </w:pPr>
          <w:hyperlink w:anchor="_Toc143693814" w:history="1">
            <w:r w:rsidR="005630CE" w:rsidRPr="002741D8">
              <w:rPr>
                <w:rStyle w:val="Hyperlink"/>
                <w:noProof/>
              </w:rPr>
              <w:t>Proposed action</w:t>
            </w:r>
            <w:r w:rsidR="005630CE">
              <w:rPr>
                <w:noProof/>
                <w:webHidden/>
              </w:rPr>
              <w:tab/>
            </w:r>
            <w:r w:rsidR="005630CE">
              <w:rPr>
                <w:noProof/>
                <w:webHidden/>
              </w:rPr>
              <w:fldChar w:fldCharType="begin"/>
            </w:r>
            <w:r w:rsidR="005630CE">
              <w:rPr>
                <w:noProof/>
                <w:webHidden/>
              </w:rPr>
              <w:instrText xml:space="preserve"> PAGEREF _Toc143693814 \h </w:instrText>
            </w:r>
            <w:r w:rsidR="005630CE">
              <w:rPr>
                <w:noProof/>
                <w:webHidden/>
              </w:rPr>
            </w:r>
            <w:r w:rsidR="005630CE">
              <w:rPr>
                <w:noProof/>
                <w:webHidden/>
              </w:rPr>
              <w:fldChar w:fldCharType="separate"/>
            </w:r>
            <w:r w:rsidR="005630CE">
              <w:rPr>
                <w:noProof/>
                <w:webHidden/>
              </w:rPr>
              <w:t>32</w:t>
            </w:r>
            <w:r w:rsidR="005630CE">
              <w:rPr>
                <w:noProof/>
                <w:webHidden/>
              </w:rPr>
              <w:fldChar w:fldCharType="end"/>
            </w:r>
          </w:hyperlink>
        </w:p>
        <w:p w14:paraId="2A7A4530" w14:textId="36683B13" w:rsidR="005630CE" w:rsidRDefault="00000000">
          <w:pPr>
            <w:pStyle w:val="TOC3"/>
            <w:rPr>
              <w:rFonts w:asciiTheme="minorHAnsi" w:eastAsiaTheme="minorEastAsia" w:hAnsiTheme="minorHAnsi" w:cstheme="minorBidi"/>
              <w:b w:val="0"/>
              <w:noProof/>
              <w:color w:val="auto"/>
              <w:szCs w:val="22"/>
              <w:lang w:eastAsia="en-AU"/>
            </w:rPr>
          </w:pPr>
          <w:hyperlink w:anchor="_Toc143693815" w:history="1">
            <w:r w:rsidR="005630CE" w:rsidRPr="002741D8">
              <w:rPr>
                <w:rStyle w:val="Hyperlink"/>
                <w:noProof/>
              </w:rPr>
              <w:t>Advisory Committee considerations</w:t>
            </w:r>
            <w:r w:rsidR="005630CE">
              <w:rPr>
                <w:noProof/>
                <w:webHidden/>
              </w:rPr>
              <w:tab/>
            </w:r>
            <w:r w:rsidR="005630CE">
              <w:rPr>
                <w:noProof/>
                <w:webHidden/>
              </w:rPr>
              <w:fldChar w:fldCharType="begin"/>
            </w:r>
            <w:r w:rsidR="005630CE">
              <w:rPr>
                <w:noProof/>
                <w:webHidden/>
              </w:rPr>
              <w:instrText xml:space="preserve"> PAGEREF _Toc143693815 \h </w:instrText>
            </w:r>
            <w:r w:rsidR="005630CE">
              <w:rPr>
                <w:noProof/>
                <w:webHidden/>
              </w:rPr>
            </w:r>
            <w:r w:rsidR="005630CE">
              <w:rPr>
                <w:noProof/>
                <w:webHidden/>
              </w:rPr>
              <w:fldChar w:fldCharType="separate"/>
            </w:r>
            <w:r w:rsidR="005630CE">
              <w:rPr>
                <w:noProof/>
                <w:webHidden/>
              </w:rPr>
              <w:t>32</w:t>
            </w:r>
            <w:r w:rsidR="005630CE">
              <w:rPr>
                <w:noProof/>
                <w:webHidden/>
              </w:rPr>
              <w:fldChar w:fldCharType="end"/>
            </w:r>
          </w:hyperlink>
        </w:p>
        <w:p w14:paraId="2FBD17C8" w14:textId="498D7E71" w:rsidR="005630CE" w:rsidRDefault="00000000">
          <w:pPr>
            <w:pStyle w:val="TOC1"/>
            <w:rPr>
              <w:rFonts w:asciiTheme="minorHAnsi" w:eastAsiaTheme="minorEastAsia" w:hAnsiTheme="minorHAnsi" w:cstheme="minorBidi"/>
              <w:b w:val="0"/>
              <w:noProof/>
              <w:color w:val="auto"/>
              <w:sz w:val="22"/>
              <w:szCs w:val="22"/>
              <w:lang w:eastAsia="en-AU"/>
            </w:rPr>
          </w:pPr>
          <w:hyperlink w:anchor="_Toc143693816" w:history="1">
            <w:r w:rsidR="005630CE" w:rsidRPr="002741D8">
              <w:rPr>
                <w:rStyle w:val="Hyperlink"/>
                <w:noProof/>
              </w:rPr>
              <w:t>Outcome</w:t>
            </w:r>
            <w:r w:rsidR="005630CE">
              <w:rPr>
                <w:noProof/>
                <w:webHidden/>
              </w:rPr>
              <w:tab/>
            </w:r>
            <w:r w:rsidR="005630CE">
              <w:rPr>
                <w:noProof/>
                <w:webHidden/>
              </w:rPr>
              <w:fldChar w:fldCharType="begin"/>
            </w:r>
            <w:r w:rsidR="005630CE">
              <w:rPr>
                <w:noProof/>
                <w:webHidden/>
              </w:rPr>
              <w:instrText xml:space="preserve"> PAGEREF _Toc143693816 \h </w:instrText>
            </w:r>
            <w:r w:rsidR="005630CE">
              <w:rPr>
                <w:noProof/>
                <w:webHidden/>
              </w:rPr>
            </w:r>
            <w:r w:rsidR="005630CE">
              <w:rPr>
                <w:noProof/>
                <w:webHidden/>
              </w:rPr>
              <w:fldChar w:fldCharType="separate"/>
            </w:r>
            <w:r w:rsidR="005630CE">
              <w:rPr>
                <w:noProof/>
                <w:webHidden/>
              </w:rPr>
              <w:t>33</w:t>
            </w:r>
            <w:r w:rsidR="005630CE">
              <w:rPr>
                <w:noProof/>
                <w:webHidden/>
              </w:rPr>
              <w:fldChar w:fldCharType="end"/>
            </w:r>
          </w:hyperlink>
        </w:p>
        <w:p w14:paraId="0446293A" w14:textId="63E0698D" w:rsidR="005630CE" w:rsidRDefault="00000000">
          <w:pPr>
            <w:pStyle w:val="TOC2"/>
            <w:rPr>
              <w:rFonts w:asciiTheme="minorHAnsi" w:eastAsiaTheme="minorEastAsia" w:hAnsiTheme="minorHAnsi" w:cstheme="minorBidi"/>
              <w:b w:val="0"/>
              <w:noProof/>
              <w:color w:val="auto"/>
              <w:sz w:val="22"/>
              <w:szCs w:val="22"/>
              <w:lang w:eastAsia="en-AU"/>
            </w:rPr>
          </w:pPr>
          <w:hyperlink w:anchor="_Toc143693817" w:history="1">
            <w:r w:rsidR="005630CE" w:rsidRPr="002741D8">
              <w:rPr>
                <w:rStyle w:val="Hyperlink"/>
                <w:noProof/>
              </w:rPr>
              <w:t>Specific conditions of registration applying to these goods</w:t>
            </w:r>
            <w:r w:rsidR="005630CE">
              <w:rPr>
                <w:noProof/>
                <w:webHidden/>
              </w:rPr>
              <w:tab/>
            </w:r>
            <w:r w:rsidR="005630CE">
              <w:rPr>
                <w:noProof/>
                <w:webHidden/>
              </w:rPr>
              <w:fldChar w:fldCharType="begin"/>
            </w:r>
            <w:r w:rsidR="005630CE">
              <w:rPr>
                <w:noProof/>
                <w:webHidden/>
              </w:rPr>
              <w:instrText xml:space="preserve"> PAGEREF _Toc143693817 \h </w:instrText>
            </w:r>
            <w:r w:rsidR="005630CE">
              <w:rPr>
                <w:noProof/>
                <w:webHidden/>
              </w:rPr>
            </w:r>
            <w:r w:rsidR="005630CE">
              <w:rPr>
                <w:noProof/>
                <w:webHidden/>
              </w:rPr>
              <w:fldChar w:fldCharType="separate"/>
            </w:r>
            <w:r w:rsidR="005630CE">
              <w:rPr>
                <w:noProof/>
                <w:webHidden/>
              </w:rPr>
              <w:t>33</w:t>
            </w:r>
            <w:r w:rsidR="005630CE">
              <w:rPr>
                <w:noProof/>
                <w:webHidden/>
              </w:rPr>
              <w:fldChar w:fldCharType="end"/>
            </w:r>
          </w:hyperlink>
        </w:p>
        <w:p w14:paraId="12A85A2F" w14:textId="6A76B8E3" w:rsidR="005630CE" w:rsidRDefault="00000000">
          <w:pPr>
            <w:pStyle w:val="TOC1"/>
            <w:rPr>
              <w:rFonts w:asciiTheme="minorHAnsi" w:eastAsiaTheme="minorEastAsia" w:hAnsiTheme="minorHAnsi" w:cstheme="minorBidi"/>
              <w:b w:val="0"/>
              <w:noProof/>
              <w:color w:val="auto"/>
              <w:sz w:val="22"/>
              <w:szCs w:val="22"/>
              <w:lang w:eastAsia="en-AU"/>
            </w:rPr>
          </w:pPr>
          <w:hyperlink w:anchor="_Toc143693818" w:history="1">
            <w:r w:rsidR="005630CE" w:rsidRPr="002741D8">
              <w:rPr>
                <w:rStyle w:val="Hyperlink"/>
                <w:noProof/>
              </w:rPr>
              <w:t>Attachment 1. Product Information</w:t>
            </w:r>
            <w:r w:rsidR="005630CE">
              <w:rPr>
                <w:noProof/>
                <w:webHidden/>
              </w:rPr>
              <w:tab/>
            </w:r>
            <w:r w:rsidR="005630CE">
              <w:rPr>
                <w:noProof/>
                <w:webHidden/>
              </w:rPr>
              <w:fldChar w:fldCharType="begin"/>
            </w:r>
            <w:r w:rsidR="005630CE">
              <w:rPr>
                <w:noProof/>
                <w:webHidden/>
              </w:rPr>
              <w:instrText xml:space="preserve"> PAGEREF _Toc143693818 \h </w:instrText>
            </w:r>
            <w:r w:rsidR="005630CE">
              <w:rPr>
                <w:noProof/>
                <w:webHidden/>
              </w:rPr>
            </w:r>
            <w:r w:rsidR="005630CE">
              <w:rPr>
                <w:noProof/>
                <w:webHidden/>
              </w:rPr>
              <w:fldChar w:fldCharType="separate"/>
            </w:r>
            <w:r w:rsidR="005630CE">
              <w:rPr>
                <w:noProof/>
                <w:webHidden/>
              </w:rPr>
              <w:t>33</w:t>
            </w:r>
            <w:r w:rsidR="005630CE">
              <w:rPr>
                <w:noProof/>
                <w:webHidden/>
              </w:rPr>
              <w:fldChar w:fldCharType="end"/>
            </w:r>
          </w:hyperlink>
        </w:p>
        <w:p w14:paraId="77659F2D" w14:textId="5F9874D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3693792"/>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510D7B" w:rsidRPr="00D01DDB" w14:paraId="716776EC" w14:textId="77777777" w:rsidTr="004116D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5F8C619" w14:textId="77777777" w:rsidR="00510D7B" w:rsidRPr="00D01DDB" w:rsidRDefault="00510D7B" w:rsidP="004116D0">
            <w:pPr>
              <w:rPr>
                <w:szCs w:val="22"/>
              </w:rPr>
            </w:pPr>
            <w:r w:rsidRPr="00D01DDB">
              <w:rPr>
                <w:szCs w:val="22"/>
              </w:rPr>
              <w:t>Abbreviation</w:t>
            </w:r>
          </w:p>
        </w:tc>
        <w:tc>
          <w:tcPr>
            <w:tcW w:w="3800" w:type="pct"/>
          </w:tcPr>
          <w:p w14:paraId="63D4AFC1" w14:textId="77777777" w:rsidR="00510D7B" w:rsidRPr="00D01DDB" w:rsidRDefault="00510D7B" w:rsidP="004116D0">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510D7B" w:rsidRPr="00D01DDB" w14:paraId="330FA937"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4A2695" w14:textId="77777777" w:rsidR="00510D7B" w:rsidRPr="00D01DDB" w:rsidRDefault="00510D7B" w:rsidP="004116D0">
            <w:pPr>
              <w:rPr>
                <w:szCs w:val="22"/>
              </w:rPr>
            </w:pPr>
            <w:r w:rsidRPr="00D01DDB">
              <w:rPr>
                <w:szCs w:val="22"/>
              </w:rPr>
              <w:t>ACM</w:t>
            </w:r>
          </w:p>
        </w:tc>
        <w:tc>
          <w:tcPr>
            <w:tcW w:w="3800" w:type="pct"/>
          </w:tcPr>
          <w:p w14:paraId="1CB6FCDF"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510D7B" w:rsidRPr="00D01DDB" w14:paraId="3BA2E498"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DB7147" w14:textId="77777777" w:rsidR="00510D7B" w:rsidRPr="00D01DDB" w:rsidRDefault="00510D7B" w:rsidP="004116D0">
            <w:pPr>
              <w:rPr>
                <w:szCs w:val="22"/>
              </w:rPr>
            </w:pPr>
            <w:r>
              <w:rPr>
                <w:szCs w:val="22"/>
              </w:rPr>
              <w:t>AE</w:t>
            </w:r>
          </w:p>
        </w:tc>
        <w:tc>
          <w:tcPr>
            <w:tcW w:w="3800" w:type="pct"/>
          </w:tcPr>
          <w:p w14:paraId="4F95A9E0"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510D7B" w:rsidRPr="00D01DDB" w14:paraId="65707BE6"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287C79" w14:textId="77777777" w:rsidR="00510D7B" w:rsidRPr="00D01DDB" w:rsidRDefault="00510D7B" w:rsidP="004116D0">
            <w:pPr>
              <w:rPr>
                <w:szCs w:val="22"/>
              </w:rPr>
            </w:pPr>
            <w:r>
              <w:rPr>
                <w:szCs w:val="22"/>
              </w:rPr>
              <w:t>AESI</w:t>
            </w:r>
          </w:p>
        </w:tc>
        <w:tc>
          <w:tcPr>
            <w:tcW w:w="3800" w:type="pct"/>
          </w:tcPr>
          <w:p w14:paraId="733C2551"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t>Adverse event</w:t>
            </w:r>
            <w:r w:rsidRPr="00082B90">
              <w:t xml:space="preserve"> of special interest</w:t>
            </w:r>
          </w:p>
        </w:tc>
      </w:tr>
      <w:tr w:rsidR="00510D7B" w:rsidRPr="00D01DDB" w14:paraId="0017F1BA"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4E20EA" w14:textId="77777777" w:rsidR="00510D7B" w:rsidRPr="00D01DDB" w:rsidRDefault="00510D7B" w:rsidP="004116D0">
            <w:pPr>
              <w:rPr>
                <w:szCs w:val="22"/>
              </w:rPr>
            </w:pPr>
            <w:r w:rsidRPr="00D01DDB">
              <w:rPr>
                <w:szCs w:val="22"/>
              </w:rPr>
              <w:t>ARTG</w:t>
            </w:r>
          </w:p>
        </w:tc>
        <w:tc>
          <w:tcPr>
            <w:tcW w:w="3800" w:type="pct"/>
          </w:tcPr>
          <w:p w14:paraId="7B517C3C"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510D7B" w:rsidRPr="00D01DDB" w14:paraId="1E26636F"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A11DA6" w14:textId="77777777" w:rsidR="00510D7B" w:rsidRPr="00D01DDB" w:rsidRDefault="00510D7B" w:rsidP="004116D0">
            <w:pPr>
              <w:rPr>
                <w:szCs w:val="22"/>
              </w:rPr>
            </w:pPr>
            <w:r w:rsidRPr="00D01DDB">
              <w:rPr>
                <w:szCs w:val="22"/>
              </w:rPr>
              <w:t>ASA</w:t>
            </w:r>
          </w:p>
        </w:tc>
        <w:tc>
          <w:tcPr>
            <w:tcW w:w="3800" w:type="pct"/>
          </w:tcPr>
          <w:p w14:paraId="0CFB422D"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510D7B" w:rsidRPr="00D01DDB" w14:paraId="42B01803"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C15DCF" w14:textId="77777777" w:rsidR="00510D7B" w:rsidRPr="00D01DDB" w:rsidRDefault="00510D7B" w:rsidP="004116D0">
            <w:pPr>
              <w:rPr>
                <w:szCs w:val="22"/>
              </w:rPr>
            </w:pPr>
            <w:r w:rsidRPr="00D01DDB">
              <w:rPr>
                <w:szCs w:val="22"/>
              </w:rPr>
              <w:t>CMI</w:t>
            </w:r>
          </w:p>
        </w:tc>
        <w:tc>
          <w:tcPr>
            <w:tcW w:w="3800" w:type="pct"/>
          </w:tcPr>
          <w:p w14:paraId="3238A8CA"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510D7B" w:rsidRPr="00D01DDB" w14:paraId="24B9EEB4"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9601A1" w14:textId="77777777" w:rsidR="00510D7B" w:rsidRPr="00D01DDB" w:rsidRDefault="00510D7B" w:rsidP="004116D0">
            <w:pPr>
              <w:rPr>
                <w:szCs w:val="22"/>
              </w:rPr>
            </w:pPr>
            <w:r w:rsidRPr="00D01DDB">
              <w:rPr>
                <w:szCs w:val="22"/>
              </w:rPr>
              <w:t>DLP</w:t>
            </w:r>
          </w:p>
        </w:tc>
        <w:tc>
          <w:tcPr>
            <w:tcW w:w="3800" w:type="pct"/>
          </w:tcPr>
          <w:p w14:paraId="2DC975D3"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510D7B" w:rsidRPr="00D01DDB" w14:paraId="08A66DDE"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73B12" w14:textId="77777777" w:rsidR="00510D7B" w:rsidRPr="00D01DDB" w:rsidRDefault="00510D7B" w:rsidP="004116D0">
            <w:pPr>
              <w:rPr>
                <w:szCs w:val="22"/>
              </w:rPr>
            </w:pPr>
            <w:r>
              <w:rPr>
                <w:szCs w:val="22"/>
              </w:rPr>
              <w:t>EMA</w:t>
            </w:r>
          </w:p>
        </w:tc>
        <w:tc>
          <w:tcPr>
            <w:tcW w:w="3800" w:type="pct"/>
          </w:tcPr>
          <w:p w14:paraId="0C71E68D"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F76DEA">
              <w:t>European Medicines Agency</w:t>
            </w:r>
          </w:p>
        </w:tc>
      </w:tr>
      <w:tr w:rsidR="00510D7B" w:rsidRPr="00D01DDB" w14:paraId="277CAF76"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D18B6D" w14:textId="77777777" w:rsidR="00510D7B" w:rsidRPr="00D01DDB" w:rsidRDefault="00510D7B" w:rsidP="004116D0">
            <w:pPr>
              <w:rPr>
                <w:szCs w:val="22"/>
              </w:rPr>
            </w:pPr>
            <w:r>
              <w:rPr>
                <w:szCs w:val="22"/>
              </w:rPr>
              <w:t>EU</w:t>
            </w:r>
          </w:p>
        </w:tc>
        <w:tc>
          <w:tcPr>
            <w:tcW w:w="3800" w:type="pct"/>
          </w:tcPr>
          <w:p w14:paraId="48DED420"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510D7B" w:rsidRPr="00D01DDB" w14:paraId="294BA16D"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EFB73E" w14:textId="77777777" w:rsidR="00510D7B" w:rsidRPr="00D01DDB" w:rsidRDefault="00510D7B" w:rsidP="004116D0">
            <w:pPr>
              <w:rPr>
                <w:szCs w:val="22"/>
              </w:rPr>
            </w:pPr>
            <w:r>
              <w:rPr>
                <w:szCs w:val="22"/>
              </w:rPr>
              <w:t>FDA</w:t>
            </w:r>
          </w:p>
        </w:tc>
        <w:tc>
          <w:tcPr>
            <w:tcW w:w="3800" w:type="pct"/>
          </w:tcPr>
          <w:p w14:paraId="6C558E93"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37245D">
              <w:rPr>
                <w:szCs w:val="22"/>
              </w:rPr>
              <w:t>Food and Drug Administration</w:t>
            </w:r>
            <w:r>
              <w:rPr>
                <w:szCs w:val="22"/>
              </w:rPr>
              <w:t xml:space="preserve"> (United States)</w:t>
            </w:r>
          </w:p>
        </w:tc>
      </w:tr>
      <w:tr w:rsidR="00510D7B" w:rsidRPr="00D01DDB" w14:paraId="674A35BF"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7CAE89" w14:textId="77777777" w:rsidR="00510D7B" w:rsidRPr="00D01DDB" w:rsidRDefault="00510D7B" w:rsidP="004116D0">
            <w:pPr>
              <w:rPr>
                <w:szCs w:val="22"/>
              </w:rPr>
            </w:pPr>
            <w:r>
              <w:rPr>
                <w:szCs w:val="22"/>
              </w:rPr>
              <w:t>GAIS</w:t>
            </w:r>
          </w:p>
        </w:tc>
        <w:tc>
          <w:tcPr>
            <w:tcW w:w="3800" w:type="pct"/>
          </w:tcPr>
          <w:p w14:paraId="2B4092BD"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t>Global aesthetic improvement scale</w:t>
            </w:r>
          </w:p>
        </w:tc>
      </w:tr>
      <w:tr w:rsidR="00510D7B" w:rsidRPr="00D01DDB" w14:paraId="1FB92A13"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FCDF78" w14:textId="77777777" w:rsidR="00510D7B" w:rsidRPr="00D01DDB" w:rsidRDefault="00510D7B" w:rsidP="004116D0">
            <w:pPr>
              <w:rPr>
                <w:szCs w:val="22"/>
              </w:rPr>
            </w:pPr>
            <w:r>
              <w:rPr>
                <w:szCs w:val="22"/>
              </w:rPr>
              <w:t>GLP</w:t>
            </w:r>
          </w:p>
        </w:tc>
        <w:tc>
          <w:tcPr>
            <w:tcW w:w="3800" w:type="pct"/>
          </w:tcPr>
          <w:p w14:paraId="1415B478"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t>Good Laboratory Practice</w:t>
            </w:r>
          </w:p>
        </w:tc>
      </w:tr>
      <w:tr w:rsidR="00510D7B" w:rsidRPr="00D01DDB" w14:paraId="100AD934"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8FE383" w14:textId="77777777" w:rsidR="00510D7B" w:rsidRPr="00D01DDB" w:rsidRDefault="00510D7B" w:rsidP="004116D0">
            <w:pPr>
              <w:rPr>
                <w:szCs w:val="22"/>
              </w:rPr>
            </w:pPr>
            <w:r>
              <w:rPr>
                <w:szCs w:val="22"/>
              </w:rPr>
              <w:t>GLS</w:t>
            </w:r>
          </w:p>
        </w:tc>
        <w:tc>
          <w:tcPr>
            <w:tcW w:w="3800" w:type="pct"/>
          </w:tcPr>
          <w:p w14:paraId="3417CC71"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t>Glabellar line score</w:t>
            </w:r>
          </w:p>
        </w:tc>
      </w:tr>
      <w:tr w:rsidR="00510D7B" w:rsidRPr="00D01DDB" w14:paraId="7EA0F46B"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3B64AE" w14:textId="77777777" w:rsidR="00510D7B" w:rsidRPr="00D01DDB" w:rsidRDefault="00510D7B" w:rsidP="004116D0">
            <w:pPr>
              <w:rPr>
                <w:szCs w:val="22"/>
              </w:rPr>
            </w:pPr>
            <w:r>
              <w:rPr>
                <w:szCs w:val="22"/>
              </w:rPr>
              <w:t>HADS</w:t>
            </w:r>
          </w:p>
        </w:tc>
        <w:tc>
          <w:tcPr>
            <w:tcW w:w="3800" w:type="pct"/>
          </w:tcPr>
          <w:p w14:paraId="009210F3"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F76DEA">
              <w:t xml:space="preserve">Hospital </w:t>
            </w:r>
            <w:r>
              <w:t>a</w:t>
            </w:r>
            <w:r w:rsidRPr="00F76DEA">
              <w:t xml:space="preserve">nxiety and </w:t>
            </w:r>
            <w:r>
              <w:t>d</w:t>
            </w:r>
            <w:r w:rsidRPr="00F76DEA">
              <w:t xml:space="preserve">epression </w:t>
            </w:r>
            <w:r>
              <w:t>scale</w:t>
            </w:r>
          </w:p>
        </w:tc>
      </w:tr>
      <w:tr w:rsidR="00510D7B" w:rsidRPr="00D01DDB" w14:paraId="32691672"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CDAB46" w14:textId="77777777" w:rsidR="00510D7B" w:rsidRPr="00D01DDB" w:rsidRDefault="00510D7B" w:rsidP="004116D0">
            <w:pPr>
              <w:rPr>
                <w:szCs w:val="22"/>
              </w:rPr>
            </w:pPr>
            <w:r>
              <w:rPr>
                <w:szCs w:val="22"/>
              </w:rPr>
              <w:t>ICH</w:t>
            </w:r>
          </w:p>
        </w:tc>
        <w:tc>
          <w:tcPr>
            <w:tcW w:w="3800" w:type="pct"/>
          </w:tcPr>
          <w:p w14:paraId="1030924C"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743BE">
              <w:t>International Conference on Harmonisation</w:t>
            </w:r>
          </w:p>
        </w:tc>
      </w:tr>
      <w:tr w:rsidR="00510D7B" w:rsidRPr="00D01DDB" w14:paraId="6CE1943C"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EED08" w14:textId="77777777" w:rsidR="00510D7B" w:rsidRPr="00D01DDB" w:rsidRDefault="00510D7B" w:rsidP="004116D0">
            <w:pPr>
              <w:rPr>
                <w:szCs w:val="22"/>
              </w:rPr>
            </w:pPr>
            <w:r>
              <w:rPr>
                <w:szCs w:val="22"/>
              </w:rPr>
              <w:t>ITT</w:t>
            </w:r>
          </w:p>
        </w:tc>
        <w:tc>
          <w:tcPr>
            <w:tcW w:w="3800" w:type="pct"/>
          </w:tcPr>
          <w:p w14:paraId="7A2808AB"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Intent to treat</w:t>
            </w:r>
          </w:p>
        </w:tc>
      </w:tr>
      <w:tr w:rsidR="00510D7B" w:rsidRPr="00D01DDB" w14:paraId="5274411D"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00B56A" w14:textId="77777777" w:rsidR="00510D7B" w:rsidRPr="00D01DDB" w:rsidRDefault="00510D7B" w:rsidP="004116D0">
            <w:pPr>
              <w:rPr>
                <w:szCs w:val="22"/>
              </w:rPr>
            </w:pPr>
            <w:proofErr w:type="spellStart"/>
            <w:r>
              <w:rPr>
                <w:szCs w:val="22"/>
              </w:rPr>
              <w:t>mITT</w:t>
            </w:r>
            <w:proofErr w:type="spellEnd"/>
          </w:p>
        </w:tc>
        <w:tc>
          <w:tcPr>
            <w:tcW w:w="3800" w:type="pct"/>
          </w:tcPr>
          <w:p w14:paraId="273C617A"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Modified intent to treat</w:t>
            </w:r>
          </w:p>
        </w:tc>
      </w:tr>
      <w:tr w:rsidR="00510D7B" w:rsidRPr="00D01DDB" w14:paraId="0D0C7E18"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F2CD6D" w14:textId="77777777" w:rsidR="00510D7B" w:rsidRPr="00D01DDB" w:rsidRDefault="00510D7B" w:rsidP="004116D0">
            <w:pPr>
              <w:rPr>
                <w:szCs w:val="22"/>
              </w:rPr>
            </w:pPr>
            <w:r w:rsidRPr="00D01DDB">
              <w:rPr>
                <w:szCs w:val="22"/>
              </w:rPr>
              <w:t>PI</w:t>
            </w:r>
          </w:p>
        </w:tc>
        <w:tc>
          <w:tcPr>
            <w:tcW w:w="3800" w:type="pct"/>
          </w:tcPr>
          <w:p w14:paraId="0DBFAAEA"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510D7B" w:rsidRPr="00D01DDB" w14:paraId="174DA551"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4E2334" w14:textId="77777777" w:rsidR="00510D7B" w:rsidRPr="00D01DDB" w:rsidRDefault="00510D7B" w:rsidP="004116D0">
            <w:pPr>
              <w:rPr>
                <w:szCs w:val="22"/>
              </w:rPr>
            </w:pPr>
            <w:r>
              <w:rPr>
                <w:szCs w:val="22"/>
              </w:rPr>
              <w:t>PP</w:t>
            </w:r>
          </w:p>
        </w:tc>
        <w:tc>
          <w:tcPr>
            <w:tcW w:w="3800" w:type="pct"/>
          </w:tcPr>
          <w:p w14:paraId="57A95C7A"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Per protocol</w:t>
            </w:r>
          </w:p>
        </w:tc>
      </w:tr>
      <w:tr w:rsidR="00510D7B" w:rsidRPr="00D01DDB" w14:paraId="74A8D90E"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CBC49B" w14:textId="77777777" w:rsidR="00510D7B" w:rsidRPr="00D01DDB" w:rsidRDefault="00510D7B" w:rsidP="004116D0">
            <w:pPr>
              <w:rPr>
                <w:szCs w:val="22"/>
              </w:rPr>
            </w:pPr>
            <w:r w:rsidRPr="00D01DDB">
              <w:rPr>
                <w:szCs w:val="22"/>
              </w:rPr>
              <w:t>PSUR</w:t>
            </w:r>
          </w:p>
        </w:tc>
        <w:tc>
          <w:tcPr>
            <w:tcW w:w="3800" w:type="pct"/>
          </w:tcPr>
          <w:p w14:paraId="5C424047"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10D7B" w:rsidRPr="00D01DDB" w14:paraId="0D4029FB"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9BD232" w14:textId="77777777" w:rsidR="00510D7B" w:rsidRPr="00D01DDB" w:rsidRDefault="00510D7B" w:rsidP="004116D0">
            <w:pPr>
              <w:rPr>
                <w:szCs w:val="22"/>
              </w:rPr>
            </w:pPr>
            <w:r w:rsidRPr="00D01DDB">
              <w:rPr>
                <w:szCs w:val="22"/>
              </w:rPr>
              <w:t>RMP</w:t>
            </w:r>
          </w:p>
        </w:tc>
        <w:tc>
          <w:tcPr>
            <w:tcW w:w="3800" w:type="pct"/>
          </w:tcPr>
          <w:p w14:paraId="50DB6F0D"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10D7B" w:rsidRPr="00D01DDB" w14:paraId="3F35E599"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973701" w14:textId="77777777" w:rsidR="00510D7B" w:rsidRPr="00D01DDB" w:rsidRDefault="00510D7B" w:rsidP="004116D0">
            <w:pPr>
              <w:rPr>
                <w:szCs w:val="22"/>
              </w:rPr>
            </w:pPr>
            <w:r>
              <w:rPr>
                <w:szCs w:val="22"/>
              </w:rPr>
              <w:t>SAE</w:t>
            </w:r>
          </w:p>
        </w:tc>
        <w:tc>
          <w:tcPr>
            <w:tcW w:w="3800" w:type="pct"/>
          </w:tcPr>
          <w:p w14:paraId="512623BD"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510D7B" w:rsidRPr="00D01DDB" w14:paraId="0ACF72C8"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B5F38E" w14:textId="77777777" w:rsidR="00510D7B" w:rsidRPr="00D01DDB" w:rsidRDefault="00510D7B" w:rsidP="004116D0">
            <w:pPr>
              <w:rPr>
                <w:szCs w:val="22"/>
              </w:rPr>
            </w:pPr>
            <w:r>
              <w:rPr>
                <w:szCs w:val="22"/>
              </w:rPr>
              <w:t>SSS</w:t>
            </w:r>
          </w:p>
        </w:tc>
        <w:tc>
          <w:tcPr>
            <w:tcW w:w="3800" w:type="pct"/>
          </w:tcPr>
          <w:p w14:paraId="0C4D4151"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t>Subject satisfaction scale</w:t>
            </w:r>
          </w:p>
        </w:tc>
      </w:tr>
      <w:tr w:rsidR="00510D7B" w:rsidRPr="00D01DDB" w14:paraId="48B34412"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731887" w14:textId="77777777" w:rsidR="00510D7B" w:rsidRPr="00D01DDB" w:rsidRDefault="00510D7B" w:rsidP="004116D0">
            <w:pPr>
              <w:rPr>
                <w:szCs w:val="22"/>
              </w:rPr>
            </w:pPr>
            <w:r w:rsidRPr="00D01DDB">
              <w:rPr>
                <w:szCs w:val="22"/>
              </w:rPr>
              <w:t>TGA</w:t>
            </w:r>
          </w:p>
        </w:tc>
        <w:tc>
          <w:tcPr>
            <w:tcW w:w="3800" w:type="pct"/>
          </w:tcPr>
          <w:p w14:paraId="0180E3E4"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10D7B" w:rsidRPr="00D01DDB" w14:paraId="5EC493B3"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4740C2" w14:textId="77777777" w:rsidR="00510D7B" w:rsidRPr="00D01DDB" w:rsidRDefault="00510D7B" w:rsidP="004116D0">
            <w:pPr>
              <w:rPr>
                <w:szCs w:val="22"/>
              </w:rPr>
            </w:pPr>
            <w:r>
              <w:rPr>
                <w:szCs w:val="22"/>
              </w:rPr>
              <w:t>U</w:t>
            </w:r>
          </w:p>
        </w:tc>
        <w:tc>
          <w:tcPr>
            <w:tcW w:w="3800" w:type="pct"/>
          </w:tcPr>
          <w:p w14:paraId="688C05BA"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Unit</w:t>
            </w:r>
          </w:p>
        </w:tc>
      </w:tr>
      <w:tr w:rsidR="00510D7B" w:rsidRPr="00D01DDB" w14:paraId="55A7D0CB"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631FC8" w14:textId="77777777" w:rsidR="00510D7B" w:rsidRPr="00D01DDB" w:rsidRDefault="00510D7B" w:rsidP="004116D0">
            <w:pPr>
              <w:rPr>
                <w:szCs w:val="22"/>
              </w:rPr>
            </w:pPr>
            <w:r>
              <w:rPr>
                <w:szCs w:val="22"/>
              </w:rPr>
              <w:t>UK</w:t>
            </w:r>
          </w:p>
        </w:tc>
        <w:tc>
          <w:tcPr>
            <w:tcW w:w="3800" w:type="pct"/>
          </w:tcPr>
          <w:p w14:paraId="13C708C3"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United Kingdom</w:t>
            </w:r>
          </w:p>
        </w:tc>
      </w:tr>
      <w:tr w:rsidR="00510D7B" w:rsidRPr="00D01DDB" w14:paraId="5013EFA7" w14:textId="77777777" w:rsidTr="004116D0">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01DF2E" w14:textId="77777777" w:rsidR="00510D7B" w:rsidRPr="00D01DDB" w:rsidRDefault="00510D7B" w:rsidP="004116D0">
            <w:pPr>
              <w:rPr>
                <w:szCs w:val="22"/>
              </w:rPr>
            </w:pPr>
            <w:r>
              <w:rPr>
                <w:szCs w:val="22"/>
              </w:rPr>
              <w:t>US(A)</w:t>
            </w:r>
          </w:p>
        </w:tc>
        <w:tc>
          <w:tcPr>
            <w:tcW w:w="3800" w:type="pct"/>
          </w:tcPr>
          <w:p w14:paraId="3CDB9C9C" w14:textId="77777777" w:rsidR="00510D7B" w:rsidRPr="00D01DDB" w:rsidRDefault="00510D7B" w:rsidP="004116D0">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3693793"/>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3693794"/>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15C69B2E" w:rsidR="00324B33" w:rsidRPr="00BD5DBD" w:rsidRDefault="00324B33" w:rsidP="007452E8">
            <w:pPr>
              <w:rPr>
                <w:szCs w:val="22"/>
              </w:rPr>
            </w:pPr>
            <w:r w:rsidRPr="00BD5DBD">
              <w:rPr>
                <w:szCs w:val="22"/>
              </w:rPr>
              <w:t xml:space="preserve">New </w:t>
            </w:r>
            <w:r w:rsidR="00A35E5A">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08364B0F" w:rsidR="00324B33" w:rsidRPr="00BD5DBD" w:rsidRDefault="00324B33" w:rsidP="007452E8">
            <w:pPr>
              <w:rPr>
                <w:i/>
                <w:szCs w:val="22"/>
              </w:rPr>
            </w:pPr>
            <w:r w:rsidRPr="00BD5DBD">
              <w:rPr>
                <w:i/>
                <w:szCs w:val="22"/>
              </w:rPr>
              <w:t>Product name:</w:t>
            </w:r>
          </w:p>
        </w:tc>
        <w:tc>
          <w:tcPr>
            <w:tcW w:w="3423" w:type="pct"/>
          </w:tcPr>
          <w:p w14:paraId="0E2DEF76" w14:textId="54DFC6E3" w:rsidR="00324B33" w:rsidRPr="00BD5DBD" w:rsidRDefault="00AD20CD" w:rsidP="007452E8">
            <w:pPr>
              <w:rPr>
                <w:szCs w:val="22"/>
              </w:rPr>
            </w:pPr>
            <w:r>
              <w:rPr>
                <w:szCs w:val="22"/>
              </w:rPr>
              <w:t>Nuceiva</w:t>
            </w:r>
          </w:p>
        </w:tc>
      </w:tr>
      <w:tr w:rsidR="00324B33" w:rsidRPr="00BD5DBD" w14:paraId="01255B5B" w14:textId="77777777" w:rsidTr="00F865A7">
        <w:tc>
          <w:tcPr>
            <w:tcW w:w="1577" w:type="pct"/>
          </w:tcPr>
          <w:p w14:paraId="52B4F3D7" w14:textId="15EEFCFB" w:rsidR="00324B33" w:rsidRPr="00BD5DBD" w:rsidRDefault="00324B33" w:rsidP="007452E8">
            <w:pPr>
              <w:rPr>
                <w:i/>
                <w:szCs w:val="22"/>
              </w:rPr>
            </w:pPr>
            <w:r w:rsidRPr="00BD5DBD">
              <w:rPr>
                <w:i/>
                <w:szCs w:val="22"/>
              </w:rPr>
              <w:t>Active ingredient:</w:t>
            </w:r>
          </w:p>
        </w:tc>
        <w:tc>
          <w:tcPr>
            <w:tcW w:w="3423" w:type="pct"/>
          </w:tcPr>
          <w:p w14:paraId="02FB6383" w14:textId="7152BC29" w:rsidR="00324B33" w:rsidRPr="00BD5DBD" w:rsidRDefault="000069F4" w:rsidP="007452E8">
            <w:pPr>
              <w:rPr>
                <w:szCs w:val="22"/>
              </w:rPr>
            </w:pPr>
            <w:r>
              <w:t>PrabotulinumtoxinA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9B486C9"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081BB03B" w:rsidR="00AE1947" w:rsidRPr="00174A80" w:rsidRDefault="00AE1947" w:rsidP="00174A80">
            <w:pPr>
              <w:rPr>
                <w:i/>
                <w:szCs w:val="22"/>
              </w:rPr>
            </w:pPr>
            <w:r w:rsidRPr="00BD5DBD">
              <w:rPr>
                <w:i/>
                <w:szCs w:val="22"/>
              </w:rPr>
              <w:t>Date of decision:</w:t>
            </w:r>
          </w:p>
        </w:tc>
        <w:tc>
          <w:tcPr>
            <w:tcW w:w="3423" w:type="pct"/>
          </w:tcPr>
          <w:p w14:paraId="7B381CD6" w14:textId="282A7AA3" w:rsidR="00AE1947" w:rsidRPr="00BD5DBD" w:rsidRDefault="00174A80" w:rsidP="00602658">
            <w:pPr>
              <w:rPr>
                <w:szCs w:val="22"/>
              </w:rPr>
            </w:pPr>
            <w:r>
              <w:t>13 January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4815249" w:rsidR="00324B33" w:rsidRPr="00BD5DBD" w:rsidRDefault="00174A80" w:rsidP="007452E8">
            <w:pPr>
              <w:rPr>
                <w:szCs w:val="22"/>
              </w:rPr>
            </w:pPr>
            <w:r>
              <w:rPr>
                <w:szCs w:val="22"/>
              </w:rPr>
              <w:t>25 January 2023</w:t>
            </w:r>
            <w:r w:rsidR="00324B33" w:rsidRPr="00BD5DBD">
              <w:rPr>
                <w:szCs w:val="22"/>
              </w:rPr>
              <w:t xml:space="preserve"> </w:t>
            </w:r>
          </w:p>
        </w:tc>
      </w:tr>
      <w:tr w:rsidR="00324B33" w:rsidRPr="00BD5DBD" w14:paraId="547E08D7" w14:textId="77777777" w:rsidTr="00F865A7">
        <w:tc>
          <w:tcPr>
            <w:tcW w:w="1577" w:type="pct"/>
          </w:tcPr>
          <w:p w14:paraId="5030EF30" w14:textId="3008BE86" w:rsidR="00324B33" w:rsidRPr="00BD5DBD" w:rsidRDefault="00324B33" w:rsidP="007452E8">
            <w:pPr>
              <w:rPr>
                <w:i/>
                <w:szCs w:val="22"/>
              </w:rPr>
            </w:pPr>
            <w:r w:rsidRPr="00BD5DBD">
              <w:rPr>
                <w:i/>
                <w:szCs w:val="22"/>
              </w:rPr>
              <w:t>ARTG number:</w:t>
            </w:r>
          </w:p>
        </w:tc>
        <w:tc>
          <w:tcPr>
            <w:tcW w:w="3423" w:type="pct"/>
          </w:tcPr>
          <w:p w14:paraId="0054E912" w14:textId="68214BE4" w:rsidR="00324B33" w:rsidRPr="00BD5DBD" w:rsidRDefault="00174A80" w:rsidP="007452E8">
            <w:pPr>
              <w:rPr>
                <w:szCs w:val="22"/>
              </w:rPr>
            </w:pPr>
            <w:r>
              <w:rPr>
                <w:szCs w:val="22"/>
              </w:rPr>
              <w:t>381094</w:t>
            </w:r>
          </w:p>
        </w:tc>
      </w:tr>
      <w:tr w:rsidR="00324B33" w:rsidRPr="00BD5DBD" w14:paraId="7618393F" w14:textId="77777777" w:rsidTr="00F865A7">
        <w:tc>
          <w:tcPr>
            <w:tcW w:w="1577" w:type="pct"/>
          </w:tcPr>
          <w:p w14:paraId="6C24CEB6" w14:textId="679FCE47"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6BB98CE6" w:rsidR="00324B33" w:rsidRPr="00BD5DBD" w:rsidRDefault="00324B33" w:rsidP="007452E8">
            <w:pPr>
              <w:rPr>
                <w:szCs w:val="22"/>
              </w:rPr>
            </w:pPr>
            <w:r w:rsidRPr="00BD5DBD">
              <w:rPr>
                <w:szCs w:val="22"/>
              </w:rPr>
              <w:t>Yes</w:t>
            </w:r>
          </w:p>
          <w:p w14:paraId="6FF3C6A2" w14:textId="6FD06968" w:rsidR="00324B33" w:rsidRPr="00BD5DBD" w:rsidRDefault="00324B33" w:rsidP="007452E8">
            <w:pPr>
              <w:rPr>
                <w:szCs w:val="22"/>
              </w:rPr>
            </w:pPr>
            <w:r w:rsidRPr="00BD5DBD">
              <w:rPr>
                <w:szCs w:val="22"/>
              </w:rPr>
              <w:t>This product will remain in the scheme for 5 years, starting on the date the product is first supplied in Australia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045E895" w14:textId="77777777" w:rsidR="00324B33" w:rsidRDefault="00B36CF3" w:rsidP="007452E8">
            <w:pPr>
              <w:rPr>
                <w:lang w:val="es-ES"/>
              </w:rPr>
            </w:pPr>
            <w:r>
              <w:rPr>
                <w:lang w:val="es-ES"/>
              </w:rPr>
              <w:t xml:space="preserve">PPD Australia </w:t>
            </w:r>
            <w:proofErr w:type="spellStart"/>
            <w:r>
              <w:rPr>
                <w:lang w:val="es-ES"/>
              </w:rPr>
              <w:t>Pty</w:t>
            </w:r>
            <w:proofErr w:type="spellEnd"/>
            <w:r>
              <w:rPr>
                <w:lang w:val="es-ES"/>
              </w:rPr>
              <w:t xml:space="preserve"> </w:t>
            </w:r>
            <w:proofErr w:type="spellStart"/>
            <w:r>
              <w:rPr>
                <w:lang w:val="es-ES"/>
              </w:rPr>
              <w:t>Ltd</w:t>
            </w:r>
            <w:proofErr w:type="spellEnd"/>
          </w:p>
          <w:p w14:paraId="68DD94B0" w14:textId="24F8772B" w:rsidR="00EF542E" w:rsidRPr="00BD5DBD" w:rsidRDefault="00EF542E" w:rsidP="007452E8">
            <w:pPr>
              <w:rPr>
                <w:szCs w:val="22"/>
              </w:rPr>
            </w:pPr>
            <w:proofErr w:type="spellStart"/>
            <w:r>
              <w:rPr>
                <w:lang w:val="es-ES"/>
              </w:rPr>
              <w:t>Level</w:t>
            </w:r>
            <w:proofErr w:type="spellEnd"/>
            <w:r>
              <w:rPr>
                <w:lang w:val="es-ES"/>
              </w:rPr>
              <w:t xml:space="preserve"> 5, 412, </w:t>
            </w:r>
            <w:proofErr w:type="spellStart"/>
            <w:r>
              <w:rPr>
                <w:lang w:val="es-ES"/>
              </w:rPr>
              <w:t>St</w:t>
            </w:r>
            <w:proofErr w:type="spellEnd"/>
            <w:r>
              <w:rPr>
                <w:lang w:val="es-ES"/>
              </w:rPr>
              <w:t xml:space="preserve"> </w:t>
            </w:r>
            <w:proofErr w:type="spellStart"/>
            <w:r>
              <w:rPr>
                <w:lang w:val="es-ES"/>
              </w:rPr>
              <w:t>Kilda</w:t>
            </w:r>
            <w:proofErr w:type="spellEnd"/>
            <w:r>
              <w:rPr>
                <w:lang w:val="es-ES"/>
              </w:rPr>
              <w:t xml:space="preserve"> Road VIC 3004</w:t>
            </w:r>
          </w:p>
        </w:tc>
      </w:tr>
      <w:tr w:rsidR="00324B33" w:rsidRPr="00BD5DBD" w14:paraId="5322B989" w14:textId="77777777" w:rsidTr="00F865A7">
        <w:tc>
          <w:tcPr>
            <w:tcW w:w="1577" w:type="pct"/>
          </w:tcPr>
          <w:p w14:paraId="24F217E3" w14:textId="16F87B71" w:rsidR="00324B33" w:rsidRPr="00BD5DBD" w:rsidRDefault="00324B33" w:rsidP="007452E8">
            <w:pPr>
              <w:rPr>
                <w:i/>
                <w:szCs w:val="22"/>
              </w:rPr>
            </w:pPr>
            <w:r w:rsidRPr="00BD5DBD">
              <w:rPr>
                <w:i/>
                <w:szCs w:val="22"/>
              </w:rPr>
              <w:t>Dose form:</w:t>
            </w:r>
          </w:p>
        </w:tc>
        <w:tc>
          <w:tcPr>
            <w:tcW w:w="3423" w:type="pct"/>
          </w:tcPr>
          <w:p w14:paraId="768B254C" w14:textId="3B07ED98" w:rsidR="00324B33" w:rsidRPr="00BD5DBD" w:rsidRDefault="00110156" w:rsidP="007452E8">
            <w:pPr>
              <w:rPr>
                <w:szCs w:val="22"/>
              </w:rPr>
            </w:pPr>
            <w:r>
              <w:rPr>
                <w:szCs w:val="22"/>
              </w:rPr>
              <w:t>Powder for solution for injection</w:t>
            </w:r>
          </w:p>
        </w:tc>
      </w:tr>
      <w:tr w:rsidR="00324B33" w:rsidRPr="00BD5DBD" w14:paraId="115243E6" w14:textId="77777777" w:rsidTr="00F865A7">
        <w:tc>
          <w:tcPr>
            <w:tcW w:w="1577" w:type="pct"/>
          </w:tcPr>
          <w:p w14:paraId="7634B062" w14:textId="081532BB" w:rsidR="00324B33" w:rsidRPr="00BD5DBD" w:rsidRDefault="00324B33" w:rsidP="007452E8">
            <w:pPr>
              <w:rPr>
                <w:i/>
                <w:szCs w:val="22"/>
              </w:rPr>
            </w:pPr>
            <w:r w:rsidRPr="00BD5DBD">
              <w:rPr>
                <w:i/>
                <w:szCs w:val="22"/>
              </w:rPr>
              <w:t>Strength:</w:t>
            </w:r>
          </w:p>
        </w:tc>
        <w:tc>
          <w:tcPr>
            <w:tcW w:w="3423" w:type="pct"/>
          </w:tcPr>
          <w:p w14:paraId="5E5F83DB" w14:textId="714F2077" w:rsidR="00324B33" w:rsidRPr="00BD5DBD" w:rsidRDefault="00110156" w:rsidP="007452E8">
            <w:pPr>
              <w:rPr>
                <w:szCs w:val="22"/>
              </w:rPr>
            </w:pPr>
            <w:r>
              <w:rPr>
                <w:szCs w:val="22"/>
              </w:rPr>
              <w:t>100 units</w:t>
            </w:r>
          </w:p>
        </w:tc>
      </w:tr>
      <w:tr w:rsidR="00324B33" w:rsidRPr="00BD5DBD" w14:paraId="34B07BA6" w14:textId="77777777" w:rsidTr="00F865A7">
        <w:tc>
          <w:tcPr>
            <w:tcW w:w="1577" w:type="pct"/>
          </w:tcPr>
          <w:p w14:paraId="1C039224" w14:textId="34522194" w:rsidR="00324B33" w:rsidRPr="00BD5DBD" w:rsidRDefault="00324B33" w:rsidP="007452E8">
            <w:pPr>
              <w:rPr>
                <w:i/>
                <w:szCs w:val="22"/>
              </w:rPr>
            </w:pPr>
            <w:r w:rsidRPr="00BD5DBD">
              <w:rPr>
                <w:i/>
                <w:szCs w:val="22"/>
              </w:rPr>
              <w:t>Container:</w:t>
            </w:r>
          </w:p>
        </w:tc>
        <w:tc>
          <w:tcPr>
            <w:tcW w:w="3423" w:type="pct"/>
          </w:tcPr>
          <w:p w14:paraId="500A42C6" w14:textId="491610F6" w:rsidR="00324B33" w:rsidRPr="00BD5DBD" w:rsidRDefault="00110156" w:rsidP="007452E8">
            <w:pPr>
              <w:rPr>
                <w:szCs w:val="22"/>
              </w:rPr>
            </w:pPr>
            <w:r>
              <w:rPr>
                <w:szCs w:val="22"/>
              </w:rPr>
              <w:t>Vial</w:t>
            </w:r>
          </w:p>
        </w:tc>
      </w:tr>
      <w:tr w:rsidR="00324B33" w:rsidRPr="00BD5DBD" w14:paraId="176B6773" w14:textId="77777777" w:rsidTr="00F865A7">
        <w:tc>
          <w:tcPr>
            <w:tcW w:w="1577" w:type="pct"/>
          </w:tcPr>
          <w:p w14:paraId="71846159" w14:textId="0BB2D19D" w:rsidR="00324B33" w:rsidRPr="00BD5DBD" w:rsidRDefault="00324B33" w:rsidP="007452E8">
            <w:pPr>
              <w:rPr>
                <w:i/>
                <w:szCs w:val="22"/>
              </w:rPr>
            </w:pPr>
            <w:r w:rsidRPr="00BD5DBD">
              <w:rPr>
                <w:i/>
                <w:szCs w:val="22"/>
              </w:rPr>
              <w:t>Pack size:</w:t>
            </w:r>
          </w:p>
        </w:tc>
        <w:tc>
          <w:tcPr>
            <w:tcW w:w="3423" w:type="pct"/>
          </w:tcPr>
          <w:p w14:paraId="7E978F8F" w14:textId="3FF7082E" w:rsidR="00324B33" w:rsidRPr="00BD5DBD" w:rsidRDefault="00110156" w:rsidP="007452E8">
            <w:pPr>
              <w:rPr>
                <w:szCs w:val="22"/>
              </w:rPr>
            </w:pPr>
            <w:r>
              <w:rPr>
                <w:szCs w:val="22"/>
              </w:rPr>
              <w:t>One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0D8AE753" w:rsidR="00324B33" w:rsidRPr="00F47006" w:rsidRDefault="00F47006" w:rsidP="007452E8">
            <w:pPr>
              <w:rPr>
                <w:i/>
                <w:iCs/>
                <w:szCs w:val="22"/>
              </w:rPr>
            </w:pPr>
            <w:r w:rsidRPr="00F47006">
              <w:rPr>
                <w:i/>
                <w:iCs/>
                <w:szCs w:val="22"/>
              </w:rPr>
              <w:t>Nuceiva is indicated for the temporary improvement in the appearance of moderate to severe glabellar lines in adult patients.</w:t>
            </w:r>
          </w:p>
        </w:tc>
      </w:tr>
      <w:tr w:rsidR="00324B33" w:rsidRPr="00BD5DBD" w14:paraId="5AFDEED3" w14:textId="77777777" w:rsidTr="00F865A7">
        <w:tc>
          <w:tcPr>
            <w:tcW w:w="1577" w:type="pct"/>
          </w:tcPr>
          <w:p w14:paraId="03884BD1" w14:textId="51758370" w:rsidR="00324B33" w:rsidRPr="00BD5DBD" w:rsidRDefault="00324B33" w:rsidP="007452E8">
            <w:pPr>
              <w:rPr>
                <w:i/>
                <w:szCs w:val="22"/>
              </w:rPr>
            </w:pPr>
            <w:r w:rsidRPr="00BD5DBD">
              <w:rPr>
                <w:i/>
                <w:szCs w:val="22"/>
              </w:rPr>
              <w:t>Route of administration:</w:t>
            </w:r>
          </w:p>
        </w:tc>
        <w:tc>
          <w:tcPr>
            <w:tcW w:w="3423" w:type="pct"/>
          </w:tcPr>
          <w:p w14:paraId="1ED1357E" w14:textId="3636D652" w:rsidR="00324B33" w:rsidRPr="00BD5DBD" w:rsidRDefault="00F47006" w:rsidP="007452E8">
            <w:pPr>
              <w:rPr>
                <w:szCs w:val="22"/>
              </w:rPr>
            </w:pPr>
            <w:r>
              <w:rPr>
                <w:szCs w:val="22"/>
              </w:rPr>
              <w:t>Intramuscular</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D43B351" w14:textId="77777777" w:rsidR="0076019B" w:rsidRPr="00757DE5" w:rsidRDefault="0076019B" w:rsidP="0076019B">
            <w:r w:rsidRPr="00757DE5">
              <w:t>N</w:t>
            </w:r>
            <w:r>
              <w:t>uceiva</w:t>
            </w:r>
            <w:r w:rsidRPr="00757DE5">
              <w:t xml:space="preserve"> should only be administered by physicians with appropriate qualifications and expertise in the treatment of glabellar lines and the use of required equipment.</w:t>
            </w:r>
          </w:p>
          <w:p w14:paraId="39431A5F" w14:textId="77777777" w:rsidR="0076019B" w:rsidRPr="00757DE5" w:rsidRDefault="0076019B" w:rsidP="0076019B">
            <w:r w:rsidRPr="00757DE5">
              <w:t>Once reconstituted, N</w:t>
            </w:r>
            <w:r>
              <w:t>uceiva</w:t>
            </w:r>
            <w:r w:rsidRPr="00757DE5">
              <w:t xml:space="preserve"> should only be used to treat a single patient, during a single session.</w:t>
            </w:r>
          </w:p>
          <w:p w14:paraId="5E577039" w14:textId="181FC20B" w:rsidR="0076019B" w:rsidRPr="00757DE5" w:rsidRDefault="0076019B" w:rsidP="0076019B">
            <w:r w:rsidRPr="00757DE5">
              <w:t xml:space="preserve">The units of biological activity of </w:t>
            </w:r>
            <w:r>
              <w:t xml:space="preserve">Nuceiva </w:t>
            </w:r>
            <w:r w:rsidRPr="00757DE5">
              <w:t>(prabotulinumtoxinA) are specific to the preparation and assay method utilized.</w:t>
            </w:r>
          </w:p>
          <w:p w14:paraId="5B792002" w14:textId="77777777" w:rsidR="0076019B" w:rsidRDefault="0076019B" w:rsidP="0076019B">
            <w:r w:rsidRPr="00757DE5">
              <w:t>Botulinum toxin units are not interchangeable from one product to another. Doses recommended are different from other botulinum toxin preparations.</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23A49313" w14:textId="77777777" w:rsidR="00030E7B" w:rsidRDefault="00030E7B" w:rsidP="00030E7B">
            <w:r>
              <w:t>B3</w:t>
            </w:r>
          </w:p>
          <w:p w14:paraId="7BAAF4E0" w14:textId="77777777" w:rsidR="00030E7B" w:rsidRPr="00A3783B" w:rsidRDefault="00030E7B" w:rsidP="00030E7B">
            <w:r w:rsidRPr="00A3783B">
              <w:t xml:space="preserve">Drugs which have been taken by only a limited number of pregnant women and women of childbearing age, without an increase in the frequency of malformation or other direct or </w:t>
            </w:r>
            <w:r w:rsidRPr="00A3783B">
              <w:lastRenderedPageBreak/>
              <w:t xml:space="preserve">indirect harmful effects on the human </w:t>
            </w:r>
            <w:proofErr w:type="spellStart"/>
            <w:r w:rsidRPr="00A3783B">
              <w:t>fetus</w:t>
            </w:r>
            <w:proofErr w:type="spellEnd"/>
            <w:r w:rsidRPr="00A3783B">
              <w:t xml:space="preserve"> having been observed.</w:t>
            </w:r>
          </w:p>
          <w:p w14:paraId="68811F52" w14:textId="77777777" w:rsidR="00030E7B" w:rsidRDefault="00030E7B" w:rsidP="00030E7B">
            <w:r w:rsidRPr="00A3783B">
              <w:t xml:space="preserve">Studies in animals have shown evidence of an increased occurrence of </w:t>
            </w:r>
            <w:proofErr w:type="spellStart"/>
            <w:r w:rsidRPr="00A3783B">
              <w:t>fetal</w:t>
            </w:r>
            <w:proofErr w:type="spellEnd"/>
            <w:r w:rsidRPr="00A3783B">
              <w:t xml:space="preserve"> damage, the significance of which is considered uncertain in humans.</w:t>
            </w:r>
          </w:p>
          <w:p w14:paraId="5E2AA3D6" w14:textId="12B77E9C"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3693795"/>
      <w:r>
        <w:lastRenderedPageBreak/>
        <w:t>Product background</w:t>
      </w:r>
      <w:bookmarkEnd w:id="11"/>
      <w:bookmarkEnd w:id="12"/>
      <w:bookmarkEnd w:id="13"/>
      <w:bookmarkEnd w:id="14"/>
    </w:p>
    <w:p w14:paraId="56B27CF2" w14:textId="2D8B73FE" w:rsidR="00324B33"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by </w:t>
      </w:r>
      <w:r w:rsidR="00892C2E">
        <w:rPr>
          <w:szCs w:val="22"/>
        </w:rPr>
        <w:t>PPD Australia Pty Ltd</w:t>
      </w:r>
      <w:r w:rsidRPr="00BD5DBD">
        <w:rPr>
          <w:szCs w:val="22"/>
        </w:rPr>
        <w:t xml:space="preserve"> (the sponsor) to register </w:t>
      </w:r>
      <w:r w:rsidR="00892C2E">
        <w:t>Nuceiva (</w:t>
      </w:r>
      <w:r w:rsidR="00892C2E" w:rsidRPr="00052C14">
        <w:t>prabotulinumtoxinA</w:t>
      </w:r>
      <w:r w:rsidRPr="00BD5DBD">
        <w:rPr>
          <w:szCs w:val="22"/>
        </w:rPr>
        <w:t xml:space="preserve">) </w:t>
      </w:r>
      <w:r w:rsidR="004D7DEE">
        <w:rPr>
          <w:szCs w:val="22"/>
        </w:rPr>
        <w:t>100 unit</w:t>
      </w:r>
      <w:r w:rsidRPr="00BD5DBD">
        <w:rPr>
          <w:szCs w:val="22"/>
        </w:rPr>
        <w:t xml:space="preserve">, </w:t>
      </w:r>
      <w:r w:rsidR="004D7DEE">
        <w:rPr>
          <w:szCs w:val="22"/>
        </w:rPr>
        <w:t>powder for solution for injection</w:t>
      </w:r>
      <w:r w:rsidR="00D62877" w:rsidRPr="00BD5DBD">
        <w:rPr>
          <w:szCs w:val="22"/>
        </w:rPr>
        <w:t>,</w:t>
      </w:r>
      <w:r w:rsidR="004D7DEE">
        <w:rPr>
          <w:szCs w:val="22"/>
        </w:rPr>
        <w:t xml:space="preserve"> vial</w:t>
      </w:r>
      <w:r w:rsidRPr="00BD5DBD">
        <w:rPr>
          <w:szCs w:val="22"/>
        </w:rPr>
        <w:t xml:space="preserve"> for the following proposed indication:</w:t>
      </w:r>
      <w:r w:rsidR="00D63760" w:rsidRPr="00BD5DBD">
        <w:rPr>
          <w:rStyle w:val="FootnoteReference"/>
          <w:szCs w:val="22"/>
        </w:rPr>
        <w:footnoteReference w:id="1"/>
      </w:r>
    </w:p>
    <w:p w14:paraId="7C097558" w14:textId="25497A1C" w:rsidR="00B11B7D" w:rsidRPr="00B11B7D" w:rsidRDefault="00B11B7D" w:rsidP="00B11B7D">
      <w:pPr>
        <w:ind w:left="720"/>
        <w:rPr>
          <w:i/>
          <w:iCs/>
          <w:szCs w:val="22"/>
        </w:rPr>
      </w:pPr>
      <w:r w:rsidRPr="00B11B7D">
        <w:rPr>
          <w:i/>
          <w:iCs/>
          <w:szCs w:val="22"/>
        </w:rPr>
        <w:t>The temporary improvement in the appearance of moderate to severe glabellar lines associated with corrugator and/or procerus muscle activity in adult patients.</w:t>
      </w:r>
    </w:p>
    <w:p w14:paraId="753F7900" w14:textId="77777777" w:rsidR="00CD0057" w:rsidRDefault="00CD0057" w:rsidP="00CD0057">
      <w:pPr>
        <w:pStyle w:val="Heading4"/>
      </w:pPr>
      <w:bookmarkStart w:id="15" w:name="_Toc143693796"/>
      <w:r>
        <w:t>Condition</w:t>
      </w:r>
      <w:bookmarkEnd w:id="15"/>
    </w:p>
    <w:p w14:paraId="5CC5DB34" w14:textId="1F11F85A" w:rsidR="00CD0057" w:rsidRDefault="00CD0057" w:rsidP="00CD0057">
      <w:r>
        <w:t xml:space="preserve">Glabellar lines are short vertical lines between the eyebrows that extend up the central forehead. These lines are due to contraction of the procerus and corrugator </w:t>
      </w:r>
      <w:proofErr w:type="spellStart"/>
      <w:r>
        <w:t>supercilii</w:t>
      </w:r>
      <w:proofErr w:type="spellEnd"/>
      <w:r>
        <w:t xml:space="preserve"> muscles, which is initially a dynamic process which eventually occurs at rest. Glabellar lines contribute to the appearance of looking older and/or angry, and their reduction is a sought after aesthetic procedure.</w:t>
      </w:r>
    </w:p>
    <w:p w14:paraId="60D81D7A" w14:textId="53B7CCB1" w:rsidR="003B45DC" w:rsidRDefault="003B45DC" w:rsidP="003B45DC">
      <w:r>
        <w:t xml:space="preserve">Botulinum toxin first received marketing authorisation in the </w:t>
      </w:r>
      <w:r w:rsidR="00CD0057">
        <w:t>United States of America (</w:t>
      </w:r>
      <w:r>
        <w:t>US</w:t>
      </w:r>
      <w:r w:rsidR="00CD0057">
        <w:t>A)</w:t>
      </w:r>
      <w:r>
        <w:t xml:space="preserve"> in 1989 for the treatment of strabismus. Since then a number of products have reached the market in multiple jurisdictions for an increasing range of indications.</w:t>
      </w:r>
    </w:p>
    <w:p w14:paraId="5DEFC1B6" w14:textId="77777777" w:rsidR="003B45DC" w:rsidRDefault="003B45DC" w:rsidP="003B45DC">
      <w:r>
        <w:t>Three botulinum toxin drugs are currently on the Australian Register of Therapeutic Goods (the indications similar to that of the current submission are in bold):</w:t>
      </w:r>
    </w:p>
    <w:p w14:paraId="51E74EA3" w14:textId="18E55057" w:rsidR="003B45DC" w:rsidRDefault="003B45DC" w:rsidP="007179C0">
      <w:pPr>
        <w:pStyle w:val="Numberbullet0"/>
      </w:pPr>
      <w:r>
        <w:t>B</w:t>
      </w:r>
      <w:r w:rsidR="00203B74">
        <w:t>otox</w:t>
      </w:r>
      <w:r>
        <w:t xml:space="preserve"> (Botulinum toxin type A purified neurotoxin complex), indicated for </w:t>
      </w:r>
      <w:r w:rsidRPr="007179C0">
        <w:rPr>
          <w:i/>
          <w:iCs/>
        </w:rPr>
        <w:t xml:space="preserve">overactive bladder, neurogenic detrusor overactivity, chronic migraine, strabismus, blepharospasm, cervical dystonia, focal limb spasticity, primary hyperhidrosis, focal spasticity, spasmodic dysphonia and </w:t>
      </w:r>
      <w:r w:rsidRPr="007179C0">
        <w:rPr>
          <w:b/>
          <w:bCs/>
          <w:i/>
          <w:iCs/>
        </w:rPr>
        <w:t xml:space="preserve">temporary improvement in the appearance of upper facial </w:t>
      </w:r>
      <w:proofErr w:type="spellStart"/>
      <w:r w:rsidRPr="007179C0">
        <w:rPr>
          <w:b/>
          <w:bCs/>
          <w:i/>
          <w:iCs/>
        </w:rPr>
        <w:t>rhytides</w:t>
      </w:r>
      <w:proofErr w:type="spellEnd"/>
      <w:r w:rsidRPr="007179C0">
        <w:rPr>
          <w:b/>
          <w:bCs/>
          <w:i/>
          <w:iCs/>
        </w:rPr>
        <w:t xml:space="preserve"> (glabellar lines, Crow’s feet and forehead lines) in adults</w:t>
      </w:r>
      <w:r>
        <w:t>.</w:t>
      </w:r>
    </w:p>
    <w:p w14:paraId="40366D7D" w14:textId="0F541A43" w:rsidR="007179C0" w:rsidRDefault="003B45DC" w:rsidP="007179C0">
      <w:pPr>
        <w:pStyle w:val="Numberbullet0"/>
      </w:pPr>
      <w:r>
        <w:t>D</w:t>
      </w:r>
      <w:r w:rsidR="00203B74">
        <w:t>ysport</w:t>
      </w:r>
      <w:r>
        <w:t xml:space="preserve"> (clostridium botulinum type A toxin – haemagglutinin complex), indicated for </w:t>
      </w:r>
      <w:r w:rsidRPr="007179C0">
        <w:rPr>
          <w:i/>
          <w:iCs/>
        </w:rPr>
        <w:t xml:space="preserve">focal spasticity of upper limbs, lower limbs, spasmodic torticollis blepharospasm, hemifacial spasm and </w:t>
      </w:r>
      <w:r w:rsidRPr="007179C0">
        <w:rPr>
          <w:b/>
          <w:bCs/>
          <w:i/>
          <w:iCs/>
        </w:rPr>
        <w:t>moderate to severe glabellar lines and/or lateral canthal lines (Crow’s feet)</w:t>
      </w:r>
      <w:r w:rsidR="007179C0" w:rsidRPr="007179C0">
        <w:rPr>
          <w:i/>
          <w:iCs/>
        </w:rPr>
        <w:t>.</w:t>
      </w:r>
    </w:p>
    <w:p w14:paraId="4918E86F" w14:textId="7ECFB7C3" w:rsidR="003B45DC" w:rsidRPr="007179C0" w:rsidRDefault="003B45DC" w:rsidP="007179C0">
      <w:pPr>
        <w:pStyle w:val="Numberbullet0"/>
        <w:rPr>
          <w:i/>
          <w:iCs/>
        </w:rPr>
      </w:pPr>
      <w:proofErr w:type="spellStart"/>
      <w:r>
        <w:t>X</w:t>
      </w:r>
      <w:r w:rsidR="00203B74">
        <w:t>eomin</w:t>
      </w:r>
      <w:proofErr w:type="spellEnd"/>
      <w:r>
        <w:t xml:space="preserve"> (</w:t>
      </w:r>
      <w:proofErr w:type="spellStart"/>
      <w:r>
        <w:t>incobotulinum</w:t>
      </w:r>
      <w:proofErr w:type="spellEnd"/>
      <w:r>
        <w:t xml:space="preserve"> toxin A), indicated for </w:t>
      </w:r>
      <w:r w:rsidRPr="007179C0">
        <w:rPr>
          <w:i/>
          <w:iCs/>
        </w:rPr>
        <w:t xml:space="preserve">cervical dystonia, blepharospasm, spasticity of the upper limb, </w:t>
      </w:r>
      <w:r w:rsidRPr="007179C0">
        <w:rPr>
          <w:b/>
          <w:bCs/>
          <w:i/>
          <w:iCs/>
        </w:rPr>
        <w:t>upper facial lines (glabellar frown lines, lateral periorbital lines, Horizontal forehead lines)</w:t>
      </w:r>
      <w:r w:rsidR="007179C0" w:rsidRPr="007179C0">
        <w:rPr>
          <w:b/>
          <w:bCs/>
          <w:i/>
          <w:iCs/>
        </w:rPr>
        <w:t>.</w:t>
      </w:r>
    </w:p>
    <w:p w14:paraId="5B99C43D" w14:textId="49640C80" w:rsidR="003B45DC" w:rsidRDefault="003B45DC" w:rsidP="003B45DC">
      <w:r>
        <w:lastRenderedPageBreak/>
        <w:t xml:space="preserve">These three botulinum </w:t>
      </w:r>
      <w:r w:rsidR="001A267A">
        <w:t>t</w:t>
      </w:r>
      <w:r>
        <w:t xml:space="preserve">oxin drugs, as well as the current submission’s </w:t>
      </w:r>
      <w:proofErr w:type="spellStart"/>
      <w:r>
        <w:t>prabotulinumtoxin</w:t>
      </w:r>
      <w:proofErr w:type="spellEnd"/>
      <w:r>
        <w:t xml:space="preserve"> A, are type A toxins. Botulinum toxin consists of a heavy chain (which contains the binding domain and the translocation domain) linked through a </w:t>
      </w:r>
      <w:proofErr w:type="spellStart"/>
      <w:r>
        <w:t>disulfide</w:t>
      </w:r>
      <w:proofErr w:type="spellEnd"/>
      <w:r>
        <w:t xml:space="preserve"> bond to a light chain (which contains the catalytic domain). Surrounding this heavy chain and light chain structure are other proteins. The action of botulinum toxin involves its binding to the cell surface of the nerve terminal, internalisation and localisation within synaptic vesicles. Following this, the toxin</w:t>
      </w:r>
      <w:r w:rsidR="00B022F4">
        <w:t xml:space="preserve"> is</w:t>
      </w:r>
      <w:r>
        <w:t xml:space="preserve"> translocated to the cytoplasm, where the light chain is liberated and can then deactivate proteins (</w:t>
      </w:r>
      <w:r w:rsidR="00E62F8E">
        <w:t>for example,</w:t>
      </w:r>
      <w:r>
        <w:t xml:space="preserve"> SNAP25) essential for acetylcholine release. The pharmacological effects of preventing acetylcholine release is muscle paralysis, which is typically long lasting due to the half</w:t>
      </w:r>
      <w:r w:rsidR="00AE0154">
        <w:noBreakHyphen/>
      </w:r>
      <w:r>
        <w:t>life of the light chain and turnover time of the affected proteins. Other neurotransmitter release can also be prevented, leading to certain effects beyond muscle paralysis.</w:t>
      </w:r>
      <w:r w:rsidR="00C85177">
        <w:rPr>
          <w:rStyle w:val="FootnoteReference"/>
        </w:rPr>
        <w:footnoteReference w:id="2"/>
      </w:r>
    </w:p>
    <w:p w14:paraId="350A30CD" w14:textId="5F1D1CEA" w:rsidR="003B45DC" w:rsidRDefault="003B45DC" w:rsidP="003B45DC">
      <w:r>
        <w:t xml:space="preserve">The available therapeutic botulinum toxins differ in various ways, including molecular weight (900 </w:t>
      </w:r>
      <w:proofErr w:type="spellStart"/>
      <w:r>
        <w:t>kDa</w:t>
      </w:r>
      <w:proofErr w:type="spellEnd"/>
      <w:r>
        <w:t xml:space="preserve"> for B</w:t>
      </w:r>
      <w:r w:rsidR="00423862">
        <w:t>otox</w:t>
      </w:r>
      <w:r>
        <w:t xml:space="preserve">; 500 </w:t>
      </w:r>
      <w:proofErr w:type="spellStart"/>
      <w:r>
        <w:t>kDa</w:t>
      </w:r>
      <w:proofErr w:type="spellEnd"/>
      <w:r>
        <w:t xml:space="preserve"> for D</w:t>
      </w:r>
      <w:r w:rsidR="00423862">
        <w:t>ysport</w:t>
      </w:r>
      <w:r>
        <w:t xml:space="preserve">; 150 </w:t>
      </w:r>
      <w:proofErr w:type="spellStart"/>
      <w:r>
        <w:t>kDa</w:t>
      </w:r>
      <w:proofErr w:type="spellEnd"/>
      <w:r>
        <w:t xml:space="preserve"> for </w:t>
      </w:r>
      <w:proofErr w:type="spellStart"/>
      <w:r>
        <w:t>X</w:t>
      </w:r>
      <w:r w:rsidR="00423862">
        <w:t>eomin</w:t>
      </w:r>
      <w:proofErr w:type="spellEnd"/>
      <w:r>
        <w:t>), formulation and dose (for the same indication, higher for D</w:t>
      </w:r>
      <w:r w:rsidR="00423862">
        <w:t>ysport</w:t>
      </w:r>
      <w:r>
        <w:t xml:space="preserve"> compared with B</w:t>
      </w:r>
      <w:r w:rsidR="00423862">
        <w:t>otox</w:t>
      </w:r>
      <w:r>
        <w:t>). They are therefore not considered interchangeable.</w:t>
      </w:r>
    </w:p>
    <w:p w14:paraId="62FEFDBD" w14:textId="751B78E0" w:rsidR="003B45DC" w:rsidRDefault="003B45DC" w:rsidP="003B45DC">
      <w:r>
        <w:t>The formation of neutralising antibodies against the therapeutic botulinum toxin have been suggested as a contributor to occasional poor efficacy. As the presence of human albumin may contribute to the formation of these antibodies, efforts have been made to reduce the amount of human albumin present in some newer products.</w:t>
      </w:r>
    </w:p>
    <w:p w14:paraId="6B59309F" w14:textId="27C01F1A" w:rsidR="003B45DC" w:rsidRDefault="0077557E" w:rsidP="003B45DC">
      <w:proofErr w:type="spellStart"/>
      <w:r>
        <w:t>P</w:t>
      </w:r>
      <w:r w:rsidR="003B45DC">
        <w:t>rabotulinumtoxin</w:t>
      </w:r>
      <w:proofErr w:type="spellEnd"/>
      <w:r w:rsidR="003B45DC">
        <w:t xml:space="preserve"> A (tradename </w:t>
      </w:r>
      <w:r w:rsidR="00AF5D4C">
        <w:t xml:space="preserve">: </w:t>
      </w:r>
      <w:r w:rsidR="003B45DC">
        <w:t>N</w:t>
      </w:r>
      <w:r w:rsidR="00AF5D4C">
        <w:t>uceiva</w:t>
      </w:r>
      <w:r w:rsidR="003B45DC">
        <w:t xml:space="preserve">) is a 900 </w:t>
      </w:r>
      <w:proofErr w:type="spellStart"/>
      <w:r w:rsidR="003B45DC">
        <w:t>kDa</w:t>
      </w:r>
      <w:proofErr w:type="spellEnd"/>
      <w:r w:rsidR="003B45DC">
        <w:t xml:space="preserve"> botulinum toxin produced using </w:t>
      </w:r>
      <w:r w:rsidR="003B45DC" w:rsidRPr="00AF5D4C">
        <w:rPr>
          <w:i/>
          <w:iCs/>
        </w:rPr>
        <w:t>Clostridium botulinum</w:t>
      </w:r>
      <w:r w:rsidR="003B45DC">
        <w:t xml:space="preserve"> organisms and has the same structural, physiochemical and pharmacological characteristics as botulinum toxin A. It was developed by Daewoong Pharmaceutical Co. Ltd (South Korea) and shares the same mechanism of action as other drugs in the class (</w:t>
      </w:r>
      <w:r w:rsidR="00AF5D4C">
        <w:t>for example,</w:t>
      </w:r>
      <w:r w:rsidR="003B45DC">
        <w:t xml:space="preserve"> B</w:t>
      </w:r>
      <w:r w:rsidR="00AF5D4C">
        <w:t>otox</w:t>
      </w:r>
      <w:r w:rsidR="003B45DC">
        <w:t>).</w:t>
      </w:r>
    </w:p>
    <w:p w14:paraId="57AB325B" w14:textId="658B6000" w:rsidR="003B45DC" w:rsidRDefault="003B45DC" w:rsidP="003B45DC">
      <w:r>
        <w:t>The N</w:t>
      </w:r>
      <w:r w:rsidR="00AF5D4C">
        <w:t>uceiva</w:t>
      </w:r>
      <w:r>
        <w:t xml:space="preserve"> drug product is formulated with 0.5% human serum albumin and 0.9% NaCl.</w:t>
      </w:r>
    </w:p>
    <w:p w14:paraId="6EF48B88" w14:textId="74F7DFDC" w:rsidR="003B45DC" w:rsidRDefault="003B45DC" w:rsidP="003B45DC">
      <w:r>
        <w:t>During development, B</w:t>
      </w:r>
      <w:r w:rsidR="009D47B7">
        <w:t>otox</w:t>
      </w:r>
      <w:r>
        <w:t xml:space="preserve"> was used as a comparator to N</w:t>
      </w:r>
      <w:r w:rsidR="009D47B7">
        <w:t>uceiva</w:t>
      </w:r>
      <w:r>
        <w:t xml:space="preserve"> in several studies, including clinical and nonclinical studies. Both products were found to have similar dose</w:t>
      </w:r>
      <w:r w:rsidR="009D47B7">
        <w:t xml:space="preserve"> </w:t>
      </w:r>
      <w:r>
        <w:t>response and safety profiles. Thus, the approved dose of B</w:t>
      </w:r>
      <w:r w:rsidR="009D47B7">
        <w:t>otox</w:t>
      </w:r>
      <w:r>
        <w:t xml:space="preserve"> in the relevant indication (</w:t>
      </w:r>
      <w:r w:rsidR="009D47B7">
        <w:t>that is</w:t>
      </w:r>
      <w:r>
        <w:t xml:space="preserve"> glabellar lines) was selected as the clinical development dose for N</w:t>
      </w:r>
      <w:r w:rsidR="009D47B7">
        <w:t>u</w:t>
      </w:r>
      <w:r w:rsidR="002B5F22">
        <w:t>ceiva</w:t>
      </w:r>
      <w:r>
        <w:t>.</w:t>
      </w:r>
    </w:p>
    <w:p w14:paraId="65F55893" w14:textId="77777777" w:rsidR="00B51183" w:rsidRDefault="00B51183" w:rsidP="00B51183">
      <w:pPr>
        <w:pStyle w:val="Heading4"/>
      </w:pPr>
      <w:bookmarkStart w:id="16" w:name="_Toc143693797"/>
      <w:r>
        <w:t>Current treatment options</w:t>
      </w:r>
      <w:bookmarkEnd w:id="16"/>
    </w:p>
    <w:p w14:paraId="1053FB1D" w14:textId="31E51938" w:rsidR="00B51183" w:rsidRDefault="00B51183" w:rsidP="00B51183">
      <w:r>
        <w:t>The use of botulinum toxin drugs to temporarily paralyse the muscles responsible for glabellar lines (especially dynamic glabellar lines) is widespread given its safety and efficacy. In fact, the use of Botox to reduce glabellar lines is the leading aesthetic facial treatment.</w:t>
      </w:r>
      <w:r w:rsidR="00C85177">
        <w:rPr>
          <w:rStyle w:val="FootnoteReference"/>
        </w:rPr>
        <w:footnoteReference w:id="3"/>
      </w:r>
    </w:p>
    <w:p w14:paraId="6D111A01" w14:textId="00D536BF" w:rsidR="00B51183" w:rsidRPr="000A4A42" w:rsidRDefault="00B51183" w:rsidP="00B51183">
      <w:r>
        <w:t>Other approaches to reducing glabellar lines are surgery and the injection of filler material (such as autologous fat or hyaluronic acid). Surgery interrupts the corrugator muscle. Important considerations are the permanent nature of the treatment, cost, recovery time and risk of complications such as infection and bleeding. Injection of filler material to the involved area can plump the tissue, reducing the depth of the lines. However, there are particular serious risks of injecting in this area, such retinal artery occlusion.</w:t>
      </w:r>
    </w:p>
    <w:p w14:paraId="0D615854" w14:textId="77777777" w:rsidR="00324B33" w:rsidRPr="003F31A2" w:rsidRDefault="00324B33" w:rsidP="00324B33">
      <w:pPr>
        <w:pStyle w:val="Heading3"/>
      </w:pPr>
      <w:bookmarkStart w:id="17" w:name="_Toc314842485"/>
      <w:bookmarkStart w:id="18" w:name="_Toc247691504"/>
      <w:bookmarkStart w:id="19" w:name="_Toc103679291"/>
      <w:bookmarkStart w:id="20" w:name="_Toc143693798"/>
      <w:r>
        <w:lastRenderedPageBreak/>
        <w:t>Regulatory status</w:t>
      </w:r>
      <w:bookmarkEnd w:id="17"/>
      <w:bookmarkEnd w:id="18"/>
      <w:bookmarkEnd w:id="19"/>
      <w:bookmarkEnd w:id="20"/>
    </w:p>
    <w:p w14:paraId="6A8633FA" w14:textId="39015E03" w:rsidR="00324B33" w:rsidRPr="00BD5DBD"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715B7D2A" w14:textId="2262607B" w:rsidR="00324B33" w:rsidRPr="00BD5DBD" w:rsidRDefault="00324B33" w:rsidP="00324B33">
      <w:pPr>
        <w:rPr>
          <w:szCs w:val="22"/>
        </w:rPr>
      </w:pPr>
      <w:r w:rsidRPr="00BD5DBD">
        <w:rPr>
          <w:szCs w:val="22"/>
        </w:rPr>
        <w:t xml:space="preserve">At the time the TGA considered this submission, a similar submission had been approved in </w:t>
      </w:r>
      <w:r w:rsidR="001A267A">
        <w:rPr>
          <w:szCs w:val="22"/>
        </w:rPr>
        <w:t>USA</w:t>
      </w:r>
      <w:r w:rsidRPr="00BD5DBD">
        <w:rPr>
          <w:szCs w:val="22"/>
        </w:rPr>
        <w:t xml:space="preserve"> on </w:t>
      </w:r>
      <w:r w:rsidR="00720B33">
        <w:rPr>
          <w:szCs w:val="22"/>
        </w:rPr>
        <w:t>1 February 2019</w:t>
      </w:r>
      <w:r w:rsidR="0075794C">
        <w:rPr>
          <w:szCs w:val="22"/>
        </w:rPr>
        <w:t xml:space="preserve"> under tradename, </w:t>
      </w:r>
      <w:proofErr w:type="spellStart"/>
      <w:r w:rsidR="0075794C">
        <w:rPr>
          <w:szCs w:val="22"/>
        </w:rPr>
        <w:t>Jeuveau</w:t>
      </w:r>
      <w:proofErr w:type="spellEnd"/>
      <w:r w:rsidR="0075794C">
        <w:rPr>
          <w:szCs w:val="22"/>
        </w:rPr>
        <w:t>;</w:t>
      </w:r>
      <w:r w:rsidR="00720B33">
        <w:rPr>
          <w:szCs w:val="22"/>
        </w:rPr>
        <w:t xml:space="preserve"> European Union</w:t>
      </w:r>
      <w:r w:rsidR="001A267A">
        <w:rPr>
          <w:szCs w:val="22"/>
        </w:rPr>
        <w:t xml:space="preserve"> (EU)</w:t>
      </w:r>
      <w:r w:rsidR="00720B33">
        <w:rPr>
          <w:szCs w:val="22"/>
        </w:rPr>
        <w:t xml:space="preserve"> on 27 September </w:t>
      </w:r>
      <w:r w:rsidR="00E5664E">
        <w:rPr>
          <w:szCs w:val="22"/>
        </w:rPr>
        <w:t>2019, United Kingdom</w:t>
      </w:r>
      <w:r w:rsidR="001A267A">
        <w:rPr>
          <w:szCs w:val="22"/>
        </w:rPr>
        <w:t xml:space="preserve"> (UK)</w:t>
      </w:r>
      <w:r w:rsidR="00E5664E">
        <w:rPr>
          <w:szCs w:val="22"/>
        </w:rPr>
        <w:t xml:space="preserve"> on 1 January 202</w:t>
      </w:r>
      <w:r w:rsidR="00E53FCD">
        <w:rPr>
          <w:szCs w:val="22"/>
        </w:rPr>
        <w:t>2</w:t>
      </w:r>
      <w:r w:rsidR="00E5664E">
        <w:rPr>
          <w:szCs w:val="22"/>
        </w:rPr>
        <w:t xml:space="preserve"> and Canada on </w:t>
      </w:r>
      <w:r w:rsidR="006A0490">
        <w:rPr>
          <w:szCs w:val="22"/>
        </w:rPr>
        <w:t>16 August 2018</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05E19C68" w:rsidR="00324B33" w:rsidRDefault="00324B33" w:rsidP="00324B33">
      <w:pPr>
        <w:pStyle w:val="TableTitle"/>
      </w:pPr>
      <w:bookmarkStart w:id="21" w:name="_Ref99705479"/>
      <w:r>
        <w:t xml:space="preserve">Table </w:t>
      </w:r>
      <w:fldSimple w:instr=" SEQ Table \* ARABIC ">
        <w:r w:rsidR="005630CE">
          <w:rPr>
            <w:noProof/>
          </w:rPr>
          <w:t>1</w:t>
        </w:r>
      </w:fldSimple>
      <w:bookmarkEnd w:id="21"/>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5D031007" w:rsidR="00324B33" w:rsidRPr="00D01DDB" w:rsidRDefault="00AF34BA" w:rsidP="00324B33">
            <w:pPr>
              <w:rPr>
                <w:szCs w:val="22"/>
              </w:rPr>
            </w:pPr>
            <w:r>
              <w:rPr>
                <w:szCs w:val="22"/>
              </w:rPr>
              <w:t>United States of America</w:t>
            </w:r>
          </w:p>
        </w:tc>
        <w:tc>
          <w:tcPr>
            <w:tcW w:w="1018" w:type="pct"/>
          </w:tcPr>
          <w:p w14:paraId="4FA5DDA9" w14:textId="510662C6" w:rsidR="00324B33" w:rsidRPr="00D01DDB" w:rsidRDefault="000821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2017</w:t>
            </w:r>
          </w:p>
        </w:tc>
        <w:tc>
          <w:tcPr>
            <w:tcW w:w="1173" w:type="pct"/>
          </w:tcPr>
          <w:p w14:paraId="29358393" w14:textId="405D6D8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Approved on</w:t>
            </w:r>
            <w:r w:rsidR="000821B5">
              <w:rPr>
                <w:szCs w:val="22"/>
              </w:rPr>
              <w:t xml:space="preserve"> 1 February 2019</w:t>
            </w:r>
          </w:p>
        </w:tc>
        <w:tc>
          <w:tcPr>
            <w:tcW w:w="1795" w:type="pct"/>
          </w:tcPr>
          <w:p w14:paraId="05055674" w14:textId="09DA3992" w:rsidR="00324B33" w:rsidRPr="00D01DDB" w:rsidRDefault="000821B5" w:rsidP="000821B5">
            <w:pPr>
              <w:cnfStyle w:val="000000000000" w:firstRow="0" w:lastRow="0" w:firstColumn="0" w:lastColumn="0" w:oddVBand="0" w:evenVBand="0" w:oddHBand="0" w:evenHBand="0" w:firstRowFirstColumn="0" w:firstRowLastColumn="0" w:lastRowFirstColumn="0" w:lastRowLastColumn="0"/>
              <w:rPr>
                <w:szCs w:val="22"/>
              </w:rPr>
            </w:pPr>
            <w:r w:rsidRPr="000821B5">
              <w:rPr>
                <w:i/>
                <w:iCs/>
                <w:szCs w:val="22"/>
              </w:rPr>
              <w:t>The temporary improvement in the appearance of moderate to severe glabellar lines associated with corrugator and/or procerus muscle activity in adult patients</w:t>
            </w:r>
            <w:r w:rsidRPr="000821B5">
              <w:rPr>
                <w:szCs w:val="22"/>
              </w:rPr>
              <w:t>.</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359F4E6C" w:rsidR="00324B33" w:rsidRPr="00D01DDB" w:rsidRDefault="000821B5" w:rsidP="00324B33">
            <w:pPr>
              <w:rPr>
                <w:szCs w:val="22"/>
              </w:rPr>
            </w:pPr>
            <w:r>
              <w:rPr>
                <w:szCs w:val="22"/>
              </w:rPr>
              <w:t>European Union</w:t>
            </w:r>
          </w:p>
        </w:tc>
        <w:tc>
          <w:tcPr>
            <w:tcW w:w="1018" w:type="pct"/>
          </w:tcPr>
          <w:p w14:paraId="1D871E57" w14:textId="3B654F6A" w:rsidR="00324B33" w:rsidRPr="00D01DDB" w:rsidRDefault="00E53FC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June 2017</w:t>
            </w:r>
          </w:p>
        </w:tc>
        <w:tc>
          <w:tcPr>
            <w:tcW w:w="1173" w:type="pct"/>
          </w:tcPr>
          <w:p w14:paraId="63A3A9D3" w14:textId="0779631F" w:rsidR="00324B33" w:rsidRPr="00D01DDB" w:rsidRDefault="00E53FC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27 September 2019</w:t>
            </w:r>
          </w:p>
        </w:tc>
        <w:tc>
          <w:tcPr>
            <w:tcW w:w="1795" w:type="pct"/>
          </w:tcPr>
          <w:p w14:paraId="17C650B8" w14:textId="5F3E7B01" w:rsidR="00324B33" w:rsidRPr="00E53FCD" w:rsidRDefault="00E53FCD" w:rsidP="00E53FC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53FCD">
              <w:rPr>
                <w:i/>
                <w:iCs/>
              </w:rPr>
              <w:t>Nuceiva is indicated for the temporary improvement in the appearance of moderate to severe vertical lines between the eyebrows seen at maximum frown (glabellar lines), when the severity of the above facial lines has an important psychological impact in adults below 65 years of age</w:t>
            </w:r>
            <w:r>
              <w:rPr>
                <w:rFonts w:ascii="Times New Roman" w:hAnsi="Times New Roman"/>
                <w:sz w:val="20"/>
              </w:rPr>
              <w:t>.</w:t>
            </w:r>
          </w:p>
        </w:tc>
      </w:tr>
      <w:tr w:rsidR="00E53FCD" w:rsidRPr="00D01DDB" w14:paraId="7D12684E"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B661C84" w14:textId="0F38CC0D" w:rsidR="00E53FCD" w:rsidRDefault="00E53FCD" w:rsidP="00324B33">
            <w:pPr>
              <w:rPr>
                <w:szCs w:val="22"/>
              </w:rPr>
            </w:pPr>
            <w:r>
              <w:rPr>
                <w:szCs w:val="22"/>
              </w:rPr>
              <w:t>United Kingdom</w:t>
            </w:r>
          </w:p>
        </w:tc>
        <w:tc>
          <w:tcPr>
            <w:tcW w:w="1018" w:type="pct"/>
          </w:tcPr>
          <w:p w14:paraId="7760E564" w14:textId="416ABB96" w:rsidR="00E53FCD" w:rsidRDefault="00E53FC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April 2021</w:t>
            </w:r>
          </w:p>
        </w:tc>
        <w:tc>
          <w:tcPr>
            <w:tcW w:w="1173" w:type="pct"/>
          </w:tcPr>
          <w:p w14:paraId="5B4D2DAE" w14:textId="163CBA73" w:rsidR="00E53FCD" w:rsidRDefault="00E577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 January </w:t>
            </w:r>
            <w:r w:rsidR="00D22045">
              <w:rPr>
                <w:szCs w:val="22"/>
              </w:rPr>
              <w:t>2021</w:t>
            </w:r>
          </w:p>
        </w:tc>
        <w:tc>
          <w:tcPr>
            <w:tcW w:w="1795" w:type="pct"/>
          </w:tcPr>
          <w:p w14:paraId="3ADE4BE5" w14:textId="5377ACB5" w:rsidR="00E53FCD" w:rsidRPr="00CE310F" w:rsidRDefault="00E57773" w:rsidP="00E57773">
            <w:pPr>
              <w:cnfStyle w:val="000000000000" w:firstRow="0" w:lastRow="0" w:firstColumn="0" w:lastColumn="0" w:oddVBand="0" w:evenVBand="0" w:oddHBand="0" w:evenHBand="0" w:firstRowFirstColumn="0" w:firstRowLastColumn="0" w:lastRowFirstColumn="0" w:lastRowLastColumn="0"/>
              <w:rPr>
                <w:i/>
                <w:iCs/>
              </w:rPr>
            </w:pPr>
            <w:r w:rsidRPr="00CE310F">
              <w:rPr>
                <w:i/>
                <w:iCs/>
              </w:rPr>
              <w:t>Nuceiva is indicated for the temporary improvement in the appearance of moderate to severe vertical lines between the eyebrows seen at maximum frown (glabellar lines), when the severity of the above facial lines has an important psychological impact in adults below 65 years of age.</w:t>
            </w:r>
          </w:p>
        </w:tc>
      </w:tr>
      <w:tr w:rsidR="00E53FCD" w:rsidRPr="00D01DDB" w14:paraId="48DB091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0EE93AA" w14:textId="32A531FD" w:rsidR="00E53FCD" w:rsidRDefault="00CE310F" w:rsidP="00324B33">
            <w:pPr>
              <w:rPr>
                <w:szCs w:val="22"/>
              </w:rPr>
            </w:pPr>
            <w:r>
              <w:rPr>
                <w:szCs w:val="22"/>
              </w:rPr>
              <w:t>Canada</w:t>
            </w:r>
          </w:p>
        </w:tc>
        <w:tc>
          <w:tcPr>
            <w:tcW w:w="1018" w:type="pct"/>
          </w:tcPr>
          <w:p w14:paraId="1BA3BAC0" w14:textId="5F4CF61A" w:rsidR="00E53FCD" w:rsidRDefault="00CE310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August 2017</w:t>
            </w:r>
          </w:p>
        </w:tc>
        <w:tc>
          <w:tcPr>
            <w:tcW w:w="1173" w:type="pct"/>
          </w:tcPr>
          <w:p w14:paraId="734010FE" w14:textId="044B046B" w:rsidR="00E53FCD" w:rsidRDefault="00CE310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August 2018</w:t>
            </w:r>
          </w:p>
        </w:tc>
        <w:tc>
          <w:tcPr>
            <w:tcW w:w="1795" w:type="pct"/>
          </w:tcPr>
          <w:p w14:paraId="7BD8D7C8" w14:textId="358FA90C" w:rsidR="00E53FCD" w:rsidRPr="00E53FCD" w:rsidRDefault="00C26204" w:rsidP="00C2620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i/>
                <w:iCs/>
              </w:rPr>
            </w:pPr>
            <w:r w:rsidRPr="00C26204">
              <w:rPr>
                <w:i/>
                <w:iCs/>
              </w:rPr>
              <w:t>The temporary</w:t>
            </w:r>
            <w:r>
              <w:rPr>
                <w:i/>
                <w:iCs/>
              </w:rPr>
              <w:t xml:space="preserve"> </w:t>
            </w:r>
            <w:r w:rsidRPr="00C26204">
              <w:rPr>
                <w:i/>
                <w:iCs/>
              </w:rPr>
              <w:t>improvement in the</w:t>
            </w:r>
            <w:r>
              <w:rPr>
                <w:i/>
                <w:iCs/>
              </w:rPr>
              <w:t xml:space="preserve"> </w:t>
            </w:r>
            <w:r w:rsidRPr="00C26204">
              <w:rPr>
                <w:i/>
                <w:iCs/>
              </w:rPr>
              <w:t>appearance of moderate to</w:t>
            </w:r>
            <w:r>
              <w:rPr>
                <w:i/>
                <w:iCs/>
              </w:rPr>
              <w:t xml:space="preserve"> </w:t>
            </w:r>
            <w:r w:rsidRPr="00C26204">
              <w:rPr>
                <w:i/>
                <w:iCs/>
              </w:rPr>
              <w:t>severe glabellar lines in</w:t>
            </w:r>
            <w:r>
              <w:rPr>
                <w:i/>
                <w:iCs/>
              </w:rPr>
              <w:t xml:space="preserve"> </w:t>
            </w:r>
            <w:r w:rsidRPr="00C26204">
              <w:rPr>
                <w:i/>
                <w:iCs/>
              </w:rPr>
              <w:t>adult patients &lt; 65 years</w:t>
            </w:r>
            <w:r>
              <w:rPr>
                <w:i/>
                <w:iCs/>
              </w:rPr>
              <w:t xml:space="preserve"> </w:t>
            </w:r>
            <w:r w:rsidRPr="00C26204">
              <w:rPr>
                <w:i/>
                <w:iCs/>
              </w:rPr>
              <w:t>of age.</w:t>
            </w:r>
          </w:p>
        </w:tc>
      </w:tr>
    </w:tbl>
    <w:p w14:paraId="064CCADF" w14:textId="77777777" w:rsidR="00324B33" w:rsidRDefault="00324B33" w:rsidP="00324B33">
      <w:pPr>
        <w:pStyle w:val="Heading3"/>
      </w:pPr>
      <w:bookmarkStart w:id="22" w:name="_Toc103679292"/>
      <w:bookmarkStart w:id="23" w:name="_Toc143693799"/>
      <w:r>
        <w:t>Product Information</w:t>
      </w:r>
      <w:bookmarkEnd w:id="22"/>
      <w:bookmarkEnd w:id="23"/>
    </w:p>
    <w:p w14:paraId="4B0F7D57" w14:textId="7192950F" w:rsidR="00324B33" w:rsidRPr="00BD5DBD" w:rsidRDefault="00324B33" w:rsidP="00324B33">
      <w:pPr>
        <w:rPr>
          <w:szCs w:val="22"/>
        </w:rPr>
      </w:pPr>
      <w:bookmarkStart w:id="24" w:name="_Toc504480011"/>
      <w:r w:rsidRPr="00BD5DBD">
        <w:rPr>
          <w:szCs w:val="22"/>
        </w:rPr>
        <w:t xml:space="preserve">The </w:t>
      </w:r>
      <w:hyperlink r:id="rId19" w:history="1">
        <w:r w:rsidRPr="00BD5DBD">
          <w:rPr>
            <w:rStyle w:val="Hyperlink"/>
            <w:szCs w:val="22"/>
          </w:rPr>
          <w:t>Product Information</w:t>
        </w:r>
      </w:hyperlink>
      <w:r w:rsidRPr="00BD5DBD">
        <w:rPr>
          <w:szCs w:val="22"/>
        </w:rPr>
        <w:t xml:space="preserve"> (</w:t>
      </w:r>
      <w:hyperlink r:id="rId20" w:history="1">
        <w:r w:rsidRPr="00BD5DBD">
          <w:rPr>
            <w:rStyle w:val="Hyperlink"/>
            <w:szCs w:val="22"/>
          </w:rPr>
          <w:t>PI</w:t>
        </w:r>
      </w:hyperlink>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can be found as Attachment 1. For the most recent PI</w:t>
      </w:r>
      <w:r w:rsidR="00A93DC6" w:rsidRPr="00BD5DBD">
        <w:rPr>
          <w:szCs w:val="22"/>
        </w:rPr>
        <w:t xml:space="preserve"> and </w:t>
      </w:r>
      <w:hyperlink r:id="rId21"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2" w:history="1">
        <w:r w:rsidRPr="00BD5DBD">
          <w:rPr>
            <w:rStyle w:val="Hyperlink"/>
            <w:szCs w:val="22"/>
          </w:rPr>
          <w:t>PI/CMI search facility.</w:t>
        </w:r>
      </w:hyperlink>
    </w:p>
    <w:p w14:paraId="6D92589C" w14:textId="77777777" w:rsidR="00324B33" w:rsidRDefault="00324B33" w:rsidP="00324B33">
      <w:pPr>
        <w:pStyle w:val="Heading2"/>
      </w:pPr>
      <w:bookmarkStart w:id="25" w:name="_Toc103679293"/>
      <w:bookmarkStart w:id="26" w:name="_Toc143693800"/>
      <w:r>
        <w:lastRenderedPageBreak/>
        <w:t>Registration timeline</w:t>
      </w:r>
      <w:bookmarkEnd w:id="24"/>
      <w:bookmarkEnd w:id="25"/>
      <w:bookmarkEnd w:id="26"/>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1F6D43F5" w:rsidR="00477C4E" w:rsidRPr="00BD5DBD"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p>
    <w:p w14:paraId="44628C5F" w14:textId="704131B6" w:rsidR="00324B33" w:rsidRDefault="00324B33" w:rsidP="0013528C">
      <w:pPr>
        <w:pStyle w:val="TableTitle"/>
      </w:pPr>
      <w:r>
        <w:t xml:space="preserve">Table </w:t>
      </w:r>
      <w:r w:rsidR="0013528C">
        <w:fldChar w:fldCharType="begin"/>
      </w:r>
      <w:r w:rsidR="0013528C">
        <w:rPr>
          <w:b w:val="0"/>
        </w:rPr>
        <w:instrText xml:space="preserve"> SEQ Table \* ARABIC </w:instrText>
      </w:r>
      <w:r w:rsidR="0013528C">
        <w:fldChar w:fldCharType="separate"/>
      </w:r>
      <w:r w:rsidR="005630CE">
        <w:rPr>
          <w:b w:val="0"/>
          <w:noProof/>
        </w:rPr>
        <w:t>2</w:t>
      </w:r>
      <w:r w:rsidR="0013528C">
        <w:rPr>
          <w:noProof/>
        </w:rPr>
        <w:fldChar w:fldCharType="end"/>
      </w:r>
      <w:r>
        <w:t>:</w:t>
      </w:r>
      <w:r w:rsidRPr="006A58A8">
        <w:t xml:space="preserve"> Timeline for Submission PM-20</w:t>
      </w:r>
      <w:r>
        <w:t>2</w:t>
      </w:r>
      <w:r w:rsidR="006F6CC1">
        <w:t>1</w:t>
      </w:r>
      <w:r w:rsidRPr="006A58A8">
        <w:t>-</w:t>
      </w:r>
      <w:r w:rsidR="006F6CC1">
        <w:t>05441</w:t>
      </w:r>
      <w:r w:rsidRPr="006A58A8">
        <w:t>-1-</w:t>
      </w:r>
      <w:r w:rsidR="006F6CC1">
        <w:t>1</w:t>
      </w:r>
    </w:p>
    <w:tbl>
      <w:tblPr>
        <w:tblStyle w:val="TableTGAblue2023"/>
        <w:tblW w:w="8642" w:type="dxa"/>
        <w:tblLook w:val="04A0" w:firstRow="1" w:lastRow="0" w:firstColumn="1" w:lastColumn="0" w:noHBand="0" w:noVBand="1"/>
      </w:tblPr>
      <w:tblGrid>
        <w:gridCol w:w="4390"/>
        <w:gridCol w:w="4252"/>
      </w:tblGrid>
      <w:tr w:rsidR="00324B33" w:rsidRPr="00D01DDB"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D01DDB" w:rsidRDefault="00324B33" w:rsidP="00324B33">
            <w:pPr>
              <w:rPr>
                <w:szCs w:val="22"/>
              </w:rPr>
            </w:pPr>
            <w:r w:rsidRPr="00D01DDB">
              <w:rPr>
                <w:szCs w:val="22"/>
              </w:rPr>
              <w:t>Description</w:t>
            </w:r>
          </w:p>
        </w:tc>
        <w:tc>
          <w:tcPr>
            <w:tcW w:w="4252"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4252" w:type="dxa"/>
          </w:tcPr>
          <w:p w14:paraId="2963D9D8" w14:textId="204EB900" w:rsidR="00324B33" w:rsidRPr="00D01DDB" w:rsidRDefault="00360D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2022</w:t>
            </w:r>
          </w:p>
        </w:tc>
      </w:tr>
      <w:tr w:rsidR="00324B33" w:rsidRPr="00D01DDB"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324B33" w:rsidRPr="00D01DDB" w:rsidRDefault="00324B33" w:rsidP="00324B33">
            <w:pPr>
              <w:rPr>
                <w:szCs w:val="22"/>
              </w:rPr>
            </w:pPr>
            <w:r w:rsidRPr="00D01DDB">
              <w:rPr>
                <w:szCs w:val="22"/>
              </w:rPr>
              <w:t>First round evaluation completed</w:t>
            </w:r>
          </w:p>
        </w:tc>
        <w:tc>
          <w:tcPr>
            <w:tcW w:w="4252" w:type="dxa"/>
          </w:tcPr>
          <w:p w14:paraId="3CEAFAAB" w14:textId="00FD9BE8" w:rsidR="00324B33" w:rsidRPr="00D01DDB" w:rsidRDefault="00360D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July 2022</w:t>
            </w:r>
          </w:p>
        </w:tc>
      </w:tr>
      <w:tr w:rsidR="00324B33" w:rsidRPr="00D01DDB"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4252" w:type="dxa"/>
          </w:tcPr>
          <w:p w14:paraId="68A577C1" w14:textId="1D4E8BD7" w:rsidR="00324B33" w:rsidRPr="00D01DDB" w:rsidRDefault="00360D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July 2022</w:t>
            </w:r>
          </w:p>
        </w:tc>
      </w:tr>
      <w:tr w:rsidR="00324B33" w:rsidRPr="00D01DDB"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324B33" w:rsidRPr="00D01DDB" w:rsidRDefault="00324B33" w:rsidP="00324B33">
            <w:pPr>
              <w:rPr>
                <w:szCs w:val="22"/>
              </w:rPr>
            </w:pPr>
            <w:r w:rsidRPr="00D01DDB">
              <w:rPr>
                <w:szCs w:val="22"/>
              </w:rPr>
              <w:t>Second round evaluation completed</w:t>
            </w:r>
          </w:p>
        </w:tc>
        <w:tc>
          <w:tcPr>
            <w:tcW w:w="4252" w:type="dxa"/>
          </w:tcPr>
          <w:p w14:paraId="4E47DF62" w14:textId="4679EC68" w:rsidR="00324B33" w:rsidRPr="00D01DDB" w:rsidRDefault="00360D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October 2022</w:t>
            </w:r>
          </w:p>
        </w:tc>
      </w:tr>
      <w:tr w:rsidR="00324B33" w:rsidRPr="00D01DDB"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099FCF3A" w:rsidR="00324B33" w:rsidRPr="00D01DDB" w:rsidRDefault="00324B33" w:rsidP="00324B33">
            <w:pPr>
              <w:rPr>
                <w:szCs w:val="22"/>
              </w:rPr>
            </w:pPr>
            <w:r w:rsidRPr="00D01DDB">
              <w:rPr>
                <w:szCs w:val="22"/>
              </w:rPr>
              <w:t xml:space="preserve">Delegate’s Overall benefit-risk assessment </w:t>
            </w:r>
            <w:r w:rsidRPr="00360D83">
              <w:rPr>
                <w:color w:val="auto"/>
                <w:szCs w:val="22"/>
              </w:rPr>
              <w:t>and request for Advisory Committee advice</w:t>
            </w:r>
          </w:p>
        </w:tc>
        <w:tc>
          <w:tcPr>
            <w:tcW w:w="4252" w:type="dxa"/>
          </w:tcPr>
          <w:p w14:paraId="3BA6EF79" w14:textId="5B1B0D09" w:rsidR="00360D83" w:rsidRPr="00D01DDB" w:rsidRDefault="00360D83" w:rsidP="00360D83">
            <w:pPr>
              <w:cnfStyle w:val="000000000000" w:firstRow="0" w:lastRow="0" w:firstColumn="0" w:lastColumn="0" w:oddVBand="0" w:evenVBand="0" w:oddHBand="0" w:evenHBand="0" w:firstRowFirstColumn="0" w:firstRowLastColumn="0" w:lastRowFirstColumn="0" w:lastRowLastColumn="0"/>
              <w:rPr>
                <w:szCs w:val="22"/>
              </w:rPr>
            </w:pPr>
            <w:r>
              <w:rPr>
                <w:szCs w:val="22"/>
              </w:rPr>
              <w:t>3 November 2022</w:t>
            </w:r>
          </w:p>
        </w:tc>
      </w:tr>
      <w:tr w:rsidR="00324B33" w:rsidRPr="00D01DDB"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324B33" w:rsidRPr="00D01DDB" w:rsidRDefault="00324B33" w:rsidP="00324B33">
            <w:pPr>
              <w:rPr>
                <w:szCs w:val="22"/>
              </w:rPr>
            </w:pPr>
            <w:r w:rsidRPr="00D01DDB">
              <w:rPr>
                <w:szCs w:val="22"/>
              </w:rPr>
              <w:t>Sponsor’s pre-Advisory Committee response</w:t>
            </w:r>
          </w:p>
        </w:tc>
        <w:tc>
          <w:tcPr>
            <w:tcW w:w="4252" w:type="dxa"/>
          </w:tcPr>
          <w:p w14:paraId="5AE04841" w14:textId="7B5D93DE" w:rsidR="00324B33" w:rsidRPr="00D01DDB" w:rsidRDefault="00360D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November 2022</w:t>
            </w:r>
          </w:p>
        </w:tc>
      </w:tr>
      <w:tr w:rsidR="00324B33" w:rsidRPr="00D01DDB"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324B33" w:rsidRPr="00D01DDB" w:rsidRDefault="00324B33" w:rsidP="00324B33">
            <w:pPr>
              <w:rPr>
                <w:szCs w:val="22"/>
              </w:rPr>
            </w:pPr>
            <w:r w:rsidRPr="00D01DDB">
              <w:rPr>
                <w:szCs w:val="22"/>
              </w:rPr>
              <w:t>Advisory Committee meeting</w:t>
            </w:r>
          </w:p>
        </w:tc>
        <w:tc>
          <w:tcPr>
            <w:tcW w:w="4252" w:type="dxa"/>
          </w:tcPr>
          <w:p w14:paraId="5BE1EDE7" w14:textId="28997195" w:rsidR="00324B33" w:rsidRPr="00D01DDB" w:rsidRDefault="004A01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and 2 December 2022</w:t>
            </w:r>
          </w:p>
        </w:tc>
      </w:tr>
      <w:tr w:rsidR="00324B33" w:rsidRPr="00D01DDB"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324B33" w:rsidRPr="00D01DDB" w:rsidRDefault="00324B33" w:rsidP="00324B33">
            <w:pPr>
              <w:rPr>
                <w:szCs w:val="22"/>
              </w:rPr>
            </w:pPr>
            <w:r w:rsidRPr="00D01DDB">
              <w:rPr>
                <w:szCs w:val="22"/>
              </w:rPr>
              <w:t>Registration decision (Outcome)</w:t>
            </w:r>
          </w:p>
        </w:tc>
        <w:tc>
          <w:tcPr>
            <w:tcW w:w="4252" w:type="dxa"/>
          </w:tcPr>
          <w:p w14:paraId="62987ABD" w14:textId="0D009A8B" w:rsidR="00324B33" w:rsidRPr="00D01DDB" w:rsidRDefault="004A01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January 2023</w:t>
            </w:r>
          </w:p>
        </w:tc>
      </w:tr>
      <w:tr w:rsidR="00324B33" w:rsidRPr="00D01DDB"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7D5F96C5" w:rsidR="00324B33" w:rsidRPr="00D01DDB" w:rsidRDefault="0013132F" w:rsidP="00324B33">
            <w:pPr>
              <w:rPr>
                <w:szCs w:val="22"/>
              </w:rPr>
            </w:pPr>
            <w:r>
              <w:t>Administrative activities and registration on the ARTG completed</w:t>
            </w:r>
          </w:p>
        </w:tc>
        <w:tc>
          <w:tcPr>
            <w:tcW w:w="4252" w:type="dxa"/>
          </w:tcPr>
          <w:p w14:paraId="5A8923FD" w14:textId="116AD0D3" w:rsidR="00324B33" w:rsidRPr="00D01DDB" w:rsidRDefault="004A01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January 2023</w:t>
            </w:r>
          </w:p>
        </w:tc>
      </w:tr>
      <w:tr w:rsidR="00324B33" w:rsidRPr="00D01DDB"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4252" w:type="dxa"/>
          </w:tcPr>
          <w:p w14:paraId="5BAF9FA1" w14:textId="79678986" w:rsidR="00324B33" w:rsidRPr="00D01DDB" w:rsidRDefault="004A01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7" w:name="_Toc196046504"/>
      <w:bookmarkStart w:id="28" w:name="_Toc247691527"/>
      <w:bookmarkStart w:id="29" w:name="_Toc314842510"/>
      <w:bookmarkStart w:id="30" w:name="_Toc103679294"/>
      <w:bookmarkStart w:id="31" w:name="_Toc14369380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7"/>
      <w:bookmarkEnd w:id="28"/>
      <w:bookmarkEnd w:id="29"/>
      <w:bookmarkEnd w:id="30"/>
      <w:bookmarkEnd w:id="31"/>
    </w:p>
    <w:p w14:paraId="540151FC" w14:textId="77777777" w:rsidR="00C22214" w:rsidRPr="00BD5DBD" w:rsidRDefault="00C22214" w:rsidP="00BD5DBD">
      <w:pPr>
        <w:rPr>
          <w:szCs w:val="22"/>
        </w:rPr>
      </w:pPr>
      <w:bookmarkStart w:id="32" w:name="_Toc247691528"/>
      <w:bookmarkStart w:id="33"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4" w:name="_Toc103679295"/>
      <w:bookmarkStart w:id="35" w:name="_Toc143693802"/>
      <w:r>
        <w:t>Quality</w:t>
      </w:r>
      <w:bookmarkEnd w:id="32"/>
      <w:bookmarkEnd w:id="33"/>
      <w:bookmarkEnd w:id="34"/>
      <w:bookmarkEnd w:id="35"/>
    </w:p>
    <w:p w14:paraId="21215F37" w14:textId="529904E4" w:rsidR="00CA1B2F" w:rsidRDefault="002D1F64" w:rsidP="00040357">
      <w:r w:rsidRPr="002D1F64">
        <w:t xml:space="preserve">The drug substance composition is per </w:t>
      </w:r>
      <w:r w:rsidR="00D12910">
        <w:fldChar w:fldCharType="begin"/>
      </w:r>
      <w:r w:rsidR="00D12910">
        <w:instrText xml:space="preserve"> REF _Ref141782874 \h </w:instrText>
      </w:r>
      <w:r w:rsidR="00D12910">
        <w:fldChar w:fldCharType="separate"/>
      </w:r>
      <w:r w:rsidR="005630CE" w:rsidRPr="00D12910">
        <w:t xml:space="preserve">Table </w:t>
      </w:r>
      <w:r w:rsidR="005630CE">
        <w:rPr>
          <w:noProof/>
        </w:rPr>
        <w:t>3</w:t>
      </w:r>
      <w:r w:rsidR="00D12910">
        <w:fldChar w:fldCharType="end"/>
      </w:r>
      <w:r w:rsidRPr="002D1F64">
        <w:t xml:space="preserve"> and the excipients are p</w:t>
      </w:r>
      <w:r w:rsidR="00D12910">
        <w:t xml:space="preserve">er </w:t>
      </w:r>
      <w:r w:rsidR="00D12910">
        <w:fldChar w:fldCharType="begin"/>
      </w:r>
      <w:r w:rsidR="00D12910">
        <w:instrText xml:space="preserve"> REF _Ref141782882 \h </w:instrText>
      </w:r>
      <w:r w:rsidR="00D12910">
        <w:fldChar w:fldCharType="separate"/>
      </w:r>
      <w:r w:rsidR="005630CE" w:rsidRPr="00D12910">
        <w:t xml:space="preserve">Table </w:t>
      </w:r>
      <w:r w:rsidR="005630CE">
        <w:rPr>
          <w:noProof/>
        </w:rPr>
        <w:t>4</w:t>
      </w:r>
      <w:r w:rsidR="00D12910">
        <w:fldChar w:fldCharType="end"/>
      </w:r>
      <w:r w:rsidRPr="002D1F64">
        <w:t>.</w:t>
      </w:r>
    </w:p>
    <w:p w14:paraId="01181087" w14:textId="49BB12C6" w:rsidR="002D1F64" w:rsidRDefault="002D1F64" w:rsidP="00D12910">
      <w:pPr>
        <w:pStyle w:val="TableTitle"/>
      </w:pPr>
      <w:bookmarkStart w:id="36" w:name="_Ref141782874"/>
      <w:r w:rsidRPr="00D12910">
        <w:t xml:space="preserve">Table </w:t>
      </w:r>
      <w:fldSimple w:instr=" SEQ Table \* ARABIC ">
        <w:r w:rsidR="005630CE">
          <w:rPr>
            <w:noProof/>
          </w:rPr>
          <w:t>3</w:t>
        </w:r>
      </w:fldSimple>
      <w:bookmarkEnd w:id="36"/>
      <w:r>
        <w:t xml:space="preserve">: </w:t>
      </w:r>
      <w:r w:rsidR="004F6E4F">
        <w:t>Composition of drug substance</w:t>
      </w:r>
    </w:p>
    <w:p w14:paraId="2F063C88" w14:textId="172BAE77" w:rsidR="00331430" w:rsidRDefault="00194564" w:rsidP="00331430">
      <w:r>
        <w:rPr>
          <w:noProof/>
        </w:rPr>
        <w:drawing>
          <wp:inline distT="0" distB="0" distL="0" distR="0" wp14:anchorId="01D0D8C9" wp14:editId="1269C259">
            <wp:extent cx="3585843" cy="1236268"/>
            <wp:effectExtent l="0" t="0" r="0" b="2540"/>
            <wp:docPr id="16" name="Picture 16" descr="Composition of drug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osition of drug substance"/>
                    <pic:cNvPicPr/>
                  </pic:nvPicPr>
                  <pic:blipFill rotWithShape="1">
                    <a:blip r:embed="rId24"/>
                    <a:srcRect l="1915" t="5673" r="38829" b="3536"/>
                    <a:stretch/>
                  </pic:blipFill>
                  <pic:spPr bwMode="auto">
                    <a:xfrm>
                      <a:off x="0" y="0"/>
                      <a:ext cx="3595573" cy="1239623"/>
                    </a:xfrm>
                    <a:prstGeom prst="rect">
                      <a:avLst/>
                    </a:prstGeom>
                    <a:ln>
                      <a:noFill/>
                    </a:ln>
                    <a:extLst>
                      <a:ext uri="{53640926-AAD7-44D8-BBD7-CCE9431645EC}">
                        <a14:shadowObscured xmlns:a14="http://schemas.microsoft.com/office/drawing/2010/main"/>
                      </a:ext>
                    </a:extLst>
                  </pic:spPr>
                </pic:pic>
              </a:graphicData>
            </a:graphic>
          </wp:inline>
        </w:drawing>
      </w:r>
    </w:p>
    <w:p w14:paraId="649D036B" w14:textId="5F8FF5D8" w:rsidR="008259B1" w:rsidRPr="00331430" w:rsidRDefault="008259B1" w:rsidP="008259B1">
      <w:pPr>
        <w:pStyle w:val="TableDescription"/>
      </w:pPr>
      <w:r>
        <w:lastRenderedPageBreak/>
        <w:t xml:space="preserve">Abbreviation: </w:t>
      </w:r>
      <w:r w:rsidRPr="008259B1">
        <w:t>NTNH=non-toxic, no haemagglutinin; HA = haemagglutinin</w:t>
      </w:r>
    </w:p>
    <w:p w14:paraId="57E5BF80" w14:textId="00AB8EF0" w:rsidR="002D1F64" w:rsidRDefault="002D1F64" w:rsidP="00D12910">
      <w:pPr>
        <w:pStyle w:val="TableTitle"/>
      </w:pPr>
      <w:bookmarkStart w:id="37" w:name="_Ref141782882"/>
      <w:r w:rsidRPr="00D12910">
        <w:t xml:space="preserve">Table </w:t>
      </w:r>
      <w:fldSimple w:instr=" SEQ Table \* ARABIC ">
        <w:r w:rsidR="005630CE">
          <w:rPr>
            <w:noProof/>
          </w:rPr>
          <w:t>4</w:t>
        </w:r>
      </w:fldSimple>
      <w:bookmarkEnd w:id="37"/>
      <w:r w:rsidRPr="00D12910">
        <w:t>:</w:t>
      </w:r>
      <w:r w:rsidR="00331430">
        <w:t xml:space="preserve"> </w:t>
      </w:r>
      <w:r w:rsidR="00331430" w:rsidRPr="00331430">
        <w:t>Excipients used in drug product</w:t>
      </w:r>
    </w:p>
    <w:p w14:paraId="5E5ECF98" w14:textId="1F877FA3" w:rsidR="00194564" w:rsidRPr="00194564" w:rsidRDefault="00B2545A" w:rsidP="00B2545A">
      <w:pPr>
        <w:tabs>
          <w:tab w:val="left" w:pos="3261"/>
        </w:tabs>
      </w:pPr>
      <w:r>
        <w:rPr>
          <w:noProof/>
        </w:rPr>
        <w:drawing>
          <wp:inline distT="0" distB="0" distL="0" distR="0" wp14:anchorId="2C385C91" wp14:editId="741BF898">
            <wp:extent cx="5413248" cy="1701220"/>
            <wp:effectExtent l="0" t="0" r="0" b="0"/>
            <wp:docPr id="17" name="Picture 17" descr="Excipients used in dru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cipients used in drug product"/>
                    <pic:cNvPicPr/>
                  </pic:nvPicPr>
                  <pic:blipFill rotWithShape="1">
                    <a:blip r:embed="rId25"/>
                    <a:srcRect l="3318" t="4533" b="5551"/>
                    <a:stretch/>
                  </pic:blipFill>
                  <pic:spPr bwMode="auto">
                    <a:xfrm>
                      <a:off x="0" y="0"/>
                      <a:ext cx="5418843" cy="1702978"/>
                    </a:xfrm>
                    <a:prstGeom prst="rect">
                      <a:avLst/>
                    </a:prstGeom>
                    <a:ln>
                      <a:noFill/>
                    </a:ln>
                    <a:extLst>
                      <a:ext uri="{53640926-AAD7-44D8-BBD7-CCE9431645EC}">
                        <a14:shadowObscured xmlns:a14="http://schemas.microsoft.com/office/drawing/2010/main"/>
                      </a:ext>
                    </a:extLst>
                  </pic:spPr>
                </pic:pic>
              </a:graphicData>
            </a:graphic>
          </wp:inline>
        </w:drawing>
      </w:r>
    </w:p>
    <w:p w14:paraId="09A58F46" w14:textId="46E441E6" w:rsidR="00040357" w:rsidRPr="00023343" w:rsidRDefault="004D26B5" w:rsidP="00023343">
      <w:r w:rsidRPr="00023343">
        <w:t xml:space="preserve">The </w:t>
      </w:r>
      <w:r w:rsidR="00794B9E">
        <w:t>quality</w:t>
      </w:r>
      <w:r w:rsidR="00794B9E" w:rsidRPr="00023343">
        <w:t xml:space="preserve"> </w:t>
      </w:r>
      <w:r w:rsidRPr="00023343">
        <w:t xml:space="preserve">evaluator commented that </w:t>
      </w:r>
      <w:r w:rsidR="007A6470" w:rsidRPr="00023343">
        <w:t>the sponsor has provided adequate information to ensure the product’s quality for registration. It is recommended that the following product is suitable for approval with regard to manufacturing quality. However, this recommendation is subject to resolution of the outstanding issue in relation to sterility aspect.</w:t>
      </w:r>
      <w:bookmarkStart w:id="38" w:name="_Ref144208589"/>
      <w:r w:rsidR="003A4EC1">
        <w:rPr>
          <w:rStyle w:val="FootnoteReference"/>
        </w:rPr>
        <w:footnoteReference w:id="4"/>
      </w:r>
      <w:bookmarkEnd w:id="38"/>
    </w:p>
    <w:p w14:paraId="7C5AFDE7" w14:textId="49EF516E" w:rsidR="00023343" w:rsidRPr="00023343" w:rsidRDefault="00023343" w:rsidP="00023343">
      <w:r w:rsidRPr="00023343">
        <w:t xml:space="preserve">The drug substance is produced from stocks of the working cell bank via fermentation in </w:t>
      </w:r>
      <w:r w:rsidRPr="00023343">
        <w:rPr>
          <w:i/>
          <w:iCs/>
        </w:rPr>
        <w:t>Clostridium botulinum</w:t>
      </w:r>
      <w:r w:rsidRPr="00023343">
        <w:t xml:space="preserve"> cultures. It is stored at </w:t>
      </w:r>
      <w:r>
        <w:t>-</w:t>
      </w:r>
      <w:r w:rsidRPr="00023343">
        <w:t xml:space="preserve"> 70</w:t>
      </w:r>
      <w:r w:rsidRPr="00023343">
        <w:rPr>
          <w:vertAlign w:val="superscript"/>
        </w:rPr>
        <w:t>o</w:t>
      </w:r>
      <w:r w:rsidRPr="00023343">
        <w:t>C until it is used to formulate the drug product.</w:t>
      </w:r>
    </w:p>
    <w:p w14:paraId="49CB92BC" w14:textId="61EF9CAA" w:rsidR="00023343" w:rsidRPr="00023343" w:rsidRDefault="00023343" w:rsidP="00023343">
      <w:r w:rsidRPr="00023343">
        <w:t>The drug product is a sterile, white to yellowish, preservative</w:t>
      </w:r>
      <w:r w:rsidR="00D743BE">
        <w:t xml:space="preserve"> </w:t>
      </w:r>
      <w:r w:rsidRPr="00023343">
        <w:t>free, vacuum dried powder. D</w:t>
      </w:r>
      <w:r>
        <w:t>rug product</w:t>
      </w:r>
      <w:r w:rsidRPr="00023343">
        <w:t xml:space="preserve"> is reconstituted with commercially available, preservative free, 0.9% sodium chloride compliant with the USP and/or European Pharmacopoeia (Ph. Eur.) to form a clear, transparent solution.</w:t>
      </w:r>
    </w:p>
    <w:p w14:paraId="21C90E0A" w14:textId="04F004CA" w:rsidR="00023343" w:rsidRPr="00023343" w:rsidRDefault="00023343" w:rsidP="00023343">
      <w:r w:rsidRPr="00023343">
        <w:t xml:space="preserve">The drug product has been appropriately characterised or controlled in accordance with </w:t>
      </w:r>
      <w:r w:rsidR="00D743BE" w:rsidRPr="00D743BE">
        <w:t>International Conference on Harmonisation</w:t>
      </w:r>
      <w:r w:rsidR="00D743BE">
        <w:t xml:space="preserve"> (</w:t>
      </w:r>
      <w:r w:rsidRPr="00023343">
        <w:t>ICH</w:t>
      </w:r>
      <w:r w:rsidR="00D743BE">
        <w:t>)</w:t>
      </w:r>
      <w:r w:rsidRPr="00023343">
        <w:t xml:space="preserve"> guidelines. The manufacturing sites and responsibilities have been identified. The acceptance criteria data and validations methods are considered fit for purpose. Impurities have been characterised (product related, process related and related to forced degradation) and controlled.</w:t>
      </w:r>
    </w:p>
    <w:p w14:paraId="392C6402" w14:textId="676E1056" w:rsidR="00023343" w:rsidRPr="00023343" w:rsidRDefault="00023343" w:rsidP="00023343">
      <w:r w:rsidRPr="00023343">
        <w:t xml:space="preserve">The shelf life data submitted was acceptable and claims 36 months at ≤ </w:t>
      </w:r>
      <w:r w:rsidR="00E73D1C">
        <w:t xml:space="preserve">- </w:t>
      </w:r>
      <w:r w:rsidRPr="00023343">
        <w:t>70</w:t>
      </w:r>
      <w:r w:rsidRPr="00E73D1C">
        <w:rPr>
          <w:vertAlign w:val="superscript"/>
        </w:rPr>
        <w:t>o</w:t>
      </w:r>
      <w:r w:rsidRPr="00023343">
        <w:t>C (drug substance) and 36 months at 5 +/- 3</w:t>
      </w:r>
      <w:r w:rsidRPr="00E73D1C">
        <w:rPr>
          <w:vertAlign w:val="superscript"/>
        </w:rPr>
        <w:t>o</w:t>
      </w:r>
      <w:r w:rsidRPr="00023343">
        <w:t>C (drug product) and 72 hours for reconstituted drug product (maximum 24 hours actually recommended due to microbiological hazard).</w:t>
      </w:r>
    </w:p>
    <w:p w14:paraId="77057A6A" w14:textId="77777777" w:rsidR="00023343" w:rsidRPr="00023343" w:rsidRDefault="00023343" w:rsidP="00023343">
      <w:r w:rsidRPr="00023343">
        <w:t>Photodegradation was apparent after 150 hours under overall illumination &gt; 1.2 million lux.hr.</w:t>
      </w:r>
    </w:p>
    <w:p w14:paraId="28361E9C" w14:textId="2F27B3FB" w:rsidR="00023343" w:rsidRPr="00023343" w:rsidRDefault="00023343" w:rsidP="00023343">
      <w:r w:rsidRPr="00023343">
        <w:t>Infectious diseases/viral safety – the risks related to this product have been controlled to an acceptable level.</w:t>
      </w:r>
    </w:p>
    <w:p w14:paraId="2232636F" w14:textId="3F796BC5" w:rsidR="00023343" w:rsidRDefault="00CA5D95" w:rsidP="00023343">
      <w:r>
        <w:t>The</w:t>
      </w:r>
      <w:r w:rsidR="00023343" w:rsidRPr="00023343">
        <w:t xml:space="preserve"> safety of the container closure system is acceptable.</w:t>
      </w:r>
      <w:r w:rsidR="0017042F">
        <w:t xml:space="preserve"> </w:t>
      </w:r>
      <w:r>
        <w:t>The</w:t>
      </w:r>
      <w:r w:rsidR="00023343" w:rsidRPr="00023343">
        <w:t xml:space="preserve"> endotoxin evaluation is acceptable.</w:t>
      </w:r>
    </w:p>
    <w:p w14:paraId="2BE90AAE" w14:textId="77777777" w:rsidR="00C22214" w:rsidRDefault="00C22214" w:rsidP="00C22214">
      <w:pPr>
        <w:pStyle w:val="Heading3"/>
      </w:pPr>
      <w:bookmarkStart w:id="39" w:name="_Toc314842512"/>
      <w:bookmarkStart w:id="40" w:name="_Toc103679296"/>
      <w:bookmarkStart w:id="41" w:name="_Toc143693803"/>
      <w:r>
        <w:t>Nonclinical</w:t>
      </w:r>
      <w:bookmarkEnd w:id="39"/>
      <w:bookmarkEnd w:id="40"/>
      <w:bookmarkEnd w:id="41"/>
    </w:p>
    <w:p w14:paraId="53EDCE30" w14:textId="26A0BC62" w:rsidR="00213D69" w:rsidRPr="00213D69" w:rsidRDefault="00213D69" w:rsidP="00213D69">
      <w:bookmarkStart w:id="42" w:name="_Toc247691530"/>
      <w:bookmarkStart w:id="43" w:name="_Toc314842513"/>
      <w:bookmarkStart w:id="44" w:name="_Toc103679297"/>
      <w:r w:rsidRPr="00213D69">
        <w:t>There are no nonclinical objections to registration.</w:t>
      </w:r>
    </w:p>
    <w:p w14:paraId="650BD6EF" w14:textId="60DAC3D0" w:rsidR="00213D69" w:rsidRPr="00213D69" w:rsidRDefault="00213D69" w:rsidP="00213D69">
      <w:r w:rsidRPr="00213D69">
        <w:t xml:space="preserve">The scope of the </w:t>
      </w:r>
      <w:r>
        <w:t>nonclinical</w:t>
      </w:r>
      <w:r w:rsidRPr="00213D69">
        <w:t xml:space="preserve"> dossier was considered as adequate. Studies comparing prabotulinumtoxinA with</w:t>
      </w:r>
      <w:r>
        <w:t xml:space="preserve"> </w:t>
      </w:r>
      <w:r w:rsidR="00D743BE">
        <w:t>B</w:t>
      </w:r>
      <w:r>
        <w:t>otox</w:t>
      </w:r>
      <w:r w:rsidRPr="00213D69">
        <w:t xml:space="preserve"> explored potential differences with another drug in the class with common clinical use. There were differences between the drug formulation used in various non-clinical studies (</w:t>
      </w:r>
      <w:r>
        <w:t>for example,</w:t>
      </w:r>
      <w:r w:rsidRPr="00213D69">
        <w:t xml:space="preserve"> lyophilised v</w:t>
      </w:r>
      <w:r>
        <w:t>ersus</w:t>
      </w:r>
      <w:r w:rsidRPr="00213D69">
        <w:t xml:space="preserve"> vacuum</w:t>
      </w:r>
      <w:r w:rsidR="00D743BE">
        <w:t xml:space="preserve"> </w:t>
      </w:r>
      <w:r w:rsidRPr="00213D69">
        <w:t xml:space="preserve">dried), but the drug substance was </w:t>
      </w:r>
      <w:r w:rsidRPr="00213D69">
        <w:lastRenderedPageBreak/>
        <w:t>the same. Potential differences between these nonclinical formulations and between the clinical formulation were explored.</w:t>
      </w:r>
    </w:p>
    <w:p w14:paraId="12418451" w14:textId="319B81C9" w:rsidR="00213D69" w:rsidRPr="00213D69" w:rsidRDefault="00213D69" w:rsidP="00213D69">
      <w:r w:rsidRPr="00A35E5A">
        <w:rPr>
          <w:i/>
          <w:iCs/>
        </w:rPr>
        <w:t>In vivo</w:t>
      </w:r>
      <w:r w:rsidRPr="00213D69">
        <w:t xml:space="preserve"> rat studies looking at muscle action potential following hindlimb injection, found similar pharmacological effects between lyophilised and vacuum-dried formulations of </w:t>
      </w:r>
      <w:proofErr w:type="spellStart"/>
      <w:r w:rsidRPr="00213D69">
        <w:t>prabotulinumtoxin</w:t>
      </w:r>
      <w:proofErr w:type="spellEnd"/>
      <w:r w:rsidR="00D743BE">
        <w:t xml:space="preserve"> </w:t>
      </w:r>
      <w:r w:rsidRPr="00213D69">
        <w:t xml:space="preserve">A and </w:t>
      </w:r>
      <w:r w:rsidR="00D743BE">
        <w:t>B</w:t>
      </w:r>
      <w:r w:rsidR="004B009B">
        <w:t>otox</w:t>
      </w:r>
      <w:r w:rsidRPr="00213D69">
        <w:t>.</w:t>
      </w:r>
    </w:p>
    <w:p w14:paraId="767DC3B5" w14:textId="77777777" w:rsidR="00213D69" w:rsidRPr="00213D69" w:rsidRDefault="00213D69" w:rsidP="00213D69">
      <w:r w:rsidRPr="00213D69">
        <w:t>Due to the nature of drug, the following studies were not conducted:</w:t>
      </w:r>
    </w:p>
    <w:p w14:paraId="51C9DE01" w14:textId="77777777" w:rsidR="00213D69" w:rsidRDefault="00213D69" w:rsidP="00213D69">
      <w:pPr>
        <w:pStyle w:val="ListBullet"/>
      </w:pPr>
      <w:r>
        <w:t>Secondary pharmacodynamics</w:t>
      </w:r>
    </w:p>
    <w:p w14:paraId="4856B1E4" w14:textId="043990EC" w:rsidR="00213D69" w:rsidRDefault="00213D69" w:rsidP="00213D69">
      <w:pPr>
        <w:pStyle w:val="ListBullet"/>
      </w:pPr>
      <w:r>
        <w:t xml:space="preserve">Safety pharmacology (although a repeat-dose dog toxicity study did not observe ECG effects at ≤ 32 </w:t>
      </w:r>
      <w:r w:rsidR="00A35E5A">
        <w:t>units</w:t>
      </w:r>
      <w:r>
        <w:t>/kg/week).</w:t>
      </w:r>
    </w:p>
    <w:p w14:paraId="40F35663" w14:textId="77777777" w:rsidR="00213D69" w:rsidRDefault="00213D69" w:rsidP="00213D69">
      <w:pPr>
        <w:pStyle w:val="ListBullet"/>
      </w:pPr>
      <w:r>
        <w:t>Pharmacokinetics</w:t>
      </w:r>
    </w:p>
    <w:p w14:paraId="5245F6A5" w14:textId="77777777" w:rsidR="00213D69" w:rsidRDefault="00213D69" w:rsidP="00213D69">
      <w:pPr>
        <w:pStyle w:val="ListBullet"/>
      </w:pPr>
      <w:r>
        <w:t>Drug interaction studies</w:t>
      </w:r>
    </w:p>
    <w:p w14:paraId="6113FA3F" w14:textId="77777777" w:rsidR="00213D69" w:rsidRDefault="00213D69" w:rsidP="00213D69">
      <w:pPr>
        <w:pStyle w:val="ListBullet"/>
      </w:pPr>
      <w:r>
        <w:t>Genotoxicity</w:t>
      </w:r>
    </w:p>
    <w:p w14:paraId="567428B7" w14:textId="77777777" w:rsidR="00213D69" w:rsidRPr="005010F4" w:rsidRDefault="00213D69" w:rsidP="00213D69">
      <w:pPr>
        <w:pStyle w:val="ListBullet"/>
      </w:pPr>
      <w:r>
        <w:t>Carcinogenicity</w:t>
      </w:r>
    </w:p>
    <w:p w14:paraId="414AC88D" w14:textId="685E4A56" w:rsidR="00213D69" w:rsidRPr="00213D69" w:rsidRDefault="00213D69" w:rsidP="00A35E5A">
      <w:pPr>
        <w:tabs>
          <w:tab w:val="left" w:pos="993"/>
        </w:tabs>
      </w:pPr>
      <w:r w:rsidRPr="00213D69">
        <w:t>Single dose toxicity studies</w:t>
      </w:r>
      <w:r>
        <w:t xml:space="preserve"> were performed</w:t>
      </w:r>
      <w:r w:rsidRPr="00213D69">
        <w:t xml:space="preserve"> nearly all in rat hindlimb injection had expected findings of dose</w:t>
      </w:r>
      <w:r>
        <w:t xml:space="preserve"> </w:t>
      </w:r>
      <w:r w:rsidRPr="00213D69">
        <w:t xml:space="preserve">dependent impaired limb function, paralytic gait, muscular atrophy, </w:t>
      </w:r>
      <w:r w:rsidR="003E37A4">
        <w:t>reduced</w:t>
      </w:r>
      <w:r w:rsidRPr="00213D69">
        <w:t xml:space="preserve"> food consumption and body weight. High doses in male rats led to atrophy/degermation of seminiferous tubules which were considered related to</w:t>
      </w:r>
      <w:r w:rsidR="002A6784">
        <w:t xml:space="preserve"> </w:t>
      </w:r>
      <w:r w:rsidR="003E37A4">
        <w:t>hind</w:t>
      </w:r>
      <w:r w:rsidRPr="00213D69">
        <w:t xml:space="preserve">limb paralysis and testicular hypothermia. Mortality occurred at ≥ 200 </w:t>
      </w:r>
      <w:r w:rsidR="00D743BE">
        <w:t>units</w:t>
      </w:r>
      <w:r w:rsidRPr="00213D69">
        <w:t>/kg. The dog toxicology studies were considered of limited relevance given the insensitivity of the species.</w:t>
      </w:r>
    </w:p>
    <w:p w14:paraId="6CFC9B6B" w14:textId="6753E2E8" w:rsidR="00213D69" w:rsidRPr="00213D69" w:rsidRDefault="00213D69" w:rsidP="00213D69">
      <w:r w:rsidRPr="00213D69">
        <w:t xml:space="preserve">Comparability studies suggested the proposed commercial product may be more potent than </w:t>
      </w:r>
      <w:proofErr w:type="spellStart"/>
      <w:r>
        <w:t>botox</w:t>
      </w:r>
      <w:proofErr w:type="spellEnd"/>
      <w:r w:rsidRPr="00213D69">
        <w:t>.</w:t>
      </w:r>
    </w:p>
    <w:p w14:paraId="31E33BAD" w14:textId="5C185886" w:rsidR="00213D69" w:rsidRPr="00213D69" w:rsidRDefault="00213D69" w:rsidP="00213D69">
      <w:r w:rsidRPr="00213D69">
        <w:t>Seven repeat-dose toxicity studies were conducted (</w:t>
      </w:r>
      <w:r>
        <w:t>five</w:t>
      </w:r>
      <w:r w:rsidRPr="00213D69">
        <w:t xml:space="preserve"> in rats and </w:t>
      </w:r>
      <w:r>
        <w:t>two</w:t>
      </w:r>
      <w:r w:rsidRPr="00213D69">
        <w:t xml:space="preserve"> in dogs; all </w:t>
      </w:r>
      <w:r w:rsidR="004B009B">
        <w:t>Good Laboratory Practice [</w:t>
      </w:r>
      <w:r w:rsidRPr="00213D69">
        <w:t>GLP</w:t>
      </w:r>
      <w:r w:rsidR="004B009B">
        <w:t>]</w:t>
      </w:r>
      <w:r w:rsidRPr="00213D69">
        <w:t xml:space="preserve"> except for one dog study). As well as 4</w:t>
      </w:r>
      <w:r>
        <w:t xml:space="preserve"> to </w:t>
      </w:r>
      <w:r w:rsidRPr="00213D69">
        <w:t>5 week studies (dosed weekly), there was a 6 month study (dosed monthly) in rats. The 6 month study was consistent with the relevant ICH guideline.</w:t>
      </w:r>
    </w:p>
    <w:p w14:paraId="75753396" w14:textId="61B802EB" w:rsidR="00213D69" w:rsidRPr="00213D69" w:rsidRDefault="00213D69" w:rsidP="00213D69">
      <w:r w:rsidRPr="00213D69">
        <w:t>The dose ratio from the 6 month rat study indicate a minimum value of 30 compared to the proposed human dose. Overall</w:t>
      </w:r>
      <w:r w:rsidR="004B009B">
        <w:t>,</w:t>
      </w:r>
      <w:r w:rsidRPr="00213D69">
        <w:t xml:space="preserve"> the findings were consistent with the expected toxicity of this product.</w:t>
      </w:r>
    </w:p>
    <w:p w14:paraId="2C48F63B" w14:textId="092AC6A1" w:rsidR="00213D69" w:rsidRPr="00213D69" w:rsidRDefault="00213D69" w:rsidP="00213D69">
      <w:r w:rsidRPr="00213D69">
        <w:t>A GLP</w:t>
      </w:r>
      <w:r w:rsidR="00D743BE">
        <w:t xml:space="preserve"> </w:t>
      </w:r>
      <w:r w:rsidRPr="00213D69">
        <w:t>compliant embryo</w:t>
      </w:r>
      <w:r w:rsidR="00D743BE">
        <w:t xml:space="preserve"> </w:t>
      </w:r>
      <w:r w:rsidRPr="00213D69">
        <w:t>foetal study was conducted in rats. No significant toxicity was seen following</w:t>
      </w:r>
      <w:r w:rsidR="004B009B">
        <w:t xml:space="preserve"> intramuscular </w:t>
      </w:r>
      <w:r w:rsidRPr="00213D69">
        <w:t>injection of up to 4</w:t>
      </w:r>
      <w:r w:rsidR="00D743BE">
        <w:t xml:space="preserve"> </w:t>
      </w:r>
      <w:r w:rsidR="00A35E5A">
        <w:t>units</w:t>
      </w:r>
      <w:r w:rsidRPr="00213D69">
        <w:t xml:space="preserve">/kg/day for 11 days during organogenesis. The </w:t>
      </w:r>
      <w:r w:rsidR="004B009B">
        <w:t>nonclinical e</w:t>
      </w:r>
      <w:r w:rsidRPr="00213D69">
        <w:t>valuator noted that studies with other botulinum toxin drugs have shown developmental effects (lower foetal weights, delayed ossification, abortions, embryo-foetal lethality) in the context of maternal toxicity. The Pregnancy Category B3</w:t>
      </w:r>
      <w:r w:rsidR="004B009B">
        <w:t>;</w:t>
      </w:r>
      <w:r w:rsidR="004B009B">
        <w:rPr>
          <w:rStyle w:val="FootnoteReference"/>
        </w:rPr>
        <w:footnoteReference w:id="5"/>
      </w:r>
      <w:r w:rsidRPr="00213D69">
        <w:t xml:space="preserve"> is appropriate and consistent with other drugs in the class.</w:t>
      </w:r>
    </w:p>
    <w:p w14:paraId="58C6C1E0" w14:textId="28E98EEB" w:rsidR="00213D69" w:rsidRPr="00213D69" w:rsidRDefault="00213D69" w:rsidP="00213D69">
      <w:r w:rsidRPr="00213D69">
        <w:t xml:space="preserve">Placental transfer and milk excretion of </w:t>
      </w:r>
      <w:proofErr w:type="spellStart"/>
      <w:r w:rsidRPr="00213D69">
        <w:t>prabotulinumtoxin</w:t>
      </w:r>
      <w:proofErr w:type="spellEnd"/>
      <w:r w:rsidR="00D743BE">
        <w:t xml:space="preserve"> </w:t>
      </w:r>
      <w:r w:rsidRPr="00213D69">
        <w:t xml:space="preserve">A have not been evaluated. No fertility or pre/postnatal development toxicity studies were submitted. The </w:t>
      </w:r>
      <w:r>
        <w:t>nonclinical e</w:t>
      </w:r>
      <w:r w:rsidRPr="00213D69">
        <w:t>valuator noted that the</w:t>
      </w:r>
      <w:r>
        <w:t xml:space="preserve"> </w:t>
      </w:r>
      <w:r w:rsidR="00D743BE">
        <w:t>B</w:t>
      </w:r>
      <w:r>
        <w:t>otox</w:t>
      </w:r>
      <w:r w:rsidRPr="00213D69">
        <w:t xml:space="preserve"> Product Information references decreased fertility with higher doses.</w:t>
      </w:r>
    </w:p>
    <w:p w14:paraId="35B580A5" w14:textId="69B9BE44" w:rsidR="00C22214" w:rsidRDefault="00C22214" w:rsidP="008804CF">
      <w:pPr>
        <w:pStyle w:val="Heading3"/>
      </w:pPr>
      <w:bookmarkStart w:id="45" w:name="_Toc143693804"/>
      <w:r>
        <w:lastRenderedPageBreak/>
        <w:t>Clinical</w:t>
      </w:r>
      <w:bookmarkEnd w:id="42"/>
      <w:bookmarkEnd w:id="43"/>
      <w:bookmarkEnd w:id="44"/>
      <w:bookmarkEnd w:id="45"/>
    </w:p>
    <w:p w14:paraId="32B0DEDA" w14:textId="77777777" w:rsidR="00C22214" w:rsidRPr="00433318" w:rsidRDefault="00C22214" w:rsidP="00433318">
      <w:pPr>
        <w:pStyle w:val="Heading4"/>
      </w:pPr>
      <w:bookmarkStart w:id="46" w:name="_Toc98931928"/>
      <w:bookmarkStart w:id="47" w:name="_Toc143693805"/>
      <w:r>
        <w:t>Summary of clinical studies</w:t>
      </w:r>
      <w:bookmarkEnd w:id="46"/>
      <w:bookmarkEnd w:id="47"/>
    </w:p>
    <w:p w14:paraId="72F0A012" w14:textId="3F791FA3" w:rsidR="001F6F18" w:rsidRDefault="001F6F18" w:rsidP="001F6F18">
      <w:r w:rsidRPr="001F6F18">
        <w:t xml:space="preserve">The clinical data are obtained from </w:t>
      </w:r>
      <w:r>
        <w:t>five</w:t>
      </w:r>
      <w:r w:rsidRPr="001F6F18">
        <w:t xml:space="preserve"> studies that were designed to meet the registration requirements of both the </w:t>
      </w:r>
      <w:r w:rsidR="00D743BE" w:rsidRPr="00D743BE">
        <w:t xml:space="preserve">Food and Drug Administration </w:t>
      </w:r>
      <w:r w:rsidR="00D743BE">
        <w:t>(</w:t>
      </w:r>
      <w:r w:rsidRPr="001F6F18">
        <w:t>FDA</w:t>
      </w:r>
      <w:r w:rsidR="00D743BE">
        <w:t>)</w:t>
      </w:r>
      <w:r w:rsidRPr="001F6F18">
        <w:t xml:space="preserve"> and </w:t>
      </w:r>
      <w:r w:rsidR="00D743BE">
        <w:t>European Union (</w:t>
      </w:r>
      <w:r w:rsidRPr="001F6F18">
        <w:t>EU</w:t>
      </w:r>
      <w:r w:rsidR="00D743BE">
        <w:t>)</w:t>
      </w:r>
      <w:r w:rsidRPr="001F6F18">
        <w:t xml:space="preserve">. The </w:t>
      </w:r>
      <w:r>
        <w:t>five</w:t>
      </w:r>
      <w:r w:rsidRPr="001F6F18">
        <w:t xml:space="preserve"> studies comprised </w:t>
      </w:r>
      <w:r>
        <w:t>three</w:t>
      </w:r>
      <w:r w:rsidRPr="001F6F18">
        <w:t xml:space="preserve"> </w:t>
      </w:r>
      <w:r>
        <w:t>P</w:t>
      </w:r>
      <w:r w:rsidRPr="001F6F18">
        <w:t xml:space="preserve">hase </w:t>
      </w:r>
      <w:r>
        <w:t>III</w:t>
      </w:r>
      <w:r w:rsidRPr="001F6F18">
        <w:t xml:space="preserve"> randomised, controlled single dose studies and two </w:t>
      </w:r>
      <w:r>
        <w:t>P</w:t>
      </w:r>
      <w:r w:rsidRPr="001F6F18">
        <w:t xml:space="preserve">hase </w:t>
      </w:r>
      <w:r>
        <w:t>II</w:t>
      </w:r>
      <w:r w:rsidRPr="001F6F18">
        <w:t xml:space="preserve"> open</w:t>
      </w:r>
      <w:r>
        <w:t xml:space="preserve"> </w:t>
      </w:r>
      <w:r w:rsidRPr="001F6F18">
        <w:t>label multiple dose studies of 12 months duration (</w:t>
      </w:r>
      <w:r>
        <w:fldChar w:fldCharType="begin"/>
      </w:r>
      <w:r>
        <w:instrText xml:space="preserve"> REF _Ref143590670 \h </w:instrText>
      </w:r>
      <w:r>
        <w:fldChar w:fldCharType="separate"/>
      </w:r>
      <w:r w:rsidR="005630CE" w:rsidRPr="001F6F18">
        <w:t xml:space="preserve">Table </w:t>
      </w:r>
      <w:r w:rsidR="005630CE">
        <w:rPr>
          <w:noProof/>
        </w:rPr>
        <w:t>5</w:t>
      </w:r>
      <w:r>
        <w:fldChar w:fldCharType="end"/>
      </w:r>
      <w:r w:rsidRPr="001F6F18">
        <w:t>).</w:t>
      </w:r>
    </w:p>
    <w:p w14:paraId="7BD1FED2" w14:textId="173250F8" w:rsidR="001F6F18" w:rsidRDefault="001F6F18" w:rsidP="001F6F18">
      <w:pPr>
        <w:pStyle w:val="TableTitle"/>
      </w:pPr>
      <w:bookmarkStart w:id="48" w:name="_Ref143590670"/>
      <w:r w:rsidRPr="001F6F18">
        <w:t xml:space="preserve">Table </w:t>
      </w:r>
      <w:fldSimple w:instr=" SEQ Table \* ARABIC ">
        <w:r w:rsidR="005630CE">
          <w:rPr>
            <w:noProof/>
          </w:rPr>
          <w:t>5</w:t>
        </w:r>
      </w:fldSimple>
      <w:bookmarkEnd w:id="48"/>
      <w:r>
        <w:t>: Listing of all clinical studies</w:t>
      </w:r>
    </w:p>
    <w:p w14:paraId="2F73C058" w14:textId="27222236" w:rsidR="001F6F18" w:rsidRDefault="001F6F18" w:rsidP="001F6F18">
      <w:r>
        <w:rPr>
          <w:noProof/>
        </w:rPr>
        <w:drawing>
          <wp:inline distT="0" distB="0" distL="0" distR="0" wp14:anchorId="23CBA8E9" wp14:editId="53BBF729">
            <wp:extent cx="5731510" cy="2624455"/>
            <wp:effectExtent l="0" t="0" r="2540" b="4445"/>
            <wp:docPr id="2" name="Picture 2" descr="Listing of all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sting of all clinical studies"/>
                    <pic:cNvPicPr/>
                  </pic:nvPicPr>
                  <pic:blipFill>
                    <a:blip r:embed="rId26"/>
                    <a:stretch>
                      <a:fillRect/>
                    </a:stretch>
                  </pic:blipFill>
                  <pic:spPr>
                    <a:xfrm>
                      <a:off x="0" y="0"/>
                      <a:ext cx="5731510" cy="2624455"/>
                    </a:xfrm>
                    <a:prstGeom prst="rect">
                      <a:avLst/>
                    </a:prstGeom>
                  </pic:spPr>
                </pic:pic>
              </a:graphicData>
            </a:graphic>
          </wp:inline>
        </w:drawing>
      </w:r>
    </w:p>
    <w:p w14:paraId="56DFAAC3" w14:textId="1A073A8C" w:rsidR="001F6F18" w:rsidRPr="001F6F18" w:rsidRDefault="001F6F18" w:rsidP="001F6F18">
      <w:r w:rsidRPr="001F6F18">
        <w:t xml:space="preserve">In all </w:t>
      </w:r>
      <w:r>
        <w:t>five</w:t>
      </w:r>
      <w:r w:rsidRPr="001F6F18">
        <w:t xml:space="preserve"> studies, subjects received intramuscular injections into five target sites, namely the midline of the procerus, the inferomedial aspect of each corrugator and the superior middle aspect of each corrugator </w:t>
      </w:r>
      <w:r>
        <w:t>(</w:t>
      </w:r>
      <w:r>
        <w:fldChar w:fldCharType="begin"/>
      </w:r>
      <w:r>
        <w:instrText xml:space="preserve"> REF _Ref143590795 \h </w:instrText>
      </w:r>
      <w:r>
        <w:fldChar w:fldCharType="separate"/>
      </w:r>
      <w:r w:rsidR="005630CE" w:rsidRPr="001F6F18">
        <w:t xml:space="preserve">Figure </w:t>
      </w:r>
      <w:r w:rsidR="005630CE">
        <w:rPr>
          <w:noProof/>
        </w:rPr>
        <w:t>1</w:t>
      </w:r>
      <w:r>
        <w:fldChar w:fldCharType="end"/>
      </w:r>
      <w:r>
        <w:t>)</w:t>
      </w:r>
      <w:r w:rsidRPr="001F6F18">
        <w:t>. Also in all the studies a dose of 4</w:t>
      </w:r>
      <w:r w:rsidR="00D743BE">
        <w:t xml:space="preserve"> units</w:t>
      </w:r>
      <w:r w:rsidRPr="001F6F18">
        <w:t xml:space="preserve"> was given at each site (</w:t>
      </w:r>
      <w:r>
        <w:t>that is</w:t>
      </w:r>
      <w:r w:rsidRPr="001F6F18">
        <w:t xml:space="preserve"> 20</w:t>
      </w:r>
      <w:r w:rsidR="00D743BE">
        <w:t xml:space="preserve"> units</w:t>
      </w:r>
      <w:r w:rsidRPr="001F6F18">
        <w:t xml:space="preserve"> total per treatment).</w:t>
      </w:r>
    </w:p>
    <w:p w14:paraId="63874144" w14:textId="61F9D1B9" w:rsidR="001F6F18" w:rsidRDefault="001F6F18" w:rsidP="001F6F18">
      <w:pPr>
        <w:pStyle w:val="FigureTitle"/>
      </w:pPr>
      <w:bookmarkStart w:id="49" w:name="_Ref143590795"/>
      <w:r w:rsidRPr="001F6F18">
        <w:t xml:space="preserve">Figure </w:t>
      </w:r>
      <w:fldSimple w:instr=" SEQ Figure \* ARABIC ">
        <w:r w:rsidR="005630CE">
          <w:rPr>
            <w:noProof/>
          </w:rPr>
          <w:t>1</w:t>
        </w:r>
      </w:fldSimple>
      <w:bookmarkEnd w:id="49"/>
      <w:r>
        <w:t>: Injection point</w:t>
      </w:r>
    </w:p>
    <w:p w14:paraId="35EA2903" w14:textId="5A1CD162" w:rsidR="001F6F18" w:rsidRDefault="001F6F18" w:rsidP="001F6F18">
      <w:r>
        <w:rPr>
          <w:noProof/>
        </w:rPr>
        <w:drawing>
          <wp:inline distT="0" distB="0" distL="0" distR="0" wp14:anchorId="0ED05C90" wp14:editId="597CB3AE">
            <wp:extent cx="4245416" cy="2877420"/>
            <wp:effectExtent l="0" t="0" r="3175" b="0"/>
            <wp:docPr id="1" name="Picture 1" descr="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jection point"/>
                    <pic:cNvPicPr/>
                  </pic:nvPicPr>
                  <pic:blipFill rotWithShape="1">
                    <a:blip r:embed="rId27"/>
                    <a:srcRect l="14011" t="7649" r="11873" b="5807"/>
                    <a:stretch/>
                  </pic:blipFill>
                  <pic:spPr bwMode="auto">
                    <a:xfrm>
                      <a:off x="0" y="0"/>
                      <a:ext cx="4247938" cy="2879129"/>
                    </a:xfrm>
                    <a:prstGeom prst="rect">
                      <a:avLst/>
                    </a:prstGeom>
                    <a:ln>
                      <a:noFill/>
                    </a:ln>
                    <a:extLst>
                      <a:ext uri="{53640926-AAD7-44D8-BBD7-CCE9431645EC}">
                        <a14:shadowObscured xmlns:a14="http://schemas.microsoft.com/office/drawing/2010/main"/>
                      </a:ext>
                    </a:extLst>
                  </pic:spPr>
                </pic:pic>
              </a:graphicData>
            </a:graphic>
          </wp:inline>
        </w:drawing>
      </w:r>
    </w:p>
    <w:p w14:paraId="6BC7BE4E" w14:textId="73D5437A" w:rsidR="001F6F18" w:rsidRDefault="001F6F18" w:rsidP="001F6F18">
      <w:r>
        <w:t xml:space="preserve">The inclusion criteria and primary efficacy measurement was based on the </w:t>
      </w:r>
      <w:r w:rsidR="00D743BE">
        <w:t>g</w:t>
      </w:r>
      <w:r>
        <w:t xml:space="preserve">labellar </w:t>
      </w:r>
      <w:r w:rsidR="00D743BE">
        <w:t>l</w:t>
      </w:r>
      <w:r>
        <w:t xml:space="preserve">ine </w:t>
      </w:r>
      <w:r w:rsidR="00D743BE">
        <w:t>s</w:t>
      </w:r>
      <w:r>
        <w:t>core (GLS)</w:t>
      </w:r>
      <w:r w:rsidR="00D743BE">
        <w:t xml:space="preserve">. </w:t>
      </w:r>
      <w:r>
        <w:t xml:space="preserve">GLS is a validated, static scale which can be scored at rest and at maximum frown. Other </w:t>
      </w:r>
      <w:r>
        <w:lastRenderedPageBreak/>
        <w:t xml:space="preserve">outcome measures were the </w:t>
      </w:r>
      <w:r w:rsidR="00D743BE">
        <w:t>g</w:t>
      </w:r>
      <w:r>
        <w:t xml:space="preserve">lobal </w:t>
      </w:r>
      <w:r w:rsidR="00D743BE">
        <w:t>a</w:t>
      </w:r>
      <w:r>
        <w:t xml:space="preserve">esthetic </w:t>
      </w:r>
      <w:r w:rsidR="00D743BE">
        <w:t>i</w:t>
      </w:r>
      <w:r>
        <w:t xml:space="preserve">mprovement </w:t>
      </w:r>
      <w:r w:rsidR="00D743BE">
        <w:t>s</w:t>
      </w:r>
      <w:r>
        <w:t>cale (GAI</w:t>
      </w:r>
      <w:r w:rsidR="00355E85">
        <w:t xml:space="preserve">S, </w:t>
      </w:r>
      <w:r w:rsidR="00355E85">
        <w:fldChar w:fldCharType="begin"/>
      </w:r>
      <w:r w:rsidR="00355E85">
        <w:instrText xml:space="preserve"> REF _Ref143591802 \h </w:instrText>
      </w:r>
      <w:r w:rsidR="00355E85">
        <w:fldChar w:fldCharType="separate"/>
      </w:r>
      <w:r w:rsidR="005630CE" w:rsidRPr="00355E85">
        <w:t xml:space="preserve">Table </w:t>
      </w:r>
      <w:r w:rsidR="005630CE">
        <w:rPr>
          <w:noProof/>
        </w:rPr>
        <w:t>6</w:t>
      </w:r>
      <w:r w:rsidR="00355E85">
        <w:fldChar w:fldCharType="end"/>
      </w:r>
      <w:r>
        <w:t xml:space="preserve">) and the </w:t>
      </w:r>
      <w:r w:rsidR="005A4960">
        <w:t>s</w:t>
      </w:r>
      <w:r>
        <w:t xml:space="preserve">ubject </w:t>
      </w:r>
      <w:r w:rsidR="005A4960">
        <w:t>s</w:t>
      </w:r>
      <w:r>
        <w:t xml:space="preserve">atisfaction </w:t>
      </w:r>
      <w:r w:rsidR="005A4960">
        <w:t>s</w:t>
      </w:r>
      <w:r>
        <w:t>cale (</w:t>
      </w:r>
      <w:r w:rsidR="00355E85">
        <w:t xml:space="preserve">SSS, </w:t>
      </w:r>
      <w:r w:rsidR="00355E85">
        <w:fldChar w:fldCharType="begin"/>
      </w:r>
      <w:r w:rsidR="00355E85">
        <w:instrText xml:space="preserve"> REF _Ref143592015 \h </w:instrText>
      </w:r>
      <w:r w:rsidR="00355E85">
        <w:fldChar w:fldCharType="separate"/>
      </w:r>
      <w:r w:rsidR="005630CE" w:rsidRPr="00355E85">
        <w:t xml:space="preserve">Table </w:t>
      </w:r>
      <w:r w:rsidR="005630CE">
        <w:rPr>
          <w:noProof/>
        </w:rPr>
        <w:t>7</w:t>
      </w:r>
      <w:r w:rsidR="00355E85">
        <w:fldChar w:fldCharType="end"/>
      </w:r>
      <w:r w:rsidR="00355E85">
        <w:t>)</w:t>
      </w:r>
      <w:r>
        <w:t>.</w:t>
      </w:r>
    </w:p>
    <w:p w14:paraId="68DCB3C4" w14:textId="696FF49D" w:rsidR="001F6F18" w:rsidRDefault="002940D5" w:rsidP="00355E85">
      <w:pPr>
        <w:pStyle w:val="FigureTitle"/>
      </w:pPr>
      <w:bookmarkStart w:id="50" w:name="_Ref143606336"/>
      <w:r w:rsidRPr="00355E85">
        <w:t xml:space="preserve">Figure </w:t>
      </w:r>
      <w:fldSimple w:instr=" SEQ Figure \* ARABIC ">
        <w:r w:rsidR="005630CE">
          <w:rPr>
            <w:noProof/>
          </w:rPr>
          <w:t>2</w:t>
        </w:r>
      </w:fldSimple>
      <w:bookmarkEnd w:id="50"/>
      <w:r w:rsidRPr="00355E85">
        <w:t>:</w:t>
      </w:r>
      <w:r>
        <w:t xml:space="preserve"> Glabellar </w:t>
      </w:r>
      <w:r w:rsidR="00355E85">
        <w:t>l</w:t>
      </w:r>
      <w:r>
        <w:t xml:space="preserve">ine </w:t>
      </w:r>
      <w:r w:rsidR="00355E85">
        <w:t>s</w:t>
      </w:r>
      <w:r>
        <w:t>cale</w:t>
      </w:r>
      <w:r w:rsidR="00355E85">
        <w:t>, a</w:t>
      </w:r>
      <w:r>
        <w:t xml:space="preserve">t </w:t>
      </w:r>
      <w:r w:rsidR="00355E85">
        <w:t>r</w:t>
      </w:r>
      <w:r>
        <w:t xml:space="preserve">est and </w:t>
      </w:r>
      <w:r w:rsidR="00355E85">
        <w:t>a</w:t>
      </w:r>
      <w:r>
        <w:t xml:space="preserve">t </w:t>
      </w:r>
      <w:r w:rsidR="00355E85">
        <w:t>m</w:t>
      </w:r>
      <w:r>
        <w:t xml:space="preserve">aximum </w:t>
      </w:r>
      <w:r w:rsidR="00355E85">
        <w:t>f</w:t>
      </w:r>
      <w:r>
        <w:t>rown</w:t>
      </w:r>
    </w:p>
    <w:p w14:paraId="22B03A69" w14:textId="50A8D81B" w:rsidR="002940D5" w:rsidRPr="002940D5" w:rsidRDefault="002940D5" w:rsidP="002940D5">
      <w:r>
        <w:rPr>
          <w:noProof/>
        </w:rPr>
        <w:drawing>
          <wp:inline distT="0" distB="0" distL="0" distR="0" wp14:anchorId="78775C72" wp14:editId="55C86505">
            <wp:extent cx="4109591" cy="4047214"/>
            <wp:effectExtent l="0" t="0" r="5715" b="0"/>
            <wp:docPr id="3" name="Picture 3" descr="Glabellar line scale, at rest and at maximum f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labellar line scale, at rest and at maximum frown"/>
                    <pic:cNvPicPr/>
                  </pic:nvPicPr>
                  <pic:blipFill>
                    <a:blip r:embed="rId28"/>
                    <a:stretch>
                      <a:fillRect/>
                    </a:stretch>
                  </pic:blipFill>
                  <pic:spPr>
                    <a:xfrm>
                      <a:off x="0" y="0"/>
                      <a:ext cx="4112967" cy="4050539"/>
                    </a:xfrm>
                    <a:prstGeom prst="rect">
                      <a:avLst/>
                    </a:prstGeom>
                  </pic:spPr>
                </pic:pic>
              </a:graphicData>
            </a:graphic>
          </wp:inline>
        </w:drawing>
      </w:r>
    </w:p>
    <w:p w14:paraId="7CCA07F6" w14:textId="734366D8" w:rsidR="002940D5" w:rsidRDefault="00355E85" w:rsidP="00355E85">
      <w:pPr>
        <w:pStyle w:val="TableTitle"/>
      </w:pPr>
      <w:bookmarkStart w:id="51" w:name="_Ref143591802"/>
      <w:r w:rsidRPr="00355E85">
        <w:t xml:space="preserve">Table </w:t>
      </w:r>
      <w:fldSimple w:instr=" SEQ Table \* ARABIC ">
        <w:r w:rsidR="005630CE">
          <w:rPr>
            <w:noProof/>
          </w:rPr>
          <w:t>6</w:t>
        </w:r>
      </w:fldSimple>
      <w:bookmarkEnd w:id="51"/>
      <w:r>
        <w:t>: Global aesthetic improvement scale</w:t>
      </w:r>
    </w:p>
    <w:p w14:paraId="02FAD8C4" w14:textId="6DFEA4BA" w:rsidR="00355E85" w:rsidRDefault="00355E85" w:rsidP="00355E85">
      <w:pPr>
        <w:pStyle w:val="FigureTitle"/>
      </w:pPr>
      <w:r>
        <w:rPr>
          <w:noProof/>
        </w:rPr>
        <w:drawing>
          <wp:inline distT="0" distB="0" distL="0" distR="0" wp14:anchorId="5D0266E2" wp14:editId="42ED382E">
            <wp:extent cx="5731510" cy="1362075"/>
            <wp:effectExtent l="0" t="0" r="2540" b="9525"/>
            <wp:docPr id="4" name="Picture 4" descr="Global aesthetic improveme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lobal aesthetic improvement scale"/>
                    <pic:cNvPicPr/>
                  </pic:nvPicPr>
                  <pic:blipFill>
                    <a:blip r:embed="rId29"/>
                    <a:stretch>
                      <a:fillRect/>
                    </a:stretch>
                  </pic:blipFill>
                  <pic:spPr>
                    <a:xfrm>
                      <a:off x="0" y="0"/>
                      <a:ext cx="5731510" cy="1362075"/>
                    </a:xfrm>
                    <a:prstGeom prst="rect">
                      <a:avLst/>
                    </a:prstGeom>
                  </pic:spPr>
                </pic:pic>
              </a:graphicData>
            </a:graphic>
          </wp:inline>
        </w:drawing>
      </w:r>
    </w:p>
    <w:p w14:paraId="1E998D72" w14:textId="0ED5506C" w:rsidR="001F6F18" w:rsidRDefault="00355E85" w:rsidP="00355E85">
      <w:pPr>
        <w:pStyle w:val="TableTitle"/>
      </w:pPr>
      <w:bookmarkStart w:id="52" w:name="_Ref143592015"/>
      <w:r w:rsidRPr="00355E85">
        <w:t xml:space="preserve">Table </w:t>
      </w:r>
      <w:fldSimple w:instr=" SEQ Table \* ARABIC ">
        <w:r w:rsidR="005630CE">
          <w:rPr>
            <w:noProof/>
          </w:rPr>
          <w:t>7</w:t>
        </w:r>
      </w:fldSimple>
      <w:bookmarkEnd w:id="52"/>
      <w:r w:rsidRPr="00355E85">
        <w:t>:</w:t>
      </w:r>
      <w:r>
        <w:t xml:space="preserve"> Subject satisfaction scale</w:t>
      </w:r>
    </w:p>
    <w:p w14:paraId="01AB0242" w14:textId="6D0CE78F" w:rsidR="00355E85" w:rsidRDefault="00355E85" w:rsidP="00355E85">
      <w:r>
        <w:rPr>
          <w:noProof/>
        </w:rPr>
        <w:drawing>
          <wp:inline distT="0" distB="0" distL="0" distR="0" wp14:anchorId="2C7F5FA6" wp14:editId="33EC766B">
            <wp:extent cx="5731510" cy="1322070"/>
            <wp:effectExtent l="0" t="0" r="2540" b="0"/>
            <wp:docPr id="5" name="Picture 5" descr="Subject satisfactio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ject satisfaction scale"/>
                    <pic:cNvPicPr/>
                  </pic:nvPicPr>
                  <pic:blipFill>
                    <a:blip r:embed="rId30"/>
                    <a:stretch>
                      <a:fillRect/>
                    </a:stretch>
                  </pic:blipFill>
                  <pic:spPr>
                    <a:xfrm>
                      <a:off x="0" y="0"/>
                      <a:ext cx="5731510" cy="1322070"/>
                    </a:xfrm>
                    <a:prstGeom prst="rect">
                      <a:avLst/>
                    </a:prstGeom>
                  </pic:spPr>
                </pic:pic>
              </a:graphicData>
            </a:graphic>
          </wp:inline>
        </w:drawing>
      </w:r>
    </w:p>
    <w:p w14:paraId="3F44DB4B" w14:textId="77777777" w:rsidR="00355E85" w:rsidRDefault="00355E85" w:rsidP="00355E85">
      <w:pPr>
        <w:pStyle w:val="Heading4"/>
      </w:pPr>
      <w:bookmarkStart w:id="53" w:name="_Toc143693806"/>
      <w:r>
        <w:t>Pharmacology</w:t>
      </w:r>
      <w:bookmarkEnd w:id="53"/>
    </w:p>
    <w:p w14:paraId="4F9DA45C" w14:textId="77777777" w:rsidR="00355E85" w:rsidRDefault="00355E85" w:rsidP="00355E85">
      <w:r>
        <w:t>No classical clinical pharmacology studies - dose escalation studies in healthy volunteers, bioavailability studies or drug interaction studies - have been conducted.</w:t>
      </w:r>
    </w:p>
    <w:p w14:paraId="6DB74EA3" w14:textId="0F283CF7" w:rsidR="00355E85" w:rsidRDefault="00355E85" w:rsidP="00355E85">
      <w:r>
        <w:lastRenderedPageBreak/>
        <w:t>The drug substance is administered in extremely small quantities (a 20</w:t>
      </w:r>
      <w:r w:rsidR="005A4960">
        <w:t xml:space="preserve"> units</w:t>
      </w:r>
      <w:r>
        <w:t xml:space="preserve"> treatment is equivalent to approximately 1</w:t>
      </w:r>
      <w:r w:rsidR="005A4960">
        <w:t xml:space="preserve"> </w:t>
      </w:r>
      <w:r>
        <w:t>ng) and any drug that reaches the systemic circulation is present at a concentration below what is possible to detect. This precludes the possibility of conducting studies dependant on measuring a N</w:t>
      </w:r>
      <w:r w:rsidR="005A4960">
        <w:t>uceiva</w:t>
      </w:r>
      <w:r>
        <w:t xml:space="preserve"> plasma concentration.</w:t>
      </w:r>
    </w:p>
    <w:p w14:paraId="2C50AEAA" w14:textId="77777777" w:rsidR="00355E85" w:rsidRDefault="00355E85" w:rsidP="00355E85">
      <w:pPr>
        <w:pStyle w:val="Heading4"/>
      </w:pPr>
      <w:bookmarkStart w:id="54" w:name="_Toc143693807"/>
      <w:r>
        <w:t>Efficacy</w:t>
      </w:r>
      <w:bookmarkEnd w:id="54"/>
    </w:p>
    <w:p w14:paraId="3A98E479" w14:textId="3F3D6AB0" w:rsidR="001C6936" w:rsidRDefault="001C6936" w:rsidP="00355E85">
      <w:pPr>
        <w:pStyle w:val="Heading5"/>
      </w:pPr>
      <w:r>
        <w:t>Pivotal studies</w:t>
      </w:r>
    </w:p>
    <w:p w14:paraId="2E497584" w14:textId="1509F8C2" w:rsidR="00355E85" w:rsidRDefault="001C6936" w:rsidP="001C6936">
      <w:pPr>
        <w:pStyle w:val="Heading6"/>
      </w:pPr>
      <w:r>
        <w:t>Study EV-001</w:t>
      </w:r>
    </w:p>
    <w:p w14:paraId="532E26EA" w14:textId="3FAFA899" w:rsidR="00355E85" w:rsidRDefault="00355E85" w:rsidP="00355E85">
      <w:r>
        <w:t>Study EV-001 was a Phase III randomised, double blind, placebo controlled study conducted at ten centres in the USA. The objectives were to demonstrate the safety and efficacy of DWP-450;</w:t>
      </w:r>
      <w:r>
        <w:rPr>
          <w:rStyle w:val="FootnoteReference"/>
        </w:rPr>
        <w:footnoteReference w:id="6"/>
      </w:r>
      <w:r>
        <w:t xml:space="preserve"> for moderate to severe glabellar lines at maximum frown following a single treatment.</w:t>
      </w:r>
    </w:p>
    <w:p w14:paraId="2C97B04E" w14:textId="298EF8D6" w:rsidR="00355E85" w:rsidRDefault="00355E85" w:rsidP="00355E85">
      <w:r>
        <w:t>Major inclusion criteria were age at least 18 years and moderate to severe glabellar lines (GLS score of 2 and 3) at maximum frown as assessed by both the investigator and the subject. Major exclusion criteria were treatment with any botulinum toxin product within six months, any facial aesthetic procedure within 12 months, previous glabellar surgery, a medical condition affecting neuromuscular function, pregnancy and not using acceptable contraception.</w:t>
      </w:r>
    </w:p>
    <w:p w14:paraId="52537D3F" w14:textId="21CA565E" w:rsidR="00355E85" w:rsidRDefault="00355E85" w:rsidP="00355E85">
      <w:r>
        <w:t>Treatment consisted of either 5 times 4</w:t>
      </w:r>
      <w:r w:rsidR="005A4960">
        <w:t xml:space="preserve"> units</w:t>
      </w:r>
      <w:r>
        <w:t xml:space="preserve">/0.1mL </w:t>
      </w:r>
      <w:proofErr w:type="spellStart"/>
      <w:r w:rsidR="0077557E">
        <w:t>prabotulinumtoxin</w:t>
      </w:r>
      <w:proofErr w:type="spellEnd"/>
      <w:r w:rsidR="005A4960">
        <w:t xml:space="preserve"> </w:t>
      </w:r>
      <w:r w:rsidR="0077557E">
        <w:t>A</w:t>
      </w:r>
      <w:r>
        <w:t xml:space="preserve"> injections or 5 </w:t>
      </w:r>
      <w:r w:rsidR="0077557E">
        <w:t>times</w:t>
      </w:r>
      <w:r>
        <w:t xml:space="preserve"> 0.</w:t>
      </w:r>
      <w:r w:rsidRPr="0077557E">
        <w:t>1</w:t>
      </w:r>
      <w:r w:rsidR="005A4960">
        <w:t> </w:t>
      </w:r>
      <w:r w:rsidRPr="0077557E">
        <w:t>mL</w:t>
      </w:r>
      <w:r>
        <w:t xml:space="preserve"> 0.9%NaCl at the sites described in</w:t>
      </w:r>
      <w:r w:rsidR="0077557E">
        <w:t xml:space="preserve"> </w:t>
      </w:r>
      <w:r w:rsidR="0077557E">
        <w:fldChar w:fldCharType="begin"/>
      </w:r>
      <w:r w:rsidR="0077557E">
        <w:instrText xml:space="preserve"> REF _Ref143590795 \h </w:instrText>
      </w:r>
      <w:r w:rsidR="0077557E">
        <w:fldChar w:fldCharType="separate"/>
      </w:r>
      <w:r w:rsidR="005630CE" w:rsidRPr="001F6F18">
        <w:t xml:space="preserve">Figure </w:t>
      </w:r>
      <w:r w:rsidR="005630CE">
        <w:rPr>
          <w:noProof/>
        </w:rPr>
        <w:t>1</w:t>
      </w:r>
      <w:r w:rsidR="0077557E">
        <w:fldChar w:fldCharType="end"/>
      </w:r>
      <w:r>
        <w:t xml:space="preserve">. The treatment was given via a 30G needle and topical anaesthetic was permitted. </w:t>
      </w:r>
      <w:r w:rsidR="00814BAF">
        <w:t xml:space="preserve">Subjects </w:t>
      </w:r>
      <w:r>
        <w:t xml:space="preserve">were followed for 150 days following treatment </w:t>
      </w:r>
      <w:r w:rsidR="0077557E">
        <w:t>on</w:t>
      </w:r>
      <w:r>
        <w:t xml:space="preserve"> </w:t>
      </w:r>
      <w:r w:rsidR="00794B9E">
        <w:t>(</w:t>
      </w:r>
      <w:r w:rsidR="0077557E">
        <w:t>D</w:t>
      </w:r>
      <w:r>
        <w:t>ays 2, 7, 14, 30, 90, 120 and 150</w:t>
      </w:r>
      <w:r w:rsidR="00794B9E">
        <w:t>)</w:t>
      </w:r>
      <w:r>
        <w:t>.</w:t>
      </w:r>
    </w:p>
    <w:p w14:paraId="67F8BCB7" w14:textId="65176646" w:rsidR="00355E85" w:rsidRDefault="00355E85" w:rsidP="00355E85">
      <w:r>
        <w:t xml:space="preserve">The primary efficacy outcome was the proportion of subjects who were responders, defined by both </w:t>
      </w:r>
      <w:r w:rsidR="005A4960">
        <w:t>i</w:t>
      </w:r>
      <w:r>
        <w:t xml:space="preserve">nvestigator and </w:t>
      </w:r>
      <w:r w:rsidR="005A4960">
        <w:t>s</w:t>
      </w:r>
      <w:r>
        <w:t xml:space="preserve">ubject agreement on </w:t>
      </w:r>
      <w:r w:rsidR="0077557E">
        <w:t>at least</w:t>
      </w:r>
      <w:r>
        <w:t xml:space="preserve"> 2 point GLS improvement at maximum frown on </w:t>
      </w:r>
      <w:r w:rsidR="0077557E">
        <w:t>D</w:t>
      </w:r>
      <w:r>
        <w:t>ay 30.</w:t>
      </w:r>
    </w:p>
    <w:p w14:paraId="4C6CA8B9" w14:textId="2DC2A506" w:rsidR="00355E85" w:rsidRDefault="00355E85" w:rsidP="00355E85">
      <w:r>
        <w:t xml:space="preserve">Secondary efficacy outcomes were </w:t>
      </w:r>
      <w:r w:rsidR="0077557E">
        <w:t>at least</w:t>
      </w:r>
      <w:r>
        <w:t xml:space="preserve"> 2 point GLS improvement at either different timepoints (</w:t>
      </w:r>
      <w:r w:rsidR="0077557E">
        <w:t>D</w:t>
      </w:r>
      <w:r>
        <w:t xml:space="preserve">ay 120 and </w:t>
      </w:r>
      <w:r w:rsidR="0077557E">
        <w:t>D</w:t>
      </w:r>
      <w:r>
        <w:t xml:space="preserve">ay 150 for the intention to treat </w:t>
      </w:r>
      <w:r w:rsidR="0077557E">
        <w:t>[</w:t>
      </w:r>
      <w:r>
        <w:t>ITT</w:t>
      </w:r>
      <w:r w:rsidR="0077557E">
        <w:t>]</w:t>
      </w:r>
      <w:r>
        <w:t xml:space="preserve"> population) or in different study population (modified </w:t>
      </w:r>
      <w:r w:rsidR="0077557E">
        <w:t>intent to treat</w:t>
      </w:r>
      <w:r>
        <w:t xml:space="preserve"> </w:t>
      </w:r>
      <w:r w:rsidR="0077557E">
        <w:t>[</w:t>
      </w:r>
      <w:proofErr w:type="spellStart"/>
      <w:r>
        <w:t>mITT</w:t>
      </w:r>
      <w:proofErr w:type="spellEnd"/>
      <w:r w:rsidR="0077557E">
        <w:t xml:space="preserve">] </w:t>
      </w:r>
      <w:r>
        <w:t xml:space="preserve">population, defined as having a moderate-severe GLS score at rest, </w:t>
      </w:r>
      <w:r w:rsidR="0077557E">
        <w:t>that is</w:t>
      </w:r>
      <w:r>
        <w:t xml:space="preserve"> by contrast to the inclusion criterion described above). There were multiple exploratory outcomes, which included changes in the GAIS and SSS scores and smaller improvements in GLS score.</w:t>
      </w:r>
    </w:p>
    <w:p w14:paraId="7F919ECA" w14:textId="69CF7668" w:rsidR="00355E85" w:rsidRDefault="00355E85" w:rsidP="00355E85">
      <w:r>
        <w:t xml:space="preserve">As a large difference in efficacy was expected between the placebo and the active groups, the sample size was based on the ability to detect adverse effects. The </w:t>
      </w:r>
      <w:r w:rsidR="0077557E">
        <w:t>s</w:t>
      </w:r>
      <w:r>
        <w:t xml:space="preserve">ponsor calculated that treating 219 subjects with </w:t>
      </w:r>
      <w:proofErr w:type="spellStart"/>
      <w:r w:rsidR="0077557E" w:rsidRPr="00760183">
        <w:t>prabotulinumtoxin</w:t>
      </w:r>
      <w:proofErr w:type="spellEnd"/>
      <w:r w:rsidR="005A4960" w:rsidRPr="00760183">
        <w:t xml:space="preserve"> </w:t>
      </w:r>
      <w:r w:rsidR="0077557E" w:rsidRPr="00760183">
        <w:t>A</w:t>
      </w:r>
      <w:r>
        <w:t xml:space="preserve"> would most likely detect an </w:t>
      </w:r>
      <w:r w:rsidR="0077557E">
        <w:t>adverse event (</w:t>
      </w:r>
      <w:r>
        <w:t>AE</w:t>
      </w:r>
      <w:r w:rsidR="0077557E">
        <w:t>)</w:t>
      </w:r>
      <w:r>
        <w:t xml:space="preserve"> that occurred in </w:t>
      </w:r>
      <w:r w:rsidR="0077557E">
        <w:t>at least</w:t>
      </w:r>
      <w:r>
        <w:t xml:space="preserve"> 1.6%. This corresponds to a total of 324 subjects randomised 3:1 to active: placebo and includes a 10% dropout rate. In terms of the primary efficacy outcome, the null hypothesis was tested using the Cochran-Mantel-Haenszel test (stratified by site). The overall study</w:t>
      </w:r>
      <w:r w:rsidR="0077557E">
        <w:t xml:space="preserve"> </w:t>
      </w:r>
      <w:r>
        <w:t>wide Type 1 error rate was 0.05.</w:t>
      </w:r>
    </w:p>
    <w:p w14:paraId="1085A691" w14:textId="298F5441" w:rsidR="00355E85" w:rsidRDefault="00355E85" w:rsidP="00355E85">
      <w:r>
        <w:t xml:space="preserve">For the secondary endpoints, multiplicity was accounted for by commencing testing if the primary null hypothesis was rejected for the </w:t>
      </w:r>
      <w:r w:rsidR="0077557E">
        <w:t>D</w:t>
      </w:r>
      <w:r>
        <w:t xml:space="preserve">ay 120 outcome. If this result included p &lt; 0.05, then the </w:t>
      </w:r>
      <w:proofErr w:type="spellStart"/>
      <w:r>
        <w:t>mITT</w:t>
      </w:r>
      <w:proofErr w:type="spellEnd"/>
      <w:r>
        <w:t xml:space="preserve"> </w:t>
      </w:r>
      <w:r w:rsidR="0077557E">
        <w:t>D</w:t>
      </w:r>
      <w:r>
        <w:t>ay 30 outcome was tested, at which point formal hypothesis testing stopped.</w:t>
      </w:r>
    </w:p>
    <w:p w14:paraId="7253D3D3" w14:textId="40C47122" w:rsidR="00355E85" w:rsidRDefault="0077557E" w:rsidP="00355E85">
      <w:r>
        <w:t xml:space="preserve">A total of </w:t>
      </w:r>
      <w:r w:rsidR="00355E85">
        <w:t xml:space="preserve">330 subjects were randomised, 246 to receive </w:t>
      </w:r>
      <w:proofErr w:type="spellStart"/>
      <w:r>
        <w:t>prabotulinumtoxin</w:t>
      </w:r>
      <w:proofErr w:type="spellEnd"/>
      <w:r w:rsidR="00BE0C02">
        <w:t xml:space="preserve"> </w:t>
      </w:r>
      <w:r>
        <w:t>A</w:t>
      </w:r>
      <w:r w:rsidR="00355E85">
        <w:t xml:space="preserve"> and 84 to placebo. Of the 84 placebo subjects, 81 completed the study, with </w:t>
      </w:r>
      <w:r>
        <w:t>three subjects</w:t>
      </w:r>
      <w:r w:rsidR="00355E85">
        <w:t xml:space="preserve"> lost to follow up. Of the 246 </w:t>
      </w:r>
      <w:proofErr w:type="spellStart"/>
      <w:r>
        <w:t>prabotulinumtoxin</w:t>
      </w:r>
      <w:proofErr w:type="spellEnd"/>
      <w:r w:rsidR="00BE0C02">
        <w:t xml:space="preserve"> </w:t>
      </w:r>
      <w:r>
        <w:t>A</w:t>
      </w:r>
      <w:r w:rsidR="00355E85">
        <w:t xml:space="preserve"> subjects, 236 completed, </w:t>
      </w:r>
      <w:r>
        <w:t>two</w:t>
      </w:r>
      <w:r w:rsidR="00355E85">
        <w:t xml:space="preserve"> subjects were unwilling/unable to </w:t>
      </w:r>
      <w:r w:rsidR="00355E85">
        <w:lastRenderedPageBreak/>
        <w:t xml:space="preserve">complete the study, </w:t>
      </w:r>
      <w:r>
        <w:t>one subject</w:t>
      </w:r>
      <w:r w:rsidR="00355E85">
        <w:t xml:space="preserve"> underwent glabellar surgery, </w:t>
      </w:r>
      <w:r>
        <w:t>one subject</w:t>
      </w:r>
      <w:r w:rsidR="00355E85">
        <w:t xml:space="preserve"> became </w:t>
      </w:r>
      <w:proofErr w:type="gramStart"/>
      <w:r w:rsidR="00355E85">
        <w:t>pregnant</w:t>
      </w:r>
      <w:proofErr w:type="gramEnd"/>
      <w:r w:rsidR="00355E85">
        <w:t xml:space="preserve"> and </w:t>
      </w:r>
      <w:r>
        <w:t>one subject</w:t>
      </w:r>
      <w:r w:rsidR="00355E85">
        <w:t xml:space="preserve"> withdrew consent. No subject withdrew due to an AE.</w:t>
      </w:r>
    </w:p>
    <w:p w14:paraId="14F24CFA" w14:textId="0C65C919" w:rsidR="00355E85" w:rsidRDefault="00355E85" w:rsidP="00355E85">
      <w:r>
        <w:t xml:space="preserve">The mean age was 50 years and most subjects were female (92.7%), </w:t>
      </w:r>
      <w:r w:rsidR="0077557E">
        <w:t>W</w:t>
      </w:r>
      <w:r>
        <w:t>hite (81.2%). The most common GLS score at enrolment was severe.</w:t>
      </w:r>
    </w:p>
    <w:p w14:paraId="2E7FC819" w14:textId="4B350722" w:rsidR="00355E85" w:rsidRDefault="00355E85" w:rsidP="00355E85">
      <w:r>
        <w:t>In terms of the primary efficacy outcome in the ITT population, the percentage of responders (</w:t>
      </w:r>
      <w:r w:rsidR="0077557E">
        <w:t>that is</w:t>
      </w:r>
      <w:r>
        <w:t xml:space="preserve"> GLS score improved by </w:t>
      </w:r>
      <w:r w:rsidR="0077557E">
        <w:t>at least</w:t>
      </w:r>
      <w:r>
        <w:t xml:space="preserve"> 2 at </w:t>
      </w:r>
      <w:r w:rsidR="0077557E">
        <w:t>D</w:t>
      </w:r>
      <w:r>
        <w:t xml:space="preserve">ay 30 as assessed by both the </w:t>
      </w:r>
      <w:r w:rsidR="0077557E">
        <w:t>i</w:t>
      </w:r>
      <w:r>
        <w:t xml:space="preserve">nvestigator and the subject) was 67.5% in the </w:t>
      </w:r>
      <w:proofErr w:type="spellStart"/>
      <w:r w:rsidR="0077557E">
        <w:t>prabotulinumtoxin</w:t>
      </w:r>
      <w:proofErr w:type="spellEnd"/>
      <w:r w:rsidR="00BE0C02">
        <w:t xml:space="preserve"> </w:t>
      </w:r>
      <w:r w:rsidR="0077557E">
        <w:t>A</w:t>
      </w:r>
      <w:r>
        <w:t xml:space="preserve"> group and 1.2% in the placebo group. The absolute difference was 66.3% (p</w:t>
      </w:r>
      <w:r w:rsidR="0077557E">
        <w:t xml:space="preserve"> </w:t>
      </w:r>
      <w:r>
        <w:t>&lt;</w:t>
      </w:r>
      <w:r w:rsidR="0077557E">
        <w:t xml:space="preserve"> </w:t>
      </w:r>
      <w:r>
        <w:t>0.001).</w:t>
      </w:r>
    </w:p>
    <w:p w14:paraId="772C202D" w14:textId="2758EB1E" w:rsidR="00355E85" w:rsidRDefault="00355E85" w:rsidP="00355E85">
      <w:r>
        <w:t>Sensitivity analyses were conducted using different populations (</w:t>
      </w:r>
      <w:proofErr w:type="spellStart"/>
      <w:r>
        <w:t>mITT</w:t>
      </w:r>
      <w:proofErr w:type="spellEnd"/>
      <w:r>
        <w:t>, per protocol</w:t>
      </w:r>
      <w:r w:rsidR="0077557E">
        <w:t xml:space="preserve"> (PP)</w:t>
      </w:r>
      <w:r>
        <w:t>, ITT excluding outlier clinics), different scenarios accounting for a missing primary efficacy endpoint and excluding subjects treated out of randomisation order. All of these showed statistically significant differences and were consistent with the primary efficacy outcome.</w:t>
      </w:r>
    </w:p>
    <w:p w14:paraId="72DB47EB" w14:textId="3490B50D" w:rsidR="00355E85" w:rsidRDefault="00355E85" w:rsidP="00355E85">
      <w:r>
        <w:t xml:space="preserve">When analysing based on age, subjects aged </w:t>
      </w:r>
      <w:r w:rsidR="0077557E">
        <w:t xml:space="preserve">younger than </w:t>
      </w:r>
      <w:r>
        <w:t xml:space="preserve">65 years receiving </w:t>
      </w:r>
      <w:proofErr w:type="spellStart"/>
      <w:r w:rsidR="0077557E">
        <w:t>prabotulinumtoxin</w:t>
      </w:r>
      <w:proofErr w:type="spellEnd"/>
      <w:r w:rsidR="00BE0C02">
        <w:t> </w:t>
      </w:r>
      <w:r w:rsidR="0077557E">
        <w:t>A</w:t>
      </w:r>
      <w:r>
        <w:t xml:space="preserve"> (n</w:t>
      </w:r>
      <w:r w:rsidR="0077557E">
        <w:t xml:space="preserve"> </w:t>
      </w:r>
      <w:r>
        <w:t>=</w:t>
      </w:r>
      <w:r w:rsidR="0077557E">
        <w:t xml:space="preserve"> </w:t>
      </w:r>
      <w:r>
        <w:t xml:space="preserve">215 were more likely to be responders than subjects aged </w:t>
      </w:r>
      <w:r w:rsidR="0077557E">
        <w:t>at least</w:t>
      </w:r>
      <w:r>
        <w:t xml:space="preserve"> 65</w:t>
      </w:r>
      <w:r w:rsidR="0077557E">
        <w:t> </w:t>
      </w:r>
      <w:r>
        <w:t>years (n</w:t>
      </w:r>
      <w:r w:rsidR="0077557E">
        <w:t xml:space="preserve"> </w:t>
      </w:r>
      <w:r>
        <w:t>=</w:t>
      </w:r>
      <w:r w:rsidR="0077557E">
        <w:t xml:space="preserve"> </w:t>
      </w:r>
      <w:r>
        <w:t xml:space="preserve">25). 69.8% of those aged </w:t>
      </w:r>
      <w:r w:rsidR="0077557E">
        <w:t>younger than</w:t>
      </w:r>
      <w:r>
        <w:t xml:space="preserve"> 65 years and 48% of those aged </w:t>
      </w:r>
      <w:r w:rsidR="0077557E">
        <w:t>at least</w:t>
      </w:r>
      <w:r>
        <w:t xml:space="preserve"> 65</w:t>
      </w:r>
      <w:r w:rsidR="0077557E">
        <w:t> </w:t>
      </w:r>
      <w:r>
        <w:t>years were responders. The differences between placebo remained highly statistically significant for both age brackets.</w:t>
      </w:r>
    </w:p>
    <w:p w14:paraId="61630006" w14:textId="2A645468" w:rsidR="00355E85" w:rsidRDefault="00355E85" w:rsidP="00355E85">
      <w:r>
        <w:t xml:space="preserve">In terms of the secondary efficacy outcomes, the absolute difference in responders between </w:t>
      </w:r>
      <w:proofErr w:type="spellStart"/>
      <w:r w:rsidR="0077557E">
        <w:t>prabotulinumtoxin</w:t>
      </w:r>
      <w:proofErr w:type="spellEnd"/>
      <w:r w:rsidR="00BE0C02">
        <w:t> </w:t>
      </w:r>
      <w:r w:rsidR="0077557E">
        <w:t>A</w:t>
      </w:r>
      <w:r>
        <w:t xml:space="preserve"> and placebo remained statically significant at later time points, although the value did drop over time. The absolute difference between </w:t>
      </w:r>
      <w:proofErr w:type="spellStart"/>
      <w:r w:rsidR="0077557E">
        <w:t>prabotulinumtoxin</w:t>
      </w:r>
      <w:proofErr w:type="spellEnd"/>
      <w:r w:rsidR="00BE0C02">
        <w:t xml:space="preserve"> </w:t>
      </w:r>
      <w:r w:rsidR="0077557E">
        <w:t>A</w:t>
      </w:r>
      <w:r>
        <w:t xml:space="preserve"> and placebo at </w:t>
      </w:r>
      <w:r w:rsidR="0077557E">
        <w:t>D</w:t>
      </w:r>
      <w:r>
        <w:t xml:space="preserve">ay 90 was 25.2%, at </w:t>
      </w:r>
      <w:r w:rsidR="0077557E">
        <w:t>D</w:t>
      </w:r>
      <w:r>
        <w:t xml:space="preserve">ay 120 was 7% and at </w:t>
      </w:r>
      <w:r w:rsidR="0077557E">
        <w:t>D</w:t>
      </w:r>
      <w:r>
        <w:t xml:space="preserve">ay 150 was 4.6%. The other secondary outcome in the </w:t>
      </w:r>
      <w:proofErr w:type="spellStart"/>
      <w:r>
        <w:t>mITT</w:t>
      </w:r>
      <w:proofErr w:type="spellEnd"/>
      <w:r>
        <w:t xml:space="preserve"> population (</w:t>
      </w:r>
      <w:r w:rsidR="0077557E">
        <w:t>that is at least a</w:t>
      </w:r>
      <w:r>
        <w:t xml:space="preserve"> 2 point change in GLS at rest) found a 25.9% absolute difference between placebo and </w:t>
      </w:r>
      <w:proofErr w:type="spellStart"/>
      <w:r w:rsidR="0077557E">
        <w:t>prabotulinumtoxin</w:t>
      </w:r>
      <w:proofErr w:type="spellEnd"/>
      <w:r w:rsidR="00BE0C02">
        <w:t xml:space="preserve"> </w:t>
      </w:r>
      <w:r w:rsidR="0077557E">
        <w:t>A</w:t>
      </w:r>
      <w:r>
        <w:t xml:space="preserve"> (p</w:t>
      </w:r>
      <w:r w:rsidR="0077557E">
        <w:t xml:space="preserve"> </w:t>
      </w:r>
      <w:r>
        <w:t>&lt;</w:t>
      </w:r>
      <w:r w:rsidR="0077557E">
        <w:t> </w:t>
      </w:r>
      <w:r>
        <w:t>0.001).</w:t>
      </w:r>
    </w:p>
    <w:p w14:paraId="231C3B2F" w14:textId="453DA097" w:rsidR="00355E85" w:rsidRDefault="00355E85" w:rsidP="00355E85">
      <w:r>
        <w:t xml:space="preserve">In terms of exploratory outcomes, there was a high percentage of subjects randomised to </w:t>
      </w:r>
      <w:proofErr w:type="spellStart"/>
      <w:r w:rsidR="0077557E">
        <w:t>prabotulinumtoxin</w:t>
      </w:r>
      <w:proofErr w:type="spellEnd"/>
      <w:r w:rsidR="00BE0C02">
        <w:t xml:space="preserve"> </w:t>
      </w:r>
      <w:r w:rsidR="0077557E">
        <w:t>A</w:t>
      </w:r>
      <w:r>
        <w:t xml:space="preserve"> rated as improved/much improved on the</w:t>
      </w:r>
      <w:r w:rsidR="001C6936">
        <w:t xml:space="preserve"> </w:t>
      </w:r>
      <w:r>
        <w:t>GAIS</w:t>
      </w:r>
      <w:r w:rsidR="00FA1989">
        <w:t xml:space="preserve"> (</w:t>
      </w:r>
      <w:r w:rsidR="00FA1989">
        <w:fldChar w:fldCharType="begin"/>
      </w:r>
      <w:r w:rsidR="00FA1989">
        <w:instrText xml:space="preserve"> REF _Ref143593226 \h </w:instrText>
      </w:r>
      <w:r w:rsidR="00FA1989">
        <w:fldChar w:fldCharType="separate"/>
      </w:r>
      <w:r w:rsidR="005630CE" w:rsidRPr="001C6936">
        <w:t xml:space="preserve">Figure </w:t>
      </w:r>
      <w:r w:rsidR="005630CE">
        <w:rPr>
          <w:noProof/>
        </w:rPr>
        <w:t>3</w:t>
      </w:r>
      <w:r w:rsidR="00FA1989">
        <w:fldChar w:fldCharType="end"/>
      </w:r>
      <w:r w:rsidR="00FA1989">
        <w:t>)</w:t>
      </w:r>
      <w:r>
        <w:t xml:space="preserve">. There was a large difference between the </w:t>
      </w:r>
      <w:proofErr w:type="spellStart"/>
      <w:r w:rsidR="0077557E">
        <w:t>prabotulinumtoxin</w:t>
      </w:r>
      <w:proofErr w:type="spellEnd"/>
      <w:r w:rsidR="00BE0C02">
        <w:t xml:space="preserve"> </w:t>
      </w:r>
      <w:r w:rsidR="0077557E">
        <w:t>A</w:t>
      </w:r>
      <w:r>
        <w:t xml:space="preserve"> and placebo groups and the effect peaked at </w:t>
      </w:r>
      <w:r w:rsidR="001C6936">
        <w:t>D</w:t>
      </w:r>
      <w:r>
        <w:t xml:space="preserve">ay 14 and remained substantial at </w:t>
      </w:r>
      <w:r w:rsidR="001C6936">
        <w:t>D</w:t>
      </w:r>
      <w:r>
        <w:t xml:space="preserve">ay 150. Similarly, there was a high percentage of subjects randomised to </w:t>
      </w:r>
      <w:proofErr w:type="spellStart"/>
      <w:r w:rsidR="0077557E">
        <w:t>prabotulinumtoxin</w:t>
      </w:r>
      <w:proofErr w:type="spellEnd"/>
      <w:r w:rsidR="00BE0C02">
        <w:t xml:space="preserve"> </w:t>
      </w:r>
      <w:r w:rsidR="0077557E">
        <w:t>A</w:t>
      </w:r>
      <w:r>
        <w:t xml:space="preserve"> rated as satisfied/very satisfied on the SSS. There was a large difference between </w:t>
      </w:r>
      <w:proofErr w:type="spellStart"/>
      <w:r w:rsidR="0077557E">
        <w:t>prabotulinumtoxin</w:t>
      </w:r>
      <w:proofErr w:type="spellEnd"/>
      <w:r w:rsidR="00BE0C02">
        <w:t xml:space="preserve"> </w:t>
      </w:r>
      <w:r w:rsidR="0077557E">
        <w:t>A</w:t>
      </w:r>
      <w:r>
        <w:t xml:space="preserve"> and placebo </w:t>
      </w:r>
      <w:proofErr w:type="gramStart"/>
      <w:r>
        <w:t>groups</w:t>
      </w:r>
      <w:proofErr w:type="gramEnd"/>
      <w:r>
        <w:t xml:space="preserve"> and the effect remained substantial until </w:t>
      </w:r>
      <w:r w:rsidR="001C6936">
        <w:t>D</w:t>
      </w:r>
      <w:r>
        <w:t xml:space="preserve">ay 150 </w:t>
      </w:r>
      <w:r w:rsidR="00FA1989">
        <w:t>(</w:t>
      </w:r>
      <w:r w:rsidR="00FA1989">
        <w:fldChar w:fldCharType="begin"/>
      </w:r>
      <w:r w:rsidR="00FA1989">
        <w:instrText xml:space="preserve"> REF _Ref143593237 \h </w:instrText>
      </w:r>
      <w:r w:rsidR="00FA1989">
        <w:fldChar w:fldCharType="separate"/>
      </w:r>
      <w:r w:rsidR="005630CE" w:rsidRPr="001C6936">
        <w:t xml:space="preserve">Figure </w:t>
      </w:r>
      <w:r w:rsidR="005630CE">
        <w:rPr>
          <w:noProof/>
        </w:rPr>
        <w:t>4</w:t>
      </w:r>
      <w:r w:rsidR="00FA1989">
        <w:fldChar w:fldCharType="end"/>
      </w:r>
      <w:r w:rsidR="00FA1989">
        <w:t>)</w:t>
      </w:r>
      <w:r>
        <w:t>.</w:t>
      </w:r>
    </w:p>
    <w:p w14:paraId="0FE26EF0" w14:textId="1480D48E" w:rsidR="00FA1989" w:rsidRDefault="00FA1989" w:rsidP="00A35E5A">
      <w:pPr>
        <w:pStyle w:val="FigureTitle"/>
        <w:keepNext/>
      </w:pPr>
      <w:bookmarkStart w:id="55" w:name="_Ref143593226"/>
      <w:r w:rsidRPr="001C6936">
        <w:lastRenderedPageBreak/>
        <w:t xml:space="preserve">Figure </w:t>
      </w:r>
      <w:fldSimple w:instr=" SEQ Figure \* ARABIC ">
        <w:r w:rsidR="005630CE">
          <w:rPr>
            <w:noProof/>
          </w:rPr>
          <w:t>3</w:t>
        </w:r>
      </w:fldSimple>
      <w:bookmarkEnd w:id="55"/>
      <w:r>
        <w:t>:</w:t>
      </w:r>
      <w:r w:rsidR="001C6936" w:rsidRPr="001C6936">
        <w:t xml:space="preserve"> </w:t>
      </w:r>
      <w:r w:rsidR="00864A0D">
        <w:t xml:space="preserve">Study EV001 </w:t>
      </w:r>
      <w:r w:rsidR="001C6936">
        <w:t>Percentage of subjects with a positive response (improved/much improved) on global aesthetic improvement scale by visit – intent to treat population</w:t>
      </w:r>
    </w:p>
    <w:p w14:paraId="0F2E536E" w14:textId="7F434B58" w:rsidR="00FA1989" w:rsidRPr="00FA1989" w:rsidRDefault="00FA1989" w:rsidP="00FA1989">
      <w:r>
        <w:rPr>
          <w:noProof/>
        </w:rPr>
        <w:drawing>
          <wp:inline distT="0" distB="0" distL="0" distR="0" wp14:anchorId="53AE6B80" wp14:editId="43EA77AE">
            <wp:extent cx="5731510" cy="3423285"/>
            <wp:effectExtent l="0" t="0" r="2540" b="5715"/>
            <wp:docPr id="7" name="Picture 7" descr="Study EV001 Percentage of subjects with a positive response (improved/much improved) on global aesthetic improvement scale by visit –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EV001 Percentage of subjects with a positive response (improved/much improved) on global aesthetic improvement scale by visit – intent to treat population"/>
                    <pic:cNvPicPr/>
                  </pic:nvPicPr>
                  <pic:blipFill>
                    <a:blip r:embed="rId31"/>
                    <a:stretch>
                      <a:fillRect/>
                    </a:stretch>
                  </pic:blipFill>
                  <pic:spPr>
                    <a:xfrm>
                      <a:off x="0" y="0"/>
                      <a:ext cx="5731510" cy="3423285"/>
                    </a:xfrm>
                    <a:prstGeom prst="rect">
                      <a:avLst/>
                    </a:prstGeom>
                  </pic:spPr>
                </pic:pic>
              </a:graphicData>
            </a:graphic>
          </wp:inline>
        </w:drawing>
      </w:r>
    </w:p>
    <w:p w14:paraId="1E1021A7" w14:textId="18113EF4" w:rsidR="00FA1989" w:rsidRDefault="00FA1989" w:rsidP="001C6936">
      <w:pPr>
        <w:pStyle w:val="FigureTitle"/>
      </w:pPr>
      <w:bookmarkStart w:id="56" w:name="_Ref143593237"/>
      <w:r w:rsidRPr="001C6936">
        <w:t xml:space="preserve">Figure </w:t>
      </w:r>
      <w:fldSimple w:instr=" SEQ Figure \* ARABIC ">
        <w:r w:rsidR="005630CE">
          <w:rPr>
            <w:noProof/>
          </w:rPr>
          <w:t>4</w:t>
        </w:r>
      </w:fldSimple>
      <w:bookmarkEnd w:id="56"/>
      <w:r w:rsidRPr="001C6936">
        <w:t>:</w:t>
      </w:r>
      <w:r>
        <w:t xml:space="preserve"> </w:t>
      </w:r>
      <w:r w:rsidR="00864A0D">
        <w:t xml:space="preserve">Study EV-001 </w:t>
      </w:r>
      <w:r w:rsidR="001C6936">
        <w:t>Percentage of subjects with a positive response (satisfied/very satisfied) on the s</w:t>
      </w:r>
      <w:r w:rsidR="001C6936" w:rsidRPr="001C6936">
        <w:t>ubject satisfaction scale</w:t>
      </w:r>
      <w:r w:rsidR="001C6936">
        <w:t xml:space="preserve"> by visit – intent to treat population</w:t>
      </w:r>
    </w:p>
    <w:p w14:paraId="0545AB1B" w14:textId="176D07F3" w:rsidR="00FA1989" w:rsidRDefault="001C6936" w:rsidP="00FA1989">
      <w:r>
        <w:rPr>
          <w:noProof/>
        </w:rPr>
        <w:drawing>
          <wp:inline distT="0" distB="0" distL="0" distR="0" wp14:anchorId="715B05D3" wp14:editId="74AFE049">
            <wp:extent cx="5731510" cy="3377565"/>
            <wp:effectExtent l="0" t="0" r="2540" b="0"/>
            <wp:docPr id="8" name="Picture 8" descr="Study EV-001 Percentage of subjects with a positive response (satisfied/very satisfied) on the subject satisfaction scale by visit –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EV-001 Percentage of subjects with a positive response (satisfied/very satisfied) on the subject satisfaction scale by visit – intent to treat population"/>
                    <pic:cNvPicPr/>
                  </pic:nvPicPr>
                  <pic:blipFill>
                    <a:blip r:embed="rId32"/>
                    <a:stretch>
                      <a:fillRect/>
                    </a:stretch>
                  </pic:blipFill>
                  <pic:spPr>
                    <a:xfrm>
                      <a:off x="0" y="0"/>
                      <a:ext cx="5731510" cy="3377565"/>
                    </a:xfrm>
                    <a:prstGeom prst="rect">
                      <a:avLst/>
                    </a:prstGeom>
                  </pic:spPr>
                </pic:pic>
              </a:graphicData>
            </a:graphic>
          </wp:inline>
        </w:drawing>
      </w:r>
    </w:p>
    <w:p w14:paraId="7C590DFF" w14:textId="273F372A" w:rsidR="001C6936" w:rsidRDefault="001C6936" w:rsidP="001C6936">
      <w:pPr>
        <w:pStyle w:val="Heading6"/>
      </w:pPr>
      <w:r>
        <w:t>Study EV-002</w:t>
      </w:r>
    </w:p>
    <w:p w14:paraId="638AF49C" w14:textId="1A3C579E" w:rsidR="001C6936" w:rsidRPr="001C6936" w:rsidRDefault="001C6936" w:rsidP="001C6936">
      <w:r w:rsidRPr="001C6936">
        <w:t xml:space="preserve">Study EV-002 was a </w:t>
      </w:r>
      <w:r>
        <w:t>P</w:t>
      </w:r>
      <w:r w:rsidRPr="001C6936">
        <w:t xml:space="preserve">hase </w:t>
      </w:r>
      <w:r>
        <w:t>III</w:t>
      </w:r>
      <w:r w:rsidRPr="001C6936">
        <w:t>, randomised, double</w:t>
      </w:r>
      <w:r>
        <w:t xml:space="preserve"> </w:t>
      </w:r>
      <w:r w:rsidRPr="001C6936">
        <w:t xml:space="preserve">blind, placebo controlled, single dose trial to demonstrate the safety and efficacy of </w:t>
      </w:r>
      <w:proofErr w:type="spellStart"/>
      <w:r>
        <w:t>prabotulinumtoxin</w:t>
      </w:r>
      <w:proofErr w:type="spellEnd"/>
      <w:r w:rsidR="00BE0C02">
        <w:t xml:space="preserve"> </w:t>
      </w:r>
      <w:r>
        <w:t>A</w:t>
      </w:r>
      <w:r w:rsidRPr="001C6936">
        <w:t xml:space="preserve"> in adult subjects for the treatment of moderate to severe glabellar lines. It was conducted at </w:t>
      </w:r>
      <w:r w:rsidR="00864A0D">
        <w:t>ten</w:t>
      </w:r>
      <w:r w:rsidRPr="001C6936">
        <w:t xml:space="preserve"> study sites in the USA. </w:t>
      </w:r>
      <w:r w:rsidR="00864A0D">
        <w:t xml:space="preserve">Study </w:t>
      </w:r>
      <w:r w:rsidRPr="001C6936">
        <w:t xml:space="preserve">EV-002 design replicated that of </w:t>
      </w:r>
      <w:r w:rsidR="00864A0D">
        <w:t xml:space="preserve">Study </w:t>
      </w:r>
      <w:r w:rsidRPr="001C6936">
        <w:t>EV-001.</w:t>
      </w:r>
    </w:p>
    <w:p w14:paraId="64D6DDD6" w14:textId="52C33AAD" w:rsidR="001C6936" w:rsidRPr="001C6936" w:rsidRDefault="001C6936" w:rsidP="001C6936">
      <w:r w:rsidRPr="001C6936">
        <w:lastRenderedPageBreak/>
        <w:t xml:space="preserve">Three hundred and twenty four subjects who were randomised. Out of 246 randomised to </w:t>
      </w:r>
      <w:proofErr w:type="spellStart"/>
      <w:r>
        <w:t>prabotulinumtoxin</w:t>
      </w:r>
      <w:proofErr w:type="spellEnd"/>
      <w:r w:rsidR="00BE0C02">
        <w:t xml:space="preserve"> </w:t>
      </w:r>
      <w:r>
        <w:t>A</w:t>
      </w:r>
      <w:r w:rsidRPr="001C6936">
        <w:t xml:space="preserve">, </w:t>
      </w:r>
      <w:r w:rsidR="00864A0D">
        <w:t>eight subjects</w:t>
      </w:r>
      <w:r w:rsidRPr="001C6936">
        <w:t xml:space="preserve"> were lost to follow up and </w:t>
      </w:r>
      <w:r w:rsidR="00864A0D">
        <w:t>one</w:t>
      </w:r>
      <w:r w:rsidRPr="001C6936">
        <w:t xml:space="preserve"> </w:t>
      </w:r>
      <w:r w:rsidR="00864A0D">
        <w:t xml:space="preserve">subject </w:t>
      </w:r>
      <w:r w:rsidRPr="001C6936">
        <w:t xml:space="preserve">was withdrawn due to </w:t>
      </w:r>
      <w:proofErr w:type="gramStart"/>
      <w:r w:rsidRPr="001C6936">
        <w:t>an</w:t>
      </w:r>
      <w:proofErr w:type="gramEnd"/>
      <w:r w:rsidRPr="001C6936">
        <w:t xml:space="preserve"> </w:t>
      </w:r>
      <w:r w:rsidR="00864A0D">
        <w:t>serious adverse event (</w:t>
      </w:r>
      <w:r w:rsidRPr="001C6936">
        <w:t>SAE</w:t>
      </w:r>
      <w:r w:rsidR="00864A0D">
        <w:t>)</w:t>
      </w:r>
      <w:r w:rsidRPr="001C6936">
        <w:t xml:space="preserve"> of </w:t>
      </w:r>
      <w:r w:rsidR="00864A0D">
        <w:t>t</w:t>
      </w:r>
      <w:r w:rsidR="00864A0D" w:rsidRPr="00864A0D">
        <w:t>ransient ischaemic attack</w:t>
      </w:r>
      <w:r w:rsidRPr="001C6936">
        <w:t xml:space="preserve">. Out of 78 randomised to placebo, </w:t>
      </w:r>
      <w:r w:rsidR="00864A0D">
        <w:t>one</w:t>
      </w:r>
      <w:r w:rsidRPr="001C6936">
        <w:t xml:space="preserve"> subject was lost to follow up.</w:t>
      </w:r>
    </w:p>
    <w:p w14:paraId="22093A6E" w14:textId="335ADA85" w:rsidR="001C6936" w:rsidRPr="001C6936" w:rsidRDefault="001C6936" w:rsidP="001C6936">
      <w:r w:rsidRPr="001C6936">
        <w:t xml:space="preserve">The mean age was 51 years and 89.5% were female, 87.7% </w:t>
      </w:r>
      <w:r w:rsidR="00864A0D">
        <w:t>W</w:t>
      </w:r>
      <w:r w:rsidRPr="001C6936">
        <w:t xml:space="preserve">hite and </w:t>
      </w:r>
      <w:r w:rsidR="00302E59">
        <w:t>89.8</w:t>
      </w:r>
      <w:r w:rsidRPr="001C6936">
        <w:t xml:space="preserve">% </w:t>
      </w:r>
      <w:r w:rsidR="00864A0D">
        <w:t>younger than</w:t>
      </w:r>
      <w:r w:rsidRPr="001C6936">
        <w:t xml:space="preserve"> 65</w:t>
      </w:r>
      <w:r w:rsidR="00864A0D">
        <w:t> </w:t>
      </w:r>
      <w:r w:rsidRPr="001C6936">
        <w:t>years old.</w:t>
      </w:r>
    </w:p>
    <w:p w14:paraId="57133FB6" w14:textId="26AECF9F" w:rsidR="001C6936" w:rsidRPr="001C6936" w:rsidRDefault="001C6936" w:rsidP="001C6936">
      <w:r w:rsidRPr="001C6936">
        <w:t xml:space="preserve">In terms of the primary efficacy outcome in the ITT population, the percentage of responders was 70.4% in the </w:t>
      </w:r>
      <w:proofErr w:type="spellStart"/>
      <w:r>
        <w:t>prabotulinumtoxin</w:t>
      </w:r>
      <w:proofErr w:type="spellEnd"/>
      <w:r w:rsidR="00BE0C02">
        <w:t xml:space="preserve"> </w:t>
      </w:r>
      <w:r>
        <w:t>A</w:t>
      </w:r>
      <w:r w:rsidRPr="001C6936">
        <w:t xml:space="preserve"> group and 1.3% in the placebo group. The absolute difference was 69.1% (p</w:t>
      </w:r>
      <w:r w:rsidR="00864A0D">
        <w:t xml:space="preserve"> </w:t>
      </w:r>
      <w:r w:rsidRPr="001C6936">
        <w:t>&lt;</w:t>
      </w:r>
      <w:r w:rsidR="00864A0D">
        <w:t xml:space="preserve"> </w:t>
      </w:r>
      <w:r w:rsidRPr="001C6936">
        <w:t>0.001).</w:t>
      </w:r>
    </w:p>
    <w:p w14:paraId="18801A56" w14:textId="77777777" w:rsidR="001C6936" w:rsidRPr="001C6936" w:rsidRDefault="001C6936" w:rsidP="001C6936">
      <w:r w:rsidRPr="001C6936">
        <w:t>Sensitivity analyses were conducted using different populations (</w:t>
      </w:r>
      <w:proofErr w:type="spellStart"/>
      <w:r w:rsidRPr="001C6936">
        <w:t>mITT</w:t>
      </w:r>
      <w:proofErr w:type="spellEnd"/>
      <w:r w:rsidRPr="001C6936">
        <w:t>, PP, ITT excluding outlier clinics), different scenarios accounting for a missing primary efficacy endpoint and excluding subjects treated out of randomisation order. All of these showed statistically significant differences and were consistent with the primary efficacy outcome.</w:t>
      </w:r>
    </w:p>
    <w:p w14:paraId="057F1A54" w14:textId="07F18A9F" w:rsidR="001C6936" w:rsidRPr="001C6936" w:rsidRDefault="001C6936" w:rsidP="001C6936">
      <w:r w:rsidRPr="001C6936">
        <w:t xml:space="preserve">When analysing based on age, subjects aged </w:t>
      </w:r>
      <w:r w:rsidR="00864A0D">
        <w:t xml:space="preserve">younger than </w:t>
      </w:r>
      <w:r w:rsidRPr="001C6936">
        <w:t xml:space="preserve">65 years receiving </w:t>
      </w:r>
      <w:proofErr w:type="spellStart"/>
      <w:r>
        <w:t>prabotulinumtoxin</w:t>
      </w:r>
      <w:proofErr w:type="spellEnd"/>
      <w:r w:rsidR="00BE0C02">
        <w:t> </w:t>
      </w:r>
      <w:r>
        <w:t>A</w:t>
      </w:r>
      <w:r w:rsidRPr="001C6936">
        <w:t xml:space="preserve"> (n</w:t>
      </w:r>
      <w:r w:rsidR="00864A0D">
        <w:t xml:space="preserve"> </w:t>
      </w:r>
      <w:r w:rsidRPr="001C6936">
        <w:t>=</w:t>
      </w:r>
      <w:r w:rsidR="00864A0D">
        <w:t xml:space="preserve"> </w:t>
      </w:r>
      <w:r w:rsidR="003D0808">
        <w:t>219</w:t>
      </w:r>
      <w:r w:rsidRPr="001C6936">
        <w:t xml:space="preserve">) were more likely to be responders than subjects aged </w:t>
      </w:r>
      <w:r w:rsidR="00864A0D">
        <w:t>at least</w:t>
      </w:r>
      <w:r w:rsidRPr="001C6936">
        <w:t xml:space="preserve"> 65</w:t>
      </w:r>
      <w:r w:rsidR="00864A0D">
        <w:t> </w:t>
      </w:r>
      <w:r w:rsidRPr="001C6936">
        <w:t>years (n</w:t>
      </w:r>
      <w:r w:rsidR="00864A0D">
        <w:t xml:space="preserve"> </w:t>
      </w:r>
      <w:r w:rsidRPr="001C6936">
        <w:t>=</w:t>
      </w:r>
      <w:r w:rsidR="00864A0D">
        <w:t xml:space="preserve"> </w:t>
      </w:r>
      <w:r w:rsidRPr="001C6936">
        <w:t xml:space="preserve">27). 72.4% of those aged </w:t>
      </w:r>
      <w:r w:rsidR="00864A0D">
        <w:t>younger than</w:t>
      </w:r>
      <w:r w:rsidRPr="001C6936">
        <w:t xml:space="preserve"> 65 years and 53.8% of those aged </w:t>
      </w:r>
      <w:r w:rsidR="00864A0D">
        <w:t>at least</w:t>
      </w:r>
      <w:r w:rsidRPr="001C6936">
        <w:t xml:space="preserve"> 65 years were responders. The differences between placebo remained highly statistically significant for the </w:t>
      </w:r>
      <w:r w:rsidR="00864A0D">
        <w:t>younger than</w:t>
      </w:r>
      <w:r w:rsidRPr="001C6936">
        <w:t xml:space="preserve"> 65 year old bracket (p</w:t>
      </w:r>
      <w:r w:rsidR="00864A0D">
        <w:t xml:space="preserve"> </w:t>
      </w:r>
      <w:r w:rsidRPr="001C6936">
        <w:t>&lt;</w:t>
      </w:r>
      <w:r w:rsidR="00864A0D">
        <w:t xml:space="preserve"> </w:t>
      </w:r>
      <w:r w:rsidRPr="001C6936">
        <w:t xml:space="preserve">0.001), but not for the </w:t>
      </w:r>
      <w:r w:rsidR="00864A0D">
        <w:t>at least</w:t>
      </w:r>
      <w:r w:rsidRPr="001C6936">
        <w:t xml:space="preserve"> 65 year brackets (p</w:t>
      </w:r>
      <w:r w:rsidR="00864A0D">
        <w:t xml:space="preserve"> </w:t>
      </w:r>
      <w:r w:rsidRPr="001C6936">
        <w:t>=</w:t>
      </w:r>
      <w:r w:rsidR="00864A0D">
        <w:t xml:space="preserve"> </w:t>
      </w:r>
      <w:r w:rsidRPr="001C6936">
        <w:t>0.137).</w:t>
      </w:r>
    </w:p>
    <w:p w14:paraId="7821CE1F" w14:textId="53A63069" w:rsidR="001C6936" w:rsidRPr="001C6936" w:rsidRDefault="001C6936" w:rsidP="001C6936">
      <w:r w:rsidRPr="001C6936">
        <w:t xml:space="preserve">In terms of the secondary efficacy outcomes, the absolute difference in responders between </w:t>
      </w:r>
      <w:proofErr w:type="spellStart"/>
      <w:r>
        <w:t>prabotulinumtoxin</w:t>
      </w:r>
      <w:proofErr w:type="spellEnd"/>
      <w:r w:rsidR="00BE0C02">
        <w:t xml:space="preserve"> </w:t>
      </w:r>
      <w:r>
        <w:t>A</w:t>
      </w:r>
      <w:r w:rsidRPr="001C6936">
        <w:t xml:space="preserve"> and placebo remained statically significant at later time points, although the value did drop over time. The absolute difference at </w:t>
      </w:r>
      <w:r w:rsidR="00864A0D">
        <w:t>D</w:t>
      </w:r>
      <w:r w:rsidRPr="001C6936">
        <w:t xml:space="preserve">ay 90 was 25.8%, at </w:t>
      </w:r>
      <w:r w:rsidR="00864A0D">
        <w:t>D</w:t>
      </w:r>
      <w:r w:rsidRPr="001C6936">
        <w:t xml:space="preserve">ay 120 was 12.4% and at </w:t>
      </w:r>
      <w:r w:rsidR="00864A0D">
        <w:t>D</w:t>
      </w:r>
      <w:r w:rsidRPr="001C6936">
        <w:t xml:space="preserve">ay 150 was 4.6%. The other secondary outcome in the </w:t>
      </w:r>
      <w:proofErr w:type="spellStart"/>
      <w:r w:rsidRPr="001C6936">
        <w:t>mITT</w:t>
      </w:r>
      <w:proofErr w:type="spellEnd"/>
      <w:r w:rsidRPr="001C6936">
        <w:t xml:space="preserve"> population (</w:t>
      </w:r>
      <w:r w:rsidR="00864A0D">
        <w:t>that is at least</w:t>
      </w:r>
      <w:r w:rsidRPr="001C6936">
        <w:t xml:space="preserve"> 2 point change in GLS at rest) found a 32.7% absolute difference between placebo and </w:t>
      </w:r>
      <w:proofErr w:type="spellStart"/>
      <w:r>
        <w:t>prabotulinumtoxin</w:t>
      </w:r>
      <w:proofErr w:type="spellEnd"/>
      <w:r w:rsidR="00BE0C02">
        <w:t xml:space="preserve"> </w:t>
      </w:r>
      <w:r>
        <w:t>A</w:t>
      </w:r>
      <w:r w:rsidRPr="001C6936">
        <w:t xml:space="preserve"> (p</w:t>
      </w:r>
      <w:r w:rsidR="00864A0D">
        <w:t xml:space="preserve"> </w:t>
      </w:r>
      <w:r w:rsidRPr="001C6936">
        <w:t>&lt;</w:t>
      </w:r>
      <w:r w:rsidR="00864A0D">
        <w:t xml:space="preserve"> </w:t>
      </w:r>
      <w:r w:rsidRPr="001C6936">
        <w:t>0.001).</w:t>
      </w:r>
    </w:p>
    <w:p w14:paraId="43ED71A6" w14:textId="58721A37" w:rsidR="001C6936" w:rsidRPr="001C6936" w:rsidRDefault="001C6936" w:rsidP="001C6936">
      <w:r w:rsidRPr="001C6936">
        <w:t xml:space="preserve">In terms of exploratory outcomes, there was a high percentage of subjects randomised to </w:t>
      </w:r>
      <w:proofErr w:type="spellStart"/>
      <w:r>
        <w:t>prabotulinumtoxin</w:t>
      </w:r>
      <w:proofErr w:type="spellEnd"/>
      <w:r w:rsidR="00BE0C02">
        <w:t xml:space="preserve"> </w:t>
      </w:r>
      <w:r>
        <w:t>A</w:t>
      </w:r>
      <w:r w:rsidRPr="001C6936">
        <w:t xml:space="preserve"> rated as improved/much improved on GAIS</w:t>
      </w:r>
      <w:r w:rsidR="00864A0D">
        <w:t xml:space="preserve"> (</w:t>
      </w:r>
      <w:r w:rsidR="00864A0D">
        <w:fldChar w:fldCharType="begin"/>
      </w:r>
      <w:r w:rsidR="00864A0D">
        <w:instrText xml:space="preserve"> REF _Ref143597526 \h </w:instrText>
      </w:r>
      <w:r w:rsidR="00864A0D">
        <w:fldChar w:fldCharType="separate"/>
      </w:r>
      <w:r w:rsidR="005630CE" w:rsidRPr="00864A0D">
        <w:t xml:space="preserve">Figure </w:t>
      </w:r>
      <w:r w:rsidR="005630CE">
        <w:rPr>
          <w:noProof/>
        </w:rPr>
        <w:t>5</w:t>
      </w:r>
      <w:r w:rsidR="00864A0D">
        <w:fldChar w:fldCharType="end"/>
      </w:r>
      <w:r w:rsidR="00864A0D">
        <w:t>)</w:t>
      </w:r>
      <w:r w:rsidRPr="001C6936">
        <w:t xml:space="preserve">. There was a large difference between the </w:t>
      </w:r>
      <w:proofErr w:type="spellStart"/>
      <w:r>
        <w:t>prabotulinumtoxin</w:t>
      </w:r>
      <w:proofErr w:type="spellEnd"/>
      <w:r w:rsidR="00BE0C02">
        <w:t xml:space="preserve"> </w:t>
      </w:r>
      <w:r>
        <w:t>A</w:t>
      </w:r>
      <w:r w:rsidRPr="001C6936">
        <w:t xml:space="preserve"> and placebo groups and the effect peaked at </w:t>
      </w:r>
      <w:r w:rsidR="00864A0D">
        <w:t>D</w:t>
      </w:r>
      <w:r w:rsidRPr="001C6936">
        <w:t xml:space="preserve">ay 14 and remained substantial at </w:t>
      </w:r>
      <w:r w:rsidR="00864A0D">
        <w:t>D</w:t>
      </w:r>
      <w:r w:rsidRPr="001C6936">
        <w:t xml:space="preserve">ay 150. Similarly, there was a high percentage of subjects randomised to </w:t>
      </w:r>
      <w:proofErr w:type="spellStart"/>
      <w:r>
        <w:t>prabotulinumtoxin</w:t>
      </w:r>
      <w:proofErr w:type="spellEnd"/>
      <w:r w:rsidR="00BE0C02">
        <w:t xml:space="preserve"> </w:t>
      </w:r>
      <w:r>
        <w:t>A</w:t>
      </w:r>
      <w:r w:rsidRPr="001C6936">
        <w:t xml:space="preserve"> rated as satisfied/very satisfied on the SSS</w:t>
      </w:r>
      <w:r w:rsidR="00864A0D">
        <w:t xml:space="preserve"> (</w:t>
      </w:r>
      <w:r w:rsidR="00864A0D">
        <w:fldChar w:fldCharType="begin"/>
      </w:r>
      <w:r w:rsidR="00864A0D">
        <w:instrText xml:space="preserve"> REF _Ref143597535 \h </w:instrText>
      </w:r>
      <w:r w:rsidR="00864A0D">
        <w:fldChar w:fldCharType="separate"/>
      </w:r>
      <w:r w:rsidR="005630CE" w:rsidRPr="00864A0D">
        <w:t xml:space="preserve">Figure </w:t>
      </w:r>
      <w:r w:rsidR="005630CE">
        <w:rPr>
          <w:noProof/>
        </w:rPr>
        <w:t>6</w:t>
      </w:r>
      <w:r w:rsidR="00864A0D">
        <w:fldChar w:fldCharType="end"/>
      </w:r>
      <w:r w:rsidR="00864A0D">
        <w:t>)</w:t>
      </w:r>
      <w:r w:rsidRPr="001C6936">
        <w:t xml:space="preserve">. There was a large difference between </w:t>
      </w:r>
      <w:proofErr w:type="spellStart"/>
      <w:r>
        <w:t>prabotulinumtoxin</w:t>
      </w:r>
      <w:proofErr w:type="spellEnd"/>
      <w:r w:rsidR="00BE0C02">
        <w:t xml:space="preserve"> </w:t>
      </w:r>
      <w:r>
        <w:t>A</w:t>
      </w:r>
      <w:r w:rsidRPr="001C6936">
        <w:t xml:space="preserve"> and placebo groups and the effect remained substantial until </w:t>
      </w:r>
      <w:r w:rsidR="00864A0D">
        <w:t>D</w:t>
      </w:r>
      <w:r w:rsidRPr="001C6936">
        <w:t>ay 150.</w:t>
      </w:r>
    </w:p>
    <w:p w14:paraId="52B175FF" w14:textId="3C0C6E5A" w:rsidR="00864A0D" w:rsidRDefault="00864A0D" w:rsidP="00A35E5A">
      <w:pPr>
        <w:pStyle w:val="FigureTitle"/>
        <w:keepNext/>
      </w:pPr>
      <w:bookmarkStart w:id="57" w:name="_Ref143597526"/>
      <w:r w:rsidRPr="00864A0D">
        <w:lastRenderedPageBreak/>
        <w:t xml:space="preserve">Figure </w:t>
      </w:r>
      <w:fldSimple w:instr=" SEQ Figure \* ARABIC ">
        <w:r w:rsidR="005630CE">
          <w:rPr>
            <w:noProof/>
          </w:rPr>
          <w:t>5</w:t>
        </w:r>
      </w:fldSimple>
      <w:bookmarkEnd w:id="57"/>
      <w:r>
        <w:t>: Study EV-002 Percentage of subjects with a positive response (improved/much improved) on global aesthetic improvement scale by visit – intent to treat population</w:t>
      </w:r>
    </w:p>
    <w:p w14:paraId="0E8A462D" w14:textId="7D089033" w:rsidR="00864A0D" w:rsidRPr="00864A0D" w:rsidRDefault="00864A0D" w:rsidP="00864A0D">
      <w:pPr>
        <w:pStyle w:val="FigureTitle"/>
      </w:pPr>
      <w:r>
        <w:rPr>
          <w:noProof/>
        </w:rPr>
        <w:drawing>
          <wp:inline distT="0" distB="0" distL="0" distR="0" wp14:anchorId="0D27C000" wp14:editId="29F2C9AD">
            <wp:extent cx="5731510" cy="3534410"/>
            <wp:effectExtent l="0" t="0" r="2540" b="8890"/>
            <wp:docPr id="9" name="Picture 9" descr="Study EV-002 Percentage of subjects with a positive response (improved/much improved) on global aesthetic improvement scale by visit –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EV-002 Percentage of subjects with a positive response (improved/much improved) on global aesthetic improvement scale by visit – intent to treat population"/>
                    <pic:cNvPicPr/>
                  </pic:nvPicPr>
                  <pic:blipFill>
                    <a:blip r:embed="rId33"/>
                    <a:stretch>
                      <a:fillRect/>
                    </a:stretch>
                  </pic:blipFill>
                  <pic:spPr>
                    <a:xfrm>
                      <a:off x="0" y="0"/>
                      <a:ext cx="5731510" cy="3534410"/>
                    </a:xfrm>
                    <a:prstGeom prst="rect">
                      <a:avLst/>
                    </a:prstGeom>
                  </pic:spPr>
                </pic:pic>
              </a:graphicData>
            </a:graphic>
          </wp:inline>
        </w:drawing>
      </w:r>
    </w:p>
    <w:p w14:paraId="58BB64F4" w14:textId="485488F1" w:rsidR="00864A0D" w:rsidRDefault="00864A0D" w:rsidP="00864A0D">
      <w:pPr>
        <w:pStyle w:val="FigureTitle"/>
      </w:pPr>
      <w:bookmarkStart w:id="58" w:name="_Ref143597535"/>
      <w:r w:rsidRPr="00864A0D">
        <w:t xml:space="preserve">Figure </w:t>
      </w:r>
      <w:fldSimple w:instr=" SEQ Figure \* ARABIC ">
        <w:r w:rsidR="005630CE">
          <w:rPr>
            <w:noProof/>
          </w:rPr>
          <w:t>6</w:t>
        </w:r>
      </w:fldSimple>
      <w:bookmarkEnd w:id="58"/>
      <w:r>
        <w:t>: Study EV-002 Percentage of subjects with a positive response (satisfied/very satisfied) on the s</w:t>
      </w:r>
      <w:r w:rsidRPr="001C6936">
        <w:t>ubject satisfaction scale</w:t>
      </w:r>
      <w:r>
        <w:t xml:space="preserve"> by visit – intent to treat population</w:t>
      </w:r>
    </w:p>
    <w:p w14:paraId="341C054F" w14:textId="2C66595D" w:rsidR="00864A0D" w:rsidRDefault="00864A0D" w:rsidP="00864A0D">
      <w:r>
        <w:rPr>
          <w:noProof/>
        </w:rPr>
        <w:drawing>
          <wp:inline distT="0" distB="0" distL="0" distR="0" wp14:anchorId="769C3F88" wp14:editId="0040D1B9">
            <wp:extent cx="5731510" cy="3449955"/>
            <wp:effectExtent l="0" t="0" r="2540" b="0"/>
            <wp:docPr id="10" name="Picture 10" descr="Study EV-002 Percentage of subjects with a positive response (satisfied/very satisfied) on the subject satisfaction scale by visit –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EV-002 Percentage of subjects with a positive response (satisfied/very satisfied) on the subject satisfaction scale by visit – intent to treat population"/>
                    <pic:cNvPicPr/>
                  </pic:nvPicPr>
                  <pic:blipFill>
                    <a:blip r:embed="rId34"/>
                    <a:stretch>
                      <a:fillRect/>
                    </a:stretch>
                  </pic:blipFill>
                  <pic:spPr>
                    <a:xfrm>
                      <a:off x="0" y="0"/>
                      <a:ext cx="5731510" cy="3449955"/>
                    </a:xfrm>
                    <a:prstGeom prst="rect">
                      <a:avLst/>
                    </a:prstGeom>
                  </pic:spPr>
                </pic:pic>
              </a:graphicData>
            </a:graphic>
          </wp:inline>
        </w:drawing>
      </w:r>
    </w:p>
    <w:p w14:paraId="6D7F0466" w14:textId="1157B04D" w:rsidR="00864A0D" w:rsidRPr="00864A0D" w:rsidRDefault="00864A0D" w:rsidP="00864A0D">
      <w:pPr>
        <w:pStyle w:val="Heading6"/>
      </w:pPr>
      <w:r>
        <w:t>Study EV</w:t>
      </w:r>
      <w:r w:rsidR="000C10D6">
        <w:t>B</w:t>
      </w:r>
      <w:r>
        <w:t>-003</w:t>
      </w:r>
    </w:p>
    <w:p w14:paraId="5E9BC889" w14:textId="724C9506" w:rsidR="00864A0D" w:rsidRPr="000C10D6" w:rsidRDefault="000C10D6" w:rsidP="000C10D6">
      <w:r w:rsidRPr="000C10D6">
        <w:t xml:space="preserve">Study </w:t>
      </w:r>
      <w:r w:rsidR="00864A0D" w:rsidRPr="000C10D6">
        <w:t>EV</w:t>
      </w:r>
      <w:r w:rsidRPr="000C10D6">
        <w:t>B</w:t>
      </w:r>
      <w:r w:rsidR="00864A0D" w:rsidRPr="000C10D6">
        <w:t xml:space="preserve">-003 was a </w:t>
      </w:r>
      <w:r>
        <w:t>P</w:t>
      </w:r>
      <w:r w:rsidR="00864A0D" w:rsidRPr="000C10D6">
        <w:t xml:space="preserve">hase </w:t>
      </w:r>
      <w:r>
        <w:t>III</w:t>
      </w:r>
      <w:r w:rsidR="00864A0D" w:rsidRPr="000C10D6">
        <w:t xml:space="preserve"> randomised, double</w:t>
      </w:r>
      <w:r>
        <w:t xml:space="preserve"> </w:t>
      </w:r>
      <w:r w:rsidR="00864A0D" w:rsidRPr="000C10D6">
        <w:t xml:space="preserve">blind, active and placebo control, single dose trial to demonstrate the efficacy and safety of </w:t>
      </w:r>
      <w:proofErr w:type="spellStart"/>
      <w:r>
        <w:t>prabotulinumtoxin</w:t>
      </w:r>
      <w:proofErr w:type="spellEnd"/>
      <w:r w:rsidR="00BE0C02">
        <w:t xml:space="preserve"> </w:t>
      </w:r>
      <w:r>
        <w:t>A</w:t>
      </w:r>
      <w:r w:rsidRPr="000C10D6">
        <w:t xml:space="preserve"> </w:t>
      </w:r>
      <w:r w:rsidR="00864A0D" w:rsidRPr="000C10D6">
        <w:t xml:space="preserve">in adults for the treatment of moderate to severe glabellar lines. It was conducted at 19 sites in Canada, France, Germany, </w:t>
      </w:r>
      <w:r w:rsidR="00864A0D" w:rsidRPr="000C10D6">
        <w:lastRenderedPageBreak/>
        <w:t xml:space="preserve">Sweden and the UK. This protocol was developed in consultation with </w:t>
      </w:r>
      <w:r w:rsidR="00F76DEA" w:rsidRPr="00F76DEA">
        <w:t>Medicines and Healthcare products Regulatory Agency</w:t>
      </w:r>
      <w:r w:rsidR="00F76DEA">
        <w:t xml:space="preserve"> </w:t>
      </w:r>
      <w:r w:rsidR="00864A0D" w:rsidRPr="000C10D6">
        <w:t xml:space="preserve">and </w:t>
      </w:r>
      <w:r w:rsidR="00F76DEA" w:rsidRPr="00F76DEA">
        <w:t xml:space="preserve">European Medicines Agency </w:t>
      </w:r>
      <w:r w:rsidR="00F76DEA">
        <w:t>(</w:t>
      </w:r>
      <w:r w:rsidR="00864A0D" w:rsidRPr="000C10D6">
        <w:t>EMA</w:t>
      </w:r>
      <w:r w:rsidR="00F76DEA">
        <w:t>)</w:t>
      </w:r>
      <w:r w:rsidR="00864A0D" w:rsidRPr="000C10D6">
        <w:t>.</w:t>
      </w:r>
    </w:p>
    <w:p w14:paraId="19691AFF" w14:textId="498A5910" w:rsidR="00864A0D" w:rsidRPr="000C10D6" w:rsidRDefault="000C10D6" w:rsidP="000C10D6">
      <w:r>
        <w:t xml:space="preserve">Study </w:t>
      </w:r>
      <w:r w:rsidR="00864A0D" w:rsidRPr="000C10D6">
        <w:t xml:space="preserve">EVB-003 replicated the inclusion and exclusion criteria and other methodology as </w:t>
      </w:r>
      <w:r w:rsidR="00F76DEA">
        <w:t>S</w:t>
      </w:r>
      <w:r w:rsidR="00864A0D" w:rsidRPr="000C10D6">
        <w:t xml:space="preserve">tudies EV-001 and EV-002. An additional inclusion criterion stipulated that the participant should feel that their glabellar lines had an important impact on their psychological wellbeing. The active comparator group in the trial received </w:t>
      </w:r>
      <w:r w:rsidR="00F76DEA">
        <w:t>B</w:t>
      </w:r>
      <w:r>
        <w:t xml:space="preserve">otox </w:t>
      </w:r>
      <w:r w:rsidR="00864A0D" w:rsidRPr="000C10D6">
        <w:t xml:space="preserve">administered as 5 </w:t>
      </w:r>
      <w:r>
        <w:t>times</w:t>
      </w:r>
      <w:r w:rsidR="00864A0D" w:rsidRPr="000C10D6">
        <w:t xml:space="preserve"> 4</w:t>
      </w:r>
      <w:r w:rsidR="00F76DEA">
        <w:t xml:space="preserve"> units</w:t>
      </w:r>
      <w:r w:rsidR="00864A0D" w:rsidRPr="000C10D6">
        <w:t xml:space="preserve">/01.mL injections. The use of an active comparator allowed </w:t>
      </w:r>
      <w:proofErr w:type="spellStart"/>
      <w:r>
        <w:t>prabotulinumtoxin</w:t>
      </w:r>
      <w:proofErr w:type="spellEnd"/>
      <w:r w:rsidR="00F76DEA">
        <w:t xml:space="preserve"> </w:t>
      </w:r>
      <w:r>
        <w:t>A</w:t>
      </w:r>
      <w:r w:rsidR="00864A0D" w:rsidRPr="000C10D6">
        <w:t xml:space="preserve"> to be simultaneously tested for non-inferiority (against </w:t>
      </w:r>
      <w:r w:rsidR="00BA3C7D">
        <w:t>Botox</w:t>
      </w:r>
      <w:r w:rsidR="00864A0D" w:rsidRPr="000C10D6">
        <w:t xml:space="preserve">) as well as superiority (against placebo). Subjects were randomised in 5:5:1 ratio to </w:t>
      </w:r>
      <w:proofErr w:type="spellStart"/>
      <w:r>
        <w:t>prabotulinumtoxin</w:t>
      </w:r>
      <w:proofErr w:type="spellEnd"/>
      <w:r w:rsidR="00F76DEA">
        <w:t xml:space="preserve"> </w:t>
      </w:r>
      <w:r>
        <w:t>A</w:t>
      </w:r>
      <w:r w:rsidR="00864A0D" w:rsidRPr="000C10D6">
        <w:t>, B</w:t>
      </w:r>
      <w:r>
        <w:t>otox</w:t>
      </w:r>
      <w:r w:rsidR="00864A0D" w:rsidRPr="000C10D6">
        <w:t xml:space="preserve"> or placebo.</w:t>
      </w:r>
    </w:p>
    <w:p w14:paraId="703D5956" w14:textId="6EF558F0" w:rsidR="00864A0D" w:rsidRPr="000C10D6" w:rsidRDefault="00864A0D" w:rsidP="000C10D6">
      <w:r w:rsidRPr="000C10D6">
        <w:t>The primary efficacy outcome was the proportion of subjects classified as responders, which in this study was defined by a GLS score of 0 or 1 (</w:t>
      </w:r>
      <w:r w:rsidR="000C10D6">
        <w:t xml:space="preserve">Studies </w:t>
      </w:r>
      <w:r w:rsidRPr="000C10D6">
        <w:t xml:space="preserve">EV-001 and EV-002 were based on </w:t>
      </w:r>
      <w:r w:rsidR="000C10D6">
        <w:t>at least</w:t>
      </w:r>
      <w:r w:rsidRPr="000C10D6">
        <w:t xml:space="preserve"> 2 point drop in GLS) as assessed by the </w:t>
      </w:r>
      <w:r w:rsidR="000C10D6">
        <w:t>i</w:t>
      </w:r>
      <w:r w:rsidRPr="000C10D6">
        <w:t>nvestigator at maximum frown (</w:t>
      </w:r>
      <w:r w:rsidR="000C10D6">
        <w:t xml:space="preserve">Studies </w:t>
      </w:r>
      <w:r w:rsidRPr="000C10D6">
        <w:t xml:space="preserve">EV-001 and EV-002 required agreement between </w:t>
      </w:r>
      <w:r w:rsidR="000C10D6">
        <w:t>i</w:t>
      </w:r>
      <w:r w:rsidRPr="000C10D6">
        <w:t>nvestigator and subject).</w:t>
      </w:r>
    </w:p>
    <w:p w14:paraId="7C993AFD" w14:textId="77777777" w:rsidR="00864A0D" w:rsidRPr="000C10D6" w:rsidRDefault="00864A0D" w:rsidP="000C10D6">
      <w:r w:rsidRPr="000C10D6">
        <w:t>The secondary efficacy endpoints were:</w:t>
      </w:r>
    </w:p>
    <w:p w14:paraId="1D78FAC4" w14:textId="77777777" w:rsidR="00864A0D" w:rsidRDefault="00864A0D" w:rsidP="000C10D6">
      <w:pPr>
        <w:pStyle w:val="ListBullet"/>
      </w:pPr>
      <w:r w:rsidRPr="009C3AF4">
        <w:t>proportion of subjects with a GLS score of 0 or 1 on Day 30 at maximum frown by subject</w:t>
      </w:r>
      <w:r>
        <w:t xml:space="preserve"> </w:t>
      </w:r>
      <w:r w:rsidRPr="009C3AF4">
        <w:t>assessment</w:t>
      </w:r>
    </w:p>
    <w:p w14:paraId="4538F89C" w14:textId="003895D1" w:rsidR="00864A0D" w:rsidRDefault="00864A0D" w:rsidP="000C10D6">
      <w:pPr>
        <w:pStyle w:val="ListBullet"/>
      </w:pPr>
      <w:r w:rsidRPr="009C3AF4">
        <w:t xml:space="preserve">proportion of subjects with at least a 1 point improvement on the SSS at Day 30 </w:t>
      </w:r>
      <w:r w:rsidRPr="009C3AF4">
        <w:rPr>
          <w:rFonts w:hint="eastAsia"/>
        </w:rPr>
        <w:t>–</w:t>
      </w:r>
      <w:r w:rsidRPr="009C3AF4">
        <w:t xml:space="preserve"> </w:t>
      </w:r>
      <w:r w:rsidR="000C10D6">
        <w:t>that is</w:t>
      </w:r>
      <w:r w:rsidRPr="009C3AF4">
        <w:t xml:space="preserve"> a score of 1(satisfied) or 2 (very satisfied) on Day 30</w:t>
      </w:r>
    </w:p>
    <w:p w14:paraId="35A6567C" w14:textId="0626343F" w:rsidR="00864A0D" w:rsidRDefault="00864A0D" w:rsidP="000C10D6">
      <w:pPr>
        <w:pStyle w:val="ListBullet"/>
      </w:pPr>
      <w:r w:rsidRPr="009C3AF4">
        <w:t xml:space="preserve">change from </w:t>
      </w:r>
      <w:r w:rsidR="000C10D6">
        <w:t>B</w:t>
      </w:r>
      <w:r w:rsidRPr="009C3AF4">
        <w:t xml:space="preserve">aseline to Day 90 in mean </w:t>
      </w:r>
      <w:r w:rsidR="00F76DEA" w:rsidRPr="00F76DEA">
        <w:t xml:space="preserve">Hospital Anxiety and Depression </w:t>
      </w:r>
      <w:r w:rsidR="00F76DEA">
        <w:t>Scale (</w:t>
      </w:r>
      <w:r w:rsidRPr="009C3AF4">
        <w:t>HADS</w:t>
      </w:r>
      <w:r w:rsidR="00F76DEA">
        <w:t>)</w:t>
      </w:r>
      <w:r w:rsidRPr="009C3AF4">
        <w:t xml:space="preserve"> </w:t>
      </w:r>
      <w:r w:rsidR="00F76DEA">
        <w:t>-</w:t>
      </w:r>
      <w:r w:rsidRPr="009C3AF4">
        <w:t>Anxiety score</w:t>
      </w:r>
    </w:p>
    <w:p w14:paraId="49509668" w14:textId="02AEFCC1" w:rsidR="00864A0D" w:rsidRDefault="00864A0D" w:rsidP="000C10D6">
      <w:pPr>
        <w:pStyle w:val="ListBullet"/>
      </w:pPr>
      <w:r w:rsidRPr="009C3AF4">
        <w:t xml:space="preserve">change from </w:t>
      </w:r>
      <w:r w:rsidR="000C10D6">
        <w:t>B</w:t>
      </w:r>
      <w:r w:rsidRPr="009C3AF4">
        <w:t>aseline to Day 90 in mean HADS</w:t>
      </w:r>
      <w:r w:rsidR="00F76DEA">
        <w:t>-</w:t>
      </w:r>
      <w:r w:rsidRPr="009C3AF4">
        <w:t>Depression score</w:t>
      </w:r>
    </w:p>
    <w:p w14:paraId="33A6F8EF" w14:textId="77777777" w:rsidR="00864A0D" w:rsidRDefault="00864A0D" w:rsidP="000C10D6">
      <w:pPr>
        <w:pStyle w:val="ListBullet"/>
      </w:pPr>
      <w:r w:rsidRPr="009C3AF4">
        <w:t>proportion of subjects with at least a 1 point improvement on the GLS from Day 0 to Day 2 at</w:t>
      </w:r>
      <w:r>
        <w:t xml:space="preserve"> </w:t>
      </w:r>
      <w:r w:rsidRPr="009C3AF4">
        <w:t>maximum frown by Investigator assessment</w:t>
      </w:r>
    </w:p>
    <w:p w14:paraId="27A8CAE8" w14:textId="77777777" w:rsidR="00864A0D" w:rsidRDefault="00864A0D" w:rsidP="000C10D6">
      <w:pPr>
        <w:pStyle w:val="ListBullet"/>
      </w:pPr>
      <w:r w:rsidRPr="009C3AF4">
        <w:t>proportion of subjects with at least a 1 point improvement on the GLS from Day 0 to Day 150 at</w:t>
      </w:r>
      <w:r>
        <w:t xml:space="preserve"> </w:t>
      </w:r>
      <w:r w:rsidRPr="009C3AF4">
        <w:t>maximum frown by Investigator assessment.</w:t>
      </w:r>
    </w:p>
    <w:p w14:paraId="117CF735" w14:textId="0F0C9D95" w:rsidR="00864A0D" w:rsidRPr="000C10D6" w:rsidRDefault="00864A0D" w:rsidP="000C10D6">
      <w:r w:rsidRPr="000C10D6">
        <w:t>There were 12 exploratory endpoints, which included GAIS scores, SSS scores, different magnitudes of GLS change, changes in HADS-A</w:t>
      </w:r>
      <w:r w:rsidR="00F76DEA">
        <w:t>nxiety</w:t>
      </w:r>
      <w:r w:rsidRPr="000C10D6">
        <w:t xml:space="preserve"> and HADS-D</w:t>
      </w:r>
      <w:r w:rsidR="00F76DEA">
        <w:t>epression score</w:t>
      </w:r>
      <w:r w:rsidRPr="000C10D6">
        <w:t xml:space="preserve"> at various timepoints. These are detailed in the </w:t>
      </w:r>
      <w:r w:rsidR="000C10D6">
        <w:t>c</w:t>
      </w:r>
      <w:r w:rsidRPr="000C10D6">
        <w:t xml:space="preserve">linical </w:t>
      </w:r>
      <w:r w:rsidR="000C10D6">
        <w:t>e</w:t>
      </w:r>
      <w:r w:rsidRPr="000C10D6">
        <w:t xml:space="preserve">valuation </w:t>
      </w:r>
      <w:r w:rsidR="000C10D6">
        <w:t>r</w:t>
      </w:r>
      <w:r w:rsidRPr="000C10D6">
        <w:t xml:space="preserve">eport and in the relevant </w:t>
      </w:r>
      <w:r w:rsidR="000C10D6">
        <w:t>c</w:t>
      </w:r>
      <w:r w:rsidRPr="000C10D6">
        <w:t xml:space="preserve">linical </w:t>
      </w:r>
      <w:r w:rsidR="000C10D6">
        <w:t>s</w:t>
      </w:r>
      <w:r w:rsidRPr="000C10D6">
        <w:t xml:space="preserve">tudy </w:t>
      </w:r>
      <w:r w:rsidR="000C10D6">
        <w:t>r</w:t>
      </w:r>
      <w:r w:rsidRPr="000C10D6">
        <w:t>eport.</w:t>
      </w:r>
    </w:p>
    <w:p w14:paraId="02246654" w14:textId="17E1D668" w:rsidR="00864A0D" w:rsidRPr="000C10D6" w:rsidRDefault="00864A0D" w:rsidP="000C10D6">
      <w:r w:rsidRPr="000C10D6">
        <w:t xml:space="preserve">For the non-inferiority analysis (PP population), the non-inferiority margin was set at 0.10 with a one-side </w:t>
      </w:r>
      <w:r w:rsidR="000C10D6">
        <w:t>T</w:t>
      </w:r>
      <w:r w:rsidRPr="000C10D6">
        <w:t>ype 1 error rate of 2.5% and a power of 80%. For the superiority analysis (ITT population), responders were predicted to be 85% with active drug and 15% with placebo and a two-sided type 1 error of 2.5% and a power of 80% was used. The total study sample size was estimated to be 497.</w:t>
      </w:r>
    </w:p>
    <w:p w14:paraId="49764F39" w14:textId="77777777" w:rsidR="00864A0D" w:rsidRPr="000C10D6" w:rsidRDefault="00864A0D" w:rsidP="000C10D6">
      <w:r w:rsidRPr="000C10D6">
        <w:t>The secondary endpoints were tested in a closed sequential process using gatekeeping methods to maintain the overall study Type 1 error rate of 0.05 (to control for multiplicity).</w:t>
      </w:r>
    </w:p>
    <w:p w14:paraId="5ACA2C14" w14:textId="6EB1F0BA" w:rsidR="00864A0D" w:rsidRPr="000C10D6" w:rsidRDefault="00864A0D" w:rsidP="000C10D6">
      <w:r w:rsidRPr="000C10D6">
        <w:t>Five hundred and forty subjects were randomised, with 49 to placebo, 246 to B</w:t>
      </w:r>
      <w:r w:rsidR="000C10D6">
        <w:t>otox</w:t>
      </w:r>
      <w:r w:rsidRPr="000C10D6">
        <w:t xml:space="preserve"> and 245 to </w:t>
      </w:r>
      <w:proofErr w:type="spellStart"/>
      <w:r w:rsidR="000C10D6">
        <w:t>prabotulinumtoxin</w:t>
      </w:r>
      <w:proofErr w:type="spellEnd"/>
      <w:r w:rsidR="00F76DEA">
        <w:t xml:space="preserve"> </w:t>
      </w:r>
      <w:r w:rsidR="000C10D6">
        <w:t>A</w:t>
      </w:r>
      <w:r w:rsidRPr="000C10D6">
        <w:t xml:space="preserve">. These subjects represent the ITT and safety population. Thirteen participants in total were excluded from the </w:t>
      </w:r>
      <w:r w:rsidR="000C10D6">
        <w:t>PP</w:t>
      </w:r>
      <w:r w:rsidRPr="000C10D6">
        <w:t xml:space="preserve"> analysis, mainly due to missing the primary efficacy measure or the </w:t>
      </w:r>
      <w:r w:rsidR="000C10D6">
        <w:t>D</w:t>
      </w:r>
      <w:r w:rsidRPr="000C10D6">
        <w:t>ay 30 visit occurring out of window. Eight subjects were lost to follow up (</w:t>
      </w:r>
      <w:r w:rsidR="000C10D6">
        <w:t>one</w:t>
      </w:r>
      <w:r w:rsidRPr="000C10D6">
        <w:t xml:space="preserve"> in placebo group, </w:t>
      </w:r>
      <w:r w:rsidR="000C10D6">
        <w:t>one</w:t>
      </w:r>
      <w:r w:rsidRPr="000C10D6">
        <w:t xml:space="preserve"> in B</w:t>
      </w:r>
      <w:r w:rsidR="000C10D6">
        <w:t>otox</w:t>
      </w:r>
      <w:r w:rsidRPr="000C10D6">
        <w:t xml:space="preserve"> and </w:t>
      </w:r>
      <w:r w:rsidR="000C10D6">
        <w:t>six</w:t>
      </w:r>
      <w:r w:rsidRPr="000C10D6">
        <w:t xml:space="preserve"> in </w:t>
      </w:r>
      <w:proofErr w:type="spellStart"/>
      <w:r w:rsidR="000C10D6">
        <w:t>prabotulinumtoxin</w:t>
      </w:r>
      <w:proofErr w:type="spellEnd"/>
      <w:r w:rsidR="00F76DEA">
        <w:t xml:space="preserve"> </w:t>
      </w:r>
      <w:r w:rsidR="000C10D6">
        <w:t>A</w:t>
      </w:r>
      <w:r w:rsidRPr="000C10D6">
        <w:t xml:space="preserve">) and </w:t>
      </w:r>
      <w:r w:rsidR="000C10D6">
        <w:t>one</w:t>
      </w:r>
      <w:r w:rsidRPr="000C10D6">
        <w:t xml:space="preserve"> subjects in the B</w:t>
      </w:r>
      <w:r w:rsidR="000C10D6">
        <w:t>otox</w:t>
      </w:r>
      <w:r w:rsidRPr="000C10D6">
        <w:t xml:space="preserve"> group was withdrawn due to an unrelated SAE requiring surgery.</w:t>
      </w:r>
    </w:p>
    <w:p w14:paraId="1909DB1A" w14:textId="59B4C15D" w:rsidR="00864A0D" w:rsidRPr="000C10D6" w:rsidRDefault="00864A0D" w:rsidP="000C10D6">
      <w:r w:rsidRPr="000C10D6">
        <w:lastRenderedPageBreak/>
        <w:t xml:space="preserve">The mean age was 49 years. Only 7.4% of subjects were </w:t>
      </w:r>
      <w:r w:rsidR="000C10D6">
        <w:t>at least</w:t>
      </w:r>
      <w:r w:rsidRPr="000C10D6">
        <w:t xml:space="preserve"> 65 years of age and 88.1% were female and 71.1% were white. As assessed by the investigator, at </w:t>
      </w:r>
      <w:r w:rsidR="000C10D6">
        <w:t>B</w:t>
      </w:r>
      <w:r w:rsidRPr="000C10D6">
        <w:t>aseline 73.1% had severe glabellar lines and 26.9% had moderate glabellar lines.</w:t>
      </w:r>
    </w:p>
    <w:p w14:paraId="2A273423" w14:textId="16028828" w:rsidR="00864A0D" w:rsidRPr="000C10D6" w:rsidRDefault="00864A0D" w:rsidP="000C10D6">
      <w:r w:rsidRPr="000C10D6">
        <w:t>For the primary efficacy outcome, the percentage of responders was 4.2% with placebo, 82.8% with B</w:t>
      </w:r>
      <w:r w:rsidR="000C10D6">
        <w:t>otox</w:t>
      </w:r>
      <w:r w:rsidRPr="000C10D6">
        <w:t xml:space="preserve"> and 87.2% with </w:t>
      </w:r>
      <w:proofErr w:type="spellStart"/>
      <w:r w:rsidR="000C10D6">
        <w:t>prabotulinumtoxin</w:t>
      </w:r>
      <w:proofErr w:type="spellEnd"/>
      <w:r w:rsidR="00F76DEA">
        <w:t xml:space="preserve"> </w:t>
      </w:r>
      <w:r w:rsidR="000C10D6">
        <w:t>A</w:t>
      </w:r>
      <w:r w:rsidRPr="000C10D6">
        <w:t xml:space="preserve"> (this was the initial analysis </w:t>
      </w:r>
      <w:r w:rsidR="00712FB6">
        <w:t>on</w:t>
      </w:r>
      <w:r w:rsidRPr="000C10D6">
        <w:t xml:space="preserve"> the PP population). The absolute difference compared with placebo, was 78.6% for B</w:t>
      </w:r>
      <w:r w:rsidR="000C10D6">
        <w:t>otox</w:t>
      </w:r>
      <w:r w:rsidRPr="000C10D6">
        <w:t xml:space="preserve"> and 83.1% for </w:t>
      </w:r>
      <w:proofErr w:type="spellStart"/>
      <w:r w:rsidR="000C10D6">
        <w:t>prabotulinumtoxin</w:t>
      </w:r>
      <w:proofErr w:type="spellEnd"/>
      <w:r w:rsidR="00F76DEA">
        <w:t xml:space="preserve"> </w:t>
      </w:r>
      <w:r w:rsidR="000C10D6">
        <w:t>A</w:t>
      </w:r>
      <w:r w:rsidRPr="000C10D6">
        <w:t xml:space="preserve"> (p</w:t>
      </w:r>
      <w:r w:rsidR="000C10D6">
        <w:t xml:space="preserve"> </w:t>
      </w:r>
      <w:r w:rsidRPr="000C10D6">
        <w:t>&lt;</w:t>
      </w:r>
      <w:r w:rsidR="000C10D6">
        <w:t xml:space="preserve"> </w:t>
      </w:r>
      <w:r w:rsidRPr="000C10D6">
        <w:t>0.001 for both), confirming superiority of both active treatments. The 95% confidence interval for the difference between B</w:t>
      </w:r>
      <w:r w:rsidR="000C10D6">
        <w:t xml:space="preserve">otox </w:t>
      </w:r>
      <w:r w:rsidRPr="000C10D6">
        <w:t xml:space="preserve">and </w:t>
      </w:r>
      <w:proofErr w:type="spellStart"/>
      <w:r w:rsidR="000C10D6">
        <w:t>prabotulinumtoxin</w:t>
      </w:r>
      <w:proofErr w:type="spellEnd"/>
      <w:r w:rsidR="00F76DEA">
        <w:t xml:space="preserve"> </w:t>
      </w:r>
      <w:r w:rsidR="000C10D6">
        <w:t>A</w:t>
      </w:r>
      <w:r w:rsidRPr="000C10D6">
        <w:t xml:space="preserve"> was -1.9% to 10.8%. As the lower bound is greater than -10%, non-inferiority of </w:t>
      </w:r>
      <w:proofErr w:type="spellStart"/>
      <w:r w:rsidR="000C10D6">
        <w:t>prabotulinumtoxin</w:t>
      </w:r>
      <w:proofErr w:type="spellEnd"/>
      <w:r w:rsidR="00F76DEA">
        <w:t xml:space="preserve"> </w:t>
      </w:r>
      <w:r w:rsidR="000C10D6">
        <w:t>A</w:t>
      </w:r>
      <w:r w:rsidRPr="000C10D6">
        <w:t xml:space="preserve"> compared with B</w:t>
      </w:r>
      <w:r w:rsidR="000C10D6">
        <w:t>otox</w:t>
      </w:r>
      <w:r w:rsidRPr="000C10D6">
        <w:t xml:space="preserve"> was confirmed.</w:t>
      </w:r>
    </w:p>
    <w:p w14:paraId="3D07E554" w14:textId="056A3DB6" w:rsidR="00864A0D" w:rsidRPr="000C10D6" w:rsidRDefault="00864A0D" w:rsidP="000C10D6">
      <w:r w:rsidRPr="000C10D6">
        <w:t>The primary efficacy results above were presented for the PP population, however the ITT analysis produced very similar results. The responses were 4.2% with placebo, 82.9% with B</w:t>
      </w:r>
      <w:r w:rsidR="000C10D6">
        <w:t>otox</w:t>
      </w:r>
      <w:r w:rsidRPr="000C10D6">
        <w:t xml:space="preserve"> and 86.7% with </w:t>
      </w:r>
      <w:proofErr w:type="spellStart"/>
      <w:r w:rsidR="000C10D6">
        <w:t>prabotulinumtoxin</w:t>
      </w:r>
      <w:proofErr w:type="spellEnd"/>
      <w:r w:rsidR="00F76DEA">
        <w:t xml:space="preserve"> </w:t>
      </w:r>
      <w:r w:rsidR="000C10D6">
        <w:t>A</w:t>
      </w:r>
      <w:r w:rsidRPr="000C10D6">
        <w:t xml:space="preserve">. The absolute difference between </w:t>
      </w:r>
      <w:proofErr w:type="spellStart"/>
      <w:r w:rsidR="000C10D6">
        <w:t>prabotulinumtoxin</w:t>
      </w:r>
      <w:proofErr w:type="spellEnd"/>
      <w:r w:rsidR="00F76DEA">
        <w:t xml:space="preserve"> </w:t>
      </w:r>
      <w:r w:rsidR="000C10D6">
        <w:t>A</w:t>
      </w:r>
      <w:r w:rsidRPr="000C10D6">
        <w:t xml:space="preserve"> and placebo was 82.6% (p</w:t>
      </w:r>
      <w:r w:rsidR="000C10D6">
        <w:t xml:space="preserve"> </w:t>
      </w:r>
      <w:r w:rsidRPr="000C10D6">
        <w:t>&lt;</w:t>
      </w:r>
      <w:r w:rsidR="000C10D6">
        <w:t xml:space="preserve"> </w:t>
      </w:r>
      <w:r w:rsidRPr="000C10D6">
        <w:t>0.001). Sensitivity analyses (including using tipping point analysis to account for missing data points) confirmed the primary efficacy conclusions.</w:t>
      </w:r>
    </w:p>
    <w:p w14:paraId="72F58D59" w14:textId="18B062CD" w:rsidR="00864A0D" w:rsidRPr="000C10D6" w:rsidRDefault="00864A0D" w:rsidP="000C10D6">
      <w:r w:rsidRPr="000C10D6">
        <w:t xml:space="preserve">Looking at subjects </w:t>
      </w:r>
      <w:r w:rsidR="000C10D6">
        <w:t>at least</w:t>
      </w:r>
      <w:r w:rsidRPr="000C10D6">
        <w:t xml:space="preserve"> 65 years of age, the proportion of responders in the placebo group (n</w:t>
      </w:r>
      <w:r w:rsidR="00877882">
        <w:t> </w:t>
      </w:r>
      <w:r w:rsidRPr="000C10D6">
        <w:t>=</w:t>
      </w:r>
      <w:r w:rsidR="00877882">
        <w:t> </w:t>
      </w:r>
      <w:r w:rsidRPr="000C10D6">
        <w:t>4) was 0%, in the B</w:t>
      </w:r>
      <w:r w:rsidR="00877882">
        <w:t>otox</w:t>
      </w:r>
      <w:r w:rsidRPr="000C10D6">
        <w:t xml:space="preserve"> group (n</w:t>
      </w:r>
      <w:r w:rsidR="00877882">
        <w:t xml:space="preserve"> </w:t>
      </w:r>
      <w:r w:rsidRPr="000C10D6">
        <w:t>=</w:t>
      </w:r>
      <w:r w:rsidR="00877882">
        <w:t xml:space="preserve"> </w:t>
      </w:r>
      <w:r w:rsidRPr="000C10D6">
        <w:t xml:space="preserve">18) 66.7% and in the </w:t>
      </w:r>
      <w:r w:rsidR="000C10D6">
        <w:t>prabotulinumtoxinA</w:t>
      </w:r>
      <w:r w:rsidRPr="000C10D6">
        <w:t xml:space="preserve"> group (n</w:t>
      </w:r>
      <w:r w:rsidR="00877882">
        <w:t> </w:t>
      </w:r>
      <w:r w:rsidRPr="000C10D6">
        <w:t>=</w:t>
      </w:r>
      <w:r w:rsidR="00877882">
        <w:t> </w:t>
      </w:r>
      <w:r w:rsidRPr="000C10D6">
        <w:t xml:space="preserve">16) 81.3%. Superiority of both actives compared with placebo was confirmed, however non-inferiority of </w:t>
      </w:r>
      <w:proofErr w:type="spellStart"/>
      <w:r w:rsidR="000C10D6">
        <w:t>prabotulinumtoxin</w:t>
      </w:r>
      <w:proofErr w:type="spellEnd"/>
      <w:r w:rsidR="00F76DEA">
        <w:t xml:space="preserve"> </w:t>
      </w:r>
      <w:r w:rsidR="000C10D6">
        <w:t>A</w:t>
      </w:r>
      <w:r w:rsidRPr="000C10D6">
        <w:t xml:space="preserve"> compared with B</w:t>
      </w:r>
      <w:r w:rsidR="000C10D6">
        <w:t xml:space="preserve">otox </w:t>
      </w:r>
      <w:r w:rsidRPr="000C10D6">
        <w:t>was not confirmed (given the small numbers of subjects in this age group). There was a less pronounced difference between B</w:t>
      </w:r>
      <w:r w:rsidR="000C10D6">
        <w:t>otox</w:t>
      </w:r>
      <w:r w:rsidRPr="000C10D6">
        <w:t xml:space="preserve"> and </w:t>
      </w:r>
      <w:proofErr w:type="spellStart"/>
      <w:r w:rsidR="000C10D6">
        <w:t>prabotulinumtoxin</w:t>
      </w:r>
      <w:proofErr w:type="spellEnd"/>
      <w:r w:rsidR="00F76DEA">
        <w:t xml:space="preserve"> </w:t>
      </w:r>
      <w:r w:rsidR="000C10D6">
        <w:t>A</w:t>
      </w:r>
      <w:r w:rsidRPr="000C10D6">
        <w:t xml:space="preserve"> in the </w:t>
      </w:r>
      <w:r w:rsidR="000C10D6">
        <w:t>younger than</w:t>
      </w:r>
      <w:r w:rsidRPr="000C10D6">
        <w:t xml:space="preserve"> 65 year old group (84.1% and 87.7%, respectively, consistent with non-inferiority).</w:t>
      </w:r>
    </w:p>
    <w:p w14:paraId="513C7442" w14:textId="77777777" w:rsidR="00864A0D" w:rsidRPr="000C10D6" w:rsidRDefault="00864A0D" w:rsidP="000C10D6">
      <w:r w:rsidRPr="000C10D6">
        <w:t>The secondary efficacy endpoints all showed statistically significant results for superiority of both active treatments compared with placebo:</w:t>
      </w:r>
    </w:p>
    <w:p w14:paraId="1744FB98" w14:textId="41CB0DAB" w:rsidR="00864A0D" w:rsidRDefault="00864A0D" w:rsidP="000C10D6">
      <w:pPr>
        <w:pStyle w:val="ListBullet"/>
      </w:pPr>
      <w:r>
        <w:t xml:space="preserve">The </w:t>
      </w:r>
      <w:r w:rsidRPr="009C3AF4">
        <w:t>proportion of subjects with a GLS score of 0 or 1 on Day 30 at maximum frown by subject</w:t>
      </w:r>
      <w:r>
        <w:t xml:space="preserve"> </w:t>
      </w:r>
      <w:r w:rsidRPr="009C3AF4">
        <w:t>assessment</w:t>
      </w:r>
      <w:r>
        <w:t xml:space="preserve"> was 6.3% in placebo arm, 76.0% in B</w:t>
      </w:r>
      <w:r w:rsidR="000C10D6">
        <w:t>otox</w:t>
      </w:r>
      <w:r>
        <w:t xml:space="preserve"> arm and 78.8% in </w:t>
      </w:r>
      <w:proofErr w:type="spellStart"/>
      <w:r w:rsidR="000C10D6">
        <w:t>prabotulinumtoxin</w:t>
      </w:r>
      <w:proofErr w:type="spellEnd"/>
      <w:r w:rsidR="00F76DEA">
        <w:t xml:space="preserve"> </w:t>
      </w:r>
      <w:r w:rsidR="000C10D6">
        <w:t>A</w:t>
      </w:r>
      <w:r>
        <w:t xml:space="preserve"> arm (ITT population).</w:t>
      </w:r>
    </w:p>
    <w:p w14:paraId="4C74B41C" w14:textId="25D81FA1" w:rsidR="00864A0D" w:rsidRDefault="00864A0D" w:rsidP="000C10D6">
      <w:pPr>
        <w:pStyle w:val="ListBullet"/>
      </w:pPr>
      <w:r>
        <w:t xml:space="preserve">The </w:t>
      </w:r>
      <w:r w:rsidRPr="009C3AF4">
        <w:t>proportion of subjects with at least a 1 point improvement on the SSS at Day 30</w:t>
      </w:r>
      <w:r>
        <w:t xml:space="preserve"> was 6.3% in the placebo arm, 86.6% in the B</w:t>
      </w:r>
      <w:r w:rsidR="000C10D6">
        <w:t>otox</w:t>
      </w:r>
      <w:r>
        <w:t xml:space="preserve"> arm and 91.3% in the </w:t>
      </w:r>
      <w:proofErr w:type="spellStart"/>
      <w:r w:rsidR="000C10D6">
        <w:t>prabotulinumtoxin</w:t>
      </w:r>
      <w:proofErr w:type="spellEnd"/>
      <w:r w:rsidR="00F76DEA">
        <w:t xml:space="preserve"> </w:t>
      </w:r>
      <w:r w:rsidR="000C10D6">
        <w:t>A</w:t>
      </w:r>
      <w:r>
        <w:t xml:space="preserve"> arm.</w:t>
      </w:r>
    </w:p>
    <w:p w14:paraId="342E715C" w14:textId="0D93FFD5" w:rsidR="00864A0D" w:rsidRDefault="00864A0D" w:rsidP="000C10D6">
      <w:pPr>
        <w:pStyle w:val="ListBullet"/>
      </w:pPr>
      <w:r>
        <w:t xml:space="preserve">The </w:t>
      </w:r>
      <w:r w:rsidRPr="009C3AF4">
        <w:t xml:space="preserve">change from </w:t>
      </w:r>
      <w:r w:rsidR="000C10D6">
        <w:t>B</w:t>
      </w:r>
      <w:r w:rsidRPr="009C3AF4">
        <w:t>aseline to Day 90 in mean HADS-</w:t>
      </w:r>
      <w:r w:rsidR="00F76DEA" w:rsidRPr="009C3AF4">
        <w:t>A</w:t>
      </w:r>
      <w:r w:rsidR="00F76DEA">
        <w:t>nxiety</w:t>
      </w:r>
      <w:r w:rsidRPr="009C3AF4">
        <w:t xml:space="preserve"> score</w:t>
      </w:r>
      <w:r>
        <w:t xml:space="preserve"> was of very similar magnitude and statistically significant across all three arms (</w:t>
      </w:r>
      <w:r w:rsidR="000C10D6">
        <w:t>that is</w:t>
      </w:r>
      <w:r>
        <w:t xml:space="preserve"> including placebo).</w:t>
      </w:r>
    </w:p>
    <w:p w14:paraId="74BFB26E" w14:textId="1BFD5D80" w:rsidR="00864A0D" w:rsidRDefault="00864A0D" w:rsidP="000C10D6">
      <w:pPr>
        <w:pStyle w:val="ListBullet"/>
      </w:pPr>
      <w:r>
        <w:t xml:space="preserve">The </w:t>
      </w:r>
      <w:r w:rsidRPr="009C3AF4">
        <w:t xml:space="preserve">change from </w:t>
      </w:r>
      <w:r w:rsidR="000C10D6">
        <w:t>B</w:t>
      </w:r>
      <w:r w:rsidRPr="009C3AF4">
        <w:t>aseline to Day 90 in mean HADS-D</w:t>
      </w:r>
      <w:r w:rsidR="00F76DEA">
        <w:t>epression</w:t>
      </w:r>
      <w:r w:rsidRPr="009C3AF4">
        <w:t xml:space="preserve"> score</w:t>
      </w:r>
      <w:r w:rsidRPr="0018347D">
        <w:t xml:space="preserve"> </w:t>
      </w:r>
      <w:r>
        <w:t>was of very similar magnitude and statistically significant across all three arms (</w:t>
      </w:r>
      <w:r w:rsidR="000C10D6">
        <w:t>that is</w:t>
      </w:r>
      <w:r>
        <w:t xml:space="preserve"> including placebo).</w:t>
      </w:r>
    </w:p>
    <w:p w14:paraId="792D2842" w14:textId="61F8B910" w:rsidR="00864A0D" w:rsidRDefault="00864A0D" w:rsidP="000C10D6">
      <w:pPr>
        <w:pStyle w:val="ListBullet"/>
      </w:pPr>
      <w:r>
        <w:t xml:space="preserve">The </w:t>
      </w:r>
      <w:r w:rsidRPr="009C3AF4">
        <w:t>proportion of subjects with at least a 1 point improvement on the GLS from Day 0 to Day</w:t>
      </w:r>
      <w:r w:rsidR="000C10D6">
        <w:t> </w:t>
      </w:r>
      <w:r w:rsidRPr="009C3AF4">
        <w:t>2 at</w:t>
      </w:r>
      <w:r>
        <w:t xml:space="preserve"> </w:t>
      </w:r>
      <w:r w:rsidRPr="009C3AF4">
        <w:t xml:space="preserve">maximum frown by </w:t>
      </w:r>
      <w:r w:rsidR="000C10D6">
        <w:t>i</w:t>
      </w:r>
      <w:r w:rsidRPr="009C3AF4">
        <w:t>nvestigator assessment</w:t>
      </w:r>
      <w:r>
        <w:t xml:space="preserve"> was 12.2% in the placebo arm, 57% in the B</w:t>
      </w:r>
      <w:r w:rsidR="000C10D6">
        <w:t>otox</w:t>
      </w:r>
      <w:r>
        <w:t xml:space="preserve"> arm and 54.2% in the </w:t>
      </w:r>
      <w:proofErr w:type="spellStart"/>
      <w:r w:rsidR="000C10D6">
        <w:t>prabotulinumtoxin</w:t>
      </w:r>
      <w:proofErr w:type="spellEnd"/>
      <w:r w:rsidR="00F76DEA">
        <w:t xml:space="preserve"> </w:t>
      </w:r>
      <w:r w:rsidR="000C10D6">
        <w:t>A</w:t>
      </w:r>
      <w:r>
        <w:t xml:space="preserve"> arm.</w:t>
      </w:r>
    </w:p>
    <w:p w14:paraId="546E6762" w14:textId="1DE0892F" w:rsidR="00864A0D" w:rsidRDefault="00864A0D" w:rsidP="000C10D6">
      <w:pPr>
        <w:pStyle w:val="ListBullet"/>
      </w:pPr>
      <w:r>
        <w:t xml:space="preserve">The </w:t>
      </w:r>
      <w:r w:rsidRPr="009C3AF4">
        <w:t>proportion of subjects with at least a 1 point improvement on the GLS from Day 0 to Day</w:t>
      </w:r>
      <w:r w:rsidR="000C10D6">
        <w:t> </w:t>
      </w:r>
      <w:r w:rsidRPr="009C3AF4">
        <w:t>150 at</w:t>
      </w:r>
      <w:r>
        <w:t xml:space="preserve"> </w:t>
      </w:r>
      <w:r w:rsidRPr="009C3AF4">
        <w:t xml:space="preserve">maximum frown by </w:t>
      </w:r>
      <w:r w:rsidR="000C10D6">
        <w:t>i</w:t>
      </w:r>
      <w:r w:rsidRPr="009C3AF4">
        <w:t>nvestigator assessment</w:t>
      </w:r>
      <w:r>
        <w:t xml:space="preserve"> was 8.3% in the placebo arm, 34.4% in the B</w:t>
      </w:r>
      <w:r w:rsidR="000C10D6">
        <w:t>otox</w:t>
      </w:r>
      <w:r>
        <w:t xml:space="preserve"> arm and 37.7% in the </w:t>
      </w:r>
      <w:proofErr w:type="spellStart"/>
      <w:r w:rsidR="000C10D6">
        <w:t>prabotulinumtoxin</w:t>
      </w:r>
      <w:proofErr w:type="spellEnd"/>
      <w:r w:rsidR="00F76DEA">
        <w:t xml:space="preserve"> </w:t>
      </w:r>
      <w:r w:rsidR="000C10D6">
        <w:t>A</w:t>
      </w:r>
      <w:r>
        <w:t xml:space="preserve"> arm.</w:t>
      </w:r>
    </w:p>
    <w:p w14:paraId="2A80FABC" w14:textId="49FB98E7" w:rsidR="00864A0D" w:rsidRPr="000C10D6" w:rsidRDefault="00864A0D" w:rsidP="000C10D6">
      <w:r w:rsidRPr="000C10D6">
        <w:t>A post-hoc analysis of the data was done using the same primary efficacy endpoint (</w:t>
      </w:r>
      <w:r w:rsidR="000C10D6">
        <w:t>that is at least</w:t>
      </w:r>
      <w:r w:rsidRPr="000C10D6">
        <w:t xml:space="preserve"> 2 point improvement in GLS at </w:t>
      </w:r>
      <w:r w:rsidR="000C10D6">
        <w:t>D</w:t>
      </w:r>
      <w:r w:rsidRPr="000C10D6">
        <w:t xml:space="preserve">ay 30 by both </w:t>
      </w:r>
      <w:r w:rsidR="000C10D6">
        <w:t>i</w:t>
      </w:r>
      <w:r w:rsidRPr="000C10D6">
        <w:t xml:space="preserve">nvestigator and subject) as </w:t>
      </w:r>
      <w:r w:rsidR="000C10D6">
        <w:t xml:space="preserve">Studies </w:t>
      </w:r>
      <w:r w:rsidRPr="000C10D6">
        <w:t>EV-001 and EV-002, using the PP population. The percentage of responders was 0% in the placebo arm, 55.3% in the B</w:t>
      </w:r>
      <w:r w:rsidR="000C10D6">
        <w:t>otox</w:t>
      </w:r>
      <w:r w:rsidRPr="000C10D6">
        <w:t xml:space="preserve"> arm and 61.7% in the </w:t>
      </w:r>
      <w:proofErr w:type="spellStart"/>
      <w:r w:rsidR="000C10D6">
        <w:t>prabotulinumtoxin</w:t>
      </w:r>
      <w:proofErr w:type="spellEnd"/>
      <w:r w:rsidR="00F76DEA">
        <w:t xml:space="preserve"> </w:t>
      </w:r>
      <w:r w:rsidR="000C10D6">
        <w:t>A</w:t>
      </w:r>
      <w:r w:rsidRPr="000C10D6">
        <w:t xml:space="preserve"> arm. The differences with placebo were statistically significant.</w:t>
      </w:r>
    </w:p>
    <w:p w14:paraId="311FD9DC" w14:textId="5425C509" w:rsidR="00864A0D" w:rsidRPr="000C10D6" w:rsidRDefault="00864A0D" w:rsidP="000C10D6">
      <w:r w:rsidRPr="000C10D6">
        <w:lastRenderedPageBreak/>
        <w:t>A post-hoc analysis of the data to assess duration of response was done by taking those subjects who were responders (</w:t>
      </w:r>
      <w:r w:rsidR="000C10D6">
        <w:t>at least</w:t>
      </w:r>
      <w:r w:rsidRPr="000C10D6">
        <w:t xml:space="preserve"> 1 point improvement of the GLS at maximum frown at any time point) and estimating the time that it took for 50% to stop responding </w:t>
      </w:r>
      <w:r w:rsidR="000C10D6">
        <w:t>(that is less than</w:t>
      </w:r>
      <w:r w:rsidRPr="000C10D6">
        <w:t>1 point improvement of GLS). The duration of response was estimated as 52 days for placebo, 132 days for B</w:t>
      </w:r>
      <w:r w:rsidR="000C10D6">
        <w:t>otox</w:t>
      </w:r>
      <w:r w:rsidRPr="000C10D6">
        <w:t xml:space="preserve"> and 139 days for </w:t>
      </w:r>
      <w:proofErr w:type="spellStart"/>
      <w:r w:rsidR="000C10D6">
        <w:t>prabotulinumtoxin</w:t>
      </w:r>
      <w:proofErr w:type="spellEnd"/>
      <w:r w:rsidR="00F76DEA">
        <w:t xml:space="preserve"> </w:t>
      </w:r>
      <w:r w:rsidR="000C10D6">
        <w:t>A</w:t>
      </w:r>
      <w:r w:rsidRPr="000C10D6">
        <w:t>.</w:t>
      </w:r>
    </w:p>
    <w:p w14:paraId="2DF5A56A" w14:textId="76D7D7B3" w:rsidR="00864A0D" w:rsidRPr="000C10D6" w:rsidRDefault="00864A0D" w:rsidP="000C10D6">
      <w:r w:rsidRPr="000C10D6">
        <w:t xml:space="preserve">The </w:t>
      </w:r>
      <w:r w:rsidR="000C10D6">
        <w:t>s</w:t>
      </w:r>
      <w:r w:rsidRPr="000C10D6">
        <w:t xml:space="preserve">ponsor provided a pooled analysis of the three studies described above. The pooled analysis was conducted for three groups – pooled placebo, pooled data from </w:t>
      </w:r>
      <w:r w:rsidR="000C10D6">
        <w:t xml:space="preserve">Studies </w:t>
      </w:r>
      <w:r w:rsidRPr="000C10D6">
        <w:t xml:space="preserve">EV001 + EV002 (both of these studies being identical) and pooled data from </w:t>
      </w:r>
      <w:r w:rsidR="000C10D6">
        <w:t xml:space="preserve">Studies </w:t>
      </w:r>
      <w:r w:rsidRPr="000C10D6">
        <w:t>EV001, EV002 and EVB-03 (the latter had a different primary endpoint and slightly different inclusion criteria as detailed earlier).</w:t>
      </w:r>
    </w:p>
    <w:p w14:paraId="43D79AD7" w14:textId="74C87FF6" w:rsidR="00864A0D" w:rsidRPr="000C10D6" w:rsidRDefault="00877882" w:rsidP="000C10D6">
      <w:r>
        <w:fldChar w:fldCharType="begin"/>
      </w:r>
      <w:r>
        <w:instrText xml:space="preserve"> REF _Ref143598684 \h </w:instrText>
      </w:r>
      <w:r>
        <w:fldChar w:fldCharType="separate"/>
      </w:r>
      <w:r w:rsidR="005630CE" w:rsidRPr="00877882">
        <w:t xml:space="preserve">Table </w:t>
      </w:r>
      <w:r w:rsidR="005630CE">
        <w:rPr>
          <w:noProof/>
        </w:rPr>
        <w:t>8</w:t>
      </w:r>
      <w:r>
        <w:fldChar w:fldCharType="end"/>
      </w:r>
      <w:r>
        <w:t xml:space="preserve"> </w:t>
      </w:r>
      <w:r w:rsidR="00864A0D" w:rsidRPr="000C10D6">
        <w:t xml:space="preserve">shows the pooled data result for the primary efficacy outcome as defined for </w:t>
      </w:r>
      <w:r w:rsidR="000C10D6">
        <w:t xml:space="preserve">Studies </w:t>
      </w:r>
      <w:r w:rsidR="00864A0D" w:rsidRPr="000C10D6">
        <w:t xml:space="preserve">EV001 and EV002. The pooled results remain similar when </w:t>
      </w:r>
      <w:r w:rsidR="000C10D6">
        <w:t xml:space="preserve">Study </w:t>
      </w:r>
      <w:r w:rsidR="00864A0D" w:rsidRPr="000C10D6">
        <w:t>EVB-03 is included in the assessment.</w:t>
      </w:r>
    </w:p>
    <w:p w14:paraId="754E12CE" w14:textId="14E3432D" w:rsidR="00864A0D" w:rsidRDefault="000C10D6" w:rsidP="00877882">
      <w:pPr>
        <w:pStyle w:val="TableTitle"/>
      </w:pPr>
      <w:bookmarkStart w:id="59" w:name="_Ref143598684"/>
      <w:r w:rsidRPr="00877882">
        <w:t xml:space="preserve">Table </w:t>
      </w:r>
      <w:fldSimple w:instr=" SEQ Table \* ARABIC ">
        <w:r w:rsidR="005630CE">
          <w:rPr>
            <w:noProof/>
          </w:rPr>
          <w:t>8</w:t>
        </w:r>
      </w:fldSimple>
      <w:bookmarkEnd w:id="59"/>
      <w:r>
        <w:t xml:space="preserve">: </w:t>
      </w:r>
      <w:r w:rsidR="00877882">
        <w:t>Study EVB-003 At least two point improvement on the GLS at maximum frown to Day 30 -intent to treat population, single dose studies</w:t>
      </w:r>
    </w:p>
    <w:p w14:paraId="27C96DC6" w14:textId="790D8912" w:rsidR="000C10D6" w:rsidRDefault="000C10D6" w:rsidP="000C10D6">
      <w:r>
        <w:rPr>
          <w:noProof/>
        </w:rPr>
        <w:drawing>
          <wp:inline distT="0" distB="0" distL="0" distR="0" wp14:anchorId="713AD2B4" wp14:editId="607EC6E0">
            <wp:extent cx="5731510" cy="1349375"/>
            <wp:effectExtent l="0" t="0" r="2540" b="3175"/>
            <wp:docPr id="6" name="Picture 6" descr="Study EVB-003 At least two point improvement on the GLS at maximum frown to Day 30 -intent to treat population, single do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EVB-003 At least two point improvement on the GLS at maximum frown to Day 30 -intent to treat population, single dose studies"/>
                    <pic:cNvPicPr/>
                  </pic:nvPicPr>
                  <pic:blipFill>
                    <a:blip r:embed="rId35"/>
                    <a:stretch>
                      <a:fillRect/>
                    </a:stretch>
                  </pic:blipFill>
                  <pic:spPr>
                    <a:xfrm>
                      <a:off x="0" y="0"/>
                      <a:ext cx="5731510" cy="1349375"/>
                    </a:xfrm>
                    <a:prstGeom prst="rect">
                      <a:avLst/>
                    </a:prstGeom>
                  </pic:spPr>
                </pic:pic>
              </a:graphicData>
            </a:graphic>
          </wp:inline>
        </w:drawing>
      </w:r>
    </w:p>
    <w:p w14:paraId="50617A6C" w14:textId="14805578" w:rsidR="00877882" w:rsidRPr="00877882" w:rsidRDefault="00877882" w:rsidP="00877882">
      <w:r w:rsidRPr="00877882">
        <w:t>The time course of effect was also analysed in the pooled study.</w:t>
      </w:r>
      <w:r>
        <w:t xml:space="preserve"> </w:t>
      </w:r>
      <w:r>
        <w:fldChar w:fldCharType="begin"/>
      </w:r>
      <w:r>
        <w:instrText xml:space="preserve"> REF _Ref143598726 \h </w:instrText>
      </w:r>
      <w:r>
        <w:fldChar w:fldCharType="separate"/>
      </w:r>
      <w:r w:rsidR="005630CE" w:rsidRPr="00877882">
        <w:t xml:space="preserve">Figure </w:t>
      </w:r>
      <w:r w:rsidR="005630CE">
        <w:rPr>
          <w:noProof/>
        </w:rPr>
        <w:t>7</w:t>
      </w:r>
      <w:r>
        <w:fldChar w:fldCharType="end"/>
      </w:r>
      <w:r>
        <w:t xml:space="preserve"> show</w:t>
      </w:r>
      <w:r w:rsidRPr="00877882">
        <w:t>s how the percentage of responders (</w:t>
      </w:r>
      <w:r>
        <w:t>that is at least</w:t>
      </w:r>
      <w:r w:rsidRPr="00877882">
        <w:t xml:space="preserve"> </w:t>
      </w:r>
      <w:proofErr w:type="gramStart"/>
      <w:r w:rsidRPr="00877882">
        <w:t>2 point</w:t>
      </w:r>
      <w:proofErr w:type="gramEnd"/>
      <w:r w:rsidRPr="00877882">
        <w:t xml:space="preserve"> improvement in GLS at maximum frown as assessed by both </w:t>
      </w:r>
      <w:r w:rsidR="00F76DEA">
        <w:t>i</w:t>
      </w:r>
      <w:r w:rsidRPr="00877882">
        <w:t>nvestigator and subject) changed over time for each individual study and then for the pooled assessments.</w:t>
      </w:r>
    </w:p>
    <w:p w14:paraId="17507559" w14:textId="30DB420A" w:rsidR="00877882" w:rsidRDefault="00877882" w:rsidP="00877882">
      <w:pPr>
        <w:pStyle w:val="FigureTitle"/>
      </w:pPr>
      <w:bookmarkStart w:id="60" w:name="_Ref143598726"/>
      <w:r w:rsidRPr="00877882">
        <w:t xml:space="preserve">Figure </w:t>
      </w:r>
      <w:fldSimple w:instr=" SEQ Figure \* ARABIC ">
        <w:r w:rsidR="005630CE">
          <w:rPr>
            <w:noProof/>
          </w:rPr>
          <w:t>7</w:t>
        </w:r>
      </w:fldSimple>
      <w:bookmarkEnd w:id="60"/>
      <w:r>
        <w:t>: Percentage of subjects with at least 2 point improvement on the GLA at maximum frown, as agreed by Investigator and subject – intent to treat population</w:t>
      </w:r>
    </w:p>
    <w:p w14:paraId="2502C8C7" w14:textId="77777777" w:rsidR="00877882" w:rsidRDefault="00877882" w:rsidP="00877882">
      <w:r>
        <w:rPr>
          <w:noProof/>
        </w:rPr>
        <w:drawing>
          <wp:inline distT="0" distB="0" distL="0" distR="0" wp14:anchorId="5B38D4B2" wp14:editId="1DA6FF3F">
            <wp:extent cx="5381652" cy="2400935"/>
            <wp:effectExtent l="0" t="0" r="9525" b="0"/>
            <wp:docPr id="14" name="Picture 14" descr="Percentage of subjects with at least 2 point improvement on the GLA at maximum frown, as agreed by Investigator and subject –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rcentage of subjects with at least 2 point improvement on the GLA at maximum frown, as agreed by Investigator and subject – intent to treat population"/>
                    <pic:cNvPicPr/>
                  </pic:nvPicPr>
                  <pic:blipFill rotWithShape="1">
                    <a:blip r:embed="rId36"/>
                    <a:srcRect l="6104"/>
                    <a:stretch/>
                  </pic:blipFill>
                  <pic:spPr bwMode="auto">
                    <a:xfrm>
                      <a:off x="0" y="0"/>
                      <a:ext cx="5381652" cy="2400935"/>
                    </a:xfrm>
                    <a:prstGeom prst="rect">
                      <a:avLst/>
                    </a:prstGeom>
                    <a:ln>
                      <a:noFill/>
                    </a:ln>
                    <a:extLst>
                      <a:ext uri="{53640926-AAD7-44D8-BBD7-CCE9431645EC}">
                        <a14:shadowObscured xmlns:a14="http://schemas.microsoft.com/office/drawing/2010/main"/>
                      </a:ext>
                    </a:extLst>
                  </pic:spPr>
                </pic:pic>
              </a:graphicData>
            </a:graphic>
          </wp:inline>
        </w:drawing>
      </w:r>
    </w:p>
    <w:p w14:paraId="2B7C2D5D" w14:textId="1CB9514A" w:rsidR="00877882" w:rsidRDefault="00877882" w:rsidP="00877882">
      <w:r>
        <w:t>The pooled data was also presented as a Kaplan-Meier plot for time to stop responding (</w:t>
      </w:r>
      <w:r>
        <w:fldChar w:fldCharType="begin"/>
      </w:r>
      <w:r>
        <w:instrText xml:space="preserve"> REF _Ref143598932 \h </w:instrText>
      </w:r>
      <w:r>
        <w:fldChar w:fldCharType="separate"/>
      </w:r>
      <w:r w:rsidR="005630CE" w:rsidRPr="00877882">
        <w:t xml:space="preserve">Figure </w:t>
      </w:r>
      <w:r w:rsidR="005630CE">
        <w:rPr>
          <w:noProof/>
        </w:rPr>
        <w:t>8</w:t>
      </w:r>
      <w:r>
        <w:fldChar w:fldCharType="end"/>
      </w:r>
      <w:r>
        <w:t>). Fifty percent of subjects had stopped responding by approximately Day 85.</w:t>
      </w:r>
    </w:p>
    <w:p w14:paraId="144C18F0" w14:textId="0595B388" w:rsidR="00877882" w:rsidRDefault="00877882" w:rsidP="00877882">
      <w:pPr>
        <w:pStyle w:val="FigureTitle"/>
        <w:keepNext/>
      </w:pPr>
      <w:bookmarkStart w:id="61" w:name="_Ref143598932"/>
      <w:r w:rsidRPr="00877882">
        <w:lastRenderedPageBreak/>
        <w:t xml:space="preserve">Figure </w:t>
      </w:r>
      <w:fldSimple w:instr=" SEQ Figure \* ARABIC ">
        <w:r w:rsidR="005630CE">
          <w:rPr>
            <w:noProof/>
          </w:rPr>
          <w:t>8</w:t>
        </w:r>
      </w:fldSimple>
      <w:bookmarkEnd w:id="61"/>
      <w:r>
        <w:t>: Duration of response based on at least a 2 point improvement on the GLS at maximum frown, as agreed by investigator and subject – intent to treat, single dose studies</w:t>
      </w:r>
    </w:p>
    <w:p w14:paraId="7C210978" w14:textId="1CE34B7F" w:rsidR="00877882" w:rsidRDefault="00877882" w:rsidP="00877882">
      <w:r>
        <w:rPr>
          <w:noProof/>
        </w:rPr>
        <w:drawing>
          <wp:inline distT="0" distB="0" distL="0" distR="0" wp14:anchorId="723091AB" wp14:editId="118B7CA8">
            <wp:extent cx="5731510" cy="2545080"/>
            <wp:effectExtent l="0" t="0" r="2540" b="7620"/>
            <wp:docPr id="15" name="Picture 15" descr="Duration of response based on at least a 2 point improvement on the GLS at maximum frown, as agreed by investigator and subject – intent to treat, single do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uration of response based on at least a 2 point improvement on the GLS at maximum frown, as agreed by investigator and subject – intent to treat, single dose studies"/>
                    <pic:cNvPicPr/>
                  </pic:nvPicPr>
                  <pic:blipFill>
                    <a:blip r:embed="rId37"/>
                    <a:stretch>
                      <a:fillRect/>
                    </a:stretch>
                  </pic:blipFill>
                  <pic:spPr>
                    <a:xfrm>
                      <a:off x="0" y="0"/>
                      <a:ext cx="5731510" cy="2545080"/>
                    </a:xfrm>
                    <a:prstGeom prst="rect">
                      <a:avLst/>
                    </a:prstGeom>
                  </pic:spPr>
                </pic:pic>
              </a:graphicData>
            </a:graphic>
          </wp:inline>
        </w:drawing>
      </w:r>
    </w:p>
    <w:p w14:paraId="56D3FB96" w14:textId="03AC7FA1" w:rsidR="00877882" w:rsidRDefault="00877882" w:rsidP="00877882">
      <w:r w:rsidRPr="00877882">
        <w:t xml:space="preserve">The </w:t>
      </w:r>
      <w:r>
        <w:t>two</w:t>
      </w:r>
      <w:r w:rsidRPr="00877882">
        <w:t xml:space="preserve"> open label multiple dose studies (</w:t>
      </w:r>
      <w:r>
        <w:t xml:space="preserve">Studies </w:t>
      </w:r>
      <w:r w:rsidRPr="00877882">
        <w:t xml:space="preserve">EV-004 and EV-006) were </w:t>
      </w:r>
      <w:r w:rsidR="00481F09">
        <w:t xml:space="preserve">primarily </w:t>
      </w:r>
      <w:r w:rsidRPr="00877882">
        <w:t xml:space="preserve">safety studies which included some efficacy measures in their protocols. The </w:t>
      </w:r>
      <w:r w:rsidR="00082B90">
        <w:t>s</w:t>
      </w:r>
      <w:r w:rsidRPr="00877882">
        <w:t xml:space="preserve">ponsor did not present either of these studies as evidence of efficacy and they are not included in the dossier’s summary of efficacy sections. The studies were not controlled but were consistent with the efficacy demonstrated in the previously described studies. There did not appear to be a decline in efficacy with repeated doses. The efficacy results for these studies are included in the </w:t>
      </w:r>
      <w:r w:rsidR="00082B90">
        <w:t>c</w:t>
      </w:r>
      <w:r w:rsidRPr="00877882">
        <w:t xml:space="preserve">linical </w:t>
      </w:r>
      <w:r w:rsidR="00082B90">
        <w:t>e</w:t>
      </w:r>
      <w:r w:rsidRPr="00877882">
        <w:t xml:space="preserve">valuation </w:t>
      </w:r>
      <w:r w:rsidR="00082B90">
        <w:t>r</w:t>
      </w:r>
      <w:r w:rsidRPr="00877882">
        <w:t>eport.</w:t>
      </w:r>
    </w:p>
    <w:p w14:paraId="5D9AF59C" w14:textId="77777777" w:rsidR="00082B90" w:rsidRDefault="00082B90" w:rsidP="00082B90">
      <w:pPr>
        <w:pStyle w:val="Heading4"/>
      </w:pPr>
      <w:bookmarkStart w:id="62" w:name="_Toc143693808"/>
      <w:r w:rsidRPr="00AA53F4">
        <w:t>Safety</w:t>
      </w:r>
      <w:bookmarkEnd w:id="62"/>
    </w:p>
    <w:p w14:paraId="1CCD36DE" w14:textId="2893D3B9" w:rsidR="00082B90" w:rsidRPr="00082B90" w:rsidRDefault="00082B90" w:rsidP="00082B90">
      <w:r>
        <w:t xml:space="preserve">Studies </w:t>
      </w:r>
      <w:r w:rsidRPr="00082B90">
        <w:t>EV-004 and EV-006 were primarily safety studies.</w:t>
      </w:r>
    </w:p>
    <w:p w14:paraId="07BEAA49" w14:textId="35B4BCD7" w:rsidR="00082B90" w:rsidRPr="00082B90" w:rsidRDefault="00082B90" w:rsidP="00082B90">
      <w:r w:rsidRPr="00082B90">
        <w:t xml:space="preserve">The </w:t>
      </w:r>
      <w:r>
        <w:t>three</w:t>
      </w:r>
      <w:r w:rsidRPr="00082B90">
        <w:t xml:space="preserve"> efficacy studies previously described (</w:t>
      </w:r>
      <w:r>
        <w:t xml:space="preserve">Studies </w:t>
      </w:r>
      <w:r w:rsidRPr="00082B90">
        <w:t>EV-001, EV-002 and EVB-03) also provided safety data.</w:t>
      </w:r>
    </w:p>
    <w:p w14:paraId="38975882" w14:textId="529E35CC" w:rsidR="00082B90" w:rsidRPr="00082B90" w:rsidRDefault="00082B90" w:rsidP="00082B90">
      <w:r w:rsidRPr="00082B90">
        <w:t xml:space="preserve">These </w:t>
      </w:r>
      <w:r>
        <w:t>five</w:t>
      </w:r>
      <w:r w:rsidRPr="00082B90">
        <w:t xml:space="preserve"> studies were also pooled in various configurations to provide a safety overview across the clinical program.</w:t>
      </w:r>
    </w:p>
    <w:p w14:paraId="212B5097" w14:textId="46F593D9" w:rsidR="00082B90" w:rsidRPr="00082B90" w:rsidRDefault="00082B90" w:rsidP="00082B90">
      <w:r>
        <w:t xml:space="preserve">Study </w:t>
      </w:r>
      <w:r w:rsidRPr="00082B90">
        <w:t xml:space="preserve">EV-004 was a </w:t>
      </w:r>
      <w:r>
        <w:t>P</w:t>
      </w:r>
      <w:r w:rsidRPr="00082B90">
        <w:t xml:space="preserve">hase </w:t>
      </w:r>
      <w:r>
        <w:t>II</w:t>
      </w:r>
      <w:r w:rsidRPr="00082B90">
        <w:t xml:space="preserve"> open</w:t>
      </w:r>
      <w:r>
        <w:t xml:space="preserve"> </w:t>
      </w:r>
      <w:r w:rsidRPr="00082B90">
        <w:t xml:space="preserve">label, multiple dose study to demonstrate the safety of </w:t>
      </w:r>
      <w:r>
        <w:t>prabotulinumtoxinA</w:t>
      </w:r>
      <w:r w:rsidRPr="00082B90">
        <w:t xml:space="preserve"> in adults for the treatment of moderate to severe glabellar lines. It was conducted at 11 sites in the USA.</w:t>
      </w:r>
    </w:p>
    <w:p w14:paraId="15BF70C6" w14:textId="124AEE4B" w:rsidR="00082B90" w:rsidRPr="00082B90" w:rsidRDefault="00082B90" w:rsidP="00082B90">
      <w:r w:rsidRPr="00082B90">
        <w:t xml:space="preserve">The inclusion and exclusion criteria were the same as for </w:t>
      </w:r>
      <w:r>
        <w:t xml:space="preserve">Study </w:t>
      </w:r>
      <w:r w:rsidRPr="00082B90">
        <w:t xml:space="preserve">EV-001 and the administration of </w:t>
      </w:r>
      <w:r>
        <w:t>prabotulinumtoxinA</w:t>
      </w:r>
      <w:r w:rsidRPr="00082B90">
        <w:t xml:space="preserve"> followed the same procedure. After the first treatment, subjects were followed on </w:t>
      </w:r>
      <w:r>
        <w:t>D</w:t>
      </w:r>
      <w:r w:rsidRPr="00082B90">
        <w:t xml:space="preserve">ays 3, 7, 14, 30 and 90. On or after </w:t>
      </w:r>
      <w:r>
        <w:t>D</w:t>
      </w:r>
      <w:r w:rsidRPr="00082B90">
        <w:t xml:space="preserve">ay 90 subjects were eligible for a repeat treatment if their GLS score was </w:t>
      </w:r>
      <w:r>
        <w:t>at least</w:t>
      </w:r>
      <w:r w:rsidRPr="00082B90">
        <w:t xml:space="preserve"> 2 at maximum frown (assessed by </w:t>
      </w:r>
      <w:r>
        <w:t>i</w:t>
      </w:r>
      <w:r w:rsidRPr="00082B90">
        <w:t xml:space="preserve">nvestigator). If the subject was not eligible for re-treatment, they were followed each month and re-treated if they became eligible. As the study ended at </w:t>
      </w:r>
      <w:r>
        <w:t>D</w:t>
      </w:r>
      <w:r w:rsidRPr="00082B90">
        <w:t xml:space="preserve">ay 365, subjects could receive a maximum of </w:t>
      </w:r>
      <w:r>
        <w:t>four</w:t>
      </w:r>
      <w:r w:rsidRPr="00082B90">
        <w:t xml:space="preserve"> treatments.</w:t>
      </w:r>
    </w:p>
    <w:p w14:paraId="6C560D15" w14:textId="439733B0" w:rsidR="00082B90" w:rsidRPr="00082B90" w:rsidRDefault="00082B90" w:rsidP="00082B90">
      <w:r w:rsidRPr="00082B90">
        <w:t xml:space="preserve">Safety was assessed by recording adverse events, directed questions to look for symptoms of distant toxin spread, physical examination, vital signs, laboratory testing and </w:t>
      </w:r>
      <w:r w:rsidR="00F76DEA" w:rsidRPr="00F76DEA">
        <w:t>electrocardiogram</w:t>
      </w:r>
      <w:r w:rsidRPr="00082B90">
        <w:t>.</w:t>
      </w:r>
    </w:p>
    <w:p w14:paraId="3C40BE76" w14:textId="77777777" w:rsidR="00082B90" w:rsidRPr="00082B90" w:rsidRDefault="00082B90" w:rsidP="00082B90">
      <w:r w:rsidRPr="00082B90">
        <w:t>The target sample size of 350 was based on the ability to detect an adverse event with 95% probability if the incidence rate was greater than 0.85%.</w:t>
      </w:r>
    </w:p>
    <w:p w14:paraId="1AD79AFF" w14:textId="1B0ADFA0" w:rsidR="00082B90" w:rsidRPr="00082B90" w:rsidRDefault="00082B90" w:rsidP="00082B90">
      <w:r w:rsidRPr="00082B90">
        <w:lastRenderedPageBreak/>
        <w:t xml:space="preserve">Although 352 subjects were dosed, only 350 contributed to the safety data as </w:t>
      </w:r>
      <w:r>
        <w:t>two subjects</w:t>
      </w:r>
      <w:r w:rsidRPr="00082B90">
        <w:t xml:space="preserve"> did not have any post-baseline assessments and were withdrawn and lost to follow up. Of those 350, 30 were lost to follow up, including </w:t>
      </w:r>
      <w:r>
        <w:t>two subjects</w:t>
      </w:r>
      <w:r w:rsidRPr="00082B90">
        <w:t xml:space="preserve"> who withdrew consent due to AEs that did not require intervention and a further 23 withdrew to various reasons such as travel or work scheduling.</w:t>
      </w:r>
    </w:p>
    <w:p w14:paraId="5C61F237" w14:textId="17EDBCFF" w:rsidR="00082B90" w:rsidRPr="00082B90" w:rsidRDefault="00082B90" w:rsidP="00082B90">
      <w:r w:rsidRPr="00082B90">
        <w:t xml:space="preserve">Mean age was 50.8 years, 94% were female and 91.8% were </w:t>
      </w:r>
      <w:r>
        <w:t>W</w:t>
      </w:r>
      <w:r w:rsidRPr="00082B90">
        <w:t xml:space="preserve">hite. Only 9.4% of subjects were </w:t>
      </w:r>
      <w:r>
        <w:t>at least</w:t>
      </w:r>
      <w:r w:rsidRPr="00082B90">
        <w:t xml:space="preserve"> 65 years. When including all subjects who were dosed, even if they did not complete the study, 9.4% received </w:t>
      </w:r>
      <w:r>
        <w:t>one</w:t>
      </w:r>
      <w:r w:rsidRPr="00082B90">
        <w:t xml:space="preserve"> treatment, 16.2% received </w:t>
      </w:r>
      <w:r>
        <w:t>two</w:t>
      </w:r>
      <w:r w:rsidRPr="00082B90">
        <w:t xml:space="preserve"> treatments, 30.7% received </w:t>
      </w:r>
      <w:r>
        <w:t>three</w:t>
      </w:r>
      <w:r w:rsidRPr="00082B90">
        <w:t xml:space="preserve"> treatments and 43.8% received </w:t>
      </w:r>
      <w:r>
        <w:t>four</w:t>
      </w:r>
      <w:r w:rsidRPr="00082B90">
        <w:t xml:space="preserve"> treatments. Thus</w:t>
      </w:r>
      <w:r>
        <w:t>,</w:t>
      </w:r>
      <w:r w:rsidRPr="00082B90">
        <w:t xml:space="preserve"> the most common level of exposure in the study was to </w:t>
      </w:r>
      <w:r>
        <w:t>four</w:t>
      </w:r>
      <w:r w:rsidRPr="00082B90">
        <w:t xml:space="preserve"> treatments.</w:t>
      </w:r>
    </w:p>
    <w:p w14:paraId="3496100F" w14:textId="43B66425" w:rsidR="00082B90" w:rsidRPr="00082B90" w:rsidRDefault="00082B90" w:rsidP="00082B90">
      <w:r w:rsidRPr="00082B90">
        <w:t xml:space="preserve">Forty-two percent of subjects experienced at least one AE. Progressively lower percentages of subjects </w:t>
      </w:r>
      <w:r w:rsidR="002532FD">
        <w:t xml:space="preserve">experienced </w:t>
      </w:r>
      <w:r w:rsidRPr="00082B90">
        <w:t>AEs following each repeat treatment: 29.5% after the first treatment, 15.4% after the first re-treatment, 12.6% after the second re-treatment and 10.4% after the third re-treatment.</w:t>
      </w:r>
    </w:p>
    <w:p w14:paraId="7BF2CE63" w14:textId="55BACE58" w:rsidR="00082B90" w:rsidRPr="00082B90" w:rsidRDefault="00082B90" w:rsidP="00082B90">
      <w:r w:rsidRPr="00082B90">
        <w:t xml:space="preserve">Two percent of subjects experienced a SAE, 3.1% an </w:t>
      </w:r>
      <w:r>
        <w:t>adverse event</w:t>
      </w:r>
      <w:r w:rsidRPr="00082B90">
        <w:t xml:space="preserve"> of special interest (AESI</w:t>
      </w:r>
      <w:r>
        <w:t>)</w:t>
      </w:r>
      <w:r w:rsidRPr="00082B90">
        <w:t xml:space="preserve"> </w:t>
      </w:r>
      <w:r>
        <w:t>(</w:t>
      </w:r>
      <w:r w:rsidRPr="00082B90">
        <w:t xml:space="preserve">defined by 50 events suggestive of distant toxin spread based on the FDA guidance for industry) and 1.7% an AE of possible hypersensitivity reaction. 14.5% of subjects experienced a study drug related AE, 0.6% an AE that </w:t>
      </w:r>
      <w:proofErr w:type="gramStart"/>
      <w:r w:rsidRPr="00082B90">
        <w:t>lead</w:t>
      </w:r>
      <w:proofErr w:type="gramEnd"/>
      <w:r w:rsidRPr="00082B90">
        <w:t xml:space="preserve"> to discontinuation and no one experienced an AE </w:t>
      </w:r>
      <w:r w:rsidR="00C014A9">
        <w:t>leading</w:t>
      </w:r>
      <w:r w:rsidRPr="00082B90">
        <w:t xml:space="preserve"> to death. Only 2.6% of subjects experienced a severe AE.</w:t>
      </w:r>
    </w:p>
    <w:p w14:paraId="2CE49BFC" w14:textId="67297C3B" w:rsidR="00082B90" w:rsidRPr="00082B90" w:rsidRDefault="00082B90" w:rsidP="00082B90">
      <w:r w:rsidRPr="00082B90">
        <w:t xml:space="preserve">By System Organ Class, only </w:t>
      </w:r>
      <w:r w:rsidR="00F76DEA">
        <w:t>‘</w:t>
      </w:r>
      <w:r w:rsidRPr="00082B90">
        <w:t>Nervous System Disorders</w:t>
      </w:r>
      <w:r w:rsidR="00F76DEA">
        <w:t>’</w:t>
      </w:r>
      <w:r w:rsidRPr="00082B90">
        <w:t xml:space="preserve"> and </w:t>
      </w:r>
      <w:r w:rsidR="00F76DEA">
        <w:t>‘</w:t>
      </w:r>
      <w:r w:rsidRPr="00082B90">
        <w:t>Infections/Infestations</w:t>
      </w:r>
      <w:r w:rsidR="00F76DEA">
        <w:t>’</w:t>
      </w:r>
      <w:r w:rsidRPr="00082B90">
        <w:t xml:space="preserve"> occurred in </w:t>
      </w:r>
      <w:r>
        <w:t>at least</w:t>
      </w:r>
      <w:r w:rsidRPr="00082B90">
        <w:t xml:space="preserve"> 5% of subjects (18.2% and 15.3% respectively). Headache was the only AEs occurring in </w:t>
      </w:r>
      <w:r>
        <w:t>at least</w:t>
      </w:r>
      <w:r w:rsidRPr="00082B90">
        <w:t xml:space="preserve"> 5% of subjects (15.3%).</w:t>
      </w:r>
    </w:p>
    <w:p w14:paraId="5940DB4D" w14:textId="260DB3A3" w:rsidR="00082B90" w:rsidRPr="00082B90" w:rsidRDefault="00082B90" w:rsidP="00082B90">
      <w:r w:rsidRPr="00082B90">
        <w:t>In terms of AEs considered related, headache was the most frequent. Four subjects experienced eye disorders considered at least possibly related</w:t>
      </w:r>
      <w:r>
        <w:t>,</w:t>
      </w:r>
      <w:r w:rsidRPr="00082B90">
        <w:t xml:space="preserve"> </w:t>
      </w:r>
      <w:r>
        <w:t>one</w:t>
      </w:r>
      <w:r w:rsidRPr="00082B90">
        <w:t xml:space="preserve"> each for mild intermittent blepharospasm and mild eyelid ptosis and </w:t>
      </w:r>
      <w:r>
        <w:t>two</w:t>
      </w:r>
      <w:r w:rsidRPr="00082B90">
        <w:t xml:space="preserve"> for moderate eyelid ptosis.</w:t>
      </w:r>
    </w:p>
    <w:p w14:paraId="282A0120" w14:textId="0E9C0275" w:rsidR="00082B90" w:rsidRPr="00082B90" w:rsidRDefault="00082B90" w:rsidP="00082B90">
      <w:r w:rsidRPr="00082B90">
        <w:t xml:space="preserve">Of the </w:t>
      </w:r>
      <w:r>
        <w:t>seven</w:t>
      </w:r>
      <w:r w:rsidRPr="00082B90">
        <w:t xml:space="preserve"> subjects who experienced one or more SAEs, none were considered drug related.</w:t>
      </w:r>
    </w:p>
    <w:p w14:paraId="6E79EE88" w14:textId="2E978741" w:rsidR="00082B90" w:rsidRPr="00082B90" w:rsidRDefault="00082B90" w:rsidP="00082B90">
      <w:r w:rsidRPr="00082B90">
        <w:t xml:space="preserve">Of the 11 subjects who experienced an AESI, </w:t>
      </w:r>
      <w:r>
        <w:t>seven subjects</w:t>
      </w:r>
      <w:r w:rsidRPr="00082B90">
        <w:t xml:space="preserve"> had eye disorders, </w:t>
      </w:r>
      <w:r>
        <w:t>two subjects</w:t>
      </w:r>
      <w:r w:rsidRPr="00082B90">
        <w:t xml:space="preserve"> had dyspnoea and </w:t>
      </w:r>
      <w:r>
        <w:t>two subjects</w:t>
      </w:r>
      <w:r w:rsidRPr="00082B90">
        <w:t xml:space="preserve"> had a speech disorder. Of these, only </w:t>
      </w:r>
      <w:r>
        <w:t>two</w:t>
      </w:r>
      <w:r w:rsidRPr="00082B90">
        <w:t xml:space="preserve"> subjects with the speech disorder, </w:t>
      </w:r>
      <w:r>
        <w:t>one subject</w:t>
      </w:r>
      <w:r w:rsidRPr="00082B90">
        <w:t xml:space="preserve"> with blepharospasm and </w:t>
      </w:r>
      <w:r>
        <w:t>three subjects</w:t>
      </w:r>
      <w:r w:rsidRPr="00082B90">
        <w:t xml:space="preserve"> with ptosis were considered at least possibly related to study drug.</w:t>
      </w:r>
    </w:p>
    <w:p w14:paraId="56C0C34D" w14:textId="1881C356" w:rsidR="00082B90" w:rsidRPr="00082B90" w:rsidRDefault="00082B90" w:rsidP="00082B90">
      <w:r w:rsidRPr="00082B90">
        <w:t xml:space="preserve">Of the </w:t>
      </w:r>
      <w:r>
        <w:t>six</w:t>
      </w:r>
      <w:r w:rsidRPr="00082B90">
        <w:t xml:space="preserve"> subjects who experienced an AE identified as possible hypersensitivity reaction, </w:t>
      </w:r>
      <w:r>
        <w:t>two subjects</w:t>
      </w:r>
      <w:r w:rsidRPr="00082B90">
        <w:t xml:space="preserve"> were considered as possibly related. Both of these subjects experienced an </w:t>
      </w:r>
      <w:r>
        <w:t>‘</w:t>
      </w:r>
      <w:r w:rsidRPr="00082B90">
        <w:t>influenza-like illness</w:t>
      </w:r>
      <w:r>
        <w:t>’</w:t>
      </w:r>
      <w:r w:rsidRPr="00082B90">
        <w:t>.</w:t>
      </w:r>
    </w:p>
    <w:p w14:paraId="3C115064" w14:textId="3D8FD0C1" w:rsidR="00082B90" w:rsidRPr="00082B90" w:rsidRDefault="00082B90" w:rsidP="00082B90">
      <w:r w:rsidRPr="00082B90">
        <w:t xml:space="preserve">Two subjects discontinued study treatments. One was due to worsening eyebrow wrinkling </w:t>
      </w:r>
      <w:r>
        <w:t>nine</w:t>
      </w:r>
      <w:r w:rsidRPr="00082B90">
        <w:t xml:space="preserve"> days after initial treatment and this subject had no further treatments. The other subject experienced intermittent, mild headache starting on the same day as the initial treatment and lasting for 27 days. Neither subject received additional doses of </w:t>
      </w:r>
      <w:proofErr w:type="spellStart"/>
      <w:r>
        <w:t>prabotulinumtoxin</w:t>
      </w:r>
      <w:proofErr w:type="spellEnd"/>
      <w:r w:rsidR="00F76DEA">
        <w:t xml:space="preserve"> </w:t>
      </w:r>
      <w:r>
        <w:t>A</w:t>
      </w:r>
      <w:r w:rsidRPr="00082B90">
        <w:t>.</w:t>
      </w:r>
    </w:p>
    <w:p w14:paraId="7F45E9FC" w14:textId="5F916342" w:rsidR="00082B90" w:rsidRPr="00082B90" w:rsidRDefault="00082B90" w:rsidP="00082B90">
      <w:r w:rsidRPr="00082B90">
        <w:t xml:space="preserve">There were no meaningful changes in laboratory parameters. Two subjects (0.6% of subjects) tested marginally positive (titres of 50) for botulinum toxin antibodies at a single timepoint: one at </w:t>
      </w:r>
      <w:r>
        <w:t>D</w:t>
      </w:r>
      <w:r w:rsidRPr="00082B90">
        <w:t>ay 30 and one at the end of the study.</w:t>
      </w:r>
    </w:p>
    <w:p w14:paraId="382E6AB3" w14:textId="7CCA0B29" w:rsidR="00082B90" w:rsidRPr="00082B90" w:rsidRDefault="00082B90" w:rsidP="00082B90">
      <w:r>
        <w:t xml:space="preserve">Study </w:t>
      </w:r>
      <w:r w:rsidRPr="00082B90">
        <w:t xml:space="preserve">EV-006 was an open label, multiple dose </w:t>
      </w:r>
      <w:r>
        <w:t>P</w:t>
      </w:r>
      <w:r w:rsidRPr="00082B90">
        <w:t xml:space="preserve">hase </w:t>
      </w:r>
      <w:r>
        <w:t>II</w:t>
      </w:r>
      <w:r w:rsidRPr="00082B90">
        <w:t xml:space="preserve"> study to demonstrate the safety of </w:t>
      </w:r>
      <w:r>
        <w:t>prabotulinumtoxinA</w:t>
      </w:r>
      <w:r w:rsidRPr="00082B90">
        <w:t xml:space="preserve"> in adult subjects for treatment of moderate to severe glabellar lines. It was conducted at 18 sites in the USA. It had the same inclusion and exclusion criteria as </w:t>
      </w:r>
      <w:r>
        <w:t xml:space="preserve">Study </w:t>
      </w:r>
      <w:r w:rsidRPr="00082B90">
        <w:t>EV-004.</w:t>
      </w:r>
    </w:p>
    <w:p w14:paraId="67C01C22" w14:textId="47155B4A" w:rsidR="00082B90" w:rsidRPr="00082B90" w:rsidRDefault="00082B90" w:rsidP="00082B90">
      <w:r w:rsidRPr="00082B90">
        <w:t xml:space="preserve">A total of 570 subjects, 46 (8.1%) received one treatment, 93 (16.3%) received </w:t>
      </w:r>
      <w:r>
        <w:t>two</w:t>
      </w:r>
      <w:r w:rsidRPr="00082B90">
        <w:t xml:space="preserve"> treatments, 217 (38.1%) received </w:t>
      </w:r>
      <w:r>
        <w:t>three</w:t>
      </w:r>
      <w:r w:rsidRPr="00082B90">
        <w:t xml:space="preserve"> treatments and 214 (37.5%) received </w:t>
      </w:r>
      <w:r>
        <w:t>four</w:t>
      </w:r>
      <w:r w:rsidRPr="00082B90">
        <w:t xml:space="preserve"> treatments. Four subjects </w:t>
      </w:r>
      <w:r w:rsidRPr="00082B90">
        <w:lastRenderedPageBreak/>
        <w:t xml:space="preserve">did not have any post-treatment follow due to being lost to follow up or not being able to continue for lifestyle reasons. Of those providing some post-treatment evaluable data but were withdrawn, 35 were lost to follow up, </w:t>
      </w:r>
      <w:r>
        <w:t>one</w:t>
      </w:r>
      <w:r w:rsidRPr="00082B90">
        <w:t xml:space="preserve"> was non-compliant and 43 experienced other issues such as moving away for pregnancy. One withdrawal was due to an SAE of drug overdose, which was not considered related.</w:t>
      </w:r>
    </w:p>
    <w:p w14:paraId="50042CA7" w14:textId="1069B9BC" w:rsidR="00082B90" w:rsidRPr="00082B90" w:rsidRDefault="00082B90" w:rsidP="00082B90">
      <w:r w:rsidRPr="00082B90">
        <w:t xml:space="preserve">The mean age was 50.8 years and only 8.9% were </w:t>
      </w:r>
      <w:r>
        <w:t>at least</w:t>
      </w:r>
      <w:r w:rsidRPr="00082B90">
        <w:t xml:space="preserve"> 65 years. Subjects were mostly female (89.5%), </w:t>
      </w:r>
      <w:r>
        <w:t>W</w:t>
      </w:r>
      <w:r w:rsidRPr="00082B90">
        <w:t xml:space="preserve">hite (76%) and had severe glabellar lines at </w:t>
      </w:r>
      <w:r>
        <w:t>B</w:t>
      </w:r>
      <w:r w:rsidRPr="00082B90">
        <w:t>aseline (73.3%).</w:t>
      </w:r>
    </w:p>
    <w:p w14:paraId="4B31D683" w14:textId="55D4F961" w:rsidR="00082B90" w:rsidRPr="00082B90" w:rsidRDefault="00082B90" w:rsidP="00082B90">
      <w:r w:rsidRPr="00082B90">
        <w:t xml:space="preserve">Two hundred and thirty five (41.2%) subjects experienced 475 AEs during the study. Progressively lower rates of AEs occurred following each treatment. Six subjects received </w:t>
      </w:r>
      <w:r>
        <w:t>one</w:t>
      </w:r>
      <w:r w:rsidRPr="00082B90">
        <w:t xml:space="preserve"> treatment, 66 subjects received </w:t>
      </w:r>
      <w:r>
        <w:t>two</w:t>
      </w:r>
      <w:r w:rsidRPr="00082B90">
        <w:t xml:space="preserve"> treatments, 203 subjects received </w:t>
      </w:r>
      <w:r>
        <w:t>three</w:t>
      </w:r>
      <w:r w:rsidRPr="00082B90">
        <w:t xml:space="preserve"> treatments and 212 subjects received </w:t>
      </w:r>
      <w:r>
        <w:t>four</w:t>
      </w:r>
      <w:r w:rsidRPr="00082B90">
        <w:t xml:space="preserve"> treatments.</w:t>
      </w:r>
    </w:p>
    <w:p w14:paraId="51FF433E" w14:textId="437C2CC0" w:rsidR="00082B90" w:rsidRPr="00082B90" w:rsidRDefault="00082B90" w:rsidP="00082B90">
      <w:r w:rsidRPr="00082B90">
        <w:t xml:space="preserve">The only AE reported in </w:t>
      </w:r>
      <w:r>
        <w:t>at least</w:t>
      </w:r>
      <w:r w:rsidRPr="00082B90">
        <w:t xml:space="preserve"> 5% of subjects was headache (13.2% of subjects).</w:t>
      </w:r>
    </w:p>
    <w:p w14:paraId="48C391B1" w14:textId="02B86462" w:rsidR="00082B90" w:rsidRPr="00082B90" w:rsidRDefault="00082B90" w:rsidP="00082B90">
      <w:r w:rsidRPr="00082B90">
        <w:t xml:space="preserve">Seven subjects experienced </w:t>
      </w:r>
      <w:r>
        <w:t>eight</w:t>
      </w:r>
      <w:r w:rsidRPr="00082B90">
        <w:t xml:space="preserve"> SAEs during the study and none were considered drug related.</w:t>
      </w:r>
    </w:p>
    <w:p w14:paraId="11B909EC" w14:textId="323394FC" w:rsidR="00082B90" w:rsidRPr="00082B90" w:rsidRDefault="00082B90" w:rsidP="00082B90">
      <w:r w:rsidRPr="00082B90">
        <w:t xml:space="preserve">There was </w:t>
      </w:r>
      <w:r>
        <w:t>one</w:t>
      </w:r>
      <w:r w:rsidRPr="00082B90">
        <w:t xml:space="preserve"> death during the study and this was reported as an SAE (serious AE). This subject died from a drug overdose 138 days after her initial study treatment and the SAE was considered unrelated. This subject was the only one withdrawn from the study due to an AE.</w:t>
      </w:r>
    </w:p>
    <w:p w14:paraId="02BE5551" w14:textId="4C7D730C" w:rsidR="00082B90" w:rsidRPr="00082B90" w:rsidRDefault="00082B90" w:rsidP="00082B90">
      <w:r w:rsidRPr="00082B90">
        <w:t>There were 21 AESIs which were all of mild severity. Of these, 11 were considered as related to study drug and they were all eye disorders – eyelid ptosis (</w:t>
      </w:r>
      <w:r>
        <w:t>six</w:t>
      </w:r>
      <w:r w:rsidRPr="00082B90">
        <w:t xml:space="preserve"> AESIs), eyebrow ptosis (</w:t>
      </w:r>
      <w:r>
        <w:t>three</w:t>
      </w:r>
      <w:r w:rsidRPr="00082B90">
        <w:t xml:space="preserve"> AESIs), blepharospasm (</w:t>
      </w:r>
      <w:r>
        <w:t>one</w:t>
      </w:r>
      <w:r w:rsidRPr="00082B90">
        <w:t xml:space="preserve"> AESI) and blurred vision (</w:t>
      </w:r>
      <w:r>
        <w:t>one</w:t>
      </w:r>
      <w:r w:rsidRPr="00082B90">
        <w:t xml:space="preserve"> AESI).</w:t>
      </w:r>
    </w:p>
    <w:p w14:paraId="5ADBA8D7" w14:textId="03B366AF" w:rsidR="00082B90" w:rsidRPr="00082B90" w:rsidRDefault="00082B90" w:rsidP="00082B90">
      <w:r w:rsidRPr="00082B90">
        <w:t>Twelve subjects experienced 14 AEs that could represent hypersensitivity reactions, most of which were reported after the first treatment. Only one of these AESIs was considered as possibly related by the investigation (injection site pruritis which resolved without treatment within 12 days and did not occur following a second treatment). Although not considered related, other possible hypersensitivity AEs included drug hypersensitivity, hypersensitivity, seasonal allergy, pyrexia, eyelid oedema and pruritic rash.</w:t>
      </w:r>
    </w:p>
    <w:p w14:paraId="37E92496" w14:textId="77777777" w:rsidR="00082B90" w:rsidRPr="00082B90" w:rsidRDefault="00082B90" w:rsidP="00082B90">
      <w:r w:rsidRPr="00082B90">
        <w:t>One subject in EV-006 tested marginally positive for botulinum toxin antibodies (titre of 50) at the screening visit and was found to be negative at subsequent visits.</w:t>
      </w:r>
    </w:p>
    <w:p w14:paraId="062D6F3A" w14:textId="77777777" w:rsidR="00082B90" w:rsidRPr="00082B90" w:rsidRDefault="00082B90" w:rsidP="00082B90">
      <w:pPr>
        <w:pStyle w:val="Heading5"/>
      </w:pPr>
      <w:r w:rsidRPr="00082B90">
        <w:t>Pooled results</w:t>
      </w:r>
    </w:p>
    <w:p w14:paraId="1810CAA8" w14:textId="31A16140" w:rsidR="00082B90" w:rsidRPr="00082B90" w:rsidRDefault="00082B90" w:rsidP="00082B90">
      <w:r w:rsidRPr="00082B90">
        <w:t>The three placebo</w:t>
      </w:r>
      <w:r>
        <w:t xml:space="preserve"> </w:t>
      </w:r>
      <w:r w:rsidRPr="00082B90">
        <w:t xml:space="preserve">controlled, single dose studies also provided safety data. These three </w:t>
      </w:r>
      <w:r w:rsidR="009F6C4E">
        <w:t>studies</w:t>
      </w:r>
      <w:r w:rsidRPr="00082B90">
        <w:t xml:space="preserve"> showed results broadly in keeping with the safety studies just described and are presented here as part of a pooled analysis.</w:t>
      </w:r>
    </w:p>
    <w:p w14:paraId="573B468D" w14:textId="7F87770C" w:rsidR="00082B90" w:rsidRPr="00082B90" w:rsidRDefault="00082B90" w:rsidP="00082B90">
      <w:r w:rsidRPr="00082B90">
        <w:t xml:space="preserve">The safety population across the five clinical studies described above consists of 1659 subjects who received at least one dose of </w:t>
      </w:r>
      <w:proofErr w:type="spellStart"/>
      <w:r>
        <w:t>prabotulinumtoxin</w:t>
      </w:r>
      <w:proofErr w:type="spellEnd"/>
      <w:r w:rsidR="00F76DEA">
        <w:t xml:space="preserve"> </w:t>
      </w:r>
      <w:r>
        <w:t>A</w:t>
      </w:r>
      <w:r w:rsidRPr="00082B90">
        <w:t xml:space="preserve">. The mean dose received by each </w:t>
      </w:r>
      <w:r w:rsidR="00BD2670">
        <w:t>subject</w:t>
      </w:r>
      <w:r w:rsidRPr="00082B90">
        <w:t xml:space="preserve"> was 42.9 units (</w:t>
      </w:r>
      <w:r>
        <w:t>that is</w:t>
      </w:r>
      <w:r w:rsidRPr="00082B90">
        <w:t xml:space="preserve"> two treatments). There were 1508 females in the safety population and 151 males. Three were 1505 subjects aged </w:t>
      </w:r>
      <w:r>
        <w:t>younger than</w:t>
      </w:r>
      <w:r w:rsidRPr="00082B90">
        <w:t xml:space="preserve"> 65 years and 154 subjects aged </w:t>
      </w:r>
      <w:r>
        <w:t>at least</w:t>
      </w:r>
      <w:r w:rsidRPr="00082B90">
        <w:t xml:space="preserve"> 65 years.</w:t>
      </w:r>
    </w:p>
    <w:p w14:paraId="180E7FEB" w14:textId="4FD6966C" w:rsidR="00082B90" w:rsidRPr="00082B90" w:rsidRDefault="00082B90" w:rsidP="00082B90">
      <w:r w:rsidRPr="00082B90">
        <w:t xml:space="preserve">Headache was the most frequent adverse event and occurred with similar frequency in the placebo and </w:t>
      </w:r>
      <w:proofErr w:type="spellStart"/>
      <w:r>
        <w:t>prabotulinumtoxin</w:t>
      </w:r>
      <w:proofErr w:type="spellEnd"/>
      <w:r w:rsidR="00F76DEA">
        <w:t xml:space="preserve"> </w:t>
      </w:r>
      <w:r>
        <w:t>A</w:t>
      </w:r>
      <w:r w:rsidRPr="00082B90">
        <w:t xml:space="preserve"> groups. The second most frequent AE was nasopharyngitis which occurred in 1.4% of placebo subjects, 11.4% of B</w:t>
      </w:r>
      <w:r w:rsidR="00952740">
        <w:t>otox</w:t>
      </w:r>
      <w:r w:rsidRPr="00082B90">
        <w:t xml:space="preserve"> subjects and 2.6% of </w:t>
      </w:r>
      <w:proofErr w:type="spellStart"/>
      <w:r>
        <w:t>prabotulinumtoxin</w:t>
      </w:r>
      <w:proofErr w:type="spellEnd"/>
      <w:r w:rsidR="00F76DEA">
        <w:t xml:space="preserve"> </w:t>
      </w:r>
      <w:r>
        <w:t>A</w:t>
      </w:r>
      <w:r w:rsidRPr="00082B90">
        <w:t xml:space="preserve"> subjects. No other AEs occurred at frequency </w:t>
      </w:r>
      <w:r w:rsidR="00952740">
        <w:t>at least</w:t>
      </w:r>
      <w:r w:rsidRPr="00082B90">
        <w:t xml:space="preserve"> 5% in any pooled treatment group</w:t>
      </w:r>
      <w:r w:rsidR="005B4E0F">
        <w:t xml:space="preserve"> (</w:t>
      </w:r>
      <w:r w:rsidR="005B4E0F">
        <w:fldChar w:fldCharType="begin"/>
      </w:r>
      <w:r w:rsidR="005B4E0F">
        <w:instrText xml:space="preserve"> REF _Ref143599927 \h </w:instrText>
      </w:r>
      <w:r w:rsidR="005B4E0F">
        <w:fldChar w:fldCharType="separate"/>
      </w:r>
      <w:r w:rsidR="005630CE" w:rsidRPr="005B4E0F">
        <w:t xml:space="preserve">Table </w:t>
      </w:r>
      <w:r w:rsidR="005630CE">
        <w:rPr>
          <w:noProof/>
        </w:rPr>
        <w:t>9</w:t>
      </w:r>
      <w:r w:rsidR="005B4E0F">
        <w:fldChar w:fldCharType="end"/>
      </w:r>
      <w:r w:rsidR="005B4E0F">
        <w:t>).</w:t>
      </w:r>
    </w:p>
    <w:p w14:paraId="40758013" w14:textId="01A595A8" w:rsidR="005B4E0F" w:rsidRDefault="005B4E0F" w:rsidP="005B4E0F">
      <w:pPr>
        <w:pStyle w:val="TableTitle"/>
      </w:pPr>
      <w:bookmarkStart w:id="63" w:name="_Ref143599927"/>
      <w:r w:rsidRPr="005B4E0F">
        <w:lastRenderedPageBreak/>
        <w:t xml:space="preserve">Table </w:t>
      </w:r>
      <w:fldSimple w:instr=" SEQ Table \* ARABIC ">
        <w:r w:rsidR="005630CE">
          <w:rPr>
            <w:noProof/>
          </w:rPr>
          <w:t>9</w:t>
        </w:r>
      </w:fldSimple>
      <w:bookmarkEnd w:id="63"/>
      <w:r>
        <w:t xml:space="preserve">: </w:t>
      </w:r>
      <w:r w:rsidR="00F76DEA" w:rsidRPr="00F76DEA">
        <w:t>Treatment emergent adverse events</w:t>
      </w:r>
      <w:r>
        <w:t xml:space="preserve"> where preferred term is at least 1% - safety population</w:t>
      </w:r>
    </w:p>
    <w:p w14:paraId="59B00C6D" w14:textId="36E19E78" w:rsidR="005B4E0F" w:rsidRDefault="005B4E0F" w:rsidP="005B4E0F">
      <w:r>
        <w:rPr>
          <w:noProof/>
        </w:rPr>
        <w:drawing>
          <wp:inline distT="0" distB="0" distL="0" distR="0" wp14:anchorId="5379B0A9" wp14:editId="66131CE2">
            <wp:extent cx="5731510" cy="3898265"/>
            <wp:effectExtent l="0" t="0" r="2540" b="6985"/>
            <wp:docPr id="20" name="Picture 20" descr="Treatment emergent adverse events where preferred term is at least 1%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reatment emergent adverse events where preferred term is at least 1% - safety population"/>
                    <pic:cNvPicPr/>
                  </pic:nvPicPr>
                  <pic:blipFill>
                    <a:blip r:embed="rId38"/>
                    <a:stretch>
                      <a:fillRect/>
                    </a:stretch>
                  </pic:blipFill>
                  <pic:spPr>
                    <a:xfrm>
                      <a:off x="0" y="0"/>
                      <a:ext cx="5731510" cy="3898265"/>
                    </a:xfrm>
                    <a:prstGeom prst="rect">
                      <a:avLst/>
                    </a:prstGeom>
                  </pic:spPr>
                </pic:pic>
              </a:graphicData>
            </a:graphic>
          </wp:inline>
        </w:drawing>
      </w:r>
    </w:p>
    <w:p w14:paraId="430AAB4B" w14:textId="77777777" w:rsidR="005B4E0F" w:rsidRPr="00F76DEA" w:rsidRDefault="005B4E0F" w:rsidP="00F76DEA">
      <w:r w:rsidRPr="00F76DEA">
        <w:t>The single death out of all the studies was due to overdose, considered unrelated, and is described above.</w:t>
      </w:r>
    </w:p>
    <w:p w14:paraId="0B5A374A" w14:textId="6270C886" w:rsidR="005B4E0F" w:rsidRPr="00F76DEA" w:rsidRDefault="005B4E0F" w:rsidP="00F76DEA">
      <w:r w:rsidRPr="00F76DEA">
        <w:t xml:space="preserve">There was one SAE in each of the control groups (placebo and Botox) and 24 SAEs in the prabotulinumtoxinA treated groups. No SAE in any study was considered study drug related. Note that the pooled prabotulinumtoxinA subjects were on study for longer than the control group (due to the multiple dose studies) which increases the likelihood of experiencing an SAE and should be taken into account when assessing the pooled data. There were also more subjects receiving prabotulinumtoxinA which increases the likelihood of seeing uncommon and unrelated SAEs. </w:t>
      </w:r>
      <w:r w:rsidRPr="00F76DEA">
        <w:fldChar w:fldCharType="begin"/>
      </w:r>
      <w:r w:rsidRPr="00F76DEA">
        <w:instrText xml:space="preserve"> REF _Ref143599995 \h </w:instrText>
      </w:r>
      <w:r w:rsidR="00F76DEA">
        <w:instrText xml:space="preserve"> \* MERGEFORMAT </w:instrText>
      </w:r>
      <w:r w:rsidRPr="00F76DEA">
        <w:fldChar w:fldCharType="separate"/>
      </w:r>
      <w:r w:rsidR="005630CE" w:rsidRPr="005B4E0F">
        <w:t xml:space="preserve">Table </w:t>
      </w:r>
      <w:r w:rsidR="005630CE">
        <w:t>10</w:t>
      </w:r>
      <w:r w:rsidRPr="00F76DEA">
        <w:fldChar w:fldCharType="end"/>
      </w:r>
      <w:r w:rsidRPr="00F76DEA">
        <w:t xml:space="preserve"> shows that 1.4% of subjects who received prabotulinumtoxinA and 0.5% of placebo subjects experienced SAEs. All of the SAEs occurred in single participants except for breast cancer and basal cell carcinoma.</w:t>
      </w:r>
    </w:p>
    <w:p w14:paraId="08892927" w14:textId="140F5436" w:rsidR="005B4E0F" w:rsidRDefault="005B4E0F" w:rsidP="005B4E0F">
      <w:pPr>
        <w:pStyle w:val="TableTitle"/>
      </w:pPr>
      <w:bookmarkStart w:id="64" w:name="_Ref143599995"/>
      <w:r w:rsidRPr="005B4E0F">
        <w:lastRenderedPageBreak/>
        <w:t xml:space="preserve">Table </w:t>
      </w:r>
      <w:fldSimple w:instr=" SEQ Table \* ARABIC ">
        <w:r w:rsidR="005630CE">
          <w:rPr>
            <w:noProof/>
          </w:rPr>
          <w:t>10</w:t>
        </w:r>
      </w:fldSimple>
      <w:bookmarkEnd w:id="64"/>
      <w:r>
        <w:t>: Serious treatment-emergent adverse effects by System Organ Class and Preferred Term - Safety population</w:t>
      </w:r>
    </w:p>
    <w:p w14:paraId="1403E693" w14:textId="4069795F" w:rsidR="005B4E0F" w:rsidRDefault="005B4E0F" w:rsidP="005B4E0F">
      <w:r>
        <w:rPr>
          <w:noProof/>
        </w:rPr>
        <w:drawing>
          <wp:inline distT="0" distB="0" distL="0" distR="0" wp14:anchorId="62CE4002" wp14:editId="4DA5FDC6">
            <wp:extent cx="5438693" cy="5272737"/>
            <wp:effectExtent l="0" t="0" r="0" b="4445"/>
            <wp:docPr id="18" name="Picture 18" descr="Serious treatment-emergent adverse effects by System Organ Class and Preferred Term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rious treatment-emergent adverse effects by System Organ Class and Preferred Term - Safety population"/>
                    <pic:cNvPicPr/>
                  </pic:nvPicPr>
                  <pic:blipFill rotWithShape="1">
                    <a:blip r:embed="rId39"/>
                    <a:srcRect l="4971" t="3697" r="4868" b="2712"/>
                    <a:stretch/>
                  </pic:blipFill>
                  <pic:spPr bwMode="auto">
                    <a:xfrm>
                      <a:off x="0" y="0"/>
                      <a:ext cx="5443185" cy="5277092"/>
                    </a:xfrm>
                    <a:prstGeom prst="rect">
                      <a:avLst/>
                    </a:prstGeom>
                    <a:ln>
                      <a:noFill/>
                    </a:ln>
                    <a:extLst>
                      <a:ext uri="{53640926-AAD7-44D8-BBD7-CCE9431645EC}">
                        <a14:shadowObscured xmlns:a14="http://schemas.microsoft.com/office/drawing/2010/main"/>
                      </a:ext>
                    </a:extLst>
                  </pic:spPr>
                </pic:pic>
              </a:graphicData>
            </a:graphic>
          </wp:inline>
        </w:drawing>
      </w:r>
    </w:p>
    <w:p w14:paraId="485545C8" w14:textId="740585D8" w:rsidR="005B4E0F" w:rsidRDefault="005B4E0F" w:rsidP="005B4E0F">
      <w:r>
        <w:t xml:space="preserve">Four subjects discontinued </w:t>
      </w:r>
      <w:proofErr w:type="spellStart"/>
      <w:r>
        <w:t>prabotulinumtoxin</w:t>
      </w:r>
      <w:proofErr w:type="spellEnd"/>
      <w:r w:rsidR="00F76DEA" w:rsidRPr="00F24133">
        <w:t xml:space="preserve"> </w:t>
      </w:r>
      <w:r>
        <w:t>A due to AEs of transient ischaemic attack, worsening of wrinkling about the eyebrow, headache and drug overdose death. Only the eyebrow wrinkling was assessed as drug related (probably). Whilst the transient ischaemic attack was considered an AE of special interest, the investigator did not consider it as drug related.</w:t>
      </w:r>
    </w:p>
    <w:p w14:paraId="0A62DAF5" w14:textId="13C899B5" w:rsidR="005B4E0F" w:rsidRDefault="005B4E0F" w:rsidP="005B4E0F">
      <w:r>
        <w:t xml:space="preserve">Adverse events of special interest were infrequent across all studies, with eye disorders being the only System Organ Class being reported with frequency </w:t>
      </w:r>
      <w:r w:rsidR="005329D4">
        <w:t>less than</w:t>
      </w:r>
      <w:r>
        <w:t xml:space="preserve"> 1%. As seen in</w:t>
      </w:r>
      <w:r w:rsidR="005329D4">
        <w:t xml:space="preserve"> </w:t>
      </w:r>
      <w:r w:rsidR="005329D4">
        <w:fldChar w:fldCharType="begin"/>
      </w:r>
      <w:r w:rsidR="005329D4">
        <w:instrText xml:space="preserve"> REF _Ref143600245 \h </w:instrText>
      </w:r>
      <w:r w:rsidR="005329D4">
        <w:fldChar w:fldCharType="separate"/>
      </w:r>
      <w:r w:rsidR="005630CE" w:rsidRPr="005329D4">
        <w:t xml:space="preserve">Table </w:t>
      </w:r>
      <w:r w:rsidR="005630CE">
        <w:rPr>
          <w:noProof/>
        </w:rPr>
        <w:t>11</w:t>
      </w:r>
      <w:r w:rsidR="005329D4">
        <w:fldChar w:fldCharType="end"/>
      </w:r>
      <w:r w:rsidR="005329D4">
        <w:t xml:space="preserve"> </w:t>
      </w:r>
      <w:r>
        <w:t xml:space="preserve">eyelid ptosis was the most frequent AESI, occurring in 24 </w:t>
      </w:r>
      <w:proofErr w:type="spellStart"/>
      <w:r w:rsidR="005329D4">
        <w:t>prabotulinumtoxin</w:t>
      </w:r>
      <w:proofErr w:type="spellEnd"/>
      <w:r w:rsidR="00510D7B">
        <w:t xml:space="preserve"> </w:t>
      </w:r>
      <w:r w:rsidR="005329D4">
        <w:t>A</w:t>
      </w:r>
      <w:r>
        <w:t xml:space="preserve"> treated subjects and no placebo or Botox subjects. There were 25 events of eyelid ptosis, of which 22 were mild and 3 were moderate.</w:t>
      </w:r>
    </w:p>
    <w:p w14:paraId="29621312" w14:textId="596A7586" w:rsidR="005B4E0F" w:rsidRDefault="005329D4" w:rsidP="005329D4">
      <w:pPr>
        <w:pStyle w:val="TableTitle"/>
      </w:pPr>
      <w:bookmarkStart w:id="65" w:name="_Ref143600245"/>
      <w:r w:rsidRPr="005329D4">
        <w:lastRenderedPageBreak/>
        <w:t xml:space="preserve">Table </w:t>
      </w:r>
      <w:fldSimple w:instr=" SEQ Table \* ARABIC ">
        <w:r w:rsidR="005630CE">
          <w:rPr>
            <w:noProof/>
          </w:rPr>
          <w:t>11</w:t>
        </w:r>
      </w:fldSimple>
      <w:bookmarkEnd w:id="65"/>
      <w:r>
        <w:t>: Treatment emergent adverse events of special interest by System Organ Class and Preferred Term - Safety Population</w:t>
      </w:r>
    </w:p>
    <w:p w14:paraId="69A5E343" w14:textId="2546F5C4" w:rsidR="005329D4" w:rsidRDefault="005329D4" w:rsidP="005329D4">
      <w:r>
        <w:rPr>
          <w:noProof/>
        </w:rPr>
        <w:drawing>
          <wp:inline distT="0" distB="0" distL="0" distR="0" wp14:anchorId="5757C51C" wp14:editId="798918A9">
            <wp:extent cx="5731510" cy="3284220"/>
            <wp:effectExtent l="0" t="0" r="2540" b="0"/>
            <wp:docPr id="19" name="Picture 19" descr="Treatment emergent adverse events of special interest by System Organ Class and Preferred Term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eatment emergent adverse events of special interest by System Organ Class and Preferred Term - Safety Population"/>
                    <pic:cNvPicPr/>
                  </pic:nvPicPr>
                  <pic:blipFill>
                    <a:blip r:embed="rId40"/>
                    <a:stretch>
                      <a:fillRect/>
                    </a:stretch>
                  </pic:blipFill>
                  <pic:spPr>
                    <a:xfrm>
                      <a:off x="0" y="0"/>
                      <a:ext cx="5731510" cy="3284220"/>
                    </a:xfrm>
                    <a:prstGeom prst="rect">
                      <a:avLst/>
                    </a:prstGeom>
                  </pic:spPr>
                </pic:pic>
              </a:graphicData>
            </a:graphic>
          </wp:inline>
        </w:drawing>
      </w:r>
    </w:p>
    <w:p w14:paraId="4527C5C2" w14:textId="58DC659A" w:rsidR="005329D4" w:rsidRPr="005329D4" w:rsidRDefault="005329D4" w:rsidP="005329D4">
      <w:r w:rsidRPr="005329D4">
        <w:t>The overall frequency of hypersensitivity related AEs was similar across placebo (1.4%), B</w:t>
      </w:r>
      <w:r>
        <w:t>otox</w:t>
      </w:r>
      <w:r w:rsidRPr="005329D4">
        <w:t xml:space="preserve"> (2%) and </w:t>
      </w:r>
      <w:proofErr w:type="spellStart"/>
      <w:r>
        <w:t>prabotulinumtoxin</w:t>
      </w:r>
      <w:proofErr w:type="spellEnd"/>
      <w:r w:rsidR="00510D7B">
        <w:t xml:space="preserve"> </w:t>
      </w:r>
      <w:r>
        <w:t>A</w:t>
      </w:r>
      <w:r w:rsidRPr="005329D4">
        <w:t xml:space="preserve"> (1.8%). The most frequent hypersensitivity related AEs were eyelid oedema (0.4% </w:t>
      </w:r>
      <w:proofErr w:type="spellStart"/>
      <w:r>
        <w:t>prabotulinumtoxin</w:t>
      </w:r>
      <w:proofErr w:type="spellEnd"/>
      <w:r w:rsidR="00510D7B">
        <w:t xml:space="preserve"> </w:t>
      </w:r>
      <w:r>
        <w:t>A</w:t>
      </w:r>
      <w:r w:rsidRPr="005329D4">
        <w:t xml:space="preserve"> v</w:t>
      </w:r>
      <w:r>
        <w:t>ersus</w:t>
      </w:r>
      <w:r w:rsidRPr="005329D4">
        <w:t xml:space="preserve"> 0% placebo), seasonal allergy (0.4% </w:t>
      </w:r>
      <w:proofErr w:type="spellStart"/>
      <w:r>
        <w:t>prabotulinumtoxin</w:t>
      </w:r>
      <w:proofErr w:type="spellEnd"/>
      <w:r w:rsidR="00510D7B">
        <w:t xml:space="preserve"> </w:t>
      </w:r>
      <w:r>
        <w:t>A</w:t>
      </w:r>
      <w:r w:rsidRPr="005329D4">
        <w:t xml:space="preserve"> v</w:t>
      </w:r>
      <w:r>
        <w:t>ersus</w:t>
      </w:r>
      <w:r w:rsidRPr="005329D4">
        <w:t xml:space="preserve"> 0% placebo), pyrexia (0.3% </w:t>
      </w:r>
      <w:proofErr w:type="spellStart"/>
      <w:r>
        <w:t>prabotulinumtoxin</w:t>
      </w:r>
      <w:proofErr w:type="spellEnd"/>
      <w:r w:rsidR="00510D7B">
        <w:t xml:space="preserve"> </w:t>
      </w:r>
      <w:r>
        <w:t>A</w:t>
      </w:r>
      <w:r w:rsidRPr="005329D4">
        <w:t xml:space="preserve"> v</w:t>
      </w:r>
      <w:r>
        <w:t>ersus</w:t>
      </w:r>
      <w:r w:rsidRPr="005329D4">
        <w:t xml:space="preserve"> 0% placebo) and hypersensitivity (0.2% </w:t>
      </w:r>
      <w:proofErr w:type="spellStart"/>
      <w:r>
        <w:t>prabotulinumtoxin</w:t>
      </w:r>
      <w:proofErr w:type="spellEnd"/>
      <w:r w:rsidR="00510D7B">
        <w:t xml:space="preserve"> </w:t>
      </w:r>
      <w:r>
        <w:t>A</w:t>
      </w:r>
      <w:r w:rsidRPr="005329D4">
        <w:t xml:space="preserve"> v</w:t>
      </w:r>
      <w:r>
        <w:t>ersus</w:t>
      </w:r>
      <w:r w:rsidRPr="005329D4">
        <w:t xml:space="preserve"> 0.5% placebo). None of the </w:t>
      </w:r>
      <w:r>
        <w:t>three</w:t>
      </w:r>
      <w:r w:rsidRPr="005329D4">
        <w:t xml:space="preserve"> severe hypersensitivity related AEs reported in subjects receiving </w:t>
      </w:r>
      <w:proofErr w:type="spellStart"/>
      <w:r>
        <w:t>prabotulinumtoxin</w:t>
      </w:r>
      <w:proofErr w:type="spellEnd"/>
      <w:r w:rsidR="00510D7B">
        <w:t xml:space="preserve"> </w:t>
      </w:r>
      <w:r>
        <w:t>A</w:t>
      </w:r>
      <w:r w:rsidRPr="005329D4">
        <w:t xml:space="preserve"> were considered related.</w:t>
      </w:r>
    </w:p>
    <w:p w14:paraId="21DA6C63" w14:textId="6BC6EDB0" w:rsidR="005329D4" w:rsidRPr="005329D4" w:rsidRDefault="005329D4" w:rsidP="005329D4">
      <w:r w:rsidRPr="005329D4">
        <w:t xml:space="preserve">In addition to the </w:t>
      </w:r>
      <w:r>
        <w:t>two</w:t>
      </w:r>
      <w:r w:rsidRPr="005329D4">
        <w:t xml:space="preserve"> subjects testing positive to botulinum toxin antibodies in the multiple dose studies as described above, only one subject in the single dose study</w:t>
      </w:r>
      <w:r>
        <w:t xml:space="preserve">, Study </w:t>
      </w:r>
      <w:r w:rsidRPr="005329D4">
        <w:t xml:space="preserve">EV-001 tested positive to the antibody (at </w:t>
      </w:r>
      <w:r>
        <w:t>B</w:t>
      </w:r>
      <w:r w:rsidRPr="005329D4">
        <w:t>aseline and at all subsequent assessments).</w:t>
      </w:r>
    </w:p>
    <w:p w14:paraId="537CD254" w14:textId="50D0DB39" w:rsidR="005329D4" w:rsidRPr="005329D4" w:rsidRDefault="005329D4" w:rsidP="005329D4">
      <w:r w:rsidRPr="005329D4">
        <w:t xml:space="preserve">There were no significant findings in terms of other laboratory assessments vital signs or </w:t>
      </w:r>
      <w:r w:rsidR="00510D7B" w:rsidRPr="00510D7B">
        <w:t>electrocardiogram</w:t>
      </w:r>
      <w:r w:rsidRPr="005329D4">
        <w:t>.</w:t>
      </w:r>
    </w:p>
    <w:p w14:paraId="769DBB7A" w14:textId="54B2FBEF" w:rsidR="005329D4" w:rsidRPr="005329D4" w:rsidRDefault="005329D4" w:rsidP="005329D4">
      <w:pPr>
        <w:pStyle w:val="Heading5"/>
      </w:pPr>
      <w:r w:rsidRPr="005329D4">
        <w:t xml:space="preserve">Safety in special groups: </w:t>
      </w:r>
      <w:r>
        <w:t>at least</w:t>
      </w:r>
      <w:r w:rsidRPr="005329D4">
        <w:t xml:space="preserve"> 65 years old.</w:t>
      </w:r>
    </w:p>
    <w:p w14:paraId="1C2E24CB" w14:textId="7B08CA7A" w:rsidR="005329D4" w:rsidRPr="005329D4" w:rsidRDefault="005329D4" w:rsidP="005329D4">
      <w:r w:rsidRPr="005329D4">
        <w:t xml:space="preserve">There were 154 subjects </w:t>
      </w:r>
      <w:r>
        <w:t>at least</w:t>
      </w:r>
      <w:r w:rsidRPr="005329D4">
        <w:t xml:space="preserve"> 65 year old were included in the safety analyses. Age did not appear to impact safety. However, there seemed to be some increase in the frequency of serious adverse events and AEs of special interest that were considered related</w:t>
      </w:r>
      <w:r>
        <w:t xml:space="preserve"> (</w:t>
      </w:r>
      <w:r>
        <w:fldChar w:fldCharType="begin"/>
      </w:r>
      <w:r>
        <w:instrText xml:space="preserve"> REF _Ref143600563 \h </w:instrText>
      </w:r>
      <w:r>
        <w:fldChar w:fldCharType="separate"/>
      </w:r>
      <w:r w:rsidR="005630CE" w:rsidRPr="005329D4">
        <w:t xml:space="preserve">Table </w:t>
      </w:r>
      <w:r w:rsidR="005630CE">
        <w:rPr>
          <w:noProof/>
        </w:rPr>
        <w:t>12</w:t>
      </w:r>
      <w:r>
        <w:fldChar w:fldCharType="end"/>
      </w:r>
      <w:r>
        <w:t xml:space="preserve"> and </w:t>
      </w:r>
      <w:r>
        <w:fldChar w:fldCharType="begin"/>
      </w:r>
      <w:r>
        <w:instrText xml:space="preserve"> REF _Ref143600572 \h </w:instrText>
      </w:r>
      <w:r>
        <w:fldChar w:fldCharType="separate"/>
      </w:r>
      <w:r w:rsidR="005630CE" w:rsidRPr="005329D4">
        <w:t xml:space="preserve">Table </w:t>
      </w:r>
      <w:r w:rsidR="005630CE">
        <w:rPr>
          <w:noProof/>
        </w:rPr>
        <w:t>13</w:t>
      </w:r>
      <w:r>
        <w:fldChar w:fldCharType="end"/>
      </w:r>
      <w:r>
        <w:t>).</w:t>
      </w:r>
      <w:r w:rsidRPr="005329D4">
        <w:t>Many of the AEs of special interest were eye related.</w:t>
      </w:r>
    </w:p>
    <w:p w14:paraId="2E4F28A9" w14:textId="4ECBBB97" w:rsidR="005329D4" w:rsidRDefault="005329D4" w:rsidP="005329D4">
      <w:pPr>
        <w:pStyle w:val="TableTitle"/>
      </w:pPr>
      <w:bookmarkStart w:id="66" w:name="_Ref143600563"/>
      <w:r w:rsidRPr="005329D4">
        <w:lastRenderedPageBreak/>
        <w:t xml:space="preserve">Table </w:t>
      </w:r>
      <w:fldSimple w:instr=" SEQ Table \* ARABIC ">
        <w:r w:rsidR="005630CE">
          <w:rPr>
            <w:noProof/>
          </w:rPr>
          <w:t>12</w:t>
        </w:r>
      </w:fldSimple>
      <w:bookmarkEnd w:id="66"/>
      <w:r>
        <w:t xml:space="preserve">: </w:t>
      </w:r>
      <w:r w:rsidRPr="005329D4">
        <w:t xml:space="preserve">Subgroup analysis of </w:t>
      </w:r>
      <w:r>
        <w:t>serious adverse event</w:t>
      </w:r>
      <w:r w:rsidRPr="005329D4">
        <w:t xml:space="preserve"> frequency</w:t>
      </w:r>
    </w:p>
    <w:p w14:paraId="4A64C305" w14:textId="4AE0E439" w:rsidR="005329D4" w:rsidRPr="005329D4" w:rsidRDefault="005329D4" w:rsidP="005329D4">
      <w:r>
        <w:rPr>
          <w:noProof/>
        </w:rPr>
        <w:drawing>
          <wp:inline distT="0" distB="0" distL="0" distR="0" wp14:anchorId="30A03314" wp14:editId="104A590D">
            <wp:extent cx="5548630" cy="2189480"/>
            <wp:effectExtent l="0" t="0" r="0" b="1270"/>
            <wp:docPr id="41" name="Picture 41" descr="Subgroup analysis of serious adverse event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ubgroup analysis of serious adverse event frequency"/>
                    <pic:cNvPicPr/>
                  </pic:nvPicPr>
                  <pic:blipFill rotWithShape="1">
                    <a:blip r:embed="rId41"/>
                    <a:srcRect l="3191"/>
                    <a:stretch/>
                  </pic:blipFill>
                  <pic:spPr bwMode="auto">
                    <a:xfrm>
                      <a:off x="0" y="0"/>
                      <a:ext cx="5548630" cy="2189480"/>
                    </a:xfrm>
                    <a:prstGeom prst="rect">
                      <a:avLst/>
                    </a:prstGeom>
                    <a:ln>
                      <a:noFill/>
                    </a:ln>
                    <a:extLst>
                      <a:ext uri="{53640926-AAD7-44D8-BBD7-CCE9431645EC}">
                        <a14:shadowObscured xmlns:a14="http://schemas.microsoft.com/office/drawing/2010/main"/>
                      </a:ext>
                    </a:extLst>
                  </pic:spPr>
                </pic:pic>
              </a:graphicData>
            </a:graphic>
          </wp:inline>
        </w:drawing>
      </w:r>
    </w:p>
    <w:p w14:paraId="0D252F35" w14:textId="0EDFA386" w:rsidR="005329D4" w:rsidRDefault="005329D4" w:rsidP="005329D4">
      <w:pPr>
        <w:pStyle w:val="TableTitle"/>
      </w:pPr>
      <w:bookmarkStart w:id="67" w:name="_Ref143600572"/>
      <w:r w:rsidRPr="005329D4">
        <w:t xml:space="preserve">Table </w:t>
      </w:r>
      <w:fldSimple w:instr=" SEQ Table \* ARABIC ">
        <w:r w:rsidR="005630CE">
          <w:rPr>
            <w:noProof/>
          </w:rPr>
          <w:t>13</w:t>
        </w:r>
      </w:fldSimple>
      <w:bookmarkEnd w:id="67"/>
      <w:r>
        <w:t xml:space="preserve">: </w:t>
      </w:r>
      <w:r w:rsidRPr="005329D4">
        <w:t xml:space="preserve">Subgroup analysis of </w:t>
      </w:r>
      <w:r>
        <w:t>adverse event</w:t>
      </w:r>
      <w:r w:rsidRPr="00082B90">
        <w:t xml:space="preserve"> of special interest </w:t>
      </w:r>
      <w:r w:rsidRPr="005329D4">
        <w:t>considered related</w:t>
      </w:r>
    </w:p>
    <w:p w14:paraId="02460A78" w14:textId="17025001" w:rsidR="005329D4" w:rsidRDefault="005329D4" w:rsidP="005329D4">
      <w:r>
        <w:rPr>
          <w:noProof/>
        </w:rPr>
        <w:drawing>
          <wp:inline distT="0" distB="0" distL="0" distR="0" wp14:anchorId="2C7AC76E" wp14:editId="773C124E">
            <wp:extent cx="5548630" cy="1647624"/>
            <wp:effectExtent l="0" t="0" r="0" b="0"/>
            <wp:docPr id="42" name="Picture 42" descr="Subgroup analysis of adverse event of special interest considered 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ubgroup analysis of adverse event of special interest considered related"/>
                    <pic:cNvPicPr/>
                  </pic:nvPicPr>
                  <pic:blipFill rotWithShape="1">
                    <a:blip r:embed="rId42"/>
                    <a:srcRect l="3747" t="3778" r="1043"/>
                    <a:stretch/>
                  </pic:blipFill>
                  <pic:spPr bwMode="auto">
                    <a:xfrm>
                      <a:off x="0" y="0"/>
                      <a:ext cx="5563923" cy="1652165"/>
                    </a:xfrm>
                    <a:prstGeom prst="rect">
                      <a:avLst/>
                    </a:prstGeom>
                    <a:ln>
                      <a:noFill/>
                    </a:ln>
                    <a:extLst>
                      <a:ext uri="{53640926-AAD7-44D8-BBD7-CCE9431645EC}">
                        <a14:shadowObscured xmlns:a14="http://schemas.microsoft.com/office/drawing/2010/main"/>
                      </a:ext>
                    </a:extLst>
                  </pic:spPr>
                </pic:pic>
              </a:graphicData>
            </a:graphic>
          </wp:inline>
        </w:drawing>
      </w:r>
    </w:p>
    <w:p w14:paraId="2F54408F" w14:textId="73258726" w:rsidR="00C22214" w:rsidRDefault="008C49C6" w:rsidP="00C22214">
      <w:pPr>
        <w:pStyle w:val="Heading4"/>
      </w:pPr>
      <w:bookmarkStart w:id="68" w:name="_Toc143693809"/>
      <w:bookmarkStart w:id="69" w:name="_Toc314842514"/>
      <w:r>
        <w:t>R</w:t>
      </w:r>
      <w:r w:rsidR="00C22214" w:rsidRPr="007B6132">
        <w:t>ecommendation</w:t>
      </w:r>
      <w:r>
        <w:t xml:space="preserve"> following the clinical evaluation</w:t>
      </w:r>
      <w:bookmarkEnd w:id="68"/>
    </w:p>
    <w:p w14:paraId="5700CAFC" w14:textId="243B5C5C" w:rsidR="005329D4" w:rsidRDefault="005329D4" w:rsidP="005329D4">
      <w:r>
        <w:rPr>
          <w:lang w:eastAsia="ja-JP"/>
        </w:rPr>
        <w:t>Based on the clinical data submitted in clinical dossier approval of Nuceiva, (subject to revision to the draft PI incorporating the recommended changes to the PI</w:t>
      </w:r>
      <w:r w:rsidRPr="00B735F9">
        <w:rPr>
          <w:lang w:eastAsia="ja-JP"/>
        </w:rPr>
        <w:t>),</w:t>
      </w:r>
      <w:r>
        <w:rPr>
          <w:lang w:eastAsia="ja-JP"/>
        </w:rPr>
        <w:t xml:space="preserve"> is recommended.</w:t>
      </w:r>
    </w:p>
    <w:p w14:paraId="2858B006" w14:textId="77777777" w:rsidR="00C22214" w:rsidRDefault="00C22214" w:rsidP="00C22214">
      <w:pPr>
        <w:pStyle w:val="Heading3"/>
        <w:rPr>
          <w:lang w:eastAsia="en-AU"/>
        </w:rPr>
      </w:pPr>
      <w:bookmarkStart w:id="70" w:name="_Toc103679298"/>
      <w:bookmarkStart w:id="71" w:name="_Toc143693810"/>
      <w:r>
        <w:rPr>
          <w:lang w:eastAsia="en-AU"/>
        </w:rPr>
        <w:t>Risk management plan</w:t>
      </w:r>
      <w:bookmarkEnd w:id="69"/>
      <w:bookmarkEnd w:id="70"/>
      <w:bookmarkEnd w:id="71"/>
    </w:p>
    <w:p w14:paraId="35B1E4EE" w14:textId="0B6685FA" w:rsidR="005329D4" w:rsidRDefault="00CF14BA" w:rsidP="005329D4">
      <w:pPr>
        <w:rPr>
          <w:szCs w:val="22"/>
        </w:rPr>
      </w:pPr>
      <w:bookmarkStart w:id="72" w:name="_Toc247691531"/>
      <w:bookmarkStart w:id="73" w:name="_Toc314842515"/>
      <w:r>
        <w:rPr>
          <w:szCs w:val="22"/>
        </w:rPr>
        <w:t>The sponsor</w:t>
      </w:r>
      <w:r w:rsidR="005329D4" w:rsidRPr="005329D4">
        <w:rPr>
          <w:szCs w:val="22"/>
        </w:rPr>
        <w:t xml:space="preserve"> has submitted </w:t>
      </w:r>
      <w:r>
        <w:rPr>
          <w:szCs w:val="22"/>
        </w:rPr>
        <w:t>EU</w:t>
      </w:r>
      <w:r w:rsidR="005329D4" w:rsidRPr="005329D4">
        <w:rPr>
          <w:szCs w:val="22"/>
        </w:rPr>
        <w:t>-</w:t>
      </w:r>
      <w:r>
        <w:rPr>
          <w:szCs w:val="22"/>
        </w:rPr>
        <w:t>risk management plan (</w:t>
      </w:r>
      <w:r w:rsidR="005329D4" w:rsidRPr="005329D4">
        <w:rPr>
          <w:szCs w:val="22"/>
        </w:rPr>
        <w:t>RMP</w:t>
      </w:r>
      <w:r>
        <w:rPr>
          <w:szCs w:val="22"/>
        </w:rPr>
        <w:t>)</w:t>
      </w:r>
      <w:r w:rsidR="005329D4" w:rsidRPr="005329D4">
        <w:rPr>
          <w:szCs w:val="22"/>
        </w:rPr>
        <w:t xml:space="preserve"> version 3.1 (date 4 February 2021; </w:t>
      </w:r>
      <w:r>
        <w:rPr>
          <w:szCs w:val="22"/>
        </w:rPr>
        <w:t>data lock point (</w:t>
      </w:r>
      <w:r w:rsidR="005329D4" w:rsidRPr="005329D4">
        <w:rPr>
          <w:szCs w:val="22"/>
        </w:rPr>
        <w:t>DLP</w:t>
      </w:r>
      <w:r>
        <w:rPr>
          <w:szCs w:val="22"/>
        </w:rPr>
        <w:t>)</w:t>
      </w:r>
      <w:r w:rsidR="005329D4" w:rsidRPr="005329D4">
        <w:rPr>
          <w:szCs w:val="22"/>
        </w:rPr>
        <w:t xml:space="preserve"> 27 March 2017) and </w:t>
      </w:r>
      <w:r>
        <w:rPr>
          <w:szCs w:val="22"/>
        </w:rPr>
        <w:t>Australian specific annex (</w:t>
      </w:r>
      <w:r w:rsidR="005329D4" w:rsidRPr="005329D4">
        <w:rPr>
          <w:szCs w:val="22"/>
        </w:rPr>
        <w:t>ASA</w:t>
      </w:r>
      <w:r>
        <w:rPr>
          <w:szCs w:val="22"/>
        </w:rPr>
        <w:t>)</w:t>
      </w:r>
      <w:r w:rsidR="005329D4" w:rsidRPr="005329D4">
        <w:rPr>
          <w:szCs w:val="22"/>
        </w:rPr>
        <w:t xml:space="preserve"> version 1.0 (date 19 October 2021) in support of this application. At </w:t>
      </w:r>
      <w:r>
        <w:rPr>
          <w:szCs w:val="22"/>
        </w:rPr>
        <w:t>second round of evaluation,</w:t>
      </w:r>
      <w:r w:rsidR="005329D4" w:rsidRPr="005329D4">
        <w:rPr>
          <w:szCs w:val="22"/>
        </w:rPr>
        <w:t xml:space="preserve"> the sponsor submitted ASA version 1.1 (date 19 October 2021).</w:t>
      </w:r>
    </w:p>
    <w:p w14:paraId="39F3CD1D" w14:textId="508B2884"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5630CE" w:rsidRPr="005630CE">
        <w:rPr>
          <w:szCs w:val="22"/>
        </w:rPr>
        <w:t xml:space="preserve">Table </w:t>
      </w:r>
      <w:r w:rsidR="005630CE" w:rsidRPr="005630CE">
        <w:rPr>
          <w:noProof/>
          <w:szCs w:val="22"/>
        </w:rPr>
        <w:t>14</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0BF16FFB" w:rsidR="006A277A" w:rsidRDefault="00C22214" w:rsidP="00C22214">
      <w:pPr>
        <w:pStyle w:val="TableTitle"/>
      </w:pPr>
      <w:bookmarkStart w:id="74" w:name="_Ref97629131"/>
      <w:r>
        <w:t xml:space="preserve">Table </w:t>
      </w:r>
      <w:fldSimple w:instr=" SEQ Table \* ARABIC ">
        <w:r w:rsidR="005630CE">
          <w:rPr>
            <w:noProof/>
          </w:rPr>
          <w:t>14</w:t>
        </w:r>
      </w:fldSimple>
      <w:bookmarkEnd w:id="74"/>
      <w:r>
        <w:t>: Summary of safety concerns</w:t>
      </w:r>
    </w:p>
    <w:tbl>
      <w:tblPr>
        <w:tblStyle w:val="TableTGAblue2023"/>
        <w:tblW w:w="5000" w:type="pct"/>
        <w:tblLook w:val="04A0" w:firstRow="1" w:lastRow="0" w:firstColumn="1" w:lastColumn="0" w:noHBand="0" w:noVBand="1"/>
      </w:tblPr>
      <w:tblGrid>
        <w:gridCol w:w="1608"/>
        <w:gridCol w:w="3312"/>
        <w:gridCol w:w="935"/>
        <w:gridCol w:w="1135"/>
        <w:gridCol w:w="935"/>
        <w:gridCol w:w="1135"/>
      </w:tblGrid>
      <w:tr w:rsidR="00CF14BA" w:rsidRPr="00BF52F4" w14:paraId="0E1FC5AD" w14:textId="77777777" w:rsidTr="00CF14BA">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79CD6B21" w14:textId="77777777" w:rsidR="00CF14BA" w:rsidRPr="00BF52F4" w:rsidRDefault="00CF14BA" w:rsidP="00DB5D9C">
            <w:pPr>
              <w:pStyle w:val="Tabletext0"/>
              <w:rPr>
                <w:b w:val="0"/>
                <w:kern w:val="0"/>
              </w:rPr>
            </w:pPr>
            <w:bookmarkStart w:id="75" w:name="_Hlk106289393"/>
            <w:r w:rsidRPr="00BF52F4">
              <w:rPr>
                <w:kern w:val="0"/>
              </w:rPr>
              <w:t>Summary of safety concerns</w:t>
            </w:r>
          </w:p>
        </w:tc>
        <w:tc>
          <w:tcPr>
            <w:tcW w:w="1142" w:type="pct"/>
            <w:gridSpan w:val="2"/>
          </w:tcPr>
          <w:p w14:paraId="5893C71A" w14:textId="77777777" w:rsidR="00CF14BA" w:rsidRPr="00BF52F4" w:rsidRDefault="00CF14BA" w:rsidP="00DB5D9C">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42" w:type="pct"/>
            <w:gridSpan w:val="2"/>
          </w:tcPr>
          <w:p w14:paraId="384A1BF8" w14:textId="77777777" w:rsidR="00CF14BA" w:rsidRPr="00BF52F4" w:rsidRDefault="00CF14BA" w:rsidP="00DB5D9C">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CF14BA" w:rsidRPr="00BF52F4" w14:paraId="5922F63F" w14:textId="77777777" w:rsidTr="00CF14BA">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73EF2362" w14:textId="77777777" w:rsidR="00CF14BA" w:rsidRPr="00BF52F4" w:rsidRDefault="00CF14BA" w:rsidP="00DB5D9C">
            <w:pPr>
              <w:pStyle w:val="Tabletext0"/>
              <w:rPr>
                <w:b/>
                <w:kern w:val="0"/>
              </w:rPr>
            </w:pPr>
          </w:p>
        </w:tc>
        <w:tc>
          <w:tcPr>
            <w:tcW w:w="516" w:type="pct"/>
          </w:tcPr>
          <w:p w14:paraId="382D66E1"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40D09E61"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16" w:type="pct"/>
          </w:tcPr>
          <w:p w14:paraId="1E58C482"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4E777DD3"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CF14BA" w:rsidRPr="00BF52F4" w14:paraId="1258AA72" w14:textId="77777777" w:rsidTr="00CF14BA">
        <w:trPr>
          <w:trHeight w:val="137"/>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2D4DACA0" w14:textId="77777777" w:rsidR="00CF14BA" w:rsidRPr="00BF52F4" w:rsidRDefault="00CF14BA" w:rsidP="00DB5D9C">
            <w:pPr>
              <w:pStyle w:val="Tabletext0"/>
              <w:rPr>
                <w:b/>
                <w:kern w:val="0"/>
              </w:rPr>
            </w:pPr>
            <w:r w:rsidRPr="00BF52F4">
              <w:rPr>
                <w:b/>
                <w:kern w:val="0"/>
              </w:rPr>
              <w:t>Important identified risks</w:t>
            </w:r>
          </w:p>
        </w:tc>
        <w:tc>
          <w:tcPr>
            <w:tcW w:w="1828" w:type="pct"/>
          </w:tcPr>
          <w:p w14:paraId="17E43285"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Eyelid ptosis</w:t>
            </w:r>
          </w:p>
        </w:tc>
        <w:tc>
          <w:tcPr>
            <w:tcW w:w="516" w:type="pct"/>
          </w:tcPr>
          <w:p w14:paraId="2872DB3B"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595121C7"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sym w:font="Wingdings" w:char="F0FC"/>
            </w:r>
            <w:r w:rsidRPr="00144EFE">
              <w:rPr>
                <w:kern w:val="0"/>
              </w:rPr>
              <w:t>*</w:t>
            </w:r>
          </w:p>
        </w:tc>
        <w:tc>
          <w:tcPr>
            <w:tcW w:w="516" w:type="pct"/>
          </w:tcPr>
          <w:p w14:paraId="1889A3BD"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735B5855"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t>–</w:t>
            </w:r>
          </w:p>
        </w:tc>
      </w:tr>
      <w:tr w:rsidR="00CF14BA" w:rsidRPr="00BF52F4" w14:paraId="7AFB5833" w14:textId="77777777" w:rsidTr="00CF14BA">
        <w:trPr>
          <w:trHeight w:val="94"/>
        </w:trPr>
        <w:tc>
          <w:tcPr>
            <w:cnfStyle w:val="001000000000" w:firstRow="0" w:lastRow="0" w:firstColumn="1" w:lastColumn="0" w:oddVBand="0" w:evenVBand="0" w:oddHBand="0" w:evenHBand="0" w:firstRowFirstColumn="0" w:firstRowLastColumn="0" w:lastRowFirstColumn="0" w:lastRowLastColumn="0"/>
            <w:tcW w:w="887" w:type="pct"/>
            <w:vMerge/>
          </w:tcPr>
          <w:p w14:paraId="6E8F8ABD" w14:textId="77777777" w:rsidR="00CF14BA" w:rsidRPr="00BF52F4" w:rsidRDefault="00CF14BA" w:rsidP="00DB5D9C">
            <w:pPr>
              <w:pStyle w:val="Tabletext0"/>
              <w:rPr>
                <w:b/>
                <w:kern w:val="0"/>
              </w:rPr>
            </w:pPr>
          </w:p>
        </w:tc>
        <w:tc>
          <w:tcPr>
            <w:tcW w:w="1828" w:type="pct"/>
          </w:tcPr>
          <w:p w14:paraId="13CA5EC3"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Immunogenicity</w:t>
            </w:r>
          </w:p>
        </w:tc>
        <w:tc>
          <w:tcPr>
            <w:tcW w:w="516" w:type="pct"/>
          </w:tcPr>
          <w:p w14:paraId="55A21A1B"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46D071A6"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t>–</w:t>
            </w:r>
          </w:p>
        </w:tc>
        <w:tc>
          <w:tcPr>
            <w:tcW w:w="516" w:type="pct"/>
          </w:tcPr>
          <w:p w14:paraId="45A4C01A"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5C6A7445"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r>
      <w:tr w:rsidR="00CF14BA" w:rsidRPr="00BF52F4" w14:paraId="133FFADF" w14:textId="77777777" w:rsidTr="00CF14BA">
        <w:trPr>
          <w:trHeight w:val="187"/>
        </w:trPr>
        <w:tc>
          <w:tcPr>
            <w:cnfStyle w:val="001000000000" w:firstRow="0" w:lastRow="0" w:firstColumn="1" w:lastColumn="0" w:oddVBand="0" w:evenVBand="0" w:oddHBand="0" w:evenHBand="0" w:firstRowFirstColumn="0" w:firstRowLastColumn="0" w:lastRowFirstColumn="0" w:lastRowLastColumn="0"/>
            <w:tcW w:w="887" w:type="pct"/>
            <w:vMerge/>
          </w:tcPr>
          <w:p w14:paraId="17739444" w14:textId="77777777" w:rsidR="00CF14BA" w:rsidRPr="00BF52F4" w:rsidRDefault="00CF14BA" w:rsidP="00DB5D9C">
            <w:pPr>
              <w:pStyle w:val="Tabletext0"/>
              <w:rPr>
                <w:b/>
                <w:kern w:val="0"/>
              </w:rPr>
            </w:pPr>
          </w:p>
        </w:tc>
        <w:tc>
          <w:tcPr>
            <w:tcW w:w="1828" w:type="pct"/>
          </w:tcPr>
          <w:p w14:paraId="480BB25E"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Distant spread of toxin</w:t>
            </w:r>
          </w:p>
        </w:tc>
        <w:tc>
          <w:tcPr>
            <w:tcW w:w="516" w:type="pct"/>
          </w:tcPr>
          <w:p w14:paraId="03C6ACCC"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sym w:font="Wingdings" w:char="F0FC"/>
            </w:r>
          </w:p>
        </w:tc>
        <w:tc>
          <w:tcPr>
            <w:tcW w:w="626" w:type="pct"/>
          </w:tcPr>
          <w:p w14:paraId="77DFD01E"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sym w:font="Wingdings" w:char="F0FC"/>
            </w:r>
            <w:r w:rsidRPr="00144EFE">
              <w:rPr>
                <w:kern w:val="0"/>
              </w:rPr>
              <w:t>*</w:t>
            </w:r>
          </w:p>
        </w:tc>
        <w:tc>
          <w:tcPr>
            <w:tcW w:w="516" w:type="pct"/>
          </w:tcPr>
          <w:p w14:paraId="60401013"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sym w:font="Wingdings" w:char="F0FC"/>
            </w:r>
          </w:p>
        </w:tc>
        <w:tc>
          <w:tcPr>
            <w:tcW w:w="626" w:type="pct"/>
          </w:tcPr>
          <w:p w14:paraId="14B58870"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t>–</w:t>
            </w:r>
          </w:p>
        </w:tc>
      </w:tr>
      <w:tr w:rsidR="00CF14BA" w:rsidRPr="00BF52F4" w14:paraId="4C27666C" w14:textId="77777777" w:rsidTr="00CF14BA">
        <w:trPr>
          <w:trHeight w:val="187"/>
        </w:trPr>
        <w:tc>
          <w:tcPr>
            <w:cnfStyle w:val="001000000000" w:firstRow="0" w:lastRow="0" w:firstColumn="1" w:lastColumn="0" w:oddVBand="0" w:evenVBand="0" w:oddHBand="0" w:evenHBand="0" w:firstRowFirstColumn="0" w:firstRowLastColumn="0" w:lastRowFirstColumn="0" w:lastRowLastColumn="0"/>
            <w:tcW w:w="887" w:type="pct"/>
            <w:vMerge/>
          </w:tcPr>
          <w:p w14:paraId="1887E9BF" w14:textId="77777777" w:rsidR="00CF14BA" w:rsidRPr="00BF52F4" w:rsidRDefault="00CF14BA" w:rsidP="00DB5D9C">
            <w:pPr>
              <w:pStyle w:val="Tabletext0"/>
              <w:rPr>
                <w:b/>
                <w:kern w:val="0"/>
              </w:rPr>
            </w:pPr>
          </w:p>
        </w:tc>
        <w:tc>
          <w:tcPr>
            <w:tcW w:w="1828" w:type="pct"/>
          </w:tcPr>
          <w:p w14:paraId="311F08B9"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Development of or exacerbation of neuromuscular disorders</w:t>
            </w:r>
          </w:p>
        </w:tc>
        <w:tc>
          <w:tcPr>
            <w:tcW w:w="516" w:type="pct"/>
          </w:tcPr>
          <w:p w14:paraId="0E9E6DDD"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sym w:font="Wingdings" w:char="F0FC"/>
            </w:r>
          </w:p>
        </w:tc>
        <w:tc>
          <w:tcPr>
            <w:tcW w:w="626" w:type="pct"/>
          </w:tcPr>
          <w:p w14:paraId="6EE963CA"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c>
          <w:tcPr>
            <w:tcW w:w="516" w:type="pct"/>
          </w:tcPr>
          <w:p w14:paraId="0AA6388B"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sym w:font="Wingdings" w:char="F0FC"/>
            </w:r>
          </w:p>
        </w:tc>
        <w:tc>
          <w:tcPr>
            <w:tcW w:w="626" w:type="pct"/>
          </w:tcPr>
          <w:p w14:paraId="25D3DF39"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144EFE">
              <w:rPr>
                <w:rFonts w:eastAsia="Cambria"/>
                <w:kern w:val="0"/>
              </w:rPr>
              <w:t>–</w:t>
            </w:r>
          </w:p>
        </w:tc>
      </w:tr>
      <w:tr w:rsidR="00CF14BA" w:rsidRPr="00BF52F4" w14:paraId="0E34BE32" w14:textId="77777777" w:rsidTr="00CF14BA">
        <w:trPr>
          <w:trHeight w:val="187"/>
        </w:trPr>
        <w:tc>
          <w:tcPr>
            <w:cnfStyle w:val="001000000000" w:firstRow="0" w:lastRow="0" w:firstColumn="1" w:lastColumn="0" w:oddVBand="0" w:evenVBand="0" w:oddHBand="0" w:evenHBand="0" w:firstRowFirstColumn="0" w:firstRowLastColumn="0" w:lastRowFirstColumn="0" w:lastRowLastColumn="0"/>
            <w:tcW w:w="887" w:type="pct"/>
            <w:vMerge/>
          </w:tcPr>
          <w:p w14:paraId="1E911979" w14:textId="77777777" w:rsidR="00CF14BA" w:rsidRPr="00BF52F4" w:rsidRDefault="00CF14BA" w:rsidP="00DB5D9C">
            <w:pPr>
              <w:pStyle w:val="Tabletext0"/>
              <w:rPr>
                <w:b/>
                <w:kern w:val="0"/>
              </w:rPr>
            </w:pPr>
          </w:p>
        </w:tc>
        <w:tc>
          <w:tcPr>
            <w:tcW w:w="1828" w:type="pct"/>
          </w:tcPr>
          <w:p w14:paraId="3F8B0170"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Hypersensitivity</w:t>
            </w:r>
          </w:p>
        </w:tc>
        <w:tc>
          <w:tcPr>
            <w:tcW w:w="516" w:type="pct"/>
          </w:tcPr>
          <w:p w14:paraId="52C2EE4B"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1B3C8D76"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c>
          <w:tcPr>
            <w:tcW w:w="516" w:type="pct"/>
          </w:tcPr>
          <w:p w14:paraId="7D0BB604"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4552A29A"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t>–</w:t>
            </w:r>
          </w:p>
        </w:tc>
      </w:tr>
      <w:tr w:rsidR="00CF14BA" w:rsidRPr="00BF52F4" w14:paraId="5B9521BC" w14:textId="77777777" w:rsidTr="00CF14BA">
        <w:trPr>
          <w:trHeight w:val="159"/>
        </w:trPr>
        <w:tc>
          <w:tcPr>
            <w:cnfStyle w:val="001000000000" w:firstRow="0" w:lastRow="0" w:firstColumn="1" w:lastColumn="0" w:oddVBand="0" w:evenVBand="0" w:oddHBand="0" w:evenHBand="0" w:firstRowFirstColumn="0" w:firstRowLastColumn="0" w:lastRowFirstColumn="0" w:lastRowLastColumn="0"/>
            <w:tcW w:w="887" w:type="pct"/>
            <w:vMerge w:val="restart"/>
          </w:tcPr>
          <w:p w14:paraId="18714C3F" w14:textId="77777777" w:rsidR="00CF14BA" w:rsidRPr="00BF52F4" w:rsidRDefault="00CF14BA" w:rsidP="00DB5D9C">
            <w:pPr>
              <w:pStyle w:val="Tabletext0"/>
              <w:rPr>
                <w:b/>
                <w:kern w:val="0"/>
              </w:rPr>
            </w:pPr>
            <w:r w:rsidRPr="00BF52F4">
              <w:rPr>
                <w:b/>
                <w:kern w:val="0"/>
              </w:rPr>
              <w:t>Important potential risks</w:t>
            </w:r>
          </w:p>
        </w:tc>
        <w:tc>
          <w:tcPr>
            <w:tcW w:w="1828" w:type="pct"/>
          </w:tcPr>
          <w:p w14:paraId="4D86DCAF"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Incorrect drug administration due to 100U vial</w:t>
            </w:r>
          </w:p>
        </w:tc>
        <w:tc>
          <w:tcPr>
            <w:tcW w:w="516" w:type="pct"/>
          </w:tcPr>
          <w:p w14:paraId="49CD1092"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5B019990"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c>
          <w:tcPr>
            <w:tcW w:w="516" w:type="pct"/>
          </w:tcPr>
          <w:p w14:paraId="676D120F"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5E5AC71A"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r>
      <w:tr w:rsidR="00CF14BA" w:rsidRPr="00BF52F4" w14:paraId="59CB9177" w14:textId="77777777" w:rsidTr="00CF14BA">
        <w:trPr>
          <w:trHeight w:val="122"/>
        </w:trPr>
        <w:tc>
          <w:tcPr>
            <w:cnfStyle w:val="001000000000" w:firstRow="0" w:lastRow="0" w:firstColumn="1" w:lastColumn="0" w:oddVBand="0" w:evenVBand="0" w:oddHBand="0" w:evenHBand="0" w:firstRowFirstColumn="0" w:firstRowLastColumn="0" w:lastRowFirstColumn="0" w:lastRowLastColumn="0"/>
            <w:tcW w:w="887" w:type="pct"/>
            <w:vMerge/>
          </w:tcPr>
          <w:p w14:paraId="033C1BB7" w14:textId="77777777" w:rsidR="00CF14BA" w:rsidRPr="00BF52F4" w:rsidRDefault="00CF14BA" w:rsidP="00DB5D9C">
            <w:pPr>
              <w:pStyle w:val="Tabletext0"/>
              <w:rPr>
                <w:b/>
                <w:kern w:val="0"/>
              </w:rPr>
            </w:pPr>
          </w:p>
        </w:tc>
        <w:tc>
          <w:tcPr>
            <w:tcW w:w="1828" w:type="pct"/>
          </w:tcPr>
          <w:p w14:paraId="33FFFCF8"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Long-term use</w:t>
            </w:r>
          </w:p>
        </w:tc>
        <w:tc>
          <w:tcPr>
            <w:tcW w:w="516" w:type="pct"/>
          </w:tcPr>
          <w:p w14:paraId="7E98867E"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3C6C7CCB"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sym w:font="Wingdings" w:char="F0FC"/>
            </w:r>
            <w:r w:rsidRPr="00144EFE">
              <w:rPr>
                <w:kern w:val="0"/>
              </w:rPr>
              <w:t>*</w:t>
            </w:r>
          </w:p>
        </w:tc>
        <w:tc>
          <w:tcPr>
            <w:tcW w:w="516" w:type="pct"/>
          </w:tcPr>
          <w:p w14:paraId="28FC5CAD"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747C2605"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r>
      <w:tr w:rsidR="00CF14BA" w:rsidRPr="00BF52F4" w14:paraId="416EEB87" w14:textId="77777777" w:rsidTr="00CF14BA">
        <w:trPr>
          <w:trHeight w:val="178"/>
        </w:trPr>
        <w:tc>
          <w:tcPr>
            <w:cnfStyle w:val="001000000000" w:firstRow="0" w:lastRow="0" w:firstColumn="1" w:lastColumn="0" w:oddVBand="0" w:evenVBand="0" w:oddHBand="0" w:evenHBand="0" w:firstRowFirstColumn="0" w:firstRowLastColumn="0" w:lastRowFirstColumn="0" w:lastRowLastColumn="0"/>
            <w:tcW w:w="887" w:type="pct"/>
          </w:tcPr>
          <w:p w14:paraId="7198619D" w14:textId="77777777" w:rsidR="00CF14BA" w:rsidRPr="00BF52F4" w:rsidRDefault="00CF14BA" w:rsidP="00DB5D9C">
            <w:pPr>
              <w:pStyle w:val="Tabletext0"/>
              <w:rPr>
                <w:b/>
                <w:kern w:val="0"/>
              </w:rPr>
            </w:pPr>
            <w:r w:rsidRPr="00BF52F4">
              <w:rPr>
                <w:b/>
                <w:kern w:val="0"/>
              </w:rPr>
              <w:t>Missing information</w:t>
            </w:r>
          </w:p>
        </w:tc>
        <w:tc>
          <w:tcPr>
            <w:tcW w:w="1828" w:type="pct"/>
          </w:tcPr>
          <w:p w14:paraId="7DE5A6A3" w14:textId="77777777" w:rsidR="00CF14BA" w:rsidRPr="00BF52F4" w:rsidRDefault="00CF14BA" w:rsidP="00DB5D9C">
            <w:pPr>
              <w:pStyle w:val="Tabletext0"/>
              <w:cnfStyle w:val="000000000000" w:firstRow="0" w:lastRow="0" w:firstColumn="0" w:lastColumn="0" w:oddVBand="0" w:evenVBand="0" w:oddHBand="0" w:evenHBand="0" w:firstRowFirstColumn="0" w:firstRowLastColumn="0" w:lastRowFirstColumn="0" w:lastRowLastColumn="0"/>
              <w:rPr>
                <w:kern w:val="0"/>
              </w:rPr>
            </w:pPr>
            <w:r w:rsidRPr="00DC3185">
              <w:rPr>
                <w:kern w:val="0"/>
              </w:rPr>
              <w:t>Use during pregnancy and lactatio</w:t>
            </w:r>
            <w:r>
              <w:rPr>
                <w:kern w:val="0"/>
              </w:rPr>
              <w:t>n</w:t>
            </w:r>
          </w:p>
        </w:tc>
        <w:tc>
          <w:tcPr>
            <w:tcW w:w="516" w:type="pct"/>
          </w:tcPr>
          <w:p w14:paraId="6E36BCEA"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44FA4708"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c>
          <w:tcPr>
            <w:tcW w:w="516" w:type="pct"/>
          </w:tcPr>
          <w:p w14:paraId="5083D8A5"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rFonts w:eastAsia="Cambria"/>
                <w:kern w:val="0"/>
              </w:rPr>
              <w:sym w:font="Wingdings" w:char="F0FC"/>
            </w:r>
          </w:p>
        </w:tc>
        <w:tc>
          <w:tcPr>
            <w:tcW w:w="626" w:type="pct"/>
          </w:tcPr>
          <w:p w14:paraId="6D1B0A81" w14:textId="77777777" w:rsidR="00CF14BA" w:rsidRPr="00144EFE" w:rsidRDefault="00CF14BA" w:rsidP="00DB5D9C">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4EFE">
              <w:rPr>
                <w:kern w:val="0"/>
              </w:rPr>
              <w:t>–</w:t>
            </w:r>
          </w:p>
        </w:tc>
      </w:tr>
    </w:tbl>
    <w:bookmarkEnd w:id="75"/>
    <w:p w14:paraId="72C5D240" w14:textId="77777777" w:rsidR="00CF14BA" w:rsidRPr="00144EFE" w:rsidRDefault="00CF14BA" w:rsidP="00CF14BA">
      <w:pPr>
        <w:pStyle w:val="TableDescription"/>
      </w:pPr>
      <w:r w:rsidRPr="00144EFE">
        <w:t>*Non-interventional PASS</w:t>
      </w:r>
    </w:p>
    <w:p w14:paraId="49376EDC" w14:textId="0105350E" w:rsidR="00CF14BA" w:rsidRPr="00CF14BA" w:rsidRDefault="00CF14BA" w:rsidP="00CF14BA">
      <w:r w:rsidRPr="00CF14BA">
        <w:t>The proposed summary of safety concerns in the ASA aligns with the EU</w:t>
      </w:r>
      <w:r w:rsidR="00407111">
        <w:t>-</w:t>
      </w:r>
      <w:r w:rsidRPr="00CF14BA">
        <w:t>RMP and are similar to those of other botulinum products. The summary of safety concerns is considered acceptable from an RMP perspective.</w:t>
      </w:r>
    </w:p>
    <w:p w14:paraId="6EA4D133" w14:textId="5CB96BF8" w:rsidR="00CF14BA" w:rsidRPr="00CF14BA" w:rsidRDefault="00CF14BA" w:rsidP="00CF14BA">
      <w:r w:rsidRPr="00CF14BA">
        <w:t xml:space="preserve">The </w:t>
      </w:r>
      <w:r>
        <w:t>s</w:t>
      </w:r>
      <w:r w:rsidRPr="00CF14BA">
        <w:t>ponsor has proposed routine pharmacovigilance for all safety concerns. Additional pharmacovigilance activities in the form of a non-interventional PASS have been proposed for eyelid ptosis, distant spread of toxin and long-term use. It is noted that a 50 unit vial is being developed and will be marketed in the EU to address the important potential risk of ‘incorrect drug administration due to 100</w:t>
      </w:r>
      <w:r>
        <w:t xml:space="preserve"> </w:t>
      </w:r>
      <w:r w:rsidR="00510D7B">
        <w:t>u</w:t>
      </w:r>
      <w:r w:rsidR="00407111">
        <w:t xml:space="preserve">nit </w:t>
      </w:r>
      <w:r w:rsidRPr="00CF14BA">
        <w:t xml:space="preserve">vial’. This is raised to the attention of the </w:t>
      </w:r>
      <w:r>
        <w:t>D</w:t>
      </w:r>
      <w:r w:rsidRPr="00CF14BA">
        <w:t>elegate. The pharmacovigilance plan is acceptable from an RMP perspective.</w:t>
      </w:r>
    </w:p>
    <w:p w14:paraId="43FA8537" w14:textId="64184BF7" w:rsidR="00CF14BA" w:rsidRPr="00CF14BA" w:rsidRDefault="00CF14BA" w:rsidP="00CF14BA">
      <w:r w:rsidRPr="00CF14BA">
        <w:t xml:space="preserve">The </w:t>
      </w:r>
      <w:r>
        <w:t>s</w:t>
      </w:r>
      <w:r w:rsidRPr="00CF14BA">
        <w:t>ponsor has proposed routine risk minimisation activities only for all safety concerns. Additional risk minimisation activities are not proposed. The risk minimisation plan aligns with the EU-RMP and with other similar products approved in Australia. The risk minimisation plan is acceptable.</w:t>
      </w:r>
    </w:p>
    <w:p w14:paraId="093F03FD" w14:textId="67FEF563" w:rsidR="00407111" w:rsidRPr="00407111" w:rsidRDefault="00407111" w:rsidP="00407111">
      <w:r w:rsidRPr="00407111">
        <w:t xml:space="preserve">The RMP </w:t>
      </w:r>
      <w:r>
        <w:t>e</w:t>
      </w:r>
      <w:r w:rsidRPr="00407111">
        <w:t xml:space="preserve">valuator </w:t>
      </w:r>
      <w:r>
        <w:t xml:space="preserve">has </w:t>
      </w:r>
      <w:r w:rsidRPr="00407111">
        <w:t>raised a number of issues to Delegate:</w:t>
      </w:r>
    </w:p>
    <w:p w14:paraId="5188AD6B" w14:textId="55EC1529" w:rsidR="00407111" w:rsidRDefault="00407111" w:rsidP="00407111">
      <w:pPr>
        <w:pStyle w:val="ListBullet"/>
      </w:pPr>
      <w:r>
        <w:t>The report considered the specific risk related to the only vial size planned for marketing in Australia currently being the 100 unit vial. The risks include the utilisation of a single vial for multiple patients and the use for non-registered indications (that would make use of a larger administered dose). Therefore the Australian safety specification should retain the important potential risk of ‘incorrect drug administration to 100 unit vial’. A 50 unit vial is planned for development and commercialisation in Europe. The RPM evaluator has raised this concern to the Delegate. The Delegate is satisfied that the 100 unit vial is acceptable.</w:t>
      </w:r>
    </w:p>
    <w:p w14:paraId="0371C32B" w14:textId="49913211" w:rsidR="00407111" w:rsidRDefault="00407111" w:rsidP="00407111">
      <w:pPr>
        <w:pStyle w:val="ListBullet"/>
      </w:pPr>
      <w:r>
        <w:t>The proposed PI may be inadequate with regard to the risk of ‘eyelid ptosis’ on the basis that it does not provide advice on minimising this issue (whereas the EU SmPC is more detailed). The Delegate will request the sponsor to provide more information in the PI.</w:t>
      </w:r>
    </w:p>
    <w:p w14:paraId="3E5909F6" w14:textId="62690D47" w:rsidR="00407111" w:rsidRDefault="00407111" w:rsidP="00407111">
      <w:pPr>
        <w:pStyle w:val="ListBullet"/>
      </w:pPr>
      <w:r>
        <w:t>The risk of ‘neuromuscular disorders’ has not been adequately conveyed in the PI. The Delegate considers it reasonably covered under ‘Contraindications’ and ‘Special Warnings and Precautions for Use’.</w:t>
      </w:r>
    </w:p>
    <w:p w14:paraId="78DFE4D3" w14:textId="561A698F" w:rsidR="00407111" w:rsidRPr="00BC3186" w:rsidRDefault="00407111" w:rsidP="00407111">
      <w:pPr>
        <w:pStyle w:val="ListBullet"/>
      </w:pPr>
      <w:r>
        <w:t xml:space="preserve">The sponsor has referred to spasticity and cervical dystonia in relation to ‘spread of toxin effect’, neither of which are approved uses for Nuceiva. This has been escalated to the Delegate who considers the paragraph ‘Spread of Toxin Effect’ to be a general class discussion that is appropriate. </w:t>
      </w:r>
    </w:p>
    <w:p w14:paraId="0A910DDC" w14:textId="3BFDC76E" w:rsidR="00CF14BA" w:rsidRDefault="00407111" w:rsidP="00407111">
      <w:pPr>
        <w:pStyle w:val="Heading4"/>
      </w:pPr>
      <w:bookmarkStart w:id="76" w:name="_Toc143693811"/>
      <w:r>
        <w:t>Proposed wording of condition of registration</w:t>
      </w:r>
      <w:bookmarkEnd w:id="76"/>
    </w:p>
    <w:p w14:paraId="3EC02898" w14:textId="47658D15" w:rsidR="00407111" w:rsidRDefault="00407111" w:rsidP="00407111">
      <w:pPr>
        <w:pStyle w:val="Standard"/>
        <w:numPr>
          <w:ilvl w:val="0"/>
          <w:numId w:val="14"/>
        </w:numPr>
        <w:ind w:right="284"/>
        <w:rPr>
          <w:kern w:val="0"/>
          <w:sz w:val="22"/>
          <w:szCs w:val="22"/>
        </w:rPr>
      </w:pPr>
      <w:r w:rsidRPr="00BC3186">
        <w:rPr>
          <w:kern w:val="0"/>
          <w:sz w:val="22"/>
          <w:szCs w:val="22"/>
        </w:rPr>
        <w:t>The N</w:t>
      </w:r>
      <w:r>
        <w:rPr>
          <w:kern w:val="0"/>
          <w:sz w:val="22"/>
          <w:szCs w:val="22"/>
        </w:rPr>
        <w:t>uceiva</w:t>
      </w:r>
      <w:r w:rsidRPr="00BC3186">
        <w:rPr>
          <w:kern w:val="0"/>
          <w:sz w:val="22"/>
          <w:szCs w:val="22"/>
        </w:rPr>
        <w:t xml:space="preserve"> EU-RMP (version 3.1, dated 4 February 2021, </w:t>
      </w:r>
      <w:r>
        <w:rPr>
          <w:kern w:val="0"/>
          <w:sz w:val="22"/>
          <w:szCs w:val="22"/>
        </w:rPr>
        <w:t>DLP</w:t>
      </w:r>
      <w:r w:rsidRPr="00BC3186">
        <w:rPr>
          <w:kern w:val="0"/>
          <w:sz w:val="22"/>
          <w:szCs w:val="22"/>
        </w:rPr>
        <w:t xml:space="preserve"> 27 March 2017), with </w:t>
      </w:r>
      <w:r>
        <w:rPr>
          <w:kern w:val="0"/>
          <w:sz w:val="22"/>
          <w:szCs w:val="22"/>
        </w:rPr>
        <w:t>ASA</w:t>
      </w:r>
      <w:r w:rsidRPr="00BC3186">
        <w:rPr>
          <w:kern w:val="0"/>
          <w:sz w:val="22"/>
          <w:szCs w:val="22"/>
        </w:rPr>
        <w:t xml:space="preserve"> (version 1.1, dated 19 October 2021), included with </w:t>
      </w:r>
      <w:r>
        <w:rPr>
          <w:kern w:val="0"/>
          <w:sz w:val="22"/>
          <w:szCs w:val="22"/>
        </w:rPr>
        <w:t>S</w:t>
      </w:r>
      <w:r w:rsidRPr="00BC3186">
        <w:rPr>
          <w:kern w:val="0"/>
          <w:sz w:val="22"/>
          <w:szCs w:val="22"/>
        </w:rPr>
        <w:t>ubmission PM-2021-05441-1-1, to be revised to the satisfaction of the TGA, and any subsequent revisions, will be implemented in Australia.</w:t>
      </w:r>
    </w:p>
    <w:p w14:paraId="6CE21D84" w14:textId="77777777" w:rsidR="00407111" w:rsidRPr="00BC3186" w:rsidRDefault="00407111" w:rsidP="00407111">
      <w:pPr>
        <w:pStyle w:val="Standard"/>
        <w:numPr>
          <w:ilvl w:val="0"/>
          <w:numId w:val="14"/>
        </w:numPr>
        <w:ind w:right="284"/>
        <w:rPr>
          <w:kern w:val="0"/>
          <w:sz w:val="22"/>
          <w:szCs w:val="22"/>
        </w:rPr>
      </w:pPr>
      <w:r w:rsidRPr="00BC3186">
        <w:rPr>
          <w:kern w:val="0"/>
          <w:sz w:val="22"/>
          <w:szCs w:val="22"/>
        </w:rPr>
        <w:lastRenderedPageBreak/>
        <w:t xml:space="preserve">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39934A0A" w14:textId="1EA69B4E" w:rsidR="00407111" w:rsidRPr="00BC3186" w:rsidRDefault="00407111" w:rsidP="00407111">
      <w:pPr>
        <w:pStyle w:val="ListParagraph"/>
        <w:numPr>
          <w:ilvl w:val="0"/>
          <w:numId w:val="14"/>
        </w:numPr>
        <w:rPr>
          <w:szCs w:val="22"/>
        </w:rPr>
      </w:pPr>
      <w:r w:rsidRPr="00BC3186">
        <w:rPr>
          <w:szCs w:val="22"/>
        </w:rPr>
        <w:t>N</w:t>
      </w:r>
      <w:r>
        <w:rPr>
          <w:szCs w:val="22"/>
        </w:rPr>
        <w:t>uceiva</w:t>
      </w:r>
      <w:r w:rsidRPr="00BC3186">
        <w:rPr>
          <w:szCs w:val="22"/>
        </w:rPr>
        <w:t xml:space="preserve"> (prabotulinumtoxinA) is to be included in the Black Triangle Scheme. The PI and CMI for </w:t>
      </w:r>
      <w:r w:rsidR="00A35E5A">
        <w:rPr>
          <w:szCs w:val="22"/>
        </w:rPr>
        <w:t>Nuceiva</w:t>
      </w:r>
      <w:r w:rsidRPr="00BC3186">
        <w:rPr>
          <w:szCs w:val="22"/>
        </w:rPr>
        <w:t xml:space="preserve"> must include the black triangle symbol and mandatory accompanying text for five years, which starts from the date that the </w:t>
      </w:r>
      <w:r w:rsidR="00A35E5A">
        <w:rPr>
          <w:szCs w:val="22"/>
        </w:rPr>
        <w:t>s</w:t>
      </w:r>
      <w:r w:rsidRPr="00BC3186">
        <w:rPr>
          <w:szCs w:val="22"/>
        </w:rPr>
        <w:t>ponsor notifies the TGA of supply of the product.</w:t>
      </w:r>
    </w:p>
    <w:p w14:paraId="74A4F87F" w14:textId="77777777" w:rsidR="00C22214" w:rsidRDefault="00C22214" w:rsidP="00C22214">
      <w:pPr>
        <w:pStyle w:val="Heading3"/>
      </w:pPr>
      <w:bookmarkStart w:id="77" w:name="_Toc103679299"/>
      <w:bookmarkStart w:id="78" w:name="_Toc143693812"/>
      <w:r>
        <w:t>Risk-benefit analysis</w:t>
      </w:r>
      <w:bookmarkEnd w:id="72"/>
      <w:bookmarkEnd w:id="73"/>
      <w:bookmarkEnd w:id="77"/>
      <w:bookmarkEnd w:id="78"/>
    </w:p>
    <w:p w14:paraId="77DE2655" w14:textId="77777777" w:rsidR="00C22214" w:rsidRDefault="00C22214" w:rsidP="00C22214">
      <w:pPr>
        <w:pStyle w:val="Heading4"/>
      </w:pPr>
      <w:bookmarkStart w:id="79" w:name="_Toc98931932"/>
      <w:bookmarkStart w:id="80" w:name="_Toc143693813"/>
      <w:r>
        <w:t>Delegate’s considerations</w:t>
      </w:r>
      <w:bookmarkEnd w:id="79"/>
      <w:bookmarkEnd w:id="80"/>
    </w:p>
    <w:p w14:paraId="17C5B515" w14:textId="488B4980" w:rsidR="00407111" w:rsidRDefault="00C85177" w:rsidP="00407111">
      <w:r>
        <w:t>The quality evaluator</w:t>
      </w:r>
      <w:r w:rsidR="00407111">
        <w:t xml:space="preserve"> is recommending approval pending the resolution of the issue raised by the Microbiology evaluator.</w:t>
      </w:r>
      <w:r w:rsidR="003A4EC1">
        <w:fldChar w:fldCharType="begin"/>
      </w:r>
      <w:r w:rsidR="003A4EC1">
        <w:instrText xml:space="preserve"> NOTEREF _Ref144208589 \f \h </w:instrText>
      </w:r>
      <w:r w:rsidR="003A4EC1">
        <w:fldChar w:fldCharType="separate"/>
      </w:r>
      <w:r w:rsidR="003A4EC1" w:rsidRPr="002A6784">
        <w:rPr>
          <w:rStyle w:val="FootnoteReference"/>
        </w:rPr>
        <w:t>4</w:t>
      </w:r>
      <w:r w:rsidR="003A4EC1">
        <w:fldChar w:fldCharType="end"/>
      </w:r>
      <w:r w:rsidR="00407111">
        <w:t xml:space="preserve"> </w:t>
      </w:r>
      <w:r>
        <w:t>The nonclinical, clinical</w:t>
      </w:r>
      <w:r w:rsidR="00407111">
        <w:t xml:space="preserve"> and RMP evaluators are recommending approval. </w:t>
      </w:r>
    </w:p>
    <w:p w14:paraId="16C0934A" w14:textId="6924CCC5" w:rsidR="00407111" w:rsidRDefault="00407111" w:rsidP="00407111">
      <w:r>
        <w:t>The early clinical development program is appropriate as it is sensible not to conduct healthy volunteer clinical studies with botulinum toxin. This is on the basis that pre-existing knowledge (</w:t>
      </w:r>
      <w:proofErr w:type="spellStart"/>
      <w:r>
        <w:t>non clinical</w:t>
      </w:r>
      <w:proofErr w:type="spellEnd"/>
      <w:r>
        <w:t xml:space="preserve"> and clinical studies based on comparability of dosing between B</w:t>
      </w:r>
      <w:r w:rsidR="00C85177">
        <w:t>otox</w:t>
      </w:r>
      <w:r>
        <w:t xml:space="preserve"> and N</w:t>
      </w:r>
      <w:r w:rsidR="00C85177">
        <w:t>uceiva</w:t>
      </w:r>
      <w:r>
        <w:t xml:space="preserve"> plus the long standing clinical experience using B</w:t>
      </w:r>
      <w:r w:rsidR="00C85177">
        <w:t>otox</w:t>
      </w:r>
      <w:r>
        <w:t xml:space="preserve"> for glabellar lines) permitted a high degree of certainty about the appropriate clinical dose. In addition, it is logical to conduct trials only in those with glabellar lines in order to observe the pharmacodynamic/clinical effect, especially when it is not possible to measure peripheral drug concentration (</w:t>
      </w:r>
      <w:r w:rsidR="00C85177">
        <w:t>that is</w:t>
      </w:r>
      <w:r>
        <w:t xml:space="preserve"> limited data would be obtained from a healthy volunteer trial).</w:t>
      </w:r>
    </w:p>
    <w:p w14:paraId="74DF3B3F" w14:textId="2D47DFE6" w:rsidR="00407111" w:rsidRDefault="00407111" w:rsidP="00407111">
      <w:r>
        <w:t xml:space="preserve">The primary efficacy outcome uses a validated scale (GLS) and that is well suited to establishing efficacy for regulatory purposes. The magnitude of benefit required for </w:t>
      </w:r>
      <w:r w:rsidR="00C85177">
        <w:t xml:space="preserve">Studies </w:t>
      </w:r>
      <w:r>
        <w:t>EV-001 and EV-002 is highly likely to be clinically meaningful (</w:t>
      </w:r>
      <w:r w:rsidR="00C85177">
        <w:t>that is</w:t>
      </w:r>
      <w:r>
        <w:t xml:space="preserve"> going from severe -&gt; mild or none; going from moderate to none; see </w:t>
      </w:r>
      <w:r w:rsidR="00C85177">
        <w:fldChar w:fldCharType="begin"/>
      </w:r>
      <w:r w:rsidR="00C85177">
        <w:instrText xml:space="preserve"> REF _Ref143606336 \h </w:instrText>
      </w:r>
      <w:r w:rsidR="00C85177">
        <w:fldChar w:fldCharType="separate"/>
      </w:r>
      <w:r w:rsidR="005630CE" w:rsidRPr="00355E85">
        <w:t xml:space="preserve">Figure </w:t>
      </w:r>
      <w:r w:rsidR="005630CE">
        <w:rPr>
          <w:noProof/>
        </w:rPr>
        <w:t>2</w:t>
      </w:r>
      <w:r w:rsidR="00C85177">
        <w:fldChar w:fldCharType="end"/>
      </w:r>
      <w:r>
        <w:t>). The primary outcome in</w:t>
      </w:r>
      <w:r w:rsidR="00C85177">
        <w:t xml:space="preserve"> Study</w:t>
      </w:r>
      <w:r>
        <w:t xml:space="preserve"> EVB-003 was less stringent than the other </w:t>
      </w:r>
      <w:r w:rsidR="00C85177">
        <w:t>P</w:t>
      </w:r>
      <w:r>
        <w:t xml:space="preserve">hase </w:t>
      </w:r>
      <w:r w:rsidR="00C85177">
        <w:t>III</w:t>
      </w:r>
      <w:r>
        <w:t xml:space="preserve"> studies due to not requiring agreement between the </w:t>
      </w:r>
      <w:r w:rsidR="00C85177">
        <w:t>i</w:t>
      </w:r>
      <w:r>
        <w:t>nvestigator and the subject on the GLS,</w:t>
      </w:r>
      <w:r w:rsidR="00C85177">
        <w:t xml:space="preserve"> and</w:t>
      </w:r>
      <w:r>
        <w:t xml:space="preserve"> a subject could be moderate (GLS 3) at </w:t>
      </w:r>
      <w:r w:rsidR="00C85177">
        <w:t>B</w:t>
      </w:r>
      <w:r>
        <w:t xml:space="preserve">aseline and mild (GLS 2) at </w:t>
      </w:r>
      <w:r w:rsidR="00C85177">
        <w:t>D</w:t>
      </w:r>
      <w:r>
        <w:t xml:space="preserve">ay 30 and still be considered a responder, despite only dropping 1 point on the GLS. The latter issue is potentially the most significant, as dropping down by a single GLS category can be a difficult assessment to make clinically. This leniency is balanced by a stringency in </w:t>
      </w:r>
      <w:r w:rsidR="00C85177">
        <w:t xml:space="preserve">Study </w:t>
      </w:r>
      <w:r>
        <w:t xml:space="preserve">EV-003 which required psychological distress to be present. Additionally, given that the findings were so comparable across all </w:t>
      </w:r>
      <w:r w:rsidR="00C85177">
        <w:t>three</w:t>
      </w:r>
      <w:r>
        <w:t xml:space="preserve"> studies, the Delegate considers there to be a high degree of confidence in the efficacy of the product to provide clinically meaningful benefits.</w:t>
      </w:r>
    </w:p>
    <w:p w14:paraId="32F0D706" w14:textId="77777777" w:rsidR="00407111" w:rsidRDefault="00407111" w:rsidP="00407111">
      <w:r>
        <w:t>It should also be borne in mind that the endpoints for all studies were agreed to following discussion with major regulatory bodies (FDA and EMA) thus further establishing their acceptability.</w:t>
      </w:r>
    </w:p>
    <w:p w14:paraId="5C75D3D3" w14:textId="4EA58C6D" w:rsidR="00407111" w:rsidRDefault="00407111" w:rsidP="00407111">
      <w:r>
        <w:t xml:space="preserve">This efficacy and clinical benefit should be considered against the safety profile of the drug. The main safety issue appears to be localised unwanted facial muscle paralysis leading to issues such as ptosis. These events were manageable and there was little evidence for more distal toxin spread. There may also be some relatively infrequent localised hypersensitivity reactions. The </w:t>
      </w:r>
      <w:r>
        <w:lastRenderedPageBreak/>
        <w:t xml:space="preserve">multiple dose uncontrolled study also provides evidence of the safety of up to </w:t>
      </w:r>
      <w:r w:rsidR="00C85177">
        <w:t>four</w:t>
      </w:r>
      <w:r>
        <w:t xml:space="preserve"> doses over a </w:t>
      </w:r>
      <w:r w:rsidR="00C85177">
        <w:t>one</w:t>
      </w:r>
      <w:r>
        <w:t xml:space="preserve"> year period. The safety beyond this time has not been specifically addressed in the dossier. It would seem that further doses are likely to be well tolerated if the observable effect of the toxin has ceased (or at least reduced considerably) before retreatment. There are still some unknowns such as whether antidrug antibodies may increase in frequency and even become clinically relevant with repeat dosing. This issue can be addressed through pharmacovigilance. </w:t>
      </w:r>
    </w:p>
    <w:p w14:paraId="2F4C2CE8" w14:textId="53C306B1" w:rsidR="00407111" w:rsidRDefault="00407111" w:rsidP="00407111">
      <w:r>
        <w:t xml:space="preserve">The Delegate notes a discrepancy in indication worldwide with the product restricted to patients </w:t>
      </w:r>
      <w:r w:rsidR="00C85177">
        <w:t>younger than</w:t>
      </w:r>
      <w:r>
        <w:t xml:space="preserve"> 65 years in Canada, Europe and the UK, but not in the US. The US label contains the following statement about geriatric use: </w:t>
      </w:r>
      <w:r w:rsidR="00C85177">
        <w:t>‘</w:t>
      </w:r>
      <w:r>
        <w:t xml:space="preserve">The two clinical trials of </w:t>
      </w:r>
      <w:proofErr w:type="spellStart"/>
      <w:r>
        <w:t>J</w:t>
      </w:r>
      <w:r w:rsidR="00C85177">
        <w:t>euveau</w:t>
      </w:r>
      <w:proofErr w:type="spellEnd"/>
      <w:r>
        <w:t xml:space="preserve"> included 68 subjects age 65 and greater. Although no differences in safety or efficacy were observed between older and younger subjects, clinical studies of </w:t>
      </w:r>
      <w:proofErr w:type="spellStart"/>
      <w:r w:rsidR="00C85177">
        <w:t>Jeuveau</w:t>
      </w:r>
      <w:proofErr w:type="spellEnd"/>
      <w:r>
        <w:t xml:space="preserve"> did not include sufficient numbers of subjects aged 65 and over to determine whether they respond differently from younger subjects.</w:t>
      </w:r>
      <w:r w:rsidR="00C85177">
        <w:t>’</w:t>
      </w:r>
    </w:p>
    <w:p w14:paraId="18637F4C" w14:textId="2D69B24E" w:rsidR="00407111" w:rsidRDefault="00407111" w:rsidP="00407111">
      <w:r>
        <w:t>The non-TGA adopted FDA Guidance</w:t>
      </w:r>
      <w:r w:rsidR="00C85177">
        <w:t>;</w:t>
      </w:r>
      <w:r w:rsidR="00C85177">
        <w:rPr>
          <w:rStyle w:val="FootnoteReference"/>
        </w:rPr>
        <w:footnoteReference w:id="7"/>
      </w:r>
      <w:r w:rsidR="00C85177">
        <w:t xml:space="preserve"> </w:t>
      </w:r>
      <w:r>
        <w:t xml:space="preserve">recommends that </w:t>
      </w:r>
      <w:r w:rsidR="00C85177">
        <w:t>‘</w:t>
      </w:r>
      <w:r>
        <w:t>a sufficient number of subjects 65 years of age and older should be evaluated at the level of exposure (dose and duration) proposed for use to support conclusions regarding drug safety and efficacy in this population</w:t>
      </w:r>
      <w:r w:rsidR="00C85177">
        <w:t>’</w:t>
      </w:r>
      <w:r>
        <w:t xml:space="preserve">. The FDA guidance also refers to the TGA-adopted ICH guidance </w:t>
      </w:r>
      <w:r w:rsidR="00C85177">
        <w:t>‘</w:t>
      </w:r>
      <w:r>
        <w:t>E7 Studies in Support of Special Populations: Geriatrics</w:t>
      </w:r>
      <w:r w:rsidR="00C85177">
        <w:t>’</w:t>
      </w:r>
      <w:r>
        <w:t xml:space="preserve">. This latter document states that </w:t>
      </w:r>
      <w:r w:rsidR="00C85177">
        <w:t>‘</w:t>
      </w:r>
      <w:r>
        <w:t>for drugs used in diseases not unique to, but present in, the elderly a minimum of 100 patients would usually allow detection of clinically important differences</w:t>
      </w:r>
      <w:r w:rsidR="00C85177">
        <w:t>’</w:t>
      </w:r>
      <w:r>
        <w:t>. In summary, the international guidance would suggest around 100 patients over 65 would be required to confirm safety and efficacy.</w:t>
      </w:r>
    </w:p>
    <w:p w14:paraId="3C17573C" w14:textId="4AA9B9C0" w:rsidR="00407111" w:rsidRDefault="00407111" w:rsidP="00407111">
      <w:r>
        <w:t xml:space="preserve">The </w:t>
      </w:r>
      <w:r w:rsidR="00C85177">
        <w:t>P</w:t>
      </w:r>
      <w:r>
        <w:t xml:space="preserve">hase </w:t>
      </w:r>
      <w:r w:rsidR="00C85177">
        <w:t>III</w:t>
      </w:r>
      <w:r>
        <w:t xml:space="preserve"> studies included 68 patients who were </w:t>
      </w:r>
      <w:r w:rsidR="00C85177">
        <w:t>at least</w:t>
      </w:r>
      <w:r>
        <w:t xml:space="preserve"> 65 years old and the treatment appeared safe and efficacious. However in </w:t>
      </w:r>
      <w:r w:rsidR="00C85177">
        <w:t xml:space="preserve">Study </w:t>
      </w:r>
      <w:r>
        <w:t xml:space="preserve">EV002 for patients aged </w:t>
      </w:r>
      <w:r w:rsidR="00C85177">
        <w:t>at least</w:t>
      </w:r>
      <w:r>
        <w:t xml:space="preserve"> 65 years, the difference between active and placebo for primary outcome lost statistical significance (p</w:t>
      </w:r>
      <w:r w:rsidR="00C85177">
        <w:t> </w:t>
      </w:r>
      <w:r>
        <w:t>=</w:t>
      </w:r>
      <w:r w:rsidR="00C85177">
        <w:t> </w:t>
      </w:r>
      <w:r>
        <w:t xml:space="preserve">0.137). The </w:t>
      </w:r>
      <w:r w:rsidR="00C85177">
        <w:t>P</w:t>
      </w:r>
      <w:r>
        <w:t xml:space="preserve">hase </w:t>
      </w:r>
      <w:r w:rsidR="00C85177">
        <w:t>II</w:t>
      </w:r>
      <w:r>
        <w:t xml:space="preserve"> studies – which were primarily safety studies – included a further 84 subjects exposed to at least one dose of </w:t>
      </w:r>
      <w:proofErr w:type="spellStart"/>
      <w:r>
        <w:t>prabotulinumtoxin</w:t>
      </w:r>
      <w:proofErr w:type="spellEnd"/>
      <w:r w:rsidR="00510D7B">
        <w:t xml:space="preserve"> </w:t>
      </w:r>
      <w:r>
        <w:t xml:space="preserve">A. The </w:t>
      </w:r>
      <w:r w:rsidR="00C85177">
        <w:t>P</w:t>
      </w:r>
      <w:r>
        <w:t xml:space="preserve">hase </w:t>
      </w:r>
      <w:r w:rsidR="00C85177">
        <w:t>II</w:t>
      </w:r>
      <w:r>
        <w:t xml:space="preserve"> studies did not demonstrate significantly worse safety in the older age group. Efficacy appeared acceptable. The </w:t>
      </w:r>
      <w:r w:rsidR="00C85177">
        <w:t>c</w:t>
      </w:r>
      <w:r>
        <w:t xml:space="preserve">linical </w:t>
      </w:r>
      <w:r w:rsidR="00C85177">
        <w:t>e</w:t>
      </w:r>
      <w:r>
        <w:t xml:space="preserve">valuator did not recommend to exclude the </w:t>
      </w:r>
      <w:r w:rsidR="00C85177">
        <w:t>at least</w:t>
      </w:r>
      <w:r>
        <w:t xml:space="preserve"> 65 year old population. The pooled safety data did reveal increased frequency of SAEs in the </w:t>
      </w:r>
      <w:r w:rsidR="00C85177">
        <w:t>at least</w:t>
      </w:r>
      <w:r>
        <w:t xml:space="preserve"> 65 year old subjects. Most of these SAEs were clearly not related to study drug (</w:t>
      </w:r>
      <w:r w:rsidR="00C85177">
        <w:t>for example,</w:t>
      </w:r>
      <w:r>
        <w:t xml:space="preserve"> malignancies) and to be expected. There may have been a meaningful increase in mainly eye-related AEs of special interest. Most of these were mild.</w:t>
      </w:r>
    </w:p>
    <w:p w14:paraId="47D050A7" w14:textId="0540083A" w:rsidR="00407111" w:rsidRPr="00407111" w:rsidRDefault="00407111" w:rsidP="00407111">
      <w:r>
        <w:t xml:space="preserve">During the course of the evaluation the </w:t>
      </w:r>
      <w:r w:rsidR="00510D7B">
        <w:t>s</w:t>
      </w:r>
      <w:r>
        <w:t xml:space="preserve">ponsor was asked to explain the reason for the product being supplied in 100 </w:t>
      </w:r>
      <w:r w:rsidR="00C85177">
        <w:t>units</w:t>
      </w:r>
      <w:r>
        <w:t xml:space="preserve"> vials when the recommended dose is 20 </w:t>
      </w:r>
      <w:r w:rsidR="00C85177">
        <w:t>units</w:t>
      </w:r>
      <w:r>
        <w:t xml:space="preserve">. This represents a potential safety issue as it may encourage using the same vial for multiple patients and it may also increase the chance of injecting a higher than recommended dose during treatment. The </w:t>
      </w:r>
      <w:r w:rsidR="00C85177">
        <w:t>s</w:t>
      </w:r>
      <w:r>
        <w:t xml:space="preserve">ponsor has explained that the product is designed for eventual use for indications that require higher doses such as post stroke upper limb spasticity. The 100 </w:t>
      </w:r>
      <w:r w:rsidR="00C85177">
        <w:t>units</w:t>
      </w:r>
      <w:r>
        <w:t xml:space="preserve"> vial was used during the clinical development program and is the currently approved presentation in the US, Canada and Europe. The </w:t>
      </w:r>
      <w:r w:rsidR="00C85177">
        <w:t>s</w:t>
      </w:r>
      <w:r>
        <w:t xml:space="preserve">ponsor has managed the potential safety issues through clear language in the PI to the effect that it is only for use for an individual patient. The </w:t>
      </w:r>
      <w:r w:rsidR="00C85177">
        <w:t>s</w:t>
      </w:r>
      <w:r>
        <w:t>ponsor also notes the opinion of the American Society for Dermatologic Surgery that using a single dial for several patients is actually consistent with accepted clinical practice.</w:t>
      </w:r>
    </w:p>
    <w:p w14:paraId="3916F296" w14:textId="77777777" w:rsidR="00C22214" w:rsidRDefault="00C22214" w:rsidP="00C22214">
      <w:pPr>
        <w:pStyle w:val="Heading4"/>
      </w:pPr>
      <w:bookmarkStart w:id="81" w:name="_Toc98931933"/>
      <w:bookmarkStart w:id="82" w:name="_Toc143693814"/>
      <w:r w:rsidRPr="00D23139">
        <w:lastRenderedPageBreak/>
        <w:t>Proposed action</w:t>
      </w:r>
      <w:bookmarkEnd w:id="81"/>
      <w:bookmarkEnd w:id="82"/>
    </w:p>
    <w:p w14:paraId="641A8435" w14:textId="60FF7B2B" w:rsidR="00C85177" w:rsidRPr="006E6BCB" w:rsidRDefault="00C85177" w:rsidP="00C85177">
      <w:pPr>
        <w:pStyle w:val="Instructions"/>
        <w:rPr>
          <w:i w:val="0"/>
          <w:iCs/>
          <w:color w:val="auto"/>
        </w:rPr>
      </w:pPr>
      <w:r>
        <w:rPr>
          <w:i w:val="0"/>
          <w:iCs/>
          <w:color w:val="auto"/>
        </w:rPr>
        <w:t>The dossier supports the requested indication. The issues raised in Delegate’s overview, in the PI review and following ACM will need to be addressed for a satisfactory outcome.</w:t>
      </w:r>
    </w:p>
    <w:p w14:paraId="318CFABC" w14:textId="77777777" w:rsidR="00C22214" w:rsidRPr="00F73346" w:rsidRDefault="00C22214" w:rsidP="00C22214">
      <w:pPr>
        <w:pStyle w:val="Heading4"/>
      </w:pPr>
      <w:bookmarkStart w:id="83" w:name="_Toc98931936"/>
      <w:bookmarkStart w:id="84" w:name="_Toc143693815"/>
      <w:bookmarkStart w:id="85" w:name="_Toc247691532"/>
      <w:bookmarkStart w:id="86" w:name="_Toc314842516"/>
      <w:r w:rsidRPr="00F73346">
        <w:t>Advisory Committee considerations</w:t>
      </w:r>
      <w:bookmarkEnd w:id="83"/>
      <w:bookmarkEnd w:id="84"/>
    </w:p>
    <w:p w14:paraId="087BB9CB" w14:textId="396544E2" w:rsidR="00C22214" w:rsidRPr="00BD5DBD" w:rsidRDefault="00C22214" w:rsidP="00C22214">
      <w:pPr>
        <w:rPr>
          <w:bCs/>
          <w:szCs w:val="22"/>
        </w:rPr>
      </w:pPr>
      <w:r w:rsidRPr="00BD5DBD">
        <w:rPr>
          <w:bCs/>
          <w:szCs w:val="22"/>
        </w:rPr>
        <w:t xml:space="preserve">The </w:t>
      </w:r>
      <w:hyperlink r:id="rId43"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26790910" w14:textId="77777777" w:rsidR="00EB6D62" w:rsidRDefault="00EB6D62" w:rsidP="00EB6D62">
      <w:r>
        <w:t>The ACM advised the following in response to the Delegate’s specific request for advice:</w:t>
      </w:r>
    </w:p>
    <w:p w14:paraId="0C5D76DF" w14:textId="77777777" w:rsidR="00EB6D62" w:rsidRPr="00CD1363" w:rsidRDefault="00EB6D62" w:rsidP="00EB6D62">
      <w:pPr>
        <w:pStyle w:val="Numberbullet0"/>
        <w:numPr>
          <w:ilvl w:val="0"/>
          <w:numId w:val="16"/>
        </w:numPr>
        <w:spacing w:after="120"/>
        <w:ind w:left="425" w:hanging="425"/>
        <w:rPr>
          <w:b/>
          <w:bCs/>
          <w:i/>
          <w:iCs/>
        </w:rPr>
      </w:pPr>
      <w:r w:rsidRPr="00CD1363">
        <w:rPr>
          <w:b/>
          <w:bCs/>
          <w:i/>
          <w:iCs/>
        </w:rPr>
        <w:t>Do the data presented or other safety concerns provide any basis to restrict use to adults below 65 years of age?</w:t>
      </w:r>
    </w:p>
    <w:p w14:paraId="78A5FB23" w14:textId="77777777" w:rsidR="00EB6D62" w:rsidRDefault="00EB6D62" w:rsidP="00EB6D62">
      <w:r>
        <w:t>The ACM commented that the over 65 age group was not specifically excluded from Phase III studies with 68 participants from this age group included. Higher incidence of severe adverse events was recorded in this cohort but these events were not considered treatment related.</w:t>
      </w:r>
      <w:r w:rsidRPr="005D2A6A">
        <w:t xml:space="preserve"> </w:t>
      </w:r>
      <w:r w:rsidRPr="001361A8">
        <w:t>The ACM</w:t>
      </w:r>
      <w:r>
        <w:t xml:space="preserve"> noted that restricting the use of Nuceiva to adults below 65 years of age would be in line with indications in Europe and Canada.</w:t>
      </w:r>
    </w:p>
    <w:p w14:paraId="12A05B6A" w14:textId="77777777" w:rsidR="00EB6D62" w:rsidRDefault="00EB6D62" w:rsidP="00EB6D62">
      <w:r>
        <w:t xml:space="preserve">The ACM was of the view that the over 65 age group is not uncommonly represented in contemporary clinical use of </w:t>
      </w:r>
      <w:r w:rsidRPr="00286537">
        <w:t>botulinum</w:t>
      </w:r>
      <w:r>
        <w:t xml:space="preserve"> </w:t>
      </w:r>
      <w:r w:rsidRPr="00286537">
        <w:t>toxin</w:t>
      </w:r>
      <w:r>
        <w:t xml:space="preserve"> </w:t>
      </w:r>
      <w:r w:rsidRPr="00286537">
        <w:t>A</w:t>
      </w:r>
      <w:r>
        <w:t xml:space="preserve"> and although there was a small portion of patients in the over 65 age group included in Phase III studies, the ACM was unsure restricting the use of Nuceiva to adults below 65 years of age was appropriate. Further noting that this approach would differ from other botulinum toxins. The ACM agreed that the use of Nuceiva should not be restricted to use in adults below 65 years of age.</w:t>
      </w:r>
    </w:p>
    <w:p w14:paraId="2CDFA1FD" w14:textId="4BD85A9E" w:rsidR="00EB6D62" w:rsidRPr="00080925" w:rsidRDefault="00EB6D62" w:rsidP="00EB6D62">
      <w:pPr>
        <w:pStyle w:val="Numberbullet0"/>
        <w:numPr>
          <w:ilvl w:val="0"/>
          <w:numId w:val="15"/>
        </w:numPr>
        <w:spacing w:after="120"/>
        <w:rPr>
          <w:b/>
          <w:bCs/>
          <w:i/>
          <w:iCs/>
        </w:rPr>
      </w:pPr>
      <w:r w:rsidRPr="00080925">
        <w:rPr>
          <w:b/>
          <w:bCs/>
          <w:i/>
          <w:iCs/>
        </w:rPr>
        <w:t xml:space="preserve">Are there any concerns with use of </w:t>
      </w:r>
      <w:r w:rsidR="00A35E5A">
        <w:rPr>
          <w:b/>
          <w:bCs/>
          <w:i/>
          <w:iCs/>
        </w:rPr>
        <w:t>Nuceiva</w:t>
      </w:r>
      <w:r w:rsidRPr="00080925">
        <w:rPr>
          <w:b/>
          <w:bCs/>
          <w:i/>
          <w:iCs/>
        </w:rPr>
        <w:t xml:space="preserve"> extending beyond 12 months? Is any further information regarding this required in the PI?</w:t>
      </w:r>
    </w:p>
    <w:p w14:paraId="1A562E65" w14:textId="77777777" w:rsidR="00EB6D62" w:rsidRPr="00CF2773" w:rsidRDefault="00EB6D62" w:rsidP="00EB6D62">
      <w:pPr>
        <w:pStyle w:val="Numberbullet0"/>
        <w:numPr>
          <w:ilvl w:val="0"/>
          <w:numId w:val="0"/>
        </w:numPr>
      </w:pPr>
      <w:r>
        <w:t>The ACM noted that the duration of post-market surveillance for Nuceiva is limited compared to other botulinum toxin products. However, the use of Nuceiva beyond 12 months reflects the contemporary use of currently available forms of botulinum toxin A. The ACM agreed that there was no concern with the use of Nuceiva extending beyond 12 months and no further information is required in the PI.</w:t>
      </w:r>
    </w:p>
    <w:p w14:paraId="773E971B" w14:textId="77777777" w:rsidR="00EB6D62" w:rsidRDefault="00EB6D62" w:rsidP="00EB6D62">
      <w:pPr>
        <w:pStyle w:val="Numberbullet0"/>
        <w:numPr>
          <w:ilvl w:val="0"/>
          <w:numId w:val="0"/>
        </w:numPr>
      </w:pPr>
      <w:r>
        <w:t xml:space="preserve">The ACM commented that the PI is considered to be reasonably detailed for a single clinical indication. </w:t>
      </w:r>
    </w:p>
    <w:p w14:paraId="3737CC6A" w14:textId="77777777" w:rsidR="00EB6D62" w:rsidRDefault="00EB6D62" w:rsidP="00EB6D62">
      <w:pPr>
        <w:pStyle w:val="Numberbullet0"/>
        <w:numPr>
          <w:ilvl w:val="0"/>
          <w:numId w:val="0"/>
        </w:numPr>
      </w:pPr>
      <w:r>
        <w:t xml:space="preserve">The ACM expressed minor concern that possible clinical advice regarding the specific use of Epinephrine (adrenaline) in the instance of an anaphylactic event was given in the PI and suggested that more general advice should be provided (rather than specifying the use of adrenaline). </w:t>
      </w:r>
    </w:p>
    <w:p w14:paraId="72A9BDAB" w14:textId="77777777" w:rsidR="00EB6D62" w:rsidRPr="00CD1363" w:rsidRDefault="00EB6D62" w:rsidP="00EB6D62">
      <w:pPr>
        <w:pStyle w:val="Numberbullet0"/>
        <w:numPr>
          <w:ilvl w:val="0"/>
          <w:numId w:val="15"/>
        </w:numPr>
        <w:spacing w:after="120"/>
        <w:rPr>
          <w:b/>
          <w:bCs/>
          <w:i/>
          <w:iCs/>
        </w:rPr>
      </w:pPr>
      <w:r w:rsidRPr="00CD1363">
        <w:rPr>
          <w:b/>
          <w:bCs/>
          <w:i/>
          <w:iCs/>
        </w:rPr>
        <w:t>Should the indication include that the GLS score must be ‘at maximum frown’?</w:t>
      </w:r>
    </w:p>
    <w:p w14:paraId="74DE4E0A" w14:textId="77777777" w:rsidR="00EB6D62" w:rsidRDefault="00EB6D62" w:rsidP="00EB6D62">
      <w:pPr>
        <w:pStyle w:val="Numberbullet0"/>
        <w:numPr>
          <w:ilvl w:val="0"/>
          <w:numId w:val="0"/>
        </w:numPr>
      </w:pPr>
      <w:r>
        <w:t>The ACM noted that severity of the GLS score may not correspond with the patient’s need or desire to treat or the practitioner’s reason to treat, as well as any possible psychosocial factors for or against treatment. The ACM was of the view that it would be more relevant to determine treatment response and eligibility for repeat treatment than to determine eligibility based on pre-treatment severity of glabellar lines. The ACM agreed no written requirement that the GLS score must be at maximum frown is needed.</w:t>
      </w:r>
    </w:p>
    <w:p w14:paraId="0F64DED4" w14:textId="77777777" w:rsidR="00EB6D62" w:rsidRDefault="00EB6D62" w:rsidP="00EB6D62">
      <w:pPr>
        <w:pStyle w:val="Numberbullet0"/>
        <w:numPr>
          <w:ilvl w:val="0"/>
          <w:numId w:val="15"/>
        </w:numPr>
        <w:spacing w:after="120"/>
      </w:pPr>
      <w:r>
        <w:rPr>
          <w:b/>
          <w:bCs/>
          <w:i/>
          <w:iCs/>
        </w:rPr>
        <w:t>Other advice</w:t>
      </w:r>
    </w:p>
    <w:p w14:paraId="2BC534F9" w14:textId="77777777" w:rsidR="00EB6D62" w:rsidRDefault="00EB6D62" w:rsidP="00EB6D62">
      <w:r>
        <w:lastRenderedPageBreak/>
        <w:t>The ACM noted the inclusion of ‘associated with corrugator and/or procerus muscle activity’ within the proposed indication. The ACM noted that the method of administration section of the PI indicates injection sites and was of the view that this information is not required within the indication. The ACM further noted that exclusion of this statement ensures greater alignment with the indications for other medicines within this class.</w:t>
      </w:r>
    </w:p>
    <w:p w14:paraId="5291EA2A" w14:textId="77777777" w:rsidR="00C22214" w:rsidRPr="00F73346" w:rsidRDefault="00C22214" w:rsidP="00C22214">
      <w:pPr>
        <w:pStyle w:val="Heading5"/>
      </w:pPr>
      <w:r w:rsidRPr="00F73346">
        <w:t>Conclusion</w:t>
      </w:r>
    </w:p>
    <w:p w14:paraId="3C9B4BD4" w14:textId="77777777" w:rsidR="00EB6D62" w:rsidRDefault="00EB6D62" w:rsidP="00EB6D62">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2CB8DD08" w14:textId="77777777" w:rsidR="00EB6D62" w:rsidRPr="00425790" w:rsidRDefault="00EB6D62" w:rsidP="00EB6D62">
      <w:pPr>
        <w:ind w:left="720"/>
        <w:rPr>
          <w:i/>
        </w:rPr>
      </w:pPr>
      <w:r w:rsidRPr="00425790">
        <w:rPr>
          <w:i/>
        </w:rPr>
        <w:t>Nuceiva is indicated for temporary improvement in the appearance of moderate to severe glabellar frown lines in adults</w:t>
      </w:r>
    </w:p>
    <w:p w14:paraId="307F236C" w14:textId="77777777" w:rsidR="00C22214" w:rsidRPr="002E238E" w:rsidRDefault="00C22214" w:rsidP="00C22214">
      <w:pPr>
        <w:pStyle w:val="Heading2"/>
      </w:pPr>
      <w:bookmarkStart w:id="87" w:name="_Toc103679300"/>
      <w:bookmarkStart w:id="88" w:name="_Toc143693816"/>
      <w:r>
        <w:t>Outcome</w:t>
      </w:r>
      <w:bookmarkEnd w:id="85"/>
      <w:bookmarkEnd w:id="86"/>
      <w:bookmarkEnd w:id="87"/>
      <w:bookmarkEnd w:id="88"/>
    </w:p>
    <w:p w14:paraId="4EF22939" w14:textId="048858B0" w:rsidR="00C22214" w:rsidRPr="00BD5DBD" w:rsidRDefault="00C22214" w:rsidP="00C22214">
      <w:pPr>
        <w:spacing w:after="480"/>
        <w:rPr>
          <w:szCs w:val="22"/>
        </w:rPr>
      </w:pPr>
      <w:r w:rsidRPr="00BD5DBD">
        <w:rPr>
          <w:szCs w:val="22"/>
        </w:rPr>
        <w:t xml:space="preserve">Based on a review of quality, safety, and efficacy, the TGA approved the registration of </w:t>
      </w:r>
      <w:proofErr w:type="spellStart"/>
      <w:r w:rsidR="003167C9">
        <w:t>Nuceiva</w:t>
      </w:r>
      <w:proofErr w:type="spellEnd"/>
      <w:r w:rsidR="003167C9">
        <w:t xml:space="preserve"> (</w:t>
      </w:r>
      <w:proofErr w:type="spellStart"/>
      <w:r w:rsidR="003167C9" w:rsidRPr="00052C14">
        <w:t>prabotulinumtoxin</w:t>
      </w:r>
      <w:proofErr w:type="spellEnd"/>
      <w:r w:rsidR="003167C9" w:rsidRPr="00052C14">
        <w:t xml:space="preserve"> A</w:t>
      </w:r>
      <w:r w:rsidR="003167C9" w:rsidRPr="00BD5DBD">
        <w:rPr>
          <w:szCs w:val="22"/>
        </w:rPr>
        <w:t xml:space="preserve">) </w:t>
      </w:r>
      <w:r w:rsidR="003167C9">
        <w:rPr>
          <w:szCs w:val="22"/>
        </w:rPr>
        <w:t>100 unit</w:t>
      </w:r>
      <w:r w:rsidR="003167C9" w:rsidRPr="00BD5DBD">
        <w:rPr>
          <w:szCs w:val="22"/>
        </w:rPr>
        <w:t xml:space="preserve">, </w:t>
      </w:r>
      <w:r w:rsidR="003167C9">
        <w:rPr>
          <w:szCs w:val="22"/>
        </w:rPr>
        <w:t>powder for solution for injection</w:t>
      </w:r>
      <w:r w:rsidR="003167C9" w:rsidRPr="00BD5DBD">
        <w:rPr>
          <w:szCs w:val="22"/>
        </w:rPr>
        <w:t>,</w:t>
      </w:r>
      <w:r w:rsidR="003167C9">
        <w:rPr>
          <w:szCs w:val="22"/>
        </w:rPr>
        <w:t xml:space="preserve"> vial</w:t>
      </w:r>
      <w:r w:rsidRPr="00BD5DBD">
        <w:rPr>
          <w:szCs w:val="22"/>
        </w:rPr>
        <w:t>, indicated fo</w:t>
      </w:r>
      <w:r w:rsidR="003167C9">
        <w:rPr>
          <w:szCs w:val="22"/>
        </w:rPr>
        <w:t>r</w:t>
      </w:r>
      <w:r w:rsidRPr="00BD5DBD">
        <w:rPr>
          <w:szCs w:val="22"/>
        </w:rPr>
        <w:t>:</w:t>
      </w:r>
    </w:p>
    <w:p w14:paraId="3B245AB5" w14:textId="7EA57498" w:rsidR="00C22214" w:rsidRPr="003167C9" w:rsidRDefault="003167C9" w:rsidP="003167C9">
      <w:pPr>
        <w:ind w:left="720"/>
        <w:rPr>
          <w:i/>
          <w:iCs/>
        </w:rPr>
      </w:pPr>
      <w:r w:rsidRPr="003167C9">
        <w:rPr>
          <w:i/>
          <w:iCs/>
        </w:rPr>
        <w:t>N</w:t>
      </w:r>
      <w:r>
        <w:rPr>
          <w:i/>
          <w:iCs/>
        </w:rPr>
        <w:t>uceiva</w:t>
      </w:r>
      <w:r w:rsidRPr="003167C9">
        <w:rPr>
          <w:i/>
          <w:iCs/>
        </w:rPr>
        <w:t xml:space="preserve"> is indicated for the temporary improvement in the appearance of moderate to severe glabellar lines in adult patients.</w:t>
      </w:r>
    </w:p>
    <w:p w14:paraId="0D732DA4" w14:textId="77777777" w:rsidR="00854D98" w:rsidRPr="00D23139" w:rsidRDefault="00854D98" w:rsidP="00854D98">
      <w:pPr>
        <w:pStyle w:val="Heading3"/>
      </w:pPr>
      <w:bookmarkStart w:id="89" w:name="_Toc103679301"/>
      <w:bookmarkStart w:id="90" w:name="_Toc143693817"/>
      <w:r w:rsidRPr="00D23139">
        <w:t>Specific conditions of registration applying to these goods</w:t>
      </w:r>
      <w:bookmarkEnd w:id="89"/>
      <w:bookmarkEnd w:id="90"/>
    </w:p>
    <w:p w14:paraId="2D5AA980" w14:textId="7DBF1394" w:rsidR="00DA5DAC" w:rsidRDefault="00DA5DAC" w:rsidP="00DA5DAC">
      <w:pPr>
        <w:pStyle w:val="ListBullet"/>
      </w:pPr>
      <w:proofErr w:type="spellStart"/>
      <w:r>
        <w:t>Nuceiva</w:t>
      </w:r>
      <w:proofErr w:type="spellEnd"/>
      <w:r>
        <w:t xml:space="preserve"> (</w:t>
      </w:r>
      <w:proofErr w:type="spellStart"/>
      <w:r>
        <w:t>prabotulinumtoxin</w:t>
      </w:r>
      <w:proofErr w:type="spellEnd"/>
      <w:r w:rsidR="00510D7B">
        <w:t xml:space="preserve"> </w:t>
      </w:r>
      <w:r>
        <w:t>A) is to be included in the Black Triangle Scheme. The PI and CMI for Nuceiva must include the black triangle symbol and mandatory accompanying text for five years, which starts from the date that the sponsor notifies the TGA of supply of the product.</w:t>
      </w:r>
    </w:p>
    <w:p w14:paraId="78936B5B" w14:textId="2A7792F2" w:rsidR="00DA5DAC" w:rsidRPr="00DA5DAC" w:rsidRDefault="00DA5DAC" w:rsidP="00DA5DAC">
      <w:pPr>
        <w:pStyle w:val="ListBullet"/>
      </w:pPr>
      <w:r w:rsidRPr="00DA5DAC">
        <w:rPr>
          <w:szCs w:val="22"/>
        </w:rPr>
        <w:t>The N</w:t>
      </w:r>
      <w:r>
        <w:rPr>
          <w:szCs w:val="22"/>
        </w:rPr>
        <w:t>uceiva</w:t>
      </w:r>
      <w:r w:rsidRPr="00DA5DAC">
        <w:rPr>
          <w:szCs w:val="22"/>
        </w:rPr>
        <w:t xml:space="preserve"> EU- RMP (version 3.1, dated 4 February 2021, </w:t>
      </w:r>
      <w:r>
        <w:rPr>
          <w:szCs w:val="22"/>
        </w:rPr>
        <w:t>DLP</w:t>
      </w:r>
      <w:r w:rsidRPr="00DA5DAC">
        <w:rPr>
          <w:szCs w:val="22"/>
        </w:rPr>
        <w:t xml:space="preserve"> 27 March 2017), with </w:t>
      </w:r>
      <w:r>
        <w:rPr>
          <w:szCs w:val="22"/>
        </w:rPr>
        <w:t>ASA</w:t>
      </w:r>
      <w:r w:rsidRPr="00DA5DAC">
        <w:rPr>
          <w:szCs w:val="22"/>
        </w:rPr>
        <w:t xml:space="preserve"> (version 1.1, dated 19 October 2021), included with submission PM-2021-05441-1-1, to be revised to the satisfaction of the TGA, and any subsequent revisions, will be implemented in Australia. </w:t>
      </w:r>
    </w:p>
    <w:p w14:paraId="4E6BED53" w14:textId="145FB303" w:rsidR="00DA5DAC" w:rsidRPr="00DA5DAC" w:rsidRDefault="00DA5DAC" w:rsidP="00DA5DAC">
      <w:pPr>
        <w:pStyle w:val="ListBullet"/>
        <w:numPr>
          <w:ilvl w:val="0"/>
          <w:numId w:val="0"/>
        </w:numPr>
        <w:ind w:left="360"/>
      </w:pPr>
      <w:r w:rsidRPr="00DA5DAC">
        <w:rPr>
          <w:szCs w:val="22"/>
        </w:rPr>
        <w:t xml:space="preserve">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The reports are </w:t>
      </w:r>
      <w:r>
        <w:rPr>
          <w:szCs w:val="22"/>
        </w:rPr>
        <w:t>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51DC3FC" w14:textId="77777777" w:rsidR="00C22214" w:rsidRDefault="00C22214" w:rsidP="00C22214">
      <w:pPr>
        <w:pStyle w:val="Heading2"/>
      </w:pPr>
      <w:bookmarkStart w:id="91" w:name="_Toc103679303"/>
      <w:bookmarkStart w:id="92" w:name="_Toc143693818"/>
      <w:r>
        <w:t>Attachment 1. Product Information</w:t>
      </w:r>
      <w:bookmarkEnd w:id="91"/>
      <w:bookmarkEnd w:id="92"/>
    </w:p>
    <w:p w14:paraId="21F47164" w14:textId="7D107321" w:rsidR="00C22214" w:rsidRPr="00BD5DBD" w:rsidRDefault="00C22214" w:rsidP="00C22214">
      <w:pPr>
        <w:rPr>
          <w:szCs w:val="22"/>
        </w:rPr>
      </w:pPr>
      <w:r w:rsidRPr="00BD5DBD">
        <w:rPr>
          <w:szCs w:val="22"/>
        </w:rPr>
        <w:t>The PI for</w:t>
      </w:r>
      <w:r w:rsidR="00DA5DAC">
        <w:rPr>
          <w:szCs w:val="22"/>
        </w:rPr>
        <w:t xml:space="preserve"> Nuceiva</w:t>
      </w:r>
      <w:r w:rsidRPr="00BD5DBD">
        <w:rPr>
          <w:szCs w:val="22"/>
        </w:rPr>
        <w:t xml:space="preserve"> approved with the submission which is described in this </w:t>
      </w:r>
      <w:proofErr w:type="spellStart"/>
      <w:r w:rsidRPr="00BD5DBD">
        <w:rPr>
          <w:szCs w:val="22"/>
        </w:rPr>
        <w:t>AusPAR</w:t>
      </w:r>
      <w:proofErr w:type="spellEnd"/>
      <w:r w:rsidRPr="00BD5DBD">
        <w:rPr>
          <w:szCs w:val="22"/>
        </w:rPr>
        <w:t xml:space="preserve"> is at Attachment 1. For the most recent PI, please refer to the TGA </w:t>
      </w:r>
      <w:hyperlink r:id="rId44"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5"/>
          <w:footerReference w:type="default" r:id="rId4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00290F0" w:rsidR="00F02AEC" w:rsidRDefault="00F02AEC">
            <w:pPr>
              <w:pStyle w:val="Address"/>
              <w:jc w:val="center"/>
              <w:rPr>
                <w:sz w:val="22"/>
                <w:szCs w:val="22"/>
              </w:rPr>
            </w:pPr>
            <w:r w:rsidRPr="00215D48">
              <w:t xml:space="preserve">Email: </w:t>
            </w:r>
            <w:hyperlink r:id="rId47" w:history="1">
              <w:r w:rsidRPr="00215D48">
                <w:rPr>
                  <w:rStyle w:val="Hyperlink"/>
                </w:rPr>
                <w:t>info@tga.gov.au</w:t>
              </w:r>
            </w:hyperlink>
            <w:r w:rsidRPr="00215D48">
              <w:t xml:space="preserve">  Phone: 1800 020 653  Fax: </w:t>
            </w:r>
            <w:r w:rsidRPr="00BA0DFC">
              <w:t>02 6203 1605</w:t>
            </w:r>
          </w:p>
          <w:p w14:paraId="4533D80F" w14:textId="5D7F3362" w:rsidR="00F02AEC" w:rsidRPr="00215D48" w:rsidRDefault="00000000">
            <w:pPr>
              <w:pStyle w:val="Address"/>
              <w:jc w:val="center"/>
              <w:rPr>
                <w:rStyle w:val="Hyperlink"/>
                <w:b/>
                <w:color w:val="auto"/>
                <w:sz w:val="22"/>
              </w:rPr>
            </w:pPr>
            <w:hyperlink r:id="rId48"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9"/>
      <w:footerReference w:type="first" r:id="rId5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20DEB" w14:textId="77777777" w:rsidR="00A24FF4" w:rsidRDefault="00A24FF4" w:rsidP="00F02AEC">
      <w:pPr>
        <w:spacing w:after="0" w:line="240" w:lineRule="auto"/>
      </w:pPr>
      <w:r>
        <w:separator/>
      </w:r>
    </w:p>
  </w:endnote>
  <w:endnote w:type="continuationSeparator" w:id="0">
    <w:p w14:paraId="3D656130" w14:textId="77777777" w:rsidR="00A24FF4" w:rsidRDefault="00A24FF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593B6DD" w:rsidR="007452E8" w:rsidRPr="004A3084" w:rsidRDefault="007452E8" w:rsidP="007452E8">
          <w:pPr>
            <w:pStyle w:val="Footer"/>
          </w:pPr>
          <w:proofErr w:type="spellStart"/>
          <w:r w:rsidRPr="00487162">
            <w:t>AusPA</w:t>
          </w:r>
          <w:r>
            <w:t>R</w:t>
          </w:r>
          <w:proofErr w:type="spellEnd"/>
          <w:r>
            <w:t xml:space="preserve"> - </w:t>
          </w:r>
          <w:proofErr w:type="spellStart"/>
          <w:r w:rsidR="00052C14">
            <w:t>Nuceiva</w:t>
          </w:r>
          <w:proofErr w:type="spellEnd"/>
          <w:r>
            <w:t xml:space="preserve"> -</w:t>
          </w:r>
          <w:r w:rsidRPr="00460036">
            <w:t xml:space="preserve"> </w:t>
          </w:r>
          <w:proofErr w:type="spellStart"/>
          <w:r w:rsidR="00052C14" w:rsidRPr="00052C14">
            <w:t>prabotulinum</w:t>
          </w:r>
          <w:proofErr w:type="spellEnd"/>
          <w:r w:rsidR="00052C14" w:rsidRPr="00052C14">
            <w:t xml:space="preserve"> toxin A</w:t>
          </w:r>
          <w:r w:rsidRPr="00460036">
            <w:t xml:space="preserve"> </w:t>
          </w:r>
          <w:r w:rsidR="008C754C">
            <w:t>-</w:t>
          </w:r>
          <w:r>
            <w:t xml:space="preserve"> </w:t>
          </w:r>
          <w:r w:rsidR="00052C14" w:rsidRPr="00052C14">
            <w:t>PPD Australia Pty Ltd</w:t>
          </w:r>
          <w:r>
            <w:t xml:space="preserve"> - </w:t>
          </w:r>
          <w:r w:rsidR="00052C14" w:rsidRPr="00052C14">
            <w:t>PM-2021-05441-1-1</w:t>
          </w:r>
          <w:r>
            <w:br/>
          </w:r>
          <w:r w:rsidR="00A70B8C">
            <w:t>FINAL 19 September 2023</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6590D" w14:textId="77777777" w:rsidR="00A24FF4" w:rsidRDefault="00A24FF4" w:rsidP="00F02AEC">
      <w:pPr>
        <w:spacing w:after="0" w:line="240" w:lineRule="auto"/>
      </w:pPr>
      <w:r>
        <w:separator/>
      </w:r>
    </w:p>
  </w:footnote>
  <w:footnote w:type="continuationSeparator" w:id="0">
    <w:p w14:paraId="17606A70" w14:textId="77777777" w:rsidR="00A24FF4" w:rsidRDefault="00A24FF4"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1F2526DD" w14:textId="42FE43FB" w:rsidR="00C85177" w:rsidRDefault="00C85177">
      <w:pPr>
        <w:pStyle w:val="FootnoteText"/>
      </w:pPr>
      <w:r>
        <w:rPr>
          <w:rStyle w:val="FootnoteReference"/>
        </w:rPr>
        <w:footnoteRef/>
      </w:r>
      <w:r>
        <w:t xml:space="preserve"> </w:t>
      </w:r>
      <w:r w:rsidRPr="00C85177">
        <w:t xml:space="preserve">Choudhury, S. (2021). Botulinum Toxin: An Update on Pharmacology and Newer Products in </w:t>
      </w:r>
      <w:proofErr w:type="spellStart"/>
      <w:r w:rsidRPr="00C85177">
        <w:t>Devleopment</w:t>
      </w:r>
      <w:proofErr w:type="spellEnd"/>
      <w:r w:rsidRPr="00C85177">
        <w:t>. Toxins (Basel).</w:t>
      </w:r>
    </w:p>
  </w:footnote>
  <w:footnote w:id="3">
    <w:p w14:paraId="3D053763" w14:textId="220308E2" w:rsidR="00C85177" w:rsidRDefault="00C85177">
      <w:pPr>
        <w:pStyle w:val="FootnoteText"/>
      </w:pPr>
      <w:r>
        <w:rPr>
          <w:rStyle w:val="FootnoteReference"/>
        </w:rPr>
        <w:footnoteRef/>
      </w:r>
      <w:r>
        <w:t xml:space="preserve"> </w:t>
      </w:r>
      <w:proofErr w:type="spellStart"/>
      <w:r w:rsidRPr="00C85177">
        <w:t>Dessy</w:t>
      </w:r>
      <w:proofErr w:type="spellEnd"/>
      <w:r w:rsidRPr="00C85177">
        <w:t>, L. (2011). Botulinum toxin for glabellar lines: a review of the efficacy and safety of currently available products. Am J Clin Dermatol, 377-88.</w:t>
      </w:r>
    </w:p>
  </w:footnote>
  <w:footnote w:id="4">
    <w:p w14:paraId="3A9E71AB" w14:textId="40A2824F" w:rsidR="003A4EC1" w:rsidRDefault="003A4EC1">
      <w:pPr>
        <w:pStyle w:val="FootnoteText"/>
      </w:pPr>
      <w:r>
        <w:rPr>
          <w:rStyle w:val="FootnoteReference"/>
        </w:rPr>
        <w:footnoteRef/>
      </w:r>
      <w:r>
        <w:t xml:space="preserve"> Sponsor clarification: Sponsor has provided response to the </w:t>
      </w:r>
      <w:proofErr w:type="spellStart"/>
      <w:r>
        <w:t>outstandind</w:t>
      </w:r>
      <w:proofErr w:type="spellEnd"/>
      <w:r>
        <w:t xml:space="preserve"> issues in relation to sterility aspect and it been accepted by the quality ev</w:t>
      </w:r>
      <w:r w:rsidR="00CF404A">
        <w:t>aluator</w:t>
      </w:r>
      <w:r w:rsidRPr="003A4EC1">
        <w:t>.</w:t>
      </w:r>
    </w:p>
  </w:footnote>
  <w:footnote w:id="5">
    <w:p w14:paraId="259F1648" w14:textId="77777777" w:rsidR="004B009B" w:rsidRDefault="004B009B" w:rsidP="004B009B">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w:t>
      </w:r>
    </w:p>
    <w:p w14:paraId="545C9717" w14:textId="4A1BBFEF" w:rsidR="004B009B" w:rsidRDefault="004B009B" w:rsidP="004B009B">
      <w:pPr>
        <w:pStyle w:val="FootnoteText"/>
      </w:pPr>
      <w:r>
        <w:t xml:space="preserve">Studies in animals have shown evidence of an increased occurrence of </w:t>
      </w:r>
      <w:proofErr w:type="spellStart"/>
      <w:r>
        <w:t>fetal</w:t>
      </w:r>
      <w:proofErr w:type="spellEnd"/>
      <w:r>
        <w:t xml:space="preserve"> damage, the significance of which is considered uncertain in humans.</w:t>
      </w:r>
    </w:p>
  </w:footnote>
  <w:footnote w:id="6">
    <w:p w14:paraId="15C5577E" w14:textId="1AAFEB33" w:rsidR="00355E85" w:rsidRDefault="00355E85">
      <w:pPr>
        <w:pStyle w:val="FootnoteText"/>
      </w:pPr>
      <w:r>
        <w:rPr>
          <w:rStyle w:val="FootnoteReference"/>
        </w:rPr>
        <w:footnoteRef/>
      </w:r>
      <w:r>
        <w:t xml:space="preserve"> Drug development code for Nuceiva or prabotulinumtoxinA</w:t>
      </w:r>
    </w:p>
  </w:footnote>
  <w:footnote w:id="7">
    <w:p w14:paraId="4AEA1468" w14:textId="4F10B014" w:rsidR="00C85177" w:rsidRDefault="00C85177">
      <w:pPr>
        <w:pStyle w:val="FootnoteText"/>
      </w:pPr>
      <w:r>
        <w:rPr>
          <w:rStyle w:val="FootnoteReference"/>
        </w:rPr>
        <w:footnoteRef/>
      </w:r>
      <w:r>
        <w:t xml:space="preserve"> </w:t>
      </w:r>
      <w:r w:rsidRPr="00C85177">
        <w:t>FDA. (2014). Guidance for Industry. Upper Facial Lines: Developing Botulinum Toxin Drug Products. Draft Guidance. August 2014. Retrieved Sep 2022, from FDA.gov: https://www.fda.gov/media/89195/download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06ACBBE7">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5B65219E">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2BB14BA2">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5101B"/>
    <w:multiLevelType w:val="hybridMultilevel"/>
    <w:tmpl w:val="DBFE2BC0"/>
    <w:lvl w:ilvl="0" w:tplc="0C090001">
      <w:start w:val="1"/>
      <w:numFmt w:val="bullet"/>
      <w:lvlText w:val=""/>
      <w:lvlJc w:val="left"/>
      <w:pPr>
        <w:ind w:left="720" w:hanging="360"/>
      </w:pPr>
      <w:rPr>
        <w:rFonts w:ascii="Symbol" w:hAnsi="Symbol" w:hint="default"/>
      </w:rPr>
    </w:lvl>
    <w:lvl w:ilvl="1" w:tplc="3FAAE45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E946CB"/>
    <w:multiLevelType w:val="hybridMultilevel"/>
    <w:tmpl w:val="4E6E2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E1248D"/>
    <w:multiLevelType w:val="hybridMultilevel"/>
    <w:tmpl w:val="E1A87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635622"/>
    <w:multiLevelType w:val="hybridMultilevel"/>
    <w:tmpl w:val="5E64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E261D4"/>
    <w:multiLevelType w:val="hybridMultilevel"/>
    <w:tmpl w:val="B9FA4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2739981">
    <w:abstractNumId w:val="4"/>
  </w:num>
  <w:num w:numId="2" w16cid:durableId="1544901747">
    <w:abstractNumId w:val="2"/>
  </w:num>
  <w:num w:numId="3" w16cid:durableId="1862233194">
    <w:abstractNumId w:val="3"/>
  </w:num>
  <w:num w:numId="4" w16cid:durableId="984816011">
    <w:abstractNumId w:val="9"/>
  </w:num>
  <w:num w:numId="5" w16cid:durableId="1778327163">
    <w:abstractNumId w:val="5"/>
  </w:num>
  <w:num w:numId="6" w16cid:durableId="741147998">
    <w:abstractNumId w:val="8"/>
  </w:num>
  <w:num w:numId="7" w16cid:durableId="52594685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866097955">
    <w:abstractNumId w:val="0"/>
  </w:num>
  <w:num w:numId="9" w16cid:durableId="1492721165">
    <w:abstractNumId w:val="6"/>
  </w:num>
  <w:num w:numId="10" w16cid:durableId="299960835">
    <w:abstractNumId w:val="11"/>
  </w:num>
  <w:num w:numId="11" w16cid:durableId="353964335">
    <w:abstractNumId w:val="10"/>
  </w:num>
  <w:num w:numId="12" w16cid:durableId="1482191322">
    <w:abstractNumId w:val="1"/>
  </w:num>
  <w:num w:numId="13" w16cid:durableId="1769957371">
    <w:abstractNumId w:val="12"/>
  </w:num>
  <w:num w:numId="14" w16cid:durableId="1593397892">
    <w:abstractNumId w:val="7"/>
  </w:num>
  <w:num w:numId="15" w16cid:durableId="1991907474">
    <w:abstractNumId w:val="2"/>
    <w:lvlOverride w:ilvl="0">
      <w:lvl w:ilvl="0">
        <w:start w:val="1"/>
        <w:numFmt w:val="decimal"/>
        <w:pStyle w:val="Numberbullet0"/>
        <w:lvlText w:val="%1."/>
        <w:lvlJc w:val="left"/>
        <w:pPr>
          <w:ind w:left="425" w:hanging="425"/>
        </w:pPr>
        <w:rPr>
          <w:rFonts w:ascii="Cambria" w:hAnsi="Cambria" w:hint="default"/>
          <w:b/>
          <w:bCs/>
          <w:i/>
          <w:iCs/>
        </w:rPr>
      </w:lvl>
    </w:lvlOverride>
  </w:num>
  <w:num w:numId="16" w16cid:durableId="11905310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69F4"/>
    <w:rsid w:val="00023343"/>
    <w:rsid w:val="00027501"/>
    <w:rsid w:val="00030E7B"/>
    <w:rsid w:val="00040357"/>
    <w:rsid w:val="00052C14"/>
    <w:rsid w:val="00077844"/>
    <w:rsid w:val="000821B5"/>
    <w:rsid w:val="00082B90"/>
    <w:rsid w:val="00094B81"/>
    <w:rsid w:val="00096134"/>
    <w:rsid w:val="000975AA"/>
    <w:rsid w:val="000C10D6"/>
    <w:rsid w:val="000D7934"/>
    <w:rsid w:val="000E035C"/>
    <w:rsid w:val="00101FB1"/>
    <w:rsid w:val="00110156"/>
    <w:rsid w:val="001173DB"/>
    <w:rsid w:val="0012473C"/>
    <w:rsid w:val="0013132F"/>
    <w:rsid w:val="0013528C"/>
    <w:rsid w:val="001353F2"/>
    <w:rsid w:val="00165D28"/>
    <w:rsid w:val="0017042F"/>
    <w:rsid w:val="00172C9B"/>
    <w:rsid w:val="00174A80"/>
    <w:rsid w:val="00175CD8"/>
    <w:rsid w:val="00192E6D"/>
    <w:rsid w:val="00194564"/>
    <w:rsid w:val="001A267A"/>
    <w:rsid w:val="001C1C2E"/>
    <w:rsid w:val="001C6936"/>
    <w:rsid w:val="001D241F"/>
    <w:rsid w:val="001F6F18"/>
    <w:rsid w:val="00201C20"/>
    <w:rsid w:val="0020369B"/>
    <w:rsid w:val="00203B74"/>
    <w:rsid w:val="00213C36"/>
    <w:rsid w:val="00213D69"/>
    <w:rsid w:val="00226F39"/>
    <w:rsid w:val="002270AE"/>
    <w:rsid w:val="002305E4"/>
    <w:rsid w:val="00241B60"/>
    <w:rsid w:val="002532FD"/>
    <w:rsid w:val="00261474"/>
    <w:rsid w:val="002940D5"/>
    <w:rsid w:val="00296259"/>
    <w:rsid w:val="002A2F3E"/>
    <w:rsid w:val="002A6784"/>
    <w:rsid w:val="002B5F22"/>
    <w:rsid w:val="002C5E29"/>
    <w:rsid w:val="002D1F64"/>
    <w:rsid w:val="002D7127"/>
    <w:rsid w:val="003008D8"/>
    <w:rsid w:val="00302E59"/>
    <w:rsid w:val="00303959"/>
    <w:rsid w:val="00310A73"/>
    <w:rsid w:val="00312AC3"/>
    <w:rsid w:val="00314430"/>
    <w:rsid w:val="003167C9"/>
    <w:rsid w:val="00324B33"/>
    <w:rsid w:val="00331430"/>
    <w:rsid w:val="0033289E"/>
    <w:rsid w:val="00346EC2"/>
    <w:rsid w:val="0035444D"/>
    <w:rsid w:val="00355E85"/>
    <w:rsid w:val="00360D83"/>
    <w:rsid w:val="00361840"/>
    <w:rsid w:val="0037355A"/>
    <w:rsid w:val="00391CB0"/>
    <w:rsid w:val="0039345B"/>
    <w:rsid w:val="00395140"/>
    <w:rsid w:val="003A4EC1"/>
    <w:rsid w:val="003B149C"/>
    <w:rsid w:val="003B45DC"/>
    <w:rsid w:val="003B7ADF"/>
    <w:rsid w:val="003B7F75"/>
    <w:rsid w:val="003D0808"/>
    <w:rsid w:val="003D71A1"/>
    <w:rsid w:val="003E1443"/>
    <w:rsid w:val="003E37A4"/>
    <w:rsid w:val="00407111"/>
    <w:rsid w:val="0041688F"/>
    <w:rsid w:val="0042376F"/>
    <w:rsid w:val="00423862"/>
    <w:rsid w:val="004246B8"/>
    <w:rsid w:val="004260FC"/>
    <w:rsid w:val="00433318"/>
    <w:rsid w:val="00477C4E"/>
    <w:rsid w:val="00481F09"/>
    <w:rsid w:val="00483597"/>
    <w:rsid w:val="00491A55"/>
    <w:rsid w:val="004A0179"/>
    <w:rsid w:val="004A4549"/>
    <w:rsid w:val="004B009B"/>
    <w:rsid w:val="004B15BD"/>
    <w:rsid w:val="004B3081"/>
    <w:rsid w:val="004D26B5"/>
    <w:rsid w:val="004D7DEE"/>
    <w:rsid w:val="004E7359"/>
    <w:rsid w:val="004F4C9C"/>
    <w:rsid w:val="004F6E4F"/>
    <w:rsid w:val="00510D7B"/>
    <w:rsid w:val="005329D4"/>
    <w:rsid w:val="00535DFE"/>
    <w:rsid w:val="00562F42"/>
    <w:rsid w:val="005630CE"/>
    <w:rsid w:val="0056766D"/>
    <w:rsid w:val="00580277"/>
    <w:rsid w:val="00581DC2"/>
    <w:rsid w:val="0058575E"/>
    <w:rsid w:val="0058783C"/>
    <w:rsid w:val="005911AE"/>
    <w:rsid w:val="0059313A"/>
    <w:rsid w:val="005A4960"/>
    <w:rsid w:val="005B023F"/>
    <w:rsid w:val="005B4E0F"/>
    <w:rsid w:val="005C68A9"/>
    <w:rsid w:val="005D2089"/>
    <w:rsid w:val="005D7514"/>
    <w:rsid w:val="005E1A7B"/>
    <w:rsid w:val="00611133"/>
    <w:rsid w:val="00611BC5"/>
    <w:rsid w:val="006277A1"/>
    <w:rsid w:val="006351D9"/>
    <w:rsid w:val="00637130"/>
    <w:rsid w:val="00637F0E"/>
    <w:rsid w:val="006423F2"/>
    <w:rsid w:val="006464EC"/>
    <w:rsid w:val="00692CCD"/>
    <w:rsid w:val="006A0490"/>
    <w:rsid w:val="006A1F0B"/>
    <w:rsid w:val="006A277A"/>
    <w:rsid w:val="006C1C12"/>
    <w:rsid w:val="006D6B44"/>
    <w:rsid w:val="006F6CC1"/>
    <w:rsid w:val="007072A1"/>
    <w:rsid w:val="00710BC5"/>
    <w:rsid w:val="00712FB6"/>
    <w:rsid w:val="007179C0"/>
    <w:rsid w:val="0072003B"/>
    <w:rsid w:val="00720B33"/>
    <w:rsid w:val="007357B9"/>
    <w:rsid w:val="007452E8"/>
    <w:rsid w:val="00746990"/>
    <w:rsid w:val="00750D70"/>
    <w:rsid w:val="0075794C"/>
    <w:rsid w:val="00760183"/>
    <w:rsid w:val="0076019B"/>
    <w:rsid w:val="00762A2A"/>
    <w:rsid w:val="0077557E"/>
    <w:rsid w:val="00793272"/>
    <w:rsid w:val="00794B9E"/>
    <w:rsid w:val="007A6470"/>
    <w:rsid w:val="007B04DE"/>
    <w:rsid w:val="007C57BC"/>
    <w:rsid w:val="007D4138"/>
    <w:rsid w:val="007F0A77"/>
    <w:rsid w:val="007F50D3"/>
    <w:rsid w:val="00814BAF"/>
    <w:rsid w:val="008259B1"/>
    <w:rsid w:val="008329DB"/>
    <w:rsid w:val="008361C5"/>
    <w:rsid w:val="0083628F"/>
    <w:rsid w:val="00837AB9"/>
    <w:rsid w:val="00850637"/>
    <w:rsid w:val="00854D98"/>
    <w:rsid w:val="00860B29"/>
    <w:rsid w:val="00864A0D"/>
    <w:rsid w:val="00877882"/>
    <w:rsid w:val="008804CF"/>
    <w:rsid w:val="00892C2E"/>
    <w:rsid w:val="00894EBC"/>
    <w:rsid w:val="008964B3"/>
    <w:rsid w:val="008C0A20"/>
    <w:rsid w:val="008C49C6"/>
    <w:rsid w:val="008C634D"/>
    <w:rsid w:val="008C754C"/>
    <w:rsid w:val="008D6A54"/>
    <w:rsid w:val="0090605E"/>
    <w:rsid w:val="009108CE"/>
    <w:rsid w:val="00915A9F"/>
    <w:rsid w:val="00930D58"/>
    <w:rsid w:val="0094279E"/>
    <w:rsid w:val="00952740"/>
    <w:rsid w:val="00966EF1"/>
    <w:rsid w:val="009745E5"/>
    <w:rsid w:val="0098350E"/>
    <w:rsid w:val="00996FA5"/>
    <w:rsid w:val="009B7401"/>
    <w:rsid w:val="009C164F"/>
    <w:rsid w:val="009C7D83"/>
    <w:rsid w:val="009D47B7"/>
    <w:rsid w:val="009E6F8C"/>
    <w:rsid w:val="009F6C4E"/>
    <w:rsid w:val="00A01C56"/>
    <w:rsid w:val="00A2206C"/>
    <w:rsid w:val="00A24FF4"/>
    <w:rsid w:val="00A358E7"/>
    <w:rsid w:val="00A35E5A"/>
    <w:rsid w:val="00A51A2D"/>
    <w:rsid w:val="00A567AB"/>
    <w:rsid w:val="00A63D9B"/>
    <w:rsid w:val="00A67CEC"/>
    <w:rsid w:val="00A70B8C"/>
    <w:rsid w:val="00A81140"/>
    <w:rsid w:val="00A904AB"/>
    <w:rsid w:val="00A93DC6"/>
    <w:rsid w:val="00AB7CBF"/>
    <w:rsid w:val="00AD20CD"/>
    <w:rsid w:val="00AE0154"/>
    <w:rsid w:val="00AE1947"/>
    <w:rsid w:val="00AF34AF"/>
    <w:rsid w:val="00AF34BA"/>
    <w:rsid w:val="00AF5D4C"/>
    <w:rsid w:val="00B022F4"/>
    <w:rsid w:val="00B11B7D"/>
    <w:rsid w:val="00B2545A"/>
    <w:rsid w:val="00B36CF3"/>
    <w:rsid w:val="00B46BC0"/>
    <w:rsid w:val="00B51183"/>
    <w:rsid w:val="00B55681"/>
    <w:rsid w:val="00B85795"/>
    <w:rsid w:val="00B95547"/>
    <w:rsid w:val="00B95EFA"/>
    <w:rsid w:val="00B967FF"/>
    <w:rsid w:val="00BA3C7D"/>
    <w:rsid w:val="00BA53F6"/>
    <w:rsid w:val="00BA7F7D"/>
    <w:rsid w:val="00BB1C14"/>
    <w:rsid w:val="00BC7C20"/>
    <w:rsid w:val="00BD07DF"/>
    <w:rsid w:val="00BD2670"/>
    <w:rsid w:val="00BD5DBD"/>
    <w:rsid w:val="00BE0C02"/>
    <w:rsid w:val="00BF4638"/>
    <w:rsid w:val="00BF6D6C"/>
    <w:rsid w:val="00C014A9"/>
    <w:rsid w:val="00C07551"/>
    <w:rsid w:val="00C22214"/>
    <w:rsid w:val="00C26204"/>
    <w:rsid w:val="00C407AB"/>
    <w:rsid w:val="00C458AD"/>
    <w:rsid w:val="00C570FF"/>
    <w:rsid w:val="00C574D7"/>
    <w:rsid w:val="00C61DDF"/>
    <w:rsid w:val="00C6574E"/>
    <w:rsid w:val="00C816C6"/>
    <w:rsid w:val="00C85177"/>
    <w:rsid w:val="00C939FD"/>
    <w:rsid w:val="00CA1B2F"/>
    <w:rsid w:val="00CA5D95"/>
    <w:rsid w:val="00CB0550"/>
    <w:rsid w:val="00CB5A34"/>
    <w:rsid w:val="00CD0057"/>
    <w:rsid w:val="00CD0E63"/>
    <w:rsid w:val="00CE310F"/>
    <w:rsid w:val="00CE3619"/>
    <w:rsid w:val="00CE4F2C"/>
    <w:rsid w:val="00CF14BA"/>
    <w:rsid w:val="00CF404A"/>
    <w:rsid w:val="00D01DDB"/>
    <w:rsid w:val="00D078BE"/>
    <w:rsid w:val="00D1102A"/>
    <w:rsid w:val="00D12910"/>
    <w:rsid w:val="00D13F8A"/>
    <w:rsid w:val="00D22045"/>
    <w:rsid w:val="00D62877"/>
    <w:rsid w:val="00D63760"/>
    <w:rsid w:val="00D64297"/>
    <w:rsid w:val="00D743BE"/>
    <w:rsid w:val="00D918D5"/>
    <w:rsid w:val="00D94C8E"/>
    <w:rsid w:val="00DA5DAC"/>
    <w:rsid w:val="00DB192C"/>
    <w:rsid w:val="00DB1CF3"/>
    <w:rsid w:val="00DC60BE"/>
    <w:rsid w:val="00DD33D2"/>
    <w:rsid w:val="00DF07FB"/>
    <w:rsid w:val="00DF4FE4"/>
    <w:rsid w:val="00DF5BFE"/>
    <w:rsid w:val="00E47E0C"/>
    <w:rsid w:val="00E51813"/>
    <w:rsid w:val="00E53D3F"/>
    <w:rsid w:val="00E53FCD"/>
    <w:rsid w:val="00E5579B"/>
    <w:rsid w:val="00E5664E"/>
    <w:rsid w:val="00E57773"/>
    <w:rsid w:val="00E62F8E"/>
    <w:rsid w:val="00E73D1C"/>
    <w:rsid w:val="00E744E6"/>
    <w:rsid w:val="00E76966"/>
    <w:rsid w:val="00EB6D62"/>
    <w:rsid w:val="00EF542E"/>
    <w:rsid w:val="00F02AEC"/>
    <w:rsid w:val="00F05F43"/>
    <w:rsid w:val="00F157FC"/>
    <w:rsid w:val="00F2344A"/>
    <w:rsid w:val="00F24133"/>
    <w:rsid w:val="00F30AF3"/>
    <w:rsid w:val="00F46EBD"/>
    <w:rsid w:val="00F47006"/>
    <w:rsid w:val="00F6078B"/>
    <w:rsid w:val="00F657B4"/>
    <w:rsid w:val="00F76DEA"/>
    <w:rsid w:val="00F865A7"/>
    <w:rsid w:val="00FA0754"/>
    <w:rsid w:val="00FA1989"/>
    <w:rsid w:val="00FA1BC9"/>
    <w:rsid w:val="00FA3742"/>
    <w:rsid w:val="00FA49C3"/>
    <w:rsid w:val="00FB236E"/>
    <w:rsid w:val="00FB7AFB"/>
    <w:rsid w:val="00FC6F56"/>
    <w:rsid w:val="00FD13D7"/>
    <w:rsid w:val="00FE087C"/>
    <w:rsid w:val="00FF5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Standard">
    <w:name w:val="Standard"/>
    <w:basedOn w:val="Normal"/>
    <w:link w:val="StandardChar"/>
    <w:qFormat/>
    <w:rsid w:val="00213D69"/>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213D69"/>
    <w:rPr>
      <w:rFonts w:ascii="Cambria" w:eastAsia="Times New Roman" w:hAnsi="Cambria" w:cs="Times New Roman"/>
      <w:snapToGrid w:val="0"/>
      <w:kern w:val="16"/>
      <w:sz w:val="23"/>
      <w:szCs w:val="24"/>
    </w:rPr>
  </w:style>
  <w:style w:type="paragraph" w:styleId="ListParagraph">
    <w:name w:val="List Paragraph"/>
    <w:basedOn w:val="Normal"/>
    <w:uiPriority w:val="34"/>
    <w:qFormat/>
    <w:rsid w:val="00213D69"/>
    <w:pPr>
      <w:adjustRightInd w:val="0"/>
      <w:snapToGrid w:val="0"/>
      <w:spacing w:before="180" w:after="180" w:line="240" w:lineRule="atLeast"/>
      <w:ind w:left="720"/>
      <w:contextualSpacing/>
    </w:pPr>
    <w:rPr>
      <w:rFonts w:eastAsia="MS Mincho" w:cs="Times New Roman"/>
      <w:lang w:eastAsia="ja-JP"/>
    </w:rPr>
  </w:style>
  <w:style w:type="paragraph" w:customStyle="1" w:styleId="Bulletpoint">
    <w:name w:val="Bullet point"/>
    <w:basedOn w:val="Standard"/>
    <w:rsid w:val="00213D69"/>
    <w:pPr>
      <w:numPr>
        <w:numId w:val="9"/>
      </w:numPr>
      <w:tabs>
        <w:tab w:val="clear" w:pos="369"/>
        <w:tab w:val="left" w:pos="397"/>
        <w:tab w:val="num" w:pos="511"/>
      </w:tabs>
      <w:spacing w:after="180"/>
      <w:ind w:left="0" w:firstLine="0"/>
    </w:pPr>
    <w:rPr>
      <w:sz w:val="22"/>
    </w:rPr>
  </w:style>
  <w:style w:type="paragraph" w:customStyle="1" w:styleId="Tabletext0">
    <w:name w:val="Table text"/>
    <w:basedOn w:val="Standard"/>
    <w:link w:val="TabletextChar"/>
    <w:qFormat/>
    <w:rsid w:val="00CF14BA"/>
    <w:pPr>
      <w:spacing w:before="20" w:after="20"/>
    </w:pPr>
  </w:style>
  <w:style w:type="character" w:customStyle="1" w:styleId="TabletextChar">
    <w:name w:val="Table text Char"/>
    <w:basedOn w:val="StandardChar"/>
    <w:link w:val="Tabletext0"/>
    <w:rsid w:val="00CF14B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F14BA"/>
    <w:pPr>
      <w:numPr>
        <w:numId w:val="12"/>
      </w:numPr>
      <w:spacing w:after="180"/>
    </w:pPr>
    <w:rPr>
      <w:kern w:val="2"/>
      <w:szCs w:val="22"/>
    </w:rPr>
  </w:style>
  <w:style w:type="character" w:customStyle="1" w:styleId="BulletlistChar">
    <w:name w:val="Bullet list Char"/>
    <w:basedOn w:val="StandardChar"/>
    <w:link w:val="Bulletlist"/>
    <w:rsid w:val="00CF14BA"/>
    <w:rPr>
      <w:rFonts w:ascii="Cambria" w:eastAsia="Times New Roman" w:hAnsi="Cambria" w:cs="Times New Roman"/>
      <w:snapToGrid w:val="0"/>
      <w:kern w:val="2"/>
      <w:sz w:val="23"/>
      <w:szCs w:val="22"/>
    </w:rPr>
  </w:style>
  <w:style w:type="paragraph" w:customStyle="1" w:styleId="Default">
    <w:name w:val="Default"/>
    <w:rsid w:val="00DA5DAC"/>
    <w:pPr>
      <w:autoSpaceDE w:val="0"/>
      <w:autoSpaceDN w:val="0"/>
      <w:adjustRightInd w:val="0"/>
      <w:spacing w:after="0" w:line="240" w:lineRule="auto"/>
    </w:pPr>
    <w:rPr>
      <w:rFonts w:ascii="Cambria" w:hAnsi="Cambria" w:cs="Cambria"/>
      <w:color w:val="000000"/>
      <w:sz w:val="24"/>
      <w:szCs w:val="24"/>
    </w:rPr>
  </w:style>
  <w:style w:type="character" w:customStyle="1" w:styleId="cf01">
    <w:name w:val="cf01"/>
    <w:basedOn w:val="DefaultParagraphFont"/>
    <w:rsid w:val="00794B9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3341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78053770">
      <w:bodyDiv w:val="1"/>
      <w:marLeft w:val="0"/>
      <w:marRight w:val="0"/>
      <w:marTop w:val="0"/>
      <w:marBottom w:val="0"/>
      <w:divBdr>
        <w:top w:val="none" w:sz="0" w:space="0" w:color="auto"/>
        <w:left w:val="none" w:sz="0" w:space="0" w:color="auto"/>
        <w:bottom w:val="none" w:sz="0" w:space="0" w:color="auto"/>
        <w:right w:val="none" w:sz="0" w:space="0" w:color="auto"/>
      </w:divBdr>
    </w:div>
    <w:div w:id="127205403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24820588">
      <w:bodyDiv w:val="1"/>
      <w:marLeft w:val="0"/>
      <w:marRight w:val="0"/>
      <w:marTop w:val="0"/>
      <w:marBottom w:val="0"/>
      <w:divBdr>
        <w:top w:val="none" w:sz="0" w:space="0" w:color="auto"/>
        <w:left w:val="none" w:sz="0" w:space="0" w:color="auto"/>
        <w:bottom w:val="none" w:sz="0" w:space="0" w:color="auto"/>
        <w:right w:val="none" w:sz="0" w:space="0" w:color="auto"/>
      </w:divBdr>
    </w:div>
    <w:div w:id="214179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tga.gov.au/products/australian-register-therapeutic-goods-artg/consumer-medicines-information-cmi"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mailto:info@tga.gov.au"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image" Target="media/image11.png"/><Relationship Id="rId44" Type="http://schemas.openxmlformats.org/officeDocument/2006/relationships/hyperlink" Target="https://www.tga.gov.au/picmi-search-facilit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icmi-search-facili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tga.gov.au/committee/advisory-committee-medicines-acm" TargetMode="External"/><Relationship Id="rId48"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1B370D2783F418B7DC72B3F3FFE11" ma:contentTypeVersion="" ma:contentTypeDescription="Create a new document." ma:contentTypeScope="" ma:versionID="a3a2ca918bab9249d87eb413ae780260">
  <xsd:schema xmlns:xsd="http://www.w3.org/2001/XMLSchema" xmlns:xs="http://www.w3.org/2001/XMLSchema" xmlns:p="http://schemas.microsoft.com/office/2006/metadata/properties" xmlns:ns2="593de293-9045-45ed-8005-8a1685653a50" xmlns:ns3="5790add3-dee5-4f1e-870b-2c02c05ab51b" targetNamespace="http://schemas.microsoft.com/office/2006/metadata/properties" ma:root="true" ma:fieldsID="9b4404f4085a125580cd6c2396a93a12" ns2:_="" ns3:_="">
    <xsd:import namespace="593de293-9045-45ed-8005-8a1685653a50"/>
    <xsd:import namespace="5790add3-dee5-4f1e-870b-2c02c05ab5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Application_x0020_No_x002e_" minOccurs="0"/>
                <xsd:element ref="ns2:Sequence_x0020_Number" minOccurs="0"/>
                <xsd:element ref="ns2:Market"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de293-9045-45ed-8005-8a1685653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Application_x0020_No_x002e_" ma:index="20" nillable="true" ma:displayName="Application No." ma:description="Regulatory Submission Application Number" ma:internalName="Application_x0020_No_x002e_">
      <xsd:simpleType>
        <xsd:restriction base="dms:Text">
          <xsd:maxLength value="255"/>
        </xsd:restriction>
      </xsd:simpleType>
    </xsd:element>
    <xsd:element name="Sequence_x0020_Number" ma:index="21" nillable="true" ma:displayName="Sequence Number" ma:description="Regulatory Submission eCTD Sequence Numner" ma:internalName="Sequence_x0020_Number">
      <xsd:simpleType>
        <xsd:restriction base="dms:Text">
          <xsd:maxLength value="255"/>
        </xsd:restriction>
      </xsd:simpleType>
    </xsd:element>
    <xsd:element name="Market" ma:index="22" nillable="true" ma:displayName="Market" ma:internalName="Market">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32df6f0-9eba-4e0a-886d-b32798e1a4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90add3-dee5-4f1e-870b-2c02c05ab5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5382eba-2833-494c-9bcb-2af5a1f82752}" ma:internalName="TaxCatchAll" ma:showField="CatchAllData" ma:web="5790add3-dee5-4f1e-870b-2c02c05ab5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SCh21</b:Tag>
    <b:SourceType>JournalArticle</b:SourceType>
    <b:Guid>{75F66109-C53B-4FE9-97AC-515AAEECFAED}</b:Guid>
    <b:Author>
      <b:Author>
        <b:NameList>
          <b:Person>
            <b:Last>Choudhury</b:Last>
            <b:First>S</b:First>
          </b:Person>
        </b:NameList>
      </b:Author>
    </b:Author>
    <b:Title>Botulinum Toxin: An Update on Pharmacology and Newer Products in Devleopment</b:Title>
    <b:JournalName>Toxins (Basel)</b:JournalName>
    <b:Year>2021</b:Year>
    <b:RefOrder>1</b:RefOrder>
  </b:Source>
  <b:Source>
    <b:Tag>LDe11</b:Tag>
    <b:SourceType>JournalArticle</b:SourceType>
    <b:Guid>{450A0C0F-D5D9-407B-B6AF-E14F0E00B240}</b:Guid>
    <b:Author>
      <b:Author>
        <b:NameList>
          <b:Person>
            <b:Last>Dessy</b:Last>
            <b:First>L</b:First>
          </b:Person>
        </b:NameList>
      </b:Author>
    </b:Author>
    <b:Title>Botulinum toxin for glabellar lines: a review of the efficacy and safety of currently available products.</b:Title>
    <b:JournalName>Am J Clin Dermatol</b:JournalName>
    <b:Year>2011</b:Year>
    <b:Pages>377-88</b:Pages>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Application_x0020_No_x002e_ xmlns="593de293-9045-45ed-8005-8a1685653a50" xsi:nil="true"/>
    <TaxCatchAll xmlns="5790add3-dee5-4f1e-870b-2c02c05ab51b" xsi:nil="true"/>
    <Market xmlns="593de293-9045-45ed-8005-8a1685653a50" xsi:nil="true"/>
    <Sequence_x0020_Number xmlns="593de293-9045-45ed-8005-8a1685653a50" xsi:nil="true"/>
    <lcf76f155ced4ddcb4097134ff3c332f xmlns="593de293-9045-45ed-8005-8a1685653a5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1B828-0F2B-477D-A340-8A370B176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de293-9045-45ed-8005-8a1685653a50"/>
    <ds:schemaRef ds:uri="5790add3-dee5-4f1e-870b-2c02c05ab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22446-29A4-4789-8AA6-FDF931F00AB3}">
  <ds:schemaRefs>
    <ds:schemaRef ds:uri="http://schemas.openxmlformats.org/officeDocument/2006/bibliography"/>
  </ds:schemaRefs>
</ds:datastoreItem>
</file>

<file path=customXml/itemProps3.xml><?xml version="1.0" encoding="utf-8"?>
<ds:datastoreItem xmlns:ds="http://schemas.openxmlformats.org/officeDocument/2006/customXml" ds:itemID="{58D194D9-9F37-4ED1-8641-78973F6E68F2}">
  <ds:schemaRefs>
    <ds:schemaRef ds:uri="http://schemas.microsoft.com/office/2006/metadata/properties"/>
    <ds:schemaRef ds:uri="http://schemas.microsoft.com/office/infopath/2007/PartnerControls"/>
    <ds:schemaRef ds:uri="593de293-9045-45ed-8005-8a1685653a50"/>
    <ds:schemaRef ds:uri="5790add3-dee5-4f1e-870b-2c02c05ab51b"/>
  </ds:schemaRefs>
</ds:datastoreItem>
</file>

<file path=customXml/itemProps4.xml><?xml version="1.0" encoding="utf-8"?>
<ds:datastoreItem xmlns:ds="http://schemas.openxmlformats.org/officeDocument/2006/customXml" ds:itemID="{BC65ADE2-96A8-49E9-8D97-DFC88FB9F7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19</TotalTime>
  <Pages>34</Pages>
  <Words>11021</Words>
  <Characters>62820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Australian public assessment report for Nuceiva</vt:lpstr>
    </vt:vector>
  </TitlesOfParts>
  <Company>Department of Health and Aged Care</Company>
  <LinksUpToDate>false</LinksUpToDate>
  <CharactersWithSpaces>73694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Nuceiva</dc:title>
  <dc:subject>Prescription medicine regulation</dc:subject>
  <dc:creator>Therapeutic Goods Administration</dc:creator>
  <cp:keywords/>
  <dc:description/>
  <cp:revision>4</cp:revision>
  <dcterms:created xsi:type="dcterms:W3CDTF">2023-09-19T22:33:00Z</dcterms:created>
  <dcterms:modified xsi:type="dcterms:W3CDTF">2023-09-19T22:50:00Z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0x010100D331B370D2783F418B7DC72B3F3FFE11</vt:lpwstr>
  </property>
  <property fmtid="{D5CDD505-2E9C-101B-9397-08002B2CF9AE}" pid="3" name="MediaServiceImageTags">
    <vt:lpwstr/>
  </property>
</Properties>
</file>