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FBD26" w14:textId="083A391D" w:rsidR="004576A6" w:rsidRPr="004576A6" w:rsidRDefault="004576A6" w:rsidP="00786F6E">
      <w:pPr>
        <w:pStyle w:val="Title"/>
        <w:jc w:val="left"/>
        <w:rPr>
          <w:rFonts w:ascii="Arial" w:hAnsi="Arial" w:cs="Arial"/>
          <w:sz w:val="36"/>
          <w:szCs w:val="36"/>
        </w:rPr>
      </w:pPr>
      <w:r w:rsidRPr="004576A6">
        <w:rPr>
          <w:rFonts w:ascii="Arial" w:hAnsi="Arial" w:cs="Arial"/>
          <w:sz w:val="36"/>
          <w:szCs w:val="36"/>
        </w:rPr>
        <w:t>AUSTRALIAN PRODUCT INFORMATION</w:t>
      </w:r>
    </w:p>
    <w:p w14:paraId="28C796AE" w14:textId="067F6AA3" w:rsidR="009921E8" w:rsidRPr="00B247FF" w:rsidRDefault="0064653F" w:rsidP="00786F6E">
      <w:pPr>
        <w:pStyle w:val="Title"/>
        <w:jc w:val="left"/>
        <w:rPr>
          <w:sz w:val="48"/>
          <w:szCs w:val="48"/>
          <w:vertAlign w:val="superscript"/>
        </w:rPr>
      </w:pPr>
      <w:r w:rsidRPr="00B247FF">
        <w:rPr>
          <w:sz w:val="48"/>
          <w:szCs w:val="48"/>
        </w:rPr>
        <w:t>RYBREVANT</w:t>
      </w:r>
      <w:r w:rsidR="004576A6">
        <w:rPr>
          <w:sz w:val="48"/>
          <w:szCs w:val="48"/>
          <w:vertAlign w:val="superscript"/>
        </w:rPr>
        <w:t>®</w:t>
      </w:r>
      <w:r w:rsidR="004576A6" w:rsidRPr="004576A6">
        <w:rPr>
          <w:sz w:val="48"/>
          <w:szCs w:val="28"/>
        </w:rPr>
        <w:t xml:space="preserve"> (</w:t>
      </w:r>
      <w:proofErr w:type="spellStart"/>
      <w:r w:rsidR="004576A6" w:rsidRPr="004576A6">
        <w:rPr>
          <w:sz w:val="48"/>
          <w:szCs w:val="28"/>
        </w:rPr>
        <w:t>amivantamab</w:t>
      </w:r>
      <w:proofErr w:type="spellEnd"/>
      <w:r w:rsidR="004576A6" w:rsidRPr="004576A6">
        <w:rPr>
          <w:sz w:val="48"/>
          <w:szCs w:val="28"/>
        </w:rPr>
        <w:t>)</w:t>
      </w:r>
    </w:p>
    <w:p w14:paraId="0BEC5D57" w14:textId="612A95A7" w:rsidR="009921E8" w:rsidRPr="00B247FF" w:rsidRDefault="0068710F" w:rsidP="00786F6E">
      <w:pPr>
        <w:pStyle w:val="PIProductInfo"/>
        <w:jc w:val="left"/>
        <w:rPr>
          <w:color w:val="auto"/>
          <w:spacing w:val="-3"/>
          <w:szCs w:val="36"/>
          <w:lang w:val="en-AU"/>
        </w:rPr>
      </w:pPr>
      <w:bookmarkStart w:id="0" w:name="_Hlk50712634"/>
      <w:r w:rsidRPr="00B247FF">
        <w:rPr>
          <w:color w:val="auto"/>
          <w:szCs w:val="36"/>
          <w:lang w:val="en-AU"/>
        </w:rPr>
        <w:t>concentrate for solution for infusion</w:t>
      </w:r>
      <w:bookmarkEnd w:id="0"/>
    </w:p>
    <w:p w14:paraId="05C59B11" w14:textId="77777777" w:rsidR="009921E8" w:rsidRPr="00B247FF" w:rsidRDefault="009921E8" w:rsidP="00786F6E">
      <w:pPr>
        <w:rPr>
          <w:rFonts w:ascii="Verdana" w:hAnsi="Verdana"/>
          <w:color w:val="auto"/>
        </w:rPr>
        <w:sectPr w:rsidR="009921E8" w:rsidRPr="00B247FF" w:rsidSect="001740E9">
          <w:headerReference w:type="default" r:id="rId8"/>
          <w:footerReference w:type="default" r:id="rId9"/>
          <w:footerReference w:type="first" r:id="rId10"/>
          <w:endnotePr>
            <w:numFmt w:val="decimal"/>
          </w:endnotePr>
          <w:type w:val="continuous"/>
          <w:pgSz w:w="11907" w:h="16840" w:code="9"/>
          <w:pgMar w:top="1111" w:right="1134" w:bottom="992" w:left="1134" w:header="283" w:footer="369" w:gutter="0"/>
          <w:pgNumType w:start="1"/>
          <w:cols w:space="720"/>
          <w:noEndnote/>
          <w:docGrid w:linePitch="299"/>
        </w:sectPr>
      </w:pPr>
    </w:p>
    <w:p w14:paraId="5B8167D1" w14:textId="27EEA133" w:rsidR="00003CAC" w:rsidRPr="00B247FF" w:rsidRDefault="00003CAC" w:rsidP="00786F6E">
      <w:pPr>
        <w:pStyle w:val="Heading1"/>
        <w:jc w:val="left"/>
      </w:pPr>
      <w:r w:rsidRPr="00B247FF">
        <w:t>NAME OF THE MEDICINE</w:t>
      </w:r>
    </w:p>
    <w:p w14:paraId="0E7897AB" w14:textId="50513195" w:rsidR="00003CAC" w:rsidRPr="00B247FF" w:rsidRDefault="00F3321A" w:rsidP="00786F6E">
      <w:pPr>
        <w:pStyle w:val="BodyText1"/>
        <w:spacing w:after="240"/>
        <w:jc w:val="left"/>
      </w:pPr>
      <w:bookmarkStart w:id="2" w:name="_Hlk506285063"/>
      <w:r w:rsidRPr="00B247FF">
        <w:t>Amivantamab</w:t>
      </w:r>
    </w:p>
    <w:bookmarkEnd w:id="2"/>
    <w:p w14:paraId="435F2D53" w14:textId="7FA216B6" w:rsidR="00003CAC" w:rsidRPr="00B247FF" w:rsidRDefault="00003CAC" w:rsidP="00786F6E">
      <w:pPr>
        <w:pStyle w:val="Heading1"/>
        <w:spacing w:before="480"/>
        <w:jc w:val="left"/>
        <w:rPr>
          <w:color w:val="auto"/>
        </w:rPr>
      </w:pPr>
      <w:r w:rsidRPr="00B247FF">
        <w:rPr>
          <w:color w:val="auto"/>
        </w:rPr>
        <w:t>QUALITATIVE AND QUANTITATIVE COMPOSITION</w:t>
      </w:r>
      <w:r w:rsidRPr="00B247FF" w:rsidDel="00175AE5">
        <w:rPr>
          <w:color w:val="auto"/>
        </w:rPr>
        <w:t xml:space="preserve"> </w:t>
      </w:r>
    </w:p>
    <w:p w14:paraId="18B70FEF" w14:textId="77777777" w:rsidR="00F3321A" w:rsidRPr="00B247FF" w:rsidRDefault="00F3321A" w:rsidP="00786F6E">
      <w:pPr>
        <w:rPr>
          <w:color w:val="auto"/>
          <w:lang w:val="en-US"/>
        </w:rPr>
      </w:pPr>
      <w:bookmarkStart w:id="3" w:name="_Hlk52971147"/>
      <w:r w:rsidRPr="00B247FF">
        <w:rPr>
          <w:color w:val="auto"/>
          <w:lang w:val="en-US"/>
        </w:rPr>
        <w:t>Each single-use vial contains 350 mg of amivantamab per 7 mL vial (or 50 mg of amivantamab per mL).</w:t>
      </w:r>
    </w:p>
    <w:p w14:paraId="5CDA3834" w14:textId="2A6CF1A1" w:rsidR="00A25FD3" w:rsidRPr="00B247FF" w:rsidRDefault="00A25FD3" w:rsidP="00786F6E">
      <w:pPr>
        <w:rPr>
          <w:iCs/>
          <w:color w:val="auto"/>
          <w:sz w:val="18"/>
          <w:szCs w:val="16"/>
        </w:rPr>
      </w:pPr>
    </w:p>
    <w:p w14:paraId="307E6A2E" w14:textId="6A93DA6D" w:rsidR="00F3321A" w:rsidRPr="00B247FF" w:rsidRDefault="00F3321A" w:rsidP="00786F6E">
      <w:pPr>
        <w:rPr>
          <w:color w:val="auto"/>
          <w:lang w:val="en-US"/>
        </w:rPr>
      </w:pPr>
      <w:r w:rsidRPr="00B247FF">
        <w:rPr>
          <w:color w:val="auto"/>
          <w:lang w:val="en-US"/>
        </w:rPr>
        <w:t xml:space="preserve">Amivantamab is </w:t>
      </w:r>
      <w:bookmarkStart w:id="4" w:name="_Hlk40882266"/>
      <w:r w:rsidRPr="00B247FF">
        <w:rPr>
          <w:color w:val="auto"/>
          <w:lang w:val="en-US"/>
        </w:rPr>
        <w:t>a fully-human immunoglobulin G1</w:t>
      </w:r>
      <w:r w:rsidR="00B22D60" w:rsidRPr="00B247FF">
        <w:rPr>
          <w:color w:val="auto"/>
          <w:lang w:val="en-US"/>
        </w:rPr>
        <w:t xml:space="preserve"> </w:t>
      </w:r>
      <w:r w:rsidRPr="00B247FF">
        <w:rPr>
          <w:color w:val="auto"/>
          <w:lang w:val="en-US"/>
        </w:rPr>
        <w:t xml:space="preserve">(IgG1)-based bispecific antibody directed against the epidermal growth factor (EGF) and mesenchymal-epidermal transition (MET) receptors, produced by a mammalian cell line (Chinese Hamster Ovary [CHO]) using recombinant DNA technology (see Section 5.1 Mechanism of </w:t>
      </w:r>
      <w:r w:rsidR="00AE7FBB" w:rsidRPr="00B247FF">
        <w:rPr>
          <w:color w:val="auto"/>
          <w:lang w:val="en-US"/>
        </w:rPr>
        <w:t>a</w:t>
      </w:r>
      <w:r w:rsidRPr="00B247FF">
        <w:rPr>
          <w:color w:val="auto"/>
          <w:lang w:val="en-US"/>
        </w:rPr>
        <w:t>ction).</w:t>
      </w:r>
      <w:bookmarkEnd w:id="4"/>
    </w:p>
    <w:bookmarkEnd w:id="3"/>
    <w:p w14:paraId="1C047BDF" w14:textId="77777777" w:rsidR="008856EC" w:rsidRPr="00B247FF" w:rsidRDefault="008856EC" w:rsidP="00786F6E">
      <w:pPr>
        <w:rPr>
          <w:color w:val="auto"/>
        </w:rPr>
      </w:pPr>
    </w:p>
    <w:p w14:paraId="51B30838" w14:textId="4CD2CD18" w:rsidR="00F664EA" w:rsidRPr="00B247FF" w:rsidRDefault="008856EC" w:rsidP="00786F6E">
      <w:pPr>
        <w:spacing w:after="240"/>
      </w:pPr>
      <w:r w:rsidRPr="00B247FF">
        <w:rPr>
          <w:color w:val="auto"/>
        </w:rPr>
        <w:t>For the full list of excipients, see section 6.1.</w:t>
      </w:r>
      <w:r w:rsidR="00F664EA" w:rsidRPr="00B247FF">
        <w:t xml:space="preserve"> </w:t>
      </w:r>
    </w:p>
    <w:p w14:paraId="2B48B372" w14:textId="77777777" w:rsidR="00117D06" w:rsidRPr="00B247FF" w:rsidRDefault="00746A05" w:rsidP="00786F6E">
      <w:pPr>
        <w:pStyle w:val="Heading1"/>
        <w:spacing w:before="480"/>
        <w:jc w:val="left"/>
        <w:rPr>
          <w:color w:val="auto"/>
        </w:rPr>
      </w:pPr>
      <w:r w:rsidRPr="00B247FF">
        <w:rPr>
          <w:color w:val="auto"/>
        </w:rPr>
        <w:t>PHARMACEUTICAL FORM</w:t>
      </w:r>
    </w:p>
    <w:p w14:paraId="1C81C5A7" w14:textId="69D433C1" w:rsidR="008856EC" w:rsidRPr="00B247FF" w:rsidRDefault="0068710F" w:rsidP="00786F6E">
      <w:pPr>
        <w:rPr>
          <w:color w:val="auto"/>
        </w:rPr>
      </w:pPr>
      <w:r w:rsidRPr="00B247FF">
        <w:rPr>
          <w:color w:val="auto"/>
        </w:rPr>
        <w:t>Concentrate for solution for infusion</w:t>
      </w:r>
      <w:r w:rsidR="004E6389" w:rsidRPr="00B247FF">
        <w:rPr>
          <w:color w:val="auto"/>
        </w:rPr>
        <w:t xml:space="preserve"> </w:t>
      </w:r>
      <w:r w:rsidR="004E6389" w:rsidRPr="00B247FF">
        <w:rPr>
          <w:color w:val="auto"/>
          <w:lang w:val="en-US"/>
        </w:rPr>
        <w:t>(injection)</w:t>
      </w:r>
      <w:r w:rsidR="008856EC" w:rsidRPr="00B247FF">
        <w:rPr>
          <w:color w:val="auto"/>
        </w:rPr>
        <w:t>.</w:t>
      </w:r>
    </w:p>
    <w:p w14:paraId="3988515D" w14:textId="77777777" w:rsidR="008856EC" w:rsidRPr="00B247FF" w:rsidRDefault="008856EC" w:rsidP="00786F6E">
      <w:pPr>
        <w:rPr>
          <w:color w:val="auto"/>
        </w:rPr>
      </w:pPr>
    </w:p>
    <w:p w14:paraId="09E68C5C" w14:textId="5100C7F3" w:rsidR="0068710F" w:rsidRPr="00B247FF" w:rsidRDefault="0068710F" w:rsidP="00786F6E">
      <w:pPr>
        <w:rPr>
          <w:color w:val="auto"/>
          <w:lang w:val="en-US"/>
        </w:rPr>
      </w:pPr>
      <w:r w:rsidRPr="00B247FF">
        <w:rPr>
          <w:color w:val="auto"/>
          <w:lang w:val="en-US"/>
        </w:rPr>
        <w:t xml:space="preserve">RYBREVANT is available as a </w:t>
      </w:r>
      <w:r w:rsidRPr="00B247FF">
        <w:rPr>
          <w:color w:val="auto"/>
        </w:rPr>
        <w:t>colourless</w:t>
      </w:r>
      <w:r w:rsidRPr="00B247FF">
        <w:rPr>
          <w:color w:val="auto"/>
          <w:lang w:val="en-US"/>
        </w:rPr>
        <w:t xml:space="preserve"> to pale yellow preservative-free liquid concentrate for intravenous infusion after dilution.</w:t>
      </w:r>
    </w:p>
    <w:p w14:paraId="2B4D8642" w14:textId="408CAFFB" w:rsidR="00746A05" w:rsidRPr="00B247FF" w:rsidRDefault="00746A05" w:rsidP="00786F6E">
      <w:pPr>
        <w:pStyle w:val="Heading1"/>
        <w:spacing w:before="480"/>
        <w:jc w:val="left"/>
        <w:rPr>
          <w:color w:val="auto"/>
        </w:rPr>
      </w:pPr>
      <w:r w:rsidRPr="00B247FF">
        <w:rPr>
          <w:color w:val="auto"/>
        </w:rPr>
        <w:t>CLINICAL PARTICULARS</w:t>
      </w:r>
    </w:p>
    <w:p w14:paraId="582455B6" w14:textId="33AB2572" w:rsidR="00746A05" w:rsidRPr="00B247FF" w:rsidRDefault="00746A05" w:rsidP="00786F6E">
      <w:pPr>
        <w:pStyle w:val="Heading2"/>
        <w:numPr>
          <w:ilvl w:val="1"/>
          <w:numId w:val="18"/>
        </w:numPr>
        <w:ind w:left="426" w:hanging="426"/>
        <w:jc w:val="left"/>
        <w:rPr>
          <w:caps/>
          <w:color w:val="auto"/>
        </w:rPr>
      </w:pPr>
      <w:r w:rsidRPr="00B247FF">
        <w:rPr>
          <w:color w:val="auto"/>
        </w:rPr>
        <w:t>THERAPEUTIC INDICATIONS</w:t>
      </w:r>
    </w:p>
    <w:p w14:paraId="25E62926" w14:textId="5002E887" w:rsidR="008856EC" w:rsidRPr="00B247FF" w:rsidRDefault="00D22973" w:rsidP="00786F6E">
      <w:pPr>
        <w:rPr>
          <w:color w:val="auto"/>
        </w:rPr>
      </w:pPr>
      <w:bookmarkStart w:id="5" w:name="_Hlk66871727"/>
      <w:r w:rsidRPr="00B247FF">
        <w:rPr>
          <w:color w:val="auto"/>
        </w:rPr>
        <w:t>RYBREVANT</w:t>
      </w:r>
      <w:r w:rsidR="00C546AF" w:rsidRPr="00B247FF">
        <w:rPr>
          <w:color w:val="auto"/>
        </w:rPr>
        <w:t xml:space="preserve"> has </w:t>
      </w:r>
      <w:r w:rsidR="00C546AF" w:rsidRPr="00B247FF">
        <w:rPr>
          <w:b/>
          <w:bCs/>
          <w:color w:val="auto"/>
        </w:rPr>
        <w:t>provisional approval</w:t>
      </w:r>
      <w:r w:rsidR="00C546AF" w:rsidRPr="00B247FF">
        <w:rPr>
          <w:color w:val="auto"/>
        </w:rPr>
        <w:t xml:space="preserve"> </w:t>
      </w:r>
      <w:r w:rsidRPr="00B247FF">
        <w:rPr>
          <w:color w:val="auto"/>
        </w:rPr>
        <w:t xml:space="preserve">for the treatment of patients with locally advanced or metastatic non-small cell lung cancer (NSCLC) </w:t>
      </w:r>
      <w:r w:rsidR="001B09D5" w:rsidRPr="00B247FF">
        <w:rPr>
          <w:color w:val="auto"/>
        </w:rPr>
        <w:t xml:space="preserve">that has an </w:t>
      </w:r>
      <w:r w:rsidRPr="00B247FF">
        <w:rPr>
          <w:color w:val="auto"/>
        </w:rPr>
        <w:t xml:space="preserve">activating epidermal-growth factor receptor (EGFR) </w:t>
      </w:r>
      <w:r w:rsidR="00B22D60" w:rsidRPr="00B247FF">
        <w:rPr>
          <w:color w:val="auto"/>
        </w:rPr>
        <w:t>e</w:t>
      </w:r>
      <w:r w:rsidRPr="00B247FF">
        <w:rPr>
          <w:color w:val="auto"/>
        </w:rPr>
        <w:t>xon 20 insertion mutation, whose disease has progressed on or after platinum-based chemotherapy.</w:t>
      </w:r>
    </w:p>
    <w:p w14:paraId="09C56149" w14:textId="77777777" w:rsidR="008856EC" w:rsidRPr="00B247FF" w:rsidRDefault="008856EC" w:rsidP="00786F6E">
      <w:pPr>
        <w:rPr>
          <w:color w:val="auto"/>
        </w:rPr>
      </w:pPr>
    </w:p>
    <w:p w14:paraId="681CC686" w14:textId="6F5BE933" w:rsidR="00C546AF" w:rsidRPr="00B247FF" w:rsidRDefault="00C546AF" w:rsidP="00786F6E">
      <w:pPr>
        <w:pStyle w:val="BodyText1"/>
        <w:jc w:val="left"/>
      </w:pPr>
      <w:r w:rsidRPr="00B247FF">
        <w:rPr>
          <w:iCs/>
          <w:szCs w:val="22"/>
        </w:rPr>
        <w:t xml:space="preserve">The decision </w:t>
      </w:r>
      <w:r w:rsidR="001B09D5" w:rsidRPr="00B247FF">
        <w:rPr>
          <w:iCs/>
          <w:szCs w:val="22"/>
        </w:rPr>
        <w:t xml:space="preserve">to approve this indication </w:t>
      </w:r>
      <w:r w:rsidRPr="00B247FF">
        <w:rPr>
          <w:iCs/>
          <w:szCs w:val="22"/>
        </w:rPr>
        <w:t xml:space="preserve">has been made on the basis of </w:t>
      </w:r>
      <w:r w:rsidR="001B09D5" w:rsidRPr="00B247FF">
        <w:rPr>
          <w:iCs/>
          <w:szCs w:val="22"/>
        </w:rPr>
        <w:t>objective response rate and duration of response in a single arm study</w:t>
      </w:r>
      <w:r w:rsidRPr="00B247FF">
        <w:rPr>
          <w:iCs/>
          <w:szCs w:val="22"/>
        </w:rPr>
        <w:t xml:space="preserve">. Continued approval </w:t>
      </w:r>
      <w:r w:rsidR="001B09D5" w:rsidRPr="00B247FF">
        <w:rPr>
          <w:iCs/>
          <w:szCs w:val="22"/>
        </w:rPr>
        <w:t>of this indication depends on verification and description of benefit in a confirmatory study</w:t>
      </w:r>
      <w:r w:rsidRPr="00B247FF">
        <w:rPr>
          <w:iCs/>
          <w:szCs w:val="22"/>
        </w:rPr>
        <w:t>.</w:t>
      </w:r>
    </w:p>
    <w:bookmarkEnd w:id="5"/>
    <w:p w14:paraId="1B5A518A" w14:textId="73F208BA" w:rsidR="00873CDF" w:rsidRDefault="00873CDF" w:rsidP="00786F6E">
      <w:pPr>
        <w:rPr>
          <w:rFonts w:eastAsiaTheme="minorHAnsi" w:cs="Times New Roman"/>
          <w:color w:val="auto"/>
          <w:szCs w:val="20"/>
        </w:rPr>
      </w:pPr>
    </w:p>
    <w:p w14:paraId="2745B617" w14:textId="77777777" w:rsidR="00786F6E" w:rsidRPr="00B247FF" w:rsidRDefault="00786F6E" w:rsidP="00786F6E">
      <w:pPr>
        <w:rPr>
          <w:rFonts w:eastAsiaTheme="minorHAnsi" w:cs="Times New Roman"/>
          <w:color w:val="auto"/>
          <w:szCs w:val="20"/>
        </w:rPr>
      </w:pPr>
    </w:p>
    <w:p w14:paraId="6B8DEB86" w14:textId="41274FA3" w:rsidR="00E15BB4" w:rsidRPr="00B247FF" w:rsidRDefault="00746A05" w:rsidP="00786F6E">
      <w:pPr>
        <w:pStyle w:val="Heading2"/>
        <w:numPr>
          <w:ilvl w:val="1"/>
          <w:numId w:val="18"/>
        </w:numPr>
        <w:tabs>
          <w:tab w:val="left" w:pos="567"/>
        </w:tabs>
        <w:ind w:left="426" w:hanging="426"/>
        <w:jc w:val="left"/>
        <w:rPr>
          <w:rFonts w:eastAsiaTheme="minorHAnsi" w:cs="Times New Roman"/>
          <w:color w:val="auto"/>
          <w:szCs w:val="20"/>
        </w:rPr>
      </w:pPr>
      <w:r w:rsidRPr="00B247FF">
        <w:rPr>
          <w:color w:val="auto"/>
        </w:rPr>
        <w:lastRenderedPageBreak/>
        <w:t>DOSE AND METHOD OF ADMINISTRATION</w:t>
      </w:r>
      <w:r w:rsidR="005A21C3" w:rsidRPr="00B247FF">
        <w:rPr>
          <w:color w:val="auto"/>
        </w:rPr>
        <w:t xml:space="preserve">    </w:t>
      </w:r>
    </w:p>
    <w:p w14:paraId="06637E80" w14:textId="26CBF5F9" w:rsidR="00D22973" w:rsidRPr="00B247FF" w:rsidRDefault="00D22973" w:rsidP="00786F6E">
      <w:pPr>
        <w:rPr>
          <w:rFonts w:eastAsiaTheme="minorHAnsi"/>
        </w:rPr>
      </w:pPr>
      <w:r w:rsidRPr="00B247FF">
        <w:rPr>
          <w:rFonts w:eastAsiaTheme="minorHAnsi"/>
        </w:rPr>
        <w:t xml:space="preserve">RYBREVANT should be administered by a healthcare professional </w:t>
      </w:r>
      <w:r w:rsidR="004E795E" w:rsidRPr="00B247FF">
        <w:rPr>
          <w:rFonts w:eastAsiaTheme="minorHAnsi"/>
        </w:rPr>
        <w:t xml:space="preserve">in a setting </w:t>
      </w:r>
      <w:r w:rsidRPr="00B247FF">
        <w:rPr>
          <w:rFonts w:eastAsiaTheme="minorHAnsi"/>
        </w:rPr>
        <w:t xml:space="preserve">with appropriate medical support </w:t>
      </w:r>
      <w:r w:rsidR="001B09D5" w:rsidRPr="00B247FF">
        <w:rPr>
          <w:rFonts w:eastAsiaTheme="minorHAnsi"/>
        </w:rPr>
        <w:t xml:space="preserve">for the </w:t>
      </w:r>
      <w:r w:rsidRPr="00B247FF">
        <w:rPr>
          <w:rFonts w:eastAsiaTheme="minorHAnsi"/>
        </w:rPr>
        <w:t>manage</w:t>
      </w:r>
      <w:r w:rsidR="001B09D5" w:rsidRPr="00B247FF">
        <w:rPr>
          <w:rFonts w:eastAsiaTheme="minorHAnsi"/>
        </w:rPr>
        <w:t>ment of</w:t>
      </w:r>
      <w:r w:rsidRPr="00B247FF">
        <w:rPr>
          <w:rFonts w:eastAsiaTheme="minorHAnsi"/>
        </w:rPr>
        <w:t xml:space="preserve"> infusion-related reactions (IRRs)</w:t>
      </w:r>
      <w:r w:rsidR="001B09D5" w:rsidRPr="00B247FF">
        <w:rPr>
          <w:rFonts w:eastAsiaTheme="minorHAnsi"/>
        </w:rPr>
        <w:t>, including equipment for cardiorespiratory resuscitation</w:t>
      </w:r>
      <w:r w:rsidR="004E795E" w:rsidRPr="00B247FF">
        <w:rPr>
          <w:rFonts w:eastAsiaTheme="minorHAnsi"/>
        </w:rPr>
        <w:t>.</w:t>
      </w:r>
      <w:r w:rsidRPr="00B247FF">
        <w:rPr>
          <w:rFonts w:eastAsiaTheme="minorHAnsi"/>
        </w:rPr>
        <w:t xml:space="preserve"> </w:t>
      </w:r>
      <w:r w:rsidR="004E795E" w:rsidRPr="00B247FF">
        <w:rPr>
          <w:rFonts w:eastAsiaTheme="minorHAnsi"/>
        </w:rPr>
        <w:t>S</w:t>
      </w:r>
      <w:r w:rsidRPr="00B247FF">
        <w:rPr>
          <w:rFonts w:eastAsiaTheme="minorHAnsi"/>
        </w:rPr>
        <w:t xml:space="preserve">ee Section 4.4 </w:t>
      </w:r>
      <w:r w:rsidR="00D6497B" w:rsidRPr="00B247FF">
        <w:t xml:space="preserve">Special </w:t>
      </w:r>
      <w:r w:rsidR="00D42653" w:rsidRPr="00B247FF">
        <w:t>w</w:t>
      </w:r>
      <w:r w:rsidR="00D6497B" w:rsidRPr="00B247FF">
        <w:t xml:space="preserve">arnings and </w:t>
      </w:r>
      <w:r w:rsidR="00D42653" w:rsidRPr="00B247FF">
        <w:t>p</w:t>
      </w:r>
      <w:r w:rsidR="00D6497B" w:rsidRPr="00B247FF">
        <w:t xml:space="preserve">recautions for </w:t>
      </w:r>
      <w:r w:rsidR="00D42653" w:rsidRPr="00B247FF">
        <w:t>u</w:t>
      </w:r>
      <w:r w:rsidR="00D6497B" w:rsidRPr="00B247FF">
        <w:t>se</w:t>
      </w:r>
      <w:r w:rsidRPr="00B247FF">
        <w:rPr>
          <w:rFonts w:eastAsiaTheme="minorHAnsi"/>
        </w:rPr>
        <w:t>.</w:t>
      </w:r>
    </w:p>
    <w:p w14:paraId="3F6771D5" w14:textId="77777777" w:rsidR="00D22973" w:rsidRPr="00B247FF" w:rsidRDefault="00D22973" w:rsidP="00786F6E">
      <w:pPr>
        <w:rPr>
          <w:rFonts w:eastAsiaTheme="minorHAnsi"/>
        </w:rPr>
      </w:pPr>
    </w:p>
    <w:p w14:paraId="31F8AFC5" w14:textId="2D01D52C" w:rsidR="00D22973" w:rsidRPr="00B247FF" w:rsidRDefault="00D22973" w:rsidP="00786F6E">
      <w:pPr>
        <w:rPr>
          <w:rFonts w:eastAsiaTheme="minorHAnsi"/>
        </w:rPr>
      </w:pPr>
      <w:r w:rsidRPr="00B247FF">
        <w:rPr>
          <w:rFonts w:eastAsiaTheme="minorHAnsi"/>
        </w:rPr>
        <w:t xml:space="preserve">Administer pre-infusion medications (see Section 4.2 Pre-infusion </w:t>
      </w:r>
      <w:r w:rsidR="00185915" w:rsidRPr="00B247FF">
        <w:rPr>
          <w:rFonts w:eastAsiaTheme="minorHAnsi"/>
        </w:rPr>
        <w:t>m</w:t>
      </w:r>
      <w:r w:rsidRPr="00B247FF">
        <w:rPr>
          <w:rFonts w:eastAsiaTheme="minorHAnsi"/>
        </w:rPr>
        <w:t>edications).</w:t>
      </w:r>
    </w:p>
    <w:p w14:paraId="16A88F98" w14:textId="77777777" w:rsidR="00D22973" w:rsidRPr="00B247FF" w:rsidRDefault="00D22973" w:rsidP="00786F6E">
      <w:pPr>
        <w:rPr>
          <w:rFonts w:eastAsiaTheme="minorHAnsi"/>
        </w:rPr>
      </w:pPr>
    </w:p>
    <w:p w14:paraId="7095FBDB" w14:textId="703AD43E" w:rsidR="00D22973" w:rsidRPr="00B247FF" w:rsidRDefault="00D22973" w:rsidP="00786F6E">
      <w:pPr>
        <w:spacing w:after="240"/>
        <w:rPr>
          <w:rFonts w:eastAsiaTheme="minorHAnsi"/>
        </w:rPr>
      </w:pPr>
      <w:r w:rsidRPr="00B247FF">
        <w:rPr>
          <w:rFonts w:eastAsiaTheme="minorHAnsi"/>
        </w:rPr>
        <w:t xml:space="preserve">When considering the use of RYBREVANT, </w:t>
      </w:r>
      <w:r w:rsidR="008F295D" w:rsidRPr="00B247FF">
        <w:rPr>
          <w:rFonts w:eastAsiaTheme="minorHAnsi"/>
        </w:rPr>
        <w:t xml:space="preserve">the presence of an </w:t>
      </w:r>
      <w:r w:rsidRPr="00B247FF">
        <w:rPr>
          <w:rFonts w:eastAsiaTheme="minorHAnsi"/>
        </w:rPr>
        <w:t xml:space="preserve">EGFR </w:t>
      </w:r>
      <w:r w:rsidR="008F295D" w:rsidRPr="00B247FF">
        <w:rPr>
          <w:rFonts w:eastAsiaTheme="minorHAnsi"/>
        </w:rPr>
        <w:t>e</w:t>
      </w:r>
      <w:r w:rsidRPr="00B247FF">
        <w:rPr>
          <w:rFonts w:eastAsiaTheme="minorHAnsi"/>
        </w:rPr>
        <w:t>xon 20 insertion mutation should be established using a validated test (see Section 5.1 Clinical trials).</w:t>
      </w:r>
    </w:p>
    <w:p w14:paraId="3E54400C" w14:textId="689D2B60" w:rsidR="008856EC" w:rsidRPr="00B247FF" w:rsidRDefault="008856EC" w:rsidP="00786F6E">
      <w:pPr>
        <w:pStyle w:val="Heading3"/>
        <w:jc w:val="left"/>
        <w:rPr>
          <w:rFonts w:eastAsiaTheme="minorHAnsi"/>
        </w:rPr>
      </w:pPr>
      <w:r w:rsidRPr="00B247FF">
        <w:rPr>
          <w:rFonts w:eastAsiaTheme="minorHAnsi"/>
        </w:rPr>
        <w:t>Dosage</w:t>
      </w:r>
    </w:p>
    <w:p w14:paraId="7C8AC141" w14:textId="1BED4C68" w:rsidR="00D03F82" w:rsidRPr="00B247FF" w:rsidRDefault="009D3D0D" w:rsidP="00786F6E">
      <w:pPr>
        <w:pStyle w:val="Heading4"/>
        <w:rPr>
          <w:rFonts w:eastAsiaTheme="minorHAnsi"/>
          <w:iCs/>
          <w:color w:val="auto"/>
          <w:lang w:val="en-GB"/>
        </w:rPr>
      </w:pPr>
      <w:r w:rsidRPr="00B247FF">
        <w:rPr>
          <w:rFonts w:eastAsiaTheme="minorHAnsi"/>
          <w:color w:val="auto"/>
          <w:lang w:val="en-US"/>
        </w:rPr>
        <w:t>Dosage –</w:t>
      </w:r>
      <w:r w:rsidR="00366921" w:rsidRPr="00B247FF">
        <w:rPr>
          <w:rFonts w:eastAsiaTheme="minorHAnsi"/>
          <w:color w:val="auto"/>
          <w:lang w:val="en-US"/>
        </w:rPr>
        <w:t xml:space="preserve"> a</w:t>
      </w:r>
      <w:r w:rsidRPr="00B247FF">
        <w:rPr>
          <w:rFonts w:eastAsiaTheme="minorHAnsi"/>
          <w:color w:val="auto"/>
          <w:lang w:val="en-US"/>
        </w:rPr>
        <w:t>dults (≥18 years)</w:t>
      </w:r>
    </w:p>
    <w:p w14:paraId="06B0394C" w14:textId="7CCD0D57" w:rsidR="009D3D0D" w:rsidRPr="00B247FF" w:rsidRDefault="009D3D0D" w:rsidP="00786F6E">
      <w:pPr>
        <w:rPr>
          <w:rFonts w:eastAsiaTheme="minorHAnsi"/>
          <w:iCs/>
          <w:color w:val="auto"/>
          <w:lang w:val="en-US"/>
        </w:rPr>
      </w:pPr>
      <w:r w:rsidRPr="00B247FF">
        <w:rPr>
          <w:rFonts w:eastAsiaTheme="minorHAnsi"/>
          <w:iCs/>
          <w:color w:val="auto"/>
          <w:lang w:val="en-US"/>
        </w:rPr>
        <w:t>The recommended dose of RYBREVANT is provided in Table 1</w:t>
      </w:r>
      <w:r w:rsidR="00ED0EC6" w:rsidRPr="00B247FF">
        <w:rPr>
          <w:rFonts w:eastAsiaTheme="minorHAnsi"/>
          <w:iCs/>
          <w:color w:val="auto"/>
          <w:lang w:val="en-US"/>
        </w:rPr>
        <w:t>, and the dosing schedule is provided in Table 2</w:t>
      </w:r>
      <w:r w:rsidRPr="00B247FF">
        <w:rPr>
          <w:rFonts w:eastAsiaTheme="minorHAnsi"/>
          <w:iCs/>
          <w:color w:val="auto"/>
          <w:lang w:val="en-US"/>
        </w:rPr>
        <w:t>. (</w:t>
      </w:r>
      <w:r w:rsidR="00366921" w:rsidRPr="00B247FF">
        <w:rPr>
          <w:rFonts w:eastAsiaTheme="minorHAnsi"/>
          <w:iCs/>
          <w:color w:val="auto"/>
          <w:lang w:val="en-US"/>
        </w:rPr>
        <w:t>S</w:t>
      </w:r>
      <w:r w:rsidRPr="00B247FF">
        <w:rPr>
          <w:rFonts w:eastAsiaTheme="minorHAnsi"/>
          <w:iCs/>
          <w:color w:val="auto"/>
          <w:lang w:val="en-US"/>
        </w:rPr>
        <w:t>ee</w:t>
      </w:r>
      <w:r w:rsidR="00366921" w:rsidRPr="00B247FF">
        <w:rPr>
          <w:rFonts w:eastAsiaTheme="minorHAnsi"/>
          <w:iCs/>
          <w:color w:val="auto"/>
          <w:lang w:val="en-US"/>
        </w:rPr>
        <w:t xml:space="preserve"> also</w:t>
      </w:r>
      <w:r w:rsidRPr="00B247FF">
        <w:rPr>
          <w:rFonts w:eastAsiaTheme="minorHAnsi"/>
          <w:iCs/>
          <w:color w:val="auto"/>
          <w:lang w:val="en-US"/>
        </w:rPr>
        <w:t xml:space="preserve"> Infusion </w:t>
      </w:r>
      <w:r w:rsidR="00D42653" w:rsidRPr="00B247FF">
        <w:rPr>
          <w:rFonts w:eastAsiaTheme="minorHAnsi"/>
          <w:iCs/>
          <w:color w:val="auto"/>
          <w:lang w:val="en-US"/>
        </w:rPr>
        <w:t>r</w:t>
      </w:r>
      <w:r w:rsidRPr="00B247FF">
        <w:rPr>
          <w:rFonts w:eastAsiaTheme="minorHAnsi"/>
          <w:iCs/>
          <w:color w:val="auto"/>
          <w:lang w:val="en-US"/>
        </w:rPr>
        <w:t>ates – Table </w:t>
      </w:r>
      <w:r w:rsidR="00ED0EC6" w:rsidRPr="00B247FF">
        <w:rPr>
          <w:rFonts w:eastAsiaTheme="minorHAnsi"/>
          <w:iCs/>
          <w:color w:val="auto"/>
          <w:lang w:val="en-US"/>
        </w:rPr>
        <w:t>4</w:t>
      </w:r>
      <w:r w:rsidRPr="00B247FF">
        <w:rPr>
          <w:rFonts w:eastAsiaTheme="minorHAnsi"/>
          <w:iCs/>
          <w:color w:val="auto"/>
          <w:lang w:val="en-US"/>
        </w:rPr>
        <w:t>).</w:t>
      </w:r>
      <w:r w:rsidR="00366921" w:rsidRPr="00B247FF">
        <w:rPr>
          <w:rFonts w:eastAsiaTheme="minorHAnsi"/>
          <w:color w:val="auto"/>
          <w:lang w:val="en-US"/>
        </w:rPr>
        <w:t xml:space="preserve"> Administer RYBREVANT until disease progression or unacceptable toxicity.</w:t>
      </w:r>
    </w:p>
    <w:p w14:paraId="4C1BC306" w14:textId="550F1C06" w:rsidR="008856EC" w:rsidRPr="00B247FF" w:rsidRDefault="008856EC" w:rsidP="00786F6E">
      <w:pPr>
        <w:rPr>
          <w:rFonts w:eastAsiaTheme="minorHAnsi"/>
          <w:color w:val="auto"/>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5"/>
        <w:gridCol w:w="3106"/>
        <w:gridCol w:w="2829"/>
      </w:tblGrid>
      <w:tr w:rsidR="009D3D0D" w:rsidRPr="00B247FF" w14:paraId="08F869CB" w14:textId="77777777" w:rsidTr="009D3D0D">
        <w:tc>
          <w:tcPr>
            <w:tcW w:w="9350" w:type="dxa"/>
            <w:gridSpan w:val="3"/>
            <w:tcBorders>
              <w:top w:val="nil"/>
              <w:left w:val="nil"/>
              <w:right w:val="nil"/>
            </w:tcBorders>
            <w:shd w:val="clear" w:color="auto" w:fill="auto"/>
            <w:tcMar>
              <w:top w:w="0" w:type="dxa"/>
              <w:left w:w="108" w:type="dxa"/>
              <w:bottom w:w="0" w:type="dxa"/>
              <w:right w:w="108" w:type="dxa"/>
            </w:tcMar>
          </w:tcPr>
          <w:p w14:paraId="216DB654" w14:textId="6185B8D7" w:rsidR="009D3D0D" w:rsidRPr="00B247FF" w:rsidRDefault="009D3D0D" w:rsidP="00786F6E">
            <w:pPr>
              <w:keepNext/>
              <w:tabs>
                <w:tab w:val="left" w:pos="1152"/>
                <w:tab w:val="left" w:pos="1440"/>
              </w:tabs>
              <w:spacing w:before="60" w:after="60"/>
              <w:ind w:left="1152" w:hanging="1152"/>
              <w:rPr>
                <w:b/>
                <w:bCs/>
                <w:color w:val="auto"/>
                <w:lang w:val="en-US"/>
              </w:rPr>
            </w:pPr>
            <w:r w:rsidRPr="00B247FF">
              <w:rPr>
                <w:b/>
                <w:bCs/>
                <w:color w:val="auto"/>
                <w:lang w:val="en-US"/>
              </w:rPr>
              <w:t>Table </w:t>
            </w:r>
            <w:r w:rsidRPr="00B247FF">
              <w:rPr>
                <w:b/>
                <w:bCs/>
                <w:color w:val="auto"/>
                <w:lang w:val="en-US"/>
              </w:rPr>
              <w:fldChar w:fldCharType="begin"/>
            </w:r>
            <w:r w:rsidRPr="00B247FF">
              <w:rPr>
                <w:b/>
                <w:bCs/>
                <w:color w:val="auto"/>
                <w:lang w:val="en-US"/>
              </w:rPr>
              <w:instrText xml:space="preserve"> SEQ Table \* ARABIC </w:instrText>
            </w:r>
            <w:r w:rsidRPr="00B247FF">
              <w:rPr>
                <w:b/>
                <w:bCs/>
                <w:color w:val="auto"/>
                <w:lang w:val="en-US"/>
              </w:rPr>
              <w:fldChar w:fldCharType="separate"/>
            </w:r>
            <w:r w:rsidRPr="00B247FF">
              <w:rPr>
                <w:b/>
                <w:bCs/>
                <w:noProof/>
                <w:color w:val="auto"/>
                <w:lang w:val="en-US"/>
              </w:rPr>
              <w:t>1</w:t>
            </w:r>
            <w:r w:rsidRPr="00B247FF">
              <w:rPr>
                <w:b/>
                <w:bCs/>
                <w:color w:val="auto"/>
                <w:lang w:val="en-US"/>
              </w:rPr>
              <w:fldChar w:fldCharType="end"/>
            </w:r>
            <w:r w:rsidRPr="00B247FF">
              <w:rPr>
                <w:b/>
                <w:bCs/>
                <w:color w:val="auto"/>
                <w:lang w:val="en-US"/>
              </w:rPr>
              <w:t>:</w:t>
            </w:r>
            <w:r w:rsidRPr="00B247FF">
              <w:rPr>
                <w:b/>
                <w:bCs/>
                <w:color w:val="auto"/>
                <w:lang w:val="en-US"/>
              </w:rPr>
              <w:tab/>
              <w:t xml:space="preserve">Recommended </w:t>
            </w:r>
            <w:r w:rsidR="00AE7FBB" w:rsidRPr="00B247FF">
              <w:rPr>
                <w:b/>
                <w:bCs/>
                <w:color w:val="auto"/>
                <w:lang w:val="en-US"/>
              </w:rPr>
              <w:t>d</w:t>
            </w:r>
            <w:r w:rsidRPr="00B247FF">
              <w:rPr>
                <w:b/>
                <w:bCs/>
                <w:color w:val="auto"/>
                <w:lang w:val="en-US"/>
              </w:rPr>
              <w:t>ose of RYBREVANT</w:t>
            </w:r>
          </w:p>
        </w:tc>
      </w:tr>
      <w:tr w:rsidR="009D3D0D" w:rsidRPr="00B247FF" w14:paraId="52CC97EC" w14:textId="77777777" w:rsidTr="00366921">
        <w:trPr>
          <w:trHeight w:val="273"/>
        </w:trPr>
        <w:tc>
          <w:tcPr>
            <w:tcW w:w="3415" w:type="dxa"/>
            <w:shd w:val="clear" w:color="auto" w:fill="auto"/>
            <w:tcMar>
              <w:top w:w="0" w:type="dxa"/>
              <w:left w:w="108" w:type="dxa"/>
              <w:bottom w:w="0" w:type="dxa"/>
              <w:right w:w="108" w:type="dxa"/>
            </w:tcMar>
            <w:hideMark/>
          </w:tcPr>
          <w:p w14:paraId="3CFF49D8" w14:textId="287FEA75" w:rsidR="009D3D0D" w:rsidRPr="00B247FF" w:rsidRDefault="009D3D0D" w:rsidP="00786F6E">
            <w:pPr>
              <w:spacing w:before="120" w:after="120"/>
              <w:rPr>
                <w:rFonts w:eastAsiaTheme="minorHAnsi"/>
                <w:b/>
                <w:bCs/>
                <w:iCs/>
                <w:color w:val="auto"/>
                <w:lang w:val="en-US"/>
              </w:rPr>
            </w:pPr>
            <w:r w:rsidRPr="00B247FF">
              <w:rPr>
                <w:rFonts w:eastAsiaTheme="minorHAnsi"/>
                <w:b/>
                <w:bCs/>
                <w:iCs/>
                <w:color w:val="auto"/>
                <w:lang w:val="en-US"/>
              </w:rPr>
              <w:t xml:space="preserve">Body </w:t>
            </w:r>
            <w:r w:rsidR="00D4770B" w:rsidRPr="00B247FF">
              <w:rPr>
                <w:rFonts w:eastAsiaTheme="minorHAnsi"/>
                <w:b/>
                <w:bCs/>
                <w:iCs/>
                <w:color w:val="auto"/>
                <w:lang w:val="en-US"/>
              </w:rPr>
              <w:t>w</w:t>
            </w:r>
            <w:r w:rsidRPr="00B247FF">
              <w:rPr>
                <w:rFonts w:eastAsiaTheme="minorHAnsi"/>
                <w:b/>
                <w:bCs/>
                <w:iCs/>
                <w:color w:val="auto"/>
                <w:lang w:val="en-US"/>
              </w:rPr>
              <w:t xml:space="preserve">eight of </w:t>
            </w:r>
            <w:r w:rsidR="00D4770B" w:rsidRPr="00B247FF">
              <w:rPr>
                <w:rFonts w:eastAsiaTheme="minorHAnsi"/>
                <w:b/>
                <w:bCs/>
                <w:iCs/>
                <w:color w:val="auto"/>
                <w:lang w:val="en-US"/>
              </w:rPr>
              <w:t>p</w:t>
            </w:r>
            <w:r w:rsidRPr="00B247FF">
              <w:rPr>
                <w:rFonts w:eastAsiaTheme="minorHAnsi"/>
                <w:b/>
                <w:bCs/>
                <w:iCs/>
                <w:color w:val="auto"/>
                <w:lang w:val="en-US"/>
              </w:rPr>
              <w:t xml:space="preserve">atient </w:t>
            </w:r>
            <w:r w:rsidRPr="00B247FF">
              <w:rPr>
                <w:rFonts w:eastAsiaTheme="minorHAnsi"/>
                <w:b/>
                <w:bCs/>
                <w:iCs/>
                <w:color w:val="auto"/>
                <w:lang w:val="en-US"/>
              </w:rPr>
              <w:br/>
              <w:t xml:space="preserve">(at </w:t>
            </w:r>
            <w:r w:rsidR="00D4770B" w:rsidRPr="00B247FF">
              <w:rPr>
                <w:rFonts w:eastAsiaTheme="minorHAnsi"/>
                <w:b/>
                <w:bCs/>
                <w:iCs/>
                <w:color w:val="auto"/>
                <w:lang w:val="en-US"/>
              </w:rPr>
              <w:t>b</w:t>
            </w:r>
            <w:r w:rsidRPr="00B247FF">
              <w:rPr>
                <w:rFonts w:eastAsiaTheme="minorHAnsi"/>
                <w:b/>
                <w:bCs/>
                <w:iCs/>
                <w:color w:val="auto"/>
                <w:lang w:val="en-US"/>
              </w:rPr>
              <w:t>aseline*)</w:t>
            </w:r>
          </w:p>
        </w:tc>
        <w:tc>
          <w:tcPr>
            <w:tcW w:w="3106" w:type="dxa"/>
            <w:shd w:val="clear" w:color="auto" w:fill="auto"/>
            <w:tcMar>
              <w:top w:w="0" w:type="dxa"/>
              <w:left w:w="108" w:type="dxa"/>
              <w:bottom w:w="0" w:type="dxa"/>
              <w:right w:w="108" w:type="dxa"/>
            </w:tcMar>
            <w:hideMark/>
          </w:tcPr>
          <w:p w14:paraId="28C0A6AE" w14:textId="49143ED3" w:rsidR="009D3D0D" w:rsidRPr="00B247FF" w:rsidRDefault="009D3D0D" w:rsidP="00786F6E">
            <w:pPr>
              <w:spacing w:before="120" w:after="120"/>
              <w:rPr>
                <w:rFonts w:eastAsiaTheme="minorHAnsi"/>
                <w:b/>
                <w:bCs/>
                <w:iCs/>
                <w:color w:val="auto"/>
                <w:lang w:val="en-US"/>
              </w:rPr>
            </w:pPr>
            <w:r w:rsidRPr="00B247FF">
              <w:rPr>
                <w:rFonts w:eastAsiaTheme="minorHAnsi"/>
                <w:b/>
                <w:bCs/>
                <w:iCs/>
                <w:color w:val="auto"/>
                <w:lang w:val="en-US"/>
              </w:rPr>
              <w:t xml:space="preserve">Recommended </w:t>
            </w:r>
            <w:r w:rsidR="00AE7FBB" w:rsidRPr="00B247FF">
              <w:rPr>
                <w:rFonts w:eastAsiaTheme="minorHAnsi"/>
                <w:b/>
                <w:bCs/>
                <w:iCs/>
                <w:color w:val="auto"/>
                <w:lang w:val="en-US"/>
              </w:rPr>
              <w:t>d</w:t>
            </w:r>
            <w:r w:rsidRPr="00B247FF">
              <w:rPr>
                <w:rFonts w:eastAsiaTheme="minorHAnsi"/>
                <w:b/>
                <w:bCs/>
                <w:iCs/>
                <w:color w:val="auto"/>
                <w:lang w:val="en-US"/>
              </w:rPr>
              <w:t>ose</w:t>
            </w:r>
          </w:p>
        </w:tc>
        <w:tc>
          <w:tcPr>
            <w:tcW w:w="2829" w:type="dxa"/>
            <w:shd w:val="clear" w:color="auto" w:fill="auto"/>
            <w:tcMar>
              <w:top w:w="0" w:type="dxa"/>
              <w:left w:w="108" w:type="dxa"/>
              <w:bottom w:w="0" w:type="dxa"/>
              <w:right w:w="108" w:type="dxa"/>
            </w:tcMar>
            <w:hideMark/>
          </w:tcPr>
          <w:p w14:paraId="01C7386E" w14:textId="28BAEFBB" w:rsidR="009D3D0D" w:rsidRPr="00B247FF" w:rsidRDefault="009D3D0D" w:rsidP="00786F6E">
            <w:pPr>
              <w:numPr>
                <w:ilvl w:val="0"/>
                <w:numId w:val="15"/>
              </w:numPr>
              <w:spacing w:before="120" w:after="120"/>
              <w:ind w:left="0" w:hanging="431"/>
              <w:rPr>
                <w:rFonts w:eastAsiaTheme="minorHAnsi"/>
                <w:b/>
                <w:bCs/>
                <w:iCs/>
                <w:color w:val="auto"/>
                <w:lang w:val="en-US"/>
              </w:rPr>
            </w:pPr>
            <w:r w:rsidRPr="00B247FF">
              <w:rPr>
                <w:rFonts w:eastAsiaTheme="minorHAnsi"/>
                <w:b/>
                <w:bCs/>
                <w:iCs/>
                <w:color w:val="auto"/>
                <w:lang w:val="en-US"/>
              </w:rPr>
              <w:t xml:space="preserve">Number of 350 mg/7 mL RYBREVANT </w:t>
            </w:r>
            <w:r w:rsidR="00AE7FBB" w:rsidRPr="00B247FF">
              <w:rPr>
                <w:rFonts w:eastAsiaTheme="minorHAnsi"/>
                <w:b/>
                <w:bCs/>
                <w:iCs/>
                <w:color w:val="auto"/>
                <w:lang w:val="en-US"/>
              </w:rPr>
              <w:t>v</w:t>
            </w:r>
            <w:r w:rsidRPr="00B247FF">
              <w:rPr>
                <w:rFonts w:eastAsiaTheme="minorHAnsi"/>
                <w:b/>
                <w:bCs/>
                <w:iCs/>
                <w:color w:val="auto"/>
                <w:lang w:val="en-US"/>
              </w:rPr>
              <w:t>ials</w:t>
            </w:r>
          </w:p>
        </w:tc>
      </w:tr>
      <w:tr w:rsidR="009D3D0D" w:rsidRPr="00B247FF" w14:paraId="1A7702C0" w14:textId="77777777" w:rsidTr="009D3D0D">
        <w:tc>
          <w:tcPr>
            <w:tcW w:w="3415" w:type="dxa"/>
            <w:shd w:val="clear" w:color="auto" w:fill="auto"/>
            <w:tcMar>
              <w:top w:w="0" w:type="dxa"/>
              <w:left w:w="108" w:type="dxa"/>
              <w:bottom w:w="0" w:type="dxa"/>
              <w:right w:w="108" w:type="dxa"/>
            </w:tcMar>
            <w:vAlign w:val="center"/>
            <w:hideMark/>
          </w:tcPr>
          <w:p w14:paraId="0DED08EA" w14:textId="77777777" w:rsidR="009D3D0D" w:rsidRPr="00B247FF" w:rsidRDefault="009D3D0D" w:rsidP="00786F6E">
            <w:pPr>
              <w:spacing w:before="120" w:after="120"/>
              <w:rPr>
                <w:rFonts w:eastAsiaTheme="minorHAnsi"/>
                <w:iCs/>
                <w:color w:val="auto"/>
                <w:lang w:val="en-US"/>
              </w:rPr>
            </w:pPr>
            <w:r w:rsidRPr="00B247FF">
              <w:rPr>
                <w:rFonts w:eastAsiaTheme="minorHAnsi"/>
                <w:iCs/>
                <w:color w:val="auto"/>
                <w:lang w:val="en-US"/>
              </w:rPr>
              <w:t>Less than 80 kg</w:t>
            </w:r>
          </w:p>
        </w:tc>
        <w:tc>
          <w:tcPr>
            <w:tcW w:w="3106" w:type="dxa"/>
            <w:shd w:val="clear" w:color="auto" w:fill="auto"/>
            <w:tcMar>
              <w:top w:w="0" w:type="dxa"/>
              <w:left w:w="108" w:type="dxa"/>
              <w:bottom w:w="0" w:type="dxa"/>
              <w:right w:w="108" w:type="dxa"/>
            </w:tcMar>
            <w:vAlign w:val="center"/>
            <w:hideMark/>
          </w:tcPr>
          <w:p w14:paraId="597BAAC2" w14:textId="77777777" w:rsidR="009D3D0D" w:rsidRPr="00B247FF" w:rsidRDefault="009D3D0D" w:rsidP="00786F6E">
            <w:pPr>
              <w:spacing w:before="120" w:after="120"/>
              <w:rPr>
                <w:rFonts w:eastAsiaTheme="minorHAnsi"/>
                <w:iCs/>
                <w:color w:val="auto"/>
                <w:lang w:val="en-US"/>
              </w:rPr>
            </w:pPr>
            <w:r w:rsidRPr="00B247FF">
              <w:rPr>
                <w:rFonts w:eastAsiaTheme="minorHAnsi"/>
                <w:iCs/>
                <w:color w:val="auto"/>
                <w:lang w:val="en-US"/>
              </w:rPr>
              <w:t>1050 mg</w:t>
            </w:r>
          </w:p>
        </w:tc>
        <w:tc>
          <w:tcPr>
            <w:tcW w:w="2829" w:type="dxa"/>
            <w:shd w:val="clear" w:color="auto" w:fill="auto"/>
            <w:tcMar>
              <w:top w:w="0" w:type="dxa"/>
              <w:left w:w="108" w:type="dxa"/>
              <w:bottom w:w="0" w:type="dxa"/>
              <w:right w:w="108" w:type="dxa"/>
            </w:tcMar>
            <w:vAlign w:val="center"/>
            <w:hideMark/>
          </w:tcPr>
          <w:p w14:paraId="7852C5B1" w14:textId="77777777" w:rsidR="009D3D0D" w:rsidRPr="00B247FF" w:rsidRDefault="009D3D0D" w:rsidP="00786F6E">
            <w:pPr>
              <w:spacing w:before="120" w:after="120"/>
              <w:rPr>
                <w:rFonts w:eastAsiaTheme="minorHAnsi"/>
                <w:iCs/>
                <w:color w:val="auto"/>
                <w:lang w:val="en-US"/>
              </w:rPr>
            </w:pPr>
            <w:r w:rsidRPr="00B247FF">
              <w:rPr>
                <w:rFonts w:eastAsiaTheme="minorHAnsi"/>
                <w:iCs/>
                <w:color w:val="auto"/>
                <w:lang w:val="en-US"/>
              </w:rPr>
              <w:t>3</w:t>
            </w:r>
          </w:p>
        </w:tc>
      </w:tr>
      <w:tr w:rsidR="009D3D0D" w:rsidRPr="00B247FF" w14:paraId="4932FD35" w14:textId="77777777" w:rsidTr="009D3D0D">
        <w:tc>
          <w:tcPr>
            <w:tcW w:w="3415" w:type="dxa"/>
            <w:shd w:val="clear" w:color="auto" w:fill="auto"/>
            <w:tcMar>
              <w:top w:w="0" w:type="dxa"/>
              <w:left w:w="108" w:type="dxa"/>
              <w:bottom w:w="0" w:type="dxa"/>
              <w:right w:w="108" w:type="dxa"/>
            </w:tcMar>
            <w:vAlign w:val="center"/>
            <w:hideMark/>
          </w:tcPr>
          <w:p w14:paraId="62B14582" w14:textId="77777777" w:rsidR="009D3D0D" w:rsidRPr="00B247FF" w:rsidRDefault="009D3D0D" w:rsidP="00786F6E">
            <w:pPr>
              <w:spacing w:before="120" w:after="120"/>
              <w:rPr>
                <w:rFonts w:eastAsiaTheme="minorHAnsi"/>
                <w:iCs/>
                <w:color w:val="auto"/>
                <w:lang w:val="en-US"/>
              </w:rPr>
            </w:pPr>
            <w:r w:rsidRPr="00B247FF">
              <w:rPr>
                <w:rFonts w:eastAsiaTheme="minorHAnsi"/>
                <w:iCs/>
                <w:color w:val="auto"/>
                <w:lang w:val="en-US"/>
              </w:rPr>
              <w:t>Greater than or equal to 80 kg</w:t>
            </w:r>
          </w:p>
        </w:tc>
        <w:tc>
          <w:tcPr>
            <w:tcW w:w="3106" w:type="dxa"/>
            <w:shd w:val="clear" w:color="auto" w:fill="auto"/>
            <w:tcMar>
              <w:top w:w="0" w:type="dxa"/>
              <w:left w:w="108" w:type="dxa"/>
              <w:bottom w:w="0" w:type="dxa"/>
              <w:right w:w="108" w:type="dxa"/>
            </w:tcMar>
            <w:vAlign w:val="center"/>
            <w:hideMark/>
          </w:tcPr>
          <w:p w14:paraId="45C46A30" w14:textId="77777777" w:rsidR="009D3D0D" w:rsidRPr="00B247FF" w:rsidRDefault="009D3D0D" w:rsidP="00786F6E">
            <w:pPr>
              <w:spacing w:before="120" w:after="120"/>
              <w:rPr>
                <w:rFonts w:eastAsiaTheme="minorHAnsi"/>
                <w:iCs/>
                <w:color w:val="auto"/>
                <w:lang w:val="en-US"/>
              </w:rPr>
            </w:pPr>
            <w:r w:rsidRPr="00B247FF">
              <w:rPr>
                <w:rFonts w:eastAsiaTheme="minorHAnsi"/>
                <w:iCs/>
                <w:color w:val="auto"/>
                <w:lang w:val="en-US"/>
              </w:rPr>
              <w:t>1400 mg</w:t>
            </w:r>
          </w:p>
        </w:tc>
        <w:tc>
          <w:tcPr>
            <w:tcW w:w="2829" w:type="dxa"/>
            <w:shd w:val="clear" w:color="auto" w:fill="auto"/>
            <w:tcMar>
              <w:top w:w="0" w:type="dxa"/>
              <w:left w:w="108" w:type="dxa"/>
              <w:bottom w:w="0" w:type="dxa"/>
              <w:right w:w="108" w:type="dxa"/>
            </w:tcMar>
            <w:vAlign w:val="center"/>
            <w:hideMark/>
          </w:tcPr>
          <w:p w14:paraId="1B2A84BD" w14:textId="77777777" w:rsidR="009D3D0D" w:rsidRPr="00B247FF" w:rsidRDefault="009D3D0D" w:rsidP="00786F6E">
            <w:pPr>
              <w:spacing w:before="120" w:after="120"/>
              <w:rPr>
                <w:rFonts w:eastAsiaTheme="minorHAnsi"/>
                <w:iCs/>
                <w:color w:val="auto"/>
                <w:lang w:val="en-US"/>
              </w:rPr>
            </w:pPr>
            <w:r w:rsidRPr="00B247FF">
              <w:rPr>
                <w:rFonts w:eastAsiaTheme="minorHAnsi"/>
                <w:iCs/>
                <w:color w:val="auto"/>
                <w:lang w:val="en-US"/>
              </w:rPr>
              <w:t>4</w:t>
            </w:r>
          </w:p>
        </w:tc>
      </w:tr>
    </w:tbl>
    <w:p w14:paraId="4428BD16" w14:textId="2FD55357" w:rsidR="009D3D0D" w:rsidRPr="00B247FF" w:rsidRDefault="009D3D0D" w:rsidP="00786F6E">
      <w:pPr>
        <w:tabs>
          <w:tab w:val="left" w:pos="360"/>
        </w:tabs>
        <w:ind w:left="360" w:hanging="360"/>
        <w:rPr>
          <w:color w:val="auto"/>
          <w:lang w:val="en-US"/>
        </w:rPr>
      </w:pPr>
      <w:bookmarkStart w:id="6" w:name="_Hlk52446912"/>
      <w:bookmarkStart w:id="7" w:name="_Hlk53323777"/>
      <w:r w:rsidRPr="00B247FF">
        <w:rPr>
          <w:color w:val="auto"/>
          <w:lang w:val="en-US"/>
        </w:rPr>
        <w:t>* Dose adjustments not required for subsequent body weight changes.</w:t>
      </w:r>
      <w:bookmarkEnd w:id="6"/>
    </w:p>
    <w:p w14:paraId="25EAF910" w14:textId="77777777" w:rsidR="007D4BD6" w:rsidRPr="00B247FF" w:rsidRDefault="007D4BD6" w:rsidP="00786F6E">
      <w:pPr>
        <w:tabs>
          <w:tab w:val="left" w:pos="360"/>
        </w:tabs>
        <w:ind w:left="360" w:hanging="360"/>
        <w:rPr>
          <w:color w:val="auto"/>
          <w:lang w:val="en-US"/>
        </w:rPr>
      </w:pPr>
    </w:p>
    <w:bookmarkEnd w:id="7"/>
    <w:p w14:paraId="3FB2F383" w14:textId="4D3BF64A" w:rsidR="009D3D0D" w:rsidRPr="00B247FF" w:rsidRDefault="009D3D0D" w:rsidP="00786F6E">
      <w:pPr>
        <w:rPr>
          <w:rFonts w:eastAsiaTheme="minorHAnsi"/>
          <w:color w:val="auto"/>
          <w:lang w:val="en-GB"/>
        </w:rPr>
      </w:pPr>
    </w:p>
    <w:tbl>
      <w:tblPr>
        <w:tblW w:w="0" w:type="auto"/>
        <w:tblCellMar>
          <w:left w:w="0" w:type="dxa"/>
          <w:right w:w="0" w:type="dxa"/>
        </w:tblCellMar>
        <w:tblLook w:val="04A0" w:firstRow="1" w:lastRow="0" w:firstColumn="1" w:lastColumn="0" w:noHBand="0" w:noVBand="1"/>
      </w:tblPr>
      <w:tblGrid>
        <w:gridCol w:w="2127"/>
        <w:gridCol w:w="7233"/>
      </w:tblGrid>
      <w:tr w:rsidR="00ED0EC6" w:rsidRPr="00B247FF" w14:paraId="65E1634C" w14:textId="77777777" w:rsidTr="00ED0EC6">
        <w:tc>
          <w:tcPr>
            <w:tcW w:w="9360" w:type="dxa"/>
            <w:gridSpan w:val="2"/>
            <w:tcBorders>
              <w:bottom w:val="single" w:sz="4" w:space="0" w:color="auto"/>
            </w:tcBorders>
            <w:shd w:val="clear" w:color="auto" w:fill="auto"/>
            <w:tcMar>
              <w:top w:w="0" w:type="dxa"/>
              <w:left w:w="108" w:type="dxa"/>
              <w:bottom w:w="0" w:type="dxa"/>
              <w:right w:w="108" w:type="dxa"/>
            </w:tcMar>
          </w:tcPr>
          <w:p w14:paraId="06B842A5" w14:textId="268BB2ED" w:rsidR="00ED0EC6" w:rsidRPr="00B247FF" w:rsidRDefault="00ED0EC6" w:rsidP="00786F6E">
            <w:pPr>
              <w:rPr>
                <w:rFonts w:eastAsiaTheme="minorHAnsi"/>
                <w:b/>
                <w:bCs/>
                <w:color w:val="auto"/>
                <w:lang w:val="en-US"/>
              </w:rPr>
            </w:pPr>
            <w:r w:rsidRPr="00B247FF">
              <w:rPr>
                <w:rFonts w:eastAsiaTheme="minorHAnsi"/>
                <w:b/>
                <w:bCs/>
                <w:color w:val="auto"/>
                <w:lang w:val="en-US"/>
              </w:rPr>
              <w:t>Table 2:</w:t>
            </w:r>
            <w:r w:rsidRPr="00B247FF">
              <w:rPr>
                <w:rFonts w:eastAsiaTheme="minorHAnsi"/>
                <w:b/>
                <w:bCs/>
                <w:color w:val="auto"/>
                <w:lang w:val="en-US"/>
              </w:rPr>
              <w:tab/>
              <w:t xml:space="preserve">Dosing </w:t>
            </w:r>
            <w:r w:rsidR="00AE7FBB" w:rsidRPr="00B247FF">
              <w:rPr>
                <w:rFonts w:eastAsiaTheme="minorHAnsi"/>
                <w:b/>
                <w:bCs/>
                <w:color w:val="auto"/>
                <w:lang w:val="en-US"/>
              </w:rPr>
              <w:t>s</w:t>
            </w:r>
            <w:r w:rsidRPr="00B247FF">
              <w:rPr>
                <w:rFonts w:eastAsiaTheme="minorHAnsi"/>
                <w:b/>
                <w:bCs/>
                <w:color w:val="auto"/>
                <w:lang w:val="en-US"/>
              </w:rPr>
              <w:t>chedule for</w:t>
            </w:r>
            <w:r w:rsidRPr="00B247FF">
              <w:rPr>
                <w:rFonts w:eastAsiaTheme="minorHAnsi"/>
                <w:b/>
                <w:bCs/>
                <w:color w:val="auto"/>
                <w:vertAlign w:val="superscript"/>
                <w:lang w:val="en-US"/>
              </w:rPr>
              <w:t xml:space="preserve"> </w:t>
            </w:r>
            <w:r w:rsidRPr="00B247FF">
              <w:rPr>
                <w:rFonts w:eastAsiaTheme="minorHAnsi"/>
                <w:b/>
                <w:bCs/>
                <w:color w:val="auto"/>
                <w:lang w:val="en-US"/>
              </w:rPr>
              <w:t>RYBREVANT</w:t>
            </w:r>
          </w:p>
        </w:tc>
      </w:tr>
      <w:tr w:rsidR="00ED0EC6" w:rsidRPr="00B247FF" w14:paraId="28D2B8C9" w14:textId="77777777" w:rsidTr="006A3B93">
        <w:tc>
          <w:tcPr>
            <w:tcW w:w="212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12AB43A7" w14:textId="77777777" w:rsidR="00ED0EC6" w:rsidRPr="00B247FF" w:rsidRDefault="00ED0EC6" w:rsidP="00786F6E">
            <w:pPr>
              <w:spacing w:before="120" w:after="120"/>
              <w:rPr>
                <w:rFonts w:eastAsiaTheme="minorHAnsi"/>
                <w:b/>
                <w:bCs/>
                <w:iCs/>
                <w:color w:val="auto"/>
                <w:lang w:val="en-US"/>
              </w:rPr>
            </w:pPr>
            <w:r w:rsidRPr="00B247FF">
              <w:rPr>
                <w:rFonts w:eastAsiaTheme="minorHAnsi"/>
                <w:b/>
                <w:bCs/>
                <w:iCs/>
                <w:color w:val="auto"/>
                <w:lang w:val="en-US"/>
              </w:rPr>
              <w:t>Weeks</w:t>
            </w:r>
          </w:p>
        </w:tc>
        <w:tc>
          <w:tcPr>
            <w:tcW w:w="723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hideMark/>
          </w:tcPr>
          <w:p w14:paraId="4F4F1B2F" w14:textId="77777777" w:rsidR="00ED0EC6" w:rsidRPr="00B247FF" w:rsidRDefault="00ED0EC6" w:rsidP="00786F6E">
            <w:pPr>
              <w:spacing w:before="120" w:after="120"/>
              <w:rPr>
                <w:rFonts w:eastAsiaTheme="minorHAnsi"/>
                <w:b/>
                <w:bCs/>
                <w:iCs/>
                <w:color w:val="auto"/>
                <w:lang w:val="en-US"/>
              </w:rPr>
            </w:pPr>
            <w:r w:rsidRPr="00B247FF">
              <w:rPr>
                <w:rFonts w:eastAsiaTheme="minorHAnsi"/>
                <w:b/>
                <w:bCs/>
                <w:iCs/>
                <w:color w:val="auto"/>
                <w:lang w:val="en-US"/>
              </w:rPr>
              <w:t>Schedule</w:t>
            </w:r>
          </w:p>
        </w:tc>
      </w:tr>
      <w:tr w:rsidR="00ED0EC6" w:rsidRPr="00B247FF" w14:paraId="5717EC59" w14:textId="77777777" w:rsidTr="006A3B93">
        <w:tc>
          <w:tcPr>
            <w:tcW w:w="212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707C146" w14:textId="58C6EC1D" w:rsidR="00ED0EC6" w:rsidRPr="00B247FF" w:rsidRDefault="00ED0EC6" w:rsidP="00786F6E">
            <w:pPr>
              <w:spacing w:before="120" w:after="120"/>
              <w:rPr>
                <w:rFonts w:eastAsiaTheme="minorHAnsi"/>
                <w:iCs/>
                <w:color w:val="auto"/>
                <w:lang w:val="en-US"/>
              </w:rPr>
            </w:pPr>
            <w:r w:rsidRPr="00B247FF">
              <w:rPr>
                <w:rFonts w:eastAsiaTheme="minorHAnsi"/>
                <w:iCs/>
                <w:color w:val="auto"/>
                <w:lang w:val="en-US"/>
              </w:rPr>
              <w:t>Week 1</w:t>
            </w:r>
          </w:p>
        </w:tc>
        <w:tc>
          <w:tcPr>
            <w:tcW w:w="723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3F8E747E" w14:textId="625D09DF" w:rsidR="00ED0EC6" w:rsidRPr="00B247FF" w:rsidRDefault="006A3B93" w:rsidP="00786F6E">
            <w:pPr>
              <w:spacing w:before="120" w:after="120"/>
              <w:rPr>
                <w:rFonts w:eastAsiaTheme="minorHAnsi"/>
                <w:iCs/>
                <w:color w:val="auto"/>
                <w:lang w:val="en-US"/>
              </w:rPr>
            </w:pPr>
            <w:r w:rsidRPr="00B247FF">
              <w:rPr>
                <w:rFonts w:eastAsiaTheme="minorHAnsi"/>
                <w:iCs/>
                <w:color w:val="auto"/>
                <w:lang w:val="en-US"/>
              </w:rPr>
              <w:t>Split dose over two infusions: one on Day 1 and one on Day 2</w:t>
            </w:r>
          </w:p>
        </w:tc>
      </w:tr>
      <w:tr w:rsidR="00934C6C" w:rsidRPr="00B247FF" w14:paraId="245EBEDC" w14:textId="77777777" w:rsidTr="006A3B93">
        <w:tc>
          <w:tcPr>
            <w:tcW w:w="212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953C9BE" w14:textId="6352A774" w:rsidR="00934C6C" w:rsidRPr="00B247FF" w:rsidRDefault="006A3B93" w:rsidP="00786F6E">
            <w:pPr>
              <w:spacing w:before="120" w:after="120"/>
              <w:rPr>
                <w:rFonts w:eastAsiaTheme="minorHAnsi"/>
                <w:iCs/>
                <w:color w:val="auto"/>
                <w:lang w:val="en-US"/>
              </w:rPr>
            </w:pPr>
            <w:r w:rsidRPr="00B247FF">
              <w:rPr>
                <w:rFonts w:eastAsiaTheme="minorHAnsi"/>
                <w:iCs/>
                <w:color w:val="auto"/>
                <w:lang w:val="en-US"/>
              </w:rPr>
              <w:t>Weeks 2 to 4</w:t>
            </w:r>
          </w:p>
        </w:tc>
        <w:tc>
          <w:tcPr>
            <w:tcW w:w="723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6F716A" w14:textId="4EB04B92" w:rsidR="00934C6C" w:rsidRPr="00B247FF" w:rsidRDefault="006A3B93" w:rsidP="00786F6E">
            <w:pPr>
              <w:spacing w:before="120" w:after="120"/>
              <w:rPr>
                <w:rFonts w:eastAsiaTheme="minorHAnsi"/>
                <w:iCs/>
                <w:color w:val="auto"/>
                <w:lang w:val="en-US"/>
              </w:rPr>
            </w:pPr>
            <w:r w:rsidRPr="00B247FF">
              <w:rPr>
                <w:rFonts w:eastAsiaTheme="minorHAnsi"/>
                <w:iCs/>
                <w:color w:val="auto"/>
                <w:lang w:val="en-US"/>
              </w:rPr>
              <w:t>Full dose infusion on Day 1 of each week</w:t>
            </w:r>
          </w:p>
        </w:tc>
      </w:tr>
      <w:tr w:rsidR="00ED0EC6" w:rsidRPr="00B247FF" w14:paraId="0B6B8424" w14:textId="77777777" w:rsidTr="006A3B93">
        <w:tc>
          <w:tcPr>
            <w:tcW w:w="2127"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14:paraId="4BD305B9" w14:textId="77777777" w:rsidR="00ED0EC6" w:rsidRPr="00B247FF" w:rsidRDefault="00ED0EC6" w:rsidP="00786F6E">
            <w:pPr>
              <w:spacing w:before="120" w:after="120"/>
              <w:rPr>
                <w:rFonts w:eastAsiaTheme="minorHAnsi"/>
                <w:iCs/>
                <w:color w:val="auto"/>
                <w:lang w:val="en-US"/>
              </w:rPr>
            </w:pPr>
            <w:r w:rsidRPr="00B247FF">
              <w:rPr>
                <w:rFonts w:eastAsiaTheme="minorHAnsi"/>
                <w:iCs/>
                <w:color w:val="auto"/>
                <w:lang w:val="en-US"/>
              </w:rPr>
              <w:t>Week 5 onwards</w:t>
            </w:r>
          </w:p>
        </w:tc>
        <w:tc>
          <w:tcPr>
            <w:tcW w:w="723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14:paraId="798F598E" w14:textId="47E49243" w:rsidR="00ED0EC6" w:rsidRPr="00B247FF" w:rsidRDefault="006A3B93" w:rsidP="00786F6E">
            <w:pPr>
              <w:spacing w:before="120" w:after="120"/>
              <w:rPr>
                <w:rFonts w:eastAsiaTheme="minorHAnsi"/>
                <w:iCs/>
                <w:color w:val="auto"/>
                <w:lang w:val="en-US"/>
              </w:rPr>
            </w:pPr>
            <w:r w:rsidRPr="00B247FF">
              <w:rPr>
                <w:rFonts w:eastAsiaTheme="minorHAnsi"/>
                <w:iCs/>
                <w:color w:val="auto"/>
                <w:lang w:val="en-US"/>
              </w:rPr>
              <w:t>Full dose infusion once e</w:t>
            </w:r>
            <w:r w:rsidR="00ED0EC6" w:rsidRPr="00B247FF">
              <w:rPr>
                <w:rFonts w:eastAsiaTheme="minorHAnsi"/>
                <w:iCs/>
                <w:color w:val="auto"/>
                <w:lang w:val="en-US"/>
              </w:rPr>
              <w:t>very 2 weeks</w:t>
            </w:r>
            <w:r w:rsidRPr="00B247FF">
              <w:rPr>
                <w:rFonts w:eastAsiaTheme="minorHAnsi"/>
                <w:iCs/>
                <w:color w:val="auto"/>
                <w:lang w:val="en-US"/>
              </w:rPr>
              <w:t xml:space="preserve"> (</w:t>
            </w:r>
            <w:r w:rsidR="00ED0EC6" w:rsidRPr="00B247FF">
              <w:rPr>
                <w:rFonts w:eastAsiaTheme="minorHAnsi"/>
                <w:iCs/>
                <w:color w:val="auto"/>
                <w:lang w:val="en-US"/>
              </w:rPr>
              <w:t xml:space="preserve">starting </w:t>
            </w:r>
            <w:r w:rsidRPr="00B247FF">
              <w:rPr>
                <w:rFonts w:eastAsiaTheme="minorHAnsi"/>
                <w:iCs/>
                <w:color w:val="auto"/>
                <w:lang w:val="en-US"/>
              </w:rPr>
              <w:t>with a dose in</w:t>
            </w:r>
            <w:r w:rsidR="00ED0EC6" w:rsidRPr="00B247FF">
              <w:rPr>
                <w:rFonts w:eastAsiaTheme="minorHAnsi"/>
                <w:iCs/>
                <w:color w:val="auto"/>
                <w:lang w:val="en-US"/>
              </w:rPr>
              <w:t xml:space="preserve"> Week 5</w:t>
            </w:r>
            <w:r w:rsidRPr="00B247FF">
              <w:rPr>
                <w:rFonts w:eastAsiaTheme="minorHAnsi"/>
                <w:iCs/>
                <w:color w:val="auto"/>
                <w:lang w:val="en-US"/>
              </w:rPr>
              <w:t>)</w:t>
            </w:r>
          </w:p>
        </w:tc>
      </w:tr>
    </w:tbl>
    <w:p w14:paraId="525B20A9" w14:textId="77777777" w:rsidR="00D32418" w:rsidRPr="00B247FF" w:rsidRDefault="00D32418" w:rsidP="00786F6E">
      <w:pPr>
        <w:rPr>
          <w:rFonts w:eastAsiaTheme="minorHAnsi"/>
          <w:color w:val="auto"/>
          <w:lang w:val="en-GB"/>
        </w:rPr>
      </w:pPr>
    </w:p>
    <w:p w14:paraId="04883851" w14:textId="33DC5ECF" w:rsidR="008856EC" w:rsidRPr="00B247FF" w:rsidRDefault="009D3D0D" w:rsidP="00786F6E">
      <w:pPr>
        <w:pStyle w:val="Heading4"/>
        <w:rPr>
          <w:rFonts w:eastAsiaTheme="minorHAnsi"/>
          <w:color w:val="auto"/>
          <w:lang w:val="en-GB"/>
        </w:rPr>
      </w:pPr>
      <w:r w:rsidRPr="00B247FF">
        <w:rPr>
          <w:rFonts w:eastAsiaTheme="minorHAnsi"/>
          <w:color w:val="auto"/>
          <w:lang w:val="en-US"/>
        </w:rPr>
        <w:t>Pre-infusion medications</w:t>
      </w:r>
    </w:p>
    <w:p w14:paraId="223F813F" w14:textId="720D2053" w:rsidR="008856EC" w:rsidRPr="00B247FF" w:rsidRDefault="009D3D0D" w:rsidP="00786F6E">
      <w:pPr>
        <w:rPr>
          <w:rFonts w:eastAsiaTheme="minorHAnsi"/>
          <w:iCs/>
          <w:color w:val="auto"/>
          <w:lang w:val="en-US"/>
        </w:rPr>
      </w:pPr>
      <w:r w:rsidRPr="00B247FF">
        <w:rPr>
          <w:rFonts w:eastAsiaTheme="minorHAnsi"/>
          <w:iCs/>
          <w:color w:val="auto"/>
          <w:lang w:val="en-US"/>
        </w:rPr>
        <w:t>Prior to initial infusion of RYBREVANT (Week 1, Days 1 and 2), administer antihistamines, antipyretics, and glucocorticoids to reduce the risk of IRRs. For subsequent doses, administer antihistamines and antipyretics. Administer antiemetics as needed.</w:t>
      </w:r>
      <w:r w:rsidR="007D4BD6" w:rsidRPr="00B247FF">
        <w:rPr>
          <w:rFonts w:eastAsiaTheme="minorHAnsi"/>
          <w:iCs/>
          <w:color w:val="auto"/>
          <w:lang w:val="en-US"/>
        </w:rPr>
        <w:t xml:space="preserve"> Table 3 </w:t>
      </w:r>
      <w:proofErr w:type="spellStart"/>
      <w:r w:rsidR="007D4BD6" w:rsidRPr="00B247FF">
        <w:rPr>
          <w:rFonts w:eastAsiaTheme="minorHAnsi"/>
          <w:iCs/>
          <w:color w:val="auto"/>
          <w:lang w:val="en-US"/>
        </w:rPr>
        <w:t>summarises</w:t>
      </w:r>
      <w:proofErr w:type="spellEnd"/>
      <w:r w:rsidR="007D4BD6" w:rsidRPr="00B247FF">
        <w:rPr>
          <w:rFonts w:eastAsiaTheme="minorHAnsi"/>
          <w:iCs/>
          <w:color w:val="auto"/>
          <w:lang w:val="en-US"/>
        </w:rPr>
        <w:t xml:space="preserve"> the recommendations regarding pre-infusion medications.</w:t>
      </w:r>
    </w:p>
    <w:p w14:paraId="05C6E6D9" w14:textId="3A92D5D2" w:rsidR="009D3D0D" w:rsidRPr="00B247FF" w:rsidRDefault="009D3D0D" w:rsidP="00786F6E">
      <w:pPr>
        <w:rPr>
          <w:rFonts w:eastAsiaTheme="minorHAnsi"/>
          <w:iCs/>
          <w:color w:val="auto"/>
          <w:lang w:val="en-US"/>
        </w:rPr>
      </w:pPr>
    </w:p>
    <w:tbl>
      <w:tblPr>
        <w:tblW w:w="4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6"/>
        <w:gridCol w:w="3153"/>
        <w:gridCol w:w="1908"/>
        <w:gridCol w:w="2113"/>
      </w:tblGrid>
      <w:tr w:rsidR="009D3D0D" w:rsidRPr="00B247FF" w14:paraId="77CAAD1D" w14:textId="77777777" w:rsidTr="00836AB5">
        <w:trPr>
          <w:tblHeader/>
          <w:jc w:val="center"/>
        </w:trPr>
        <w:tc>
          <w:tcPr>
            <w:tcW w:w="5000" w:type="pct"/>
            <w:gridSpan w:val="4"/>
            <w:tcBorders>
              <w:top w:val="nil"/>
              <w:left w:val="nil"/>
              <w:right w:val="nil"/>
            </w:tcBorders>
            <w:shd w:val="clear" w:color="auto" w:fill="auto"/>
            <w:vAlign w:val="center"/>
          </w:tcPr>
          <w:p w14:paraId="5A5B3344" w14:textId="22C33F22" w:rsidR="009D3D0D" w:rsidRPr="00B247FF" w:rsidRDefault="009D3D0D" w:rsidP="00786F6E">
            <w:pPr>
              <w:keepNext/>
              <w:keepLines/>
              <w:widowControl w:val="0"/>
              <w:tabs>
                <w:tab w:val="left" w:pos="1152"/>
                <w:tab w:val="left" w:pos="1440"/>
              </w:tabs>
              <w:spacing w:before="60" w:after="60"/>
              <w:ind w:left="1152" w:hanging="1152"/>
              <w:rPr>
                <w:b/>
                <w:bCs/>
                <w:color w:val="auto"/>
                <w:lang w:val="en-US"/>
              </w:rPr>
            </w:pPr>
            <w:r w:rsidRPr="00B247FF">
              <w:rPr>
                <w:b/>
                <w:bCs/>
                <w:color w:val="auto"/>
                <w:lang w:val="en-US"/>
              </w:rPr>
              <w:lastRenderedPageBreak/>
              <w:t>Table </w:t>
            </w:r>
            <w:r w:rsidR="00ED0EC6" w:rsidRPr="00B247FF">
              <w:rPr>
                <w:b/>
                <w:bCs/>
                <w:color w:val="auto"/>
                <w:lang w:val="en-US"/>
              </w:rPr>
              <w:t>3</w:t>
            </w:r>
            <w:r w:rsidRPr="00B247FF">
              <w:rPr>
                <w:b/>
                <w:bCs/>
                <w:color w:val="auto"/>
                <w:lang w:val="en-US"/>
              </w:rPr>
              <w:t>:</w:t>
            </w:r>
            <w:r w:rsidRPr="00B247FF">
              <w:rPr>
                <w:b/>
                <w:bCs/>
                <w:color w:val="auto"/>
                <w:lang w:val="en-US"/>
              </w:rPr>
              <w:tab/>
              <w:t>Pre-</w:t>
            </w:r>
            <w:r w:rsidR="00AE7FBB" w:rsidRPr="00B247FF">
              <w:rPr>
                <w:b/>
                <w:bCs/>
                <w:color w:val="auto"/>
                <w:lang w:val="en-US"/>
              </w:rPr>
              <w:t>infusion m</w:t>
            </w:r>
            <w:r w:rsidRPr="00B247FF">
              <w:rPr>
                <w:b/>
                <w:bCs/>
                <w:color w:val="auto"/>
                <w:lang w:val="en-US"/>
              </w:rPr>
              <w:t>edications</w:t>
            </w:r>
          </w:p>
        </w:tc>
      </w:tr>
      <w:tr w:rsidR="009D3D0D" w:rsidRPr="00B247FF" w14:paraId="57D994AA" w14:textId="77777777" w:rsidTr="00836AB5">
        <w:trPr>
          <w:tblHeader/>
          <w:jc w:val="center"/>
        </w:trPr>
        <w:tc>
          <w:tcPr>
            <w:tcW w:w="1184" w:type="pct"/>
            <w:shd w:val="clear" w:color="auto" w:fill="auto"/>
            <w:vAlign w:val="center"/>
          </w:tcPr>
          <w:p w14:paraId="35602394" w14:textId="77777777" w:rsidR="009D3D0D" w:rsidRPr="00B247FF" w:rsidRDefault="009D3D0D" w:rsidP="00786F6E">
            <w:pPr>
              <w:keepNext/>
              <w:keepLines/>
              <w:widowControl w:val="0"/>
              <w:rPr>
                <w:b/>
                <w:color w:val="auto"/>
                <w:lang w:val="en-US"/>
              </w:rPr>
            </w:pPr>
            <w:r w:rsidRPr="00B247FF">
              <w:rPr>
                <w:b/>
                <w:color w:val="auto"/>
                <w:lang w:val="en-US"/>
              </w:rPr>
              <w:t>Medication</w:t>
            </w:r>
          </w:p>
        </w:tc>
        <w:tc>
          <w:tcPr>
            <w:tcW w:w="1677" w:type="pct"/>
            <w:shd w:val="clear" w:color="auto" w:fill="auto"/>
            <w:vAlign w:val="center"/>
          </w:tcPr>
          <w:p w14:paraId="4441A9ED" w14:textId="77777777" w:rsidR="009D3D0D" w:rsidRPr="00B247FF" w:rsidRDefault="009D3D0D" w:rsidP="00786F6E">
            <w:pPr>
              <w:keepNext/>
              <w:keepLines/>
              <w:widowControl w:val="0"/>
              <w:rPr>
                <w:b/>
                <w:color w:val="auto"/>
                <w:lang w:val="en-US"/>
              </w:rPr>
            </w:pPr>
            <w:r w:rsidRPr="00B247FF">
              <w:rPr>
                <w:b/>
                <w:color w:val="auto"/>
                <w:lang w:val="en-US"/>
              </w:rPr>
              <w:t>Dose</w:t>
            </w:r>
          </w:p>
        </w:tc>
        <w:tc>
          <w:tcPr>
            <w:tcW w:w="1015" w:type="pct"/>
            <w:shd w:val="clear" w:color="auto" w:fill="auto"/>
            <w:vAlign w:val="center"/>
          </w:tcPr>
          <w:p w14:paraId="2620B5AD" w14:textId="40CA86D1" w:rsidR="009D3D0D" w:rsidRPr="00B247FF" w:rsidRDefault="009D3D0D" w:rsidP="00786F6E">
            <w:pPr>
              <w:keepNext/>
              <w:keepLines/>
              <w:widowControl w:val="0"/>
              <w:rPr>
                <w:b/>
                <w:color w:val="auto"/>
                <w:lang w:val="en-US"/>
              </w:rPr>
            </w:pPr>
            <w:r w:rsidRPr="00B247FF">
              <w:rPr>
                <w:b/>
                <w:color w:val="auto"/>
                <w:lang w:val="en-US"/>
              </w:rPr>
              <w:t xml:space="preserve">Route of </w:t>
            </w:r>
            <w:r w:rsidR="00AE7FBB" w:rsidRPr="00B247FF">
              <w:rPr>
                <w:b/>
                <w:color w:val="auto"/>
                <w:lang w:val="en-US"/>
              </w:rPr>
              <w:t>a</w:t>
            </w:r>
            <w:r w:rsidRPr="00B247FF">
              <w:rPr>
                <w:b/>
                <w:color w:val="auto"/>
                <w:lang w:val="en-US"/>
              </w:rPr>
              <w:t>dministration</w:t>
            </w:r>
          </w:p>
        </w:tc>
        <w:tc>
          <w:tcPr>
            <w:tcW w:w="1125" w:type="pct"/>
            <w:shd w:val="clear" w:color="auto" w:fill="auto"/>
            <w:vAlign w:val="center"/>
          </w:tcPr>
          <w:p w14:paraId="4FE679C0" w14:textId="144F9602" w:rsidR="009D3D0D" w:rsidRPr="00B247FF" w:rsidRDefault="009D3D0D" w:rsidP="00786F6E">
            <w:pPr>
              <w:keepNext/>
              <w:keepLines/>
              <w:widowControl w:val="0"/>
              <w:rPr>
                <w:b/>
                <w:color w:val="auto"/>
                <w:lang w:val="en-US"/>
              </w:rPr>
            </w:pPr>
            <w:r w:rsidRPr="00B247FF">
              <w:rPr>
                <w:b/>
                <w:color w:val="auto"/>
                <w:lang w:val="en-US"/>
              </w:rPr>
              <w:t xml:space="preserve">Dosing </w:t>
            </w:r>
            <w:r w:rsidR="00AE7FBB" w:rsidRPr="00B247FF">
              <w:rPr>
                <w:b/>
                <w:color w:val="auto"/>
                <w:lang w:val="en-US"/>
              </w:rPr>
              <w:t>w</w:t>
            </w:r>
            <w:r w:rsidRPr="00B247FF">
              <w:rPr>
                <w:b/>
                <w:color w:val="auto"/>
                <w:lang w:val="en-US"/>
              </w:rPr>
              <w:t xml:space="preserve">indow </w:t>
            </w:r>
            <w:r w:rsidR="00AE7FBB" w:rsidRPr="00B247FF">
              <w:rPr>
                <w:b/>
                <w:color w:val="auto"/>
                <w:lang w:val="en-US"/>
              </w:rPr>
              <w:t>p</w:t>
            </w:r>
            <w:r w:rsidRPr="00B247FF">
              <w:rPr>
                <w:b/>
                <w:color w:val="auto"/>
                <w:lang w:val="en-US"/>
              </w:rPr>
              <w:t xml:space="preserve">rior to RYBREVANT </w:t>
            </w:r>
            <w:r w:rsidR="00AE7FBB" w:rsidRPr="00B247FF">
              <w:rPr>
                <w:b/>
                <w:color w:val="auto"/>
                <w:lang w:val="en-US"/>
              </w:rPr>
              <w:t>a</w:t>
            </w:r>
            <w:r w:rsidRPr="00B247FF">
              <w:rPr>
                <w:b/>
                <w:color w:val="auto"/>
                <w:lang w:val="en-US"/>
              </w:rPr>
              <w:t>dministration</w:t>
            </w:r>
          </w:p>
        </w:tc>
      </w:tr>
      <w:tr w:rsidR="009D3D0D" w:rsidRPr="00B247FF" w14:paraId="18F1ABB5" w14:textId="77777777" w:rsidTr="00836AB5">
        <w:trPr>
          <w:trHeight w:val="314"/>
          <w:jc w:val="center"/>
        </w:trPr>
        <w:tc>
          <w:tcPr>
            <w:tcW w:w="1184" w:type="pct"/>
            <w:vMerge w:val="restart"/>
            <w:shd w:val="clear" w:color="auto" w:fill="auto"/>
            <w:vAlign w:val="center"/>
          </w:tcPr>
          <w:p w14:paraId="51291666" w14:textId="77777777" w:rsidR="009D3D0D" w:rsidRPr="00B247FF" w:rsidRDefault="009D3D0D" w:rsidP="00786F6E">
            <w:pPr>
              <w:keepNext/>
              <w:keepLines/>
              <w:widowControl w:val="0"/>
              <w:rPr>
                <w:b/>
                <w:color w:val="auto"/>
                <w:lang w:val="en-US"/>
              </w:rPr>
            </w:pPr>
            <w:r w:rsidRPr="00B247FF">
              <w:rPr>
                <w:b/>
                <w:color w:val="auto"/>
                <w:lang w:val="en-US"/>
              </w:rPr>
              <w:t>Antihistamine</w:t>
            </w:r>
            <w:r w:rsidRPr="00B247FF">
              <w:rPr>
                <w:color w:val="auto"/>
                <w:vertAlign w:val="superscript"/>
                <w:lang w:val="en-US"/>
              </w:rPr>
              <w:t>*</w:t>
            </w:r>
          </w:p>
        </w:tc>
        <w:tc>
          <w:tcPr>
            <w:tcW w:w="1677" w:type="pct"/>
            <w:vMerge w:val="restart"/>
            <w:shd w:val="clear" w:color="auto" w:fill="auto"/>
            <w:vAlign w:val="center"/>
          </w:tcPr>
          <w:p w14:paraId="304D1C53" w14:textId="77777777" w:rsidR="009D3D0D" w:rsidRPr="00B247FF" w:rsidRDefault="009D3D0D" w:rsidP="00786F6E">
            <w:pPr>
              <w:keepNext/>
              <w:keepLines/>
              <w:widowControl w:val="0"/>
              <w:rPr>
                <w:color w:val="auto"/>
                <w:lang w:val="en-US"/>
              </w:rPr>
            </w:pPr>
            <w:r w:rsidRPr="00B247FF">
              <w:rPr>
                <w:color w:val="auto"/>
                <w:lang w:val="en-US"/>
              </w:rPr>
              <w:t xml:space="preserve">Diphenhydramine </w:t>
            </w:r>
            <w:r w:rsidRPr="00B247FF">
              <w:rPr>
                <w:color w:val="auto"/>
                <w:lang w:val="en-US"/>
              </w:rPr>
              <w:br/>
              <w:t>(25 to 50 mg) or equivalent</w:t>
            </w:r>
          </w:p>
        </w:tc>
        <w:tc>
          <w:tcPr>
            <w:tcW w:w="1015" w:type="pct"/>
            <w:shd w:val="clear" w:color="auto" w:fill="auto"/>
            <w:vAlign w:val="center"/>
          </w:tcPr>
          <w:p w14:paraId="19446AC1" w14:textId="77777777" w:rsidR="009D3D0D" w:rsidRPr="00B247FF" w:rsidRDefault="009D3D0D" w:rsidP="00786F6E">
            <w:pPr>
              <w:keepNext/>
              <w:keepLines/>
              <w:widowControl w:val="0"/>
              <w:rPr>
                <w:color w:val="auto"/>
                <w:lang w:val="en-US"/>
              </w:rPr>
            </w:pPr>
            <w:r w:rsidRPr="00B247FF">
              <w:rPr>
                <w:color w:val="auto"/>
                <w:lang w:val="en-US"/>
              </w:rPr>
              <w:t>IV</w:t>
            </w:r>
          </w:p>
        </w:tc>
        <w:tc>
          <w:tcPr>
            <w:tcW w:w="1125" w:type="pct"/>
            <w:shd w:val="clear" w:color="auto" w:fill="auto"/>
            <w:vAlign w:val="center"/>
          </w:tcPr>
          <w:p w14:paraId="70C03657" w14:textId="77777777" w:rsidR="009D3D0D" w:rsidRPr="00B247FF" w:rsidRDefault="009D3D0D" w:rsidP="00786F6E">
            <w:pPr>
              <w:keepNext/>
              <w:keepLines/>
              <w:widowControl w:val="0"/>
              <w:rPr>
                <w:color w:val="auto"/>
                <w:lang w:val="en-US"/>
              </w:rPr>
            </w:pPr>
            <w:r w:rsidRPr="00B247FF">
              <w:rPr>
                <w:color w:val="auto"/>
                <w:lang w:val="en-US"/>
              </w:rPr>
              <w:t>15 to 30 minutes</w:t>
            </w:r>
          </w:p>
        </w:tc>
      </w:tr>
      <w:tr w:rsidR="009D3D0D" w:rsidRPr="00B247FF" w14:paraId="456BA204" w14:textId="77777777" w:rsidTr="00836AB5">
        <w:trPr>
          <w:trHeight w:val="467"/>
          <w:jc w:val="center"/>
        </w:trPr>
        <w:tc>
          <w:tcPr>
            <w:tcW w:w="1184" w:type="pct"/>
            <w:vMerge/>
            <w:shd w:val="clear" w:color="auto" w:fill="auto"/>
            <w:vAlign w:val="center"/>
          </w:tcPr>
          <w:p w14:paraId="0A54FB3A" w14:textId="77777777" w:rsidR="009D3D0D" w:rsidRPr="00B247FF" w:rsidRDefault="009D3D0D" w:rsidP="00786F6E">
            <w:pPr>
              <w:keepNext/>
              <w:keepLines/>
              <w:widowControl w:val="0"/>
              <w:rPr>
                <w:b/>
                <w:color w:val="auto"/>
                <w:lang w:val="en-US"/>
              </w:rPr>
            </w:pPr>
          </w:p>
        </w:tc>
        <w:tc>
          <w:tcPr>
            <w:tcW w:w="1677" w:type="pct"/>
            <w:vMerge/>
            <w:shd w:val="clear" w:color="auto" w:fill="auto"/>
            <w:vAlign w:val="center"/>
          </w:tcPr>
          <w:p w14:paraId="79368395" w14:textId="77777777" w:rsidR="009D3D0D" w:rsidRPr="00B247FF" w:rsidRDefault="009D3D0D" w:rsidP="00786F6E">
            <w:pPr>
              <w:keepNext/>
              <w:keepLines/>
              <w:widowControl w:val="0"/>
              <w:rPr>
                <w:color w:val="auto"/>
                <w:lang w:val="en-US"/>
              </w:rPr>
            </w:pPr>
          </w:p>
        </w:tc>
        <w:tc>
          <w:tcPr>
            <w:tcW w:w="1015" w:type="pct"/>
            <w:shd w:val="clear" w:color="auto" w:fill="auto"/>
            <w:vAlign w:val="center"/>
          </w:tcPr>
          <w:p w14:paraId="3B62EF14" w14:textId="77777777" w:rsidR="009D3D0D" w:rsidRPr="00B247FF" w:rsidRDefault="009D3D0D" w:rsidP="00786F6E">
            <w:pPr>
              <w:keepNext/>
              <w:keepLines/>
              <w:widowControl w:val="0"/>
              <w:rPr>
                <w:color w:val="auto"/>
                <w:lang w:val="en-US"/>
              </w:rPr>
            </w:pPr>
            <w:r w:rsidRPr="00B247FF">
              <w:rPr>
                <w:color w:val="auto"/>
                <w:lang w:val="en-US"/>
              </w:rPr>
              <w:t>Oral</w:t>
            </w:r>
          </w:p>
        </w:tc>
        <w:tc>
          <w:tcPr>
            <w:tcW w:w="1125" w:type="pct"/>
            <w:shd w:val="clear" w:color="auto" w:fill="auto"/>
            <w:vAlign w:val="center"/>
          </w:tcPr>
          <w:p w14:paraId="5D7AA728" w14:textId="77777777" w:rsidR="009D3D0D" w:rsidRPr="00B247FF" w:rsidRDefault="009D3D0D" w:rsidP="00786F6E">
            <w:pPr>
              <w:keepNext/>
              <w:keepLines/>
              <w:widowControl w:val="0"/>
              <w:rPr>
                <w:color w:val="auto"/>
                <w:lang w:val="en-US"/>
              </w:rPr>
            </w:pPr>
            <w:r w:rsidRPr="00B247FF">
              <w:rPr>
                <w:color w:val="auto"/>
                <w:lang w:val="en-US"/>
              </w:rPr>
              <w:t>30 to 60 minutes</w:t>
            </w:r>
          </w:p>
        </w:tc>
      </w:tr>
      <w:tr w:rsidR="009D3D0D" w:rsidRPr="00B247FF" w14:paraId="2B513CB1" w14:textId="77777777" w:rsidTr="00836AB5">
        <w:trPr>
          <w:trHeight w:val="440"/>
          <w:jc w:val="center"/>
        </w:trPr>
        <w:tc>
          <w:tcPr>
            <w:tcW w:w="1184" w:type="pct"/>
            <w:vMerge w:val="restart"/>
            <w:shd w:val="clear" w:color="auto" w:fill="auto"/>
            <w:vAlign w:val="center"/>
          </w:tcPr>
          <w:p w14:paraId="4D33504A" w14:textId="77777777" w:rsidR="009D3D0D" w:rsidRPr="00B247FF" w:rsidRDefault="009D3D0D" w:rsidP="00786F6E">
            <w:pPr>
              <w:keepNext/>
              <w:keepLines/>
              <w:widowControl w:val="0"/>
              <w:rPr>
                <w:b/>
                <w:color w:val="auto"/>
                <w:lang w:val="en-US"/>
              </w:rPr>
            </w:pPr>
            <w:r w:rsidRPr="00B247FF">
              <w:rPr>
                <w:b/>
                <w:color w:val="auto"/>
                <w:lang w:val="en-US"/>
              </w:rPr>
              <w:t>Antipyretic</w:t>
            </w:r>
            <w:r w:rsidRPr="00B247FF">
              <w:rPr>
                <w:color w:val="auto"/>
                <w:vertAlign w:val="superscript"/>
                <w:lang w:val="en-US"/>
              </w:rPr>
              <w:t>*</w:t>
            </w:r>
          </w:p>
        </w:tc>
        <w:tc>
          <w:tcPr>
            <w:tcW w:w="1677" w:type="pct"/>
            <w:vMerge w:val="restart"/>
            <w:shd w:val="clear" w:color="auto" w:fill="auto"/>
            <w:vAlign w:val="center"/>
          </w:tcPr>
          <w:p w14:paraId="449C02BF" w14:textId="7D1367B1" w:rsidR="009D3D0D" w:rsidRPr="00B247FF" w:rsidRDefault="009D3D0D" w:rsidP="00786F6E">
            <w:pPr>
              <w:keepNext/>
              <w:keepLines/>
              <w:widowControl w:val="0"/>
              <w:rPr>
                <w:color w:val="auto"/>
                <w:lang w:val="en-US"/>
              </w:rPr>
            </w:pPr>
            <w:r w:rsidRPr="00B247FF">
              <w:rPr>
                <w:color w:val="auto"/>
                <w:lang w:val="en-US"/>
              </w:rPr>
              <w:t xml:space="preserve">Paracetamol </w:t>
            </w:r>
            <w:r w:rsidRPr="00B247FF">
              <w:rPr>
                <w:color w:val="auto"/>
                <w:lang w:val="en-US"/>
              </w:rPr>
              <w:br/>
              <w:t>(</w:t>
            </w:r>
            <w:r w:rsidR="0053560F" w:rsidRPr="00B247FF">
              <w:rPr>
                <w:color w:val="auto"/>
                <w:lang w:val="en-US"/>
              </w:rPr>
              <w:t>500</w:t>
            </w:r>
            <w:r w:rsidRPr="00B247FF">
              <w:rPr>
                <w:color w:val="auto"/>
                <w:lang w:val="en-US"/>
              </w:rPr>
              <w:t xml:space="preserve"> to 1,000 mg) </w:t>
            </w:r>
          </w:p>
        </w:tc>
        <w:tc>
          <w:tcPr>
            <w:tcW w:w="1015" w:type="pct"/>
            <w:shd w:val="clear" w:color="auto" w:fill="auto"/>
            <w:vAlign w:val="center"/>
          </w:tcPr>
          <w:p w14:paraId="30222763" w14:textId="77777777" w:rsidR="009D3D0D" w:rsidRPr="00B247FF" w:rsidRDefault="009D3D0D" w:rsidP="00786F6E">
            <w:pPr>
              <w:keepNext/>
              <w:keepLines/>
              <w:widowControl w:val="0"/>
              <w:rPr>
                <w:color w:val="auto"/>
                <w:lang w:val="en-US"/>
              </w:rPr>
            </w:pPr>
            <w:r w:rsidRPr="00B247FF">
              <w:rPr>
                <w:color w:val="auto"/>
                <w:lang w:val="en-US"/>
              </w:rPr>
              <w:t xml:space="preserve">IV </w:t>
            </w:r>
          </w:p>
        </w:tc>
        <w:tc>
          <w:tcPr>
            <w:tcW w:w="1125" w:type="pct"/>
            <w:shd w:val="clear" w:color="auto" w:fill="auto"/>
            <w:vAlign w:val="center"/>
          </w:tcPr>
          <w:p w14:paraId="294DDE2D" w14:textId="77777777" w:rsidR="009D3D0D" w:rsidRPr="00B247FF" w:rsidRDefault="009D3D0D" w:rsidP="00786F6E">
            <w:pPr>
              <w:keepNext/>
              <w:keepLines/>
              <w:widowControl w:val="0"/>
              <w:rPr>
                <w:color w:val="auto"/>
                <w:lang w:val="en-US"/>
              </w:rPr>
            </w:pPr>
            <w:r w:rsidRPr="00B247FF">
              <w:rPr>
                <w:color w:val="auto"/>
                <w:lang w:val="en-US"/>
              </w:rPr>
              <w:t>15 to 30 minutes</w:t>
            </w:r>
          </w:p>
        </w:tc>
      </w:tr>
      <w:tr w:rsidR="009D3D0D" w:rsidRPr="00B247FF" w14:paraId="6DE08D50" w14:textId="77777777" w:rsidTr="00836AB5">
        <w:trPr>
          <w:trHeight w:val="345"/>
          <w:jc w:val="center"/>
        </w:trPr>
        <w:tc>
          <w:tcPr>
            <w:tcW w:w="1184" w:type="pct"/>
            <w:vMerge/>
            <w:shd w:val="clear" w:color="auto" w:fill="auto"/>
            <w:vAlign w:val="center"/>
          </w:tcPr>
          <w:p w14:paraId="66920BB2" w14:textId="77777777" w:rsidR="009D3D0D" w:rsidRPr="00B247FF" w:rsidRDefault="009D3D0D" w:rsidP="00786F6E">
            <w:pPr>
              <w:keepNext/>
              <w:keepLines/>
              <w:widowControl w:val="0"/>
              <w:rPr>
                <w:b/>
                <w:color w:val="auto"/>
                <w:lang w:val="en-US"/>
              </w:rPr>
            </w:pPr>
          </w:p>
        </w:tc>
        <w:tc>
          <w:tcPr>
            <w:tcW w:w="1677" w:type="pct"/>
            <w:vMerge/>
            <w:shd w:val="clear" w:color="auto" w:fill="auto"/>
            <w:vAlign w:val="center"/>
          </w:tcPr>
          <w:p w14:paraId="0BD78AC0" w14:textId="77777777" w:rsidR="009D3D0D" w:rsidRPr="00B247FF" w:rsidRDefault="009D3D0D" w:rsidP="00786F6E">
            <w:pPr>
              <w:keepNext/>
              <w:keepLines/>
              <w:widowControl w:val="0"/>
              <w:rPr>
                <w:color w:val="auto"/>
                <w:lang w:val="en-US"/>
              </w:rPr>
            </w:pPr>
          </w:p>
        </w:tc>
        <w:tc>
          <w:tcPr>
            <w:tcW w:w="1015" w:type="pct"/>
            <w:shd w:val="clear" w:color="auto" w:fill="auto"/>
            <w:vAlign w:val="center"/>
          </w:tcPr>
          <w:p w14:paraId="66F2AE7B" w14:textId="77777777" w:rsidR="009D3D0D" w:rsidRPr="00B247FF" w:rsidRDefault="009D3D0D" w:rsidP="00786F6E">
            <w:pPr>
              <w:keepNext/>
              <w:keepLines/>
              <w:widowControl w:val="0"/>
              <w:rPr>
                <w:color w:val="auto"/>
                <w:lang w:val="en-US"/>
              </w:rPr>
            </w:pPr>
            <w:r w:rsidRPr="00B247FF">
              <w:rPr>
                <w:color w:val="auto"/>
                <w:lang w:val="en-US"/>
              </w:rPr>
              <w:t>Oral</w:t>
            </w:r>
          </w:p>
        </w:tc>
        <w:tc>
          <w:tcPr>
            <w:tcW w:w="1125" w:type="pct"/>
            <w:shd w:val="clear" w:color="auto" w:fill="auto"/>
            <w:vAlign w:val="center"/>
          </w:tcPr>
          <w:p w14:paraId="071C9082" w14:textId="77777777" w:rsidR="009D3D0D" w:rsidRPr="00B247FF" w:rsidDel="00351B69" w:rsidRDefault="009D3D0D" w:rsidP="00786F6E">
            <w:pPr>
              <w:keepNext/>
              <w:keepLines/>
              <w:widowControl w:val="0"/>
              <w:rPr>
                <w:color w:val="auto"/>
                <w:lang w:val="en-US"/>
              </w:rPr>
            </w:pPr>
            <w:r w:rsidRPr="00B247FF">
              <w:rPr>
                <w:color w:val="auto"/>
                <w:lang w:val="en-US"/>
              </w:rPr>
              <w:t>30 to 60 minutes</w:t>
            </w:r>
          </w:p>
        </w:tc>
      </w:tr>
      <w:tr w:rsidR="009D3D0D" w:rsidRPr="00B247FF" w14:paraId="6EC6B89A" w14:textId="77777777" w:rsidTr="00836AB5">
        <w:trPr>
          <w:jc w:val="center"/>
        </w:trPr>
        <w:tc>
          <w:tcPr>
            <w:tcW w:w="1184" w:type="pct"/>
            <w:shd w:val="clear" w:color="auto" w:fill="auto"/>
            <w:vAlign w:val="center"/>
          </w:tcPr>
          <w:p w14:paraId="5A9A17D8" w14:textId="77777777" w:rsidR="009D3D0D" w:rsidRPr="00B247FF" w:rsidRDefault="009D3D0D" w:rsidP="00786F6E">
            <w:pPr>
              <w:keepNext/>
              <w:keepLines/>
              <w:widowControl w:val="0"/>
              <w:rPr>
                <w:b/>
                <w:color w:val="auto"/>
                <w:lang w:val="en-US"/>
              </w:rPr>
            </w:pPr>
            <w:r w:rsidRPr="00B247FF">
              <w:rPr>
                <w:b/>
                <w:color w:val="auto"/>
                <w:lang w:val="en-US"/>
              </w:rPr>
              <w:t>Glucocorticoid</w:t>
            </w:r>
            <w:r w:rsidRPr="00B247FF">
              <w:rPr>
                <w:color w:val="auto"/>
                <w:vertAlign w:val="superscript"/>
                <w:lang w:val="en-US"/>
              </w:rPr>
              <w:t>‡</w:t>
            </w:r>
          </w:p>
        </w:tc>
        <w:tc>
          <w:tcPr>
            <w:tcW w:w="1677" w:type="pct"/>
            <w:shd w:val="clear" w:color="auto" w:fill="auto"/>
            <w:vAlign w:val="center"/>
          </w:tcPr>
          <w:p w14:paraId="649194F4" w14:textId="77777777" w:rsidR="009D3D0D" w:rsidRPr="00B247FF" w:rsidRDefault="009D3D0D" w:rsidP="00786F6E">
            <w:pPr>
              <w:keepNext/>
              <w:keepLines/>
              <w:widowControl w:val="0"/>
              <w:rPr>
                <w:color w:val="auto"/>
                <w:lang w:val="en-US"/>
              </w:rPr>
            </w:pPr>
            <w:r w:rsidRPr="00B247FF">
              <w:rPr>
                <w:color w:val="auto"/>
                <w:lang w:val="en-US"/>
              </w:rPr>
              <w:t>Dexamethasone (10 mg) or Methylprednisolone (40 mg) or equivalent</w:t>
            </w:r>
          </w:p>
        </w:tc>
        <w:tc>
          <w:tcPr>
            <w:tcW w:w="1015" w:type="pct"/>
            <w:shd w:val="clear" w:color="auto" w:fill="auto"/>
            <w:vAlign w:val="center"/>
          </w:tcPr>
          <w:p w14:paraId="400C4C87" w14:textId="77777777" w:rsidR="009D3D0D" w:rsidRPr="00B247FF" w:rsidRDefault="009D3D0D" w:rsidP="00786F6E">
            <w:pPr>
              <w:keepNext/>
              <w:keepLines/>
              <w:widowControl w:val="0"/>
              <w:rPr>
                <w:color w:val="auto"/>
                <w:vertAlign w:val="superscript"/>
                <w:lang w:val="en-US"/>
              </w:rPr>
            </w:pPr>
            <w:r w:rsidRPr="00B247FF">
              <w:rPr>
                <w:color w:val="auto"/>
                <w:lang w:val="en-US"/>
              </w:rPr>
              <w:t>IV</w:t>
            </w:r>
          </w:p>
        </w:tc>
        <w:tc>
          <w:tcPr>
            <w:tcW w:w="1125" w:type="pct"/>
            <w:shd w:val="clear" w:color="auto" w:fill="auto"/>
            <w:vAlign w:val="center"/>
          </w:tcPr>
          <w:p w14:paraId="32E0A27F" w14:textId="77777777" w:rsidR="009D3D0D" w:rsidRPr="00B247FF" w:rsidRDefault="009D3D0D" w:rsidP="00786F6E">
            <w:pPr>
              <w:keepNext/>
              <w:keepLines/>
              <w:widowControl w:val="0"/>
              <w:rPr>
                <w:color w:val="auto"/>
                <w:lang w:val="en-US"/>
              </w:rPr>
            </w:pPr>
            <w:r w:rsidRPr="00B247FF">
              <w:rPr>
                <w:color w:val="auto"/>
                <w:lang w:val="en-US"/>
              </w:rPr>
              <w:t>45 to 60 minutes</w:t>
            </w:r>
          </w:p>
        </w:tc>
      </w:tr>
    </w:tbl>
    <w:p w14:paraId="58A4DD50" w14:textId="77777777" w:rsidR="009D3D0D" w:rsidRPr="00B247FF" w:rsidRDefault="009D3D0D" w:rsidP="00786F6E">
      <w:pPr>
        <w:keepNext/>
        <w:keepLines/>
        <w:widowControl w:val="0"/>
        <w:tabs>
          <w:tab w:val="left" w:pos="360"/>
        </w:tabs>
        <w:ind w:left="360" w:hanging="360"/>
        <w:rPr>
          <w:color w:val="auto"/>
          <w:lang w:val="en-US"/>
        </w:rPr>
      </w:pPr>
      <w:r w:rsidRPr="00B247FF">
        <w:rPr>
          <w:color w:val="auto"/>
          <w:vertAlign w:val="superscript"/>
          <w:lang w:val="en-US"/>
        </w:rPr>
        <w:t>*</w:t>
      </w:r>
      <w:r w:rsidRPr="00B247FF">
        <w:rPr>
          <w:color w:val="auto"/>
          <w:lang w:val="en-US"/>
        </w:rPr>
        <w:tab/>
        <w:t>Required at all doses.</w:t>
      </w:r>
    </w:p>
    <w:p w14:paraId="47CB1928" w14:textId="18666BF4" w:rsidR="009D3D0D" w:rsidRPr="00B247FF" w:rsidRDefault="009D3D0D" w:rsidP="00786F6E">
      <w:pPr>
        <w:keepNext/>
        <w:keepLines/>
        <w:widowControl w:val="0"/>
        <w:tabs>
          <w:tab w:val="left" w:pos="360"/>
        </w:tabs>
        <w:ind w:left="360" w:hanging="360"/>
        <w:rPr>
          <w:color w:val="auto"/>
          <w:lang w:val="en-US"/>
        </w:rPr>
      </w:pPr>
      <w:r w:rsidRPr="00B247FF">
        <w:rPr>
          <w:color w:val="auto"/>
          <w:vertAlign w:val="superscript"/>
          <w:lang w:val="en-US"/>
        </w:rPr>
        <w:t>‡</w:t>
      </w:r>
      <w:r w:rsidRPr="00B247FF">
        <w:rPr>
          <w:color w:val="auto"/>
          <w:lang w:val="en-US"/>
        </w:rPr>
        <w:tab/>
        <w:t>Required at initial dose (Week 1, Days 1 and 2); optional for subsequent doses.</w:t>
      </w:r>
    </w:p>
    <w:p w14:paraId="2C4820B8" w14:textId="77777777" w:rsidR="00EC6706" w:rsidRPr="00B247FF" w:rsidRDefault="00EC6706" w:rsidP="00786F6E">
      <w:pPr>
        <w:tabs>
          <w:tab w:val="left" w:pos="360"/>
        </w:tabs>
        <w:ind w:left="360" w:hanging="360"/>
        <w:rPr>
          <w:color w:val="auto"/>
          <w:lang w:val="en-US"/>
        </w:rPr>
      </w:pPr>
    </w:p>
    <w:p w14:paraId="41898420" w14:textId="4C3A853F" w:rsidR="00D03F82" w:rsidRPr="00B247FF" w:rsidRDefault="00D6497B" w:rsidP="00786F6E">
      <w:pPr>
        <w:pStyle w:val="Heading4"/>
        <w:rPr>
          <w:rFonts w:cs="Times New Roman"/>
          <w:i w:val="0"/>
          <w:iCs/>
        </w:rPr>
      </w:pPr>
      <w:r w:rsidRPr="00B247FF">
        <w:rPr>
          <w:rFonts w:eastAsiaTheme="minorHAnsi"/>
          <w:color w:val="auto"/>
          <w:lang w:val="en-US"/>
        </w:rPr>
        <w:t xml:space="preserve">Infusion </w:t>
      </w:r>
      <w:r w:rsidR="00D42653" w:rsidRPr="00B247FF">
        <w:rPr>
          <w:rFonts w:eastAsiaTheme="minorHAnsi"/>
          <w:color w:val="auto"/>
          <w:lang w:val="en-US"/>
        </w:rPr>
        <w:t>r</w:t>
      </w:r>
      <w:r w:rsidRPr="00B247FF">
        <w:rPr>
          <w:rFonts w:eastAsiaTheme="minorHAnsi"/>
          <w:color w:val="auto"/>
          <w:lang w:val="en-US"/>
        </w:rPr>
        <w:t>ates</w:t>
      </w:r>
    </w:p>
    <w:p w14:paraId="650CEA8B" w14:textId="703602DC" w:rsidR="00D6497B" w:rsidRPr="00B247FF" w:rsidRDefault="00D6497B" w:rsidP="00786F6E">
      <w:pPr>
        <w:pStyle w:val="BodyText1"/>
        <w:jc w:val="left"/>
        <w:rPr>
          <w:lang w:val="en-GB"/>
        </w:rPr>
      </w:pPr>
      <w:r w:rsidRPr="00B247FF">
        <w:rPr>
          <w:lang w:val="en-GB"/>
        </w:rPr>
        <w:t xml:space="preserve">Administer RYBREVANT infusion intravenously according to the infusion rates in Table </w:t>
      </w:r>
      <w:r w:rsidR="00ED0EC6" w:rsidRPr="00B247FF">
        <w:rPr>
          <w:lang w:val="en-GB"/>
        </w:rPr>
        <w:t>4</w:t>
      </w:r>
      <w:r w:rsidRPr="00B247FF">
        <w:rPr>
          <w:lang w:val="en-GB"/>
        </w:rPr>
        <w:t xml:space="preserve">. </w:t>
      </w:r>
      <w:bookmarkStart w:id="8" w:name="_Hlk46131644"/>
      <w:r w:rsidRPr="00B247FF">
        <w:rPr>
          <w:lang w:val="en-GB"/>
        </w:rPr>
        <w:t xml:space="preserve">Due to the frequency of IRRs at the first dose, infusion </w:t>
      </w:r>
      <w:r w:rsidR="004E795E" w:rsidRPr="00B247FF">
        <w:rPr>
          <w:lang w:val="en-GB"/>
        </w:rPr>
        <w:t xml:space="preserve">into </w:t>
      </w:r>
      <w:r w:rsidRPr="00B247FF">
        <w:rPr>
          <w:lang w:val="en-GB"/>
        </w:rPr>
        <w:t>a peripheral vein should be considered</w:t>
      </w:r>
      <w:bookmarkStart w:id="9" w:name="_Hlk48571120"/>
      <w:r w:rsidRPr="00B247FF">
        <w:rPr>
          <w:lang w:val="en-GB"/>
        </w:rPr>
        <w:t xml:space="preserve"> </w:t>
      </w:r>
      <w:r w:rsidR="004E795E" w:rsidRPr="00B247FF">
        <w:rPr>
          <w:lang w:val="en-GB"/>
        </w:rPr>
        <w:t xml:space="preserve">in Week 1 and Week 2 </w:t>
      </w:r>
      <w:r w:rsidRPr="00B247FF">
        <w:rPr>
          <w:lang w:val="en-GB"/>
        </w:rPr>
        <w:t>to minimise drug exposure in the event of an IRR</w:t>
      </w:r>
      <w:bookmarkEnd w:id="9"/>
      <w:r w:rsidRPr="00B247FF">
        <w:rPr>
          <w:lang w:val="en-GB"/>
        </w:rPr>
        <w:t>;</w:t>
      </w:r>
      <w:bookmarkEnd w:id="8"/>
      <w:r w:rsidRPr="00B247FF">
        <w:rPr>
          <w:lang w:val="en-GB"/>
        </w:rPr>
        <w:t xml:space="preserve"> </w:t>
      </w:r>
      <w:r w:rsidR="004E795E" w:rsidRPr="00B247FF">
        <w:rPr>
          <w:lang w:val="en-GB"/>
        </w:rPr>
        <w:t>a central line may be used subsequently</w:t>
      </w:r>
      <w:bookmarkStart w:id="10" w:name="_Hlk53496949"/>
      <w:r w:rsidRPr="00B247FF">
        <w:rPr>
          <w:lang w:val="en-GB"/>
        </w:rPr>
        <w:t xml:space="preserve">. </w:t>
      </w:r>
      <w:bookmarkStart w:id="11" w:name="_Hlk53498261"/>
      <w:r w:rsidR="004E795E" w:rsidRPr="00B247FF">
        <w:rPr>
          <w:lang w:val="en-GB"/>
        </w:rPr>
        <w:t>Particularly for the</w:t>
      </w:r>
      <w:r w:rsidRPr="00B247FF">
        <w:rPr>
          <w:lang w:val="en-GB"/>
        </w:rPr>
        <w:t xml:space="preserve"> first dose</w:t>
      </w:r>
      <w:r w:rsidR="004E795E" w:rsidRPr="00B247FF">
        <w:rPr>
          <w:lang w:val="en-GB"/>
        </w:rPr>
        <w:t>, prepare the</w:t>
      </w:r>
      <w:r w:rsidRPr="00B247FF">
        <w:rPr>
          <w:lang w:val="en-GB"/>
        </w:rPr>
        <w:t xml:space="preserve"> dilut</w:t>
      </w:r>
      <w:r w:rsidR="004E795E" w:rsidRPr="00B247FF">
        <w:rPr>
          <w:lang w:val="en-GB"/>
        </w:rPr>
        <w:t>ion for infusion</w:t>
      </w:r>
      <w:r w:rsidRPr="00B247FF">
        <w:rPr>
          <w:lang w:val="en-GB"/>
        </w:rPr>
        <w:t xml:space="preserve"> as close </w:t>
      </w:r>
      <w:r w:rsidR="004E795E" w:rsidRPr="00B247FF">
        <w:rPr>
          <w:lang w:val="en-GB"/>
        </w:rPr>
        <w:t xml:space="preserve">as possible </w:t>
      </w:r>
      <w:r w:rsidRPr="00B247FF">
        <w:rPr>
          <w:lang w:val="en-GB"/>
        </w:rPr>
        <w:t xml:space="preserve">to </w:t>
      </w:r>
      <w:r w:rsidR="004E795E" w:rsidRPr="00B247FF">
        <w:rPr>
          <w:lang w:val="en-GB"/>
        </w:rPr>
        <w:t xml:space="preserve">the time of </w:t>
      </w:r>
      <w:r w:rsidRPr="00B247FF">
        <w:rPr>
          <w:lang w:val="en-GB"/>
        </w:rPr>
        <w:t>administration</w:t>
      </w:r>
      <w:r w:rsidR="004E795E" w:rsidRPr="00B247FF">
        <w:rPr>
          <w:lang w:val="en-GB"/>
        </w:rPr>
        <w:t xml:space="preserve">, </w:t>
      </w:r>
      <w:r w:rsidRPr="00B247FF">
        <w:rPr>
          <w:lang w:val="en-GB"/>
        </w:rPr>
        <w:t>to allow for maximal flexibility in IRR management</w:t>
      </w:r>
      <w:bookmarkEnd w:id="10"/>
      <w:bookmarkEnd w:id="11"/>
      <w:r w:rsidRPr="00B247FF">
        <w:rPr>
          <w:lang w:val="en-GB"/>
        </w:rPr>
        <w:t>.</w:t>
      </w:r>
    </w:p>
    <w:p w14:paraId="4986B043" w14:textId="4F24DD2B" w:rsidR="008849A7" w:rsidRPr="00B247FF" w:rsidRDefault="008849A7" w:rsidP="00786F6E">
      <w:pPr>
        <w:tabs>
          <w:tab w:val="left" w:pos="8928"/>
        </w:tabs>
        <w:rPr>
          <w:lang w:val="en-GB"/>
        </w:rPr>
      </w:pPr>
      <w:r w:rsidRPr="00B247FF">
        <w:rPr>
          <w:lang w:val="en-GB"/>
        </w:rPr>
        <w:tab/>
      </w:r>
    </w:p>
    <w:tbl>
      <w:tblPr>
        <w:tblW w:w="4855" w:type="pct"/>
        <w:tblLook w:val="04A0" w:firstRow="1" w:lastRow="0" w:firstColumn="1" w:lastColumn="0" w:noHBand="0" w:noVBand="1"/>
      </w:tblPr>
      <w:tblGrid>
        <w:gridCol w:w="2676"/>
        <w:gridCol w:w="2202"/>
        <w:gridCol w:w="2242"/>
        <w:gridCol w:w="2239"/>
      </w:tblGrid>
      <w:tr w:rsidR="00934C6C" w:rsidRPr="00B247FF" w14:paraId="3DB1F36F" w14:textId="77777777" w:rsidTr="00CB06CC">
        <w:tc>
          <w:tcPr>
            <w:tcW w:w="9359" w:type="dxa"/>
            <w:gridSpan w:val="4"/>
            <w:tcBorders>
              <w:bottom w:val="single" w:sz="4" w:space="0" w:color="auto"/>
            </w:tcBorders>
            <w:shd w:val="clear" w:color="auto" w:fill="auto"/>
          </w:tcPr>
          <w:p w14:paraId="5B072F64" w14:textId="2918D110" w:rsidR="00934C6C" w:rsidRPr="00B247FF" w:rsidRDefault="00934C6C" w:rsidP="00786F6E">
            <w:pPr>
              <w:keepNext/>
              <w:tabs>
                <w:tab w:val="left" w:pos="1152"/>
                <w:tab w:val="left" w:pos="1440"/>
              </w:tabs>
              <w:spacing w:before="60" w:after="60"/>
              <w:ind w:left="1152" w:hanging="1152"/>
            </w:pPr>
            <w:r w:rsidRPr="00B247FF">
              <w:rPr>
                <w:b/>
                <w:bCs/>
                <w:color w:val="auto"/>
                <w:lang w:val="en-US"/>
              </w:rPr>
              <w:t>Table 4:</w:t>
            </w:r>
            <w:r w:rsidRPr="00B247FF">
              <w:rPr>
                <w:b/>
                <w:bCs/>
                <w:color w:val="auto"/>
                <w:lang w:val="en-US"/>
              </w:rPr>
              <w:tab/>
              <w:t xml:space="preserve">Infusion </w:t>
            </w:r>
            <w:r w:rsidR="00366921" w:rsidRPr="00B247FF">
              <w:rPr>
                <w:b/>
                <w:bCs/>
                <w:color w:val="auto"/>
                <w:lang w:val="en-US"/>
              </w:rPr>
              <w:t>r</w:t>
            </w:r>
            <w:r w:rsidRPr="00B247FF">
              <w:rPr>
                <w:b/>
                <w:bCs/>
                <w:color w:val="auto"/>
                <w:lang w:val="en-US"/>
              </w:rPr>
              <w:t xml:space="preserve">ates for RYBREVANT </w:t>
            </w:r>
            <w:r w:rsidR="00D4770B" w:rsidRPr="00B247FF">
              <w:rPr>
                <w:b/>
                <w:bCs/>
                <w:color w:val="auto"/>
                <w:lang w:val="en-US"/>
              </w:rPr>
              <w:t>a</w:t>
            </w:r>
            <w:r w:rsidRPr="00B247FF">
              <w:rPr>
                <w:b/>
                <w:bCs/>
                <w:color w:val="auto"/>
                <w:lang w:val="en-US"/>
              </w:rPr>
              <w:t>dministration</w:t>
            </w:r>
          </w:p>
        </w:tc>
      </w:tr>
      <w:tr w:rsidR="00934C6C" w:rsidRPr="00B247FF" w14:paraId="716D09A7"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9" w:type="dxa"/>
            <w:gridSpan w:val="4"/>
            <w:tcBorders>
              <w:top w:val="single" w:sz="4" w:space="0" w:color="auto"/>
              <w:left w:val="single" w:sz="4" w:space="0" w:color="auto"/>
              <w:bottom w:val="single" w:sz="4" w:space="0" w:color="auto"/>
              <w:right w:val="single" w:sz="4" w:space="0" w:color="auto"/>
            </w:tcBorders>
            <w:shd w:val="clear" w:color="auto" w:fill="auto"/>
          </w:tcPr>
          <w:p w14:paraId="6ED4B693" w14:textId="381915A6" w:rsidR="00934C6C" w:rsidRPr="00B247FF" w:rsidRDefault="00934C6C" w:rsidP="00786F6E">
            <w:pPr>
              <w:pStyle w:val="TableText0"/>
              <w:keepNext/>
              <w:rPr>
                <w:rFonts w:ascii="Arial" w:hAnsi="Arial" w:cs="Arial"/>
              </w:rPr>
            </w:pPr>
            <w:r w:rsidRPr="00B247FF">
              <w:rPr>
                <w:rFonts w:ascii="Arial" w:eastAsia="TimesNewRoman" w:hAnsi="Arial" w:cs="Arial"/>
                <w:b/>
                <w:bCs/>
                <w:szCs w:val="24"/>
              </w:rPr>
              <w:t xml:space="preserve">1050 mg </w:t>
            </w:r>
            <w:r w:rsidR="00D4770B" w:rsidRPr="00B247FF">
              <w:rPr>
                <w:rFonts w:ascii="Arial" w:eastAsia="TimesNewRoman" w:hAnsi="Arial" w:cs="Arial"/>
                <w:b/>
                <w:bCs/>
                <w:szCs w:val="24"/>
              </w:rPr>
              <w:t>d</w:t>
            </w:r>
            <w:r w:rsidRPr="00B247FF">
              <w:rPr>
                <w:rFonts w:ascii="Arial" w:eastAsia="TimesNewRoman" w:hAnsi="Arial" w:cs="Arial"/>
                <w:b/>
                <w:bCs/>
                <w:szCs w:val="24"/>
              </w:rPr>
              <w:t>ose</w:t>
            </w:r>
          </w:p>
        </w:tc>
      </w:tr>
      <w:tr w:rsidR="00934C6C" w:rsidRPr="00B247FF" w14:paraId="7334863A"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7F184D5E" w14:textId="77777777" w:rsidR="00934C6C" w:rsidRPr="00B247FF" w:rsidRDefault="00934C6C" w:rsidP="00786F6E">
            <w:pPr>
              <w:pStyle w:val="TableText0"/>
              <w:keepNext/>
              <w:rPr>
                <w:rFonts w:ascii="Arial" w:hAnsi="Arial" w:cs="Arial"/>
              </w:rPr>
            </w:pPr>
            <w:r w:rsidRPr="00B247FF">
              <w:rPr>
                <w:rFonts w:ascii="Arial" w:eastAsia="TimesNewRoman" w:hAnsi="Arial" w:cs="Arial"/>
                <w:b/>
                <w:bCs/>
                <w:szCs w:val="24"/>
              </w:rPr>
              <w:t>Week</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25CF92C" w14:textId="77777777" w:rsidR="00934C6C" w:rsidRPr="00B247FF" w:rsidRDefault="00934C6C" w:rsidP="00786F6E">
            <w:pPr>
              <w:pStyle w:val="TableText0"/>
              <w:keepNext/>
              <w:rPr>
                <w:rFonts w:ascii="Arial" w:hAnsi="Arial" w:cs="Arial"/>
              </w:rPr>
            </w:pPr>
            <w:r w:rsidRPr="00B247FF">
              <w:rPr>
                <w:rFonts w:ascii="Arial" w:eastAsia="TimesNewRoman" w:hAnsi="Arial" w:cs="Arial"/>
                <w:b/>
                <w:bCs/>
                <w:szCs w:val="24"/>
              </w:rPr>
              <w:t>Dose</w:t>
            </w:r>
            <w:r w:rsidRPr="00B247FF">
              <w:rPr>
                <w:rFonts w:ascii="Arial" w:eastAsia="TimesNewRoman" w:hAnsi="Arial" w:cs="Arial"/>
                <w:b/>
                <w:bCs/>
                <w:szCs w:val="24"/>
              </w:rPr>
              <w:br/>
              <w:t>(per 250 mL bag)</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23CFE7B9" w14:textId="19797B4F" w:rsidR="00934C6C" w:rsidRPr="00B247FF" w:rsidRDefault="00934C6C" w:rsidP="00786F6E">
            <w:pPr>
              <w:pStyle w:val="TableText0"/>
              <w:keepNext/>
              <w:rPr>
                <w:rFonts w:ascii="Arial" w:hAnsi="Arial" w:cs="Arial"/>
              </w:rPr>
            </w:pPr>
            <w:r w:rsidRPr="00B247FF">
              <w:rPr>
                <w:rFonts w:ascii="Arial" w:eastAsia="TimesNewRoman" w:hAnsi="Arial" w:cs="Arial"/>
                <w:b/>
                <w:bCs/>
                <w:szCs w:val="24"/>
              </w:rPr>
              <w:t xml:space="preserve">Initial </w:t>
            </w:r>
            <w:r w:rsidRPr="00B247FF">
              <w:rPr>
                <w:rFonts w:ascii="Arial" w:eastAsia="TimesNewRoman" w:hAnsi="Arial" w:cs="Arial"/>
                <w:b/>
                <w:bCs/>
                <w:szCs w:val="24"/>
              </w:rPr>
              <w:br/>
            </w:r>
            <w:r w:rsidR="00D4770B" w:rsidRPr="00B247FF">
              <w:rPr>
                <w:rFonts w:ascii="Arial" w:eastAsia="TimesNewRoman" w:hAnsi="Arial" w:cs="Arial"/>
                <w:b/>
                <w:bCs/>
                <w:szCs w:val="24"/>
              </w:rPr>
              <w:t>i</w:t>
            </w:r>
            <w:r w:rsidRPr="00B247FF">
              <w:rPr>
                <w:rFonts w:ascii="Arial" w:eastAsia="TimesNewRoman" w:hAnsi="Arial" w:cs="Arial"/>
                <w:b/>
                <w:bCs/>
                <w:szCs w:val="24"/>
              </w:rPr>
              <w:t xml:space="preserve">nfusion </w:t>
            </w:r>
            <w:r w:rsidR="00D4770B" w:rsidRPr="00B247FF">
              <w:rPr>
                <w:rFonts w:ascii="Arial" w:eastAsia="TimesNewRoman" w:hAnsi="Arial" w:cs="Arial"/>
                <w:b/>
                <w:bCs/>
                <w:szCs w:val="24"/>
              </w:rPr>
              <w:t>r</w:t>
            </w:r>
            <w:r w:rsidRPr="00B247FF">
              <w:rPr>
                <w:rFonts w:ascii="Arial" w:eastAsia="TimesNewRoman" w:hAnsi="Arial" w:cs="Arial"/>
                <w:b/>
                <w:bCs/>
                <w:szCs w:val="24"/>
              </w:rPr>
              <w:t>ate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9F97CC5" w14:textId="0E735076" w:rsidR="00934C6C" w:rsidRPr="00B247FF" w:rsidRDefault="00934C6C" w:rsidP="00786F6E">
            <w:pPr>
              <w:pStyle w:val="TableText0"/>
              <w:keepNext/>
              <w:rPr>
                <w:rFonts w:ascii="Arial" w:hAnsi="Arial" w:cs="Arial"/>
              </w:rPr>
            </w:pPr>
            <w:r w:rsidRPr="00B247FF">
              <w:rPr>
                <w:rFonts w:ascii="Arial" w:eastAsia="TimesNewRoman" w:hAnsi="Arial" w:cs="Arial"/>
                <w:b/>
                <w:bCs/>
                <w:szCs w:val="24"/>
              </w:rPr>
              <w:t xml:space="preserve">Subsequent </w:t>
            </w:r>
            <w:r w:rsidRPr="00B247FF">
              <w:rPr>
                <w:rFonts w:ascii="Arial" w:eastAsia="TimesNewRoman" w:hAnsi="Arial" w:cs="Arial"/>
                <w:b/>
                <w:bCs/>
                <w:szCs w:val="24"/>
              </w:rPr>
              <w:br/>
            </w:r>
            <w:r w:rsidR="00D4770B" w:rsidRPr="00B247FF">
              <w:rPr>
                <w:rFonts w:ascii="Arial" w:eastAsia="TimesNewRoman" w:hAnsi="Arial" w:cs="Arial"/>
                <w:b/>
                <w:bCs/>
                <w:szCs w:val="24"/>
              </w:rPr>
              <w:t>i</w:t>
            </w:r>
            <w:r w:rsidRPr="00B247FF">
              <w:rPr>
                <w:rFonts w:ascii="Arial" w:eastAsia="TimesNewRoman" w:hAnsi="Arial" w:cs="Arial"/>
                <w:b/>
                <w:bCs/>
                <w:szCs w:val="24"/>
              </w:rPr>
              <w:t xml:space="preserve">nfusion </w:t>
            </w:r>
            <w:r w:rsidR="00D4770B" w:rsidRPr="00B247FF">
              <w:rPr>
                <w:rFonts w:ascii="Arial" w:eastAsia="TimesNewRoman" w:hAnsi="Arial" w:cs="Arial"/>
                <w:b/>
                <w:bCs/>
                <w:szCs w:val="24"/>
              </w:rPr>
              <w:t>r</w:t>
            </w:r>
            <w:r w:rsidRPr="00B247FF">
              <w:rPr>
                <w:rFonts w:ascii="Arial" w:eastAsia="TimesNewRoman" w:hAnsi="Arial" w:cs="Arial"/>
                <w:b/>
                <w:bCs/>
                <w:szCs w:val="24"/>
              </w:rPr>
              <w:t>ate</w:t>
            </w:r>
            <w:r w:rsidRPr="00B247FF">
              <w:rPr>
                <w:rFonts w:ascii="Arial" w:hAnsi="Arial" w:cs="Arial"/>
                <w:b/>
                <w:bCs/>
                <w:szCs w:val="24"/>
                <w:vertAlign w:val="superscript"/>
              </w:rPr>
              <w:t>†</w:t>
            </w:r>
          </w:p>
        </w:tc>
      </w:tr>
      <w:tr w:rsidR="00934C6C" w:rsidRPr="00B247FF" w14:paraId="35627C70"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410E583B" w14:textId="77777777" w:rsidR="00934C6C" w:rsidRPr="00B247FF" w:rsidRDefault="00934C6C" w:rsidP="00786F6E">
            <w:pPr>
              <w:pStyle w:val="TableText0"/>
              <w:keepNext/>
              <w:rPr>
                <w:rFonts w:ascii="Arial" w:hAnsi="Arial" w:cs="Arial"/>
              </w:rPr>
            </w:pPr>
            <w:r w:rsidRPr="00B247FF">
              <w:rPr>
                <w:rFonts w:ascii="Arial" w:hAnsi="Arial" w:cs="Arial"/>
                <w:b/>
                <w:bCs/>
                <w:spacing w:val="-2"/>
                <w:szCs w:val="24"/>
              </w:rPr>
              <w:t>Week 1 (split dose infusion)</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5E5B9E55" w14:textId="77777777" w:rsidR="00934C6C" w:rsidRPr="00B247FF" w:rsidRDefault="00934C6C" w:rsidP="00786F6E">
            <w:pPr>
              <w:pStyle w:val="TableText0"/>
              <w:keepNext/>
              <w:rPr>
                <w:rFonts w:ascii="Arial" w:hAnsi="Arial" w:cs="Arial"/>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7BD606FB" w14:textId="77777777" w:rsidR="00934C6C" w:rsidRPr="00B247FF" w:rsidRDefault="00934C6C" w:rsidP="00786F6E">
            <w:pPr>
              <w:pStyle w:val="TableText0"/>
              <w:keepNext/>
              <w:rPr>
                <w:rFonts w:ascii="Arial" w:hAnsi="Arial" w:cs="Arial"/>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5CD6BECC" w14:textId="77777777" w:rsidR="00934C6C" w:rsidRPr="00B247FF" w:rsidRDefault="00934C6C" w:rsidP="00786F6E">
            <w:pPr>
              <w:pStyle w:val="TableText0"/>
              <w:keepNext/>
              <w:rPr>
                <w:rFonts w:ascii="Arial" w:hAnsi="Arial" w:cs="Arial"/>
              </w:rPr>
            </w:pPr>
          </w:p>
        </w:tc>
      </w:tr>
      <w:tr w:rsidR="00934C6C" w:rsidRPr="00B247FF" w14:paraId="53448B82"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1E4CB6D9" w14:textId="77777777" w:rsidR="00934C6C" w:rsidRPr="00B247FF" w:rsidRDefault="00934C6C" w:rsidP="00786F6E">
            <w:pPr>
              <w:pStyle w:val="TableText0"/>
              <w:keepNext/>
              <w:tabs>
                <w:tab w:val="clear" w:pos="288"/>
                <w:tab w:val="clear" w:pos="576"/>
                <w:tab w:val="clear" w:pos="864"/>
              </w:tabs>
              <w:ind w:left="142"/>
              <w:rPr>
                <w:rFonts w:ascii="Arial" w:hAnsi="Arial" w:cs="Arial"/>
                <w:b/>
                <w:bCs/>
                <w:spacing w:val="-2"/>
                <w:szCs w:val="24"/>
              </w:rPr>
            </w:pPr>
            <w:r w:rsidRPr="00B247FF">
              <w:rPr>
                <w:rFonts w:ascii="Arial" w:hAnsi="Arial" w:cs="Arial"/>
                <w:spacing w:val="-2"/>
                <w:szCs w:val="24"/>
              </w:rPr>
              <w:t>Week</w:t>
            </w:r>
            <w:r w:rsidRPr="00B247FF">
              <w:rPr>
                <w:rFonts w:ascii="Arial" w:hAnsi="Arial" w:cs="Arial"/>
                <w:spacing w:val="-8"/>
                <w:szCs w:val="24"/>
              </w:rPr>
              <w:t xml:space="preserve"> </w:t>
            </w:r>
            <w:r w:rsidRPr="00B247FF">
              <w:rPr>
                <w:rFonts w:ascii="Arial" w:hAnsi="Arial" w:cs="Arial"/>
                <w:szCs w:val="24"/>
              </w:rPr>
              <w:t>1</w:t>
            </w:r>
            <w:r w:rsidRPr="00B247FF">
              <w:rPr>
                <w:rFonts w:ascii="Arial" w:hAnsi="Arial" w:cs="Arial"/>
                <w:spacing w:val="-4"/>
                <w:szCs w:val="24"/>
              </w:rPr>
              <w:t xml:space="preserve"> </w:t>
            </w:r>
            <w:r w:rsidRPr="00B247FF">
              <w:rPr>
                <w:rFonts w:ascii="Arial" w:hAnsi="Arial" w:cs="Arial"/>
                <w:i/>
                <w:iCs/>
                <w:spacing w:val="-4"/>
                <w:szCs w:val="24"/>
              </w:rPr>
              <w:t>Day 1</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00F545D" w14:textId="77777777" w:rsidR="00934C6C" w:rsidRPr="00B247FF" w:rsidRDefault="00934C6C" w:rsidP="00786F6E">
            <w:pPr>
              <w:pStyle w:val="TableText0"/>
              <w:keepNext/>
              <w:rPr>
                <w:rFonts w:ascii="Arial" w:hAnsi="Arial" w:cs="Arial"/>
              </w:rPr>
            </w:pPr>
            <w:r w:rsidRPr="00B247FF">
              <w:rPr>
                <w:rFonts w:ascii="Arial" w:eastAsia="TimesNewRoman" w:hAnsi="Arial" w:cs="Arial"/>
                <w:szCs w:val="24"/>
              </w:rPr>
              <w:t>350 mg</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72429BB" w14:textId="77777777" w:rsidR="00934C6C" w:rsidRPr="00B247FF" w:rsidRDefault="00934C6C" w:rsidP="00786F6E">
            <w:pPr>
              <w:pStyle w:val="TableText0"/>
              <w:keepNext/>
              <w:rPr>
                <w:rFonts w:ascii="Arial" w:hAnsi="Arial" w:cs="Arial"/>
              </w:rPr>
            </w:pPr>
            <w:r w:rsidRPr="00B247FF">
              <w:rPr>
                <w:rFonts w:ascii="Arial" w:eastAsia="TimesNewRoman" w:hAnsi="Arial" w:cs="Arial"/>
                <w:szCs w:val="24"/>
              </w:rPr>
              <w:t>50 mL/</w:t>
            </w:r>
            <w:proofErr w:type="spellStart"/>
            <w:r w:rsidRPr="00B247FF">
              <w:rPr>
                <w:rFonts w:ascii="Arial" w:eastAsia="TimesNewRoman" w:hAnsi="Arial" w:cs="Arial"/>
                <w:szCs w:val="24"/>
              </w:rPr>
              <w:t>hr</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161E2BE" w14:textId="77777777" w:rsidR="00934C6C" w:rsidRPr="00B247FF" w:rsidRDefault="00934C6C" w:rsidP="00786F6E">
            <w:pPr>
              <w:pStyle w:val="TableText0"/>
              <w:keepNext/>
              <w:rPr>
                <w:rFonts w:ascii="Arial" w:hAnsi="Arial" w:cs="Arial"/>
              </w:rPr>
            </w:pPr>
            <w:r w:rsidRPr="00B247FF">
              <w:rPr>
                <w:rFonts w:ascii="Arial" w:eastAsia="TimesNewRoman" w:hAnsi="Arial" w:cs="Arial"/>
                <w:szCs w:val="24"/>
              </w:rPr>
              <w:t>75 mL/</w:t>
            </w:r>
            <w:proofErr w:type="spellStart"/>
            <w:r w:rsidRPr="00B247FF">
              <w:rPr>
                <w:rFonts w:ascii="Arial" w:eastAsia="TimesNewRoman" w:hAnsi="Arial" w:cs="Arial"/>
                <w:szCs w:val="24"/>
              </w:rPr>
              <w:t>hr</w:t>
            </w:r>
            <w:proofErr w:type="spellEnd"/>
          </w:p>
        </w:tc>
      </w:tr>
      <w:tr w:rsidR="00934C6C" w:rsidRPr="00B247FF" w14:paraId="7A40CE34"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07A8D711" w14:textId="77777777" w:rsidR="00934C6C" w:rsidRPr="00B247FF" w:rsidRDefault="00934C6C" w:rsidP="00786F6E">
            <w:pPr>
              <w:pStyle w:val="TableText0"/>
              <w:keepNext/>
              <w:tabs>
                <w:tab w:val="clear" w:pos="288"/>
                <w:tab w:val="clear" w:pos="576"/>
                <w:tab w:val="clear" w:pos="864"/>
              </w:tabs>
              <w:ind w:left="142"/>
              <w:rPr>
                <w:rFonts w:ascii="Arial" w:hAnsi="Arial" w:cs="Arial"/>
                <w:spacing w:val="-2"/>
                <w:szCs w:val="24"/>
              </w:rPr>
            </w:pPr>
            <w:r w:rsidRPr="00B247FF">
              <w:rPr>
                <w:rFonts w:ascii="Arial" w:hAnsi="Arial" w:cs="Arial"/>
                <w:spacing w:val="-2"/>
                <w:szCs w:val="24"/>
              </w:rPr>
              <w:t>Week</w:t>
            </w:r>
            <w:r w:rsidRPr="00B247FF">
              <w:rPr>
                <w:rFonts w:ascii="Arial" w:hAnsi="Arial" w:cs="Arial"/>
                <w:spacing w:val="-8"/>
                <w:szCs w:val="24"/>
              </w:rPr>
              <w:t xml:space="preserve"> </w:t>
            </w:r>
            <w:r w:rsidRPr="00B247FF">
              <w:rPr>
                <w:rFonts w:ascii="Arial" w:hAnsi="Arial" w:cs="Arial"/>
                <w:szCs w:val="24"/>
              </w:rPr>
              <w:t>1</w:t>
            </w:r>
            <w:r w:rsidRPr="00B247FF">
              <w:rPr>
                <w:rFonts w:ascii="Arial" w:hAnsi="Arial" w:cs="Arial"/>
                <w:spacing w:val="-4"/>
                <w:szCs w:val="24"/>
              </w:rPr>
              <w:t xml:space="preserve"> </w:t>
            </w:r>
            <w:r w:rsidRPr="00B247FF">
              <w:rPr>
                <w:rFonts w:ascii="Arial" w:hAnsi="Arial" w:cs="Arial"/>
                <w:i/>
                <w:iCs/>
                <w:spacing w:val="-4"/>
                <w:szCs w:val="24"/>
              </w:rPr>
              <w:t>Day 2</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734F5CAC" w14:textId="77777777" w:rsidR="00934C6C" w:rsidRPr="00B247FF" w:rsidRDefault="00934C6C" w:rsidP="00786F6E">
            <w:pPr>
              <w:pStyle w:val="TableText0"/>
              <w:keepNext/>
              <w:rPr>
                <w:rFonts w:ascii="Arial" w:eastAsia="TimesNewRoman" w:hAnsi="Arial" w:cs="Arial"/>
                <w:szCs w:val="24"/>
              </w:rPr>
            </w:pPr>
            <w:r w:rsidRPr="00B247FF">
              <w:rPr>
                <w:rFonts w:ascii="Arial" w:eastAsia="TimesNewRoman" w:hAnsi="Arial" w:cs="Arial"/>
                <w:szCs w:val="24"/>
              </w:rPr>
              <w:t>700 mg</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46A326D9" w14:textId="77777777" w:rsidR="00934C6C" w:rsidRPr="00B247FF" w:rsidRDefault="00934C6C" w:rsidP="00786F6E">
            <w:pPr>
              <w:pStyle w:val="TableText0"/>
              <w:keepNext/>
              <w:rPr>
                <w:rFonts w:ascii="Arial" w:eastAsia="TimesNewRoman" w:hAnsi="Arial" w:cs="Arial"/>
                <w:szCs w:val="24"/>
              </w:rPr>
            </w:pPr>
            <w:r w:rsidRPr="00B247FF">
              <w:rPr>
                <w:rFonts w:ascii="Arial" w:eastAsia="TimesNewRoman" w:hAnsi="Arial" w:cs="Arial"/>
                <w:szCs w:val="24"/>
              </w:rPr>
              <w:t>50 mL/</w:t>
            </w:r>
            <w:proofErr w:type="spellStart"/>
            <w:r w:rsidRPr="00B247FF">
              <w:rPr>
                <w:rFonts w:ascii="Arial" w:eastAsia="TimesNewRoman" w:hAnsi="Arial" w:cs="Arial"/>
                <w:szCs w:val="24"/>
              </w:rPr>
              <w:t>hr</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C16301D" w14:textId="77777777" w:rsidR="00934C6C" w:rsidRPr="00B247FF" w:rsidRDefault="00934C6C" w:rsidP="00786F6E">
            <w:pPr>
              <w:pStyle w:val="TableText0"/>
              <w:keepNext/>
              <w:rPr>
                <w:rFonts w:ascii="Arial" w:eastAsia="TimesNewRoman" w:hAnsi="Arial" w:cs="Arial"/>
                <w:szCs w:val="24"/>
              </w:rPr>
            </w:pPr>
            <w:r w:rsidRPr="00B247FF">
              <w:rPr>
                <w:rFonts w:ascii="Arial" w:eastAsia="TimesNewRoman" w:hAnsi="Arial" w:cs="Arial"/>
                <w:szCs w:val="24"/>
              </w:rPr>
              <w:t>75 mL/</w:t>
            </w:r>
            <w:proofErr w:type="spellStart"/>
            <w:r w:rsidRPr="00B247FF">
              <w:rPr>
                <w:rFonts w:ascii="Arial" w:eastAsia="TimesNewRoman" w:hAnsi="Arial" w:cs="Arial"/>
                <w:szCs w:val="24"/>
              </w:rPr>
              <w:t>hr</w:t>
            </w:r>
            <w:proofErr w:type="spellEnd"/>
          </w:p>
        </w:tc>
      </w:tr>
      <w:tr w:rsidR="00934C6C" w:rsidRPr="00B247FF" w14:paraId="00400FD5"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2333A2E5" w14:textId="77777777" w:rsidR="00934C6C" w:rsidRPr="00B247FF" w:rsidRDefault="00934C6C" w:rsidP="00786F6E">
            <w:pPr>
              <w:pStyle w:val="TableText0"/>
              <w:keepNext/>
              <w:rPr>
                <w:rFonts w:ascii="Arial" w:hAnsi="Arial" w:cs="Arial"/>
                <w:spacing w:val="-2"/>
                <w:szCs w:val="24"/>
              </w:rPr>
            </w:pPr>
            <w:r w:rsidRPr="00B247FF">
              <w:rPr>
                <w:rFonts w:ascii="Arial" w:hAnsi="Arial" w:cs="Arial"/>
                <w:b/>
                <w:bCs/>
                <w:spacing w:val="-2"/>
                <w:szCs w:val="24"/>
              </w:rPr>
              <w:t>Week</w:t>
            </w:r>
            <w:r w:rsidRPr="00B247FF">
              <w:rPr>
                <w:rFonts w:ascii="Arial" w:hAnsi="Arial" w:cs="Arial"/>
                <w:b/>
                <w:bCs/>
                <w:spacing w:val="-8"/>
                <w:szCs w:val="24"/>
              </w:rPr>
              <w:t xml:space="preserve"> </w:t>
            </w:r>
            <w:r w:rsidRPr="00B247FF">
              <w:rPr>
                <w:rFonts w:ascii="Arial" w:hAnsi="Arial" w:cs="Arial"/>
                <w:b/>
                <w:bCs/>
                <w:szCs w:val="24"/>
              </w:rPr>
              <w:t>2</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EFCE45D" w14:textId="77777777" w:rsidR="00934C6C" w:rsidRPr="00B247FF" w:rsidRDefault="00934C6C" w:rsidP="00786F6E">
            <w:pPr>
              <w:pStyle w:val="TableText0"/>
              <w:keepNext/>
              <w:rPr>
                <w:rFonts w:ascii="Arial" w:eastAsia="TimesNewRoman" w:hAnsi="Arial" w:cs="Arial"/>
                <w:szCs w:val="24"/>
              </w:rPr>
            </w:pPr>
            <w:r w:rsidRPr="00B247FF">
              <w:rPr>
                <w:rFonts w:ascii="Arial" w:hAnsi="Arial" w:cs="Arial"/>
                <w:spacing w:val="1"/>
                <w:szCs w:val="24"/>
              </w:rPr>
              <w:t>1050 mg</w:t>
            </w:r>
          </w:p>
        </w:tc>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14:paraId="16D18DF8" w14:textId="77777777" w:rsidR="00934C6C" w:rsidRPr="00B247FF" w:rsidRDefault="00934C6C" w:rsidP="00786F6E">
            <w:pPr>
              <w:pStyle w:val="TableText0"/>
              <w:keepNext/>
              <w:rPr>
                <w:rFonts w:ascii="Arial" w:eastAsia="TimesNewRoman" w:hAnsi="Arial" w:cs="Arial"/>
                <w:szCs w:val="24"/>
              </w:rPr>
            </w:pPr>
            <w:r w:rsidRPr="00B247FF">
              <w:rPr>
                <w:rFonts w:ascii="Arial" w:hAnsi="Arial" w:cs="Arial"/>
                <w:spacing w:val="1"/>
                <w:szCs w:val="24"/>
              </w:rPr>
              <w:t>85 mL/</w:t>
            </w:r>
            <w:proofErr w:type="spellStart"/>
            <w:r w:rsidRPr="00B247FF">
              <w:rPr>
                <w:rFonts w:ascii="Arial" w:hAnsi="Arial" w:cs="Arial"/>
                <w:spacing w:val="1"/>
                <w:szCs w:val="24"/>
              </w:rPr>
              <w:t>hr</w:t>
            </w:r>
            <w:proofErr w:type="spellEnd"/>
          </w:p>
        </w:tc>
      </w:tr>
      <w:tr w:rsidR="00934C6C" w:rsidRPr="00B247FF" w14:paraId="1697A9DB"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34ABFC5A" w14:textId="77777777" w:rsidR="00934C6C" w:rsidRPr="00B247FF" w:rsidRDefault="00934C6C" w:rsidP="00786F6E">
            <w:pPr>
              <w:pStyle w:val="TableText0"/>
              <w:keepNext/>
              <w:rPr>
                <w:rFonts w:ascii="Arial" w:hAnsi="Arial" w:cs="Arial"/>
                <w:b/>
                <w:bCs/>
                <w:spacing w:val="-2"/>
                <w:szCs w:val="24"/>
              </w:rPr>
            </w:pPr>
            <w:r w:rsidRPr="00B247FF">
              <w:rPr>
                <w:rFonts w:ascii="Arial" w:hAnsi="Arial" w:cs="Arial"/>
                <w:b/>
                <w:bCs/>
                <w:spacing w:val="-2"/>
                <w:szCs w:val="24"/>
              </w:rPr>
              <w:t>Week 3</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44FCD559"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1050 mg</w:t>
            </w:r>
          </w:p>
        </w:tc>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14:paraId="32919897"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125 mL/</w:t>
            </w:r>
            <w:proofErr w:type="spellStart"/>
            <w:r w:rsidRPr="00B247FF">
              <w:rPr>
                <w:rFonts w:ascii="Arial" w:hAnsi="Arial" w:cs="Arial"/>
                <w:spacing w:val="1"/>
                <w:szCs w:val="24"/>
              </w:rPr>
              <w:t>hr</w:t>
            </w:r>
            <w:proofErr w:type="spellEnd"/>
          </w:p>
        </w:tc>
      </w:tr>
      <w:tr w:rsidR="00934C6C" w:rsidRPr="00B247FF" w14:paraId="6C2F8A79"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535BF798" w14:textId="77777777" w:rsidR="00934C6C" w:rsidRPr="00B247FF" w:rsidRDefault="00934C6C" w:rsidP="00786F6E">
            <w:pPr>
              <w:pStyle w:val="TableText0"/>
              <w:keepNext/>
              <w:rPr>
                <w:rFonts w:ascii="Arial" w:hAnsi="Arial" w:cs="Arial"/>
                <w:b/>
                <w:bCs/>
                <w:spacing w:val="-2"/>
                <w:szCs w:val="24"/>
              </w:rPr>
            </w:pPr>
            <w:r w:rsidRPr="00B247FF">
              <w:rPr>
                <w:rFonts w:ascii="Arial" w:hAnsi="Arial" w:cs="Arial"/>
                <w:b/>
                <w:bCs/>
                <w:spacing w:val="-2"/>
                <w:szCs w:val="24"/>
              </w:rPr>
              <w:t>Week 4</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A367589"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1050 mg</w:t>
            </w:r>
          </w:p>
        </w:tc>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14:paraId="6647D126"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125 mL/</w:t>
            </w:r>
            <w:proofErr w:type="spellStart"/>
            <w:r w:rsidRPr="00B247FF">
              <w:rPr>
                <w:rFonts w:ascii="Arial" w:hAnsi="Arial" w:cs="Arial"/>
                <w:spacing w:val="1"/>
                <w:szCs w:val="24"/>
              </w:rPr>
              <w:t>hr</w:t>
            </w:r>
            <w:proofErr w:type="spellEnd"/>
          </w:p>
        </w:tc>
      </w:tr>
      <w:tr w:rsidR="00934C6C" w:rsidRPr="00B247FF" w14:paraId="154B4A19"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76E044D5" w14:textId="77777777" w:rsidR="00934C6C" w:rsidRPr="00B247FF" w:rsidRDefault="00934C6C" w:rsidP="00786F6E">
            <w:pPr>
              <w:pStyle w:val="TableText0"/>
              <w:keepNext/>
              <w:rPr>
                <w:rFonts w:ascii="Arial" w:hAnsi="Arial" w:cs="Arial"/>
                <w:b/>
                <w:bCs/>
                <w:spacing w:val="-2"/>
                <w:szCs w:val="24"/>
              </w:rPr>
            </w:pPr>
            <w:r w:rsidRPr="00B247FF">
              <w:rPr>
                <w:rFonts w:ascii="Arial" w:hAnsi="Arial" w:cs="Arial"/>
                <w:b/>
                <w:bCs/>
                <w:szCs w:val="24"/>
              </w:rPr>
              <w:t>Subsequent</w:t>
            </w:r>
            <w:r w:rsidRPr="00B247FF">
              <w:rPr>
                <w:rFonts w:ascii="Arial" w:hAnsi="Arial" w:cs="Arial"/>
                <w:b/>
                <w:bCs/>
                <w:spacing w:val="-11"/>
                <w:szCs w:val="24"/>
              </w:rPr>
              <w:t xml:space="preserve"> </w:t>
            </w:r>
            <w:r w:rsidRPr="00B247FF">
              <w:rPr>
                <w:rFonts w:ascii="Arial" w:hAnsi="Arial" w:cs="Arial"/>
                <w:b/>
                <w:bCs/>
                <w:szCs w:val="24"/>
              </w:rPr>
              <w:t>weeks</w:t>
            </w:r>
            <w:r w:rsidRPr="00B247FF">
              <w:rPr>
                <w:rFonts w:ascii="Arial" w:hAnsi="Arial" w:cs="Arial"/>
                <w:b/>
                <w:bCs/>
                <w:szCs w:val="24"/>
                <w:vertAlign w:val="superscript"/>
              </w:rPr>
              <w:t>*</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4BD8968"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1050 mg</w:t>
            </w:r>
          </w:p>
        </w:tc>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14:paraId="464D0F28" w14:textId="77777777" w:rsidR="00934C6C" w:rsidRPr="00B247FF" w:rsidRDefault="00934C6C" w:rsidP="00786F6E">
            <w:pPr>
              <w:pStyle w:val="TableText0"/>
              <w:keepNext/>
              <w:rPr>
                <w:rFonts w:ascii="Arial" w:eastAsia="TimesNewRoman" w:hAnsi="Arial" w:cs="Arial"/>
                <w:szCs w:val="24"/>
              </w:rPr>
            </w:pPr>
            <w:r w:rsidRPr="00B247FF">
              <w:rPr>
                <w:rFonts w:ascii="Arial" w:hAnsi="Arial" w:cs="Arial"/>
                <w:spacing w:val="1"/>
                <w:szCs w:val="24"/>
              </w:rPr>
              <w:t>125 mL/</w:t>
            </w:r>
            <w:proofErr w:type="spellStart"/>
            <w:r w:rsidRPr="00B247FF">
              <w:rPr>
                <w:rFonts w:ascii="Arial" w:hAnsi="Arial" w:cs="Arial"/>
                <w:spacing w:val="1"/>
                <w:szCs w:val="24"/>
              </w:rPr>
              <w:t>hr</w:t>
            </w:r>
            <w:proofErr w:type="spellEnd"/>
          </w:p>
        </w:tc>
      </w:tr>
      <w:tr w:rsidR="00934C6C" w:rsidRPr="00B247FF" w14:paraId="68CBD552"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9" w:type="dxa"/>
            <w:gridSpan w:val="4"/>
            <w:tcBorders>
              <w:top w:val="single" w:sz="4" w:space="0" w:color="auto"/>
              <w:left w:val="single" w:sz="4" w:space="0" w:color="auto"/>
              <w:bottom w:val="single" w:sz="4" w:space="0" w:color="auto"/>
              <w:right w:val="single" w:sz="4" w:space="0" w:color="auto"/>
            </w:tcBorders>
            <w:shd w:val="clear" w:color="auto" w:fill="auto"/>
          </w:tcPr>
          <w:p w14:paraId="04666F63" w14:textId="78E26ED1" w:rsidR="00934C6C" w:rsidRPr="00B247FF" w:rsidRDefault="00934C6C" w:rsidP="00786F6E">
            <w:pPr>
              <w:pStyle w:val="TableText0"/>
              <w:keepNext/>
              <w:rPr>
                <w:rFonts w:ascii="Arial" w:eastAsia="TimesNewRoman" w:hAnsi="Arial" w:cs="Arial"/>
                <w:szCs w:val="24"/>
              </w:rPr>
            </w:pPr>
            <w:r w:rsidRPr="00B247FF">
              <w:rPr>
                <w:rFonts w:ascii="Arial" w:eastAsia="TimesNewRoman" w:hAnsi="Arial" w:cs="Arial"/>
                <w:b/>
                <w:bCs/>
                <w:szCs w:val="24"/>
              </w:rPr>
              <w:t xml:space="preserve">1400 mg </w:t>
            </w:r>
            <w:r w:rsidR="00D4770B" w:rsidRPr="00B247FF">
              <w:rPr>
                <w:rFonts w:ascii="Arial" w:eastAsia="TimesNewRoman" w:hAnsi="Arial" w:cs="Arial"/>
                <w:b/>
                <w:bCs/>
                <w:szCs w:val="24"/>
              </w:rPr>
              <w:t>d</w:t>
            </w:r>
            <w:r w:rsidRPr="00B247FF">
              <w:rPr>
                <w:rFonts w:ascii="Arial" w:eastAsia="TimesNewRoman" w:hAnsi="Arial" w:cs="Arial"/>
                <w:b/>
                <w:bCs/>
                <w:szCs w:val="24"/>
              </w:rPr>
              <w:t>ose</w:t>
            </w:r>
          </w:p>
        </w:tc>
      </w:tr>
      <w:tr w:rsidR="00934C6C" w:rsidRPr="00B247FF" w14:paraId="1C62054A"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6EC39902" w14:textId="77777777" w:rsidR="00934C6C" w:rsidRPr="00B247FF" w:rsidRDefault="00934C6C" w:rsidP="00786F6E">
            <w:pPr>
              <w:pStyle w:val="TableText0"/>
              <w:keepNext/>
              <w:rPr>
                <w:rFonts w:ascii="Arial" w:hAnsi="Arial" w:cs="Arial"/>
                <w:b/>
                <w:bCs/>
                <w:spacing w:val="-2"/>
                <w:szCs w:val="24"/>
              </w:rPr>
            </w:pPr>
            <w:r w:rsidRPr="00B247FF">
              <w:rPr>
                <w:rFonts w:ascii="Arial" w:hAnsi="Arial" w:cs="Arial"/>
                <w:b/>
                <w:bCs/>
                <w:spacing w:val="-2"/>
                <w:szCs w:val="24"/>
              </w:rPr>
              <w:t>Week</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0D1C2FB" w14:textId="77777777" w:rsidR="00934C6C" w:rsidRPr="00B247FF" w:rsidRDefault="00934C6C" w:rsidP="00786F6E">
            <w:pPr>
              <w:pStyle w:val="TableText0"/>
              <w:keepNext/>
              <w:rPr>
                <w:rFonts w:ascii="Arial" w:hAnsi="Arial" w:cs="Arial"/>
                <w:spacing w:val="1"/>
                <w:szCs w:val="24"/>
              </w:rPr>
            </w:pPr>
            <w:r w:rsidRPr="00B247FF">
              <w:rPr>
                <w:rFonts w:ascii="Arial" w:eastAsia="TimesNewRoman" w:hAnsi="Arial" w:cs="Arial"/>
                <w:b/>
                <w:bCs/>
                <w:szCs w:val="24"/>
              </w:rPr>
              <w:t>Dose</w:t>
            </w:r>
            <w:r w:rsidRPr="00B247FF">
              <w:rPr>
                <w:rFonts w:ascii="Arial" w:eastAsia="TimesNewRoman" w:hAnsi="Arial" w:cs="Arial"/>
                <w:b/>
                <w:bCs/>
                <w:szCs w:val="24"/>
              </w:rPr>
              <w:br/>
              <w:t>(per 250 mL bag)</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6A320EB1" w14:textId="36C5DB2F" w:rsidR="00934C6C" w:rsidRPr="00B247FF" w:rsidRDefault="00934C6C" w:rsidP="00786F6E">
            <w:pPr>
              <w:pStyle w:val="TableText0"/>
              <w:keepNext/>
              <w:rPr>
                <w:rFonts w:ascii="Arial" w:eastAsia="TimesNewRoman" w:hAnsi="Arial" w:cs="Arial"/>
                <w:b/>
                <w:bCs/>
                <w:szCs w:val="24"/>
              </w:rPr>
            </w:pPr>
            <w:r w:rsidRPr="00B247FF">
              <w:rPr>
                <w:rFonts w:ascii="Arial" w:eastAsia="TimesNewRoman" w:hAnsi="Arial" w:cs="Arial"/>
                <w:b/>
                <w:bCs/>
                <w:szCs w:val="24"/>
              </w:rPr>
              <w:t xml:space="preserve">Initial </w:t>
            </w:r>
            <w:r w:rsidRPr="00B247FF">
              <w:rPr>
                <w:rFonts w:ascii="Arial" w:eastAsia="TimesNewRoman" w:hAnsi="Arial" w:cs="Arial"/>
                <w:b/>
                <w:bCs/>
                <w:szCs w:val="24"/>
              </w:rPr>
              <w:br/>
            </w:r>
            <w:r w:rsidR="00D4770B" w:rsidRPr="00B247FF">
              <w:rPr>
                <w:rFonts w:ascii="Arial" w:eastAsia="TimesNewRoman" w:hAnsi="Arial" w:cs="Arial"/>
                <w:b/>
                <w:bCs/>
                <w:szCs w:val="24"/>
              </w:rPr>
              <w:t>i</w:t>
            </w:r>
            <w:r w:rsidRPr="00B247FF">
              <w:rPr>
                <w:rFonts w:ascii="Arial" w:eastAsia="TimesNewRoman" w:hAnsi="Arial" w:cs="Arial"/>
                <w:b/>
                <w:bCs/>
                <w:szCs w:val="24"/>
              </w:rPr>
              <w:t xml:space="preserve">nfusion </w:t>
            </w:r>
            <w:r w:rsidR="00D4770B" w:rsidRPr="00B247FF">
              <w:rPr>
                <w:rFonts w:ascii="Arial" w:eastAsia="TimesNewRoman" w:hAnsi="Arial" w:cs="Arial"/>
                <w:b/>
                <w:bCs/>
                <w:szCs w:val="24"/>
              </w:rPr>
              <w:t>r</w:t>
            </w:r>
            <w:r w:rsidRPr="00B247FF">
              <w:rPr>
                <w:rFonts w:ascii="Arial" w:eastAsia="TimesNewRoman" w:hAnsi="Arial" w:cs="Arial"/>
                <w:b/>
                <w:bCs/>
                <w:szCs w:val="24"/>
              </w:rPr>
              <w:t>ate</w:t>
            </w: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1D6A91A4" w14:textId="5AF3F017" w:rsidR="00934C6C" w:rsidRPr="00B247FF" w:rsidRDefault="00934C6C" w:rsidP="00786F6E">
            <w:pPr>
              <w:pStyle w:val="TableText0"/>
              <w:keepNext/>
              <w:rPr>
                <w:rFonts w:ascii="Arial" w:eastAsia="TimesNewRoman" w:hAnsi="Arial" w:cs="Arial"/>
                <w:szCs w:val="24"/>
              </w:rPr>
            </w:pPr>
            <w:r w:rsidRPr="00B247FF">
              <w:rPr>
                <w:rFonts w:ascii="Arial" w:eastAsia="TimesNewRoman" w:hAnsi="Arial" w:cs="Arial"/>
                <w:b/>
                <w:bCs/>
                <w:szCs w:val="24"/>
              </w:rPr>
              <w:t xml:space="preserve">Subsequent </w:t>
            </w:r>
            <w:r w:rsidRPr="00B247FF">
              <w:rPr>
                <w:rFonts w:ascii="Arial" w:eastAsia="TimesNewRoman" w:hAnsi="Arial" w:cs="Arial"/>
                <w:b/>
                <w:bCs/>
                <w:szCs w:val="24"/>
              </w:rPr>
              <w:br/>
            </w:r>
            <w:r w:rsidR="00D4770B" w:rsidRPr="00B247FF">
              <w:rPr>
                <w:rFonts w:ascii="Arial" w:eastAsia="TimesNewRoman" w:hAnsi="Arial" w:cs="Arial"/>
                <w:b/>
                <w:bCs/>
                <w:szCs w:val="24"/>
              </w:rPr>
              <w:t>i</w:t>
            </w:r>
            <w:r w:rsidRPr="00B247FF">
              <w:rPr>
                <w:rFonts w:ascii="Arial" w:eastAsia="TimesNewRoman" w:hAnsi="Arial" w:cs="Arial"/>
                <w:b/>
                <w:bCs/>
                <w:szCs w:val="24"/>
              </w:rPr>
              <w:t xml:space="preserve">nfusion </w:t>
            </w:r>
            <w:r w:rsidR="00D4770B" w:rsidRPr="00B247FF">
              <w:rPr>
                <w:rFonts w:ascii="Arial" w:eastAsia="TimesNewRoman" w:hAnsi="Arial" w:cs="Arial"/>
                <w:b/>
                <w:bCs/>
                <w:szCs w:val="24"/>
              </w:rPr>
              <w:t>r</w:t>
            </w:r>
            <w:r w:rsidRPr="00B247FF">
              <w:rPr>
                <w:rFonts w:ascii="Arial" w:eastAsia="TimesNewRoman" w:hAnsi="Arial" w:cs="Arial"/>
                <w:b/>
                <w:bCs/>
                <w:szCs w:val="24"/>
              </w:rPr>
              <w:t>ate</w:t>
            </w:r>
            <w:r w:rsidRPr="00B247FF">
              <w:rPr>
                <w:rFonts w:ascii="Arial" w:hAnsi="Arial" w:cs="Arial"/>
                <w:b/>
                <w:bCs/>
                <w:szCs w:val="24"/>
                <w:vertAlign w:val="superscript"/>
              </w:rPr>
              <w:t>†</w:t>
            </w:r>
          </w:p>
        </w:tc>
      </w:tr>
      <w:tr w:rsidR="00934C6C" w:rsidRPr="00B247FF" w14:paraId="7CEFB456"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7771B103" w14:textId="77777777" w:rsidR="00934C6C" w:rsidRPr="00B247FF" w:rsidRDefault="00934C6C" w:rsidP="00786F6E">
            <w:pPr>
              <w:pStyle w:val="TableText0"/>
              <w:keepNext/>
              <w:rPr>
                <w:rFonts w:ascii="Arial" w:hAnsi="Arial" w:cs="Arial"/>
                <w:b/>
                <w:bCs/>
                <w:spacing w:val="-2"/>
                <w:szCs w:val="24"/>
              </w:rPr>
            </w:pPr>
            <w:r w:rsidRPr="00B247FF">
              <w:rPr>
                <w:rFonts w:ascii="Arial" w:hAnsi="Arial" w:cs="Arial"/>
                <w:b/>
                <w:bCs/>
                <w:spacing w:val="-2"/>
                <w:szCs w:val="24"/>
              </w:rPr>
              <w:t>Week 1 (split dose infusion)</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5FA0A4B8" w14:textId="77777777" w:rsidR="00934C6C" w:rsidRPr="00B247FF" w:rsidRDefault="00934C6C" w:rsidP="00786F6E">
            <w:pPr>
              <w:pStyle w:val="TableText0"/>
              <w:keepNext/>
              <w:rPr>
                <w:rFonts w:ascii="Arial" w:eastAsia="TimesNewRoman" w:hAnsi="Arial" w:cs="Arial"/>
                <w:b/>
                <w:bCs/>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30DBFE96" w14:textId="77777777" w:rsidR="00934C6C" w:rsidRPr="00B247FF" w:rsidRDefault="00934C6C" w:rsidP="00786F6E">
            <w:pPr>
              <w:pStyle w:val="TableText0"/>
              <w:keepNext/>
              <w:rPr>
                <w:rFonts w:ascii="Arial" w:eastAsia="TimesNewRoman" w:hAnsi="Arial" w:cs="Arial"/>
                <w:b/>
                <w:bCs/>
                <w:szCs w:val="24"/>
              </w:rPr>
            </w:pPr>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02C28EDF" w14:textId="77777777" w:rsidR="00934C6C" w:rsidRPr="00B247FF" w:rsidRDefault="00934C6C" w:rsidP="00786F6E">
            <w:pPr>
              <w:pStyle w:val="TableText0"/>
              <w:keepNext/>
              <w:rPr>
                <w:rFonts w:ascii="Arial" w:eastAsia="TimesNewRoman" w:hAnsi="Arial" w:cs="Arial"/>
                <w:b/>
                <w:bCs/>
                <w:szCs w:val="24"/>
              </w:rPr>
            </w:pPr>
          </w:p>
        </w:tc>
      </w:tr>
      <w:tr w:rsidR="00934C6C" w:rsidRPr="00B247FF" w14:paraId="60CBD15D"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12E63159" w14:textId="77777777" w:rsidR="00934C6C" w:rsidRPr="00B247FF" w:rsidRDefault="00934C6C" w:rsidP="00786F6E">
            <w:pPr>
              <w:pStyle w:val="TableText0"/>
              <w:keepNext/>
              <w:tabs>
                <w:tab w:val="clear" w:pos="288"/>
                <w:tab w:val="clear" w:pos="576"/>
              </w:tabs>
              <w:ind w:left="142"/>
              <w:rPr>
                <w:rFonts w:ascii="Arial" w:hAnsi="Arial" w:cs="Arial"/>
                <w:b/>
                <w:bCs/>
                <w:spacing w:val="-2"/>
                <w:szCs w:val="24"/>
              </w:rPr>
            </w:pPr>
            <w:r w:rsidRPr="00B247FF">
              <w:rPr>
                <w:rFonts w:ascii="Arial" w:hAnsi="Arial" w:cs="Arial"/>
                <w:spacing w:val="-2"/>
                <w:szCs w:val="24"/>
              </w:rPr>
              <w:t>Week</w:t>
            </w:r>
            <w:r w:rsidRPr="00B247FF">
              <w:rPr>
                <w:rFonts w:ascii="Arial" w:hAnsi="Arial" w:cs="Arial"/>
                <w:spacing w:val="-8"/>
                <w:szCs w:val="24"/>
              </w:rPr>
              <w:t xml:space="preserve"> </w:t>
            </w:r>
            <w:r w:rsidRPr="00B247FF">
              <w:rPr>
                <w:rFonts w:ascii="Arial" w:hAnsi="Arial" w:cs="Arial"/>
                <w:szCs w:val="24"/>
              </w:rPr>
              <w:t>1</w:t>
            </w:r>
            <w:r w:rsidRPr="00B247FF">
              <w:rPr>
                <w:rFonts w:ascii="Arial" w:hAnsi="Arial" w:cs="Arial"/>
                <w:spacing w:val="-4"/>
                <w:szCs w:val="24"/>
              </w:rPr>
              <w:t xml:space="preserve"> </w:t>
            </w:r>
            <w:r w:rsidRPr="00B247FF">
              <w:rPr>
                <w:rFonts w:ascii="Arial" w:hAnsi="Arial" w:cs="Arial"/>
                <w:i/>
                <w:iCs/>
                <w:szCs w:val="24"/>
              </w:rPr>
              <w:t>Day</w:t>
            </w:r>
            <w:r w:rsidRPr="00B247FF">
              <w:rPr>
                <w:rFonts w:ascii="Arial" w:hAnsi="Arial" w:cs="Arial"/>
                <w:i/>
                <w:iCs/>
                <w:spacing w:val="-9"/>
                <w:szCs w:val="24"/>
              </w:rPr>
              <w:t xml:space="preserve"> </w:t>
            </w:r>
            <w:r w:rsidRPr="00B247FF">
              <w:rPr>
                <w:rFonts w:ascii="Arial" w:hAnsi="Arial" w:cs="Arial"/>
                <w:i/>
                <w:iCs/>
                <w:szCs w:val="24"/>
              </w:rPr>
              <w:t>1</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3FFCF51" w14:textId="77777777" w:rsidR="00934C6C" w:rsidRPr="00B247FF" w:rsidRDefault="00934C6C" w:rsidP="00786F6E">
            <w:pPr>
              <w:pStyle w:val="TableText0"/>
              <w:keepNext/>
              <w:rPr>
                <w:rFonts w:ascii="Arial" w:eastAsia="TimesNewRoman" w:hAnsi="Arial" w:cs="Arial"/>
                <w:b/>
                <w:bCs/>
                <w:szCs w:val="24"/>
              </w:rPr>
            </w:pPr>
            <w:r w:rsidRPr="00B247FF">
              <w:rPr>
                <w:rFonts w:ascii="Arial" w:hAnsi="Arial" w:cs="Arial"/>
                <w:spacing w:val="1"/>
                <w:szCs w:val="24"/>
              </w:rPr>
              <w:t>350 mg</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27C121CE" w14:textId="77777777" w:rsidR="00934C6C" w:rsidRPr="00B247FF" w:rsidRDefault="00934C6C" w:rsidP="00786F6E">
            <w:pPr>
              <w:pStyle w:val="TableText0"/>
              <w:keepNext/>
              <w:rPr>
                <w:rFonts w:ascii="Arial" w:eastAsia="TimesNewRoman" w:hAnsi="Arial" w:cs="Arial"/>
                <w:b/>
                <w:bCs/>
                <w:szCs w:val="24"/>
              </w:rPr>
            </w:pPr>
            <w:r w:rsidRPr="00B247FF">
              <w:rPr>
                <w:rFonts w:ascii="Arial" w:hAnsi="Arial" w:cs="Arial"/>
                <w:spacing w:val="1"/>
                <w:szCs w:val="24"/>
              </w:rPr>
              <w:t>50 mL/</w:t>
            </w:r>
            <w:proofErr w:type="spellStart"/>
            <w:r w:rsidRPr="00B247FF">
              <w:rPr>
                <w:rFonts w:ascii="Arial" w:hAnsi="Arial" w:cs="Arial"/>
                <w:spacing w:val="1"/>
                <w:szCs w:val="24"/>
              </w:rPr>
              <w:t>hr</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373AAB56" w14:textId="77777777" w:rsidR="00934C6C" w:rsidRPr="00B247FF" w:rsidRDefault="00934C6C" w:rsidP="00786F6E">
            <w:pPr>
              <w:pStyle w:val="TableText0"/>
              <w:keepNext/>
              <w:rPr>
                <w:rFonts w:ascii="Arial" w:eastAsia="TimesNewRoman" w:hAnsi="Arial" w:cs="Arial"/>
                <w:b/>
                <w:bCs/>
                <w:szCs w:val="24"/>
              </w:rPr>
            </w:pPr>
            <w:r w:rsidRPr="00B247FF">
              <w:rPr>
                <w:rFonts w:ascii="Arial" w:hAnsi="Arial" w:cs="Arial"/>
                <w:spacing w:val="1"/>
                <w:szCs w:val="24"/>
              </w:rPr>
              <w:t>75 mL/</w:t>
            </w:r>
            <w:proofErr w:type="spellStart"/>
            <w:r w:rsidRPr="00B247FF">
              <w:rPr>
                <w:rFonts w:ascii="Arial" w:hAnsi="Arial" w:cs="Arial"/>
                <w:spacing w:val="1"/>
                <w:szCs w:val="24"/>
              </w:rPr>
              <w:t>hr</w:t>
            </w:r>
            <w:proofErr w:type="spellEnd"/>
          </w:p>
        </w:tc>
      </w:tr>
      <w:tr w:rsidR="00934C6C" w:rsidRPr="00B247FF" w14:paraId="29DCC0D4"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062BD5CC" w14:textId="77777777" w:rsidR="00934C6C" w:rsidRPr="00B247FF" w:rsidRDefault="00934C6C" w:rsidP="00786F6E">
            <w:pPr>
              <w:pStyle w:val="TableText0"/>
              <w:keepNext/>
              <w:tabs>
                <w:tab w:val="clear" w:pos="288"/>
                <w:tab w:val="clear" w:pos="576"/>
              </w:tabs>
              <w:ind w:left="142"/>
              <w:rPr>
                <w:rFonts w:ascii="Arial" w:hAnsi="Arial" w:cs="Arial"/>
                <w:spacing w:val="-2"/>
                <w:szCs w:val="24"/>
              </w:rPr>
            </w:pPr>
            <w:r w:rsidRPr="00B247FF">
              <w:rPr>
                <w:rFonts w:ascii="Arial" w:hAnsi="Arial" w:cs="Arial"/>
                <w:spacing w:val="-2"/>
                <w:szCs w:val="24"/>
              </w:rPr>
              <w:t>Week</w:t>
            </w:r>
            <w:r w:rsidRPr="00B247FF">
              <w:rPr>
                <w:rFonts w:ascii="Arial" w:hAnsi="Arial" w:cs="Arial"/>
                <w:spacing w:val="-8"/>
                <w:szCs w:val="24"/>
              </w:rPr>
              <w:t xml:space="preserve"> </w:t>
            </w:r>
            <w:r w:rsidRPr="00B247FF">
              <w:rPr>
                <w:rFonts w:ascii="Arial" w:hAnsi="Arial" w:cs="Arial"/>
                <w:szCs w:val="24"/>
              </w:rPr>
              <w:t>1</w:t>
            </w:r>
            <w:r w:rsidRPr="00B247FF">
              <w:rPr>
                <w:rFonts w:ascii="Arial" w:hAnsi="Arial" w:cs="Arial"/>
                <w:spacing w:val="-4"/>
                <w:szCs w:val="24"/>
              </w:rPr>
              <w:t xml:space="preserve"> </w:t>
            </w:r>
            <w:r w:rsidRPr="00B247FF">
              <w:rPr>
                <w:rFonts w:ascii="Arial" w:hAnsi="Arial" w:cs="Arial"/>
                <w:i/>
                <w:iCs/>
                <w:szCs w:val="24"/>
              </w:rPr>
              <w:t>Day</w:t>
            </w:r>
            <w:r w:rsidRPr="00B247FF">
              <w:rPr>
                <w:rFonts w:ascii="Arial" w:hAnsi="Arial" w:cs="Arial"/>
                <w:i/>
                <w:iCs/>
                <w:spacing w:val="-9"/>
                <w:szCs w:val="24"/>
              </w:rPr>
              <w:t xml:space="preserve"> </w:t>
            </w:r>
            <w:r w:rsidRPr="00B247FF">
              <w:rPr>
                <w:rFonts w:ascii="Arial" w:hAnsi="Arial" w:cs="Arial"/>
                <w:i/>
                <w:iCs/>
                <w:szCs w:val="24"/>
              </w:rPr>
              <w:t>2</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5AB5B3FF"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1050 mg</w:t>
            </w:r>
          </w:p>
        </w:tc>
        <w:tc>
          <w:tcPr>
            <w:tcW w:w="2242" w:type="dxa"/>
            <w:tcBorders>
              <w:top w:val="single" w:sz="4" w:space="0" w:color="auto"/>
              <w:left w:val="single" w:sz="4" w:space="0" w:color="auto"/>
              <w:bottom w:val="single" w:sz="4" w:space="0" w:color="auto"/>
              <w:right w:val="single" w:sz="4" w:space="0" w:color="auto"/>
            </w:tcBorders>
            <w:shd w:val="clear" w:color="auto" w:fill="auto"/>
          </w:tcPr>
          <w:p w14:paraId="07C72305"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35 mL/</w:t>
            </w:r>
            <w:proofErr w:type="spellStart"/>
            <w:r w:rsidRPr="00B247FF">
              <w:rPr>
                <w:rFonts w:ascii="Arial" w:hAnsi="Arial" w:cs="Arial"/>
                <w:spacing w:val="1"/>
                <w:szCs w:val="24"/>
              </w:rPr>
              <w:t>hr</w:t>
            </w:r>
            <w:proofErr w:type="spellEnd"/>
          </w:p>
        </w:tc>
        <w:tc>
          <w:tcPr>
            <w:tcW w:w="2239" w:type="dxa"/>
            <w:tcBorders>
              <w:top w:val="single" w:sz="4" w:space="0" w:color="auto"/>
              <w:left w:val="single" w:sz="4" w:space="0" w:color="auto"/>
              <w:bottom w:val="single" w:sz="4" w:space="0" w:color="auto"/>
              <w:right w:val="single" w:sz="4" w:space="0" w:color="auto"/>
            </w:tcBorders>
            <w:shd w:val="clear" w:color="auto" w:fill="auto"/>
          </w:tcPr>
          <w:p w14:paraId="7D972113"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50 mL/</w:t>
            </w:r>
            <w:proofErr w:type="spellStart"/>
            <w:r w:rsidRPr="00B247FF">
              <w:rPr>
                <w:rFonts w:ascii="Arial" w:hAnsi="Arial" w:cs="Arial"/>
                <w:spacing w:val="1"/>
                <w:szCs w:val="24"/>
              </w:rPr>
              <w:t>hr</w:t>
            </w:r>
            <w:proofErr w:type="spellEnd"/>
          </w:p>
        </w:tc>
      </w:tr>
      <w:tr w:rsidR="00934C6C" w:rsidRPr="00B247FF" w14:paraId="29815B27"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14DE4049" w14:textId="77777777" w:rsidR="00934C6C" w:rsidRPr="00B247FF" w:rsidRDefault="00934C6C" w:rsidP="00786F6E">
            <w:pPr>
              <w:pStyle w:val="TableText0"/>
              <w:keepNext/>
              <w:rPr>
                <w:rFonts w:ascii="Arial" w:hAnsi="Arial" w:cs="Arial"/>
                <w:spacing w:val="-2"/>
                <w:szCs w:val="24"/>
              </w:rPr>
            </w:pPr>
            <w:r w:rsidRPr="00B247FF">
              <w:rPr>
                <w:rFonts w:ascii="Arial" w:hAnsi="Arial" w:cs="Arial"/>
                <w:b/>
                <w:bCs/>
                <w:spacing w:val="-2"/>
                <w:szCs w:val="24"/>
              </w:rPr>
              <w:t>Week</w:t>
            </w:r>
            <w:r w:rsidRPr="00B247FF">
              <w:rPr>
                <w:rFonts w:ascii="Arial" w:hAnsi="Arial" w:cs="Arial"/>
                <w:b/>
                <w:bCs/>
                <w:spacing w:val="-8"/>
                <w:szCs w:val="24"/>
              </w:rPr>
              <w:t xml:space="preserve"> </w:t>
            </w:r>
            <w:r w:rsidRPr="00B247FF">
              <w:rPr>
                <w:rFonts w:ascii="Arial" w:hAnsi="Arial" w:cs="Arial"/>
                <w:b/>
                <w:bCs/>
                <w:szCs w:val="24"/>
              </w:rPr>
              <w:t>2</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D54FDFF"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1400 mg</w:t>
            </w:r>
          </w:p>
        </w:tc>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14:paraId="30A0F26F"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65 mL/</w:t>
            </w:r>
            <w:proofErr w:type="spellStart"/>
            <w:r w:rsidRPr="00B247FF">
              <w:rPr>
                <w:rFonts w:ascii="Arial" w:hAnsi="Arial" w:cs="Arial"/>
                <w:spacing w:val="1"/>
                <w:szCs w:val="24"/>
              </w:rPr>
              <w:t>hr</w:t>
            </w:r>
            <w:proofErr w:type="spellEnd"/>
          </w:p>
        </w:tc>
      </w:tr>
      <w:tr w:rsidR="00934C6C" w:rsidRPr="00B247FF" w14:paraId="0EF7F1BF"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62929DF0" w14:textId="77777777" w:rsidR="00934C6C" w:rsidRPr="00B247FF" w:rsidRDefault="00934C6C" w:rsidP="00786F6E">
            <w:pPr>
              <w:pStyle w:val="TableText0"/>
              <w:keepNext/>
              <w:rPr>
                <w:rFonts w:ascii="Arial" w:hAnsi="Arial" w:cs="Arial"/>
                <w:b/>
                <w:bCs/>
                <w:spacing w:val="-2"/>
                <w:szCs w:val="24"/>
              </w:rPr>
            </w:pPr>
            <w:r w:rsidRPr="00B247FF">
              <w:rPr>
                <w:rFonts w:ascii="Arial" w:hAnsi="Arial" w:cs="Arial"/>
                <w:b/>
                <w:bCs/>
                <w:spacing w:val="-2"/>
                <w:szCs w:val="24"/>
              </w:rPr>
              <w:t>Week 3</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DC1F7ED"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1400 mg</w:t>
            </w:r>
          </w:p>
        </w:tc>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14:paraId="0550FC9E"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85 mL/</w:t>
            </w:r>
            <w:proofErr w:type="spellStart"/>
            <w:r w:rsidRPr="00B247FF">
              <w:rPr>
                <w:rFonts w:ascii="Arial" w:hAnsi="Arial" w:cs="Arial"/>
                <w:spacing w:val="1"/>
                <w:szCs w:val="24"/>
              </w:rPr>
              <w:t>hr</w:t>
            </w:r>
            <w:proofErr w:type="spellEnd"/>
          </w:p>
        </w:tc>
      </w:tr>
      <w:tr w:rsidR="00934C6C" w:rsidRPr="00B247FF" w14:paraId="53E1808F"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5901F6A4" w14:textId="77777777" w:rsidR="00934C6C" w:rsidRPr="00B247FF" w:rsidRDefault="00934C6C" w:rsidP="00786F6E">
            <w:pPr>
              <w:pStyle w:val="TableText0"/>
              <w:keepNext/>
              <w:rPr>
                <w:rFonts w:ascii="Arial" w:hAnsi="Arial" w:cs="Arial"/>
                <w:b/>
                <w:bCs/>
                <w:spacing w:val="-2"/>
                <w:szCs w:val="24"/>
              </w:rPr>
            </w:pPr>
            <w:r w:rsidRPr="00B247FF">
              <w:rPr>
                <w:rFonts w:ascii="Arial" w:hAnsi="Arial" w:cs="Arial"/>
                <w:b/>
                <w:bCs/>
                <w:spacing w:val="-2"/>
                <w:szCs w:val="24"/>
              </w:rPr>
              <w:t>Week 4</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B5FCBA4"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1400 mg</w:t>
            </w:r>
          </w:p>
        </w:tc>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14:paraId="65143927"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125 mL/</w:t>
            </w:r>
            <w:proofErr w:type="spellStart"/>
            <w:r w:rsidRPr="00B247FF">
              <w:rPr>
                <w:rFonts w:ascii="Arial" w:hAnsi="Arial" w:cs="Arial"/>
                <w:spacing w:val="1"/>
                <w:szCs w:val="24"/>
              </w:rPr>
              <w:t>hr</w:t>
            </w:r>
            <w:proofErr w:type="spellEnd"/>
          </w:p>
        </w:tc>
      </w:tr>
      <w:tr w:rsidR="00934C6C" w:rsidRPr="00B247FF" w14:paraId="314A1629"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76" w:type="dxa"/>
            <w:tcBorders>
              <w:top w:val="single" w:sz="4" w:space="0" w:color="auto"/>
              <w:left w:val="single" w:sz="4" w:space="0" w:color="auto"/>
              <w:bottom w:val="single" w:sz="4" w:space="0" w:color="auto"/>
              <w:right w:val="single" w:sz="4" w:space="0" w:color="auto"/>
            </w:tcBorders>
            <w:shd w:val="clear" w:color="auto" w:fill="auto"/>
          </w:tcPr>
          <w:p w14:paraId="0D0DBD4D" w14:textId="77777777" w:rsidR="00934C6C" w:rsidRPr="00B247FF" w:rsidRDefault="00934C6C" w:rsidP="00786F6E">
            <w:pPr>
              <w:pStyle w:val="TableText0"/>
              <w:keepNext/>
              <w:rPr>
                <w:rFonts w:ascii="Arial" w:hAnsi="Arial" w:cs="Arial"/>
                <w:b/>
                <w:bCs/>
                <w:spacing w:val="-2"/>
                <w:szCs w:val="24"/>
              </w:rPr>
            </w:pPr>
            <w:r w:rsidRPr="00B247FF">
              <w:rPr>
                <w:rFonts w:ascii="Arial" w:hAnsi="Arial" w:cs="Arial"/>
                <w:b/>
                <w:bCs/>
                <w:szCs w:val="24"/>
              </w:rPr>
              <w:t>Subsequent</w:t>
            </w:r>
            <w:r w:rsidRPr="00B247FF">
              <w:rPr>
                <w:rFonts w:ascii="Arial" w:hAnsi="Arial" w:cs="Arial"/>
                <w:b/>
                <w:bCs/>
                <w:spacing w:val="-11"/>
                <w:szCs w:val="24"/>
              </w:rPr>
              <w:t xml:space="preserve"> </w:t>
            </w:r>
            <w:r w:rsidRPr="00B247FF">
              <w:rPr>
                <w:rFonts w:ascii="Arial" w:hAnsi="Arial" w:cs="Arial"/>
                <w:b/>
                <w:bCs/>
                <w:szCs w:val="24"/>
              </w:rPr>
              <w:t>weeks</w:t>
            </w:r>
            <w:r w:rsidRPr="00B247FF">
              <w:rPr>
                <w:rFonts w:ascii="Arial" w:hAnsi="Arial" w:cs="Arial"/>
                <w:b/>
                <w:bCs/>
                <w:szCs w:val="24"/>
                <w:vertAlign w:val="superscript"/>
              </w:rPr>
              <w:t>*</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323F429"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1400 mg</w:t>
            </w:r>
          </w:p>
        </w:tc>
        <w:tc>
          <w:tcPr>
            <w:tcW w:w="4481" w:type="dxa"/>
            <w:gridSpan w:val="2"/>
            <w:tcBorders>
              <w:top w:val="single" w:sz="4" w:space="0" w:color="auto"/>
              <w:left w:val="single" w:sz="4" w:space="0" w:color="auto"/>
              <w:bottom w:val="single" w:sz="4" w:space="0" w:color="auto"/>
              <w:right w:val="single" w:sz="4" w:space="0" w:color="auto"/>
            </w:tcBorders>
            <w:shd w:val="clear" w:color="auto" w:fill="auto"/>
          </w:tcPr>
          <w:p w14:paraId="755AA3C8" w14:textId="77777777" w:rsidR="00934C6C" w:rsidRPr="00B247FF" w:rsidRDefault="00934C6C" w:rsidP="00786F6E">
            <w:pPr>
              <w:pStyle w:val="TableText0"/>
              <w:keepNext/>
              <w:rPr>
                <w:rFonts w:ascii="Arial" w:hAnsi="Arial" w:cs="Arial"/>
                <w:spacing w:val="1"/>
                <w:szCs w:val="24"/>
              </w:rPr>
            </w:pPr>
            <w:r w:rsidRPr="00B247FF">
              <w:rPr>
                <w:rFonts w:ascii="Arial" w:hAnsi="Arial" w:cs="Arial"/>
                <w:spacing w:val="1"/>
                <w:szCs w:val="24"/>
              </w:rPr>
              <w:t>125 mL/</w:t>
            </w:r>
            <w:proofErr w:type="spellStart"/>
            <w:r w:rsidRPr="00B247FF">
              <w:rPr>
                <w:rFonts w:ascii="Arial" w:hAnsi="Arial" w:cs="Arial"/>
                <w:spacing w:val="1"/>
                <w:szCs w:val="24"/>
              </w:rPr>
              <w:t>hr</w:t>
            </w:r>
            <w:proofErr w:type="spellEnd"/>
          </w:p>
        </w:tc>
      </w:tr>
      <w:tr w:rsidR="00934C6C" w:rsidRPr="00B247FF" w14:paraId="1918955A" w14:textId="77777777" w:rsidTr="00CB06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9" w:type="dxa"/>
            <w:gridSpan w:val="4"/>
            <w:tcBorders>
              <w:top w:val="single" w:sz="4" w:space="0" w:color="auto"/>
              <w:left w:val="nil"/>
              <w:bottom w:val="nil"/>
              <w:right w:val="nil"/>
            </w:tcBorders>
            <w:shd w:val="clear" w:color="auto" w:fill="auto"/>
          </w:tcPr>
          <w:p w14:paraId="0240E8F5" w14:textId="77777777" w:rsidR="00934C6C" w:rsidRPr="00B247FF" w:rsidRDefault="00934C6C" w:rsidP="00786F6E">
            <w:pPr>
              <w:pStyle w:val="TableFootnote"/>
              <w:keepNext/>
              <w:ind w:left="289" w:hanging="289"/>
              <w:rPr>
                <w:rFonts w:ascii="Arial" w:hAnsi="Arial" w:cs="Arial"/>
                <w:szCs w:val="16"/>
              </w:rPr>
            </w:pPr>
            <w:r w:rsidRPr="00B247FF">
              <w:rPr>
                <w:rFonts w:ascii="Arial" w:hAnsi="Arial" w:cs="Arial"/>
                <w:sz w:val="18"/>
                <w:szCs w:val="18"/>
              </w:rPr>
              <w:t>*</w:t>
            </w:r>
            <w:r w:rsidRPr="00B247FF">
              <w:rPr>
                <w:rFonts w:ascii="Arial" w:hAnsi="Arial" w:cs="Arial"/>
                <w:sz w:val="18"/>
                <w:szCs w:val="18"/>
              </w:rPr>
              <w:tab/>
            </w:r>
            <w:r w:rsidRPr="00B247FF">
              <w:rPr>
                <w:rFonts w:ascii="Arial" w:hAnsi="Arial" w:cs="Arial"/>
                <w:szCs w:val="16"/>
              </w:rPr>
              <w:t>Starting at Week 5, patients are dosed every 2 weeks.</w:t>
            </w:r>
          </w:p>
          <w:p w14:paraId="0F35AC1D" w14:textId="77777777" w:rsidR="00934C6C" w:rsidRPr="00B247FF" w:rsidRDefault="00934C6C" w:rsidP="00786F6E">
            <w:pPr>
              <w:pStyle w:val="TableFootnote"/>
              <w:keepNext/>
              <w:rPr>
                <w:rFonts w:ascii="Arial" w:hAnsi="Arial" w:cs="Arial"/>
                <w:spacing w:val="1"/>
                <w:szCs w:val="24"/>
              </w:rPr>
            </w:pPr>
            <w:r w:rsidRPr="00B247FF">
              <w:rPr>
                <w:rFonts w:ascii="Arial" w:hAnsi="Arial" w:cs="Arial"/>
                <w:vertAlign w:val="superscript"/>
              </w:rPr>
              <w:t>†</w:t>
            </w:r>
            <w:r w:rsidRPr="00B247FF">
              <w:rPr>
                <w:rFonts w:ascii="Arial" w:hAnsi="Arial" w:cs="Arial"/>
              </w:rPr>
              <w:tab/>
            </w:r>
            <w:r w:rsidRPr="00B247FF">
              <w:rPr>
                <w:rFonts w:ascii="Arial" w:hAnsi="Arial" w:cs="Arial"/>
                <w:szCs w:val="16"/>
              </w:rPr>
              <w:t>Increase the initial infusion rate to the subsequent infusion rate after 2 hours in the absence of infusion</w:t>
            </w:r>
            <w:r w:rsidRPr="00B247FF">
              <w:rPr>
                <w:rFonts w:ascii="Arial" w:hAnsi="Arial" w:cs="Arial"/>
                <w:szCs w:val="16"/>
              </w:rPr>
              <w:noBreakHyphen/>
              <w:t>related reactions.</w:t>
            </w:r>
          </w:p>
        </w:tc>
      </w:tr>
    </w:tbl>
    <w:p w14:paraId="08A91E97" w14:textId="77777777" w:rsidR="00934C6C" w:rsidRPr="00B247FF" w:rsidRDefault="00934C6C" w:rsidP="00786F6E">
      <w:pPr>
        <w:pStyle w:val="BodyText1"/>
        <w:jc w:val="left"/>
        <w:rPr>
          <w:lang w:val="en-GB"/>
        </w:rPr>
      </w:pPr>
    </w:p>
    <w:p w14:paraId="39F6E036" w14:textId="17E70740" w:rsidR="00C9434F" w:rsidRPr="00B247FF" w:rsidRDefault="00863A0F" w:rsidP="00786F6E">
      <w:pPr>
        <w:pStyle w:val="Heading3"/>
        <w:jc w:val="left"/>
        <w:rPr>
          <w:rFonts w:eastAsiaTheme="minorHAnsi"/>
          <w:color w:val="auto"/>
        </w:rPr>
      </w:pPr>
      <w:r w:rsidRPr="00B247FF">
        <w:rPr>
          <w:rFonts w:eastAsiaTheme="minorHAnsi"/>
          <w:color w:val="auto"/>
          <w:lang w:val="en-US"/>
        </w:rPr>
        <w:t xml:space="preserve">Missed </w:t>
      </w:r>
      <w:r w:rsidR="00AE7FBB" w:rsidRPr="00B247FF">
        <w:rPr>
          <w:rFonts w:eastAsiaTheme="minorHAnsi"/>
          <w:color w:val="auto"/>
          <w:lang w:val="en-US"/>
        </w:rPr>
        <w:t>d</w:t>
      </w:r>
      <w:r w:rsidRPr="00B247FF">
        <w:rPr>
          <w:rFonts w:eastAsiaTheme="minorHAnsi"/>
          <w:color w:val="auto"/>
          <w:lang w:val="en-US"/>
        </w:rPr>
        <w:t>ose(s)</w:t>
      </w:r>
    </w:p>
    <w:p w14:paraId="5CFA08ED" w14:textId="1477F5AF" w:rsidR="00EC6706" w:rsidRPr="00B247FF" w:rsidRDefault="00863A0F" w:rsidP="00786F6E">
      <w:pPr>
        <w:pStyle w:val="BodyText1"/>
        <w:spacing w:after="240"/>
        <w:jc w:val="left"/>
        <w:rPr>
          <w:lang w:val="en-US"/>
        </w:rPr>
      </w:pPr>
      <w:r w:rsidRPr="00B247FF">
        <w:rPr>
          <w:lang w:val="en-US"/>
        </w:rPr>
        <w:t>If a planned dose of RYBREVANT is missed, the dose should be administered as soon as possible and the dosing schedule should be adjusted accordingly, maintaining the treatment interval.</w:t>
      </w:r>
    </w:p>
    <w:p w14:paraId="49CB168E" w14:textId="0921A916" w:rsidR="001F0485" w:rsidRPr="00B247FF" w:rsidRDefault="00AE40AF" w:rsidP="00786F6E">
      <w:pPr>
        <w:pStyle w:val="Heading3"/>
        <w:jc w:val="left"/>
        <w:rPr>
          <w:rFonts w:eastAsiaTheme="minorHAnsi"/>
          <w:color w:val="auto"/>
          <w:lang w:val="en-US"/>
        </w:rPr>
      </w:pPr>
      <w:bookmarkStart w:id="12" w:name="_Hlk66871249"/>
      <w:r w:rsidRPr="00B247FF">
        <w:rPr>
          <w:rFonts w:eastAsiaTheme="minorHAnsi"/>
          <w:color w:val="auto"/>
          <w:lang w:val="en-US"/>
        </w:rPr>
        <w:lastRenderedPageBreak/>
        <w:t xml:space="preserve">Dose </w:t>
      </w:r>
      <w:r w:rsidR="00AE7FBB" w:rsidRPr="00B247FF">
        <w:rPr>
          <w:rFonts w:eastAsiaTheme="minorHAnsi"/>
          <w:color w:val="auto"/>
          <w:lang w:val="en-US"/>
        </w:rPr>
        <w:t>m</w:t>
      </w:r>
      <w:r w:rsidRPr="00B247FF">
        <w:rPr>
          <w:rFonts w:eastAsiaTheme="minorHAnsi"/>
          <w:color w:val="auto"/>
          <w:lang w:val="en-US"/>
        </w:rPr>
        <w:t>odifications</w:t>
      </w:r>
    </w:p>
    <w:bookmarkEnd w:id="12"/>
    <w:p w14:paraId="0F2D330F" w14:textId="79B0FD07" w:rsidR="001F0485" w:rsidRPr="00B247FF" w:rsidRDefault="00D44181" w:rsidP="00786F6E">
      <w:pPr>
        <w:spacing w:after="240"/>
        <w:rPr>
          <w:color w:val="auto"/>
          <w:lang w:val="en-GB"/>
        </w:rPr>
      </w:pPr>
      <w:r w:rsidRPr="00B247FF">
        <w:rPr>
          <w:color w:val="auto"/>
          <w:lang w:val="en-GB"/>
        </w:rPr>
        <w:t>The recommended dose reductions for adverse reactions (see Table 6) are listed in Table 5</w:t>
      </w:r>
      <w:r w:rsidR="00AE40AF" w:rsidRPr="00B247FF">
        <w:rPr>
          <w:color w:val="auto"/>
          <w:lang w:val="en-GB"/>
        </w:rPr>
        <w:t>.</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80"/>
        <w:gridCol w:w="1800"/>
        <w:gridCol w:w="1890"/>
        <w:gridCol w:w="1800"/>
      </w:tblGrid>
      <w:tr w:rsidR="00AE40AF" w:rsidRPr="00B247FF" w14:paraId="234DE58D" w14:textId="77777777" w:rsidTr="00836AB5">
        <w:tc>
          <w:tcPr>
            <w:tcW w:w="9450" w:type="dxa"/>
            <w:gridSpan w:val="5"/>
            <w:tcBorders>
              <w:top w:val="nil"/>
              <w:left w:val="nil"/>
              <w:right w:val="nil"/>
            </w:tcBorders>
            <w:shd w:val="clear" w:color="auto" w:fill="auto"/>
          </w:tcPr>
          <w:p w14:paraId="13E71644" w14:textId="1F7F762C" w:rsidR="00AE40AF" w:rsidRPr="00B247FF" w:rsidRDefault="00AE40AF" w:rsidP="00786F6E">
            <w:pPr>
              <w:keepNext/>
              <w:tabs>
                <w:tab w:val="left" w:pos="1152"/>
                <w:tab w:val="left" w:pos="1440"/>
              </w:tabs>
              <w:spacing w:before="60" w:after="60"/>
              <w:ind w:left="1152" w:hanging="1152"/>
              <w:rPr>
                <w:b/>
                <w:bCs/>
                <w:color w:val="auto"/>
                <w:lang w:val="en-US"/>
              </w:rPr>
            </w:pPr>
            <w:r w:rsidRPr="00B247FF">
              <w:rPr>
                <w:b/>
                <w:bCs/>
                <w:color w:val="auto"/>
                <w:lang w:val="en-US"/>
              </w:rPr>
              <w:t>Table </w:t>
            </w:r>
            <w:r w:rsidR="00D44181" w:rsidRPr="00B247FF">
              <w:rPr>
                <w:b/>
                <w:bCs/>
                <w:color w:val="auto"/>
                <w:lang w:val="en-US"/>
              </w:rPr>
              <w:t>5</w:t>
            </w:r>
            <w:r w:rsidRPr="00B247FF">
              <w:rPr>
                <w:b/>
                <w:bCs/>
                <w:color w:val="auto"/>
                <w:lang w:val="en-US"/>
              </w:rPr>
              <w:t>:</w:t>
            </w:r>
            <w:r w:rsidRPr="00B247FF">
              <w:rPr>
                <w:b/>
                <w:bCs/>
                <w:color w:val="auto"/>
                <w:lang w:val="en-US"/>
              </w:rPr>
              <w:tab/>
            </w:r>
            <w:r w:rsidR="00FF6D7A" w:rsidRPr="00B247FF">
              <w:rPr>
                <w:b/>
                <w:bCs/>
                <w:color w:val="auto"/>
                <w:lang w:val="en-US"/>
              </w:rPr>
              <w:t>RYBREVANT</w:t>
            </w:r>
            <w:r w:rsidRPr="00B247FF">
              <w:rPr>
                <w:b/>
                <w:bCs/>
                <w:color w:val="auto"/>
                <w:lang w:val="en-US"/>
              </w:rPr>
              <w:t xml:space="preserve"> </w:t>
            </w:r>
            <w:r w:rsidR="00D4770B" w:rsidRPr="00B247FF">
              <w:rPr>
                <w:b/>
                <w:bCs/>
                <w:color w:val="auto"/>
                <w:lang w:val="en-US"/>
              </w:rPr>
              <w:t>d</w:t>
            </w:r>
            <w:r w:rsidRPr="00B247FF">
              <w:rPr>
                <w:b/>
                <w:bCs/>
                <w:color w:val="auto"/>
                <w:lang w:val="en-US"/>
              </w:rPr>
              <w:t xml:space="preserve">ose </w:t>
            </w:r>
            <w:r w:rsidR="00D4770B" w:rsidRPr="00B247FF">
              <w:rPr>
                <w:b/>
                <w:bCs/>
                <w:color w:val="auto"/>
                <w:lang w:val="en-US"/>
              </w:rPr>
              <w:t>r</w:t>
            </w:r>
            <w:r w:rsidR="00D44181" w:rsidRPr="00B247FF">
              <w:rPr>
                <w:b/>
                <w:bCs/>
                <w:color w:val="auto"/>
                <w:lang w:val="en-US"/>
              </w:rPr>
              <w:t xml:space="preserve">eductions </w:t>
            </w:r>
            <w:r w:rsidRPr="00B247FF">
              <w:rPr>
                <w:b/>
                <w:bCs/>
                <w:color w:val="auto"/>
                <w:lang w:val="en-US"/>
              </w:rPr>
              <w:t xml:space="preserve">for </w:t>
            </w:r>
            <w:r w:rsidR="00D4770B" w:rsidRPr="00B247FF">
              <w:rPr>
                <w:b/>
                <w:bCs/>
                <w:color w:val="auto"/>
                <w:lang w:val="en-US"/>
              </w:rPr>
              <w:t>a</w:t>
            </w:r>
            <w:r w:rsidRPr="00B247FF">
              <w:rPr>
                <w:b/>
                <w:bCs/>
                <w:color w:val="auto"/>
                <w:lang w:val="en-US"/>
              </w:rPr>
              <w:t xml:space="preserve">dverse </w:t>
            </w:r>
            <w:r w:rsidR="00D4770B" w:rsidRPr="00B247FF">
              <w:rPr>
                <w:b/>
                <w:bCs/>
                <w:color w:val="auto"/>
                <w:lang w:val="en-US"/>
              </w:rPr>
              <w:t>r</w:t>
            </w:r>
            <w:r w:rsidRPr="00B247FF">
              <w:rPr>
                <w:b/>
                <w:bCs/>
                <w:color w:val="auto"/>
                <w:lang w:val="en-US"/>
              </w:rPr>
              <w:t>eactions</w:t>
            </w:r>
          </w:p>
        </w:tc>
      </w:tr>
      <w:tr w:rsidR="00AE40AF" w:rsidRPr="00B247FF" w14:paraId="3957E618" w14:textId="77777777" w:rsidTr="00AE40AF">
        <w:tc>
          <w:tcPr>
            <w:tcW w:w="1980" w:type="dxa"/>
            <w:tcBorders>
              <w:bottom w:val="single" w:sz="4" w:space="0" w:color="auto"/>
            </w:tcBorders>
            <w:shd w:val="clear" w:color="auto" w:fill="auto"/>
            <w:vAlign w:val="center"/>
          </w:tcPr>
          <w:p w14:paraId="7E6C2A8F" w14:textId="032FF189" w:rsidR="00AE40AF" w:rsidRPr="00B247FF" w:rsidRDefault="00AE40AF" w:rsidP="00786F6E">
            <w:pPr>
              <w:spacing w:after="200"/>
              <w:rPr>
                <w:b/>
                <w:bCs/>
                <w:color w:val="auto"/>
                <w:lang w:val="en-US"/>
              </w:rPr>
            </w:pPr>
            <w:r w:rsidRPr="00B247FF">
              <w:rPr>
                <w:b/>
                <w:bCs/>
                <w:color w:val="auto"/>
                <w:lang w:val="en-US"/>
              </w:rPr>
              <w:t xml:space="preserve">Body </w:t>
            </w:r>
            <w:r w:rsidR="00D4770B" w:rsidRPr="00B247FF">
              <w:rPr>
                <w:b/>
                <w:bCs/>
                <w:color w:val="auto"/>
                <w:lang w:val="en-US"/>
              </w:rPr>
              <w:t>w</w:t>
            </w:r>
            <w:r w:rsidRPr="00B247FF">
              <w:rPr>
                <w:b/>
                <w:bCs/>
                <w:color w:val="auto"/>
                <w:lang w:val="en-US"/>
              </w:rPr>
              <w:t>eight</w:t>
            </w:r>
            <w:r w:rsidRPr="00B247FF">
              <w:rPr>
                <w:b/>
                <w:bCs/>
                <w:color w:val="auto"/>
                <w:lang w:val="en-US"/>
              </w:rPr>
              <w:br/>
              <w:t xml:space="preserve">at </w:t>
            </w:r>
            <w:r w:rsidR="00D4770B" w:rsidRPr="00B247FF">
              <w:rPr>
                <w:b/>
                <w:bCs/>
                <w:color w:val="auto"/>
                <w:lang w:val="en-US"/>
              </w:rPr>
              <w:t>b</w:t>
            </w:r>
            <w:r w:rsidRPr="00B247FF">
              <w:rPr>
                <w:b/>
                <w:bCs/>
                <w:color w:val="auto"/>
                <w:lang w:val="en-US"/>
              </w:rPr>
              <w:t>aseline</w:t>
            </w:r>
          </w:p>
        </w:tc>
        <w:tc>
          <w:tcPr>
            <w:tcW w:w="1980" w:type="dxa"/>
            <w:tcBorders>
              <w:bottom w:val="single" w:sz="4" w:space="0" w:color="auto"/>
            </w:tcBorders>
            <w:shd w:val="clear" w:color="auto" w:fill="auto"/>
            <w:vAlign w:val="center"/>
          </w:tcPr>
          <w:p w14:paraId="16A9B613" w14:textId="45128508" w:rsidR="00AE40AF" w:rsidRPr="00B247FF" w:rsidRDefault="00AE40AF" w:rsidP="00786F6E">
            <w:pPr>
              <w:spacing w:after="200"/>
              <w:rPr>
                <w:b/>
                <w:bCs/>
                <w:color w:val="auto"/>
                <w:lang w:val="en-US"/>
              </w:rPr>
            </w:pPr>
            <w:r w:rsidRPr="00B247FF">
              <w:rPr>
                <w:b/>
                <w:bCs/>
                <w:color w:val="auto"/>
                <w:lang w:val="en-US"/>
              </w:rPr>
              <w:t xml:space="preserve">Initial </w:t>
            </w:r>
            <w:r w:rsidR="00D4770B" w:rsidRPr="00B247FF">
              <w:rPr>
                <w:b/>
                <w:bCs/>
                <w:color w:val="auto"/>
                <w:lang w:val="en-US"/>
              </w:rPr>
              <w:t>d</w:t>
            </w:r>
            <w:r w:rsidRPr="00B247FF">
              <w:rPr>
                <w:b/>
                <w:bCs/>
                <w:color w:val="auto"/>
                <w:lang w:val="en-US"/>
              </w:rPr>
              <w:t>ose</w:t>
            </w:r>
          </w:p>
        </w:tc>
        <w:tc>
          <w:tcPr>
            <w:tcW w:w="1800" w:type="dxa"/>
            <w:tcBorders>
              <w:bottom w:val="single" w:sz="4" w:space="0" w:color="auto"/>
            </w:tcBorders>
            <w:shd w:val="clear" w:color="auto" w:fill="auto"/>
            <w:vAlign w:val="center"/>
          </w:tcPr>
          <w:p w14:paraId="07BAAFC7" w14:textId="0758AD4F" w:rsidR="00AE40AF" w:rsidRPr="00B247FF" w:rsidRDefault="00AE40AF" w:rsidP="00786F6E">
            <w:pPr>
              <w:spacing w:after="200"/>
              <w:rPr>
                <w:b/>
                <w:bCs/>
                <w:color w:val="auto"/>
                <w:lang w:val="en-US"/>
              </w:rPr>
            </w:pPr>
            <w:r w:rsidRPr="00B247FF">
              <w:rPr>
                <w:b/>
                <w:bCs/>
                <w:color w:val="auto"/>
                <w:lang w:val="en-US"/>
              </w:rPr>
              <w:t>1</w:t>
            </w:r>
            <w:r w:rsidRPr="00B247FF">
              <w:rPr>
                <w:b/>
                <w:bCs/>
                <w:color w:val="auto"/>
                <w:vertAlign w:val="superscript"/>
                <w:lang w:val="en-US"/>
              </w:rPr>
              <w:t>st</w:t>
            </w:r>
            <w:r w:rsidRPr="00B247FF">
              <w:rPr>
                <w:b/>
                <w:bCs/>
                <w:color w:val="auto"/>
                <w:lang w:val="en-US"/>
              </w:rPr>
              <w:t xml:space="preserve"> </w:t>
            </w:r>
            <w:r w:rsidR="00D4770B" w:rsidRPr="00B247FF">
              <w:rPr>
                <w:b/>
                <w:bCs/>
                <w:color w:val="auto"/>
                <w:lang w:val="en-US"/>
              </w:rPr>
              <w:t>d</w:t>
            </w:r>
            <w:r w:rsidRPr="00B247FF">
              <w:rPr>
                <w:b/>
                <w:bCs/>
                <w:color w:val="auto"/>
                <w:lang w:val="en-US"/>
              </w:rPr>
              <w:t xml:space="preserve">ose </w:t>
            </w:r>
            <w:r w:rsidR="00D4770B" w:rsidRPr="00B247FF">
              <w:rPr>
                <w:b/>
                <w:bCs/>
                <w:color w:val="auto"/>
                <w:lang w:val="en-US"/>
              </w:rPr>
              <w:t>r</w:t>
            </w:r>
            <w:r w:rsidR="00E62D57" w:rsidRPr="00B247FF">
              <w:rPr>
                <w:b/>
                <w:bCs/>
                <w:color w:val="auto"/>
                <w:lang w:val="en-US"/>
              </w:rPr>
              <w:t>eduction</w:t>
            </w:r>
          </w:p>
        </w:tc>
        <w:tc>
          <w:tcPr>
            <w:tcW w:w="1890" w:type="dxa"/>
            <w:tcBorders>
              <w:bottom w:val="single" w:sz="4" w:space="0" w:color="auto"/>
            </w:tcBorders>
            <w:shd w:val="clear" w:color="auto" w:fill="auto"/>
            <w:vAlign w:val="center"/>
          </w:tcPr>
          <w:p w14:paraId="1FF6139A" w14:textId="02C93A73" w:rsidR="00AE40AF" w:rsidRPr="00B247FF" w:rsidRDefault="00AE40AF" w:rsidP="00786F6E">
            <w:pPr>
              <w:spacing w:after="200"/>
              <w:rPr>
                <w:b/>
                <w:bCs/>
                <w:color w:val="auto"/>
                <w:lang w:val="en-US"/>
              </w:rPr>
            </w:pPr>
            <w:r w:rsidRPr="00B247FF">
              <w:rPr>
                <w:b/>
                <w:bCs/>
                <w:color w:val="auto"/>
                <w:lang w:val="en-US"/>
              </w:rPr>
              <w:t>2</w:t>
            </w:r>
            <w:r w:rsidRPr="00B247FF">
              <w:rPr>
                <w:b/>
                <w:bCs/>
                <w:color w:val="auto"/>
                <w:vertAlign w:val="superscript"/>
                <w:lang w:val="en-US"/>
              </w:rPr>
              <w:t>nd</w:t>
            </w:r>
            <w:r w:rsidRPr="00B247FF">
              <w:rPr>
                <w:b/>
                <w:bCs/>
                <w:color w:val="auto"/>
                <w:lang w:val="en-US"/>
              </w:rPr>
              <w:t xml:space="preserve"> </w:t>
            </w:r>
            <w:r w:rsidR="00D4770B" w:rsidRPr="00B247FF">
              <w:rPr>
                <w:b/>
                <w:bCs/>
                <w:color w:val="auto"/>
                <w:lang w:val="en-US"/>
              </w:rPr>
              <w:t>d</w:t>
            </w:r>
            <w:r w:rsidRPr="00B247FF">
              <w:rPr>
                <w:b/>
                <w:bCs/>
                <w:color w:val="auto"/>
                <w:lang w:val="en-US"/>
              </w:rPr>
              <w:t xml:space="preserve">ose </w:t>
            </w:r>
            <w:r w:rsidR="00D4770B" w:rsidRPr="00B247FF">
              <w:rPr>
                <w:b/>
                <w:bCs/>
                <w:color w:val="auto"/>
                <w:lang w:val="en-US"/>
              </w:rPr>
              <w:t>r</w:t>
            </w:r>
            <w:r w:rsidR="00E62D57" w:rsidRPr="00B247FF">
              <w:rPr>
                <w:b/>
                <w:bCs/>
                <w:color w:val="auto"/>
                <w:lang w:val="en-US"/>
              </w:rPr>
              <w:t>eduction</w:t>
            </w:r>
          </w:p>
        </w:tc>
        <w:tc>
          <w:tcPr>
            <w:tcW w:w="1800" w:type="dxa"/>
            <w:tcBorders>
              <w:bottom w:val="single" w:sz="4" w:space="0" w:color="auto"/>
            </w:tcBorders>
            <w:shd w:val="clear" w:color="auto" w:fill="auto"/>
            <w:vAlign w:val="center"/>
          </w:tcPr>
          <w:p w14:paraId="3E5AB82A" w14:textId="6AA5DEC7" w:rsidR="00AE40AF" w:rsidRPr="00B247FF" w:rsidRDefault="00AE40AF" w:rsidP="00786F6E">
            <w:pPr>
              <w:spacing w:after="200"/>
              <w:rPr>
                <w:b/>
                <w:bCs/>
                <w:color w:val="auto"/>
                <w:lang w:val="en-US"/>
              </w:rPr>
            </w:pPr>
            <w:r w:rsidRPr="00B247FF">
              <w:rPr>
                <w:b/>
                <w:bCs/>
                <w:color w:val="auto"/>
                <w:lang w:val="en-US"/>
              </w:rPr>
              <w:t>3</w:t>
            </w:r>
            <w:r w:rsidRPr="00B247FF">
              <w:rPr>
                <w:b/>
                <w:bCs/>
                <w:color w:val="auto"/>
                <w:vertAlign w:val="superscript"/>
                <w:lang w:val="en-US"/>
              </w:rPr>
              <w:t>rd</w:t>
            </w:r>
            <w:r w:rsidRPr="00B247FF">
              <w:rPr>
                <w:b/>
                <w:bCs/>
                <w:color w:val="auto"/>
                <w:lang w:val="en-US"/>
              </w:rPr>
              <w:t xml:space="preserve"> </w:t>
            </w:r>
            <w:r w:rsidR="00D4770B" w:rsidRPr="00B247FF">
              <w:rPr>
                <w:b/>
                <w:bCs/>
                <w:color w:val="auto"/>
                <w:lang w:val="en-US"/>
              </w:rPr>
              <w:t>d</w:t>
            </w:r>
            <w:r w:rsidRPr="00B247FF">
              <w:rPr>
                <w:b/>
                <w:bCs/>
                <w:color w:val="auto"/>
                <w:lang w:val="en-US"/>
              </w:rPr>
              <w:t xml:space="preserve">ose </w:t>
            </w:r>
            <w:r w:rsidR="00D4770B" w:rsidRPr="00B247FF">
              <w:rPr>
                <w:b/>
                <w:bCs/>
                <w:color w:val="auto"/>
                <w:lang w:val="en-US"/>
              </w:rPr>
              <w:t>m</w:t>
            </w:r>
            <w:r w:rsidRPr="00B247FF">
              <w:rPr>
                <w:b/>
                <w:bCs/>
                <w:color w:val="auto"/>
                <w:lang w:val="en-US"/>
              </w:rPr>
              <w:t>odification</w:t>
            </w:r>
          </w:p>
        </w:tc>
      </w:tr>
      <w:tr w:rsidR="00AE40AF" w:rsidRPr="00B247FF" w14:paraId="19C240C0" w14:textId="77777777" w:rsidTr="00AE40AF">
        <w:tc>
          <w:tcPr>
            <w:tcW w:w="1980" w:type="dxa"/>
            <w:shd w:val="clear" w:color="auto" w:fill="auto"/>
          </w:tcPr>
          <w:p w14:paraId="7C230174" w14:textId="77777777" w:rsidR="00AE40AF" w:rsidRPr="00B247FF" w:rsidRDefault="00AE40AF" w:rsidP="00786F6E">
            <w:pPr>
              <w:spacing w:after="200"/>
              <w:rPr>
                <w:color w:val="auto"/>
                <w:lang w:val="en-US"/>
              </w:rPr>
            </w:pPr>
            <w:r w:rsidRPr="00B247FF">
              <w:rPr>
                <w:color w:val="auto"/>
                <w:lang w:val="en-US"/>
              </w:rPr>
              <w:t>Less than 80 kg</w:t>
            </w:r>
          </w:p>
        </w:tc>
        <w:tc>
          <w:tcPr>
            <w:tcW w:w="1980" w:type="dxa"/>
            <w:shd w:val="clear" w:color="auto" w:fill="auto"/>
          </w:tcPr>
          <w:p w14:paraId="65FBBE11" w14:textId="77777777" w:rsidR="00AE40AF" w:rsidRPr="00B247FF" w:rsidRDefault="00AE40AF" w:rsidP="00786F6E">
            <w:pPr>
              <w:spacing w:after="200"/>
              <w:rPr>
                <w:color w:val="auto"/>
                <w:lang w:val="en-US"/>
              </w:rPr>
            </w:pPr>
            <w:r w:rsidRPr="00B247FF">
              <w:rPr>
                <w:color w:val="auto"/>
                <w:lang w:val="en-US"/>
              </w:rPr>
              <w:t>1050 mg</w:t>
            </w:r>
          </w:p>
        </w:tc>
        <w:tc>
          <w:tcPr>
            <w:tcW w:w="1800" w:type="dxa"/>
            <w:shd w:val="clear" w:color="auto" w:fill="auto"/>
          </w:tcPr>
          <w:p w14:paraId="05B786FE" w14:textId="77777777" w:rsidR="00AE40AF" w:rsidRPr="00B247FF" w:rsidRDefault="00AE40AF" w:rsidP="00786F6E">
            <w:pPr>
              <w:spacing w:after="200"/>
              <w:rPr>
                <w:color w:val="auto"/>
                <w:lang w:val="en-US"/>
              </w:rPr>
            </w:pPr>
            <w:r w:rsidRPr="00B247FF">
              <w:rPr>
                <w:color w:val="auto"/>
                <w:lang w:val="en-US"/>
              </w:rPr>
              <w:t>700 mg</w:t>
            </w:r>
          </w:p>
        </w:tc>
        <w:tc>
          <w:tcPr>
            <w:tcW w:w="1890" w:type="dxa"/>
            <w:shd w:val="clear" w:color="auto" w:fill="auto"/>
          </w:tcPr>
          <w:p w14:paraId="6CC27891" w14:textId="77777777" w:rsidR="00AE40AF" w:rsidRPr="00B247FF" w:rsidRDefault="00AE40AF" w:rsidP="00786F6E">
            <w:pPr>
              <w:spacing w:after="200"/>
              <w:rPr>
                <w:color w:val="auto"/>
                <w:lang w:val="en-US"/>
              </w:rPr>
            </w:pPr>
            <w:r w:rsidRPr="00B247FF">
              <w:rPr>
                <w:color w:val="auto"/>
                <w:lang w:val="en-US"/>
              </w:rPr>
              <w:t>350 mg</w:t>
            </w:r>
          </w:p>
        </w:tc>
        <w:tc>
          <w:tcPr>
            <w:tcW w:w="1800" w:type="dxa"/>
            <w:vMerge w:val="restart"/>
            <w:shd w:val="clear" w:color="auto" w:fill="auto"/>
            <w:vAlign w:val="center"/>
          </w:tcPr>
          <w:p w14:paraId="7B9838A6" w14:textId="0DDAE3E5" w:rsidR="00AE40AF" w:rsidRPr="00B247FF" w:rsidRDefault="00AE40AF" w:rsidP="00786F6E">
            <w:pPr>
              <w:spacing w:after="200"/>
              <w:rPr>
                <w:color w:val="auto"/>
                <w:lang w:val="en-US"/>
              </w:rPr>
            </w:pPr>
            <w:r w:rsidRPr="00B247FF">
              <w:rPr>
                <w:color w:val="auto"/>
                <w:lang w:val="en-US"/>
              </w:rPr>
              <w:t>Discontinue RYBREVANT</w:t>
            </w:r>
          </w:p>
        </w:tc>
      </w:tr>
      <w:tr w:rsidR="00AE40AF" w:rsidRPr="00B247FF" w14:paraId="1C8F00D7" w14:textId="77777777" w:rsidTr="00AE40AF">
        <w:tc>
          <w:tcPr>
            <w:tcW w:w="1980" w:type="dxa"/>
            <w:shd w:val="clear" w:color="auto" w:fill="auto"/>
          </w:tcPr>
          <w:p w14:paraId="4C3AD6BF" w14:textId="77777777" w:rsidR="00AE40AF" w:rsidRPr="00B247FF" w:rsidRDefault="00AE40AF" w:rsidP="00786F6E">
            <w:pPr>
              <w:spacing w:after="200"/>
              <w:rPr>
                <w:color w:val="auto"/>
                <w:lang w:val="en-US"/>
              </w:rPr>
            </w:pPr>
            <w:r w:rsidRPr="00B247FF">
              <w:rPr>
                <w:color w:val="auto"/>
                <w:lang w:val="en-US"/>
              </w:rPr>
              <w:t>Greater than or equal to 80 kg</w:t>
            </w:r>
          </w:p>
        </w:tc>
        <w:tc>
          <w:tcPr>
            <w:tcW w:w="1980" w:type="dxa"/>
            <w:shd w:val="clear" w:color="auto" w:fill="auto"/>
          </w:tcPr>
          <w:p w14:paraId="084D44CB" w14:textId="77777777" w:rsidR="00AE40AF" w:rsidRPr="00B247FF" w:rsidRDefault="00AE40AF" w:rsidP="00786F6E">
            <w:pPr>
              <w:spacing w:after="200"/>
              <w:rPr>
                <w:color w:val="auto"/>
                <w:lang w:val="en-US"/>
              </w:rPr>
            </w:pPr>
            <w:r w:rsidRPr="00B247FF">
              <w:rPr>
                <w:color w:val="auto"/>
                <w:lang w:val="en-US"/>
              </w:rPr>
              <w:t>1400 mg</w:t>
            </w:r>
          </w:p>
        </w:tc>
        <w:tc>
          <w:tcPr>
            <w:tcW w:w="1800" w:type="dxa"/>
            <w:shd w:val="clear" w:color="auto" w:fill="auto"/>
          </w:tcPr>
          <w:p w14:paraId="1754C656" w14:textId="77777777" w:rsidR="00AE40AF" w:rsidRPr="00B247FF" w:rsidRDefault="00AE40AF" w:rsidP="00786F6E">
            <w:pPr>
              <w:spacing w:after="200"/>
              <w:rPr>
                <w:color w:val="auto"/>
                <w:lang w:val="en-US"/>
              </w:rPr>
            </w:pPr>
            <w:r w:rsidRPr="00B247FF">
              <w:rPr>
                <w:color w:val="auto"/>
                <w:lang w:val="en-US"/>
              </w:rPr>
              <w:t>1050 mg</w:t>
            </w:r>
          </w:p>
        </w:tc>
        <w:tc>
          <w:tcPr>
            <w:tcW w:w="1890" w:type="dxa"/>
            <w:shd w:val="clear" w:color="auto" w:fill="auto"/>
          </w:tcPr>
          <w:p w14:paraId="2A4999A0" w14:textId="77777777" w:rsidR="00AE40AF" w:rsidRPr="00B247FF" w:rsidRDefault="00AE40AF" w:rsidP="00786F6E">
            <w:pPr>
              <w:spacing w:after="200"/>
              <w:rPr>
                <w:color w:val="auto"/>
                <w:lang w:val="en-US"/>
              </w:rPr>
            </w:pPr>
            <w:r w:rsidRPr="00B247FF">
              <w:rPr>
                <w:color w:val="auto"/>
                <w:lang w:val="en-US"/>
              </w:rPr>
              <w:t>700 mg</w:t>
            </w:r>
          </w:p>
        </w:tc>
        <w:tc>
          <w:tcPr>
            <w:tcW w:w="1800" w:type="dxa"/>
            <w:vMerge/>
            <w:shd w:val="clear" w:color="auto" w:fill="auto"/>
            <w:vAlign w:val="center"/>
          </w:tcPr>
          <w:p w14:paraId="6497546F" w14:textId="77777777" w:rsidR="00AE40AF" w:rsidRPr="00B247FF" w:rsidRDefault="00AE40AF" w:rsidP="00786F6E">
            <w:pPr>
              <w:numPr>
                <w:ilvl w:val="0"/>
                <w:numId w:val="15"/>
              </w:numPr>
              <w:spacing w:after="200"/>
              <w:ind w:left="0"/>
              <w:rPr>
                <w:color w:val="auto"/>
                <w:lang w:val="en-US"/>
              </w:rPr>
            </w:pPr>
          </w:p>
        </w:tc>
      </w:tr>
    </w:tbl>
    <w:p w14:paraId="351FFBC4" w14:textId="5765ADC1" w:rsidR="00AE40AF" w:rsidRPr="00B247FF" w:rsidRDefault="00AE40AF" w:rsidP="00786F6E">
      <w:pPr>
        <w:spacing w:after="200"/>
        <w:ind w:left="-432" w:firstLine="432"/>
        <w:rPr>
          <w:color w:val="auto"/>
          <w:lang w:val="en-US"/>
        </w:rPr>
      </w:pPr>
      <w:bookmarkStart w:id="13" w:name="_Hlk48571366"/>
    </w:p>
    <w:p w14:paraId="72FE0E66" w14:textId="77777777" w:rsidR="00E62D57" w:rsidRPr="00B247FF" w:rsidRDefault="00E62D57" w:rsidP="00786F6E">
      <w:pPr>
        <w:spacing w:after="200"/>
        <w:rPr>
          <w:color w:val="auto"/>
          <w:lang w:val="en-US"/>
        </w:rPr>
      </w:pPr>
      <w:r w:rsidRPr="00B247FF">
        <w:rPr>
          <w:color w:val="auto"/>
          <w:lang w:val="en-US"/>
        </w:rPr>
        <w:t>The recommended dosage modifications for adverse reactions are provided in Table 6.</w:t>
      </w:r>
      <w:r w:rsidRPr="00B247FF">
        <w:rPr>
          <w:color w:val="auto"/>
          <w:vertAlign w:val="superscript"/>
          <w:lang w:val="en-US"/>
        </w:rPr>
        <w:t xml:space="preserve"> </w:t>
      </w:r>
    </w:p>
    <w:p w14:paraId="29830C9A" w14:textId="4BEEB721" w:rsidR="00E62D57" w:rsidRPr="00B247FF" w:rsidRDefault="00E62D57" w:rsidP="00786F6E">
      <w:pPr>
        <w:keepNext/>
        <w:tabs>
          <w:tab w:val="left" w:pos="1152"/>
          <w:tab w:val="left" w:pos="1440"/>
        </w:tabs>
        <w:spacing w:before="60" w:after="60"/>
        <w:ind w:left="1152" w:hanging="1152"/>
        <w:rPr>
          <w:b/>
          <w:bCs/>
          <w:lang w:val="en-US"/>
        </w:rPr>
      </w:pPr>
      <w:r w:rsidRPr="00B247FF">
        <w:rPr>
          <w:b/>
          <w:bCs/>
          <w:lang w:val="en-US"/>
        </w:rPr>
        <w:t xml:space="preserve">Table 6: </w:t>
      </w:r>
      <w:r w:rsidRPr="00B247FF">
        <w:rPr>
          <w:b/>
          <w:bCs/>
          <w:lang w:val="en-US"/>
        </w:rPr>
        <w:tab/>
        <w:t xml:space="preserve">RYBREVANT </w:t>
      </w:r>
      <w:r w:rsidR="00D4770B" w:rsidRPr="00B247FF">
        <w:rPr>
          <w:b/>
          <w:bCs/>
          <w:lang w:val="en-US"/>
        </w:rPr>
        <w:t>d</w:t>
      </w:r>
      <w:r w:rsidRPr="00B247FF">
        <w:rPr>
          <w:b/>
          <w:bCs/>
          <w:lang w:val="en-US"/>
        </w:rPr>
        <w:t xml:space="preserve">osage </w:t>
      </w:r>
      <w:r w:rsidR="00D4770B" w:rsidRPr="00B247FF">
        <w:rPr>
          <w:b/>
          <w:bCs/>
          <w:lang w:val="en-US"/>
        </w:rPr>
        <w:t>m</w:t>
      </w:r>
      <w:r w:rsidRPr="00B247FF">
        <w:rPr>
          <w:b/>
          <w:bCs/>
          <w:lang w:val="en-US"/>
        </w:rPr>
        <w:t xml:space="preserve">odifications for </w:t>
      </w:r>
      <w:r w:rsidR="00D4770B" w:rsidRPr="00B247FF">
        <w:rPr>
          <w:b/>
          <w:bCs/>
          <w:lang w:val="en-US"/>
        </w:rPr>
        <w:t>a</w:t>
      </w:r>
      <w:r w:rsidRPr="00B247FF">
        <w:rPr>
          <w:b/>
          <w:bCs/>
          <w:lang w:val="en-US"/>
        </w:rPr>
        <w:t xml:space="preserve">dverse </w:t>
      </w:r>
      <w:r w:rsidR="00D4770B" w:rsidRPr="00B247FF">
        <w:rPr>
          <w:b/>
          <w:bCs/>
          <w:lang w:val="en-US"/>
        </w:rPr>
        <w:t>r</w:t>
      </w:r>
      <w:r w:rsidRPr="00B247FF">
        <w:rPr>
          <w:b/>
          <w:bCs/>
          <w:lang w:val="en-US"/>
        </w:rPr>
        <w:t>eactions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047"/>
        <w:gridCol w:w="5130"/>
      </w:tblGrid>
      <w:tr w:rsidR="00E62D57" w:rsidRPr="00B247FF" w14:paraId="616DD4D2" w14:textId="77777777" w:rsidTr="00E62D57">
        <w:trPr>
          <w:cantSplit/>
          <w:tblHeader/>
        </w:trPr>
        <w:tc>
          <w:tcPr>
            <w:tcW w:w="2268" w:type="dxa"/>
            <w:shd w:val="clear" w:color="auto" w:fill="auto"/>
          </w:tcPr>
          <w:p w14:paraId="2387266C" w14:textId="1717A726" w:rsidR="00E62D57" w:rsidRPr="00B247FF" w:rsidRDefault="00E62D57" w:rsidP="00786F6E">
            <w:pPr>
              <w:widowControl w:val="0"/>
              <w:rPr>
                <w:rFonts w:eastAsia="Cambria"/>
                <w:color w:val="auto"/>
                <w:lang w:val="en-US"/>
              </w:rPr>
            </w:pPr>
            <w:bookmarkStart w:id="14" w:name="_Hlk75235541"/>
            <w:r w:rsidRPr="00B247FF">
              <w:rPr>
                <w:rFonts w:eastAsia="Cambria"/>
                <w:b/>
                <w:bCs/>
                <w:color w:val="auto"/>
                <w:lang w:val="en-US"/>
              </w:rPr>
              <w:t xml:space="preserve">Adverse </w:t>
            </w:r>
            <w:r w:rsidR="00AA7807" w:rsidRPr="00B247FF">
              <w:rPr>
                <w:rFonts w:eastAsia="Cambria"/>
                <w:b/>
                <w:bCs/>
                <w:color w:val="auto"/>
                <w:lang w:val="en-US"/>
              </w:rPr>
              <w:t>r</w:t>
            </w:r>
            <w:r w:rsidRPr="00B247FF">
              <w:rPr>
                <w:rFonts w:eastAsia="Cambria"/>
                <w:b/>
                <w:bCs/>
                <w:color w:val="auto"/>
                <w:lang w:val="en-US"/>
              </w:rPr>
              <w:t xml:space="preserve">eaction </w:t>
            </w:r>
          </w:p>
        </w:tc>
        <w:tc>
          <w:tcPr>
            <w:tcW w:w="2047" w:type="dxa"/>
            <w:shd w:val="clear" w:color="auto" w:fill="auto"/>
          </w:tcPr>
          <w:p w14:paraId="12D9B2BC" w14:textId="77777777" w:rsidR="00E62D57" w:rsidRPr="00B247FF" w:rsidRDefault="00E62D57" w:rsidP="00786F6E">
            <w:pPr>
              <w:widowControl w:val="0"/>
              <w:rPr>
                <w:rFonts w:eastAsia="Cambria"/>
                <w:b/>
                <w:iCs/>
                <w:color w:val="auto"/>
                <w:lang w:val="en-US"/>
              </w:rPr>
            </w:pPr>
            <w:r w:rsidRPr="00B247FF">
              <w:rPr>
                <w:rFonts w:eastAsia="Cambria"/>
                <w:b/>
                <w:iCs/>
                <w:color w:val="auto"/>
                <w:lang w:val="en-US"/>
              </w:rPr>
              <w:t>Severity</w:t>
            </w:r>
          </w:p>
        </w:tc>
        <w:tc>
          <w:tcPr>
            <w:tcW w:w="5130" w:type="dxa"/>
            <w:shd w:val="clear" w:color="auto" w:fill="auto"/>
          </w:tcPr>
          <w:p w14:paraId="44AAA44C" w14:textId="01742CE8" w:rsidR="00E62D57" w:rsidRPr="00B247FF" w:rsidRDefault="00E62D57" w:rsidP="00786F6E">
            <w:pPr>
              <w:widowControl w:val="0"/>
              <w:rPr>
                <w:rFonts w:eastAsia="Cambria"/>
                <w:b/>
                <w:iCs/>
                <w:color w:val="auto"/>
                <w:lang w:val="en-US"/>
              </w:rPr>
            </w:pPr>
            <w:r w:rsidRPr="00B247FF">
              <w:rPr>
                <w:rFonts w:eastAsia="Cambria"/>
                <w:b/>
                <w:iCs/>
                <w:color w:val="auto"/>
                <w:lang w:val="en-US"/>
              </w:rPr>
              <w:t xml:space="preserve">Dose </w:t>
            </w:r>
            <w:r w:rsidR="00AA7807" w:rsidRPr="00B247FF">
              <w:rPr>
                <w:rFonts w:eastAsia="Cambria"/>
                <w:b/>
                <w:iCs/>
                <w:color w:val="auto"/>
                <w:lang w:val="en-US"/>
              </w:rPr>
              <w:t>m</w:t>
            </w:r>
            <w:r w:rsidRPr="00B247FF">
              <w:rPr>
                <w:rFonts w:eastAsia="Cambria"/>
                <w:b/>
                <w:iCs/>
                <w:color w:val="auto"/>
                <w:lang w:val="en-US"/>
              </w:rPr>
              <w:t>odification</w:t>
            </w:r>
          </w:p>
        </w:tc>
      </w:tr>
      <w:tr w:rsidR="00E62D57" w:rsidRPr="00B247FF" w14:paraId="6329AA64" w14:textId="77777777" w:rsidTr="00E62D57">
        <w:trPr>
          <w:cantSplit/>
          <w:trHeight w:val="157"/>
        </w:trPr>
        <w:tc>
          <w:tcPr>
            <w:tcW w:w="2268" w:type="dxa"/>
            <w:vMerge w:val="restart"/>
            <w:shd w:val="clear" w:color="auto" w:fill="auto"/>
            <w:vAlign w:val="center"/>
          </w:tcPr>
          <w:p w14:paraId="4D8A54A1" w14:textId="44C47FA4" w:rsidR="00E62D57" w:rsidRPr="00B247FF" w:rsidRDefault="00E62D57" w:rsidP="00786F6E">
            <w:pPr>
              <w:widowControl w:val="0"/>
              <w:rPr>
                <w:rFonts w:eastAsia="Cambria"/>
                <w:color w:val="auto"/>
                <w:lang w:val="en-US"/>
              </w:rPr>
            </w:pPr>
            <w:r w:rsidRPr="00B247FF">
              <w:rPr>
                <w:rFonts w:eastAsia="Cambria"/>
                <w:b/>
                <w:color w:val="auto"/>
                <w:lang w:val="en-US"/>
              </w:rPr>
              <w:t>Infusion-</w:t>
            </w:r>
            <w:r w:rsidR="00AA7807" w:rsidRPr="00B247FF">
              <w:rPr>
                <w:rFonts w:eastAsia="Cambria"/>
                <w:b/>
                <w:color w:val="auto"/>
                <w:lang w:val="en-US"/>
              </w:rPr>
              <w:t>r</w:t>
            </w:r>
            <w:r w:rsidRPr="00B247FF">
              <w:rPr>
                <w:rFonts w:eastAsia="Cambria"/>
                <w:b/>
                <w:color w:val="auto"/>
                <w:lang w:val="en-US"/>
              </w:rPr>
              <w:t xml:space="preserve">elated </w:t>
            </w:r>
            <w:r w:rsidR="00AA7807" w:rsidRPr="00B247FF">
              <w:rPr>
                <w:rFonts w:eastAsia="Cambria"/>
                <w:b/>
                <w:color w:val="auto"/>
                <w:lang w:val="en-US"/>
              </w:rPr>
              <w:t>r</w:t>
            </w:r>
            <w:r w:rsidRPr="00B247FF">
              <w:rPr>
                <w:rFonts w:eastAsia="Cambria"/>
                <w:b/>
                <w:color w:val="auto"/>
                <w:lang w:val="en-US"/>
              </w:rPr>
              <w:t>eactions (IRR)</w:t>
            </w:r>
            <w:r w:rsidRPr="00B247FF">
              <w:rPr>
                <w:color w:val="auto"/>
                <w:vertAlign w:val="superscript"/>
                <w:lang w:val="en-US"/>
              </w:rPr>
              <w:t xml:space="preserve"> </w:t>
            </w:r>
            <w:r w:rsidRPr="00B247FF">
              <w:rPr>
                <w:rFonts w:eastAsia="Cambria"/>
                <w:b/>
                <w:color w:val="auto"/>
                <w:lang w:val="en-US"/>
              </w:rPr>
              <w:br/>
            </w:r>
            <w:r w:rsidRPr="00B247FF">
              <w:rPr>
                <w:rFonts w:eastAsia="Cambria"/>
                <w:color w:val="auto"/>
                <w:lang w:val="en-US"/>
              </w:rPr>
              <w:t>(see section 4.4)</w:t>
            </w:r>
          </w:p>
        </w:tc>
        <w:tc>
          <w:tcPr>
            <w:tcW w:w="2047" w:type="dxa"/>
            <w:tcBorders>
              <w:bottom w:val="single" w:sz="4" w:space="0" w:color="auto"/>
            </w:tcBorders>
            <w:shd w:val="clear" w:color="auto" w:fill="auto"/>
            <w:vAlign w:val="center"/>
          </w:tcPr>
          <w:p w14:paraId="4EDD843F" w14:textId="77777777" w:rsidR="00E62D57" w:rsidRPr="00B247FF" w:rsidRDefault="00E62D57" w:rsidP="00786F6E">
            <w:pPr>
              <w:widowControl w:val="0"/>
              <w:rPr>
                <w:rFonts w:eastAsia="Cambria"/>
                <w:iCs/>
                <w:color w:val="auto"/>
                <w:lang w:val="fr-FR"/>
              </w:rPr>
            </w:pPr>
            <w:r w:rsidRPr="00B247FF">
              <w:rPr>
                <w:rFonts w:eastAsia="Cambria"/>
                <w:iCs/>
                <w:color w:val="auto"/>
                <w:lang w:val="fr-FR"/>
              </w:rPr>
              <w:t>Grade 1 to 3</w:t>
            </w:r>
          </w:p>
        </w:tc>
        <w:tc>
          <w:tcPr>
            <w:tcW w:w="5130" w:type="dxa"/>
            <w:tcBorders>
              <w:bottom w:val="single" w:sz="4" w:space="0" w:color="auto"/>
            </w:tcBorders>
            <w:shd w:val="clear" w:color="auto" w:fill="auto"/>
            <w:vAlign w:val="center"/>
          </w:tcPr>
          <w:p w14:paraId="232743F9" w14:textId="416185ED" w:rsidR="00E62D57"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 xml:space="preserve">Interrupt infusion at the first sign of IRRs </w:t>
            </w:r>
          </w:p>
          <w:p w14:paraId="34676E31" w14:textId="6D007B64" w:rsidR="00E62D57" w:rsidRPr="00B247FF" w:rsidRDefault="006A3B93" w:rsidP="00786F6E">
            <w:pPr>
              <w:widowControl w:val="0"/>
              <w:numPr>
                <w:ilvl w:val="0"/>
                <w:numId w:val="32"/>
              </w:numPr>
              <w:autoSpaceDE w:val="0"/>
              <w:autoSpaceDN w:val="0"/>
              <w:adjustRightInd w:val="0"/>
              <w:ind w:left="206" w:hanging="142"/>
              <w:rPr>
                <w:lang w:val="en-US"/>
              </w:rPr>
            </w:pPr>
            <w:r w:rsidRPr="00B247FF">
              <w:rPr>
                <w:lang w:val="en-US"/>
              </w:rPr>
              <w:t xml:space="preserve">Give </w:t>
            </w:r>
            <w:r w:rsidR="00E62D57" w:rsidRPr="00B247FF">
              <w:rPr>
                <w:lang w:val="en-US"/>
              </w:rPr>
              <w:t>supportive medications (e.g., additional glucocorticoids, antihistamine, antipyretics and antiemetics) as clinically indicated</w:t>
            </w:r>
          </w:p>
          <w:p w14:paraId="7EFB1341" w14:textId="468AA529" w:rsidR="00E62D57"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Upon resolution of symptoms, resume infusion at 50% of the previous rate</w:t>
            </w:r>
          </w:p>
          <w:p w14:paraId="011EB36E" w14:textId="123307CE" w:rsidR="00E62D57"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 xml:space="preserve">If there are no additional symptoms, the rate may be increased per the </w:t>
            </w:r>
            <w:r w:rsidR="006A3B93" w:rsidRPr="00B247FF">
              <w:rPr>
                <w:lang w:val="en-US"/>
              </w:rPr>
              <w:t>instructions in</w:t>
            </w:r>
            <w:r w:rsidRPr="00B247FF">
              <w:rPr>
                <w:lang w:val="en-US"/>
              </w:rPr>
              <w:t xml:space="preserve"> Table 4</w:t>
            </w:r>
          </w:p>
          <w:p w14:paraId="11D63E88" w14:textId="04344D69" w:rsidR="00E62D57" w:rsidRPr="00B247FF" w:rsidRDefault="006A3B93" w:rsidP="00786F6E">
            <w:pPr>
              <w:widowControl w:val="0"/>
              <w:numPr>
                <w:ilvl w:val="0"/>
                <w:numId w:val="32"/>
              </w:numPr>
              <w:shd w:val="clear" w:color="000000" w:fill="auto"/>
              <w:spacing w:after="200"/>
              <w:ind w:left="254" w:hanging="196"/>
              <w:rPr>
                <w:lang w:val="en-US"/>
              </w:rPr>
            </w:pPr>
            <w:r w:rsidRPr="00B247FF">
              <w:rPr>
                <w:lang w:val="en-US"/>
              </w:rPr>
              <w:t>Administer p</w:t>
            </w:r>
            <w:r w:rsidR="00E62D57" w:rsidRPr="00B247FF">
              <w:rPr>
                <w:lang w:val="en-US"/>
              </w:rPr>
              <w:t>re-medications prior to next dose</w:t>
            </w:r>
          </w:p>
        </w:tc>
      </w:tr>
      <w:tr w:rsidR="00E62D57" w:rsidRPr="00B247FF" w14:paraId="1D5020A9" w14:textId="77777777" w:rsidTr="00E62D57">
        <w:trPr>
          <w:cantSplit/>
          <w:trHeight w:val="156"/>
        </w:trPr>
        <w:tc>
          <w:tcPr>
            <w:tcW w:w="2268" w:type="dxa"/>
            <w:vMerge/>
            <w:shd w:val="clear" w:color="auto" w:fill="auto"/>
            <w:vAlign w:val="center"/>
          </w:tcPr>
          <w:p w14:paraId="507AB281" w14:textId="77777777" w:rsidR="00E62D57" w:rsidRPr="00B247FF" w:rsidRDefault="00E62D57" w:rsidP="00786F6E">
            <w:pPr>
              <w:widowControl w:val="0"/>
              <w:rPr>
                <w:rFonts w:eastAsia="Cambria"/>
                <w:b/>
                <w:color w:val="auto"/>
                <w:lang w:val="en-US"/>
              </w:rPr>
            </w:pPr>
          </w:p>
        </w:tc>
        <w:tc>
          <w:tcPr>
            <w:tcW w:w="2047" w:type="dxa"/>
            <w:shd w:val="clear" w:color="auto" w:fill="auto"/>
            <w:vAlign w:val="center"/>
          </w:tcPr>
          <w:p w14:paraId="0E1EDDE0" w14:textId="77777777" w:rsidR="00E62D57" w:rsidRPr="00B247FF" w:rsidRDefault="00E62D57" w:rsidP="00786F6E">
            <w:pPr>
              <w:widowControl w:val="0"/>
              <w:rPr>
                <w:rFonts w:eastAsia="Cambria"/>
                <w:iCs/>
                <w:color w:val="auto"/>
                <w:lang w:val="en-US"/>
              </w:rPr>
            </w:pPr>
            <w:r w:rsidRPr="00B247FF">
              <w:rPr>
                <w:rFonts w:eastAsia="Cambria"/>
                <w:iCs/>
                <w:color w:val="auto"/>
                <w:lang w:val="en-US"/>
              </w:rPr>
              <w:t>Recurrent Grade 3 or Grade 4</w:t>
            </w:r>
          </w:p>
        </w:tc>
        <w:tc>
          <w:tcPr>
            <w:tcW w:w="5130" w:type="dxa"/>
            <w:shd w:val="clear" w:color="auto" w:fill="auto"/>
            <w:vAlign w:val="center"/>
          </w:tcPr>
          <w:p w14:paraId="51329A23" w14:textId="77777777" w:rsidR="00E62D57" w:rsidRPr="00B247FF" w:rsidRDefault="00E62D57" w:rsidP="00786F6E">
            <w:pPr>
              <w:widowControl w:val="0"/>
              <w:autoSpaceDE w:val="0"/>
              <w:autoSpaceDN w:val="0"/>
              <w:adjustRightInd w:val="0"/>
              <w:rPr>
                <w:rFonts w:eastAsia="Cambria"/>
                <w:iCs/>
                <w:lang w:val="en-US"/>
              </w:rPr>
            </w:pPr>
            <w:r w:rsidRPr="00B247FF">
              <w:rPr>
                <w:lang w:val="en-US"/>
              </w:rPr>
              <w:t xml:space="preserve">Permanently discontinue </w:t>
            </w:r>
          </w:p>
        </w:tc>
      </w:tr>
      <w:tr w:rsidR="00E62D57" w:rsidRPr="00B247FF" w14:paraId="4F043C7B" w14:textId="77777777" w:rsidTr="00E62D57">
        <w:trPr>
          <w:cantSplit/>
          <w:trHeight w:val="701"/>
        </w:trPr>
        <w:tc>
          <w:tcPr>
            <w:tcW w:w="2268" w:type="dxa"/>
            <w:vMerge w:val="restart"/>
            <w:shd w:val="clear" w:color="auto" w:fill="auto"/>
            <w:vAlign w:val="center"/>
          </w:tcPr>
          <w:p w14:paraId="2601B51C" w14:textId="2F0732F0" w:rsidR="00E62D57" w:rsidRPr="00B247FF" w:rsidRDefault="00E62D57" w:rsidP="00786F6E">
            <w:pPr>
              <w:widowControl w:val="0"/>
              <w:rPr>
                <w:rFonts w:eastAsia="Cambria"/>
                <w:b/>
                <w:color w:val="auto"/>
                <w:lang w:val="en-US"/>
              </w:rPr>
            </w:pPr>
            <w:r w:rsidRPr="00B247FF">
              <w:rPr>
                <w:rFonts w:eastAsia="Cambria"/>
                <w:b/>
                <w:color w:val="auto"/>
                <w:lang w:val="en-US"/>
              </w:rPr>
              <w:t xml:space="preserve">Interstitial </w:t>
            </w:r>
            <w:r w:rsidR="00401954" w:rsidRPr="00B247FF">
              <w:rPr>
                <w:rFonts w:eastAsia="Cambria"/>
                <w:b/>
                <w:color w:val="auto"/>
                <w:lang w:val="en-US"/>
              </w:rPr>
              <w:t>l</w:t>
            </w:r>
            <w:r w:rsidRPr="00B247FF">
              <w:rPr>
                <w:rFonts w:eastAsia="Cambria"/>
                <w:b/>
                <w:color w:val="auto"/>
                <w:lang w:val="en-US"/>
              </w:rPr>
              <w:t xml:space="preserve">ung </w:t>
            </w:r>
            <w:r w:rsidR="00AA7807" w:rsidRPr="00B247FF">
              <w:rPr>
                <w:rFonts w:eastAsia="Cambria"/>
                <w:b/>
                <w:color w:val="auto"/>
                <w:lang w:val="en-US"/>
              </w:rPr>
              <w:t>d</w:t>
            </w:r>
            <w:r w:rsidRPr="00B247FF">
              <w:rPr>
                <w:rFonts w:eastAsia="Cambria"/>
                <w:b/>
                <w:color w:val="auto"/>
                <w:lang w:val="en-US"/>
              </w:rPr>
              <w:t xml:space="preserve">isease / </w:t>
            </w:r>
            <w:r w:rsidR="00AA7807" w:rsidRPr="00B247FF">
              <w:rPr>
                <w:rFonts w:eastAsia="Cambria"/>
                <w:b/>
                <w:color w:val="auto"/>
                <w:lang w:val="en-US"/>
              </w:rPr>
              <w:t>p</w:t>
            </w:r>
            <w:r w:rsidRPr="00B247FF">
              <w:rPr>
                <w:rFonts w:eastAsia="Cambria"/>
                <w:b/>
                <w:color w:val="auto"/>
                <w:lang w:val="en-US"/>
              </w:rPr>
              <w:t>neumonitis</w:t>
            </w:r>
            <w:r w:rsidRPr="00B247FF">
              <w:rPr>
                <w:rFonts w:eastAsia="Cambria"/>
                <w:b/>
                <w:color w:val="auto"/>
                <w:lang w:val="en-US"/>
              </w:rPr>
              <w:br/>
            </w:r>
            <w:r w:rsidRPr="00B247FF">
              <w:rPr>
                <w:rFonts w:eastAsia="Cambria"/>
                <w:color w:val="auto"/>
                <w:lang w:val="en-US"/>
              </w:rPr>
              <w:t>(see section 4.4)</w:t>
            </w:r>
          </w:p>
        </w:tc>
        <w:tc>
          <w:tcPr>
            <w:tcW w:w="2047" w:type="dxa"/>
            <w:shd w:val="clear" w:color="auto" w:fill="auto"/>
            <w:vAlign w:val="center"/>
          </w:tcPr>
          <w:p w14:paraId="2A8DB21D" w14:textId="77777777" w:rsidR="00E62D57" w:rsidRPr="00B247FF" w:rsidRDefault="00E62D57" w:rsidP="00786F6E">
            <w:pPr>
              <w:widowControl w:val="0"/>
              <w:rPr>
                <w:rFonts w:eastAsia="Cambria"/>
                <w:iCs/>
                <w:color w:val="auto"/>
                <w:lang w:val="en-US"/>
              </w:rPr>
            </w:pPr>
            <w:r w:rsidRPr="00B247FF">
              <w:rPr>
                <w:rFonts w:eastAsia="Cambria"/>
                <w:iCs/>
                <w:color w:val="auto"/>
                <w:lang w:val="en-US"/>
              </w:rPr>
              <w:t>Suspected ILD/ pneumonitis</w:t>
            </w:r>
          </w:p>
        </w:tc>
        <w:tc>
          <w:tcPr>
            <w:tcW w:w="5130" w:type="dxa"/>
            <w:shd w:val="clear" w:color="auto" w:fill="auto"/>
            <w:vAlign w:val="center"/>
          </w:tcPr>
          <w:p w14:paraId="18F6CC31" w14:textId="77777777" w:rsidR="00E62D57" w:rsidRPr="00B247FF" w:rsidRDefault="00E62D57" w:rsidP="00786F6E">
            <w:pPr>
              <w:widowControl w:val="0"/>
              <w:autoSpaceDE w:val="0"/>
              <w:autoSpaceDN w:val="0"/>
              <w:adjustRightInd w:val="0"/>
              <w:rPr>
                <w:lang w:val="en-US"/>
              </w:rPr>
            </w:pPr>
            <w:r w:rsidRPr="00B247FF">
              <w:rPr>
                <w:lang w:val="en-US"/>
              </w:rPr>
              <w:t>Withhold</w:t>
            </w:r>
          </w:p>
        </w:tc>
      </w:tr>
      <w:tr w:rsidR="00E62D57" w:rsidRPr="00B247FF" w14:paraId="56B40616" w14:textId="77777777" w:rsidTr="00E62D57">
        <w:trPr>
          <w:cantSplit/>
          <w:trHeight w:val="791"/>
        </w:trPr>
        <w:tc>
          <w:tcPr>
            <w:tcW w:w="2268" w:type="dxa"/>
            <w:vMerge/>
            <w:shd w:val="clear" w:color="auto" w:fill="auto"/>
            <w:vAlign w:val="center"/>
          </w:tcPr>
          <w:p w14:paraId="70911BDD" w14:textId="77777777" w:rsidR="00E62D57" w:rsidRPr="00B247FF" w:rsidRDefault="00E62D57" w:rsidP="00786F6E">
            <w:pPr>
              <w:widowControl w:val="0"/>
              <w:rPr>
                <w:rFonts w:eastAsia="Cambria"/>
                <w:b/>
                <w:color w:val="auto"/>
                <w:lang w:val="en-US"/>
              </w:rPr>
            </w:pPr>
          </w:p>
        </w:tc>
        <w:tc>
          <w:tcPr>
            <w:tcW w:w="2047" w:type="dxa"/>
            <w:shd w:val="clear" w:color="auto" w:fill="auto"/>
            <w:vAlign w:val="center"/>
          </w:tcPr>
          <w:p w14:paraId="09E6DDAE" w14:textId="77777777" w:rsidR="00E62D57" w:rsidRPr="00B247FF" w:rsidRDefault="00E62D57" w:rsidP="00786F6E">
            <w:pPr>
              <w:widowControl w:val="0"/>
              <w:rPr>
                <w:rFonts w:eastAsia="Cambria"/>
                <w:iCs/>
                <w:color w:val="auto"/>
                <w:lang w:val="en-US"/>
              </w:rPr>
            </w:pPr>
            <w:r w:rsidRPr="00B247FF">
              <w:rPr>
                <w:rFonts w:eastAsia="Cambria"/>
                <w:iCs/>
                <w:color w:val="auto"/>
                <w:lang w:val="en-US"/>
              </w:rPr>
              <w:t>Confirmed ILD/ pneumonitis</w:t>
            </w:r>
          </w:p>
        </w:tc>
        <w:tc>
          <w:tcPr>
            <w:tcW w:w="5130" w:type="dxa"/>
            <w:shd w:val="clear" w:color="auto" w:fill="auto"/>
            <w:vAlign w:val="center"/>
          </w:tcPr>
          <w:p w14:paraId="78D3215E" w14:textId="77777777" w:rsidR="00E62D57" w:rsidRPr="00B247FF" w:rsidRDefault="00E62D57" w:rsidP="00786F6E">
            <w:pPr>
              <w:widowControl w:val="0"/>
              <w:autoSpaceDE w:val="0"/>
              <w:autoSpaceDN w:val="0"/>
              <w:adjustRightInd w:val="0"/>
              <w:rPr>
                <w:lang w:val="en-US"/>
              </w:rPr>
            </w:pPr>
            <w:r w:rsidRPr="00B247FF">
              <w:rPr>
                <w:lang w:val="en-US"/>
              </w:rPr>
              <w:t>Permanently discontinue</w:t>
            </w:r>
          </w:p>
        </w:tc>
      </w:tr>
      <w:tr w:rsidR="00E62D57" w:rsidRPr="00B247FF" w14:paraId="6001639F" w14:textId="77777777" w:rsidTr="00E62D57">
        <w:trPr>
          <w:cantSplit/>
        </w:trPr>
        <w:tc>
          <w:tcPr>
            <w:tcW w:w="2268" w:type="dxa"/>
            <w:vMerge w:val="restart"/>
            <w:shd w:val="clear" w:color="auto" w:fill="auto"/>
            <w:vAlign w:val="center"/>
          </w:tcPr>
          <w:p w14:paraId="535A6C68" w14:textId="44F5B200" w:rsidR="00E62D57" w:rsidRPr="00B247FF" w:rsidRDefault="00E62D57" w:rsidP="00786F6E">
            <w:pPr>
              <w:widowControl w:val="0"/>
              <w:rPr>
                <w:rFonts w:eastAsia="Cambria"/>
                <w:b/>
                <w:color w:val="auto"/>
                <w:lang w:val="en-US"/>
              </w:rPr>
            </w:pPr>
            <w:r w:rsidRPr="00B247FF">
              <w:rPr>
                <w:rFonts w:eastAsia="Cambria"/>
                <w:b/>
                <w:color w:val="auto"/>
                <w:lang w:val="en-US"/>
              </w:rPr>
              <w:t xml:space="preserve">Skin and </w:t>
            </w:r>
            <w:r w:rsidR="00AA7807" w:rsidRPr="00B247FF">
              <w:rPr>
                <w:rFonts w:eastAsia="Cambria"/>
                <w:b/>
                <w:color w:val="auto"/>
                <w:lang w:val="en-US"/>
              </w:rPr>
              <w:t>n</w:t>
            </w:r>
            <w:r w:rsidRPr="00B247FF">
              <w:rPr>
                <w:rFonts w:eastAsia="Cambria"/>
                <w:b/>
                <w:color w:val="auto"/>
                <w:lang w:val="en-US"/>
              </w:rPr>
              <w:t xml:space="preserve">ail </w:t>
            </w:r>
            <w:r w:rsidR="00AA7807" w:rsidRPr="00B247FF">
              <w:rPr>
                <w:rFonts w:eastAsia="Cambria"/>
                <w:b/>
                <w:color w:val="auto"/>
                <w:lang w:val="en-US"/>
              </w:rPr>
              <w:t>r</w:t>
            </w:r>
            <w:r w:rsidRPr="00B247FF">
              <w:rPr>
                <w:rFonts w:eastAsia="Cambria"/>
                <w:b/>
                <w:color w:val="auto"/>
                <w:lang w:val="en-US"/>
              </w:rPr>
              <w:t xml:space="preserve">eactions </w:t>
            </w:r>
            <w:r w:rsidRPr="00B247FF">
              <w:rPr>
                <w:rFonts w:eastAsia="Cambria"/>
                <w:b/>
                <w:color w:val="auto"/>
                <w:lang w:val="en-US"/>
              </w:rPr>
              <w:br/>
            </w:r>
            <w:r w:rsidRPr="00B247FF">
              <w:rPr>
                <w:rFonts w:eastAsia="Cambria"/>
                <w:color w:val="auto"/>
                <w:lang w:val="en-US"/>
              </w:rPr>
              <w:t>(see section 4.4)</w:t>
            </w:r>
          </w:p>
        </w:tc>
        <w:tc>
          <w:tcPr>
            <w:tcW w:w="2047" w:type="dxa"/>
            <w:shd w:val="clear" w:color="auto" w:fill="auto"/>
            <w:vAlign w:val="center"/>
          </w:tcPr>
          <w:p w14:paraId="4EFDB9A2" w14:textId="77777777" w:rsidR="00E62D57" w:rsidRPr="00B247FF" w:rsidRDefault="00E62D57" w:rsidP="00786F6E">
            <w:pPr>
              <w:widowControl w:val="0"/>
              <w:rPr>
                <w:rFonts w:eastAsia="Cambria"/>
                <w:iCs/>
                <w:color w:val="auto"/>
                <w:lang w:val="en-US"/>
              </w:rPr>
            </w:pPr>
            <w:r w:rsidRPr="00B247FF">
              <w:rPr>
                <w:rFonts w:eastAsia="Cambria"/>
                <w:iCs/>
                <w:color w:val="auto"/>
                <w:lang w:val="en-US"/>
              </w:rPr>
              <w:t>Grade 2</w:t>
            </w:r>
          </w:p>
        </w:tc>
        <w:tc>
          <w:tcPr>
            <w:tcW w:w="5130" w:type="dxa"/>
            <w:shd w:val="clear" w:color="auto" w:fill="auto"/>
            <w:vAlign w:val="center"/>
          </w:tcPr>
          <w:p w14:paraId="76C74C3F" w14:textId="1CCAEFC3" w:rsidR="00E62D57" w:rsidRPr="00B247FF" w:rsidRDefault="006A3B93" w:rsidP="00786F6E">
            <w:pPr>
              <w:widowControl w:val="0"/>
              <w:numPr>
                <w:ilvl w:val="0"/>
                <w:numId w:val="32"/>
              </w:numPr>
              <w:autoSpaceDE w:val="0"/>
              <w:autoSpaceDN w:val="0"/>
              <w:adjustRightInd w:val="0"/>
              <w:ind w:left="206" w:hanging="142"/>
              <w:rPr>
                <w:lang w:val="en-US"/>
              </w:rPr>
            </w:pPr>
            <w:r w:rsidRPr="00B247FF">
              <w:rPr>
                <w:lang w:val="en-US"/>
              </w:rPr>
              <w:t>Initiate s</w:t>
            </w:r>
            <w:r w:rsidR="00E62D57" w:rsidRPr="00B247FF">
              <w:rPr>
                <w:lang w:val="en-US"/>
              </w:rPr>
              <w:t xml:space="preserve">upportive care </w:t>
            </w:r>
          </w:p>
          <w:p w14:paraId="56C50944" w14:textId="305CD2F3" w:rsidR="00E62D57" w:rsidRPr="00B247FF" w:rsidRDefault="00E62D57" w:rsidP="00786F6E">
            <w:pPr>
              <w:widowControl w:val="0"/>
              <w:numPr>
                <w:ilvl w:val="0"/>
                <w:numId w:val="32"/>
              </w:numPr>
              <w:shd w:val="clear" w:color="000000" w:fill="auto"/>
              <w:spacing w:after="200"/>
              <w:ind w:left="254" w:hanging="196"/>
              <w:rPr>
                <w:lang w:val="en-US"/>
              </w:rPr>
            </w:pPr>
            <w:r w:rsidRPr="00B247FF">
              <w:rPr>
                <w:lang w:val="en-US"/>
              </w:rPr>
              <w:t>If there is no improvement after 2 weeks, consider reducing the dose (see Table 5)</w:t>
            </w:r>
          </w:p>
        </w:tc>
      </w:tr>
      <w:tr w:rsidR="00E62D57" w:rsidRPr="00B247FF" w14:paraId="0D84E638" w14:textId="77777777" w:rsidTr="00E62D57">
        <w:trPr>
          <w:cantSplit/>
        </w:trPr>
        <w:tc>
          <w:tcPr>
            <w:tcW w:w="2268" w:type="dxa"/>
            <w:vMerge/>
            <w:shd w:val="clear" w:color="auto" w:fill="auto"/>
            <w:vAlign w:val="center"/>
          </w:tcPr>
          <w:p w14:paraId="3057B683" w14:textId="77777777" w:rsidR="00E62D57" w:rsidRPr="00B247FF" w:rsidRDefault="00E62D57" w:rsidP="00786F6E">
            <w:pPr>
              <w:widowControl w:val="0"/>
              <w:rPr>
                <w:rFonts w:eastAsia="Cambria"/>
                <w:b/>
                <w:color w:val="auto"/>
                <w:lang w:val="en-US"/>
              </w:rPr>
            </w:pPr>
          </w:p>
        </w:tc>
        <w:tc>
          <w:tcPr>
            <w:tcW w:w="2047" w:type="dxa"/>
            <w:shd w:val="clear" w:color="auto" w:fill="auto"/>
            <w:vAlign w:val="center"/>
          </w:tcPr>
          <w:p w14:paraId="30017AB6" w14:textId="77777777" w:rsidR="00E62D57" w:rsidRPr="00B247FF" w:rsidRDefault="00E62D57" w:rsidP="00786F6E">
            <w:pPr>
              <w:widowControl w:val="0"/>
              <w:rPr>
                <w:rFonts w:eastAsia="Cambria"/>
                <w:iCs/>
                <w:color w:val="auto"/>
                <w:lang w:val="en-US"/>
              </w:rPr>
            </w:pPr>
            <w:r w:rsidRPr="00B247FF">
              <w:rPr>
                <w:rFonts w:eastAsia="Cambria"/>
                <w:iCs/>
                <w:color w:val="auto"/>
                <w:lang w:val="en-US"/>
              </w:rPr>
              <w:t xml:space="preserve">Grade 3 </w:t>
            </w:r>
          </w:p>
        </w:tc>
        <w:tc>
          <w:tcPr>
            <w:tcW w:w="5130" w:type="dxa"/>
            <w:tcBorders>
              <w:bottom w:val="single" w:sz="4" w:space="0" w:color="auto"/>
            </w:tcBorders>
            <w:shd w:val="clear" w:color="auto" w:fill="auto"/>
            <w:vAlign w:val="center"/>
          </w:tcPr>
          <w:p w14:paraId="43CD57A8" w14:textId="7664EFD2" w:rsidR="00E62D57" w:rsidRPr="00B247FF" w:rsidRDefault="006A3B93" w:rsidP="00786F6E">
            <w:pPr>
              <w:widowControl w:val="0"/>
              <w:numPr>
                <w:ilvl w:val="0"/>
                <w:numId w:val="32"/>
              </w:numPr>
              <w:autoSpaceDE w:val="0"/>
              <w:autoSpaceDN w:val="0"/>
              <w:adjustRightInd w:val="0"/>
              <w:ind w:left="206" w:hanging="142"/>
              <w:rPr>
                <w:lang w:val="en-US"/>
              </w:rPr>
            </w:pPr>
            <w:r w:rsidRPr="00B247FF">
              <w:rPr>
                <w:lang w:val="en-US"/>
              </w:rPr>
              <w:t>Initiate s</w:t>
            </w:r>
            <w:r w:rsidR="00E62D57" w:rsidRPr="00B247FF">
              <w:rPr>
                <w:lang w:val="en-US"/>
              </w:rPr>
              <w:t>upportive care</w:t>
            </w:r>
          </w:p>
          <w:p w14:paraId="37A8A312" w14:textId="77777777" w:rsidR="00E62D57"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Withhold until the adverse reaction improves to ≤ Grade 2</w:t>
            </w:r>
          </w:p>
          <w:p w14:paraId="1A5B719C" w14:textId="19515562" w:rsidR="004617FE"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Resume at reduced dose (see Table 5)</w:t>
            </w:r>
          </w:p>
          <w:p w14:paraId="5B84B79D" w14:textId="60456173" w:rsidR="00E62D57" w:rsidRPr="00B247FF" w:rsidRDefault="004617FE" w:rsidP="00786F6E">
            <w:pPr>
              <w:widowControl w:val="0"/>
              <w:numPr>
                <w:ilvl w:val="0"/>
                <w:numId w:val="32"/>
              </w:numPr>
              <w:shd w:val="clear" w:color="000000" w:fill="auto"/>
              <w:spacing w:after="200"/>
              <w:ind w:left="254" w:hanging="196"/>
              <w:rPr>
                <w:lang w:val="en-US"/>
              </w:rPr>
            </w:pPr>
            <w:r w:rsidRPr="00B247FF">
              <w:rPr>
                <w:lang w:val="en-GB"/>
              </w:rPr>
              <w:t xml:space="preserve">If no improvement within 2 weeks, permanently discontinue </w:t>
            </w:r>
          </w:p>
        </w:tc>
      </w:tr>
      <w:tr w:rsidR="00E62D57" w:rsidRPr="00B247FF" w14:paraId="4C341478" w14:textId="77777777" w:rsidTr="00E62D57">
        <w:trPr>
          <w:cantSplit/>
        </w:trPr>
        <w:tc>
          <w:tcPr>
            <w:tcW w:w="2268" w:type="dxa"/>
            <w:vMerge/>
            <w:shd w:val="clear" w:color="auto" w:fill="auto"/>
            <w:vAlign w:val="center"/>
          </w:tcPr>
          <w:p w14:paraId="3E80A033" w14:textId="77777777" w:rsidR="00E62D57" w:rsidRPr="00B247FF" w:rsidRDefault="00E62D57" w:rsidP="00786F6E">
            <w:pPr>
              <w:widowControl w:val="0"/>
              <w:rPr>
                <w:rFonts w:eastAsia="Cambria"/>
                <w:color w:val="auto"/>
                <w:lang w:val="en-US"/>
              </w:rPr>
            </w:pPr>
          </w:p>
        </w:tc>
        <w:tc>
          <w:tcPr>
            <w:tcW w:w="2047" w:type="dxa"/>
            <w:shd w:val="clear" w:color="auto" w:fill="auto"/>
            <w:vAlign w:val="center"/>
          </w:tcPr>
          <w:p w14:paraId="678EA4A9" w14:textId="77777777" w:rsidR="00E62D57" w:rsidRPr="00B247FF" w:rsidRDefault="00E62D57" w:rsidP="00786F6E">
            <w:pPr>
              <w:widowControl w:val="0"/>
              <w:rPr>
                <w:rFonts w:eastAsia="Cambria"/>
                <w:color w:val="auto"/>
                <w:lang w:val="en-US"/>
              </w:rPr>
            </w:pPr>
            <w:r w:rsidRPr="00B247FF">
              <w:rPr>
                <w:rFonts w:eastAsia="Cambria"/>
                <w:color w:val="auto"/>
                <w:lang w:val="en-US"/>
              </w:rPr>
              <w:t xml:space="preserve">Grade 4 </w:t>
            </w:r>
          </w:p>
          <w:p w14:paraId="664FC2F4" w14:textId="5ED4D7E5" w:rsidR="00E62D57" w:rsidRPr="00B247FF" w:rsidRDefault="00E62D57" w:rsidP="00786F6E">
            <w:pPr>
              <w:widowControl w:val="0"/>
              <w:rPr>
                <w:rFonts w:eastAsia="Cambria"/>
                <w:color w:val="auto"/>
                <w:lang w:val="en-US"/>
              </w:rPr>
            </w:pPr>
            <w:r w:rsidRPr="00B247FF">
              <w:rPr>
                <w:rFonts w:eastAsia="Cambria"/>
                <w:color w:val="auto"/>
                <w:lang w:val="en-US"/>
              </w:rPr>
              <w:t>(including severe bullous, blistering or exfoliating skin conditions</w:t>
            </w:r>
            <w:r w:rsidR="00AA7807" w:rsidRPr="00B247FF">
              <w:rPr>
                <w:rFonts w:eastAsia="Cambria"/>
                <w:color w:val="auto"/>
                <w:lang w:val="en-US"/>
              </w:rPr>
              <w:t xml:space="preserve"> such as toxic epidermal necrolysis (TEN)</w:t>
            </w:r>
            <w:r w:rsidRPr="00B247FF">
              <w:rPr>
                <w:rFonts w:eastAsia="Cambria"/>
                <w:color w:val="auto"/>
                <w:lang w:val="en-US"/>
              </w:rPr>
              <w:t>)</w:t>
            </w:r>
          </w:p>
        </w:tc>
        <w:tc>
          <w:tcPr>
            <w:tcW w:w="5130" w:type="dxa"/>
            <w:shd w:val="clear" w:color="auto" w:fill="auto"/>
            <w:vAlign w:val="center"/>
          </w:tcPr>
          <w:p w14:paraId="1CF7097F" w14:textId="77777777" w:rsidR="00E62D57" w:rsidRPr="00B247FF" w:rsidRDefault="00E62D57" w:rsidP="00786F6E">
            <w:pPr>
              <w:widowControl w:val="0"/>
              <w:autoSpaceDE w:val="0"/>
              <w:autoSpaceDN w:val="0"/>
              <w:adjustRightInd w:val="0"/>
              <w:rPr>
                <w:lang w:val="en-US"/>
              </w:rPr>
            </w:pPr>
            <w:r w:rsidRPr="00B247FF">
              <w:rPr>
                <w:lang w:val="en-US"/>
              </w:rPr>
              <w:t xml:space="preserve">Permanently discontinue </w:t>
            </w:r>
          </w:p>
        </w:tc>
      </w:tr>
      <w:tr w:rsidR="00E62D57" w:rsidRPr="00B247FF" w14:paraId="4D1EADE8" w14:textId="77777777" w:rsidTr="00E62D57">
        <w:trPr>
          <w:cantSplit/>
        </w:trPr>
        <w:tc>
          <w:tcPr>
            <w:tcW w:w="2268" w:type="dxa"/>
            <w:vMerge w:val="restart"/>
            <w:shd w:val="clear" w:color="auto" w:fill="auto"/>
            <w:vAlign w:val="center"/>
          </w:tcPr>
          <w:p w14:paraId="05021671" w14:textId="1A37E9B8" w:rsidR="00E62D57" w:rsidRPr="00B247FF" w:rsidRDefault="00E62D57" w:rsidP="00786F6E">
            <w:pPr>
              <w:widowControl w:val="0"/>
              <w:rPr>
                <w:rFonts w:eastAsia="Cambria"/>
                <w:b/>
                <w:color w:val="auto"/>
                <w:lang w:val="en-US"/>
              </w:rPr>
            </w:pPr>
            <w:r w:rsidRPr="00B247FF">
              <w:rPr>
                <w:rFonts w:eastAsia="Cambria"/>
                <w:b/>
                <w:color w:val="auto"/>
                <w:lang w:val="en-US"/>
              </w:rPr>
              <w:lastRenderedPageBreak/>
              <w:t xml:space="preserve">Other </w:t>
            </w:r>
            <w:r w:rsidR="00AA7807" w:rsidRPr="00B247FF">
              <w:rPr>
                <w:rFonts w:eastAsia="Cambria"/>
                <w:b/>
                <w:color w:val="auto"/>
                <w:lang w:val="en-US"/>
              </w:rPr>
              <w:t>a</w:t>
            </w:r>
            <w:r w:rsidRPr="00B247FF">
              <w:rPr>
                <w:rFonts w:eastAsia="Cambria"/>
                <w:b/>
                <w:color w:val="auto"/>
                <w:lang w:val="en-US"/>
              </w:rPr>
              <w:t xml:space="preserve">dverse </w:t>
            </w:r>
            <w:r w:rsidR="00AA7807" w:rsidRPr="00B247FF">
              <w:rPr>
                <w:rFonts w:eastAsia="Cambria"/>
                <w:b/>
                <w:color w:val="auto"/>
                <w:lang w:val="en-US"/>
              </w:rPr>
              <w:t>r</w:t>
            </w:r>
            <w:r w:rsidRPr="00B247FF">
              <w:rPr>
                <w:rFonts w:eastAsia="Cambria"/>
                <w:b/>
                <w:color w:val="auto"/>
                <w:lang w:val="en-US"/>
              </w:rPr>
              <w:t xml:space="preserve">eactions </w:t>
            </w:r>
            <w:r w:rsidRPr="00B247FF">
              <w:rPr>
                <w:rFonts w:eastAsia="Cambria"/>
                <w:b/>
                <w:color w:val="auto"/>
                <w:lang w:val="en-US"/>
              </w:rPr>
              <w:br/>
            </w:r>
            <w:r w:rsidRPr="00B247FF">
              <w:rPr>
                <w:rFonts w:eastAsia="Cambria"/>
                <w:bCs/>
                <w:color w:val="auto"/>
                <w:lang w:val="en-US"/>
              </w:rPr>
              <w:t xml:space="preserve">(see </w:t>
            </w:r>
            <w:r w:rsidRPr="00B247FF">
              <w:rPr>
                <w:rFonts w:eastAsia="Cambria"/>
                <w:color w:val="auto"/>
                <w:lang w:val="en-US"/>
              </w:rPr>
              <w:t>section 4.8</w:t>
            </w:r>
            <w:r w:rsidRPr="00B247FF">
              <w:rPr>
                <w:rFonts w:eastAsia="Cambria"/>
                <w:bCs/>
                <w:color w:val="auto"/>
                <w:lang w:val="en-US"/>
              </w:rPr>
              <w:t>)</w:t>
            </w:r>
          </w:p>
        </w:tc>
        <w:tc>
          <w:tcPr>
            <w:tcW w:w="2047" w:type="dxa"/>
            <w:shd w:val="clear" w:color="auto" w:fill="auto"/>
            <w:vAlign w:val="center"/>
          </w:tcPr>
          <w:p w14:paraId="3C238E2B" w14:textId="77777777" w:rsidR="00E62D57" w:rsidRPr="00B247FF" w:rsidRDefault="00E62D57" w:rsidP="00786F6E">
            <w:pPr>
              <w:widowControl w:val="0"/>
              <w:rPr>
                <w:rFonts w:eastAsia="Cambria"/>
                <w:color w:val="auto"/>
                <w:lang w:val="en-US"/>
              </w:rPr>
            </w:pPr>
            <w:r w:rsidRPr="00B247FF">
              <w:rPr>
                <w:rFonts w:eastAsia="Cambria"/>
                <w:color w:val="auto"/>
                <w:lang w:val="en-US"/>
              </w:rPr>
              <w:t>Grade 3</w:t>
            </w:r>
          </w:p>
        </w:tc>
        <w:tc>
          <w:tcPr>
            <w:tcW w:w="5130" w:type="dxa"/>
            <w:shd w:val="clear" w:color="auto" w:fill="auto"/>
            <w:vAlign w:val="center"/>
          </w:tcPr>
          <w:p w14:paraId="3B11EC66" w14:textId="6E0DFF79" w:rsidR="00E62D57"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Withhold until adverse reaction improves to ≤ Grade 1 or baseline</w:t>
            </w:r>
          </w:p>
          <w:p w14:paraId="39A6EAA8" w14:textId="2A0EB7AD" w:rsidR="00E62D57"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Resume at same dose if recovery occurs within 1 week</w:t>
            </w:r>
          </w:p>
          <w:p w14:paraId="5385148F" w14:textId="11A91EEC" w:rsidR="00E62D57"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Resume at reduced dose (see Table 5) if recovery occurs after 1 week</w:t>
            </w:r>
          </w:p>
          <w:p w14:paraId="33729083" w14:textId="20140A9E" w:rsidR="00E62D57" w:rsidRPr="00B247FF" w:rsidRDefault="004617FE" w:rsidP="00786F6E">
            <w:pPr>
              <w:widowControl w:val="0"/>
              <w:numPr>
                <w:ilvl w:val="0"/>
                <w:numId w:val="32"/>
              </w:numPr>
              <w:shd w:val="clear" w:color="000000" w:fill="auto"/>
              <w:spacing w:after="200"/>
              <w:ind w:left="254" w:hanging="196"/>
              <w:rPr>
                <w:color w:val="auto"/>
                <w:lang w:val="en-GB" w:eastAsia="en-GB"/>
              </w:rPr>
            </w:pPr>
            <w:r w:rsidRPr="00B247FF">
              <w:rPr>
                <w:color w:val="auto"/>
                <w:lang w:val="en-GB" w:eastAsia="en-GB"/>
              </w:rPr>
              <w:t>Permanently discontinue</w:t>
            </w:r>
            <w:r w:rsidR="00E62D57" w:rsidRPr="00B247FF">
              <w:rPr>
                <w:color w:val="auto"/>
                <w:lang w:val="en-GB" w:eastAsia="en-GB"/>
              </w:rPr>
              <w:t xml:space="preserve"> if recovery does not occur within 4 weeks</w:t>
            </w:r>
          </w:p>
        </w:tc>
      </w:tr>
      <w:tr w:rsidR="00E62D57" w:rsidRPr="00B247FF" w14:paraId="23548922" w14:textId="77777777" w:rsidTr="00E62D57">
        <w:trPr>
          <w:cantSplit/>
        </w:trPr>
        <w:tc>
          <w:tcPr>
            <w:tcW w:w="2268" w:type="dxa"/>
            <w:vMerge/>
            <w:shd w:val="clear" w:color="auto" w:fill="auto"/>
            <w:vAlign w:val="center"/>
          </w:tcPr>
          <w:p w14:paraId="2D027F97" w14:textId="77777777" w:rsidR="00E62D57" w:rsidRPr="00B247FF" w:rsidRDefault="00E62D57" w:rsidP="00786F6E">
            <w:pPr>
              <w:widowControl w:val="0"/>
              <w:rPr>
                <w:rFonts w:eastAsia="Cambria"/>
                <w:color w:val="auto"/>
                <w:u w:val="single"/>
                <w:lang w:val="en-US"/>
              </w:rPr>
            </w:pPr>
          </w:p>
        </w:tc>
        <w:tc>
          <w:tcPr>
            <w:tcW w:w="2047" w:type="dxa"/>
            <w:shd w:val="clear" w:color="auto" w:fill="auto"/>
            <w:vAlign w:val="center"/>
          </w:tcPr>
          <w:p w14:paraId="53E58352" w14:textId="77777777" w:rsidR="00E62D57" w:rsidRPr="00B247FF" w:rsidRDefault="00E62D57" w:rsidP="00786F6E">
            <w:pPr>
              <w:widowControl w:val="0"/>
              <w:rPr>
                <w:rFonts w:eastAsia="Cambria"/>
                <w:color w:val="auto"/>
                <w:lang w:val="en-US"/>
              </w:rPr>
            </w:pPr>
            <w:r w:rsidRPr="00B247FF">
              <w:rPr>
                <w:rFonts w:eastAsia="Cambria"/>
                <w:color w:val="auto"/>
                <w:lang w:val="en-US"/>
              </w:rPr>
              <w:t>Grade 4</w:t>
            </w:r>
          </w:p>
        </w:tc>
        <w:tc>
          <w:tcPr>
            <w:tcW w:w="5130" w:type="dxa"/>
            <w:shd w:val="clear" w:color="auto" w:fill="auto"/>
            <w:vAlign w:val="center"/>
          </w:tcPr>
          <w:p w14:paraId="26EBB4DC" w14:textId="538BA5F4" w:rsidR="00E62D57"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Withhold until adverse reaction improves to ≤Grade 1 or baseline</w:t>
            </w:r>
          </w:p>
          <w:p w14:paraId="3B862E1E" w14:textId="2F6A642C" w:rsidR="00E62D57" w:rsidRPr="00B247FF" w:rsidRDefault="00E62D57" w:rsidP="00786F6E">
            <w:pPr>
              <w:widowControl w:val="0"/>
              <w:numPr>
                <w:ilvl w:val="0"/>
                <w:numId w:val="32"/>
              </w:numPr>
              <w:autoSpaceDE w:val="0"/>
              <w:autoSpaceDN w:val="0"/>
              <w:adjustRightInd w:val="0"/>
              <w:ind w:left="206" w:hanging="142"/>
              <w:rPr>
                <w:lang w:val="en-US"/>
              </w:rPr>
            </w:pPr>
            <w:r w:rsidRPr="00B247FF">
              <w:rPr>
                <w:lang w:val="en-US"/>
              </w:rPr>
              <w:t>Resume at reduced dose (see Table 5) if recovery occurs within 4 weeks</w:t>
            </w:r>
          </w:p>
          <w:p w14:paraId="6333C460" w14:textId="1F91C05B" w:rsidR="00E62D57" w:rsidRPr="00B247FF" w:rsidRDefault="004617FE" w:rsidP="00786F6E">
            <w:pPr>
              <w:widowControl w:val="0"/>
              <w:numPr>
                <w:ilvl w:val="0"/>
                <w:numId w:val="32"/>
              </w:numPr>
              <w:shd w:val="clear" w:color="000000" w:fill="auto"/>
              <w:ind w:left="254" w:hanging="196"/>
              <w:rPr>
                <w:color w:val="auto"/>
                <w:lang w:val="en-GB" w:eastAsia="en-GB"/>
              </w:rPr>
            </w:pPr>
            <w:r w:rsidRPr="00B247FF">
              <w:rPr>
                <w:color w:val="auto"/>
                <w:lang w:val="en-GB" w:eastAsia="en-GB"/>
              </w:rPr>
              <w:t>Permanently discontinue</w:t>
            </w:r>
            <w:r w:rsidR="00E62D57" w:rsidRPr="00B247FF">
              <w:rPr>
                <w:color w:val="auto"/>
                <w:lang w:val="en-GB" w:eastAsia="en-GB"/>
              </w:rPr>
              <w:t xml:space="preserve"> if recovery does not occur within 4 weeks</w:t>
            </w:r>
          </w:p>
          <w:p w14:paraId="25A418B4" w14:textId="358D2AC4" w:rsidR="004617FE" w:rsidRPr="00B247FF" w:rsidRDefault="004617FE" w:rsidP="00786F6E">
            <w:pPr>
              <w:widowControl w:val="0"/>
              <w:numPr>
                <w:ilvl w:val="0"/>
                <w:numId w:val="32"/>
              </w:numPr>
              <w:shd w:val="clear" w:color="000000" w:fill="auto"/>
              <w:spacing w:after="200"/>
              <w:ind w:left="254" w:hanging="196"/>
              <w:rPr>
                <w:color w:val="auto"/>
                <w:lang w:val="en-GB" w:eastAsia="en-GB"/>
              </w:rPr>
            </w:pPr>
            <w:r w:rsidRPr="00B247FF">
              <w:rPr>
                <w:color w:val="auto"/>
                <w:lang w:val="en-GB" w:eastAsia="en-GB"/>
              </w:rPr>
              <w:t>Permanently discontinue for recurrent Grade 4 reactions</w:t>
            </w:r>
          </w:p>
        </w:tc>
      </w:tr>
      <w:bookmarkEnd w:id="14"/>
    </w:tbl>
    <w:p w14:paraId="7D1DABB9" w14:textId="1382812D" w:rsidR="00E62D57" w:rsidRPr="00B247FF" w:rsidRDefault="00E62D57" w:rsidP="00786F6E">
      <w:pPr>
        <w:rPr>
          <w:rFonts w:eastAsiaTheme="minorHAnsi" w:cs="Times New Roman"/>
          <w:b/>
          <w:i/>
          <w:iCs/>
          <w:color w:val="auto"/>
          <w:szCs w:val="20"/>
          <w:lang w:val="en-US"/>
        </w:rPr>
      </w:pPr>
    </w:p>
    <w:p w14:paraId="4E6CED30" w14:textId="57C5483F" w:rsidR="001B43DE" w:rsidRPr="00B247FF" w:rsidRDefault="001B43DE" w:rsidP="00786F6E">
      <w:pPr>
        <w:pStyle w:val="Heading3"/>
        <w:jc w:val="left"/>
        <w:rPr>
          <w:rFonts w:eastAsiaTheme="minorHAnsi"/>
          <w:color w:val="auto"/>
          <w:lang w:val="en-US"/>
        </w:rPr>
      </w:pPr>
      <w:r w:rsidRPr="00B247FF">
        <w:rPr>
          <w:rFonts w:eastAsiaTheme="minorHAnsi"/>
          <w:color w:val="auto"/>
          <w:lang w:val="en-US"/>
        </w:rPr>
        <w:t>Special populations</w:t>
      </w:r>
    </w:p>
    <w:p w14:paraId="46716BC2" w14:textId="56BD3D06" w:rsidR="001B43DE" w:rsidRPr="00B247FF" w:rsidRDefault="001B43DE" w:rsidP="00786F6E">
      <w:pPr>
        <w:pStyle w:val="BodyText1"/>
        <w:jc w:val="left"/>
        <w:rPr>
          <w:b/>
          <w:i/>
          <w:iCs/>
          <w:lang w:val="en-US"/>
        </w:rPr>
      </w:pPr>
      <w:proofErr w:type="spellStart"/>
      <w:r w:rsidRPr="00B247FF">
        <w:rPr>
          <w:b/>
          <w:i/>
          <w:iCs/>
          <w:lang w:val="en-US"/>
        </w:rPr>
        <w:t>Paediatrics</w:t>
      </w:r>
      <w:proofErr w:type="spellEnd"/>
      <w:r w:rsidRPr="00B247FF">
        <w:rPr>
          <w:b/>
          <w:i/>
          <w:iCs/>
          <w:lang w:val="en-US"/>
        </w:rPr>
        <w:t xml:space="preserve"> (17 years of age and younger)</w:t>
      </w:r>
    </w:p>
    <w:p w14:paraId="1D1615C5" w14:textId="5F39FA1C" w:rsidR="001B43DE" w:rsidRPr="00B247FF" w:rsidRDefault="001B43DE" w:rsidP="00786F6E">
      <w:pPr>
        <w:pStyle w:val="BodyText1"/>
        <w:jc w:val="left"/>
        <w:rPr>
          <w:bCs/>
          <w:lang w:val="en-US"/>
        </w:rPr>
      </w:pPr>
      <w:r w:rsidRPr="00B247FF">
        <w:rPr>
          <w:bCs/>
          <w:lang w:val="en-US"/>
        </w:rPr>
        <w:t xml:space="preserve">The safety and efficacy of RYBREVANT have not been established in </w:t>
      </w:r>
      <w:r w:rsidRPr="00B247FF">
        <w:rPr>
          <w:bCs/>
        </w:rPr>
        <w:t>paediatric</w:t>
      </w:r>
      <w:r w:rsidRPr="00B247FF">
        <w:rPr>
          <w:bCs/>
          <w:lang w:val="en-US"/>
        </w:rPr>
        <w:t xml:space="preserve"> patients.</w:t>
      </w:r>
    </w:p>
    <w:p w14:paraId="50325392" w14:textId="26034D48" w:rsidR="001B43DE" w:rsidRPr="00B247FF" w:rsidRDefault="001B43DE" w:rsidP="00786F6E">
      <w:pPr>
        <w:pStyle w:val="BodyText1"/>
        <w:jc w:val="left"/>
        <w:rPr>
          <w:b/>
          <w:i/>
          <w:iCs/>
          <w:lang w:val="en-US"/>
        </w:rPr>
      </w:pPr>
      <w:r w:rsidRPr="00B247FF">
        <w:rPr>
          <w:b/>
          <w:i/>
          <w:iCs/>
          <w:lang w:val="en-US"/>
        </w:rPr>
        <w:t>Elderly (65 years of age and older)</w:t>
      </w:r>
    </w:p>
    <w:p w14:paraId="513EF53C" w14:textId="1623F261" w:rsidR="001B43DE" w:rsidRPr="00B247FF" w:rsidRDefault="001B43DE" w:rsidP="00786F6E">
      <w:pPr>
        <w:pStyle w:val="BodyText1"/>
        <w:jc w:val="left"/>
        <w:rPr>
          <w:bCs/>
          <w:lang w:val="en-US"/>
        </w:rPr>
      </w:pPr>
      <w:bookmarkStart w:id="15" w:name="_Hlk39754997"/>
      <w:bookmarkStart w:id="16" w:name="_Hlk38613027"/>
      <w:r w:rsidRPr="00B247FF">
        <w:rPr>
          <w:bCs/>
          <w:lang w:val="en-US"/>
        </w:rPr>
        <w:t xml:space="preserve">Of the 362 patients treated with RYBREVANT in </w:t>
      </w:r>
      <w:r w:rsidR="005D29D8" w:rsidRPr="00B247FF">
        <w:rPr>
          <w:bCs/>
          <w:lang w:val="en-US"/>
        </w:rPr>
        <w:t xml:space="preserve">Study </w:t>
      </w:r>
      <w:r w:rsidRPr="00B247FF">
        <w:rPr>
          <w:bCs/>
          <w:lang w:val="en-US"/>
        </w:rPr>
        <w:t>EDI1001</w:t>
      </w:r>
      <w:r w:rsidR="005D29D8" w:rsidRPr="00B247FF">
        <w:rPr>
          <w:bCs/>
          <w:lang w:val="en-US"/>
        </w:rPr>
        <w:t xml:space="preserve"> (also known as CHRYSALIS)</w:t>
      </w:r>
      <w:r w:rsidRPr="00B247FF">
        <w:rPr>
          <w:bCs/>
          <w:lang w:val="en-US"/>
        </w:rPr>
        <w:t>, 41% were 65 years of age or older, and 12% were 75 years of age or older. No overall differences in safety or effectiveness were observed between these patients and younger patients.</w:t>
      </w:r>
      <w:bookmarkEnd w:id="15"/>
      <w:r w:rsidRPr="00B247FF">
        <w:rPr>
          <w:bCs/>
          <w:lang w:val="en-US"/>
        </w:rPr>
        <w:t xml:space="preserve"> No dosage adjustment is necessary (see Section 5.2 Pharmacokinetic </w:t>
      </w:r>
      <w:r w:rsidR="00185915" w:rsidRPr="00B247FF">
        <w:rPr>
          <w:bCs/>
          <w:lang w:val="en-US"/>
        </w:rPr>
        <w:t>p</w:t>
      </w:r>
      <w:r w:rsidRPr="00B247FF">
        <w:rPr>
          <w:bCs/>
          <w:lang w:val="en-US"/>
        </w:rPr>
        <w:t>roperties).</w:t>
      </w:r>
    </w:p>
    <w:bookmarkEnd w:id="16"/>
    <w:p w14:paraId="67B87CED" w14:textId="351AC978" w:rsidR="001B43DE" w:rsidRPr="00B247FF" w:rsidRDefault="001B43DE" w:rsidP="00786F6E">
      <w:pPr>
        <w:pStyle w:val="BodyText1"/>
        <w:jc w:val="left"/>
        <w:rPr>
          <w:b/>
          <w:i/>
          <w:iCs/>
          <w:lang w:val="en-US"/>
        </w:rPr>
      </w:pPr>
      <w:r w:rsidRPr="00B247FF">
        <w:rPr>
          <w:b/>
          <w:i/>
          <w:iCs/>
          <w:lang w:val="en-US"/>
        </w:rPr>
        <w:t>Renal impairment</w:t>
      </w:r>
    </w:p>
    <w:p w14:paraId="5FAFD3C3" w14:textId="574CC866" w:rsidR="001B43DE" w:rsidRPr="00B247FF" w:rsidRDefault="001B43DE" w:rsidP="00786F6E">
      <w:pPr>
        <w:pStyle w:val="BodyText1"/>
        <w:jc w:val="left"/>
        <w:rPr>
          <w:bCs/>
          <w:lang w:val="en-US"/>
        </w:rPr>
      </w:pPr>
      <w:r w:rsidRPr="00B247FF">
        <w:rPr>
          <w:bCs/>
          <w:lang w:val="en-US"/>
        </w:rPr>
        <w:t xml:space="preserve">No formal studies of amivantamab in patients with renal impairment have been conducted. Based on population pharmacokinetic (PK) analyses, no dosage adjustment is necessary for patients with mild or moderate renal impairment. No data are available in patients with severe renal impairment (see Section 5.2 Pharmacokinetic </w:t>
      </w:r>
      <w:r w:rsidR="00185915" w:rsidRPr="00B247FF">
        <w:rPr>
          <w:bCs/>
          <w:lang w:val="en-US"/>
        </w:rPr>
        <w:t>p</w:t>
      </w:r>
      <w:r w:rsidRPr="00B247FF">
        <w:rPr>
          <w:bCs/>
          <w:lang w:val="en-US"/>
        </w:rPr>
        <w:t>roperties).</w:t>
      </w:r>
    </w:p>
    <w:p w14:paraId="385EF0F8" w14:textId="77777777" w:rsidR="001B43DE" w:rsidRPr="00B247FF" w:rsidRDefault="001B43DE" w:rsidP="00786F6E">
      <w:pPr>
        <w:pStyle w:val="BodyText1"/>
        <w:jc w:val="left"/>
        <w:rPr>
          <w:b/>
          <w:bCs/>
          <w:lang w:val="en-US"/>
        </w:rPr>
      </w:pPr>
      <w:r w:rsidRPr="00B247FF">
        <w:rPr>
          <w:b/>
          <w:bCs/>
          <w:i/>
          <w:lang w:val="en-US"/>
        </w:rPr>
        <w:t>Hepatic impairment</w:t>
      </w:r>
    </w:p>
    <w:p w14:paraId="2D4F2027" w14:textId="37B0E1F9" w:rsidR="001B43DE" w:rsidRPr="00B247FF" w:rsidRDefault="001B43DE" w:rsidP="00786F6E">
      <w:pPr>
        <w:pStyle w:val="BodyText1"/>
        <w:jc w:val="left"/>
        <w:rPr>
          <w:bCs/>
          <w:lang w:val="en-US"/>
        </w:rPr>
      </w:pPr>
      <w:r w:rsidRPr="00B247FF">
        <w:rPr>
          <w:bCs/>
          <w:lang w:val="en-US"/>
        </w:rPr>
        <w:t xml:space="preserve">No formal studies of amivantamab in patients with hepatic impairment have been conducted. Based on population PK analyses, no dosage adjustment is necessary for patients with mild hepatic impairment. No data are available in patients with moderate or severe hepatic impairment (see Section 5.2 Pharmacokinetic </w:t>
      </w:r>
      <w:r w:rsidR="00185915" w:rsidRPr="00B247FF">
        <w:rPr>
          <w:bCs/>
          <w:lang w:val="en-US"/>
        </w:rPr>
        <w:t>p</w:t>
      </w:r>
      <w:r w:rsidRPr="00B247FF">
        <w:rPr>
          <w:bCs/>
          <w:lang w:val="en-US"/>
        </w:rPr>
        <w:t>roperties).</w:t>
      </w:r>
    </w:p>
    <w:p w14:paraId="2BF07B43" w14:textId="400D86A4" w:rsidR="004C60B8" w:rsidRPr="00B247FF" w:rsidRDefault="004C60B8" w:rsidP="00786F6E">
      <w:pPr>
        <w:pStyle w:val="Heading3"/>
        <w:jc w:val="left"/>
        <w:rPr>
          <w:rFonts w:eastAsiaTheme="minorHAnsi"/>
          <w:color w:val="auto"/>
          <w:lang w:val="en-US"/>
        </w:rPr>
      </w:pPr>
      <w:r w:rsidRPr="00B247FF">
        <w:rPr>
          <w:rFonts w:eastAsiaTheme="minorHAnsi"/>
          <w:color w:val="auto"/>
          <w:lang w:val="en-US"/>
        </w:rPr>
        <w:t>Administration</w:t>
      </w:r>
    </w:p>
    <w:p w14:paraId="61F329BA" w14:textId="17D9DD09" w:rsidR="004C60B8" w:rsidRPr="00B247FF" w:rsidRDefault="004C60B8" w:rsidP="00786F6E">
      <w:pPr>
        <w:pStyle w:val="BodyText1"/>
        <w:jc w:val="left"/>
        <w:rPr>
          <w:b/>
          <w:bCs/>
          <w:i/>
          <w:lang w:val="en-US"/>
        </w:rPr>
      </w:pPr>
      <w:r w:rsidRPr="00B247FF">
        <w:rPr>
          <w:b/>
          <w:bCs/>
          <w:i/>
          <w:lang w:val="en-US"/>
        </w:rPr>
        <w:t xml:space="preserve">Preparation for </w:t>
      </w:r>
      <w:r w:rsidR="00185915" w:rsidRPr="00B247FF">
        <w:rPr>
          <w:b/>
          <w:bCs/>
          <w:i/>
          <w:lang w:val="en-US"/>
        </w:rPr>
        <w:t>a</w:t>
      </w:r>
      <w:r w:rsidRPr="00B247FF">
        <w:rPr>
          <w:b/>
          <w:bCs/>
          <w:i/>
          <w:lang w:val="en-US"/>
        </w:rPr>
        <w:t>dministration</w:t>
      </w:r>
    </w:p>
    <w:p w14:paraId="32C0AF93" w14:textId="43EAE469" w:rsidR="004C60B8" w:rsidRPr="00B247FF" w:rsidRDefault="004C60B8" w:rsidP="00786F6E">
      <w:pPr>
        <w:pStyle w:val="BodyText1"/>
        <w:jc w:val="left"/>
        <w:rPr>
          <w:bCs/>
          <w:lang w:val="en-US"/>
        </w:rPr>
      </w:pPr>
      <w:bookmarkStart w:id="17" w:name="_Hlk39475288"/>
      <w:r w:rsidRPr="00B247FF">
        <w:rPr>
          <w:bCs/>
          <w:lang w:val="en-US"/>
        </w:rPr>
        <w:t>RYBREVANT solution must be diluted and prepared for intravenous infusion by a healthcare professional using aseptic technique.</w:t>
      </w:r>
    </w:p>
    <w:bookmarkEnd w:id="17"/>
    <w:p w14:paraId="251C5958" w14:textId="1C015200" w:rsidR="004C60B8" w:rsidRPr="00B247FF" w:rsidRDefault="004C60B8" w:rsidP="00786F6E">
      <w:pPr>
        <w:pStyle w:val="BodyText1"/>
        <w:numPr>
          <w:ilvl w:val="0"/>
          <w:numId w:val="28"/>
        </w:numPr>
        <w:jc w:val="left"/>
        <w:rPr>
          <w:bCs/>
          <w:lang w:val="en-US"/>
        </w:rPr>
      </w:pPr>
      <w:r w:rsidRPr="00B247FF">
        <w:rPr>
          <w:bCs/>
          <w:lang w:val="en-US"/>
        </w:rPr>
        <w:t xml:space="preserve">Determine the dose required (either 1050 mg or 1400 mg) and number of RYBREVANT vials needed based on patient’s baseline weight (see </w:t>
      </w:r>
      <w:r w:rsidR="00D42653" w:rsidRPr="00B247FF">
        <w:rPr>
          <w:bCs/>
          <w:lang w:val="en-US"/>
        </w:rPr>
        <w:t>Table 1</w:t>
      </w:r>
      <w:r w:rsidRPr="00B247FF">
        <w:rPr>
          <w:bCs/>
          <w:lang w:val="en-US"/>
        </w:rPr>
        <w:t>). Each vial of RYBREVANT contains 350 mg of amivantamab.</w:t>
      </w:r>
    </w:p>
    <w:p w14:paraId="4B9C4E9F" w14:textId="47B91D41" w:rsidR="004C60B8" w:rsidRPr="00B247FF" w:rsidRDefault="004C60B8" w:rsidP="00786F6E">
      <w:pPr>
        <w:pStyle w:val="BodyText1"/>
        <w:numPr>
          <w:ilvl w:val="0"/>
          <w:numId w:val="28"/>
        </w:numPr>
        <w:jc w:val="left"/>
        <w:rPr>
          <w:bCs/>
          <w:lang w:val="en-US"/>
        </w:rPr>
      </w:pPr>
      <w:r w:rsidRPr="00B247FF">
        <w:rPr>
          <w:bCs/>
          <w:lang w:val="en-US"/>
        </w:rPr>
        <w:t xml:space="preserve">Check that the RYBREVANT solution is </w:t>
      </w:r>
      <w:proofErr w:type="spellStart"/>
      <w:r w:rsidRPr="00B247FF">
        <w:rPr>
          <w:bCs/>
          <w:lang w:val="en-US"/>
        </w:rPr>
        <w:t>colo</w:t>
      </w:r>
      <w:r w:rsidR="00D42653" w:rsidRPr="00B247FF">
        <w:rPr>
          <w:bCs/>
          <w:lang w:val="en-US"/>
        </w:rPr>
        <w:t>u</w:t>
      </w:r>
      <w:r w:rsidRPr="00B247FF">
        <w:rPr>
          <w:bCs/>
          <w:lang w:val="en-US"/>
        </w:rPr>
        <w:t>rless</w:t>
      </w:r>
      <w:proofErr w:type="spellEnd"/>
      <w:r w:rsidRPr="00B247FF">
        <w:rPr>
          <w:bCs/>
          <w:lang w:val="en-US"/>
        </w:rPr>
        <w:t xml:space="preserve"> to pale yellow. Do not use if discoloration or visible particles are present.</w:t>
      </w:r>
    </w:p>
    <w:p w14:paraId="468118CE" w14:textId="466D4A06" w:rsidR="004C60B8" w:rsidRPr="00B247FF" w:rsidRDefault="004C60B8" w:rsidP="00786F6E">
      <w:pPr>
        <w:pStyle w:val="BodyText1"/>
        <w:numPr>
          <w:ilvl w:val="0"/>
          <w:numId w:val="28"/>
        </w:numPr>
        <w:jc w:val="left"/>
        <w:rPr>
          <w:bCs/>
          <w:lang w:val="en-US"/>
        </w:rPr>
      </w:pPr>
      <w:r w:rsidRPr="00B247FF">
        <w:rPr>
          <w:bCs/>
          <w:lang w:val="en-US"/>
        </w:rPr>
        <w:lastRenderedPageBreak/>
        <w:t xml:space="preserve">Withdraw and then discard a volume of either 5% dextrose [glucose] solution or 0.9% sodium chloride solution from the 250 mL infusion bag equal to the volume of RYBREVANT to be added (i.e., discard 7 mL diluent from the infusion bag for each RYBREVANT vial). </w:t>
      </w:r>
      <w:bookmarkStart w:id="18" w:name="_Hlk39475255"/>
      <w:r w:rsidRPr="00B247FF">
        <w:rPr>
          <w:bCs/>
          <w:lang w:val="en-US"/>
        </w:rPr>
        <w:t>Infusion bags must be made of polyvinylchloride (PVC), polypropylene (PP), polyethylene (PE), or polyolefin blend (PP+PE).</w:t>
      </w:r>
    </w:p>
    <w:p w14:paraId="61A17804" w14:textId="2D14136F" w:rsidR="004C60B8" w:rsidRPr="00B247FF" w:rsidRDefault="004C60B8" w:rsidP="00786F6E">
      <w:pPr>
        <w:pStyle w:val="BodyText1"/>
        <w:numPr>
          <w:ilvl w:val="0"/>
          <w:numId w:val="28"/>
        </w:numPr>
        <w:jc w:val="left"/>
        <w:rPr>
          <w:bCs/>
          <w:lang w:val="en-US"/>
        </w:rPr>
      </w:pPr>
      <w:r w:rsidRPr="00B247FF">
        <w:rPr>
          <w:bCs/>
          <w:lang w:val="en-US"/>
        </w:rPr>
        <w:t xml:space="preserve">Withdraw 7 mL of RYBREVANT from each vial and add it to the infusion bag. The final volume in the infusion bag should be 250 </w:t>
      </w:r>
      <w:proofErr w:type="spellStart"/>
      <w:r w:rsidRPr="00B247FF">
        <w:rPr>
          <w:bCs/>
          <w:lang w:val="en-US"/>
        </w:rPr>
        <w:t>mL.</w:t>
      </w:r>
      <w:proofErr w:type="spellEnd"/>
      <w:r w:rsidRPr="00B247FF">
        <w:rPr>
          <w:bCs/>
          <w:lang w:val="en-US"/>
        </w:rPr>
        <w:t xml:space="preserve"> Each vial contains a 0.5 mL overfill to ensure sufficient extractable volume</w:t>
      </w:r>
      <w:bookmarkStart w:id="19" w:name="_Hlk42856813"/>
      <w:r w:rsidRPr="00B247FF">
        <w:rPr>
          <w:bCs/>
          <w:lang w:val="en-US"/>
        </w:rPr>
        <w:t>.</w:t>
      </w:r>
      <w:bookmarkEnd w:id="19"/>
      <w:r w:rsidRPr="00B247FF">
        <w:rPr>
          <w:bCs/>
          <w:lang w:val="en-US"/>
        </w:rPr>
        <w:t xml:space="preserve"> </w:t>
      </w:r>
      <w:bookmarkEnd w:id="18"/>
      <w:r w:rsidRPr="00B247FF">
        <w:rPr>
          <w:bCs/>
          <w:lang w:val="en-US"/>
        </w:rPr>
        <w:t>Discard any unused portion left in the vial.</w:t>
      </w:r>
    </w:p>
    <w:p w14:paraId="0A8621D9" w14:textId="77777777" w:rsidR="004C60B8" w:rsidRPr="00B247FF" w:rsidRDefault="004C60B8" w:rsidP="00786F6E">
      <w:pPr>
        <w:pStyle w:val="BodyText1"/>
        <w:numPr>
          <w:ilvl w:val="0"/>
          <w:numId w:val="28"/>
        </w:numPr>
        <w:jc w:val="left"/>
        <w:rPr>
          <w:bCs/>
          <w:lang w:val="en-US"/>
        </w:rPr>
      </w:pPr>
      <w:r w:rsidRPr="00B247FF">
        <w:rPr>
          <w:bCs/>
          <w:lang w:val="en-US"/>
        </w:rPr>
        <w:t>Gently invert the bag to mix the solution. Do not shake.</w:t>
      </w:r>
    </w:p>
    <w:p w14:paraId="56CD46FD" w14:textId="23A41956" w:rsidR="004C60B8" w:rsidRPr="00B247FF" w:rsidRDefault="004C60B8" w:rsidP="00786F6E">
      <w:pPr>
        <w:pStyle w:val="BodyText1"/>
        <w:numPr>
          <w:ilvl w:val="0"/>
          <w:numId w:val="28"/>
        </w:numPr>
        <w:jc w:val="left"/>
        <w:rPr>
          <w:bCs/>
          <w:lang w:val="en-US"/>
        </w:rPr>
      </w:pPr>
      <w:r w:rsidRPr="00B247FF">
        <w:rPr>
          <w:bCs/>
          <w:lang w:val="en-US"/>
        </w:rPr>
        <w:t xml:space="preserve">Visually inspect the diluted solution before administration. Do not use if </w:t>
      </w:r>
      <w:proofErr w:type="spellStart"/>
      <w:r w:rsidRPr="00B247FF">
        <w:rPr>
          <w:bCs/>
          <w:lang w:val="en-US"/>
        </w:rPr>
        <w:t>discolo</w:t>
      </w:r>
      <w:r w:rsidR="00D42653" w:rsidRPr="00B247FF">
        <w:rPr>
          <w:bCs/>
          <w:lang w:val="en-US"/>
        </w:rPr>
        <w:t>u</w:t>
      </w:r>
      <w:r w:rsidRPr="00B247FF">
        <w:rPr>
          <w:bCs/>
          <w:lang w:val="en-US"/>
        </w:rPr>
        <w:t>ration</w:t>
      </w:r>
      <w:proofErr w:type="spellEnd"/>
      <w:r w:rsidRPr="00B247FF">
        <w:rPr>
          <w:bCs/>
          <w:lang w:val="en-US"/>
        </w:rPr>
        <w:t xml:space="preserve"> or visible particles are observed.</w:t>
      </w:r>
    </w:p>
    <w:p w14:paraId="1C294ADA" w14:textId="77777777" w:rsidR="004C60B8" w:rsidRPr="00B247FF" w:rsidRDefault="004C60B8" w:rsidP="00786F6E">
      <w:pPr>
        <w:pStyle w:val="BodyText1"/>
        <w:numPr>
          <w:ilvl w:val="0"/>
          <w:numId w:val="28"/>
        </w:numPr>
        <w:jc w:val="left"/>
        <w:rPr>
          <w:bCs/>
          <w:lang w:val="en-US"/>
        </w:rPr>
      </w:pPr>
      <w:bookmarkStart w:id="20" w:name="_Hlk47346109"/>
      <w:r w:rsidRPr="00B247FF">
        <w:rPr>
          <w:bCs/>
          <w:lang w:val="en-US"/>
        </w:rPr>
        <w:t>Diluted solutions should be administered within 10 hours (including infusion time) at room temperature (15°C to 25°C) and in room light.</w:t>
      </w:r>
    </w:p>
    <w:bookmarkEnd w:id="20"/>
    <w:p w14:paraId="65589156" w14:textId="7C9DF54D" w:rsidR="004E795E" w:rsidRPr="00B247FF" w:rsidRDefault="004E795E" w:rsidP="00786F6E">
      <w:pPr>
        <w:rPr>
          <w:rFonts w:eastAsiaTheme="minorHAnsi" w:cs="Times New Roman"/>
          <w:b/>
          <w:bCs/>
          <w:i/>
          <w:color w:val="auto"/>
          <w:szCs w:val="20"/>
          <w:lang w:val="en-US"/>
        </w:rPr>
      </w:pPr>
    </w:p>
    <w:p w14:paraId="0DF148AF" w14:textId="3726C4CC" w:rsidR="004C60B8" w:rsidRPr="00B247FF" w:rsidRDefault="004C60B8" w:rsidP="00786F6E">
      <w:pPr>
        <w:pStyle w:val="BodyText1"/>
        <w:jc w:val="left"/>
        <w:rPr>
          <w:b/>
          <w:bCs/>
          <w:i/>
          <w:lang w:val="en-US"/>
        </w:rPr>
      </w:pPr>
      <w:r w:rsidRPr="00B247FF">
        <w:rPr>
          <w:b/>
          <w:bCs/>
          <w:i/>
          <w:lang w:val="en-US"/>
        </w:rPr>
        <w:t>Administration</w:t>
      </w:r>
    </w:p>
    <w:p w14:paraId="7C7E1B7E" w14:textId="77777777" w:rsidR="004C60B8" w:rsidRPr="00B247FF" w:rsidRDefault="004C60B8" w:rsidP="00786F6E">
      <w:pPr>
        <w:pStyle w:val="BodyText1"/>
        <w:numPr>
          <w:ilvl w:val="0"/>
          <w:numId w:val="30"/>
        </w:numPr>
        <w:jc w:val="left"/>
        <w:rPr>
          <w:bCs/>
          <w:lang w:val="en-US"/>
        </w:rPr>
      </w:pPr>
      <w:r w:rsidRPr="00B247FF">
        <w:rPr>
          <w:bCs/>
          <w:lang w:val="en-US"/>
        </w:rPr>
        <w:t xml:space="preserve">Administer the diluted solution by intravenous infusion using an infusion set fitted with a flow regulator and with an in-line, sterile, non-pyrogenic, low protein-binding </w:t>
      </w:r>
      <w:proofErr w:type="spellStart"/>
      <w:r w:rsidRPr="00B247FF">
        <w:rPr>
          <w:bCs/>
          <w:lang w:val="en-US"/>
        </w:rPr>
        <w:t>polyethersulfone</w:t>
      </w:r>
      <w:proofErr w:type="spellEnd"/>
      <w:r w:rsidRPr="00B247FF">
        <w:rPr>
          <w:bCs/>
          <w:lang w:val="en-US"/>
        </w:rPr>
        <w:t xml:space="preserve"> (PES) filter (pore size 0.2 micrometer). Administration sets must be made of either polyurethane (PU), polybutadiene (PBD), PVC, PP, or PE.</w:t>
      </w:r>
    </w:p>
    <w:p w14:paraId="0CF19A47" w14:textId="732A1FFC" w:rsidR="004C60B8" w:rsidRPr="00B247FF" w:rsidRDefault="004C60B8" w:rsidP="00786F6E">
      <w:pPr>
        <w:pStyle w:val="BodyText1"/>
        <w:numPr>
          <w:ilvl w:val="0"/>
          <w:numId w:val="30"/>
        </w:numPr>
        <w:jc w:val="left"/>
        <w:rPr>
          <w:bCs/>
          <w:lang w:val="en-US"/>
        </w:rPr>
      </w:pPr>
      <w:r w:rsidRPr="00B247FF">
        <w:rPr>
          <w:bCs/>
          <w:lang w:val="en-US"/>
        </w:rPr>
        <w:t>Do not infuse RYBREVANT concomitantly in the same intravenous line with other agents.</w:t>
      </w:r>
    </w:p>
    <w:p w14:paraId="2BB83FAE" w14:textId="79EF344D" w:rsidR="004C60B8" w:rsidRPr="00B247FF" w:rsidRDefault="009B70E7" w:rsidP="00786F6E">
      <w:pPr>
        <w:pStyle w:val="BodyText1"/>
        <w:numPr>
          <w:ilvl w:val="0"/>
          <w:numId w:val="30"/>
        </w:numPr>
        <w:jc w:val="left"/>
        <w:rPr>
          <w:bCs/>
          <w:lang w:val="en-US"/>
        </w:rPr>
      </w:pPr>
      <w:r w:rsidRPr="00B247FF">
        <w:rPr>
          <w:bCs/>
          <w:lang w:val="en-US"/>
        </w:rPr>
        <w:t>Product is for single use in one patient only. Discard any residue</w:t>
      </w:r>
      <w:r w:rsidR="004C60B8" w:rsidRPr="00B247FF">
        <w:rPr>
          <w:bCs/>
          <w:lang w:val="en-US"/>
        </w:rPr>
        <w:t>.</w:t>
      </w:r>
    </w:p>
    <w:bookmarkEnd w:id="13"/>
    <w:p w14:paraId="4A818A47" w14:textId="77777777" w:rsidR="00C15380" w:rsidRPr="00B247FF" w:rsidRDefault="00C15380" w:rsidP="00786F6E">
      <w:pPr>
        <w:pStyle w:val="BodyText1"/>
        <w:jc w:val="left"/>
        <w:rPr>
          <w:b/>
        </w:rPr>
      </w:pPr>
    </w:p>
    <w:p w14:paraId="6FFFF637" w14:textId="2E5F446E" w:rsidR="0088073D" w:rsidRPr="00B247FF" w:rsidRDefault="0088073D" w:rsidP="00786F6E">
      <w:pPr>
        <w:pStyle w:val="Heading2"/>
        <w:keepNext/>
        <w:numPr>
          <w:ilvl w:val="1"/>
          <w:numId w:val="18"/>
        </w:numPr>
        <w:ind w:left="426" w:hanging="426"/>
        <w:jc w:val="left"/>
        <w:rPr>
          <w:caps/>
          <w:color w:val="auto"/>
        </w:rPr>
      </w:pPr>
      <w:r w:rsidRPr="00B247FF">
        <w:rPr>
          <w:color w:val="auto"/>
        </w:rPr>
        <w:t>CONTRAINDICATIONS</w:t>
      </w:r>
    </w:p>
    <w:p w14:paraId="0DD6B870" w14:textId="4BF89A48" w:rsidR="00F37D52" w:rsidRPr="00B247FF" w:rsidRDefault="002C4139" w:rsidP="00786F6E">
      <w:pPr>
        <w:pStyle w:val="BodyText1"/>
        <w:jc w:val="left"/>
        <w:rPr>
          <w:bCs/>
          <w:lang w:val="en-GB"/>
        </w:rPr>
      </w:pPr>
      <w:r w:rsidRPr="00B247FF">
        <w:rPr>
          <w:bCs/>
          <w:lang w:val="en-GB"/>
        </w:rPr>
        <w:t>Hypersensitivity to amivantamab or to any of the excipients listed in section 6.1</w:t>
      </w:r>
      <w:r w:rsidR="00951C0D" w:rsidRPr="00B247FF">
        <w:rPr>
          <w:bCs/>
          <w:lang w:val="en-US"/>
        </w:rPr>
        <w:t>.</w:t>
      </w:r>
    </w:p>
    <w:p w14:paraId="508CCA9E" w14:textId="428BF22E" w:rsidR="00C15380" w:rsidRPr="00B247FF" w:rsidRDefault="000603B8" w:rsidP="00786F6E">
      <w:pPr>
        <w:pStyle w:val="BodyText1"/>
        <w:jc w:val="left"/>
        <w:rPr>
          <w:bCs/>
        </w:rPr>
      </w:pPr>
      <w:r w:rsidRPr="00B247FF">
        <w:rPr>
          <w:bCs/>
        </w:rPr>
        <w:tab/>
      </w:r>
    </w:p>
    <w:p w14:paraId="0458332A" w14:textId="5652B2A9" w:rsidR="00E15BB4" w:rsidRPr="00B247FF" w:rsidRDefault="000F510E" w:rsidP="00786F6E">
      <w:pPr>
        <w:pStyle w:val="Heading2"/>
        <w:numPr>
          <w:ilvl w:val="1"/>
          <w:numId w:val="18"/>
        </w:numPr>
        <w:ind w:left="426" w:hanging="426"/>
        <w:jc w:val="left"/>
        <w:rPr>
          <w:color w:val="auto"/>
        </w:rPr>
      </w:pPr>
      <w:r w:rsidRPr="00B247FF">
        <w:rPr>
          <w:color w:val="auto"/>
        </w:rPr>
        <w:t>SPECIAL WARNINGS AND PRECAUTIONS FOR USE</w:t>
      </w:r>
    </w:p>
    <w:p w14:paraId="3D9CD9EE" w14:textId="26663E55" w:rsidR="00231C53" w:rsidRPr="00B247FF" w:rsidRDefault="00231C53" w:rsidP="00786F6E">
      <w:pPr>
        <w:spacing w:after="120"/>
      </w:pPr>
      <w:r w:rsidRPr="00B247FF">
        <w:t xml:space="preserve">The data described in Special Warnings and Precautions for Use reflects </w:t>
      </w:r>
      <w:r w:rsidR="00A46DC8" w:rsidRPr="00B247FF">
        <w:t xml:space="preserve">exposure to RYBREVANT </w:t>
      </w:r>
      <w:r w:rsidR="00907CA3" w:rsidRPr="00B247FF">
        <w:t xml:space="preserve">as a single agent </w:t>
      </w:r>
      <w:r w:rsidR="00A46DC8" w:rsidRPr="00B247FF">
        <w:t>in</w:t>
      </w:r>
      <w:r w:rsidRPr="00B247FF">
        <w:t xml:space="preserve"> </w:t>
      </w:r>
      <w:r w:rsidR="001C2EF7" w:rsidRPr="00B247FF">
        <w:t>380</w:t>
      </w:r>
      <w:r w:rsidRPr="00B247FF">
        <w:t xml:space="preserve"> patients with locally advanced or metastatic NSCLC who received </w:t>
      </w:r>
      <w:r w:rsidR="00907CA3" w:rsidRPr="00B247FF">
        <w:t xml:space="preserve">a dose of </w:t>
      </w:r>
      <w:r w:rsidR="001C2EF7" w:rsidRPr="00B247FF">
        <w:t xml:space="preserve">1050 mg (for patients &lt;80 kg) or 1400 mg (for patients ≥80 kg) </w:t>
      </w:r>
      <w:r w:rsidRPr="00B247FF">
        <w:t>in Study EDI1001.</w:t>
      </w:r>
    </w:p>
    <w:p w14:paraId="0D71AD1C" w14:textId="77777777" w:rsidR="007D4BD6" w:rsidRPr="00B247FF" w:rsidRDefault="007D4BD6" w:rsidP="00786F6E">
      <w:pPr>
        <w:spacing w:after="120"/>
      </w:pPr>
    </w:p>
    <w:p w14:paraId="1DFB9008" w14:textId="1E890CC9" w:rsidR="00E92F25" w:rsidRPr="00B247FF" w:rsidRDefault="00ED071F" w:rsidP="00786F6E">
      <w:pPr>
        <w:pStyle w:val="Heading3"/>
        <w:jc w:val="left"/>
        <w:rPr>
          <w:rFonts w:eastAsiaTheme="minorHAnsi"/>
          <w:color w:val="auto"/>
        </w:rPr>
      </w:pPr>
      <w:bookmarkStart w:id="21" w:name="_Hlk53066344"/>
      <w:r w:rsidRPr="00B247FF">
        <w:rPr>
          <w:rFonts w:eastAsiaTheme="minorHAnsi"/>
          <w:color w:val="auto"/>
          <w:lang w:val="en-US"/>
        </w:rPr>
        <w:t>Infusion-</w:t>
      </w:r>
      <w:r w:rsidR="00AE7FBB" w:rsidRPr="00B247FF">
        <w:rPr>
          <w:rFonts w:eastAsiaTheme="minorHAnsi"/>
          <w:color w:val="auto"/>
          <w:lang w:val="en-US"/>
        </w:rPr>
        <w:t>r</w:t>
      </w:r>
      <w:r w:rsidRPr="00B247FF">
        <w:rPr>
          <w:rFonts w:eastAsiaTheme="minorHAnsi"/>
          <w:color w:val="auto"/>
          <w:lang w:val="en-US"/>
        </w:rPr>
        <w:t xml:space="preserve">elated </w:t>
      </w:r>
      <w:r w:rsidR="00AE7FBB" w:rsidRPr="00B247FF">
        <w:rPr>
          <w:rFonts w:eastAsiaTheme="minorHAnsi"/>
          <w:color w:val="auto"/>
          <w:lang w:val="en-US"/>
        </w:rPr>
        <w:t>r</w:t>
      </w:r>
      <w:r w:rsidRPr="00B247FF">
        <w:rPr>
          <w:rFonts w:eastAsiaTheme="minorHAnsi"/>
          <w:color w:val="auto"/>
          <w:lang w:val="en-US"/>
        </w:rPr>
        <w:t>eactions</w:t>
      </w:r>
    </w:p>
    <w:p w14:paraId="1FC7148F" w14:textId="3C2BFDF0" w:rsidR="00ED071F" w:rsidRPr="00B247FF" w:rsidRDefault="00ED071F" w:rsidP="00786F6E">
      <w:pPr>
        <w:rPr>
          <w:iCs/>
          <w:color w:val="auto"/>
          <w:lang w:val="en-US"/>
        </w:rPr>
      </w:pPr>
      <w:bookmarkStart w:id="22" w:name="_Hlk51158757"/>
      <w:bookmarkStart w:id="23" w:name="_Hlk50562909"/>
      <w:r w:rsidRPr="00B247FF">
        <w:rPr>
          <w:iCs/>
          <w:color w:val="auto"/>
          <w:lang w:val="en-US"/>
        </w:rPr>
        <w:t xml:space="preserve">Infusion-related reactions </w:t>
      </w:r>
      <w:r w:rsidR="008F295D" w:rsidRPr="00B247FF">
        <w:rPr>
          <w:iCs/>
          <w:color w:val="auto"/>
          <w:lang w:val="en-US"/>
        </w:rPr>
        <w:t xml:space="preserve">(IRRs) </w:t>
      </w:r>
      <w:r w:rsidR="00B17C47" w:rsidRPr="00B247FF">
        <w:rPr>
          <w:iCs/>
          <w:color w:val="auto"/>
          <w:lang w:val="en-US"/>
        </w:rPr>
        <w:t xml:space="preserve">were reported </w:t>
      </w:r>
      <w:r w:rsidRPr="00B247FF">
        <w:rPr>
          <w:iCs/>
          <w:color w:val="auto"/>
          <w:lang w:val="en-US"/>
        </w:rPr>
        <w:t xml:space="preserve">in </w:t>
      </w:r>
      <w:r w:rsidR="001C2EF7" w:rsidRPr="00B247FF">
        <w:rPr>
          <w:iCs/>
          <w:color w:val="auto"/>
          <w:lang w:val="en-US"/>
        </w:rPr>
        <w:t>67%</w:t>
      </w:r>
      <w:r w:rsidRPr="00B247FF">
        <w:rPr>
          <w:iCs/>
          <w:color w:val="auto"/>
          <w:lang w:val="en-US"/>
        </w:rPr>
        <w:t xml:space="preserve"> of patients treated with </w:t>
      </w:r>
      <w:r w:rsidRPr="00B247FF">
        <w:t>RYBREVANT</w:t>
      </w:r>
      <w:r w:rsidR="008F295D" w:rsidRPr="00B247FF">
        <w:t>, of which</w:t>
      </w:r>
      <w:r w:rsidR="00B17C47" w:rsidRPr="00B247FF">
        <w:t xml:space="preserve"> 98%</w:t>
      </w:r>
      <w:r w:rsidRPr="00B247FF">
        <w:rPr>
          <w:iCs/>
          <w:color w:val="auto"/>
          <w:lang w:val="en-US"/>
        </w:rPr>
        <w:t xml:space="preserve"> </w:t>
      </w:r>
      <w:bookmarkStart w:id="24" w:name="_Hlk46922091"/>
      <w:r w:rsidRPr="00B247FF">
        <w:rPr>
          <w:iCs/>
          <w:color w:val="auto"/>
          <w:lang w:val="en-US"/>
        </w:rPr>
        <w:t>were Grade 1-2</w:t>
      </w:r>
      <w:r w:rsidR="008F295D" w:rsidRPr="00B247FF">
        <w:rPr>
          <w:iCs/>
          <w:color w:val="auto"/>
          <w:lang w:val="en-US"/>
        </w:rPr>
        <w:t>, and 99%</w:t>
      </w:r>
      <w:r w:rsidRPr="00B247FF">
        <w:rPr>
          <w:iCs/>
          <w:color w:val="auto"/>
          <w:lang w:val="en-US"/>
        </w:rPr>
        <w:t xml:space="preserve"> occurred at the first infusion with a median time to onset of </w:t>
      </w:r>
      <w:r w:rsidR="001C2EF7" w:rsidRPr="00B247FF">
        <w:rPr>
          <w:iCs/>
          <w:color w:val="auto"/>
          <w:lang w:val="en-US"/>
        </w:rPr>
        <w:t xml:space="preserve">60 </w:t>
      </w:r>
      <w:r w:rsidRPr="00B247FF">
        <w:rPr>
          <w:iCs/>
          <w:color w:val="auto"/>
          <w:lang w:val="en-US"/>
        </w:rPr>
        <w:t xml:space="preserve">minutes. </w:t>
      </w:r>
      <w:bookmarkEnd w:id="22"/>
      <w:bookmarkEnd w:id="24"/>
      <w:r w:rsidR="008F295D" w:rsidRPr="00B247FF">
        <w:rPr>
          <w:iCs/>
          <w:color w:val="auto"/>
          <w:lang w:val="en-US"/>
        </w:rPr>
        <w:t>S</w:t>
      </w:r>
      <w:r w:rsidRPr="00B247FF">
        <w:rPr>
          <w:iCs/>
          <w:color w:val="auto"/>
          <w:lang w:val="en-US"/>
        </w:rPr>
        <w:t>igns and symptoms</w:t>
      </w:r>
      <w:r w:rsidR="008F295D" w:rsidRPr="00B247FF">
        <w:rPr>
          <w:iCs/>
          <w:color w:val="auto"/>
          <w:lang w:val="en-US"/>
        </w:rPr>
        <w:t xml:space="preserve"> of IRR</w:t>
      </w:r>
      <w:r w:rsidRPr="00B247FF">
        <w:rPr>
          <w:iCs/>
          <w:color w:val="auto"/>
          <w:lang w:val="en-US"/>
        </w:rPr>
        <w:t xml:space="preserve"> include </w:t>
      </w:r>
      <w:bookmarkStart w:id="25" w:name="_Hlk52390943"/>
      <w:proofErr w:type="spellStart"/>
      <w:r w:rsidR="008F295D" w:rsidRPr="00B247FF">
        <w:rPr>
          <w:iCs/>
          <w:color w:val="auto"/>
          <w:lang w:val="en-US"/>
        </w:rPr>
        <w:t>dyspnoea</w:t>
      </w:r>
      <w:proofErr w:type="spellEnd"/>
      <w:r w:rsidR="008F295D" w:rsidRPr="00B247FF">
        <w:rPr>
          <w:iCs/>
          <w:color w:val="auto"/>
          <w:lang w:val="en-US"/>
        </w:rPr>
        <w:t xml:space="preserve">, flushing, fever, </w:t>
      </w:r>
      <w:r w:rsidRPr="00B247FF">
        <w:rPr>
          <w:iCs/>
          <w:color w:val="auto"/>
          <w:lang w:val="en-US"/>
        </w:rPr>
        <w:t xml:space="preserve">chills, chest discomfort, </w:t>
      </w:r>
      <w:r w:rsidR="008F295D" w:rsidRPr="00B247FF">
        <w:rPr>
          <w:iCs/>
          <w:color w:val="auto"/>
          <w:lang w:val="en-US"/>
        </w:rPr>
        <w:t xml:space="preserve">hypotension, nausea </w:t>
      </w:r>
      <w:r w:rsidRPr="00B247FF">
        <w:rPr>
          <w:iCs/>
          <w:color w:val="auto"/>
          <w:lang w:val="en-US"/>
        </w:rPr>
        <w:t>and vomiting</w:t>
      </w:r>
      <w:bookmarkEnd w:id="25"/>
      <w:r w:rsidRPr="00B247FF">
        <w:rPr>
          <w:iCs/>
          <w:color w:val="auto"/>
          <w:lang w:val="en-US"/>
        </w:rPr>
        <w:t>.</w:t>
      </w:r>
    </w:p>
    <w:p w14:paraId="71DEC149" w14:textId="77777777" w:rsidR="00ED071F" w:rsidRPr="00B247FF" w:rsidRDefault="00ED071F" w:rsidP="00786F6E">
      <w:pPr>
        <w:rPr>
          <w:iCs/>
          <w:color w:val="auto"/>
          <w:lang w:val="en-US"/>
        </w:rPr>
      </w:pPr>
    </w:p>
    <w:p w14:paraId="336C783C" w14:textId="74155766" w:rsidR="00ED071F" w:rsidRPr="00B247FF" w:rsidRDefault="008F295D" w:rsidP="00786F6E">
      <w:pPr>
        <w:rPr>
          <w:iCs/>
          <w:color w:val="auto"/>
          <w:lang w:val="en-US"/>
        </w:rPr>
      </w:pPr>
      <w:bookmarkStart w:id="26" w:name="_Hlk52445826"/>
      <w:bookmarkStart w:id="27" w:name="_Hlk51182536"/>
      <w:bookmarkEnd w:id="23"/>
      <w:r w:rsidRPr="00B247FF">
        <w:rPr>
          <w:iCs/>
          <w:color w:val="auto"/>
          <w:lang w:val="en-US"/>
        </w:rPr>
        <w:t>To reduce the risk of IRRs, premedicate with</w:t>
      </w:r>
      <w:r w:rsidR="00ED071F" w:rsidRPr="00B247FF">
        <w:rPr>
          <w:iCs/>
          <w:color w:val="auto"/>
          <w:lang w:val="en-US"/>
        </w:rPr>
        <w:t xml:space="preserve"> antihistamines, antipyretics, and glucocorticoids</w:t>
      </w:r>
      <w:r w:rsidRPr="00B247FF">
        <w:rPr>
          <w:iCs/>
          <w:color w:val="auto"/>
          <w:lang w:val="en-US"/>
        </w:rPr>
        <w:t xml:space="preserve">, and follow the </w:t>
      </w:r>
      <w:r w:rsidR="004E795E" w:rsidRPr="00B247FF">
        <w:rPr>
          <w:iCs/>
          <w:color w:val="auto"/>
          <w:lang w:val="en-US"/>
        </w:rPr>
        <w:t xml:space="preserve">infusion </w:t>
      </w:r>
      <w:r w:rsidRPr="00B247FF">
        <w:rPr>
          <w:iCs/>
          <w:color w:val="auto"/>
          <w:lang w:val="en-US"/>
        </w:rPr>
        <w:t xml:space="preserve">recommendations in </w:t>
      </w:r>
      <w:bookmarkEnd w:id="26"/>
      <w:bookmarkEnd w:id="27"/>
      <w:r w:rsidR="00ED071F" w:rsidRPr="00B247FF">
        <w:rPr>
          <w:iCs/>
          <w:color w:val="auto"/>
          <w:lang w:val="en-US"/>
        </w:rPr>
        <w:t xml:space="preserve">Section 4.2 Dose and </w:t>
      </w:r>
      <w:r w:rsidR="00BD5C43" w:rsidRPr="00B247FF">
        <w:rPr>
          <w:iCs/>
          <w:color w:val="auto"/>
          <w:lang w:val="en-US"/>
        </w:rPr>
        <w:t>m</w:t>
      </w:r>
      <w:r w:rsidR="00ED071F" w:rsidRPr="00B247FF">
        <w:rPr>
          <w:iCs/>
          <w:color w:val="auto"/>
          <w:lang w:val="en-US"/>
        </w:rPr>
        <w:t xml:space="preserve">ethod of </w:t>
      </w:r>
      <w:r w:rsidR="00BD5C43" w:rsidRPr="00B247FF">
        <w:rPr>
          <w:iCs/>
          <w:color w:val="auto"/>
          <w:lang w:val="en-US"/>
        </w:rPr>
        <w:t>a</w:t>
      </w:r>
      <w:r w:rsidR="00ED071F" w:rsidRPr="00B247FF">
        <w:rPr>
          <w:iCs/>
          <w:color w:val="auto"/>
          <w:lang w:val="en-US"/>
        </w:rPr>
        <w:t>dministration</w:t>
      </w:r>
      <w:r w:rsidR="004E795E" w:rsidRPr="00B247FF">
        <w:rPr>
          <w:iCs/>
          <w:color w:val="auto"/>
          <w:lang w:val="en-US"/>
        </w:rPr>
        <w:t>.</w:t>
      </w:r>
    </w:p>
    <w:p w14:paraId="64A758E2" w14:textId="77777777" w:rsidR="00ED071F" w:rsidRPr="00B247FF" w:rsidRDefault="00ED071F" w:rsidP="00786F6E">
      <w:pPr>
        <w:rPr>
          <w:iCs/>
          <w:color w:val="auto"/>
          <w:lang w:val="en-US"/>
        </w:rPr>
      </w:pPr>
    </w:p>
    <w:p w14:paraId="56D148AA" w14:textId="29679F8B" w:rsidR="00E92F25" w:rsidRPr="00B247FF" w:rsidRDefault="004E795E" w:rsidP="00786F6E">
      <w:pPr>
        <w:rPr>
          <w:iCs/>
          <w:color w:val="auto"/>
        </w:rPr>
      </w:pPr>
      <w:r w:rsidRPr="00B247FF">
        <w:rPr>
          <w:iCs/>
          <w:color w:val="auto"/>
          <w:lang w:val="en-US"/>
        </w:rPr>
        <w:t>Give</w:t>
      </w:r>
      <w:r w:rsidR="00ED071F" w:rsidRPr="00B247FF">
        <w:rPr>
          <w:iCs/>
          <w:color w:val="auto"/>
          <w:lang w:val="en-US"/>
        </w:rPr>
        <w:t xml:space="preserve"> </w:t>
      </w:r>
      <w:r w:rsidR="00ED071F" w:rsidRPr="00B247FF">
        <w:t xml:space="preserve">RYBREVANT </w:t>
      </w:r>
      <w:r w:rsidRPr="00B247FF">
        <w:t xml:space="preserve">infusions </w:t>
      </w:r>
      <w:r w:rsidR="00ED071F" w:rsidRPr="00B247FF">
        <w:rPr>
          <w:iCs/>
          <w:color w:val="auto"/>
          <w:lang w:val="en-US"/>
        </w:rPr>
        <w:t xml:space="preserve">in </w:t>
      </w:r>
      <w:r w:rsidRPr="00B247FF">
        <w:rPr>
          <w:iCs/>
          <w:color w:val="auto"/>
          <w:lang w:val="en-US"/>
        </w:rPr>
        <w:t xml:space="preserve">a monitored </w:t>
      </w:r>
      <w:r w:rsidR="00ED071F" w:rsidRPr="00B247FF">
        <w:rPr>
          <w:iCs/>
          <w:color w:val="auto"/>
          <w:lang w:val="en-US"/>
        </w:rPr>
        <w:t xml:space="preserve">setting with appropriate medical support </w:t>
      </w:r>
      <w:r w:rsidRPr="00B247FF">
        <w:rPr>
          <w:iCs/>
          <w:color w:val="auto"/>
          <w:lang w:val="en-US"/>
        </w:rPr>
        <w:t>for the treatment of</w:t>
      </w:r>
      <w:r w:rsidR="00ED071F" w:rsidRPr="00B247FF">
        <w:rPr>
          <w:iCs/>
          <w:color w:val="auto"/>
          <w:lang w:val="en-US"/>
        </w:rPr>
        <w:t xml:space="preserve"> IRRs</w:t>
      </w:r>
      <w:r w:rsidRPr="00B247FF">
        <w:rPr>
          <w:iCs/>
          <w:color w:val="auto"/>
          <w:lang w:val="en-US"/>
        </w:rPr>
        <w:t>, including cardiopulmonary resuscitation medication and equipment</w:t>
      </w:r>
      <w:r w:rsidR="00ED071F" w:rsidRPr="00B247FF">
        <w:rPr>
          <w:iCs/>
          <w:color w:val="auto"/>
          <w:lang w:val="en-US"/>
        </w:rPr>
        <w:t xml:space="preserve">. Interrupt infusion </w:t>
      </w:r>
      <w:r w:rsidRPr="00B247FF">
        <w:rPr>
          <w:iCs/>
          <w:color w:val="auto"/>
          <w:lang w:val="en-US"/>
        </w:rPr>
        <w:t xml:space="preserve">if </w:t>
      </w:r>
      <w:r w:rsidR="00ED071F" w:rsidRPr="00B247FF">
        <w:rPr>
          <w:iCs/>
          <w:color w:val="auto"/>
          <w:lang w:val="en-US"/>
        </w:rPr>
        <w:t>IRR</w:t>
      </w:r>
      <w:r w:rsidRPr="00B247FF">
        <w:rPr>
          <w:iCs/>
          <w:color w:val="auto"/>
          <w:lang w:val="en-US"/>
        </w:rPr>
        <w:t xml:space="preserve"> i</w:t>
      </w:r>
      <w:r w:rsidR="00ED071F" w:rsidRPr="00B247FF">
        <w:rPr>
          <w:iCs/>
          <w:color w:val="auto"/>
          <w:lang w:val="en-US"/>
        </w:rPr>
        <w:t>s</w:t>
      </w:r>
      <w:r w:rsidRPr="00B247FF">
        <w:rPr>
          <w:iCs/>
          <w:color w:val="auto"/>
          <w:lang w:val="en-US"/>
        </w:rPr>
        <w:t xml:space="preserve"> suspected</w:t>
      </w:r>
      <w:r w:rsidR="00ED071F" w:rsidRPr="00B247FF">
        <w:rPr>
          <w:iCs/>
          <w:color w:val="auto"/>
          <w:lang w:val="en-US"/>
        </w:rPr>
        <w:t xml:space="preserve">, </w:t>
      </w:r>
      <w:r w:rsidRPr="00B247FF">
        <w:rPr>
          <w:iCs/>
          <w:color w:val="auto"/>
          <w:lang w:val="en-US"/>
        </w:rPr>
        <w:t xml:space="preserve">and reduce infusion rate or </w:t>
      </w:r>
      <w:r w:rsidR="00ED071F" w:rsidRPr="00B247FF">
        <w:rPr>
          <w:iCs/>
          <w:color w:val="auto"/>
          <w:lang w:val="en-US"/>
        </w:rPr>
        <w:t xml:space="preserve">permanently discontinue </w:t>
      </w:r>
      <w:r w:rsidR="00ED071F" w:rsidRPr="00B247FF">
        <w:t>RYBREVANT</w:t>
      </w:r>
      <w:r w:rsidRPr="00B247FF">
        <w:t xml:space="preserve"> based on severity</w:t>
      </w:r>
      <w:r w:rsidR="00ED071F" w:rsidRPr="00B247FF">
        <w:t xml:space="preserve"> </w:t>
      </w:r>
      <w:r w:rsidR="00ED071F" w:rsidRPr="00B247FF">
        <w:rPr>
          <w:iCs/>
          <w:color w:val="auto"/>
          <w:lang w:val="en-US"/>
        </w:rPr>
        <w:t xml:space="preserve">(see Section 4.2 Dose and </w:t>
      </w:r>
      <w:r w:rsidR="00BD5C43" w:rsidRPr="00B247FF">
        <w:rPr>
          <w:iCs/>
          <w:color w:val="auto"/>
          <w:lang w:val="en-US"/>
        </w:rPr>
        <w:t>m</w:t>
      </w:r>
      <w:r w:rsidR="00ED071F" w:rsidRPr="00B247FF">
        <w:rPr>
          <w:iCs/>
          <w:color w:val="auto"/>
          <w:lang w:val="en-US"/>
        </w:rPr>
        <w:t xml:space="preserve">ethod of </w:t>
      </w:r>
      <w:r w:rsidR="00BD5C43" w:rsidRPr="00B247FF">
        <w:rPr>
          <w:iCs/>
          <w:color w:val="auto"/>
          <w:lang w:val="en-US"/>
        </w:rPr>
        <w:t>a</w:t>
      </w:r>
      <w:r w:rsidR="00ED071F" w:rsidRPr="00B247FF">
        <w:rPr>
          <w:iCs/>
          <w:color w:val="auto"/>
          <w:lang w:val="en-US"/>
        </w:rPr>
        <w:t>dministration</w:t>
      </w:r>
      <w:r w:rsidR="007D4BD6" w:rsidRPr="00B247FF">
        <w:rPr>
          <w:iCs/>
          <w:color w:val="auto"/>
          <w:lang w:val="en-US"/>
        </w:rPr>
        <w:t xml:space="preserve">, Table </w:t>
      </w:r>
      <w:r w:rsidR="00163C4E" w:rsidRPr="00B247FF">
        <w:rPr>
          <w:iCs/>
          <w:color w:val="auto"/>
          <w:lang w:val="en-US"/>
        </w:rPr>
        <w:t>6</w:t>
      </w:r>
      <w:r w:rsidR="00ED071F" w:rsidRPr="00B247FF">
        <w:rPr>
          <w:iCs/>
          <w:color w:val="auto"/>
          <w:lang w:val="en-US"/>
        </w:rPr>
        <w:t>).</w:t>
      </w:r>
    </w:p>
    <w:p w14:paraId="793C8BC6" w14:textId="77777777" w:rsidR="00786F6E" w:rsidRDefault="00786F6E" w:rsidP="00786F6E">
      <w:pPr>
        <w:pStyle w:val="Heading3"/>
        <w:jc w:val="left"/>
        <w:rPr>
          <w:rFonts w:eastAsiaTheme="minorHAnsi"/>
          <w:color w:val="auto"/>
          <w:lang w:val="en-US"/>
        </w:rPr>
      </w:pPr>
    </w:p>
    <w:p w14:paraId="66A75014" w14:textId="77777777" w:rsidR="00786F6E" w:rsidRDefault="00786F6E" w:rsidP="00786F6E">
      <w:pPr>
        <w:pStyle w:val="Heading3"/>
        <w:jc w:val="left"/>
        <w:rPr>
          <w:rFonts w:eastAsiaTheme="minorHAnsi"/>
          <w:color w:val="auto"/>
          <w:lang w:val="en-US"/>
        </w:rPr>
      </w:pPr>
    </w:p>
    <w:p w14:paraId="1F0B2235" w14:textId="77777777" w:rsidR="00786F6E" w:rsidRDefault="00786F6E" w:rsidP="00786F6E">
      <w:pPr>
        <w:pStyle w:val="Heading3"/>
        <w:jc w:val="left"/>
        <w:rPr>
          <w:rFonts w:eastAsiaTheme="minorHAnsi"/>
          <w:color w:val="auto"/>
          <w:lang w:val="en-US"/>
        </w:rPr>
      </w:pPr>
    </w:p>
    <w:p w14:paraId="09C01B6D" w14:textId="3BB80E58" w:rsidR="00A9229B" w:rsidRPr="00B247FF" w:rsidRDefault="004871E9" w:rsidP="00786F6E">
      <w:pPr>
        <w:pStyle w:val="Heading3"/>
        <w:jc w:val="left"/>
        <w:rPr>
          <w:rFonts w:eastAsiaTheme="minorHAnsi"/>
          <w:color w:val="auto"/>
        </w:rPr>
      </w:pPr>
      <w:r w:rsidRPr="00B247FF">
        <w:rPr>
          <w:rFonts w:eastAsiaTheme="minorHAnsi"/>
          <w:color w:val="auto"/>
          <w:lang w:val="en-US"/>
        </w:rPr>
        <w:t xml:space="preserve">Interstitial </w:t>
      </w:r>
      <w:r w:rsidR="00AE7FBB" w:rsidRPr="00B247FF">
        <w:rPr>
          <w:rFonts w:eastAsiaTheme="minorHAnsi"/>
          <w:color w:val="auto"/>
          <w:lang w:val="en-US"/>
        </w:rPr>
        <w:t>l</w:t>
      </w:r>
      <w:r w:rsidRPr="00B247FF">
        <w:rPr>
          <w:rFonts w:eastAsiaTheme="minorHAnsi"/>
          <w:color w:val="auto"/>
          <w:lang w:val="en-US"/>
        </w:rPr>
        <w:t xml:space="preserve">ung </w:t>
      </w:r>
      <w:r w:rsidR="00AE7FBB" w:rsidRPr="00B247FF">
        <w:rPr>
          <w:rFonts w:eastAsiaTheme="minorHAnsi"/>
          <w:color w:val="auto"/>
          <w:lang w:val="en-US"/>
        </w:rPr>
        <w:t>d</w:t>
      </w:r>
      <w:r w:rsidRPr="00B247FF">
        <w:rPr>
          <w:rFonts w:eastAsiaTheme="minorHAnsi"/>
          <w:color w:val="auto"/>
          <w:lang w:val="en-US"/>
        </w:rPr>
        <w:t>isease</w:t>
      </w:r>
      <w:r w:rsidR="00096647" w:rsidRPr="00B247FF">
        <w:rPr>
          <w:rFonts w:eastAsiaTheme="minorHAnsi"/>
          <w:color w:val="auto"/>
          <w:lang w:val="en-US"/>
        </w:rPr>
        <w:t>/pneumonitis</w:t>
      </w:r>
    </w:p>
    <w:p w14:paraId="6AEA7F66" w14:textId="5F55A08E" w:rsidR="004871E9" w:rsidRPr="00B247FF" w:rsidRDefault="004871E9" w:rsidP="00786F6E">
      <w:pPr>
        <w:rPr>
          <w:iCs/>
          <w:color w:val="auto"/>
          <w:lang w:val="en-US"/>
        </w:rPr>
      </w:pPr>
      <w:r w:rsidRPr="00B247FF">
        <w:rPr>
          <w:iCs/>
          <w:color w:val="auto"/>
          <w:lang w:val="en-US"/>
        </w:rPr>
        <w:t>Interstitial lung disease (ILD)</w:t>
      </w:r>
      <w:r w:rsidR="00096647" w:rsidRPr="00B247FF">
        <w:rPr>
          <w:iCs/>
          <w:color w:val="auto"/>
          <w:lang w:val="en-US"/>
        </w:rPr>
        <w:t>/</w:t>
      </w:r>
      <w:r w:rsidRPr="00B247FF">
        <w:rPr>
          <w:iCs/>
          <w:color w:val="auto"/>
          <w:lang w:val="en-US"/>
        </w:rPr>
        <w:t>pneumonitis occurred in 2.</w:t>
      </w:r>
      <w:r w:rsidR="00BD1346" w:rsidRPr="00B247FF">
        <w:rPr>
          <w:iCs/>
          <w:color w:val="auto"/>
          <w:lang w:val="en-US"/>
        </w:rPr>
        <w:t>6</w:t>
      </w:r>
      <w:r w:rsidRPr="00B247FF">
        <w:rPr>
          <w:iCs/>
          <w:color w:val="auto"/>
          <w:lang w:val="en-US"/>
        </w:rPr>
        <w:t xml:space="preserve">% of patients treated with </w:t>
      </w:r>
      <w:r w:rsidRPr="00B247FF">
        <w:t>RYBREVANT</w:t>
      </w:r>
      <w:r w:rsidRPr="00B247FF">
        <w:rPr>
          <w:iCs/>
          <w:color w:val="auto"/>
          <w:lang w:val="en-US"/>
        </w:rPr>
        <w:t xml:space="preserve">. </w:t>
      </w:r>
      <w:bookmarkStart w:id="28" w:name="_Hlk53260218"/>
      <w:r w:rsidRPr="00B247FF">
        <w:rPr>
          <w:iCs/>
          <w:color w:val="auto"/>
          <w:lang w:val="en-US"/>
        </w:rPr>
        <w:t xml:space="preserve">Patients with a medical history of ILD, drug-induced ILD, radiation pneumonitis that required steroid treatment, or any evidence of clinically active ILD </w:t>
      </w:r>
      <w:r w:rsidR="00370243" w:rsidRPr="00B247FF">
        <w:rPr>
          <w:iCs/>
          <w:color w:val="auto"/>
          <w:lang w:val="en-US"/>
        </w:rPr>
        <w:t>were not included in the study</w:t>
      </w:r>
      <w:r w:rsidRPr="00B247FF">
        <w:rPr>
          <w:iCs/>
          <w:color w:val="auto"/>
          <w:lang w:val="en-US"/>
        </w:rPr>
        <w:t>.</w:t>
      </w:r>
      <w:bookmarkEnd w:id="28"/>
    </w:p>
    <w:p w14:paraId="325B6C8C" w14:textId="77777777" w:rsidR="004871E9" w:rsidRPr="00B247FF" w:rsidRDefault="004871E9" w:rsidP="00786F6E">
      <w:pPr>
        <w:rPr>
          <w:iCs/>
          <w:color w:val="auto"/>
          <w:lang w:val="en-US"/>
        </w:rPr>
      </w:pPr>
    </w:p>
    <w:p w14:paraId="22657E75" w14:textId="77777777" w:rsidR="00370243" w:rsidRPr="00B247FF" w:rsidRDefault="004871E9" w:rsidP="00786F6E">
      <w:pPr>
        <w:rPr>
          <w:iCs/>
          <w:color w:val="auto"/>
          <w:lang w:val="en-US"/>
        </w:rPr>
      </w:pPr>
      <w:r w:rsidRPr="00B247FF">
        <w:rPr>
          <w:iCs/>
          <w:color w:val="auto"/>
          <w:lang w:val="en-US"/>
        </w:rPr>
        <w:t xml:space="preserve">Monitor patients for </w:t>
      </w:r>
      <w:r w:rsidR="00370243" w:rsidRPr="00B247FF">
        <w:rPr>
          <w:iCs/>
          <w:color w:val="auto"/>
          <w:lang w:val="en-US"/>
        </w:rPr>
        <w:t xml:space="preserve">new or worsening </w:t>
      </w:r>
      <w:r w:rsidRPr="00B247FF">
        <w:rPr>
          <w:iCs/>
          <w:color w:val="auto"/>
          <w:lang w:val="en-US"/>
        </w:rPr>
        <w:t xml:space="preserve">symptoms indicative of ILD/pneumonitis (e.g., </w:t>
      </w:r>
      <w:proofErr w:type="spellStart"/>
      <w:r w:rsidRPr="00B247FF">
        <w:rPr>
          <w:iCs/>
          <w:color w:val="auto"/>
          <w:lang w:val="en-US"/>
        </w:rPr>
        <w:t>dyspn</w:t>
      </w:r>
      <w:r w:rsidR="00BD5C43" w:rsidRPr="00B247FF">
        <w:rPr>
          <w:iCs/>
          <w:color w:val="auto"/>
          <w:lang w:val="en-US"/>
        </w:rPr>
        <w:t>o</w:t>
      </w:r>
      <w:r w:rsidRPr="00B247FF">
        <w:rPr>
          <w:iCs/>
          <w:color w:val="auto"/>
          <w:lang w:val="en-US"/>
        </w:rPr>
        <w:t>ea</w:t>
      </w:r>
      <w:proofErr w:type="spellEnd"/>
      <w:r w:rsidRPr="00B247FF">
        <w:rPr>
          <w:iCs/>
          <w:color w:val="auto"/>
          <w:lang w:val="en-US"/>
        </w:rPr>
        <w:t xml:space="preserve">, cough, fever). </w:t>
      </w:r>
      <w:r w:rsidR="00370243" w:rsidRPr="00B247FF">
        <w:rPr>
          <w:iCs/>
          <w:color w:val="auto"/>
          <w:lang w:val="en-US"/>
        </w:rPr>
        <w:t>Immediately withhold RYBREVANT in patients with suspected ILD/pneumonitis</w:t>
      </w:r>
    </w:p>
    <w:p w14:paraId="17EB6737" w14:textId="4886A044" w:rsidR="00A9229B" w:rsidRPr="00B247FF" w:rsidRDefault="00370243" w:rsidP="00786F6E">
      <w:pPr>
        <w:rPr>
          <w:iCs/>
          <w:color w:val="auto"/>
        </w:rPr>
      </w:pPr>
      <w:r w:rsidRPr="00B247FF">
        <w:rPr>
          <w:iCs/>
          <w:color w:val="auto"/>
          <w:lang w:val="en-US"/>
        </w:rPr>
        <w:t>and permanently discontinue if ILD/pneumonitis is confirmed</w:t>
      </w:r>
      <w:r w:rsidRPr="00B247FF" w:rsidDel="00370243">
        <w:rPr>
          <w:iCs/>
          <w:color w:val="auto"/>
          <w:lang w:val="en-US"/>
        </w:rPr>
        <w:t xml:space="preserve"> </w:t>
      </w:r>
      <w:r w:rsidR="004871E9" w:rsidRPr="00B247FF">
        <w:rPr>
          <w:iCs/>
          <w:color w:val="auto"/>
          <w:lang w:val="en-US"/>
        </w:rPr>
        <w:t xml:space="preserve">(see Section 4.2 Dose and </w:t>
      </w:r>
      <w:r w:rsidR="00BD5C43" w:rsidRPr="00B247FF">
        <w:rPr>
          <w:iCs/>
          <w:color w:val="auto"/>
          <w:lang w:val="en-US"/>
        </w:rPr>
        <w:t>m</w:t>
      </w:r>
      <w:r w:rsidR="004871E9" w:rsidRPr="00B247FF">
        <w:rPr>
          <w:iCs/>
          <w:color w:val="auto"/>
          <w:lang w:val="en-US"/>
        </w:rPr>
        <w:t xml:space="preserve">ethod of </w:t>
      </w:r>
      <w:r w:rsidR="00BD5C43" w:rsidRPr="00B247FF">
        <w:rPr>
          <w:iCs/>
          <w:color w:val="auto"/>
          <w:lang w:val="en-US"/>
        </w:rPr>
        <w:t>a</w:t>
      </w:r>
      <w:r w:rsidR="004871E9" w:rsidRPr="00B247FF">
        <w:rPr>
          <w:iCs/>
          <w:color w:val="auto"/>
          <w:lang w:val="en-US"/>
        </w:rPr>
        <w:t>dministration</w:t>
      </w:r>
      <w:r w:rsidR="00A46DC8" w:rsidRPr="00B247FF">
        <w:rPr>
          <w:iCs/>
          <w:color w:val="auto"/>
          <w:lang w:val="en-US"/>
        </w:rPr>
        <w:t>, Table 6</w:t>
      </w:r>
      <w:r w:rsidR="004871E9" w:rsidRPr="00B247FF">
        <w:rPr>
          <w:iCs/>
          <w:color w:val="auto"/>
          <w:lang w:val="en-US"/>
        </w:rPr>
        <w:t>).</w:t>
      </w:r>
    </w:p>
    <w:p w14:paraId="7D56BC44" w14:textId="6197ACD7" w:rsidR="00766ED2" w:rsidRPr="00B247FF" w:rsidRDefault="00766ED2" w:rsidP="00786F6E">
      <w:pPr>
        <w:rPr>
          <w:rFonts w:eastAsiaTheme="minorHAnsi"/>
          <w:b/>
          <w:color w:val="auto"/>
          <w:spacing w:val="-2"/>
          <w:lang w:val="en-US"/>
        </w:rPr>
      </w:pPr>
    </w:p>
    <w:p w14:paraId="3CB59672" w14:textId="1C950725" w:rsidR="00881267" w:rsidRPr="00B247FF" w:rsidRDefault="00EC48B6" w:rsidP="00786F6E">
      <w:pPr>
        <w:pStyle w:val="Heading3"/>
        <w:jc w:val="left"/>
        <w:rPr>
          <w:rFonts w:eastAsiaTheme="minorHAnsi"/>
          <w:color w:val="auto"/>
        </w:rPr>
      </w:pPr>
      <w:r w:rsidRPr="00B247FF">
        <w:rPr>
          <w:rFonts w:eastAsiaTheme="minorHAnsi"/>
          <w:color w:val="auto"/>
          <w:lang w:val="en-US"/>
        </w:rPr>
        <w:t xml:space="preserve">Skin and </w:t>
      </w:r>
      <w:r w:rsidR="00AE7FBB" w:rsidRPr="00B247FF">
        <w:rPr>
          <w:rFonts w:eastAsiaTheme="minorHAnsi"/>
          <w:color w:val="auto"/>
          <w:lang w:val="en-US"/>
        </w:rPr>
        <w:t>n</w:t>
      </w:r>
      <w:r w:rsidRPr="00B247FF">
        <w:rPr>
          <w:rFonts w:eastAsiaTheme="minorHAnsi"/>
          <w:color w:val="auto"/>
          <w:lang w:val="en-US"/>
        </w:rPr>
        <w:t xml:space="preserve">ail </w:t>
      </w:r>
      <w:r w:rsidR="00AE7FBB" w:rsidRPr="00B247FF">
        <w:rPr>
          <w:rFonts w:eastAsiaTheme="minorHAnsi"/>
          <w:color w:val="auto"/>
          <w:lang w:val="en-US"/>
        </w:rPr>
        <w:t>r</w:t>
      </w:r>
      <w:r w:rsidRPr="00B247FF">
        <w:rPr>
          <w:rFonts w:eastAsiaTheme="minorHAnsi"/>
          <w:color w:val="auto"/>
          <w:lang w:val="en-US"/>
        </w:rPr>
        <w:t>eactions</w:t>
      </w:r>
    </w:p>
    <w:p w14:paraId="5ABEA583" w14:textId="0FC673FE" w:rsidR="00EC48B6" w:rsidRPr="00B247FF" w:rsidRDefault="00EC48B6" w:rsidP="00786F6E">
      <w:pPr>
        <w:rPr>
          <w:iCs/>
          <w:color w:val="auto"/>
          <w:lang w:val="en-US"/>
        </w:rPr>
      </w:pPr>
      <w:bookmarkStart w:id="29" w:name="_Hlk50962586"/>
      <w:bookmarkStart w:id="30" w:name="_Hlk52446035"/>
      <w:bookmarkStart w:id="31" w:name="_Hlk50570128"/>
      <w:bookmarkStart w:id="32" w:name="_Hlk51166633"/>
      <w:bookmarkStart w:id="33" w:name="_Hlk50567614"/>
      <w:r w:rsidRPr="00B247FF">
        <w:rPr>
          <w:iCs/>
          <w:color w:val="auto"/>
          <w:lang w:val="en-US"/>
        </w:rPr>
        <w:t xml:space="preserve">Rash (including dermatitis acneiform), pruritis and dry skin </w:t>
      </w:r>
      <w:bookmarkEnd w:id="29"/>
      <w:r w:rsidRPr="00B247FF">
        <w:rPr>
          <w:iCs/>
          <w:color w:val="auto"/>
          <w:lang w:val="en-US"/>
        </w:rPr>
        <w:t xml:space="preserve">occurred in patients treated with </w:t>
      </w:r>
      <w:r w:rsidRPr="00B247FF">
        <w:t>RYBREVANT</w:t>
      </w:r>
      <w:r w:rsidRPr="00B247FF">
        <w:rPr>
          <w:iCs/>
          <w:color w:val="auto"/>
          <w:lang w:val="en-US"/>
        </w:rPr>
        <w:t xml:space="preserve">. </w:t>
      </w:r>
      <w:bookmarkEnd w:id="30"/>
      <w:r w:rsidR="00153E66" w:rsidRPr="00B247FF">
        <w:rPr>
          <w:iCs/>
          <w:color w:val="auto"/>
          <w:lang w:val="en-US"/>
        </w:rPr>
        <w:t xml:space="preserve">Rash occurred in 76% of patients. </w:t>
      </w:r>
      <w:r w:rsidRPr="00B247FF">
        <w:rPr>
          <w:iCs/>
          <w:color w:val="auto"/>
          <w:lang w:val="en-US"/>
        </w:rPr>
        <w:t>Most cases were Grade 1 or 2, with Grade 3 events occurring in 3% of patients.</w:t>
      </w:r>
      <w:bookmarkEnd w:id="31"/>
      <w:r w:rsidRPr="00B247FF">
        <w:rPr>
          <w:iCs/>
          <w:color w:val="auto"/>
          <w:lang w:val="en-US"/>
        </w:rPr>
        <w:t xml:space="preserve"> Rash leading to </w:t>
      </w:r>
      <w:r w:rsidRPr="00B247FF">
        <w:t xml:space="preserve">RYBREVANT </w:t>
      </w:r>
      <w:r w:rsidRPr="00B247FF">
        <w:rPr>
          <w:iCs/>
          <w:color w:val="auto"/>
          <w:lang w:val="en-US"/>
        </w:rPr>
        <w:t>discontinuation occurred in 0.</w:t>
      </w:r>
      <w:r w:rsidR="00BD1346" w:rsidRPr="00B247FF">
        <w:rPr>
          <w:iCs/>
          <w:color w:val="auto"/>
          <w:lang w:val="en-US"/>
        </w:rPr>
        <w:t>3</w:t>
      </w:r>
      <w:r w:rsidRPr="00B247FF">
        <w:rPr>
          <w:iCs/>
          <w:color w:val="auto"/>
          <w:lang w:val="en-US"/>
        </w:rPr>
        <w:t xml:space="preserve">% of patients. Rash </w:t>
      </w:r>
      <w:r w:rsidRPr="00B247FF" w:rsidDel="00F240E3">
        <w:rPr>
          <w:iCs/>
          <w:color w:val="auto"/>
          <w:lang w:val="en-US"/>
        </w:rPr>
        <w:t>usually developed within the first 4 weeks of therapy, with a median time to onset of 14 days.</w:t>
      </w:r>
      <w:r w:rsidRPr="00B247FF">
        <w:rPr>
          <w:iCs/>
          <w:color w:val="auto"/>
          <w:lang w:val="en-US"/>
        </w:rPr>
        <w:t xml:space="preserve"> </w:t>
      </w:r>
      <w:bookmarkStart w:id="34" w:name="_Hlk50962620"/>
      <w:bookmarkEnd w:id="32"/>
      <w:r w:rsidR="00BD1346" w:rsidRPr="00B247FF">
        <w:rPr>
          <w:iCs/>
          <w:color w:val="auto"/>
          <w:lang w:val="en-US"/>
        </w:rPr>
        <w:t xml:space="preserve">Nail toxicity </w:t>
      </w:r>
      <w:r w:rsidRPr="00B247FF">
        <w:rPr>
          <w:iCs/>
          <w:color w:val="auto"/>
          <w:lang w:val="en-US"/>
        </w:rPr>
        <w:t xml:space="preserve">occurred in patients treated with </w:t>
      </w:r>
      <w:r w:rsidRPr="00B247FF">
        <w:t>RYBREVANT</w:t>
      </w:r>
      <w:r w:rsidRPr="00B247FF">
        <w:rPr>
          <w:iCs/>
          <w:color w:val="auto"/>
          <w:lang w:val="en-US"/>
        </w:rPr>
        <w:t xml:space="preserve">. Most events were Grade 1 or 2, with Grade 3 </w:t>
      </w:r>
      <w:r w:rsidR="00BD1346" w:rsidRPr="00B247FF">
        <w:rPr>
          <w:iCs/>
          <w:color w:val="auto"/>
          <w:lang w:val="en-US"/>
        </w:rPr>
        <w:t xml:space="preserve">nail toxicity </w:t>
      </w:r>
      <w:r w:rsidRPr="00B247FF">
        <w:rPr>
          <w:iCs/>
          <w:color w:val="auto"/>
          <w:lang w:val="en-US"/>
        </w:rPr>
        <w:t>occurring in 1.</w:t>
      </w:r>
      <w:r w:rsidR="00081A2D" w:rsidRPr="00B247FF">
        <w:rPr>
          <w:iCs/>
          <w:color w:val="auto"/>
          <w:lang w:val="en-US"/>
        </w:rPr>
        <w:t>8</w:t>
      </w:r>
      <w:r w:rsidRPr="00B247FF">
        <w:rPr>
          <w:iCs/>
          <w:color w:val="auto"/>
          <w:lang w:val="en-US"/>
        </w:rPr>
        <w:t>% of patients.</w:t>
      </w:r>
      <w:bookmarkEnd w:id="34"/>
    </w:p>
    <w:p w14:paraId="55D1251C" w14:textId="06BCB014" w:rsidR="00EC48B6" w:rsidRPr="00B247FF" w:rsidRDefault="00EC48B6" w:rsidP="00786F6E">
      <w:pPr>
        <w:rPr>
          <w:iCs/>
          <w:color w:val="auto"/>
          <w:lang w:val="en-US"/>
        </w:rPr>
      </w:pPr>
    </w:p>
    <w:p w14:paraId="0FBB9CD3" w14:textId="378601F5" w:rsidR="00081A2D" w:rsidRPr="00B247FF" w:rsidRDefault="00081A2D" w:rsidP="00786F6E">
      <w:pPr>
        <w:rPr>
          <w:iCs/>
          <w:color w:val="auto"/>
          <w:lang w:val="en-US"/>
        </w:rPr>
      </w:pPr>
      <w:r w:rsidRPr="00B247FF">
        <w:rPr>
          <w:iCs/>
          <w:color w:val="auto"/>
          <w:lang w:val="en-US"/>
        </w:rPr>
        <w:t xml:space="preserve">Toxic epidermal necrolysis (TEN) </w:t>
      </w:r>
      <w:r w:rsidR="00370243" w:rsidRPr="00B247FF">
        <w:rPr>
          <w:iCs/>
          <w:color w:val="auto"/>
          <w:lang w:val="en-US"/>
        </w:rPr>
        <w:t>occurred in one patient (0.3%)</w:t>
      </w:r>
      <w:r w:rsidRPr="00B247FF">
        <w:rPr>
          <w:iCs/>
          <w:color w:val="auto"/>
          <w:lang w:val="en-US"/>
        </w:rPr>
        <w:t>. Permanently discontinue RYBREVANT if TEN is confirmed.</w:t>
      </w:r>
    </w:p>
    <w:p w14:paraId="02E6785F" w14:textId="77777777" w:rsidR="00081A2D" w:rsidRPr="00B247FF" w:rsidRDefault="00081A2D" w:rsidP="00786F6E">
      <w:pPr>
        <w:rPr>
          <w:iCs/>
          <w:color w:val="auto"/>
          <w:lang w:val="en-US"/>
        </w:rPr>
      </w:pPr>
    </w:p>
    <w:bookmarkEnd w:id="33"/>
    <w:p w14:paraId="58C0654E" w14:textId="275BD163" w:rsidR="00881267" w:rsidRPr="00B247FF" w:rsidRDefault="00EC48B6" w:rsidP="00786F6E">
      <w:pPr>
        <w:rPr>
          <w:iCs/>
          <w:color w:val="auto"/>
        </w:rPr>
      </w:pPr>
      <w:r w:rsidRPr="00B247FF">
        <w:rPr>
          <w:iCs/>
          <w:color w:val="auto"/>
          <w:lang w:val="en-US"/>
        </w:rPr>
        <w:t xml:space="preserve">Instruct patients to limit sun exposure during and for 2 months after </w:t>
      </w:r>
      <w:r w:rsidRPr="00B247FF">
        <w:t xml:space="preserve">RYBREVANT </w:t>
      </w:r>
      <w:r w:rsidRPr="00B247FF">
        <w:rPr>
          <w:iCs/>
          <w:color w:val="auto"/>
          <w:lang w:val="en-US"/>
        </w:rPr>
        <w:t xml:space="preserve">therapy. Protective clothing and use of sunscreen is advisable. Alcohol-free emollient cream is recommended for dry </w:t>
      </w:r>
      <w:r w:rsidR="006F3CDB" w:rsidRPr="00B247FF">
        <w:rPr>
          <w:iCs/>
          <w:color w:val="auto"/>
          <w:lang w:val="en-US"/>
        </w:rPr>
        <w:t>skin</w:t>
      </w:r>
      <w:r w:rsidRPr="00B247FF">
        <w:rPr>
          <w:iCs/>
          <w:color w:val="auto"/>
          <w:lang w:val="en-US"/>
        </w:rPr>
        <w:t>. If skin or nail reactions develop, start topical corticosteroids and topical and/or oral antibiotics. For Grade 3 or poorly-tolerated Grade 2 events, add systemic antibiotics and oral steroids and consider dermatolog</w:t>
      </w:r>
      <w:r w:rsidR="00BD5C43" w:rsidRPr="00B247FF">
        <w:rPr>
          <w:iCs/>
          <w:color w:val="auto"/>
          <w:lang w:val="en-US"/>
        </w:rPr>
        <w:t>y</w:t>
      </w:r>
      <w:r w:rsidRPr="00B247FF">
        <w:rPr>
          <w:iCs/>
          <w:color w:val="auto"/>
          <w:lang w:val="en-US"/>
        </w:rPr>
        <w:t xml:space="preserve"> consultation. </w:t>
      </w:r>
      <w:r w:rsidR="00163C4E" w:rsidRPr="00B247FF">
        <w:rPr>
          <w:iCs/>
          <w:color w:val="auto"/>
          <w:lang w:val="en-US"/>
        </w:rPr>
        <w:t xml:space="preserve">Promptly refer patients presenting with severe rash, atypical appearance or distribution, or lack of improvement within 2 weeks to a dermatologist. </w:t>
      </w:r>
      <w:r w:rsidR="00081A2D" w:rsidRPr="00B247FF">
        <w:rPr>
          <w:iCs/>
          <w:color w:val="auto"/>
          <w:lang w:val="en-US"/>
        </w:rPr>
        <w:t>Withhold, dose reduce, or permanently discontinue</w:t>
      </w:r>
      <w:r w:rsidRPr="00B247FF">
        <w:rPr>
          <w:iCs/>
          <w:color w:val="auto"/>
          <w:lang w:val="en-US"/>
        </w:rPr>
        <w:t xml:space="preserve"> </w:t>
      </w:r>
      <w:r w:rsidRPr="00B247FF">
        <w:t xml:space="preserve">RYBREVANT </w:t>
      </w:r>
      <w:r w:rsidRPr="00B247FF">
        <w:rPr>
          <w:iCs/>
          <w:color w:val="auto"/>
          <w:lang w:val="en-US"/>
        </w:rPr>
        <w:t xml:space="preserve">based on severity (see Section 4.2 Dose and </w:t>
      </w:r>
      <w:r w:rsidR="00BD5C43" w:rsidRPr="00B247FF">
        <w:rPr>
          <w:iCs/>
          <w:color w:val="auto"/>
          <w:lang w:val="en-US"/>
        </w:rPr>
        <w:t>m</w:t>
      </w:r>
      <w:r w:rsidRPr="00B247FF">
        <w:rPr>
          <w:iCs/>
          <w:color w:val="auto"/>
          <w:lang w:val="en-US"/>
        </w:rPr>
        <w:t xml:space="preserve">ethod of </w:t>
      </w:r>
      <w:r w:rsidR="00BD5C43" w:rsidRPr="00B247FF">
        <w:rPr>
          <w:iCs/>
          <w:color w:val="auto"/>
          <w:lang w:val="en-US"/>
        </w:rPr>
        <w:t>a</w:t>
      </w:r>
      <w:r w:rsidRPr="00B247FF">
        <w:rPr>
          <w:iCs/>
          <w:color w:val="auto"/>
          <w:lang w:val="en-US"/>
        </w:rPr>
        <w:t>dministration</w:t>
      </w:r>
      <w:r w:rsidR="00F65F49" w:rsidRPr="00B247FF">
        <w:rPr>
          <w:iCs/>
          <w:color w:val="auto"/>
          <w:lang w:val="en-US"/>
        </w:rPr>
        <w:t>, Table 6</w:t>
      </w:r>
      <w:r w:rsidRPr="00B247FF">
        <w:rPr>
          <w:iCs/>
          <w:color w:val="auto"/>
          <w:lang w:val="en-US"/>
        </w:rPr>
        <w:t>).</w:t>
      </w:r>
    </w:p>
    <w:p w14:paraId="53AFE71A" w14:textId="77777777" w:rsidR="00881267" w:rsidRPr="00B247FF" w:rsidRDefault="00881267" w:rsidP="00786F6E">
      <w:pPr>
        <w:rPr>
          <w:iCs/>
          <w:color w:val="auto"/>
        </w:rPr>
      </w:pPr>
    </w:p>
    <w:p w14:paraId="19D974EA" w14:textId="3703306A" w:rsidR="00F53031" w:rsidRPr="00B247FF" w:rsidRDefault="00260678" w:rsidP="00786F6E">
      <w:pPr>
        <w:pStyle w:val="Heading3"/>
        <w:jc w:val="left"/>
        <w:rPr>
          <w:rFonts w:eastAsiaTheme="minorHAnsi"/>
          <w:color w:val="auto"/>
        </w:rPr>
      </w:pPr>
      <w:r w:rsidRPr="00B247FF">
        <w:rPr>
          <w:rFonts w:eastAsiaTheme="minorHAnsi"/>
          <w:color w:val="auto"/>
          <w:lang w:val="en-US"/>
        </w:rPr>
        <w:t>Ocular toxicity</w:t>
      </w:r>
    </w:p>
    <w:p w14:paraId="3BC8169B" w14:textId="771A22D6" w:rsidR="00F53031" w:rsidRPr="00B247FF" w:rsidRDefault="00EC48B6" w:rsidP="00786F6E">
      <w:pPr>
        <w:rPr>
          <w:iCs/>
          <w:color w:val="auto"/>
          <w:lang w:val="en-US"/>
        </w:rPr>
      </w:pPr>
      <w:r w:rsidRPr="00B247FF">
        <w:rPr>
          <w:rFonts w:cs="Times New Roman"/>
          <w:iCs/>
          <w:lang w:val="en-US"/>
        </w:rPr>
        <w:t>Eye disorders, including keratitis (0.</w:t>
      </w:r>
      <w:r w:rsidR="00763995" w:rsidRPr="00B247FF">
        <w:rPr>
          <w:rFonts w:cs="Times New Roman"/>
          <w:iCs/>
          <w:lang w:val="en-US"/>
        </w:rPr>
        <w:t>5</w:t>
      </w:r>
      <w:r w:rsidRPr="00B247FF">
        <w:rPr>
          <w:rFonts w:cs="Times New Roman"/>
          <w:iCs/>
          <w:lang w:val="en-US"/>
        </w:rPr>
        <w:t>%)</w:t>
      </w:r>
      <w:r w:rsidR="00260678" w:rsidRPr="00B247FF">
        <w:rPr>
          <w:rFonts w:cs="Times New Roman"/>
          <w:iCs/>
          <w:lang w:val="en-US"/>
        </w:rPr>
        <w:t xml:space="preserve"> and uveitis (0.3%)</w:t>
      </w:r>
      <w:r w:rsidRPr="00B247FF">
        <w:rPr>
          <w:rFonts w:cs="Times New Roman"/>
          <w:iCs/>
          <w:lang w:val="en-US"/>
        </w:rPr>
        <w:t xml:space="preserve"> occurred in patients treated with </w:t>
      </w:r>
      <w:r w:rsidRPr="00B247FF">
        <w:rPr>
          <w:iCs/>
          <w:color w:val="auto"/>
          <w:lang w:val="en-US"/>
        </w:rPr>
        <w:t xml:space="preserve">RYBREVANT. Other reported adverse reactions included </w:t>
      </w:r>
      <w:bookmarkStart w:id="35" w:name="_Hlk53263797"/>
      <w:r w:rsidRPr="00B247FF">
        <w:rPr>
          <w:iCs/>
          <w:color w:val="auto"/>
          <w:lang w:val="en-US"/>
        </w:rPr>
        <w:t>dry eye, blurred vision, eye pruritus</w:t>
      </w:r>
      <w:bookmarkStart w:id="36" w:name="_Hlk48748442"/>
      <w:r w:rsidRPr="00B247FF">
        <w:rPr>
          <w:iCs/>
          <w:color w:val="auto"/>
          <w:lang w:val="en-US"/>
        </w:rPr>
        <w:t xml:space="preserve">, visual impairment, </w:t>
      </w:r>
      <w:bookmarkEnd w:id="36"/>
      <w:r w:rsidRPr="00B247FF">
        <w:rPr>
          <w:iCs/>
          <w:color w:val="auto"/>
          <w:lang w:val="en-US"/>
        </w:rPr>
        <w:t>aberrant eyelash growth</w:t>
      </w:r>
      <w:bookmarkEnd w:id="35"/>
      <w:r w:rsidR="00763995" w:rsidRPr="00B247FF">
        <w:rPr>
          <w:iCs/>
          <w:color w:val="auto"/>
          <w:lang w:val="en-US"/>
        </w:rPr>
        <w:t xml:space="preserve">, ocular </w:t>
      </w:r>
      <w:proofErr w:type="spellStart"/>
      <w:r w:rsidR="00763995" w:rsidRPr="00B247FF">
        <w:rPr>
          <w:iCs/>
          <w:color w:val="auto"/>
          <w:lang w:val="en-US"/>
        </w:rPr>
        <w:t>hyper</w:t>
      </w:r>
      <w:r w:rsidR="00144A68" w:rsidRPr="00B247FF">
        <w:rPr>
          <w:iCs/>
          <w:color w:val="auto"/>
          <w:lang w:val="en-US"/>
        </w:rPr>
        <w:t>a</w:t>
      </w:r>
      <w:r w:rsidR="00763995" w:rsidRPr="00B247FF">
        <w:rPr>
          <w:iCs/>
          <w:color w:val="auto"/>
          <w:lang w:val="en-US"/>
        </w:rPr>
        <w:t>emia</w:t>
      </w:r>
      <w:proofErr w:type="spellEnd"/>
      <w:r w:rsidR="00763995" w:rsidRPr="00B247FF">
        <w:rPr>
          <w:iCs/>
          <w:color w:val="auto"/>
          <w:lang w:val="en-US"/>
        </w:rPr>
        <w:t xml:space="preserve">, conjunctival </w:t>
      </w:r>
      <w:proofErr w:type="spellStart"/>
      <w:r w:rsidR="00763995" w:rsidRPr="00B247FF">
        <w:rPr>
          <w:iCs/>
          <w:color w:val="auto"/>
          <w:lang w:val="en-US"/>
        </w:rPr>
        <w:t>hyper</w:t>
      </w:r>
      <w:r w:rsidR="00144A68" w:rsidRPr="00B247FF">
        <w:rPr>
          <w:iCs/>
          <w:color w:val="auto"/>
          <w:lang w:val="en-US"/>
        </w:rPr>
        <w:t>a</w:t>
      </w:r>
      <w:r w:rsidR="00763995" w:rsidRPr="00B247FF">
        <w:rPr>
          <w:iCs/>
          <w:color w:val="auto"/>
          <w:lang w:val="en-US"/>
        </w:rPr>
        <w:t>emia</w:t>
      </w:r>
      <w:proofErr w:type="spellEnd"/>
      <w:r w:rsidR="00260678" w:rsidRPr="00B247FF">
        <w:rPr>
          <w:iCs/>
          <w:color w:val="auto"/>
          <w:lang w:val="en-US"/>
        </w:rPr>
        <w:t xml:space="preserve"> and</w:t>
      </w:r>
      <w:r w:rsidR="00763995" w:rsidRPr="00B247FF">
        <w:rPr>
          <w:iCs/>
          <w:color w:val="auto"/>
          <w:lang w:val="en-US"/>
        </w:rPr>
        <w:t xml:space="preserve"> blepharitis</w:t>
      </w:r>
      <w:r w:rsidRPr="00B247FF">
        <w:rPr>
          <w:iCs/>
          <w:color w:val="auto"/>
          <w:lang w:val="en-US"/>
        </w:rPr>
        <w:t>. All events were Grade 1-2. Refer patients presenting with worsening eye symptoms promptly to an ophthalmologist and advise discontinuation of contact lenses until symptoms are evaluated.</w:t>
      </w:r>
      <w:r w:rsidR="00A46DC8" w:rsidRPr="00B247FF">
        <w:rPr>
          <w:iCs/>
          <w:color w:val="auto"/>
          <w:lang w:val="en-US"/>
        </w:rPr>
        <w:t xml:space="preserve"> Withhold, dose reduce, or permanently discontinue RYBREVANT based on severity (see Section 4.2 Dose and method of administration, Table 6).</w:t>
      </w:r>
    </w:p>
    <w:p w14:paraId="59E0673E" w14:textId="77777777" w:rsidR="007D4BD6" w:rsidRPr="00B247FF" w:rsidRDefault="007D4BD6" w:rsidP="00786F6E">
      <w:pPr>
        <w:rPr>
          <w:iCs/>
          <w:color w:val="auto"/>
          <w:lang w:val="en-US"/>
        </w:rPr>
      </w:pPr>
    </w:p>
    <w:bookmarkEnd w:id="21"/>
    <w:p w14:paraId="544A4E40" w14:textId="3922E69A" w:rsidR="00BC48CF" w:rsidRPr="00B247FF" w:rsidRDefault="00BC48CF" w:rsidP="00786F6E">
      <w:pPr>
        <w:pStyle w:val="Heading3"/>
        <w:jc w:val="left"/>
        <w:rPr>
          <w:rFonts w:eastAsiaTheme="minorHAnsi"/>
          <w:color w:val="auto"/>
        </w:rPr>
      </w:pPr>
      <w:r w:rsidRPr="00B247FF">
        <w:rPr>
          <w:rFonts w:eastAsiaTheme="minorHAnsi"/>
          <w:color w:val="auto"/>
        </w:rPr>
        <w:t xml:space="preserve">Use in the </w:t>
      </w:r>
      <w:r w:rsidRPr="00B247FF">
        <w:rPr>
          <w:rFonts w:eastAsiaTheme="minorHAnsi"/>
          <w:color w:val="auto"/>
          <w:lang w:val="en-US"/>
        </w:rPr>
        <w:t>elderly</w:t>
      </w:r>
    </w:p>
    <w:p w14:paraId="0AF57711" w14:textId="2C218745" w:rsidR="000E3B34" w:rsidRPr="00B247FF" w:rsidRDefault="00A46DC8" w:rsidP="00786F6E">
      <w:pPr>
        <w:rPr>
          <w:color w:val="auto"/>
        </w:rPr>
      </w:pPr>
      <w:r w:rsidRPr="00B247FF">
        <w:rPr>
          <w:color w:val="auto"/>
        </w:rPr>
        <w:t>S</w:t>
      </w:r>
      <w:r w:rsidR="000E3B34" w:rsidRPr="00B247FF">
        <w:rPr>
          <w:color w:val="auto"/>
        </w:rPr>
        <w:t>ee section 4.2</w:t>
      </w:r>
      <w:r w:rsidRPr="00B247FF">
        <w:rPr>
          <w:color w:val="auto"/>
        </w:rPr>
        <w:t>.</w:t>
      </w:r>
    </w:p>
    <w:p w14:paraId="35D5FE31" w14:textId="77777777" w:rsidR="00C54EFD" w:rsidRPr="00B247FF" w:rsidRDefault="00C54EFD" w:rsidP="00786F6E">
      <w:pPr>
        <w:rPr>
          <w:color w:val="auto"/>
        </w:rPr>
      </w:pPr>
    </w:p>
    <w:p w14:paraId="31FB2468" w14:textId="1022225C" w:rsidR="00BC48CF" w:rsidRPr="00B247FF" w:rsidRDefault="00BC48CF" w:rsidP="00786F6E">
      <w:pPr>
        <w:pStyle w:val="Heading3"/>
        <w:jc w:val="left"/>
        <w:rPr>
          <w:rFonts w:eastAsiaTheme="minorHAnsi"/>
          <w:color w:val="auto"/>
        </w:rPr>
      </w:pPr>
      <w:r w:rsidRPr="00B247FF">
        <w:rPr>
          <w:rFonts w:eastAsiaTheme="minorHAnsi"/>
          <w:color w:val="auto"/>
        </w:rPr>
        <w:t>Paediatric use</w:t>
      </w:r>
    </w:p>
    <w:p w14:paraId="088CDA59" w14:textId="27102A16" w:rsidR="000E3B34" w:rsidRPr="00B247FF" w:rsidRDefault="00EC48B6" w:rsidP="00786F6E">
      <w:pPr>
        <w:rPr>
          <w:color w:val="auto"/>
        </w:rPr>
      </w:pPr>
      <w:r w:rsidRPr="00B247FF">
        <w:rPr>
          <w:bCs/>
          <w:color w:val="auto"/>
          <w:lang w:val="en-US"/>
        </w:rPr>
        <w:t xml:space="preserve">The safety and efficacy of RYBREVANT have not been established in </w:t>
      </w:r>
      <w:r w:rsidRPr="00B247FF">
        <w:rPr>
          <w:bCs/>
          <w:color w:val="auto"/>
        </w:rPr>
        <w:t>paediatric</w:t>
      </w:r>
      <w:r w:rsidRPr="00B247FF">
        <w:rPr>
          <w:bCs/>
          <w:color w:val="auto"/>
          <w:lang w:val="en-US"/>
        </w:rPr>
        <w:t xml:space="preserve"> patients.</w:t>
      </w:r>
    </w:p>
    <w:p w14:paraId="32183999" w14:textId="13EF9192" w:rsidR="00C54EFD" w:rsidRPr="00B247FF" w:rsidRDefault="00D03F82" w:rsidP="00786F6E">
      <w:pPr>
        <w:rPr>
          <w:color w:val="auto"/>
        </w:rPr>
      </w:pPr>
      <w:r w:rsidRPr="00B247FF">
        <w:rPr>
          <w:color w:val="auto"/>
        </w:rPr>
        <w:t xml:space="preserve"> </w:t>
      </w:r>
    </w:p>
    <w:p w14:paraId="326EE1D6" w14:textId="3EA28FEB" w:rsidR="00BC48CF" w:rsidRPr="00B247FF" w:rsidRDefault="00BC48CF" w:rsidP="00786F6E">
      <w:pPr>
        <w:pStyle w:val="Heading3"/>
        <w:jc w:val="left"/>
        <w:rPr>
          <w:rFonts w:eastAsiaTheme="minorHAnsi"/>
          <w:color w:val="auto"/>
        </w:rPr>
      </w:pPr>
      <w:r w:rsidRPr="00B247FF">
        <w:rPr>
          <w:rFonts w:eastAsiaTheme="minorHAnsi"/>
          <w:color w:val="auto"/>
        </w:rPr>
        <w:t>Effects o</w:t>
      </w:r>
      <w:r w:rsidR="00E92F25" w:rsidRPr="00B247FF">
        <w:rPr>
          <w:rFonts w:eastAsiaTheme="minorHAnsi"/>
          <w:color w:val="auto"/>
        </w:rPr>
        <w:t>n</w:t>
      </w:r>
      <w:r w:rsidRPr="00B247FF">
        <w:rPr>
          <w:rFonts w:eastAsiaTheme="minorHAnsi"/>
          <w:color w:val="auto"/>
        </w:rPr>
        <w:t xml:space="preserve"> laboratory tests</w:t>
      </w:r>
    </w:p>
    <w:p w14:paraId="60DAE80C" w14:textId="64A6D262" w:rsidR="00652E34" w:rsidRPr="00B247FF" w:rsidRDefault="00E92F25" w:rsidP="00786F6E">
      <w:pPr>
        <w:pStyle w:val="BodyText1"/>
        <w:jc w:val="left"/>
      </w:pPr>
      <w:r w:rsidRPr="00B247FF">
        <w:t>No data available.</w:t>
      </w:r>
    </w:p>
    <w:p w14:paraId="6EE1EB44" w14:textId="77777777" w:rsidR="00E92F25" w:rsidRPr="00B247FF" w:rsidRDefault="00E92F25" w:rsidP="00786F6E">
      <w:pPr>
        <w:pStyle w:val="BodyText1"/>
        <w:jc w:val="left"/>
      </w:pPr>
    </w:p>
    <w:p w14:paraId="7487C7D1" w14:textId="3C969430" w:rsidR="000F510E" w:rsidRPr="00B247FF" w:rsidRDefault="000F510E" w:rsidP="00786F6E">
      <w:pPr>
        <w:pStyle w:val="Heading2"/>
        <w:numPr>
          <w:ilvl w:val="1"/>
          <w:numId w:val="18"/>
        </w:numPr>
        <w:ind w:left="426" w:hanging="426"/>
        <w:jc w:val="left"/>
        <w:rPr>
          <w:color w:val="auto"/>
        </w:rPr>
      </w:pPr>
      <w:r w:rsidRPr="00B247FF">
        <w:rPr>
          <w:color w:val="auto"/>
        </w:rPr>
        <w:lastRenderedPageBreak/>
        <w:t>INTERACTIONS WITH OTHER MEDICINES AND OTHER FORMS OF INTERACTIONS</w:t>
      </w:r>
    </w:p>
    <w:p w14:paraId="4EBF162D" w14:textId="257A721B" w:rsidR="00BB6134" w:rsidRPr="00B247FF" w:rsidRDefault="00EC48B6" w:rsidP="00786F6E">
      <w:pPr>
        <w:rPr>
          <w:bCs/>
          <w:color w:val="auto"/>
          <w:lang w:val="en-US"/>
        </w:rPr>
      </w:pPr>
      <w:bookmarkStart w:id="37" w:name="_Hlk66965794"/>
      <w:r w:rsidRPr="00B247FF">
        <w:rPr>
          <w:bCs/>
          <w:color w:val="auto"/>
          <w:lang w:val="en-US"/>
        </w:rPr>
        <w:t>No drug interaction studies have been performed.</w:t>
      </w:r>
    </w:p>
    <w:bookmarkEnd w:id="37"/>
    <w:p w14:paraId="29996425" w14:textId="77777777" w:rsidR="00F53031" w:rsidRPr="00B247FF" w:rsidRDefault="00F53031" w:rsidP="00786F6E">
      <w:pPr>
        <w:rPr>
          <w:color w:val="auto"/>
        </w:rPr>
      </w:pPr>
    </w:p>
    <w:p w14:paraId="38324E9F" w14:textId="156A740B" w:rsidR="00706FA4" w:rsidRPr="00B247FF" w:rsidRDefault="00706FA4" w:rsidP="00786F6E">
      <w:pPr>
        <w:pStyle w:val="Heading2"/>
        <w:numPr>
          <w:ilvl w:val="1"/>
          <w:numId w:val="18"/>
        </w:numPr>
        <w:ind w:left="426" w:hanging="426"/>
        <w:jc w:val="left"/>
        <w:rPr>
          <w:color w:val="auto"/>
        </w:rPr>
      </w:pPr>
      <w:r w:rsidRPr="00B247FF">
        <w:rPr>
          <w:color w:val="auto"/>
        </w:rPr>
        <w:t>FERTILITY, PREGNANCY AND LACTATION</w:t>
      </w:r>
    </w:p>
    <w:p w14:paraId="4E2DAA23" w14:textId="2AB29F57" w:rsidR="005D32FA" w:rsidRPr="00B247FF" w:rsidRDefault="00EA5E71" w:rsidP="00786F6E">
      <w:pPr>
        <w:pStyle w:val="Heading3"/>
        <w:jc w:val="left"/>
        <w:rPr>
          <w:rFonts w:eastAsiaTheme="minorHAnsi"/>
          <w:color w:val="auto"/>
        </w:rPr>
      </w:pPr>
      <w:r w:rsidRPr="00B247FF">
        <w:rPr>
          <w:rFonts w:eastAsiaTheme="minorHAnsi"/>
          <w:color w:val="auto"/>
        </w:rPr>
        <w:t>Effects on fertility</w:t>
      </w:r>
    </w:p>
    <w:p w14:paraId="705B8A13" w14:textId="6EDBC655" w:rsidR="00CD61A4" w:rsidRPr="00B247FF" w:rsidRDefault="00C25725" w:rsidP="00786F6E">
      <w:r w:rsidRPr="00B247FF">
        <w:t xml:space="preserve">The effect of </w:t>
      </w:r>
      <w:proofErr w:type="spellStart"/>
      <w:r w:rsidR="00D13F01" w:rsidRPr="00B247FF">
        <w:rPr>
          <w:bCs/>
          <w:color w:val="auto"/>
          <w:lang w:val="en-US"/>
        </w:rPr>
        <w:t>amivantamab</w:t>
      </w:r>
      <w:proofErr w:type="spellEnd"/>
      <w:r w:rsidRPr="00B247FF">
        <w:t xml:space="preserve"> on fertility has not been studied.</w:t>
      </w:r>
      <w:r w:rsidR="001F74E4" w:rsidRPr="00B247FF">
        <w:t xml:space="preserve"> </w:t>
      </w:r>
    </w:p>
    <w:p w14:paraId="19FE9011" w14:textId="2C1E062D" w:rsidR="00EA5E71" w:rsidRPr="00B247FF" w:rsidRDefault="00EA5E71" w:rsidP="00786F6E">
      <w:pPr>
        <w:pStyle w:val="Heading3"/>
        <w:jc w:val="left"/>
        <w:rPr>
          <w:color w:val="auto"/>
        </w:rPr>
      </w:pPr>
      <w:r w:rsidRPr="00B247FF">
        <w:rPr>
          <w:color w:val="auto"/>
        </w:rPr>
        <w:t>Use in pregnancy</w:t>
      </w:r>
      <w:r w:rsidR="00A403D3" w:rsidRPr="00B247FF">
        <w:rPr>
          <w:color w:val="auto"/>
        </w:rPr>
        <w:t xml:space="preserve"> – </w:t>
      </w:r>
      <w:bookmarkStart w:id="38" w:name="_Hlk64891910"/>
      <w:r w:rsidR="00A403D3" w:rsidRPr="00B247FF">
        <w:rPr>
          <w:color w:val="auto"/>
        </w:rPr>
        <w:t xml:space="preserve">Pregnancy </w:t>
      </w:r>
      <w:bookmarkEnd w:id="38"/>
      <w:r w:rsidR="00836AB5" w:rsidRPr="00B247FF">
        <w:rPr>
          <w:color w:val="auto"/>
        </w:rPr>
        <w:t>Category D</w:t>
      </w:r>
    </w:p>
    <w:p w14:paraId="4FF85C45" w14:textId="2CE3128F" w:rsidR="000E3C29" w:rsidRPr="00B247FF" w:rsidRDefault="0013597A" w:rsidP="00786F6E">
      <w:pPr>
        <w:spacing w:after="240"/>
        <w:rPr>
          <w:color w:val="auto"/>
          <w:lang w:val="en-US"/>
        </w:rPr>
      </w:pPr>
      <w:bookmarkStart w:id="39" w:name="_Hlk39757348"/>
      <w:r w:rsidRPr="00B247FF">
        <w:rPr>
          <w:color w:val="auto"/>
          <w:lang w:val="en-US"/>
        </w:rPr>
        <w:t xml:space="preserve">Based on its mechanism of action and findings in animal studies, </w:t>
      </w:r>
      <w:r w:rsidR="00D13F01" w:rsidRPr="00B247FF">
        <w:t>amivantamab</w:t>
      </w:r>
      <w:r w:rsidRPr="00B247FF">
        <w:t xml:space="preserve"> </w:t>
      </w:r>
      <w:r w:rsidRPr="00B247FF">
        <w:rPr>
          <w:color w:val="auto"/>
          <w:lang w:val="en-US"/>
        </w:rPr>
        <w:t xml:space="preserve">could cause fetal harm </w:t>
      </w:r>
      <w:r w:rsidR="001F74E4" w:rsidRPr="00B247FF">
        <w:rPr>
          <w:color w:val="auto"/>
          <w:lang w:val="en-US"/>
        </w:rPr>
        <w:t>if</w:t>
      </w:r>
      <w:r w:rsidRPr="00B247FF">
        <w:rPr>
          <w:color w:val="auto"/>
          <w:lang w:val="en-US"/>
        </w:rPr>
        <w:t xml:space="preserve"> administered to a pregnant patient. </w:t>
      </w:r>
      <w:r w:rsidR="00D13F01" w:rsidRPr="00B247FF">
        <w:rPr>
          <w:color w:val="auto"/>
          <w:lang w:val="en-US"/>
        </w:rPr>
        <w:t xml:space="preserve">Whilst the use of amivantamab during pregnancy has not been studied, </w:t>
      </w:r>
      <w:bookmarkStart w:id="40" w:name="_Hlk43389556"/>
      <w:r w:rsidR="00384195" w:rsidRPr="00B247FF">
        <w:rPr>
          <w:color w:val="auto"/>
          <w:lang w:val="en-US"/>
        </w:rPr>
        <w:t>a</w:t>
      </w:r>
      <w:r w:rsidR="00836AB5" w:rsidRPr="00B247FF">
        <w:rPr>
          <w:color w:val="auto"/>
          <w:lang w:val="en-US"/>
        </w:rPr>
        <w:t xml:space="preserve">dministration of other EGFR </w:t>
      </w:r>
      <w:r w:rsidR="00D13F01" w:rsidRPr="00B247FF">
        <w:rPr>
          <w:color w:val="auto"/>
          <w:lang w:val="en-US"/>
        </w:rPr>
        <w:t xml:space="preserve">or </w:t>
      </w:r>
      <w:r w:rsidR="00836AB5" w:rsidRPr="00B247FF">
        <w:rPr>
          <w:color w:val="auto"/>
          <w:lang w:val="en-US"/>
        </w:rPr>
        <w:t xml:space="preserve">MET inhibitor molecules to pregnant animals has resulted in an increased incidence of impairment of embryo-fetal development, </w:t>
      </w:r>
      <w:proofErr w:type="spellStart"/>
      <w:r w:rsidR="00836AB5" w:rsidRPr="00B247FF">
        <w:rPr>
          <w:color w:val="auto"/>
          <w:lang w:val="en-US"/>
        </w:rPr>
        <w:t>embryolethality</w:t>
      </w:r>
      <w:proofErr w:type="spellEnd"/>
      <w:r w:rsidR="00836AB5" w:rsidRPr="00B247FF">
        <w:rPr>
          <w:color w:val="auto"/>
          <w:lang w:val="en-US"/>
        </w:rPr>
        <w:t xml:space="preserve">, and abortion. </w:t>
      </w:r>
      <w:bookmarkEnd w:id="40"/>
      <w:r w:rsidR="00782E1D" w:rsidRPr="00B247FF">
        <w:rPr>
          <w:color w:val="auto"/>
          <w:lang w:val="en-US"/>
        </w:rPr>
        <w:t xml:space="preserve">Human IgG1 is known to cross the placenta; therefore, </w:t>
      </w:r>
      <w:proofErr w:type="spellStart"/>
      <w:r w:rsidR="00782E1D" w:rsidRPr="00B247FF">
        <w:rPr>
          <w:color w:val="auto"/>
          <w:lang w:val="en-US"/>
        </w:rPr>
        <w:t>amivantamab</w:t>
      </w:r>
      <w:proofErr w:type="spellEnd"/>
      <w:r w:rsidR="00782E1D" w:rsidRPr="00B247FF">
        <w:rPr>
          <w:color w:val="auto"/>
          <w:lang w:val="en-US"/>
        </w:rPr>
        <w:t xml:space="preserve"> has the potential to be transmitted from a pregnant patient to the developing fetus. </w:t>
      </w:r>
      <w:r w:rsidR="00401954" w:rsidRPr="00B247FF">
        <w:rPr>
          <w:color w:val="auto"/>
          <w:lang w:val="en-US"/>
        </w:rPr>
        <w:t>Advise patients of the potential risk to a fetus.</w:t>
      </w:r>
      <w:r w:rsidR="00401954" w:rsidRPr="00B247FF">
        <w:t xml:space="preserve"> A</w:t>
      </w:r>
      <w:r w:rsidR="000E3C29" w:rsidRPr="00B247FF">
        <w:t xml:space="preserve">dvise female patients of reproductive potential to use effective contraception </w:t>
      </w:r>
      <w:r w:rsidR="00401954" w:rsidRPr="00B247FF">
        <w:t xml:space="preserve">(such as condoms) </w:t>
      </w:r>
      <w:r w:rsidR="000E3C29" w:rsidRPr="00B247FF">
        <w:t xml:space="preserve">during treatment and for 3 months after the last dose of RYBREVANT. </w:t>
      </w:r>
      <w:r w:rsidR="00401954" w:rsidRPr="00B247FF">
        <w:t>Advise m</w:t>
      </w:r>
      <w:r w:rsidR="000E3C29" w:rsidRPr="00B247FF">
        <w:t xml:space="preserve">ale patients </w:t>
      </w:r>
      <w:r w:rsidR="00A46DC8" w:rsidRPr="00B247FF">
        <w:t>not to donate or store semen and</w:t>
      </w:r>
      <w:r w:rsidR="00A46DC8" w:rsidRPr="00B247FF" w:rsidDel="00401954">
        <w:t xml:space="preserve"> </w:t>
      </w:r>
      <w:r w:rsidR="00401954" w:rsidRPr="00B247FF">
        <w:t xml:space="preserve">to </w:t>
      </w:r>
      <w:r w:rsidR="000E3C29" w:rsidRPr="00B247FF">
        <w:t>use effective contraception during treatment and for 3 months after the last dose of RYBREVANT.</w:t>
      </w:r>
      <w:bookmarkEnd w:id="39"/>
    </w:p>
    <w:p w14:paraId="66E9A665" w14:textId="3A9F0733" w:rsidR="00EA5E71" w:rsidRPr="00B247FF" w:rsidRDefault="00EA5E71" w:rsidP="00786F6E">
      <w:pPr>
        <w:pStyle w:val="Heading3"/>
        <w:jc w:val="left"/>
        <w:rPr>
          <w:color w:val="auto"/>
          <w:lang w:val="en-US"/>
        </w:rPr>
      </w:pPr>
      <w:r w:rsidRPr="00B247FF">
        <w:rPr>
          <w:color w:val="auto"/>
          <w:lang w:val="en-US"/>
        </w:rPr>
        <w:t>Use in lactation</w:t>
      </w:r>
    </w:p>
    <w:p w14:paraId="738D3503" w14:textId="25B832A4" w:rsidR="00EA5E71" w:rsidRPr="00B247FF" w:rsidRDefault="000E3C29" w:rsidP="00786F6E">
      <w:pPr>
        <w:spacing w:after="240"/>
        <w:rPr>
          <w:color w:val="auto"/>
        </w:rPr>
      </w:pPr>
      <w:bookmarkStart w:id="41" w:name="_Hlk42843675"/>
      <w:r w:rsidRPr="00B247FF">
        <w:rPr>
          <w:iCs/>
        </w:rPr>
        <w:t xml:space="preserve">It is not known whether </w:t>
      </w:r>
      <w:proofErr w:type="spellStart"/>
      <w:r w:rsidR="00BC4530" w:rsidRPr="00B247FF">
        <w:t>amivantamab</w:t>
      </w:r>
      <w:proofErr w:type="spellEnd"/>
      <w:r w:rsidRPr="00B247FF">
        <w:t xml:space="preserve"> </w:t>
      </w:r>
      <w:r w:rsidRPr="00B247FF">
        <w:rPr>
          <w:iCs/>
        </w:rPr>
        <w:t xml:space="preserve">is excreted in milk or affects milk production. </w:t>
      </w:r>
      <w:bookmarkStart w:id="42" w:name="_Hlk52312804"/>
      <w:bookmarkEnd w:id="41"/>
      <w:r w:rsidRPr="00B247FF">
        <w:rPr>
          <w:iCs/>
        </w:rPr>
        <w:t xml:space="preserve">Because of the potential for serious adverse reactions from </w:t>
      </w:r>
      <w:r w:rsidRPr="00B247FF">
        <w:t xml:space="preserve">RYBREVANT </w:t>
      </w:r>
      <w:r w:rsidRPr="00B247FF">
        <w:rPr>
          <w:iCs/>
        </w:rPr>
        <w:t xml:space="preserve">in </w:t>
      </w:r>
      <w:r w:rsidR="00401954" w:rsidRPr="00B247FF">
        <w:rPr>
          <w:iCs/>
        </w:rPr>
        <w:t xml:space="preserve">a </w:t>
      </w:r>
      <w:r w:rsidRPr="00B247FF">
        <w:rPr>
          <w:iCs/>
        </w:rPr>
        <w:t xml:space="preserve">breastfed </w:t>
      </w:r>
      <w:r w:rsidR="00401954" w:rsidRPr="00B247FF">
        <w:rPr>
          <w:iCs/>
        </w:rPr>
        <w:t>child</w:t>
      </w:r>
      <w:r w:rsidRPr="00B247FF">
        <w:rPr>
          <w:iCs/>
        </w:rPr>
        <w:t xml:space="preserve">, advise </w:t>
      </w:r>
      <w:r w:rsidR="00401954" w:rsidRPr="00B247FF">
        <w:rPr>
          <w:iCs/>
        </w:rPr>
        <w:t xml:space="preserve">patients </w:t>
      </w:r>
      <w:r w:rsidRPr="00B247FF">
        <w:rPr>
          <w:iCs/>
        </w:rPr>
        <w:t xml:space="preserve">not to </w:t>
      </w:r>
      <w:r w:rsidRPr="00B247FF">
        <w:t>breastfeed</w:t>
      </w:r>
      <w:r w:rsidRPr="00B247FF">
        <w:rPr>
          <w:iCs/>
        </w:rPr>
        <w:t xml:space="preserve"> during treatment with </w:t>
      </w:r>
      <w:r w:rsidRPr="00B247FF">
        <w:t xml:space="preserve">RYBREVANT </w:t>
      </w:r>
      <w:r w:rsidRPr="00B247FF">
        <w:rPr>
          <w:iCs/>
        </w:rPr>
        <w:t xml:space="preserve">and for 3 months following the last dose of </w:t>
      </w:r>
      <w:r w:rsidRPr="00B247FF">
        <w:t>RYBREVANT</w:t>
      </w:r>
      <w:r w:rsidRPr="00B247FF">
        <w:rPr>
          <w:iCs/>
        </w:rPr>
        <w:t>.</w:t>
      </w:r>
      <w:bookmarkEnd w:id="42"/>
    </w:p>
    <w:p w14:paraId="28FA0EA2" w14:textId="0F2F690C" w:rsidR="0088073D" w:rsidRPr="00B247FF" w:rsidRDefault="000F510E" w:rsidP="00786F6E">
      <w:pPr>
        <w:pStyle w:val="Heading2"/>
        <w:numPr>
          <w:ilvl w:val="1"/>
          <w:numId w:val="18"/>
        </w:numPr>
        <w:ind w:left="426" w:hanging="426"/>
        <w:jc w:val="left"/>
        <w:rPr>
          <w:color w:val="auto"/>
        </w:rPr>
      </w:pPr>
      <w:r w:rsidRPr="00B247FF">
        <w:rPr>
          <w:color w:val="auto"/>
        </w:rPr>
        <w:t xml:space="preserve">EFFECTS OF ABILITY TO DRIVE AND </w:t>
      </w:r>
      <w:r w:rsidR="00367541" w:rsidRPr="00B247FF">
        <w:rPr>
          <w:color w:val="auto"/>
        </w:rPr>
        <w:t>USE</w:t>
      </w:r>
      <w:r w:rsidRPr="00B247FF">
        <w:rPr>
          <w:color w:val="auto"/>
        </w:rPr>
        <w:t xml:space="preserve"> MACHINES</w:t>
      </w:r>
    </w:p>
    <w:p w14:paraId="03E67B15" w14:textId="32F98824" w:rsidR="00C2178D" w:rsidRPr="00B247FF" w:rsidRDefault="00697A2C" w:rsidP="00786F6E">
      <w:pPr>
        <w:spacing w:after="240"/>
      </w:pPr>
      <w:r w:rsidRPr="00B247FF">
        <w:rPr>
          <w:iCs/>
        </w:rPr>
        <w:t xml:space="preserve">No studies on the effects on the ability to drive and use machines have been performed. If patients experience treatment-related symptoms affecting their ability to concentrate and react, it is recommended that they do not drive or use machines </w:t>
      </w:r>
      <w:r w:rsidR="00401954" w:rsidRPr="00B247FF">
        <w:rPr>
          <w:iCs/>
        </w:rPr>
        <w:t>whilst affected</w:t>
      </w:r>
      <w:r w:rsidRPr="00B247FF">
        <w:rPr>
          <w:iCs/>
        </w:rPr>
        <w:t>.</w:t>
      </w:r>
    </w:p>
    <w:p w14:paraId="7B911FF8" w14:textId="35D8BA92" w:rsidR="000F510E" w:rsidRPr="00B247FF" w:rsidRDefault="000F510E" w:rsidP="00786F6E">
      <w:pPr>
        <w:pStyle w:val="Heading2"/>
        <w:numPr>
          <w:ilvl w:val="1"/>
          <w:numId w:val="18"/>
        </w:numPr>
        <w:ind w:left="426" w:hanging="426"/>
        <w:jc w:val="left"/>
        <w:rPr>
          <w:color w:val="auto"/>
        </w:rPr>
      </w:pPr>
      <w:r w:rsidRPr="00B247FF">
        <w:rPr>
          <w:color w:val="auto"/>
        </w:rPr>
        <w:t>ADVERSE EFFECTS (UNDESIRABLE EFFECTS)</w:t>
      </w:r>
    </w:p>
    <w:p w14:paraId="73743CCB" w14:textId="611BA810" w:rsidR="0099109B" w:rsidRPr="00B247FF" w:rsidRDefault="0099109B" w:rsidP="00786F6E">
      <w:pPr>
        <w:pStyle w:val="Heading3"/>
        <w:jc w:val="left"/>
        <w:rPr>
          <w:color w:val="auto"/>
          <w:lang w:val="en-US"/>
        </w:rPr>
      </w:pPr>
      <w:r w:rsidRPr="00B247FF">
        <w:rPr>
          <w:color w:val="auto"/>
          <w:lang w:val="en-US"/>
        </w:rPr>
        <w:t>Clinical trial data</w:t>
      </w:r>
    </w:p>
    <w:p w14:paraId="6D9F2A54" w14:textId="33440973" w:rsidR="003A5CC5" w:rsidRPr="00B247FF" w:rsidRDefault="003A5CC5" w:rsidP="00786F6E">
      <w:pPr>
        <w:pStyle w:val="BodyText"/>
        <w:jc w:val="left"/>
        <w:rPr>
          <w:color w:val="auto"/>
          <w:lang w:val="en-US"/>
        </w:rPr>
      </w:pPr>
      <w:bookmarkStart w:id="43" w:name="_Hlk82612330"/>
      <w:r w:rsidRPr="00B247FF">
        <w:rPr>
          <w:color w:val="auto"/>
          <w:lang w:val="en-US"/>
        </w:rPr>
        <w:t>Because clinical trials are conducted under widely varying conditions, adverse reaction rates observed in the clinical trials of a drug cannot be directly compared to rates in the clinical trials of another drug and may not reflect the rates observed in practice.</w:t>
      </w:r>
    </w:p>
    <w:p w14:paraId="542B6209" w14:textId="77777777" w:rsidR="003A5CC5" w:rsidRPr="00B247FF" w:rsidRDefault="003A5CC5" w:rsidP="00786F6E">
      <w:pPr>
        <w:pStyle w:val="BodyText"/>
        <w:jc w:val="left"/>
        <w:rPr>
          <w:color w:val="auto"/>
          <w:lang w:val="en-US"/>
        </w:rPr>
      </w:pPr>
    </w:p>
    <w:p w14:paraId="0E27C7A3" w14:textId="48781776" w:rsidR="003A5CC5" w:rsidRPr="00B247FF" w:rsidRDefault="003A5CC5" w:rsidP="00786F6E">
      <w:pPr>
        <w:pStyle w:val="BodyText"/>
        <w:jc w:val="left"/>
        <w:rPr>
          <w:color w:val="auto"/>
          <w:lang w:val="en-US"/>
        </w:rPr>
      </w:pPr>
      <w:r w:rsidRPr="00B247FF">
        <w:rPr>
          <w:color w:val="auto"/>
          <w:lang w:val="en-US"/>
        </w:rPr>
        <w:t>The safety of RYBREVANT was evaluated in Study EDI1001, which included 153 patients with locally advanced or metastatic NSCLC with EGFR exon 20 mutations whose disease ha</w:t>
      </w:r>
      <w:r w:rsidR="00907CA3" w:rsidRPr="00B247FF">
        <w:rPr>
          <w:color w:val="auto"/>
          <w:lang w:val="en-US"/>
        </w:rPr>
        <w:t>d</w:t>
      </w:r>
      <w:r w:rsidRPr="00B247FF">
        <w:rPr>
          <w:color w:val="auto"/>
          <w:lang w:val="en-US"/>
        </w:rPr>
        <w:t xml:space="preserve"> progressed on or after platinum-based chemotherapy</w:t>
      </w:r>
      <w:r w:rsidR="00907CA3" w:rsidRPr="00B247FF">
        <w:rPr>
          <w:color w:val="auto"/>
          <w:lang w:val="en-US"/>
        </w:rPr>
        <w:t xml:space="preserve"> (see 5.1 Clinical trials)</w:t>
      </w:r>
      <w:r w:rsidRPr="00B247FF">
        <w:rPr>
          <w:color w:val="auto"/>
          <w:lang w:val="en-US"/>
        </w:rPr>
        <w:t xml:space="preserve">. Patients received RYBREVANT 1050 mg (for patients &lt; 80 kg) or 1400 mg (for patients ≥80 kg) by intravenous infusion once weekly for </w:t>
      </w:r>
      <w:r w:rsidR="000F39CE" w:rsidRPr="00B247FF">
        <w:rPr>
          <w:color w:val="auto"/>
          <w:lang w:val="en-US"/>
        </w:rPr>
        <w:t>4</w:t>
      </w:r>
      <w:r w:rsidRPr="00B247FF">
        <w:rPr>
          <w:color w:val="auto"/>
          <w:lang w:val="en-US"/>
        </w:rPr>
        <w:t xml:space="preserve"> weeks, then every 2 weeks </w:t>
      </w:r>
      <w:r w:rsidR="000F39CE" w:rsidRPr="00B247FF">
        <w:rPr>
          <w:color w:val="auto"/>
          <w:lang w:val="en-US"/>
        </w:rPr>
        <w:t>starting at Week 5</w:t>
      </w:r>
      <w:r w:rsidRPr="00B247FF">
        <w:rPr>
          <w:color w:val="auto"/>
          <w:lang w:val="en-US"/>
        </w:rPr>
        <w:t xml:space="preserve"> until disease progression or unacceptable toxicity. The median treatment duration was 5.6 months (range: 0.0 to 23.9 months)</w:t>
      </w:r>
      <w:r w:rsidR="00907CA3" w:rsidRPr="00B247FF">
        <w:rPr>
          <w:color w:val="auto"/>
          <w:lang w:val="en-US"/>
        </w:rPr>
        <w:t xml:space="preserve">: </w:t>
      </w:r>
      <w:r w:rsidR="008B39D8" w:rsidRPr="00B247FF">
        <w:rPr>
          <w:color w:val="auto"/>
          <w:lang w:val="en-US"/>
        </w:rPr>
        <w:t>46</w:t>
      </w:r>
      <w:r w:rsidR="00907CA3" w:rsidRPr="00B247FF">
        <w:rPr>
          <w:color w:val="auto"/>
          <w:lang w:val="en-US"/>
        </w:rPr>
        <w:t xml:space="preserve">% of patients were exposed for 6 months or longer and </w:t>
      </w:r>
      <w:r w:rsidR="008B39D8" w:rsidRPr="00B247FF">
        <w:rPr>
          <w:color w:val="auto"/>
          <w:lang w:val="en-US"/>
        </w:rPr>
        <w:t>22</w:t>
      </w:r>
      <w:r w:rsidR="00907CA3" w:rsidRPr="00B247FF">
        <w:rPr>
          <w:color w:val="auto"/>
          <w:lang w:val="en-US"/>
        </w:rPr>
        <w:t>% were exposed for longer than a year</w:t>
      </w:r>
      <w:r w:rsidRPr="00B247FF">
        <w:rPr>
          <w:color w:val="auto"/>
          <w:lang w:val="en-US"/>
        </w:rPr>
        <w:t>.</w:t>
      </w:r>
    </w:p>
    <w:p w14:paraId="44E24C1B" w14:textId="77777777" w:rsidR="003A5CC5" w:rsidRPr="00B247FF" w:rsidRDefault="003A5CC5" w:rsidP="00786F6E">
      <w:pPr>
        <w:pStyle w:val="BodyText"/>
        <w:jc w:val="left"/>
        <w:rPr>
          <w:color w:val="auto"/>
          <w:lang w:val="en-US"/>
        </w:rPr>
      </w:pPr>
    </w:p>
    <w:p w14:paraId="1FC7613D" w14:textId="4756232C" w:rsidR="00B247FF" w:rsidRDefault="003A5CC5" w:rsidP="00786F6E">
      <w:pPr>
        <w:pStyle w:val="BodyText"/>
        <w:jc w:val="left"/>
        <w:rPr>
          <w:color w:val="auto"/>
          <w:lang w:val="en-US"/>
        </w:rPr>
      </w:pPr>
      <w:r w:rsidRPr="00B247FF">
        <w:rPr>
          <w:color w:val="auto"/>
          <w:lang w:val="en-US"/>
        </w:rPr>
        <w:t xml:space="preserve">The most common adverse reactions </w:t>
      </w:r>
      <w:r w:rsidR="00401954" w:rsidRPr="00B247FF">
        <w:rPr>
          <w:color w:val="auto"/>
          <w:lang w:val="en-US"/>
        </w:rPr>
        <w:t>(</w:t>
      </w:r>
      <w:r w:rsidRPr="00B247FF">
        <w:rPr>
          <w:color w:val="auto"/>
          <w:lang w:val="en-US"/>
        </w:rPr>
        <w:t>≥20%</w:t>
      </w:r>
      <w:r w:rsidR="00401954" w:rsidRPr="00B247FF">
        <w:rPr>
          <w:color w:val="auto"/>
          <w:lang w:val="en-US"/>
        </w:rPr>
        <w:t xml:space="preserve"> incidence)</w:t>
      </w:r>
      <w:r w:rsidRPr="00B247FF">
        <w:rPr>
          <w:color w:val="auto"/>
          <w:lang w:val="en-US"/>
        </w:rPr>
        <w:t xml:space="preserve"> were rash, IRR, nail toxicity, </w:t>
      </w:r>
      <w:proofErr w:type="spellStart"/>
      <w:r w:rsidRPr="00B247FF">
        <w:rPr>
          <w:color w:val="auto"/>
          <w:lang w:val="en-US"/>
        </w:rPr>
        <w:t>hypoalbuminaemia</w:t>
      </w:r>
      <w:proofErr w:type="spellEnd"/>
      <w:r w:rsidRPr="00B247FF">
        <w:rPr>
          <w:color w:val="auto"/>
          <w:lang w:val="en-US"/>
        </w:rPr>
        <w:t>, fatigue, oedema, stomatitis, nausea, constipation, dry skin, and alanine aminotransferase increased. Serious adverse reactions in &gt;1% of patients included ILD, diarrh</w:t>
      </w:r>
      <w:r w:rsidR="00401954" w:rsidRPr="00B247FF">
        <w:rPr>
          <w:color w:val="auto"/>
          <w:lang w:val="en-US"/>
        </w:rPr>
        <w:t>o</w:t>
      </w:r>
      <w:r w:rsidRPr="00B247FF">
        <w:rPr>
          <w:color w:val="auto"/>
          <w:lang w:val="en-US"/>
        </w:rPr>
        <w:t>ea, IRR, and rash. Five percent of patients discontinued RYBREVANT due to adverse reactions. The most frequent adverse reactions leading to treatment discontinuation were IRR and ILD.</w:t>
      </w:r>
    </w:p>
    <w:p w14:paraId="1D2EF39C" w14:textId="77777777" w:rsidR="00907CA3" w:rsidRPr="00B247FF" w:rsidRDefault="00907CA3" w:rsidP="00786F6E">
      <w:pPr>
        <w:pStyle w:val="BodyText"/>
        <w:jc w:val="left"/>
        <w:rPr>
          <w:color w:val="auto"/>
        </w:rPr>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9"/>
        <w:gridCol w:w="1763"/>
        <w:gridCol w:w="1299"/>
        <w:gridCol w:w="1407"/>
      </w:tblGrid>
      <w:tr w:rsidR="003A5CC5" w:rsidRPr="00B247FF" w14:paraId="2892AD39" w14:textId="77777777" w:rsidTr="003A5CC5">
        <w:trPr>
          <w:cantSplit/>
          <w:trHeight w:val="702"/>
          <w:jc w:val="center"/>
        </w:trPr>
        <w:tc>
          <w:tcPr>
            <w:tcW w:w="9288" w:type="dxa"/>
            <w:gridSpan w:val="4"/>
            <w:tcBorders>
              <w:top w:val="nil"/>
              <w:left w:val="nil"/>
              <w:right w:val="nil"/>
            </w:tcBorders>
            <w:shd w:val="clear" w:color="auto" w:fill="auto"/>
            <w:tcMar>
              <w:left w:w="67" w:type="dxa"/>
              <w:right w:w="67" w:type="dxa"/>
            </w:tcMar>
            <w:vAlign w:val="bottom"/>
          </w:tcPr>
          <w:bookmarkEnd w:id="43"/>
          <w:p w14:paraId="2F1A8CA7" w14:textId="42A4C664" w:rsidR="003A5CC5" w:rsidRPr="00B247FF" w:rsidRDefault="003A5CC5" w:rsidP="00786F6E">
            <w:pPr>
              <w:adjustRightInd w:val="0"/>
              <w:rPr>
                <w:b/>
                <w:bCs/>
                <w:sz w:val="20"/>
                <w:szCs w:val="20"/>
                <w:lang w:val="en-US"/>
              </w:rPr>
            </w:pPr>
            <w:r w:rsidRPr="00B247FF">
              <w:rPr>
                <w:b/>
                <w:bCs/>
                <w:sz w:val="20"/>
                <w:szCs w:val="20"/>
                <w:lang w:val="en-US"/>
              </w:rPr>
              <w:t>Table </w:t>
            </w:r>
            <w:r w:rsidR="00993BF0" w:rsidRPr="00B247FF">
              <w:rPr>
                <w:b/>
                <w:bCs/>
                <w:sz w:val="20"/>
                <w:szCs w:val="20"/>
                <w:lang w:val="en-US"/>
              </w:rPr>
              <w:t>7</w:t>
            </w:r>
            <w:r w:rsidRPr="00B247FF">
              <w:rPr>
                <w:b/>
                <w:bCs/>
                <w:sz w:val="20"/>
                <w:szCs w:val="20"/>
                <w:lang w:val="en-US"/>
              </w:rPr>
              <w:t xml:space="preserve">:  Adverse reactions (≥10%) in </w:t>
            </w:r>
            <w:r w:rsidR="00907CA3" w:rsidRPr="00B247FF">
              <w:rPr>
                <w:b/>
                <w:bCs/>
                <w:sz w:val="20"/>
                <w:szCs w:val="20"/>
                <w:lang w:val="en-US"/>
              </w:rPr>
              <w:t>p</w:t>
            </w:r>
            <w:r w:rsidRPr="00B247FF">
              <w:rPr>
                <w:b/>
                <w:bCs/>
                <w:sz w:val="20"/>
                <w:szCs w:val="20"/>
                <w:lang w:val="en-US"/>
              </w:rPr>
              <w:t xml:space="preserve">atients with NSCLC with </w:t>
            </w:r>
            <w:r w:rsidR="00907CA3" w:rsidRPr="00B247FF">
              <w:rPr>
                <w:b/>
                <w:bCs/>
                <w:sz w:val="20"/>
                <w:szCs w:val="20"/>
                <w:lang w:val="en-US"/>
              </w:rPr>
              <w:t>e</w:t>
            </w:r>
            <w:r w:rsidRPr="00B247FF">
              <w:rPr>
                <w:b/>
                <w:bCs/>
                <w:sz w:val="20"/>
                <w:szCs w:val="20"/>
                <w:lang w:val="en-US"/>
              </w:rPr>
              <w:t xml:space="preserve">xon 20 </w:t>
            </w:r>
            <w:r w:rsidR="00907CA3" w:rsidRPr="00B247FF">
              <w:rPr>
                <w:b/>
                <w:bCs/>
                <w:sz w:val="20"/>
                <w:szCs w:val="20"/>
                <w:lang w:val="en-US"/>
              </w:rPr>
              <w:t>i</w:t>
            </w:r>
            <w:r w:rsidRPr="00B247FF">
              <w:rPr>
                <w:b/>
                <w:bCs/>
                <w:sz w:val="20"/>
                <w:szCs w:val="20"/>
                <w:lang w:val="en-US"/>
              </w:rPr>
              <w:t xml:space="preserve">nsertion </w:t>
            </w:r>
            <w:r w:rsidR="00907CA3" w:rsidRPr="00B247FF">
              <w:rPr>
                <w:b/>
                <w:bCs/>
                <w:sz w:val="20"/>
                <w:szCs w:val="20"/>
                <w:lang w:val="en-US"/>
              </w:rPr>
              <w:t>m</w:t>
            </w:r>
            <w:r w:rsidRPr="00B247FF">
              <w:rPr>
                <w:b/>
                <w:bCs/>
                <w:sz w:val="20"/>
                <w:szCs w:val="20"/>
                <w:lang w:val="en-US"/>
              </w:rPr>
              <w:t xml:space="preserve">utations </w:t>
            </w:r>
            <w:r w:rsidR="00907CA3" w:rsidRPr="00B247FF">
              <w:rPr>
                <w:b/>
                <w:bCs/>
                <w:sz w:val="20"/>
                <w:szCs w:val="20"/>
                <w:lang w:val="en-US"/>
              </w:rPr>
              <w:t xml:space="preserve">whose disease had progressed on or after platinum-based chemotherapy and received RYBREVANT </w:t>
            </w:r>
            <w:r w:rsidRPr="00B247FF">
              <w:rPr>
                <w:b/>
                <w:bCs/>
                <w:sz w:val="20"/>
                <w:szCs w:val="20"/>
                <w:lang w:val="en-US"/>
              </w:rPr>
              <w:t>in Study EDI1001 (N=153)</w:t>
            </w:r>
          </w:p>
        </w:tc>
      </w:tr>
      <w:tr w:rsidR="003A5CC5" w:rsidRPr="00B247FF" w14:paraId="6C67F957" w14:textId="77777777" w:rsidTr="003A5CC5">
        <w:trPr>
          <w:cantSplit/>
          <w:trHeight w:val="702"/>
          <w:jc w:val="center"/>
        </w:trPr>
        <w:tc>
          <w:tcPr>
            <w:tcW w:w="4819" w:type="dxa"/>
            <w:shd w:val="clear" w:color="auto" w:fill="auto"/>
            <w:tcMar>
              <w:left w:w="67" w:type="dxa"/>
              <w:right w:w="67" w:type="dxa"/>
            </w:tcMar>
            <w:vAlign w:val="bottom"/>
          </w:tcPr>
          <w:p w14:paraId="2A742951" w14:textId="77777777" w:rsidR="003A5CC5" w:rsidRPr="00B247FF" w:rsidRDefault="003A5CC5" w:rsidP="00786F6E">
            <w:pPr>
              <w:adjustRightInd w:val="0"/>
              <w:rPr>
                <w:b/>
                <w:bCs/>
                <w:sz w:val="20"/>
                <w:szCs w:val="20"/>
                <w:lang w:val="en-US"/>
              </w:rPr>
            </w:pPr>
            <w:r w:rsidRPr="00B247FF">
              <w:rPr>
                <w:b/>
                <w:bCs/>
                <w:sz w:val="20"/>
                <w:szCs w:val="20"/>
                <w:lang w:val="en-US"/>
              </w:rPr>
              <w:t>System Organ Class</w:t>
            </w:r>
          </w:p>
          <w:p w14:paraId="4561C053" w14:textId="77777777" w:rsidR="003A5CC5" w:rsidRPr="00B247FF" w:rsidRDefault="003A5CC5" w:rsidP="00786F6E">
            <w:pPr>
              <w:adjustRightInd w:val="0"/>
              <w:rPr>
                <w:sz w:val="20"/>
                <w:szCs w:val="20"/>
                <w:lang w:val="en-US"/>
              </w:rPr>
            </w:pPr>
            <w:r w:rsidRPr="00B247FF">
              <w:rPr>
                <w:sz w:val="20"/>
                <w:szCs w:val="20"/>
                <w:lang w:val="en-US"/>
              </w:rPr>
              <w:t>Adverse Reaction</w:t>
            </w:r>
          </w:p>
        </w:tc>
        <w:tc>
          <w:tcPr>
            <w:tcW w:w="1763" w:type="dxa"/>
            <w:shd w:val="clear" w:color="auto" w:fill="auto"/>
          </w:tcPr>
          <w:p w14:paraId="521BF6F5" w14:textId="77777777" w:rsidR="003A5CC5" w:rsidRPr="00B247FF" w:rsidRDefault="003A5CC5" w:rsidP="00786F6E">
            <w:pPr>
              <w:adjustRightInd w:val="0"/>
              <w:rPr>
                <w:b/>
                <w:bCs/>
                <w:sz w:val="20"/>
                <w:szCs w:val="20"/>
                <w:lang w:val="en-US"/>
              </w:rPr>
            </w:pPr>
            <w:r w:rsidRPr="00B247FF">
              <w:rPr>
                <w:b/>
                <w:bCs/>
                <w:sz w:val="20"/>
                <w:szCs w:val="20"/>
                <w:lang w:val="en-US"/>
              </w:rPr>
              <w:t>Frequency</w:t>
            </w:r>
          </w:p>
          <w:p w14:paraId="15DE07CC" w14:textId="77777777" w:rsidR="003A5CC5" w:rsidRPr="00B247FF" w:rsidRDefault="003A5CC5" w:rsidP="00786F6E">
            <w:pPr>
              <w:adjustRightInd w:val="0"/>
              <w:rPr>
                <w:b/>
                <w:bCs/>
                <w:sz w:val="20"/>
                <w:szCs w:val="20"/>
                <w:lang w:val="en-US"/>
              </w:rPr>
            </w:pPr>
            <w:r w:rsidRPr="00B247FF">
              <w:rPr>
                <w:b/>
                <w:bCs/>
                <w:sz w:val="20"/>
                <w:szCs w:val="20"/>
                <w:lang w:val="en-US"/>
              </w:rPr>
              <w:t>Category</w:t>
            </w:r>
          </w:p>
        </w:tc>
        <w:tc>
          <w:tcPr>
            <w:tcW w:w="1299" w:type="dxa"/>
            <w:shd w:val="clear" w:color="auto" w:fill="auto"/>
          </w:tcPr>
          <w:p w14:paraId="01DDDB14" w14:textId="77777777" w:rsidR="003A5CC5" w:rsidRPr="00B247FF" w:rsidRDefault="003A5CC5" w:rsidP="00786F6E">
            <w:pPr>
              <w:adjustRightInd w:val="0"/>
              <w:rPr>
                <w:b/>
                <w:bCs/>
                <w:sz w:val="20"/>
                <w:szCs w:val="20"/>
                <w:lang w:val="en-US"/>
              </w:rPr>
            </w:pPr>
            <w:r w:rsidRPr="00B247FF">
              <w:rPr>
                <w:b/>
                <w:bCs/>
                <w:sz w:val="20"/>
                <w:szCs w:val="20"/>
                <w:lang w:val="en-US"/>
              </w:rPr>
              <w:t>All Grades (%)</w:t>
            </w:r>
          </w:p>
        </w:tc>
        <w:tc>
          <w:tcPr>
            <w:tcW w:w="1407" w:type="dxa"/>
            <w:shd w:val="clear" w:color="auto" w:fill="auto"/>
          </w:tcPr>
          <w:p w14:paraId="372A4A0F" w14:textId="77777777" w:rsidR="003A5CC5" w:rsidRPr="00B247FF" w:rsidRDefault="003A5CC5" w:rsidP="00786F6E">
            <w:pPr>
              <w:adjustRightInd w:val="0"/>
              <w:rPr>
                <w:b/>
                <w:bCs/>
                <w:sz w:val="20"/>
                <w:szCs w:val="20"/>
                <w:lang w:val="en-US"/>
              </w:rPr>
            </w:pPr>
            <w:r w:rsidRPr="00B247FF">
              <w:rPr>
                <w:b/>
                <w:bCs/>
                <w:sz w:val="20"/>
                <w:szCs w:val="20"/>
                <w:lang w:val="en-US"/>
              </w:rPr>
              <w:t xml:space="preserve">Grade 3-4 </w:t>
            </w:r>
            <w:r w:rsidRPr="00B247FF">
              <w:rPr>
                <w:b/>
                <w:bCs/>
                <w:sz w:val="20"/>
                <w:szCs w:val="20"/>
                <w:lang w:val="en-US"/>
              </w:rPr>
              <w:br/>
              <w:t>(%)</w:t>
            </w:r>
          </w:p>
        </w:tc>
      </w:tr>
      <w:tr w:rsidR="003A5CC5" w:rsidRPr="00B247FF" w14:paraId="76803330" w14:textId="77777777" w:rsidTr="003A5CC5">
        <w:trPr>
          <w:cantSplit/>
          <w:jc w:val="center"/>
        </w:trPr>
        <w:tc>
          <w:tcPr>
            <w:tcW w:w="9288" w:type="dxa"/>
            <w:gridSpan w:val="4"/>
            <w:shd w:val="clear" w:color="auto" w:fill="auto"/>
            <w:tcMar>
              <w:left w:w="67" w:type="dxa"/>
              <w:right w:w="67" w:type="dxa"/>
            </w:tcMar>
          </w:tcPr>
          <w:p w14:paraId="6BD571EB" w14:textId="77777777" w:rsidR="003A5CC5" w:rsidRPr="00B247FF" w:rsidRDefault="003A5CC5" w:rsidP="00786F6E">
            <w:pPr>
              <w:adjustRightInd w:val="0"/>
              <w:rPr>
                <w:b/>
                <w:bCs/>
                <w:sz w:val="20"/>
                <w:szCs w:val="20"/>
                <w:lang w:val="en-US"/>
              </w:rPr>
            </w:pPr>
            <w:r w:rsidRPr="00B247FF">
              <w:rPr>
                <w:b/>
                <w:bCs/>
                <w:sz w:val="20"/>
                <w:szCs w:val="20"/>
                <w:lang w:val="en-US"/>
              </w:rPr>
              <w:t>Skin and subcutaneous tissue disorders</w:t>
            </w:r>
          </w:p>
        </w:tc>
      </w:tr>
      <w:tr w:rsidR="003A5CC5" w:rsidRPr="00B247FF" w14:paraId="20A1EA60" w14:textId="77777777" w:rsidTr="003A5CC5">
        <w:trPr>
          <w:cantSplit/>
          <w:jc w:val="center"/>
        </w:trPr>
        <w:tc>
          <w:tcPr>
            <w:tcW w:w="4819" w:type="dxa"/>
            <w:shd w:val="clear" w:color="auto" w:fill="auto"/>
            <w:tcMar>
              <w:left w:w="67" w:type="dxa"/>
              <w:right w:w="67" w:type="dxa"/>
            </w:tcMar>
          </w:tcPr>
          <w:p w14:paraId="2F38AB27" w14:textId="465BC750" w:rsidR="003A5CC5" w:rsidRPr="00B247FF" w:rsidRDefault="003A5CC5" w:rsidP="00786F6E">
            <w:pPr>
              <w:adjustRightInd w:val="0"/>
              <w:rPr>
                <w:sz w:val="20"/>
                <w:szCs w:val="20"/>
                <w:lang w:val="en-US"/>
              </w:rPr>
            </w:pPr>
            <w:r w:rsidRPr="00B247FF">
              <w:rPr>
                <w:sz w:val="20"/>
                <w:szCs w:val="20"/>
                <w:lang w:val="en-US"/>
              </w:rPr>
              <w:t xml:space="preserve">     </w:t>
            </w:r>
            <w:proofErr w:type="spellStart"/>
            <w:r w:rsidRPr="00B247FF">
              <w:rPr>
                <w:sz w:val="20"/>
                <w:szCs w:val="20"/>
                <w:lang w:val="en-US"/>
              </w:rPr>
              <w:t>Rash</w:t>
            </w:r>
            <w:r w:rsidRPr="00B247FF">
              <w:rPr>
                <w:sz w:val="20"/>
                <w:szCs w:val="20"/>
                <w:vertAlign w:val="superscript"/>
                <w:lang w:val="en-US"/>
              </w:rPr>
              <w:t>a</w:t>
            </w:r>
            <w:proofErr w:type="spellEnd"/>
          </w:p>
        </w:tc>
        <w:tc>
          <w:tcPr>
            <w:tcW w:w="1763" w:type="dxa"/>
            <w:shd w:val="clear" w:color="auto" w:fill="auto"/>
            <w:tcMar>
              <w:left w:w="67" w:type="dxa"/>
              <w:right w:w="67" w:type="dxa"/>
            </w:tcMar>
          </w:tcPr>
          <w:p w14:paraId="2C0AD49B"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368B0531" w14:textId="77777777" w:rsidR="003A5CC5" w:rsidRPr="00B247FF" w:rsidRDefault="003A5CC5" w:rsidP="00786F6E">
            <w:pPr>
              <w:adjustRightInd w:val="0"/>
              <w:rPr>
                <w:sz w:val="20"/>
                <w:szCs w:val="20"/>
                <w:lang w:val="en-US"/>
              </w:rPr>
            </w:pPr>
            <w:r w:rsidRPr="00B247FF">
              <w:rPr>
                <w:sz w:val="20"/>
                <w:szCs w:val="20"/>
                <w:lang w:val="en-US"/>
              </w:rPr>
              <w:t>85</w:t>
            </w:r>
          </w:p>
        </w:tc>
        <w:tc>
          <w:tcPr>
            <w:tcW w:w="1407" w:type="dxa"/>
            <w:shd w:val="clear" w:color="auto" w:fill="auto"/>
            <w:tcMar>
              <w:left w:w="67" w:type="dxa"/>
              <w:right w:w="67" w:type="dxa"/>
            </w:tcMar>
          </w:tcPr>
          <w:p w14:paraId="0E52FC33" w14:textId="77777777" w:rsidR="003A5CC5" w:rsidRPr="00B247FF" w:rsidRDefault="003A5CC5" w:rsidP="00786F6E">
            <w:pPr>
              <w:adjustRightInd w:val="0"/>
              <w:rPr>
                <w:sz w:val="20"/>
                <w:szCs w:val="20"/>
                <w:lang w:val="en-US"/>
              </w:rPr>
            </w:pPr>
            <w:r w:rsidRPr="00B247FF">
              <w:rPr>
                <w:sz w:val="20"/>
                <w:szCs w:val="20"/>
                <w:lang w:val="en-US"/>
              </w:rPr>
              <w:t>4</w:t>
            </w:r>
          </w:p>
        </w:tc>
      </w:tr>
      <w:tr w:rsidR="003A5CC5" w:rsidRPr="00B247FF" w14:paraId="16DBD0C3" w14:textId="77777777" w:rsidTr="003A5CC5">
        <w:trPr>
          <w:cantSplit/>
          <w:jc w:val="center"/>
        </w:trPr>
        <w:tc>
          <w:tcPr>
            <w:tcW w:w="4819" w:type="dxa"/>
            <w:shd w:val="clear" w:color="auto" w:fill="auto"/>
            <w:tcMar>
              <w:left w:w="67" w:type="dxa"/>
              <w:right w:w="67" w:type="dxa"/>
            </w:tcMar>
          </w:tcPr>
          <w:p w14:paraId="7EA9210A" w14:textId="49FA31DC" w:rsidR="003A5CC5" w:rsidRPr="00B247FF" w:rsidRDefault="003A5CC5" w:rsidP="00786F6E">
            <w:pPr>
              <w:adjustRightInd w:val="0"/>
              <w:rPr>
                <w:sz w:val="20"/>
                <w:szCs w:val="20"/>
                <w:lang w:val="en-US"/>
              </w:rPr>
            </w:pPr>
            <w:r w:rsidRPr="00B247FF">
              <w:rPr>
                <w:sz w:val="20"/>
                <w:szCs w:val="20"/>
                <w:lang w:val="en-US"/>
              </w:rPr>
              <w:t xml:space="preserve">     Nail </w:t>
            </w:r>
            <w:proofErr w:type="spellStart"/>
            <w:r w:rsidRPr="00B247FF">
              <w:rPr>
                <w:sz w:val="20"/>
                <w:szCs w:val="20"/>
                <w:lang w:val="en-US"/>
              </w:rPr>
              <w:t>toxicity</w:t>
            </w:r>
            <w:r w:rsidRPr="00B247FF">
              <w:rPr>
                <w:sz w:val="20"/>
                <w:szCs w:val="20"/>
                <w:vertAlign w:val="superscript"/>
                <w:lang w:val="en-US"/>
              </w:rPr>
              <w:t>b</w:t>
            </w:r>
            <w:proofErr w:type="spellEnd"/>
          </w:p>
        </w:tc>
        <w:tc>
          <w:tcPr>
            <w:tcW w:w="1763" w:type="dxa"/>
            <w:shd w:val="clear" w:color="auto" w:fill="auto"/>
            <w:tcMar>
              <w:left w:w="67" w:type="dxa"/>
              <w:right w:w="67" w:type="dxa"/>
            </w:tcMar>
          </w:tcPr>
          <w:p w14:paraId="3965775E"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04A11902" w14:textId="77777777" w:rsidR="003A5CC5" w:rsidRPr="00B247FF" w:rsidRDefault="003A5CC5" w:rsidP="00786F6E">
            <w:pPr>
              <w:adjustRightInd w:val="0"/>
              <w:rPr>
                <w:sz w:val="20"/>
                <w:szCs w:val="20"/>
                <w:lang w:val="en-US"/>
              </w:rPr>
            </w:pPr>
            <w:r w:rsidRPr="00B247FF">
              <w:rPr>
                <w:sz w:val="20"/>
                <w:szCs w:val="20"/>
                <w:lang w:val="en-US"/>
              </w:rPr>
              <w:t>56</w:t>
            </w:r>
          </w:p>
        </w:tc>
        <w:tc>
          <w:tcPr>
            <w:tcW w:w="1407" w:type="dxa"/>
            <w:shd w:val="clear" w:color="auto" w:fill="auto"/>
            <w:tcMar>
              <w:left w:w="67" w:type="dxa"/>
              <w:right w:w="67" w:type="dxa"/>
            </w:tcMar>
          </w:tcPr>
          <w:p w14:paraId="33491C9F" w14:textId="77777777" w:rsidR="003A5CC5" w:rsidRPr="00B247FF" w:rsidRDefault="003A5CC5" w:rsidP="00786F6E">
            <w:pPr>
              <w:adjustRightInd w:val="0"/>
              <w:rPr>
                <w:sz w:val="20"/>
                <w:szCs w:val="20"/>
                <w:lang w:val="en-US"/>
              </w:rPr>
            </w:pPr>
            <w:r w:rsidRPr="00B247FF">
              <w:rPr>
                <w:sz w:val="20"/>
                <w:szCs w:val="20"/>
                <w:lang w:val="en-US"/>
              </w:rPr>
              <w:t>3</w:t>
            </w:r>
          </w:p>
        </w:tc>
      </w:tr>
      <w:tr w:rsidR="003A5CC5" w:rsidRPr="00B247FF" w14:paraId="1C3AA99E" w14:textId="77777777" w:rsidTr="003A5CC5">
        <w:trPr>
          <w:cantSplit/>
          <w:jc w:val="center"/>
        </w:trPr>
        <w:tc>
          <w:tcPr>
            <w:tcW w:w="4819" w:type="dxa"/>
            <w:shd w:val="clear" w:color="auto" w:fill="auto"/>
            <w:tcMar>
              <w:left w:w="67" w:type="dxa"/>
              <w:right w:w="67" w:type="dxa"/>
            </w:tcMar>
          </w:tcPr>
          <w:p w14:paraId="09E489E2" w14:textId="1E57B10C" w:rsidR="003A5CC5" w:rsidRPr="00B247FF" w:rsidRDefault="003A5CC5" w:rsidP="00786F6E">
            <w:pPr>
              <w:adjustRightInd w:val="0"/>
              <w:rPr>
                <w:sz w:val="20"/>
                <w:szCs w:val="20"/>
                <w:lang w:val="en-US"/>
              </w:rPr>
            </w:pPr>
            <w:r w:rsidRPr="00B247FF">
              <w:rPr>
                <w:sz w:val="20"/>
                <w:szCs w:val="20"/>
                <w:lang w:val="en-US"/>
              </w:rPr>
              <w:t xml:space="preserve">     Dry </w:t>
            </w:r>
            <w:proofErr w:type="spellStart"/>
            <w:r w:rsidRPr="00B247FF">
              <w:rPr>
                <w:sz w:val="20"/>
                <w:szCs w:val="20"/>
                <w:lang w:val="en-US"/>
              </w:rPr>
              <w:t>skin</w:t>
            </w:r>
            <w:r w:rsidRPr="00B247FF">
              <w:rPr>
                <w:sz w:val="20"/>
                <w:szCs w:val="20"/>
                <w:vertAlign w:val="superscript"/>
                <w:lang w:val="en-US"/>
              </w:rPr>
              <w:t>c</w:t>
            </w:r>
            <w:proofErr w:type="spellEnd"/>
          </w:p>
        </w:tc>
        <w:tc>
          <w:tcPr>
            <w:tcW w:w="1763" w:type="dxa"/>
            <w:shd w:val="clear" w:color="auto" w:fill="auto"/>
            <w:tcMar>
              <w:left w:w="67" w:type="dxa"/>
              <w:right w:w="67" w:type="dxa"/>
            </w:tcMar>
          </w:tcPr>
          <w:p w14:paraId="1F8A49B1"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1739D3AF" w14:textId="77777777" w:rsidR="003A5CC5" w:rsidRPr="00B247FF" w:rsidRDefault="003A5CC5" w:rsidP="00786F6E">
            <w:pPr>
              <w:adjustRightInd w:val="0"/>
              <w:rPr>
                <w:sz w:val="20"/>
                <w:szCs w:val="20"/>
                <w:lang w:val="en-US"/>
              </w:rPr>
            </w:pPr>
            <w:r w:rsidRPr="00B247FF">
              <w:rPr>
                <w:sz w:val="20"/>
                <w:szCs w:val="20"/>
                <w:lang w:val="en-US"/>
              </w:rPr>
              <w:t>23</w:t>
            </w:r>
          </w:p>
        </w:tc>
        <w:tc>
          <w:tcPr>
            <w:tcW w:w="1407" w:type="dxa"/>
            <w:shd w:val="clear" w:color="auto" w:fill="auto"/>
            <w:tcMar>
              <w:left w:w="67" w:type="dxa"/>
              <w:right w:w="67" w:type="dxa"/>
            </w:tcMar>
          </w:tcPr>
          <w:p w14:paraId="207AA5E3" w14:textId="77777777" w:rsidR="003A5CC5" w:rsidRPr="00B247FF" w:rsidRDefault="003A5CC5" w:rsidP="00786F6E">
            <w:pPr>
              <w:adjustRightInd w:val="0"/>
              <w:rPr>
                <w:sz w:val="20"/>
                <w:szCs w:val="20"/>
                <w:lang w:val="en-US"/>
              </w:rPr>
            </w:pPr>
            <w:r w:rsidRPr="00B247FF">
              <w:rPr>
                <w:sz w:val="20"/>
                <w:szCs w:val="20"/>
                <w:lang w:val="en-US"/>
              </w:rPr>
              <w:t>0</w:t>
            </w:r>
          </w:p>
        </w:tc>
      </w:tr>
      <w:tr w:rsidR="003A5CC5" w:rsidRPr="00B247FF" w14:paraId="24249226" w14:textId="77777777" w:rsidTr="003A5CC5">
        <w:trPr>
          <w:cantSplit/>
          <w:jc w:val="center"/>
        </w:trPr>
        <w:tc>
          <w:tcPr>
            <w:tcW w:w="4819" w:type="dxa"/>
            <w:shd w:val="clear" w:color="auto" w:fill="auto"/>
            <w:tcMar>
              <w:left w:w="67" w:type="dxa"/>
              <w:right w:w="67" w:type="dxa"/>
            </w:tcMar>
          </w:tcPr>
          <w:p w14:paraId="1189D610" w14:textId="77777777" w:rsidR="003A5CC5" w:rsidRPr="00B247FF" w:rsidRDefault="003A5CC5" w:rsidP="00786F6E">
            <w:pPr>
              <w:adjustRightInd w:val="0"/>
              <w:rPr>
                <w:sz w:val="20"/>
                <w:szCs w:val="20"/>
                <w:lang w:val="en-US"/>
              </w:rPr>
            </w:pPr>
            <w:r w:rsidRPr="00B247FF">
              <w:rPr>
                <w:sz w:val="20"/>
                <w:szCs w:val="20"/>
                <w:lang w:val="en-US"/>
              </w:rPr>
              <w:t xml:space="preserve">     Pruritus</w:t>
            </w:r>
          </w:p>
        </w:tc>
        <w:tc>
          <w:tcPr>
            <w:tcW w:w="1763" w:type="dxa"/>
            <w:shd w:val="clear" w:color="auto" w:fill="auto"/>
            <w:tcMar>
              <w:left w:w="67" w:type="dxa"/>
              <w:right w:w="67" w:type="dxa"/>
            </w:tcMar>
          </w:tcPr>
          <w:p w14:paraId="6FE5D81C"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5FA0A221" w14:textId="77777777" w:rsidR="003A5CC5" w:rsidRPr="00B247FF" w:rsidRDefault="003A5CC5" w:rsidP="00786F6E">
            <w:pPr>
              <w:adjustRightInd w:val="0"/>
              <w:rPr>
                <w:sz w:val="20"/>
                <w:szCs w:val="20"/>
                <w:lang w:val="en-US"/>
              </w:rPr>
            </w:pPr>
            <w:r w:rsidRPr="00B247FF">
              <w:rPr>
                <w:sz w:val="20"/>
                <w:szCs w:val="20"/>
                <w:lang w:val="en-US"/>
              </w:rPr>
              <w:t>16</w:t>
            </w:r>
          </w:p>
        </w:tc>
        <w:tc>
          <w:tcPr>
            <w:tcW w:w="1407" w:type="dxa"/>
            <w:shd w:val="clear" w:color="auto" w:fill="auto"/>
            <w:tcMar>
              <w:left w:w="67" w:type="dxa"/>
              <w:right w:w="67" w:type="dxa"/>
            </w:tcMar>
          </w:tcPr>
          <w:p w14:paraId="3078C4D9" w14:textId="77777777" w:rsidR="003A5CC5" w:rsidRPr="00B247FF" w:rsidRDefault="003A5CC5" w:rsidP="00786F6E">
            <w:pPr>
              <w:adjustRightInd w:val="0"/>
              <w:rPr>
                <w:sz w:val="20"/>
                <w:szCs w:val="20"/>
                <w:lang w:val="en-US"/>
              </w:rPr>
            </w:pPr>
            <w:r w:rsidRPr="00B247FF">
              <w:rPr>
                <w:sz w:val="20"/>
                <w:szCs w:val="20"/>
                <w:lang w:val="en-US"/>
              </w:rPr>
              <w:t>0</w:t>
            </w:r>
          </w:p>
        </w:tc>
      </w:tr>
      <w:tr w:rsidR="003A5CC5" w:rsidRPr="00B247FF" w14:paraId="7D3BCCAF" w14:textId="77777777" w:rsidTr="003A5CC5">
        <w:trPr>
          <w:cantSplit/>
          <w:jc w:val="center"/>
        </w:trPr>
        <w:tc>
          <w:tcPr>
            <w:tcW w:w="9288" w:type="dxa"/>
            <w:gridSpan w:val="4"/>
            <w:shd w:val="clear" w:color="auto" w:fill="auto"/>
            <w:tcMar>
              <w:left w:w="67" w:type="dxa"/>
              <w:right w:w="67" w:type="dxa"/>
            </w:tcMar>
          </w:tcPr>
          <w:p w14:paraId="2A078310" w14:textId="77777777" w:rsidR="003A5CC5" w:rsidRPr="00B247FF" w:rsidRDefault="003A5CC5" w:rsidP="00786F6E">
            <w:pPr>
              <w:adjustRightInd w:val="0"/>
              <w:rPr>
                <w:b/>
                <w:bCs/>
                <w:sz w:val="20"/>
                <w:szCs w:val="20"/>
                <w:lang w:val="en-US"/>
              </w:rPr>
            </w:pPr>
            <w:r w:rsidRPr="00B247FF">
              <w:rPr>
                <w:b/>
                <w:bCs/>
                <w:sz w:val="20"/>
                <w:szCs w:val="20"/>
                <w:lang w:val="en-US"/>
              </w:rPr>
              <w:t>Gastrointestinal disorders</w:t>
            </w:r>
          </w:p>
        </w:tc>
      </w:tr>
      <w:tr w:rsidR="003A5CC5" w:rsidRPr="00B247FF" w14:paraId="605B2904" w14:textId="77777777" w:rsidTr="003A5CC5">
        <w:trPr>
          <w:cantSplit/>
          <w:jc w:val="center"/>
        </w:trPr>
        <w:tc>
          <w:tcPr>
            <w:tcW w:w="4819" w:type="dxa"/>
            <w:shd w:val="clear" w:color="auto" w:fill="auto"/>
            <w:tcMar>
              <w:left w:w="67" w:type="dxa"/>
              <w:right w:w="67" w:type="dxa"/>
            </w:tcMar>
          </w:tcPr>
          <w:p w14:paraId="7A284789" w14:textId="252FD0F5" w:rsidR="003A5CC5" w:rsidRPr="00B247FF" w:rsidRDefault="003A5CC5" w:rsidP="00786F6E">
            <w:pPr>
              <w:adjustRightInd w:val="0"/>
              <w:rPr>
                <w:sz w:val="20"/>
                <w:szCs w:val="20"/>
                <w:lang w:val="en-US"/>
              </w:rPr>
            </w:pPr>
            <w:r w:rsidRPr="00B247FF">
              <w:rPr>
                <w:sz w:val="20"/>
                <w:szCs w:val="20"/>
                <w:lang w:val="en-US"/>
              </w:rPr>
              <w:t xml:space="preserve">     </w:t>
            </w:r>
            <w:proofErr w:type="spellStart"/>
            <w:r w:rsidRPr="00B247FF">
              <w:rPr>
                <w:sz w:val="20"/>
                <w:szCs w:val="20"/>
                <w:lang w:val="en-US"/>
              </w:rPr>
              <w:t>Stomatitis</w:t>
            </w:r>
            <w:r w:rsidRPr="00B247FF">
              <w:rPr>
                <w:sz w:val="20"/>
                <w:szCs w:val="20"/>
                <w:vertAlign w:val="superscript"/>
                <w:lang w:val="en-US"/>
              </w:rPr>
              <w:t>d</w:t>
            </w:r>
            <w:proofErr w:type="spellEnd"/>
          </w:p>
        </w:tc>
        <w:tc>
          <w:tcPr>
            <w:tcW w:w="1763" w:type="dxa"/>
            <w:shd w:val="clear" w:color="auto" w:fill="auto"/>
            <w:tcMar>
              <w:left w:w="67" w:type="dxa"/>
              <w:right w:w="67" w:type="dxa"/>
            </w:tcMar>
          </w:tcPr>
          <w:p w14:paraId="764D5D9C"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110D19D8" w14:textId="77777777" w:rsidR="003A5CC5" w:rsidRPr="00B247FF" w:rsidRDefault="003A5CC5" w:rsidP="00786F6E">
            <w:pPr>
              <w:adjustRightInd w:val="0"/>
              <w:rPr>
                <w:sz w:val="20"/>
                <w:szCs w:val="20"/>
                <w:lang w:val="en-US"/>
              </w:rPr>
            </w:pPr>
            <w:r w:rsidRPr="00B247FF">
              <w:rPr>
                <w:sz w:val="20"/>
                <w:szCs w:val="20"/>
                <w:lang w:val="en-US"/>
              </w:rPr>
              <w:t>28</w:t>
            </w:r>
          </w:p>
        </w:tc>
        <w:tc>
          <w:tcPr>
            <w:tcW w:w="1407" w:type="dxa"/>
            <w:shd w:val="clear" w:color="auto" w:fill="auto"/>
            <w:tcMar>
              <w:left w:w="67" w:type="dxa"/>
              <w:right w:w="67" w:type="dxa"/>
            </w:tcMar>
          </w:tcPr>
          <w:p w14:paraId="3EA523CC" w14:textId="77777777" w:rsidR="003A5CC5" w:rsidRPr="00B247FF" w:rsidRDefault="003A5CC5" w:rsidP="00786F6E">
            <w:pPr>
              <w:adjustRightInd w:val="0"/>
              <w:rPr>
                <w:sz w:val="20"/>
                <w:szCs w:val="20"/>
                <w:lang w:val="en-US"/>
              </w:rPr>
            </w:pPr>
            <w:r w:rsidRPr="00B247FF">
              <w:rPr>
                <w:sz w:val="20"/>
                <w:szCs w:val="20"/>
                <w:lang w:val="en-US"/>
              </w:rPr>
              <w:t>0.7</w:t>
            </w:r>
          </w:p>
        </w:tc>
      </w:tr>
      <w:tr w:rsidR="003A5CC5" w:rsidRPr="00B247FF" w14:paraId="5BEDCF43" w14:textId="77777777" w:rsidTr="003A5CC5">
        <w:trPr>
          <w:cantSplit/>
          <w:jc w:val="center"/>
        </w:trPr>
        <w:tc>
          <w:tcPr>
            <w:tcW w:w="4819" w:type="dxa"/>
            <w:shd w:val="clear" w:color="auto" w:fill="auto"/>
            <w:tcMar>
              <w:left w:w="67" w:type="dxa"/>
              <w:right w:w="67" w:type="dxa"/>
            </w:tcMar>
          </w:tcPr>
          <w:p w14:paraId="24416B7A" w14:textId="77777777" w:rsidR="003A5CC5" w:rsidRPr="00B247FF" w:rsidRDefault="003A5CC5" w:rsidP="00786F6E">
            <w:pPr>
              <w:adjustRightInd w:val="0"/>
              <w:rPr>
                <w:sz w:val="20"/>
                <w:szCs w:val="20"/>
                <w:lang w:val="en-US"/>
              </w:rPr>
            </w:pPr>
            <w:r w:rsidRPr="00B247FF">
              <w:rPr>
                <w:sz w:val="20"/>
                <w:szCs w:val="20"/>
                <w:lang w:val="en-US"/>
              </w:rPr>
              <w:t xml:space="preserve">     Nausea</w:t>
            </w:r>
          </w:p>
        </w:tc>
        <w:tc>
          <w:tcPr>
            <w:tcW w:w="1763" w:type="dxa"/>
            <w:shd w:val="clear" w:color="auto" w:fill="auto"/>
            <w:tcMar>
              <w:left w:w="67" w:type="dxa"/>
              <w:right w:w="67" w:type="dxa"/>
            </w:tcMar>
          </w:tcPr>
          <w:p w14:paraId="7CC4E5CF"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28B122C6" w14:textId="77777777" w:rsidR="003A5CC5" w:rsidRPr="00B247FF" w:rsidRDefault="003A5CC5" w:rsidP="00786F6E">
            <w:pPr>
              <w:adjustRightInd w:val="0"/>
              <w:rPr>
                <w:sz w:val="20"/>
                <w:szCs w:val="20"/>
                <w:lang w:val="en-US"/>
              </w:rPr>
            </w:pPr>
            <w:r w:rsidRPr="00B247FF">
              <w:rPr>
                <w:sz w:val="20"/>
                <w:szCs w:val="20"/>
                <w:lang w:val="en-US"/>
              </w:rPr>
              <w:t>25</w:t>
            </w:r>
          </w:p>
        </w:tc>
        <w:tc>
          <w:tcPr>
            <w:tcW w:w="1407" w:type="dxa"/>
            <w:shd w:val="clear" w:color="auto" w:fill="auto"/>
            <w:tcMar>
              <w:left w:w="67" w:type="dxa"/>
              <w:right w:w="67" w:type="dxa"/>
            </w:tcMar>
          </w:tcPr>
          <w:p w14:paraId="2E8FC10D" w14:textId="77777777" w:rsidR="003A5CC5" w:rsidRPr="00B247FF" w:rsidRDefault="003A5CC5" w:rsidP="00786F6E">
            <w:pPr>
              <w:adjustRightInd w:val="0"/>
              <w:rPr>
                <w:sz w:val="20"/>
                <w:szCs w:val="20"/>
                <w:lang w:val="en-US"/>
              </w:rPr>
            </w:pPr>
            <w:r w:rsidRPr="00B247FF">
              <w:rPr>
                <w:sz w:val="20"/>
                <w:szCs w:val="20"/>
                <w:lang w:val="en-US"/>
              </w:rPr>
              <w:t>0.7</w:t>
            </w:r>
          </w:p>
        </w:tc>
      </w:tr>
      <w:tr w:rsidR="003A5CC5" w:rsidRPr="00B247FF" w14:paraId="3BCD3328" w14:textId="77777777" w:rsidTr="003A5CC5">
        <w:trPr>
          <w:cantSplit/>
          <w:jc w:val="center"/>
        </w:trPr>
        <w:tc>
          <w:tcPr>
            <w:tcW w:w="4819" w:type="dxa"/>
            <w:shd w:val="clear" w:color="auto" w:fill="auto"/>
            <w:tcMar>
              <w:left w:w="67" w:type="dxa"/>
              <w:right w:w="67" w:type="dxa"/>
            </w:tcMar>
          </w:tcPr>
          <w:p w14:paraId="4D351861" w14:textId="77777777" w:rsidR="003A5CC5" w:rsidRPr="00B247FF" w:rsidRDefault="003A5CC5" w:rsidP="00786F6E">
            <w:pPr>
              <w:adjustRightInd w:val="0"/>
              <w:rPr>
                <w:sz w:val="20"/>
                <w:szCs w:val="20"/>
                <w:lang w:val="en-US"/>
              </w:rPr>
            </w:pPr>
            <w:r w:rsidRPr="00B247FF">
              <w:rPr>
                <w:sz w:val="20"/>
                <w:szCs w:val="20"/>
                <w:lang w:val="en-US"/>
              </w:rPr>
              <w:t xml:space="preserve">     Constipation</w:t>
            </w:r>
          </w:p>
        </w:tc>
        <w:tc>
          <w:tcPr>
            <w:tcW w:w="1763" w:type="dxa"/>
            <w:shd w:val="clear" w:color="auto" w:fill="auto"/>
            <w:tcMar>
              <w:left w:w="67" w:type="dxa"/>
              <w:right w:w="67" w:type="dxa"/>
            </w:tcMar>
          </w:tcPr>
          <w:p w14:paraId="08F50F51"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3C59543E" w14:textId="77777777" w:rsidR="003A5CC5" w:rsidRPr="00B247FF" w:rsidRDefault="003A5CC5" w:rsidP="00786F6E">
            <w:pPr>
              <w:adjustRightInd w:val="0"/>
              <w:rPr>
                <w:sz w:val="20"/>
                <w:szCs w:val="20"/>
                <w:lang w:val="en-US"/>
              </w:rPr>
            </w:pPr>
            <w:r w:rsidRPr="00B247FF">
              <w:rPr>
                <w:sz w:val="20"/>
                <w:szCs w:val="20"/>
                <w:lang w:val="en-US"/>
              </w:rPr>
              <w:t>24</w:t>
            </w:r>
          </w:p>
        </w:tc>
        <w:tc>
          <w:tcPr>
            <w:tcW w:w="1407" w:type="dxa"/>
            <w:shd w:val="clear" w:color="auto" w:fill="auto"/>
            <w:tcMar>
              <w:left w:w="67" w:type="dxa"/>
              <w:right w:w="67" w:type="dxa"/>
            </w:tcMar>
          </w:tcPr>
          <w:p w14:paraId="4A01A2BE" w14:textId="77777777" w:rsidR="003A5CC5" w:rsidRPr="00B247FF" w:rsidRDefault="003A5CC5" w:rsidP="00786F6E">
            <w:pPr>
              <w:adjustRightInd w:val="0"/>
              <w:rPr>
                <w:sz w:val="20"/>
                <w:szCs w:val="20"/>
                <w:lang w:val="en-US"/>
              </w:rPr>
            </w:pPr>
            <w:r w:rsidRPr="00B247FF">
              <w:rPr>
                <w:sz w:val="20"/>
                <w:szCs w:val="20"/>
                <w:lang w:val="en-US"/>
              </w:rPr>
              <w:t>0</w:t>
            </w:r>
          </w:p>
        </w:tc>
      </w:tr>
      <w:tr w:rsidR="003A5CC5" w:rsidRPr="00B247FF" w14:paraId="4404BDBE" w14:textId="77777777" w:rsidTr="003A5CC5">
        <w:trPr>
          <w:cantSplit/>
          <w:jc w:val="center"/>
        </w:trPr>
        <w:tc>
          <w:tcPr>
            <w:tcW w:w="4819" w:type="dxa"/>
            <w:shd w:val="clear" w:color="auto" w:fill="auto"/>
            <w:tcMar>
              <w:left w:w="67" w:type="dxa"/>
              <w:right w:w="67" w:type="dxa"/>
            </w:tcMar>
          </w:tcPr>
          <w:p w14:paraId="4A306118" w14:textId="77777777" w:rsidR="003A5CC5" w:rsidRPr="00B247FF" w:rsidRDefault="003A5CC5" w:rsidP="00786F6E">
            <w:pPr>
              <w:adjustRightInd w:val="0"/>
              <w:rPr>
                <w:sz w:val="20"/>
                <w:szCs w:val="20"/>
                <w:lang w:val="en-US"/>
              </w:rPr>
            </w:pPr>
            <w:r w:rsidRPr="00B247FF">
              <w:rPr>
                <w:sz w:val="20"/>
                <w:szCs w:val="20"/>
                <w:lang w:val="en-US"/>
              </w:rPr>
              <w:t xml:space="preserve">     Diarrhoea</w:t>
            </w:r>
          </w:p>
        </w:tc>
        <w:tc>
          <w:tcPr>
            <w:tcW w:w="1763" w:type="dxa"/>
            <w:shd w:val="clear" w:color="auto" w:fill="auto"/>
            <w:tcMar>
              <w:left w:w="67" w:type="dxa"/>
              <w:right w:w="67" w:type="dxa"/>
            </w:tcMar>
          </w:tcPr>
          <w:p w14:paraId="3D09AE36"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376D14F3" w14:textId="77777777" w:rsidR="003A5CC5" w:rsidRPr="00B247FF" w:rsidRDefault="003A5CC5" w:rsidP="00786F6E">
            <w:pPr>
              <w:adjustRightInd w:val="0"/>
              <w:rPr>
                <w:sz w:val="20"/>
                <w:szCs w:val="20"/>
                <w:lang w:val="en-US"/>
              </w:rPr>
            </w:pPr>
            <w:r w:rsidRPr="00B247FF">
              <w:rPr>
                <w:sz w:val="20"/>
                <w:szCs w:val="20"/>
                <w:lang w:val="en-US"/>
              </w:rPr>
              <w:t>14</w:t>
            </w:r>
          </w:p>
        </w:tc>
        <w:tc>
          <w:tcPr>
            <w:tcW w:w="1407" w:type="dxa"/>
            <w:shd w:val="clear" w:color="auto" w:fill="auto"/>
            <w:tcMar>
              <w:left w:w="67" w:type="dxa"/>
              <w:right w:w="67" w:type="dxa"/>
            </w:tcMar>
          </w:tcPr>
          <w:p w14:paraId="6EC9851E" w14:textId="77777777" w:rsidR="003A5CC5" w:rsidRPr="00B247FF" w:rsidRDefault="003A5CC5" w:rsidP="00786F6E">
            <w:pPr>
              <w:adjustRightInd w:val="0"/>
              <w:rPr>
                <w:sz w:val="20"/>
                <w:szCs w:val="20"/>
                <w:lang w:val="en-US"/>
              </w:rPr>
            </w:pPr>
            <w:r w:rsidRPr="00B247FF">
              <w:rPr>
                <w:sz w:val="20"/>
                <w:szCs w:val="20"/>
                <w:lang w:val="en-US"/>
              </w:rPr>
              <w:t>3</w:t>
            </w:r>
          </w:p>
        </w:tc>
      </w:tr>
      <w:tr w:rsidR="003A5CC5" w:rsidRPr="00B247FF" w14:paraId="2DB35BBD" w14:textId="77777777" w:rsidTr="003A5CC5">
        <w:trPr>
          <w:cantSplit/>
          <w:jc w:val="center"/>
        </w:trPr>
        <w:tc>
          <w:tcPr>
            <w:tcW w:w="4819" w:type="dxa"/>
            <w:shd w:val="clear" w:color="auto" w:fill="auto"/>
            <w:tcMar>
              <w:left w:w="67" w:type="dxa"/>
              <w:right w:w="67" w:type="dxa"/>
            </w:tcMar>
          </w:tcPr>
          <w:p w14:paraId="04F006F5" w14:textId="77777777" w:rsidR="003A5CC5" w:rsidRPr="00B247FF" w:rsidRDefault="003A5CC5" w:rsidP="00786F6E">
            <w:pPr>
              <w:adjustRightInd w:val="0"/>
              <w:rPr>
                <w:sz w:val="20"/>
                <w:szCs w:val="20"/>
                <w:lang w:val="en-US"/>
              </w:rPr>
            </w:pPr>
            <w:r w:rsidRPr="00B247FF">
              <w:rPr>
                <w:sz w:val="20"/>
                <w:szCs w:val="20"/>
                <w:lang w:val="en-US"/>
              </w:rPr>
              <w:t xml:space="preserve">     Vomiting</w:t>
            </w:r>
          </w:p>
        </w:tc>
        <w:tc>
          <w:tcPr>
            <w:tcW w:w="1763" w:type="dxa"/>
            <w:shd w:val="clear" w:color="auto" w:fill="auto"/>
            <w:tcMar>
              <w:left w:w="67" w:type="dxa"/>
              <w:right w:w="67" w:type="dxa"/>
            </w:tcMar>
          </w:tcPr>
          <w:p w14:paraId="07478BD2"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5ECBAE36" w14:textId="77777777" w:rsidR="003A5CC5" w:rsidRPr="00B247FF" w:rsidRDefault="003A5CC5" w:rsidP="00786F6E">
            <w:pPr>
              <w:adjustRightInd w:val="0"/>
              <w:rPr>
                <w:sz w:val="20"/>
                <w:szCs w:val="20"/>
                <w:lang w:val="en-US"/>
              </w:rPr>
            </w:pPr>
            <w:r w:rsidRPr="00B247FF">
              <w:rPr>
                <w:sz w:val="20"/>
                <w:szCs w:val="20"/>
                <w:lang w:val="en-US"/>
              </w:rPr>
              <w:t>14</w:t>
            </w:r>
          </w:p>
        </w:tc>
        <w:tc>
          <w:tcPr>
            <w:tcW w:w="1407" w:type="dxa"/>
            <w:shd w:val="clear" w:color="auto" w:fill="auto"/>
            <w:tcMar>
              <w:left w:w="67" w:type="dxa"/>
              <w:right w:w="67" w:type="dxa"/>
            </w:tcMar>
          </w:tcPr>
          <w:p w14:paraId="46E72CED" w14:textId="77777777" w:rsidR="003A5CC5" w:rsidRPr="00B247FF" w:rsidRDefault="003A5CC5" w:rsidP="00786F6E">
            <w:pPr>
              <w:adjustRightInd w:val="0"/>
              <w:rPr>
                <w:sz w:val="20"/>
                <w:szCs w:val="20"/>
                <w:lang w:val="en-US"/>
              </w:rPr>
            </w:pPr>
            <w:r w:rsidRPr="00B247FF">
              <w:rPr>
                <w:sz w:val="20"/>
                <w:szCs w:val="20"/>
                <w:lang w:val="en-US"/>
              </w:rPr>
              <w:t>0.7</w:t>
            </w:r>
          </w:p>
        </w:tc>
      </w:tr>
      <w:tr w:rsidR="00044949" w:rsidRPr="00B247FF" w14:paraId="5ABC7522" w14:textId="77777777" w:rsidTr="003A5CC5">
        <w:trPr>
          <w:cantSplit/>
          <w:jc w:val="center"/>
        </w:trPr>
        <w:tc>
          <w:tcPr>
            <w:tcW w:w="4819" w:type="dxa"/>
            <w:shd w:val="clear" w:color="auto" w:fill="auto"/>
            <w:tcMar>
              <w:left w:w="67" w:type="dxa"/>
              <w:right w:w="67" w:type="dxa"/>
            </w:tcMar>
          </w:tcPr>
          <w:p w14:paraId="059C50FF" w14:textId="0B519771" w:rsidR="00044949" w:rsidRPr="00B247FF" w:rsidRDefault="001C3C12" w:rsidP="00786F6E">
            <w:pPr>
              <w:adjustRightInd w:val="0"/>
              <w:ind w:left="264"/>
              <w:rPr>
                <w:sz w:val="20"/>
                <w:szCs w:val="20"/>
                <w:vertAlign w:val="superscript"/>
                <w:lang w:val="en-US"/>
              </w:rPr>
            </w:pPr>
            <w:r w:rsidRPr="00B247FF">
              <w:rPr>
                <w:sz w:val="20"/>
                <w:szCs w:val="20"/>
                <w:lang w:val="en-US"/>
              </w:rPr>
              <w:t xml:space="preserve">Abdominal </w:t>
            </w:r>
            <w:proofErr w:type="spellStart"/>
            <w:r w:rsidRPr="00B247FF">
              <w:rPr>
                <w:sz w:val="20"/>
                <w:szCs w:val="20"/>
                <w:lang w:val="en-US"/>
              </w:rPr>
              <w:t>pain</w:t>
            </w:r>
            <w:r w:rsidRPr="00B247FF">
              <w:rPr>
                <w:sz w:val="20"/>
                <w:szCs w:val="20"/>
                <w:vertAlign w:val="superscript"/>
                <w:lang w:val="en-US"/>
              </w:rPr>
              <w:t>e</w:t>
            </w:r>
            <w:proofErr w:type="spellEnd"/>
          </w:p>
        </w:tc>
        <w:tc>
          <w:tcPr>
            <w:tcW w:w="1763" w:type="dxa"/>
            <w:shd w:val="clear" w:color="auto" w:fill="auto"/>
            <w:tcMar>
              <w:left w:w="67" w:type="dxa"/>
              <w:right w:w="67" w:type="dxa"/>
            </w:tcMar>
          </w:tcPr>
          <w:p w14:paraId="58DBF3D1" w14:textId="5BF39620" w:rsidR="00044949" w:rsidRPr="00B247FF" w:rsidRDefault="00DD6DB3"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09258713" w14:textId="7FF46E1C" w:rsidR="00044949" w:rsidRPr="00B247FF" w:rsidRDefault="00DD6DB3" w:rsidP="00786F6E">
            <w:pPr>
              <w:adjustRightInd w:val="0"/>
              <w:rPr>
                <w:sz w:val="20"/>
                <w:szCs w:val="20"/>
                <w:lang w:val="en-US"/>
              </w:rPr>
            </w:pPr>
            <w:r w:rsidRPr="00B247FF">
              <w:rPr>
                <w:sz w:val="20"/>
                <w:szCs w:val="20"/>
                <w:lang w:val="en-US"/>
              </w:rPr>
              <w:t>11</w:t>
            </w:r>
          </w:p>
        </w:tc>
        <w:tc>
          <w:tcPr>
            <w:tcW w:w="1407" w:type="dxa"/>
            <w:shd w:val="clear" w:color="auto" w:fill="auto"/>
            <w:tcMar>
              <w:left w:w="67" w:type="dxa"/>
              <w:right w:w="67" w:type="dxa"/>
            </w:tcMar>
          </w:tcPr>
          <w:p w14:paraId="7FBB97D3" w14:textId="30D30B11" w:rsidR="00044949" w:rsidRPr="00B247FF" w:rsidRDefault="00DD6DB3" w:rsidP="00786F6E">
            <w:pPr>
              <w:adjustRightInd w:val="0"/>
              <w:rPr>
                <w:sz w:val="20"/>
                <w:szCs w:val="20"/>
                <w:lang w:val="en-US"/>
              </w:rPr>
            </w:pPr>
            <w:r w:rsidRPr="00B247FF">
              <w:rPr>
                <w:sz w:val="20"/>
                <w:szCs w:val="20"/>
                <w:lang w:val="en-US"/>
              </w:rPr>
              <w:t>0.7</w:t>
            </w:r>
          </w:p>
        </w:tc>
      </w:tr>
      <w:tr w:rsidR="003A5CC5" w:rsidRPr="00B247FF" w14:paraId="41B647B0" w14:textId="77777777" w:rsidTr="003A5CC5">
        <w:trPr>
          <w:cantSplit/>
          <w:jc w:val="center"/>
        </w:trPr>
        <w:tc>
          <w:tcPr>
            <w:tcW w:w="9288" w:type="dxa"/>
            <w:gridSpan w:val="4"/>
            <w:shd w:val="clear" w:color="auto" w:fill="auto"/>
            <w:tcMar>
              <w:left w:w="67" w:type="dxa"/>
              <w:right w:w="67" w:type="dxa"/>
            </w:tcMar>
          </w:tcPr>
          <w:p w14:paraId="54D31AC1" w14:textId="77777777" w:rsidR="003A5CC5" w:rsidRPr="00B247FF" w:rsidRDefault="003A5CC5" w:rsidP="00786F6E">
            <w:pPr>
              <w:adjustRightInd w:val="0"/>
              <w:rPr>
                <w:b/>
                <w:bCs/>
                <w:sz w:val="20"/>
                <w:szCs w:val="20"/>
                <w:lang w:val="en-US"/>
              </w:rPr>
            </w:pPr>
            <w:r w:rsidRPr="00B247FF">
              <w:rPr>
                <w:b/>
                <w:bCs/>
                <w:sz w:val="20"/>
                <w:szCs w:val="20"/>
                <w:lang w:val="en-US"/>
              </w:rPr>
              <w:t>Injury, poisoning and procedural complications</w:t>
            </w:r>
          </w:p>
        </w:tc>
      </w:tr>
      <w:tr w:rsidR="003A5CC5" w:rsidRPr="00B247FF" w14:paraId="63E593FD" w14:textId="77777777" w:rsidTr="003A5CC5">
        <w:trPr>
          <w:cantSplit/>
          <w:jc w:val="center"/>
        </w:trPr>
        <w:tc>
          <w:tcPr>
            <w:tcW w:w="4819" w:type="dxa"/>
            <w:shd w:val="clear" w:color="auto" w:fill="auto"/>
            <w:tcMar>
              <w:left w:w="67" w:type="dxa"/>
              <w:right w:w="67" w:type="dxa"/>
            </w:tcMar>
          </w:tcPr>
          <w:p w14:paraId="08E90228" w14:textId="77777777" w:rsidR="003A5CC5" w:rsidRPr="00B247FF" w:rsidRDefault="003A5CC5" w:rsidP="00786F6E">
            <w:pPr>
              <w:adjustRightInd w:val="0"/>
              <w:rPr>
                <w:sz w:val="20"/>
                <w:szCs w:val="20"/>
                <w:lang w:val="en-US"/>
              </w:rPr>
            </w:pPr>
            <w:r w:rsidRPr="00B247FF">
              <w:rPr>
                <w:sz w:val="20"/>
                <w:szCs w:val="20"/>
                <w:lang w:val="en-US"/>
              </w:rPr>
              <w:t xml:space="preserve">     Infusion-related reaction</w:t>
            </w:r>
          </w:p>
        </w:tc>
        <w:tc>
          <w:tcPr>
            <w:tcW w:w="1763" w:type="dxa"/>
            <w:shd w:val="clear" w:color="auto" w:fill="auto"/>
            <w:tcMar>
              <w:left w:w="67" w:type="dxa"/>
              <w:right w:w="67" w:type="dxa"/>
            </w:tcMar>
          </w:tcPr>
          <w:p w14:paraId="6E047C7D"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3D28BDF2" w14:textId="77777777" w:rsidR="003A5CC5" w:rsidRPr="00B247FF" w:rsidRDefault="003A5CC5" w:rsidP="00786F6E">
            <w:pPr>
              <w:adjustRightInd w:val="0"/>
              <w:rPr>
                <w:sz w:val="20"/>
                <w:szCs w:val="20"/>
                <w:lang w:val="en-US"/>
              </w:rPr>
            </w:pPr>
            <w:r w:rsidRPr="00B247FF">
              <w:rPr>
                <w:sz w:val="20"/>
                <w:szCs w:val="20"/>
                <w:lang w:val="en-US"/>
              </w:rPr>
              <w:t>63</w:t>
            </w:r>
          </w:p>
        </w:tc>
        <w:tc>
          <w:tcPr>
            <w:tcW w:w="1407" w:type="dxa"/>
            <w:shd w:val="clear" w:color="auto" w:fill="auto"/>
            <w:tcMar>
              <w:left w:w="67" w:type="dxa"/>
              <w:right w:w="67" w:type="dxa"/>
            </w:tcMar>
          </w:tcPr>
          <w:p w14:paraId="5F0BD48A" w14:textId="77777777" w:rsidR="003A5CC5" w:rsidRPr="00B247FF" w:rsidRDefault="003A5CC5" w:rsidP="00786F6E">
            <w:pPr>
              <w:adjustRightInd w:val="0"/>
              <w:rPr>
                <w:sz w:val="20"/>
                <w:szCs w:val="20"/>
                <w:lang w:val="en-US"/>
              </w:rPr>
            </w:pPr>
            <w:r w:rsidRPr="00B247FF">
              <w:rPr>
                <w:sz w:val="20"/>
                <w:szCs w:val="20"/>
                <w:lang w:val="en-US"/>
              </w:rPr>
              <w:t>3</w:t>
            </w:r>
          </w:p>
        </w:tc>
      </w:tr>
      <w:tr w:rsidR="003A5CC5" w:rsidRPr="00B247FF" w14:paraId="209B8AAE" w14:textId="77777777" w:rsidTr="003A5CC5">
        <w:trPr>
          <w:cantSplit/>
          <w:jc w:val="center"/>
        </w:trPr>
        <w:tc>
          <w:tcPr>
            <w:tcW w:w="9288" w:type="dxa"/>
            <w:gridSpan w:val="4"/>
            <w:shd w:val="clear" w:color="auto" w:fill="auto"/>
            <w:tcMar>
              <w:left w:w="67" w:type="dxa"/>
              <w:right w:w="67" w:type="dxa"/>
            </w:tcMar>
          </w:tcPr>
          <w:p w14:paraId="796B334A" w14:textId="77777777" w:rsidR="003A5CC5" w:rsidRPr="00B247FF" w:rsidRDefault="003A5CC5" w:rsidP="00786F6E">
            <w:pPr>
              <w:adjustRightInd w:val="0"/>
              <w:rPr>
                <w:b/>
                <w:bCs/>
                <w:sz w:val="20"/>
                <w:szCs w:val="20"/>
                <w:lang w:val="en-US"/>
              </w:rPr>
            </w:pPr>
            <w:r w:rsidRPr="00B247FF">
              <w:rPr>
                <w:b/>
                <w:bCs/>
                <w:sz w:val="20"/>
                <w:szCs w:val="20"/>
                <w:lang w:val="en-US"/>
              </w:rPr>
              <w:t>Metabolism and nutrition disorders</w:t>
            </w:r>
          </w:p>
        </w:tc>
      </w:tr>
      <w:tr w:rsidR="003A5CC5" w:rsidRPr="00B247FF" w14:paraId="4FE96129" w14:textId="77777777" w:rsidTr="003A5CC5">
        <w:trPr>
          <w:cantSplit/>
          <w:jc w:val="center"/>
        </w:trPr>
        <w:tc>
          <w:tcPr>
            <w:tcW w:w="4819" w:type="dxa"/>
            <w:shd w:val="clear" w:color="auto" w:fill="auto"/>
            <w:tcMar>
              <w:left w:w="67" w:type="dxa"/>
              <w:right w:w="67" w:type="dxa"/>
            </w:tcMar>
          </w:tcPr>
          <w:p w14:paraId="6EE6F063" w14:textId="77777777" w:rsidR="003A5CC5" w:rsidRPr="00B247FF" w:rsidRDefault="003A5CC5" w:rsidP="00786F6E">
            <w:pPr>
              <w:adjustRightInd w:val="0"/>
              <w:rPr>
                <w:sz w:val="20"/>
                <w:szCs w:val="20"/>
                <w:lang w:val="en-US"/>
              </w:rPr>
            </w:pPr>
            <w:r w:rsidRPr="00B247FF">
              <w:rPr>
                <w:sz w:val="20"/>
                <w:szCs w:val="20"/>
                <w:lang w:val="en-US"/>
              </w:rPr>
              <w:t xml:space="preserve">     Decreased appetite</w:t>
            </w:r>
          </w:p>
        </w:tc>
        <w:tc>
          <w:tcPr>
            <w:tcW w:w="1763" w:type="dxa"/>
            <w:shd w:val="clear" w:color="auto" w:fill="auto"/>
            <w:tcMar>
              <w:left w:w="67" w:type="dxa"/>
              <w:right w:w="67" w:type="dxa"/>
            </w:tcMar>
          </w:tcPr>
          <w:p w14:paraId="2CA0FC21"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36F542B3" w14:textId="77777777" w:rsidR="003A5CC5" w:rsidRPr="00B247FF" w:rsidRDefault="003A5CC5" w:rsidP="00786F6E">
            <w:pPr>
              <w:adjustRightInd w:val="0"/>
              <w:rPr>
                <w:sz w:val="20"/>
                <w:szCs w:val="20"/>
                <w:lang w:val="en-US"/>
              </w:rPr>
            </w:pPr>
            <w:r w:rsidRPr="00B247FF">
              <w:rPr>
                <w:sz w:val="20"/>
                <w:szCs w:val="20"/>
                <w:lang w:val="en-US"/>
              </w:rPr>
              <w:t>18</w:t>
            </w:r>
          </w:p>
        </w:tc>
        <w:tc>
          <w:tcPr>
            <w:tcW w:w="1407" w:type="dxa"/>
            <w:shd w:val="clear" w:color="auto" w:fill="auto"/>
            <w:tcMar>
              <w:left w:w="67" w:type="dxa"/>
              <w:right w:w="67" w:type="dxa"/>
            </w:tcMar>
          </w:tcPr>
          <w:p w14:paraId="7A0C9627" w14:textId="77777777" w:rsidR="003A5CC5" w:rsidRPr="00B247FF" w:rsidRDefault="003A5CC5" w:rsidP="00786F6E">
            <w:pPr>
              <w:adjustRightInd w:val="0"/>
              <w:rPr>
                <w:sz w:val="20"/>
                <w:szCs w:val="20"/>
                <w:lang w:val="en-US"/>
              </w:rPr>
            </w:pPr>
            <w:r w:rsidRPr="00B247FF">
              <w:rPr>
                <w:sz w:val="20"/>
                <w:szCs w:val="20"/>
                <w:lang w:val="en-US"/>
              </w:rPr>
              <w:t>0.7</w:t>
            </w:r>
          </w:p>
        </w:tc>
      </w:tr>
      <w:tr w:rsidR="003A5CC5" w:rsidRPr="00B247FF" w14:paraId="0DEC6DAA" w14:textId="77777777" w:rsidTr="003A5CC5">
        <w:trPr>
          <w:cantSplit/>
          <w:jc w:val="center"/>
        </w:trPr>
        <w:tc>
          <w:tcPr>
            <w:tcW w:w="9288" w:type="dxa"/>
            <w:gridSpan w:val="4"/>
            <w:shd w:val="clear" w:color="auto" w:fill="auto"/>
            <w:tcMar>
              <w:left w:w="67" w:type="dxa"/>
              <w:right w:w="67" w:type="dxa"/>
            </w:tcMar>
          </w:tcPr>
          <w:p w14:paraId="105AFEC4" w14:textId="77777777" w:rsidR="003A5CC5" w:rsidRPr="00B247FF" w:rsidRDefault="003A5CC5" w:rsidP="00786F6E">
            <w:pPr>
              <w:adjustRightInd w:val="0"/>
              <w:rPr>
                <w:b/>
                <w:bCs/>
                <w:sz w:val="20"/>
                <w:szCs w:val="20"/>
                <w:lang w:val="en-US"/>
              </w:rPr>
            </w:pPr>
            <w:r w:rsidRPr="00B247FF">
              <w:rPr>
                <w:b/>
                <w:bCs/>
                <w:sz w:val="20"/>
                <w:szCs w:val="20"/>
                <w:lang w:val="en-US"/>
              </w:rPr>
              <w:t>General disorders and administration site conditions</w:t>
            </w:r>
          </w:p>
        </w:tc>
      </w:tr>
      <w:tr w:rsidR="003A5CC5" w:rsidRPr="00B247FF" w14:paraId="766703E4" w14:textId="77777777" w:rsidTr="003A5CC5">
        <w:trPr>
          <w:cantSplit/>
          <w:jc w:val="center"/>
        </w:trPr>
        <w:tc>
          <w:tcPr>
            <w:tcW w:w="4819" w:type="dxa"/>
            <w:shd w:val="clear" w:color="auto" w:fill="auto"/>
            <w:tcMar>
              <w:left w:w="67" w:type="dxa"/>
              <w:right w:w="67" w:type="dxa"/>
            </w:tcMar>
          </w:tcPr>
          <w:p w14:paraId="4237B8AC" w14:textId="3670184D" w:rsidR="003A5CC5" w:rsidRPr="00B247FF" w:rsidRDefault="003A5CC5" w:rsidP="00786F6E">
            <w:pPr>
              <w:adjustRightInd w:val="0"/>
              <w:rPr>
                <w:sz w:val="20"/>
                <w:szCs w:val="20"/>
                <w:lang w:val="en-US"/>
              </w:rPr>
            </w:pPr>
            <w:r w:rsidRPr="00B247FF">
              <w:rPr>
                <w:sz w:val="20"/>
                <w:szCs w:val="20"/>
                <w:lang w:val="en-US"/>
              </w:rPr>
              <w:t xml:space="preserve">     </w:t>
            </w:r>
            <w:proofErr w:type="spellStart"/>
            <w:r w:rsidRPr="00B247FF">
              <w:rPr>
                <w:sz w:val="20"/>
                <w:szCs w:val="20"/>
                <w:lang w:val="en-US"/>
              </w:rPr>
              <w:t>Fatigue</w:t>
            </w:r>
            <w:r w:rsidRPr="00B247FF">
              <w:rPr>
                <w:sz w:val="20"/>
                <w:szCs w:val="20"/>
                <w:vertAlign w:val="superscript"/>
                <w:lang w:val="en-US"/>
              </w:rPr>
              <w:t>f</w:t>
            </w:r>
            <w:proofErr w:type="spellEnd"/>
          </w:p>
        </w:tc>
        <w:tc>
          <w:tcPr>
            <w:tcW w:w="1763" w:type="dxa"/>
            <w:shd w:val="clear" w:color="auto" w:fill="auto"/>
            <w:tcMar>
              <w:left w:w="67" w:type="dxa"/>
              <w:right w:w="67" w:type="dxa"/>
            </w:tcMar>
          </w:tcPr>
          <w:p w14:paraId="6EB474E0"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1BF49FC7" w14:textId="77777777" w:rsidR="003A5CC5" w:rsidRPr="00B247FF" w:rsidRDefault="003A5CC5" w:rsidP="00786F6E">
            <w:pPr>
              <w:adjustRightInd w:val="0"/>
              <w:rPr>
                <w:sz w:val="20"/>
                <w:szCs w:val="20"/>
                <w:lang w:val="en-US"/>
              </w:rPr>
            </w:pPr>
            <w:r w:rsidRPr="00B247FF">
              <w:rPr>
                <w:sz w:val="20"/>
                <w:szCs w:val="20"/>
                <w:lang w:val="en-US"/>
              </w:rPr>
              <w:t>33</w:t>
            </w:r>
          </w:p>
        </w:tc>
        <w:tc>
          <w:tcPr>
            <w:tcW w:w="1407" w:type="dxa"/>
            <w:shd w:val="clear" w:color="auto" w:fill="auto"/>
            <w:tcMar>
              <w:left w:w="67" w:type="dxa"/>
              <w:right w:w="67" w:type="dxa"/>
            </w:tcMar>
          </w:tcPr>
          <w:p w14:paraId="12A24613" w14:textId="77777777" w:rsidR="003A5CC5" w:rsidRPr="00B247FF" w:rsidRDefault="003A5CC5" w:rsidP="00786F6E">
            <w:pPr>
              <w:adjustRightInd w:val="0"/>
              <w:rPr>
                <w:sz w:val="20"/>
                <w:szCs w:val="20"/>
                <w:lang w:val="en-US"/>
              </w:rPr>
            </w:pPr>
            <w:r w:rsidRPr="00B247FF">
              <w:rPr>
                <w:sz w:val="20"/>
                <w:szCs w:val="20"/>
                <w:lang w:val="en-US"/>
              </w:rPr>
              <w:t>2</w:t>
            </w:r>
          </w:p>
        </w:tc>
      </w:tr>
      <w:tr w:rsidR="003A5CC5" w:rsidRPr="00B247FF" w14:paraId="57867E20" w14:textId="77777777" w:rsidTr="003A5CC5">
        <w:trPr>
          <w:cantSplit/>
          <w:jc w:val="center"/>
        </w:trPr>
        <w:tc>
          <w:tcPr>
            <w:tcW w:w="4819" w:type="dxa"/>
            <w:shd w:val="clear" w:color="auto" w:fill="auto"/>
            <w:tcMar>
              <w:left w:w="67" w:type="dxa"/>
              <w:right w:w="67" w:type="dxa"/>
            </w:tcMar>
          </w:tcPr>
          <w:p w14:paraId="690D3C7C" w14:textId="10B32258" w:rsidR="003A5CC5" w:rsidRPr="00B247FF" w:rsidRDefault="003A5CC5" w:rsidP="00786F6E">
            <w:pPr>
              <w:adjustRightInd w:val="0"/>
              <w:rPr>
                <w:sz w:val="20"/>
                <w:szCs w:val="20"/>
                <w:lang w:val="en-US"/>
              </w:rPr>
            </w:pPr>
            <w:r w:rsidRPr="00B247FF">
              <w:rPr>
                <w:sz w:val="20"/>
                <w:szCs w:val="20"/>
                <w:lang w:val="en-US"/>
              </w:rPr>
              <w:t xml:space="preserve">     </w:t>
            </w:r>
            <w:proofErr w:type="spellStart"/>
            <w:r w:rsidR="00144A68" w:rsidRPr="00B247FF">
              <w:rPr>
                <w:sz w:val="20"/>
                <w:szCs w:val="20"/>
                <w:lang w:val="en-US"/>
              </w:rPr>
              <w:t>Oe</w:t>
            </w:r>
            <w:r w:rsidRPr="00B247FF">
              <w:rPr>
                <w:sz w:val="20"/>
                <w:szCs w:val="20"/>
                <w:lang w:val="en-US"/>
              </w:rPr>
              <w:t>dema</w:t>
            </w:r>
            <w:r w:rsidRPr="00B247FF">
              <w:rPr>
                <w:sz w:val="20"/>
                <w:szCs w:val="20"/>
                <w:vertAlign w:val="superscript"/>
                <w:lang w:val="en-US"/>
              </w:rPr>
              <w:t>g</w:t>
            </w:r>
            <w:proofErr w:type="spellEnd"/>
          </w:p>
        </w:tc>
        <w:tc>
          <w:tcPr>
            <w:tcW w:w="1763" w:type="dxa"/>
            <w:shd w:val="clear" w:color="auto" w:fill="auto"/>
            <w:tcMar>
              <w:left w:w="67" w:type="dxa"/>
              <w:right w:w="67" w:type="dxa"/>
            </w:tcMar>
          </w:tcPr>
          <w:p w14:paraId="3BD64839"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269D911E" w14:textId="77777777" w:rsidR="003A5CC5" w:rsidRPr="00B247FF" w:rsidRDefault="003A5CC5" w:rsidP="00786F6E">
            <w:pPr>
              <w:adjustRightInd w:val="0"/>
              <w:rPr>
                <w:sz w:val="20"/>
                <w:szCs w:val="20"/>
                <w:lang w:val="en-US"/>
              </w:rPr>
            </w:pPr>
            <w:r w:rsidRPr="00B247FF">
              <w:rPr>
                <w:sz w:val="20"/>
                <w:szCs w:val="20"/>
                <w:lang w:val="en-US"/>
              </w:rPr>
              <w:t>29</w:t>
            </w:r>
          </w:p>
        </w:tc>
        <w:tc>
          <w:tcPr>
            <w:tcW w:w="1407" w:type="dxa"/>
            <w:shd w:val="clear" w:color="auto" w:fill="auto"/>
            <w:tcMar>
              <w:left w:w="67" w:type="dxa"/>
              <w:right w:w="67" w:type="dxa"/>
            </w:tcMar>
          </w:tcPr>
          <w:p w14:paraId="05D500A5" w14:textId="77777777" w:rsidR="003A5CC5" w:rsidRPr="00B247FF" w:rsidRDefault="003A5CC5" w:rsidP="00786F6E">
            <w:pPr>
              <w:adjustRightInd w:val="0"/>
              <w:rPr>
                <w:sz w:val="20"/>
                <w:szCs w:val="20"/>
                <w:lang w:val="en-US"/>
              </w:rPr>
            </w:pPr>
            <w:r w:rsidRPr="00B247FF">
              <w:rPr>
                <w:sz w:val="20"/>
                <w:szCs w:val="20"/>
                <w:lang w:val="en-US"/>
              </w:rPr>
              <w:t>0.7</w:t>
            </w:r>
          </w:p>
        </w:tc>
      </w:tr>
      <w:tr w:rsidR="001C3C12" w:rsidRPr="00B247FF" w14:paraId="1916BB40" w14:textId="77777777" w:rsidTr="003A5CC5">
        <w:trPr>
          <w:cantSplit/>
          <w:jc w:val="center"/>
        </w:trPr>
        <w:tc>
          <w:tcPr>
            <w:tcW w:w="4819" w:type="dxa"/>
            <w:shd w:val="clear" w:color="auto" w:fill="auto"/>
            <w:tcMar>
              <w:left w:w="67" w:type="dxa"/>
              <w:right w:w="67" w:type="dxa"/>
            </w:tcMar>
          </w:tcPr>
          <w:p w14:paraId="3A1EF413" w14:textId="3D3DCA57" w:rsidR="001C3C12" w:rsidRPr="00B247FF" w:rsidRDefault="001C3C12" w:rsidP="00786F6E">
            <w:pPr>
              <w:adjustRightInd w:val="0"/>
              <w:ind w:left="306" w:hanging="28"/>
              <w:rPr>
                <w:sz w:val="20"/>
                <w:szCs w:val="20"/>
                <w:lang w:val="en-US"/>
              </w:rPr>
            </w:pPr>
            <w:r w:rsidRPr="00B247FF">
              <w:rPr>
                <w:sz w:val="20"/>
                <w:szCs w:val="20"/>
                <w:lang w:val="en-US"/>
              </w:rPr>
              <w:t>Pyrexia</w:t>
            </w:r>
          </w:p>
        </w:tc>
        <w:tc>
          <w:tcPr>
            <w:tcW w:w="1763" w:type="dxa"/>
            <w:shd w:val="clear" w:color="auto" w:fill="auto"/>
            <w:tcMar>
              <w:left w:w="67" w:type="dxa"/>
              <w:right w:w="67" w:type="dxa"/>
            </w:tcMar>
          </w:tcPr>
          <w:p w14:paraId="50864A27" w14:textId="4ABA79C9" w:rsidR="001C3C12" w:rsidRPr="00B247FF" w:rsidRDefault="00DD6DB3"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4AD79E6C" w14:textId="3EC2EF21" w:rsidR="001C3C12" w:rsidRPr="00B247FF" w:rsidRDefault="00DD6DB3" w:rsidP="00786F6E">
            <w:pPr>
              <w:adjustRightInd w:val="0"/>
              <w:rPr>
                <w:sz w:val="20"/>
                <w:szCs w:val="20"/>
                <w:lang w:val="en-US"/>
              </w:rPr>
            </w:pPr>
            <w:r w:rsidRPr="00B247FF">
              <w:rPr>
                <w:sz w:val="20"/>
                <w:szCs w:val="20"/>
                <w:lang w:val="en-US"/>
              </w:rPr>
              <w:t>17</w:t>
            </w:r>
          </w:p>
        </w:tc>
        <w:tc>
          <w:tcPr>
            <w:tcW w:w="1407" w:type="dxa"/>
            <w:shd w:val="clear" w:color="auto" w:fill="auto"/>
            <w:tcMar>
              <w:left w:w="67" w:type="dxa"/>
              <w:right w:w="67" w:type="dxa"/>
            </w:tcMar>
          </w:tcPr>
          <w:p w14:paraId="4CE5706C" w14:textId="2752B66C" w:rsidR="001C3C12" w:rsidRPr="00B247FF" w:rsidRDefault="00DD6DB3" w:rsidP="00786F6E">
            <w:pPr>
              <w:adjustRightInd w:val="0"/>
              <w:rPr>
                <w:sz w:val="20"/>
                <w:szCs w:val="20"/>
                <w:lang w:val="en-US"/>
              </w:rPr>
            </w:pPr>
            <w:r w:rsidRPr="00B247FF">
              <w:rPr>
                <w:sz w:val="20"/>
                <w:szCs w:val="20"/>
                <w:lang w:val="en-US"/>
              </w:rPr>
              <w:t>0</w:t>
            </w:r>
          </w:p>
        </w:tc>
      </w:tr>
      <w:tr w:rsidR="003A5CC5" w:rsidRPr="00B247FF" w14:paraId="4EFDA45B" w14:textId="77777777" w:rsidTr="003A5CC5">
        <w:trPr>
          <w:cantSplit/>
          <w:jc w:val="center"/>
        </w:trPr>
        <w:tc>
          <w:tcPr>
            <w:tcW w:w="9288" w:type="dxa"/>
            <w:gridSpan w:val="4"/>
            <w:shd w:val="clear" w:color="auto" w:fill="auto"/>
            <w:tcMar>
              <w:left w:w="67" w:type="dxa"/>
              <w:right w:w="67" w:type="dxa"/>
            </w:tcMar>
          </w:tcPr>
          <w:p w14:paraId="62897941" w14:textId="77777777" w:rsidR="003A5CC5" w:rsidRPr="00B247FF" w:rsidRDefault="003A5CC5" w:rsidP="00786F6E">
            <w:pPr>
              <w:adjustRightInd w:val="0"/>
              <w:rPr>
                <w:b/>
                <w:bCs/>
                <w:sz w:val="20"/>
                <w:szCs w:val="20"/>
                <w:lang w:val="en-US"/>
              </w:rPr>
            </w:pPr>
            <w:r w:rsidRPr="00B247FF">
              <w:rPr>
                <w:b/>
                <w:bCs/>
                <w:sz w:val="20"/>
                <w:szCs w:val="20"/>
                <w:lang w:val="en-US"/>
              </w:rPr>
              <w:t>Musculoskeletal and connective tissue disorders</w:t>
            </w:r>
          </w:p>
        </w:tc>
      </w:tr>
      <w:tr w:rsidR="003A5CC5" w:rsidRPr="00B247FF" w14:paraId="53818B8D" w14:textId="77777777" w:rsidTr="003A5CC5">
        <w:trPr>
          <w:cantSplit/>
          <w:jc w:val="center"/>
        </w:trPr>
        <w:tc>
          <w:tcPr>
            <w:tcW w:w="4819" w:type="dxa"/>
            <w:shd w:val="clear" w:color="auto" w:fill="auto"/>
            <w:tcMar>
              <w:left w:w="67" w:type="dxa"/>
              <w:right w:w="67" w:type="dxa"/>
            </w:tcMar>
          </w:tcPr>
          <w:p w14:paraId="7397068E" w14:textId="1D8A4AE1" w:rsidR="003A5CC5" w:rsidRPr="00B247FF" w:rsidRDefault="003A5CC5" w:rsidP="00786F6E">
            <w:pPr>
              <w:adjustRightInd w:val="0"/>
              <w:rPr>
                <w:sz w:val="20"/>
                <w:szCs w:val="20"/>
                <w:vertAlign w:val="superscript"/>
                <w:lang w:val="en-US"/>
              </w:rPr>
            </w:pPr>
            <w:r w:rsidRPr="00B247FF">
              <w:rPr>
                <w:sz w:val="20"/>
                <w:szCs w:val="20"/>
                <w:lang w:val="en-US"/>
              </w:rPr>
              <w:t xml:space="preserve">     </w:t>
            </w:r>
            <w:r w:rsidR="005A2009" w:rsidRPr="00B247FF">
              <w:rPr>
                <w:sz w:val="20"/>
                <w:szCs w:val="20"/>
                <w:lang w:val="en-US"/>
              </w:rPr>
              <w:t xml:space="preserve">Musculoskeletal </w:t>
            </w:r>
            <w:proofErr w:type="spellStart"/>
            <w:r w:rsidR="005A2009" w:rsidRPr="00B247FF">
              <w:rPr>
                <w:sz w:val="20"/>
                <w:szCs w:val="20"/>
                <w:lang w:val="en-US"/>
              </w:rPr>
              <w:t>pain</w:t>
            </w:r>
            <w:r w:rsidR="00A06F04" w:rsidRPr="00B247FF">
              <w:rPr>
                <w:sz w:val="20"/>
                <w:szCs w:val="20"/>
                <w:vertAlign w:val="superscript"/>
                <w:lang w:val="en-US"/>
              </w:rPr>
              <w:t>h</w:t>
            </w:r>
            <w:proofErr w:type="spellEnd"/>
          </w:p>
        </w:tc>
        <w:tc>
          <w:tcPr>
            <w:tcW w:w="1763" w:type="dxa"/>
            <w:shd w:val="clear" w:color="auto" w:fill="auto"/>
            <w:tcMar>
              <w:left w:w="67" w:type="dxa"/>
              <w:right w:w="67" w:type="dxa"/>
            </w:tcMar>
          </w:tcPr>
          <w:p w14:paraId="03E36B14"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468F8A8C" w14:textId="129A358C" w:rsidR="003A5CC5" w:rsidRPr="00B247FF" w:rsidRDefault="00EB0653" w:rsidP="00786F6E">
            <w:pPr>
              <w:adjustRightInd w:val="0"/>
              <w:rPr>
                <w:sz w:val="20"/>
                <w:szCs w:val="20"/>
                <w:lang w:val="en-US"/>
              </w:rPr>
            </w:pPr>
            <w:r w:rsidRPr="00B247FF">
              <w:rPr>
                <w:sz w:val="20"/>
                <w:szCs w:val="20"/>
                <w:lang w:val="en-US"/>
              </w:rPr>
              <w:t>48</w:t>
            </w:r>
          </w:p>
        </w:tc>
        <w:tc>
          <w:tcPr>
            <w:tcW w:w="1407" w:type="dxa"/>
            <w:shd w:val="clear" w:color="auto" w:fill="auto"/>
            <w:tcMar>
              <w:left w:w="67" w:type="dxa"/>
              <w:right w:w="67" w:type="dxa"/>
            </w:tcMar>
          </w:tcPr>
          <w:p w14:paraId="0BC3041D" w14:textId="77777777" w:rsidR="003A5CC5" w:rsidRPr="00B247FF" w:rsidRDefault="003A5CC5" w:rsidP="00786F6E">
            <w:pPr>
              <w:adjustRightInd w:val="0"/>
              <w:rPr>
                <w:sz w:val="20"/>
                <w:szCs w:val="20"/>
                <w:lang w:val="en-US"/>
              </w:rPr>
            </w:pPr>
            <w:r w:rsidRPr="00B247FF">
              <w:rPr>
                <w:sz w:val="20"/>
                <w:szCs w:val="20"/>
                <w:lang w:val="en-US"/>
              </w:rPr>
              <w:t>0</w:t>
            </w:r>
          </w:p>
        </w:tc>
      </w:tr>
      <w:tr w:rsidR="003A5CC5" w:rsidRPr="00B247FF" w14:paraId="699CF964" w14:textId="77777777" w:rsidTr="003A5CC5">
        <w:trPr>
          <w:cantSplit/>
          <w:jc w:val="center"/>
        </w:trPr>
        <w:tc>
          <w:tcPr>
            <w:tcW w:w="9288" w:type="dxa"/>
            <w:gridSpan w:val="4"/>
            <w:shd w:val="clear" w:color="auto" w:fill="auto"/>
            <w:tcMar>
              <w:left w:w="67" w:type="dxa"/>
              <w:right w:w="67" w:type="dxa"/>
            </w:tcMar>
          </w:tcPr>
          <w:p w14:paraId="2BD370D9" w14:textId="77777777" w:rsidR="003A5CC5" w:rsidRPr="00B247FF" w:rsidRDefault="003A5CC5" w:rsidP="00786F6E">
            <w:pPr>
              <w:adjustRightInd w:val="0"/>
              <w:rPr>
                <w:b/>
                <w:bCs/>
                <w:sz w:val="20"/>
                <w:szCs w:val="20"/>
                <w:lang w:val="en-US"/>
              </w:rPr>
            </w:pPr>
            <w:r w:rsidRPr="00B247FF">
              <w:rPr>
                <w:b/>
                <w:bCs/>
                <w:sz w:val="20"/>
                <w:szCs w:val="20"/>
                <w:lang w:val="en-US"/>
              </w:rPr>
              <w:t>Nervous system disorders</w:t>
            </w:r>
          </w:p>
        </w:tc>
      </w:tr>
      <w:tr w:rsidR="003A5CC5" w:rsidRPr="00B247FF" w14:paraId="4DFEA0CF" w14:textId="77777777" w:rsidTr="003A5CC5">
        <w:trPr>
          <w:cantSplit/>
          <w:jc w:val="center"/>
        </w:trPr>
        <w:tc>
          <w:tcPr>
            <w:tcW w:w="4819" w:type="dxa"/>
            <w:shd w:val="clear" w:color="auto" w:fill="auto"/>
            <w:tcMar>
              <w:left w:w="67" w:type="dxa"/>
              <w:right w:w="67" w:type="dxa"/>
            </w:tcMar>
          </w:tcPr>
          <w:p w14:paraId="461852E2" w14:textId="780EB796" w:rsidR="003A5CC5" w:rsidRPr="00B247FF" w:rsidRDefault="003A5CC5" w:rsidP="00786F6E">
            <w:pPr>
              <w:adjustRightInd w:val="0"/>
              <w:rPr>
                <w:sz w:val="20"/>
                <w:szCs w:val="20"/>
                <w:lang w:val="en-US"/>
              </w:rPr>
            </w:pPr>
            <w:r w:rsidRPr="00B247FF">
              <w:rPr>
                <w:sz w:val="20"/>
                <w:szCs w:val="20"/>
                <w:lang w:val="en-US"/>
              </w:rPr>
              <w:t xml:space="preserve">     </w:t>
            </w:r>
            <w:proofErr w:type="spellStart"/>
            <w:r w:rsidRPr="00B247FF">
              <w:rPr>
                <w:sz w:val="20"/>
                <w:szCs w:val="20"/>
                <w:lang w:val="en-US"/>
              </w:rPr>
              <w:t>Dizziness</w:t>
            </w:r>
            <w:r w:rsidR="00A06F04" w:rsidRPr="00B247FF">
              <w:rPr>
                <w:sz w:val="20"/>
                <w:szCs w:val="20"/>
                <w:vertAlign w:val="superscript"/>
                <w:lang w:val="en-US"/>
              </w:rPr>
              <w:t>i</w:t>
            </w:r>
            <w:proofErr w:type="spellEnd"/>
          </w:p>
        </w:tc>
        <w:tc>
          <w:tcPr>
            <w:tcW w:w="1763" w:type="dxa"/>
            <w:shd w:val="clear" w:color="auto" w:fill="auto"/>
            <w:tcMar>
              <w:left w:w="67" w:type="dxa"/>
              <w:right w:w="67" w:type="dxa"/>
            </w:tcMar>
          </w:tcPr>
          <w:p w14:paraId="2E3094F9" w14:textId="77777777" w:rsidR="003A5CC5" w:rsidRPr="00B247FF" w:rsidRDefault="003A5CC5"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18CFEB60" w14:textId="77777777" w:rsidR="003A5CC5" w:rsidRPr="00B247FF" w:rsidRDefault="003A5CC5" w:rsidP="00786F6E">
            <w:pPr>
              <w:adjustRightInd w:val="0"/>
              <w:rPr>
                <w:sz w:val="20"/>
                <w:szCs w:val="20"/>
                <w:lang w:val="en-US"/>
              </w:rPr>
            </w:pPr>
            <w:r w:rsidRPr="00B247FF">
              <w:rPr>
                <w:sz w:val="20"/>
                <w:szCs w:val="20"/>
                <w:lang w:val="en-US"/>
              </w:rPr>
              <w:t>12</w:t>
            </w:r>
          </w:p>
        </w:tc>
        <w:tc>
          <w:tcPr>
            <w:tcW w:w="1407" w:type="dxa"/>
            <w:shd w:val="clear" w:color="auto" w:fill="auto"/>
            <w:tcMar>
              <w:left w:w="67" w:type="dxa"/>
              <w:right w:w="67" w:type="dxa"/>
            </w:tcMar>
          </w:tcPr>
          <w:p w14:paraId="7B859052" w14:textId="77777777" w:rsidR="003A5CC5" w:rsidRPr="00B247FF" w:rsidRDefault="003A5CC5" w:rsidP="00786F6E">
            <w:pPr>
              <w:adjustRightInd w:val="0"/>
              <w:rPr>
                <w:sz w:val="20"/>
                <w:szCs w:val="20"/>
                <w:lang w:val="en-US"/>
              </w:rPr>
            </w:pPr>
            <w:r w:rsidRPr="00B247FF">
              <w:rPr>
                <w:sz w:val="20"/>
                <w:szCs w:val="20"/>
                <w:lang w:val="en-US"/>
              </w:rPr>
              <w:t>0.7</w:t>
            </w:r>
          </w:p>
        </w:tc>
      </w:tr>
      <w:tr w:rsidR="00A06F04" w:rsidRPr="00B247FF" w14:paraId="3258FAD8" w14:textId="77777777" w:rsidTr="003A5CC5">
        <w:trPr>
          <w:cantSplit/>
          <w:jc w:val="center"/>
        </w:trPr>
        <w:tc>
          <w:tcPr>
            <w:tcW w:w="4819" w:type="dxa"/>
            <w:shd w:val="clear" w:color="auto" w:fill="auto"/>
            <w:tcMar>
              <w:left w:w="67" w:type="dxa"/>
              <w:right w:w="67" w:type="dxa"/>
            </w:tcMar>
          </w:tcPr>
          <w:p w14:paraId="6FFEE853" w14:textId="331A5DA3" w:rsidR="00A06F04" w:rsidRPr="00B247FF" w:rsidRDefault="00A06F04" w:rsidP="00786F6E">
            <w:pPr>
              <w:adjustRightInd w:val="0"/>
              <w:ind w:left="278"/>
              <w:rPr>
                <w:sz w:val="20"/>
                <w:szCs w:val="20"/>
                <w:vertAlign w:val="superscript"/>
                <w:lang w:val="en-US"/>
              </w:rPr>
            </w:pPr>
            <w:r w:rsidRPr="00B247FF">
              <w:rPr>
                <w:sz w:val="20"/>
                <w:szCs w:val="20"/>
                <w:lang w:val="en-US"/>
              </w:rPr>
              <w:t xml:space="preserve">Peripheral </w:t>
            </w:r>
            <w:proofErr w:type="spellStart"/>
            <w:r w:rsidRPr="00B247FF">
              <w:rPr>
                <w:sz w:val="20"/>
                <w:szCs w:val="20"/>
                <w:lang w:val="en-US"/>
              </w:rPr>
              <w:t>neuropathy</w:t>
            </w:r>
            <w:r w:rsidRPr="00B247FF">
              <w:rPr>
                <w:sz w:val="20"/>
                <w:szCs w:val="20"/>
                <w:vertAlign w:val="superscript"/>
                <w:lang w:val="en-US"/>
              </w:rPr>
              <w:t>j</w:t>
            </w:r>
            <w:proofErr w:type="spellEnd"/>
          </w:p>
        </w:tc>
        <w:tc>
          <w:tcPr>
            <w:tcW w:w="1763" w:type="dxa"/>
            <w:shd w:val="clear" w:color="auto" w:fill="auto"/>
            <w:tcMar>
              <w:left w:w="67" w:type="dxa"/>
              <w:right w:w="67" w:type="dxa"/>
            </w:tcMar>
          </w:tcPr>
          <w:p w14:paraId="2123A207" w14:textId="7A00B003" w:rsidR="00A06F04" w:rsidRPr="00B247FF" w:rsidRDefault="00A06F04"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6F0BB358" w14:textId="116E9829" w:rsidR="00A06F04" w:rsidRPr="00B247FF" w:rsidRDefault="00A06F04" w:rsidP="00786F6E">
            <w:pPr>
              <w:adjustRightInd w:val="0"/>
              <w:rPr>
                <w:sz w:val="20"/>
                <w:szCs w:val="20"/>
                <w:lang w:val="en-US"/>
              </w:rPr>
            </w:pPr>
            <w:r w:rsidRPr="00B247FF">
              <w:rPr>
                <w:sz w:val="20"/>
                <w:szCs w:val="20"/>
                <w:lang w:val="en-US"/>
              </w:rPr>
              <w:t>12</w:t>
            </w:r>
          </w:p>
        </w:tc>
        <w:tc>
          <w:tcPr>
            <w:tcW w:w="1407" w:type="dxa"/>
            <w:shd w:val="clear" w:color="auto" w:fill="auto"/>
            <w:tcMar>
              <w:left w:w="67" w:type="dxa"/>
              <w:right w:w="67" w:type="dxa"/>
            </w:tcMar>
          </w:tcPr>
          <w:p w14:paraId="2EEC17C7" w14:textId="6C38ED7C" w:rsidR="00A06F04" w:rsidRPr="00B247FF" w:rsidRDefault="00A06F04" w:rsidP="00786F6E">
            <w:pPr>
              <w:adjustRightInd w:val="0"/>
              <w:rPr>
                <w:sz w:val="20"/>
                <w:szCs w:val="20"/>
                <w:lang w:val="en-US"/>
              </w:rPr>
            </w:pPr>
            <w:r w:rsidRPr="00B247FF">
              <w:rPr>
                <w:sz w:val="20"/>
                <w:szCs w:val="20"/>
                <w:lang w:val="en-US"/>
              </w:rPr>
              <w:t>0</w:t>
            </w:r>
          </w:p>
        </w:tc>
      </w:tr>
      <w:tr w:rsidR="00A06F04" w:rsidRPr="00B247FF" w14:paraId="6FDEF61B" w14:textId="77777777" w:rsidTr="003A5CC5">
        <w:trPr>
          <w:cantSplit/>
          <w:jc w:val="center"/>
        </w:trPr>
        <w:tc>
          <w:tcPr>
            <w:tcW w:w="4819" w:type="dxa"/>
            <w:shd w:val="clear" w:color="auto" w:fill="auto"/>
            <w:tcMar>
              <w:left w:w="67" w:type="dxa"/>
              <w:right w:w="67" w:type="dxa"/>
            </w:tcMar>
          </w:tcPr>
          <w:p w14:paraId="205A22A3" w14:textId="306A16EF" w:rsidR="00A06F04" w:rsidRPr="00B247FF" w:rsidRDefault="00A06F04" w:rsidP="00786F6E">
            <w:pPr>
              <w:adjustRightInd w:val="0"/>
              <w:ind w:left="278"/>
              <w:rPr>
                <w:sz w:val="20"/>
                <w:szCs w:val="20"/>
                <w:lang w:val="en-US"/>
              </w:rPr>
            </w:pPr>
            <w:proofErr w:type="spellStart"/>
            <w:r w:rsidRPr="00B247FF">
              <w:rPr>
                <w:sz w:val="20"/>
                <w:szCs w:val="20"/>
                <w:lang w:val="en-US"/>
              </w:rPr>
              <w:t>Headache</w:t>
            </w:r>
            <w:r w:rsidRPr="00B247FF">
              <w:rPr>
                <w:sz w:val="20"/>
                <w:szCs w:val="20"/>
                <w:vertAlign w:val="superscript"/>
                <w:lang w:val="en-US"/>
              </w:rPr>
              <w:t>k</w:t>
            </w:r>
            <w:proofErr w:type="spellEnd"/>
          </w:p>
        </w:tc>
        <w:tc>
          <w:tcPr>
            <w:tcW w:w="1763" w:type="dxa"/>
            <w:shd w:val="clear" w:color="auto" w:fill="auto"/>
            <w:tcMar>
              <w:left w:w="67" w:type="dxa"/>
              <w:right w:w="67" w:type="dxa"/>
            </w:tcMar>
          </w:tcPr>
          <w:p w14:paraId="3CEF972A" w14:textId="20D80CD6" w:rsidR="00A06F04" w:rsidRPr="00B247FF" w:rsidRDefault="00A06F04"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4E86F8D4" w14:textId="5D7AC953" w:rsidR="00A06F04" w:rsidRPr="00B247FF" w:rsidRDefault="00A06F04" w:rsidP="00786F6E">
            <w:pPr>
              <w:adjustRightInd w:val="0"/>
              <w:rPr>
                <w:sz w:val="20"/>
                <w:szCs w:val="20"/>
                <w:lang w:val="en-US"/>
              </w:rPr>
            </w:pPr>
            <w:r w:rsidRPr="00B247FF">
              <w:rPr>
                <w:sz w:val="20"/>
                <w:szCs w:val="20"/>
                <w:lang w:val="en-US"/>
              </w:rPr>
              <w:t>10</w:t>
            </w:r>
          </w:p>
        </w:tc>
        <w:tc>
          <w:tcPr>
            <w:tcW w:w="1407" w:type="dxa"/>
            <w:shd w:val="clear" w:color="auto" w:fill="auto"/>
            <w:tcMar>
              <w:left w:w="67" w:type="dxa"/>
              <w:right w:w="67" w:type="dxa"/>
            </w:tcMar>
          </w:tcPr>
          <w:p w14:paraId="2B04BD4D" w14:textId="520C5D0B" w:rsidR="00A06F04" w:rsidRPr="00B247FF" w:rsidRDefault="00A06F04" w:rsidP="00786F6E">
            <w:pPr>
              <w:adjustRightInd w:val="0"/>
              <w:rPr>
                <w:sz w:val="20"/>
                <w:szCs w:val="20"/>
                <w:lang w:val="en-US"/>
              </w:rPr>
            </w:pPr>
            <w:r w:rsidRPr="00B247FF">
              <w:rPr>
                <w:sz w:val="20"/>
                <w:szCs w:val="20"/>
                <w:lang w:val="en-US"/>
              </w:rPr>
              <w:t>0.7</w:t>
            </w:r>
          </w:p>
        </w:tc>
      </w:tr>
      <w:tr w:rsidR="00EB0653" w:rsidRPr="00B247FF" w14:paraId="340295D9" w14:textId="77777777" w:rsidTr="003A5CC5">
        <w:trPr>
          <w:cantSplit/>
          <w:jc w:val="center"/>
        </w:trPr>
        <w:tc>
          <w:tcPr>
            <w:tcW w:w="4819" w:type="dxa"/>
            <w:shd w:val="clear" w:color="auto" w:fill="auto"/>
            <w:tcMar>
              <w:left w:w="67" w:type="dxa"/>
              <w:right w:w="67" w:type="dxa"/>
            </w:tcMar>
          </w:tcPr>
          <w:p w14:paraId="7B3F6BE1" w14:textId="09E4512F" w:rsidR="00EB0653" w:rsidRPr="00B247FF" w:rsidRDefault="00EB0653" w:rsidP="00786F6E">
            <w:pPr>
              <w:adjustRightInd w:val="0"/>
              <w:rPr>
                <w:sz w:val="20"/>
                <w:szCs w:val="20"/>
                <w:lang w:val="en-US"/>
              </w:rPr>
            </w:pPr>
            <w:r w:rsidRPr="00B247FF">
              <w:rPr>
                <w:b/>
                <w:bCs/>
                <w:sz w:val="20"/>
                <w:szCs w:val="20"/>
                <w:u w:val="double"/>
                <w:lang w:val="en-US"/>
              </w:rPr>
              <w:t>Vascular disorders</w:t>
            </w:r>
          </w:p>
        </w:tc>
        <w:tc>
          <w:tcPr>
            <w:tcW w:w="1763" w:type="dxa"/>
            <w:shd w:val="clear" w:color="auto" w:fill="auto"/>
            <w:tcMar>
              <w:left w:w="67" w:type="dxa"/>
              <w:right w:w="67" w:type="dxa"/>
            </w:tcMar>
          </w:tcPr>
          <w:p w14:paraId="4B1A8508" w14:textId="77777777" w:rsidR="00EB0653" w:rsidRPr="00B247FF" w:rsidRDefault="00EB0653" w:rsidP="00786F6E">
            <w:pPr>
              <w:adjustRightInd w:val="0"/>
              <w:rPr>
                <w:sz w:val="20"/>
                <w:szCs w:val="20"/>
                <w:lang w:val="en-US"/>
              </w:rPr>
            </w:pPr>
          </w:p>
        </w:tc>
        <w:tc>
          <w:tcPr>
            <w:tcW w:w="1299" w:type="dxa"/>
            <w:shd w:val="clear" w:color="auto" w:fill="auto"/>
            <w:tcMar>
              <w:left w:w="67" w:type="dxa"/>
              <w:right w:w="67" w:type="dxa"/>
            </w:tcMar>
          </w:tcPr>
          <w:p w14:paraId="536E6C21" w14:textId="77777777" w:rsidR="00EB0653" w:rsidRPr="00B247FF" w:rsidRDefault="00EB0653" w:rsidP="00786F6E">
            <w:pPr>
              <w:adjustRightInd w:val="0"/>
              <w:rPr>
                <w:sz w:val="20"/>
                <w:szCs w:val="20"/>
                <w:lang w:val="en-US"/>
              </w:rPr>
            </w:pPr>
          </w:p>
        </w:tc>
        <w:tc>
          <w:tcPr>
            <w:tcW w:w="1407" w:type="dxa"/>
            <w:shd w:val="clear" w:color="auto" w:fill="auto"/>
            <w:tcMar>
              <w:left w:w="67" w:type="dxa"/>
              <w:right w:w="67" w:type="dxa"/>
            </w:tcMar>
          </w:tcPr>
          <w:p w14:paraId="4E37213A" w14:textId="77777777" w:rsidR="00EB0653" w:rsidRPr="00B247FF" w:rsidRDefault="00EB0653" w:rsidP="00786F6E">
            <w:pPr>
              <w:adjustRightInd w:val="0"/>
              <w:rPr>
                <w:sz w:val="20"/>
                <w:szCs w:val="20"/>
                <w:lang w:val="en-US"/>
              </w:rPr>
            </w:pPr>
          </w:p>
        </w:tc>
      </w:tr>
      <w:tr w:rsidR="00EB0653" w:rsidRPr="00B247FF" w14:paraId="53E6BF1A" w14:textId="77777777" w:rsidTr="003A5CC5">
        <w:trPr>
          <w:cantSplit/>
          <w:jc w:val="center"/>
        </w:trPr>
        <w:tc>
          <w:tcPr>
            <w:tcW w:w="4819" w:type="dxa"/>
            <w:shd w:val="clear" w:color="auto" w:fill="auto"/>
            <w:tcMar>
              <w:left w:w="67" w:type="dxa"/>
              <w:right w:w="67" w:type="dxa"/>
            </w:tcMar>
          </w:tcPr>
          <w:p w14:paraId="33C5EE24" w14:textId="7B2E8049" w:rsidR="00EB0653" w:rsidRPr="00B247FF" w:rsidRDefault="00EB0653" w:rsidP="00786F6E">
            <w:pPr>
              <w:adjustRightInd w:val="0"/>
              <w:ind w:left="278"/>
              <w:rPr>
                <w:sz w:val="20"/>
                <w:szCs w:val="20"/>
                <w:vertAlign w:val="superscript"/>
                <w:lang w:val="en-US"/>
              </w:rPr>
            </w:pPr>
            <w:proofErr w:type="spellStart"/>
            <w:r w:rsidRPr="00B247FF">
              <w:rPr>
                <w:sz w:val="20"/>
                <w:szCs w:val="20"/>
                <w:lang w:val="en-US"/>
              </w:rPr>
              <w:t>Haemorrhage</w:t>
            </w:r>
            <w:r w:rsidRPr="00B247FF">
              <w:rPr>
                <w:sz w:val="20"/>
                <w:szCs w:val="20"/>
                <w:vertAlign w:val="superscript"/>
                <w:lang w:val="en-US"/>
              </w:rPr>
              <w:t>l</w:t>
            </w:r>
            <w:proofErr w:type="spellEnd"/>
          </w:p>
        </w:tc>
        <w:tc>
          <w:tcPr>
            <w:tcW w:w="1763" w:type="dxa"/>
            <w:shd w:val="clear" w:color="auto" w:fill="auto"/>
            <w:tcMar>
              <w:left w:w="67" w:type="dxa"/>
              <w:right w:w="67" w:type="dxa"/>
            </w:tcMar>
          </w:tcPr>
          <w:p w14:paraId="4B4DB5F7" w14:textId="4B865B7D" w:rsidR="00EB0653" w:rsidRPr="00B247FF" w:rsidRDefault="00241936"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7F4AAB3B" w14:textId="50E49098" w:rsidR="00EB0653" w:rsidRPr="00B247FF" w:rsidRDefault="00241936" w:rsidP="00786F6E">
            <w:pPr>
              <w:adjustRightInd w:val="0"/>
              <w:rPr>
                <w:sz w:val="20"/>
                <w:szCs w:val="20"/>
                <w:lang w:val="en-US"/>
              </w:rPr>
            </w:pPr>
            <w:r w:rsidRPr="00B247FF">
              <w:rPr>
                <w:sz w:val="20"/>
                <w:szCs w:val="20"/>
                <w:lang w:val="en-US"/>
              </w:rPr>
              <w:t>24</w:t>
            </w:r>
          </w:p>
        </w:tc>
        <w:tc>
          <w:tcPr>
            <w:tcW w:w="1407" w:type="dxa"/>
            <w:shd w:val="clear" w:color="auto" w:fill="auto"/>
            <w:tcMar>
              <w:left w:w="67" w:type="dxa"/>
              <w:right w:w="67" w:type="dxa"/>
            </w:tcMar>
          </w:tcPr>
          <w:p w14:paraId="6E97E2DA" w14:textId="636D311C" w:rsidR="00EB0653" w:rsidRPr="00B247FF" w:rsidRDefault="00241936" w:rsidP="00786F6E">
            <w:pPr>
              <w:adjustRightInd w:val="0"/>
              <w:rPr>
                <w:sz w:val="20"/>
                <w:szCs w:val="20"/>
                <w:lang w:val="en-US"/>
              </w:rPr>
            </w:pPr>
            <w:r w:rsidRPr="00B247FF">
              <w:rPr>
                <w:sz w:val="20"/>
                <w:szCs w:val="20"/>
                <w:lang w:val="en-US"/>
              </w:rPr>
              <w:t>0</w:t>
            </w:r>
          </w:p>
        </w:tc>
      </w:tr>
      <w:tr w:rsidR="00241936" w:rsidRPr="00B247FF" w14:paraId="253858B2" w14:textId="77777777" w:rsidTr="003A5CC5">
        <w:trPr>
          <w:cantSplit/>
          <w:jc w:val="center"/>
        </w:trPr>
        <w:tc>
          <w:tcPr>
            <w:tcW w:w="4819" w:type="dxa"/>
            <w:shd w:val="clear" w:color="auto" w:fill="auto"/>
            <w:tcMar>
              <w:left w:w="67" w:type="dxa"/>
              <w:right w:w="67" w:type="dxa"/>
            </w:tcMar>
          </w:tcPr>
          <w:p w14:paraId="0148DC42" w14:textId="4C870DA6" w:rsidR="00241936" w:rsidRPr="00B247FF" w:rsidRDefault="00241936" w:rsidP="00786F6E">
            <w:pPr>
              <w:adjustRightInd w:val="0"/>
              <w:rPr>
                <w:sz w:val="20"/>
                <w:szCs w:val="20"/>
                <w:lang w:val="en-US"/>
              </w:rPr>
            </w:pPr>
            <w:r w:rsidRPr="00B247FF">
              <w:rPr>
                <w:b/>
                <w:bCs/>
                <w:sz w:val="20"/>
                <w:szCs w:val="20"/>
                <w:u w:val="double"/>
                <w:lang w:val="en-US"/>
              </w:rPr>
              <w:t>Infections and infestations</w:t>
            </w:r>
          </w:p>
        </w:tc>
        <w:tc>
          <w:tcPr>
            <w:tcW w:w="1763" w:type="dxa"/>
            <w:shd w:val="clear" w:color="auto" w:fill="auto"/>
            <w:tcMar>
              <w:left w:w="67" w:type="dxa"/>
              <w:right w:w="67" w:type="dxa"/>
            </w:tcMar>
          </w:tcPr>
          <w:p w14:paraId="63368938" w14:textId="77777777" w:rsidR="00241936" w:rsidRPr="00B247FF" w:rsidRDefault="00241936" w:rsidP="00786F6E">
            <w:pPr>
              <w:adjustRightInd w:val="0"/>
              <w:rPr>
                <w:sz w:val="20"/>
                <w:szCs w:val="20"/>
                <w:lang w:val="en-US"/>
              </w:rPr>
            </w:pPr>
          </w:p>
        </w:tc>
        <w:tc>
          <w:tcPr>
            <w:tcW w:w="1299" w:type="dxa"/>
            <w:shd w:val="clear" w:color="auto" w:fill="auto"/>
            <w:tcMar>
              <w:left w:w="67" w:type="dxa"/>
              <w:right w:w="67" w:type="dxa"/>
            </w:tcMar>
          </w:tcPr>
          <w:p w14:paraId="3E3B20DB" w14:textId="77777777" w:rsidR="00241936" w:rsidRPr="00B247FF" w:rsidRDefault="00241936" w:rsidP="00786F6E">
            <w:pPr>
              <w:adjustRightInd w:val="0"/>
              <w:rPr>
                <w:sz w:val="20"/>
                <w:szCs w:val="20"/>
                <w:lang w:val="en-US"/>
              </w:rPr>
            </w:pPr>
          </w:p>
        </w:tc>
        <w:tc>
          <w:tcPr>
            <w:tcW w:w="1407" w:type="dxa"/>
            <w:shd w:val="clear" w:color="auto" w:fill="auto"/>
            <w:tcMar>
              <w:left w:w="67" w:type="dxa"/>
              <w:right w:w="67" w:type="dxa"/>
            </w:tcMar>
          </w:tcPr>
          <w:p w14:paraId="7D684BFE" w14:textId="77777777" w:rsidR="00241936" w:rsidRPr="00B247FF" w:rsidRDefault="00241936" w:rsidP="00786F6E">
            <w:pPr>
              <w:adjustRightInd w:val="0"/>
              <w:rPr>
                <w:sz w:val="20"/>
                <w:szCs w:val="20"/>
                <w:lang w:val="en-US"/>
              </w:rPr>
            </w:pPr>
          </w:p>
        </w:tc>
      </w:tr>
      <w:tr w:rsidR="00241936" w:rsidRPr="00B247FF" w14:paraId="06594D6A" w14:textId="77777777" w:rsidTr="003A5CC5">
        <w:trPr>
          <w:cantSplit/>
          <w:jc w:val="center"/>
        </w:trPr>
        <w:tc>
          <w:tcPr>
            <w:tcW w:w="4819" w:type="dxa"/>
            <w:shd w:val="clear" w:color="auto" w:fill="auto"/>
            <w:tcMar>
              <w:left w:w="67" w:type="dxa"/>
              <w:right w:w="67" w:type="dxa"/>
            </w:tcMar>
          </w:tcPr>
          <w:p w14:paraId="3B1A14CC" w14:textId="188E4BFC" w:rsidR="00241936" w:rsidRPr="00B247FF" w:rsidRDefault="00241936" w:rsidP="00786F6E">
            <w:pPr>
              <w:adjustRightInd w:val="0"/>
              <w:ind w:left="278"/>
              <w:rPr>
                <w:sz w:val="20"/>
                <w:szCs w:val="20"/>
                <w:vertAlign w:val="superscript"/>
                <w:lang w:val="en-US"/>
              </w:rPr>
            </w:pPr>
            <w:proofErr w:type="spellStart"/>
            <w:r w:rsidRPr="00B247FF">
              <w:rPr>
                <w:sz w:val="20"/>
                <w:szCs w:val="20"/>
                <w:lang w:val="en-US"/>
              </w:rPr>
              <w:t>Pneumonia</w:t>
            </w:r>
            <w:r w:rsidRPr="00B247FF">
              <w:rPr>
                <w:sz w:val="20"/>
                <w:szCs w:val="20"/>
                <w:vertAlign w:val="superscript"/>
                <w:lang w:val="en-US"/>
              </w:rPr>
              <w:t>m</w:t>
            </w:r>
            <w:proofErr w:type="spellEnd"/>
          </w:p>
        </w:tc>
        <w:tc>
          <w:tcPr>
            <w:tcW w:w="1763" w:type="dxa"/>
            <w:shd w:val="clear" w:color="auto" w:fill="auto"/>
            <w:tcMar>
              <w:left w:w="67" w:type="dxa"/>
              <w:right w:w="67" w:type="dxa"/>
            </w:tcMar>
          </w:tcPr>
          <w:p w14:paraId="729CADC6" w14:textId="40406B60" w:rsidR="00241936" w:rsidRPr="00B247FF" w:rsidRDefault="00241936" w:rsidP="00786F6E">
            <w:pPr>
              <w:adjustRightInd w:val="0"/>
              <w:rPr>
                <w:sz w:val="20"/>
                <w:szCs w:val="20"/>
                <w:lang w:val="en-US"/>
              </w:rPr>
            </w:pPr>
            <w:r w:rsidRPr="00B247FF">
              <w:rPr>
                <w:sz w:val="20"/>
                <w:szCs w:val="20"/>
                <w:lang w:val="en-US"/>
              </w:rPr>
              <w:t>Very common</w:t>
            </w:r>
          </w:p>
        </w:tc>
        <w:tc>
          <w:tcPr>
            <w:tcW w:w="1299" w:type="dxa"/>
            <w:shd w:val="clear" w:color="auto" w:fill="auto"/>
            <w:tcMar>
              <w:left w:w="67" w:type="dxa"/>
              <w:right w:w="67" w:type="dxa"/>
            </w:tcMar>
          </w:tcPr>
          <w:p w14:paraId="7FC372B2" w14:textId="694BCBB2" w:rsidR="00241936" w:rsidRPr="00B247FF" w:rsidRDefault="00241936" w:rsidP="00786F6E">
            <w:pPr>
              <w:adjustRightInd w:val="0"/>
              <w:rPr>
                <w:sz w:val="20"/>
                <w:szCs w:val="20"/>
                <w:lang w:val="en-US"/>
              </w:rPr>
            </w:pPr>
            <w:r w:rsidRPr="00B247FF">
              <w:rPr>
                <w:sz w:val="20"/>
                <w:szCs w:val="20"/>
                <w:lang w:val="en-US"/>
              </w:rPr>
              <w:t>11</w:t>
            </w:r>
          </w:p>
        </w:tc>
        <w:tc>
          <w:tcPr>
            <w:tcW w:w="1407" w:type="dxa"/>
            <w:shd w:val="clear" w:color="auto" w:fill="auto"/>
            <w:tcMar>
              <w:left w:w="67" w:type="dxa"/>
              <w:right w:w="67" w:type="dxa"/>
            </w:tcMar>
          </w:tcPr>
          <w:p w14:paraId="08141AEB" w14:textId="20C44FC9" w:rsidR="00241936" w:rsidRPr="00B247FF" w:rsidRDefault="00241936" w:rsidP="00786F6E">
            <w:pPr>
              <w:adjustRightInd w:val="0"/>
              <w:rPr>
                <w:sz w:val="20"/>
                <w:szCs w:val="20"/>
                <w:lang w:val="en-US"/>
              </w:rPr>
            </w:pPr>
            <w:r w:rsidRPr="00B247FF">
              <w:rPr>
                <w:sz w:val="20"/>
                <w:szCs w:val="20"/>
                <w:lang w:val="en-US"/>
              </w:rPr>
              <w:t>2.6</w:t>
            </w:r>
          </w:p>
        </w:tc>
      </w:tr>
      <w:tr w:rsidR="003A5CC5" w:rsidRPr="00B247FF" w14:paraId="17FB5F19" w14:textId="77777777" w:rsidTr="003A5CC5">
        <w:trPr>
          <w:cantSplit/>
          <w:jc w:val="center"/>
        </w:trPr>
        <w:tc>
          <w:tcPr>
            <w:tcW w:w="9288" w:type="dxa"/>
            <w:gridSpan w:val="4"/>
            <w:tcBorders>
              <w:left w:val="nil"/>
              <w:bottom w:val="nil"/>
              <w:right w:val="nil"/>
            </w:tcBorders>
            <w:shd w:val="clear" w:color="auto" w:fill="auto"/>
            <w:tcMar>
              <w:left w:w="67" w:type="dxa"/>
              <w:right w:w="67" w:type="dxa"/>
            </w:tcMar>
          </w:tcPr>
          <w:p w14:paraId="5D357CD5" w14:textId="21EA0166" w:rsidR="001C3C12" w:rsidRPr="00B247FF" w:rsidRDefault="003A5CC5" w:rsidP="00786F6E">
            <w:pPr>
              <w:keepNext/>
              <w:tabs>
                <w:tab w:val="left" w:pos="285"/>
              </w:tabs>
              <w:adjustRightInd w:val="0"/>
              <w:ind w:left="15"/>
              <w:rPr>
                <w:sz w:val="18"/>
                <w:szCs w:val="18"/>
                <w:lang w:val="en-US"/>
              </w:rPr>
            </w:pPr>
            <w:bookmarkStart w:id="44" w:name="_Hlk85716474"/>
            <w:r w:rsidRPr="00B247FF">
              <w:rPr>
                <w:sz w:val="18"/>
                <w:szCs w:val="18"/>
                <w:vertAlign w:val="superscript"/>
                <w:lang w:val="en-US"/>
              </w:rPr>
              <w:t xml:space="preserve"> a</w:t>
            </w:r>
            <w:r w:rsidRPr="00B247FF">
              <w:rPr>
                <w:color w:val="auto"/>
                <w:sz w:val="18"/>
                <w:szCs w:val="18"/>
                <w:lang w:val="en-US"/>
              </w:rPr>
              <w:tab/>
              <w:t xml:space="preserve">Rash: </w:t>
            </w:r>
            <w:r w:rsidR="00C17BD2" w:rsidRPr="00B247FF">
              <w:rPr>
                <w:sz w:val="18"/>
                <w:szCs w:val="18"/>
                <w:lang w:val="en-US"/>
              </w:rPr>
              <w:t>a</w:t>
            </w:r>
            <w:r w:rsidRPr="00B247FF">
              <w:rPr>
                <w:sz w:val="18"/>
                <w:szCs w:val="18"/>
                <w:lang w:val="en-US"/>
              </w:rPr>
              <w:t xml:space="preserve">cne, </w:t>
            </w:r>
            <w:r w:rsidR="00C17BD2" w:rsidRPr="00B247FF">
              <w:rPr>
                <w:sz w:val="18"/>
                <w:szCs w:val="18"/>
                <w:lang w:val="en-US"/>
              </w:rPr>
              <w:t>d</w:t>
            </w:r>
            <w:r w:rsidRPr="00B247FF">
              <w:rPr>
                <w:sz w:val="18"/>
                <w:szCs w:val="18"/>
                <w:lang w:val="en-US"/>
              </w:rPr>
              <w:t xml:space="preserve">ermatitis, </w:t>
            </w:r>
            <w:r w:rsidR="00C17BD2" w:rsidRPr="00B247FF">
              <w:rPr>
                <w:sz w:val="18"/>
                <w:szCs w:val="18"/>
                <w:lang w:val="en-US"/>
              </w:rPr>
              <w:t>d</w:t>
            </w:r>
            <w:r w:rsidRPr="00B247FF">
              <w:rPr>
                <w:sz w:val="18"/>
                <w:szCs w:val="18"/>
                <w:lang w:val="en-US"/>
              </w:rPr>
              <w:t xml:space="preserve">ermatitis acneiform, </w:t>
            </w:r>
            <w:r w:rsidR="00C17BD2" w:rsidRPr="00B247FF">
              <w:rPr>
                <w:sz w:val="18"/>
                <w:szCs w:val="18"/>
                <w:lang w:val="en-US"/>
              </w:rPr>
              <w:t>e</w:t>
            </w:r>
            <w:r w:rsidRPr="00B247FF">
              <w:rPr>
                <w:sz w:val="18"/>
                <w:szCs w:val="18"/>
                <w:lang w:val="en-US"/>
              </w:rPr>
              <w:t xml:space="preserve">rythema, </w:t>
            </w:r>
            <w:r w:rsidR="00C17BD2" w:rsidRPr="00B247FF">
              <w:rPr>
                <w:sz w:val="18"/>
                <w:szCs w:val="18"/>
                <w:lang w:val="en-US"/>
              </w:rPr>
              <w:t>f</w:t>
            </w:r>
            <w:r w:rsidRPr="00B247FF">
              <w:rPr>
                <w:sz w:val="18"/>
                <w:szCs w:val="18"/>
                <w:lang w:val="en-US"/>
              </w:rPr>
              <w:t xml:space="preserve">olliculitis, </w:t>
            </w:r>
            <w:r w:rsidR="00C17BD2" w:rsidRPr="00B247FF">
              <w:rPr>
                <w:sz w:val="18"/>
                <w:szCs w:val="18"/>
                <w:lang w:val="en-US"/>
              </w:rPr>
              <w:t>p</w:t>
            </w:r>
            <w:r w:rsidRPr="00B247FF">
              <w:rPr>
                <w:sz w:val="18"/>
                <w:szCs w:val="18"/>
                <w:lang w:val="en-US"/>
              </w:rPr>
              <w:t xml:space="preserve">almar-plantar </w:t>
            </w:r>
            <w:proofErr w:type="spellStart"/>
            <w:r w:rsidRPr="00B247FF">
              <w:rPr>
                <w:sz w:val="18"/>
                <w:szCs w:val="18"/>
                <w:lang w:val="en-US"/>
              </w:rPr>
              <w:t>erythrodysaesthesia</w:t>
            </w:r>
            <w:proofErr w:type="spellEnd"/>
            <w:r w:rsidRPr="00B247FF">
              <w:rPr>
                <w:sz w:val="18"/>
                <w:szCs w:val="18"/>
                <w:lang w:val="en-US"/>
              </w:rPr>
              <w:t xml:space="preserve"> syndrome, </w:t>
            </w:r>
            <w:r w:rsidR="00C17BD2" w:rsidRPr="00B247FF">
              <w:rPr>
                <w:sz w:val="18"/>
                <w:szCs w:val="18"/>
                <w:lang w:val="en-US"/>
              </w:rPr>
              <w:t>p</w:t>
            </w:r>
            <w:r w:rsidRPr="00B247FF">
              <w:rPr>
                <w:sz w:val="18"/>
                <w:szCs w:val="18"/>
                <w:lang w:val="en-US"/>
              </w:rPr>
              <w:t xml:space="preserve">erineal rash, </w:t>
            </w:r>
            <w:r w:rsidR="00C17BD2" w:rsidRPr="00B247FF">
              <w:rPr>
                <w:sz w:val="18"/>
                <w:szCs w:val="18"/>
                <w:lang w:val="en-US"/>
              </w:rPr>
              <w:t>p</w:t>
            </w:r>
            <w:r w:rsidRPr="00B247FF">
              <w:rPr>
                <w:sz w:val="18"/>
                <w:szCs w:val="18"/>
                <w:lang w:val="en-US"/>
              </w:rPr>
              <w:t xml:space="preserve">ustule, </w:t>
            </w:r>
            <w:r w:rsidR="00C17BD2" w:rsidRPr="00B247FF">
              <w:rPr>
                <w:sz w:val="18"/>
                <w:szCs w:val="18"/>
                <w:lang w:val="en-US"/>
              </w:rPr>
              <w:t>r</w:t>
            </w:r>
            <w:r w:rsidRPr="00B247FF">
              <w:rPr>
                <w:sz w:val="18"/>
                <w:szCs w:val="18"/>
                <w:lang w:val="en-US"/>
              </w:rPr>
              <w:t xml:space="preserve">ash, </w:t>
            </w:r>
            <w:r w:rsidR="00C17BD2" w:rsidRPr="00B247FF">
              <w:rPr>
                <w:sz w:val="18"/>
                <w:szCs w:val="18"/>
                <w:lang w:val="en-US"/>
              </w:rPr>
              <w:t>r</w:t>
            </w:r>
            <w:r w:rsidRPr="00B247FF">
              <w:rPr>
                <w:sz w:val="18"/>
                <w:szCs w:val="18"/>
                <w:lang w:val="en-US"/>
              </w:rPr>
              <w:t xml:space="preserve">ash erythematous, </w:t>
            </w:r>
            <w:r w:rsidR="00C17BD2" w:rsidRPr="00B247FF">
              <w:rPr>
                <w:sz w:val="18"/>
                <w:szCs w:val="18"/>
                <w:lang w:val="en-US"/>
              </w:rPr>
              <w:t>r</w:t>
            </w:r>
            <w:r w:rsidRPr="00B247FF">
              <w:rPr>
                <w:sz w:val="18"/>
                <w:szCs w:val="18"/>
                <w:lang w:val="en-US"/>
              </w:rPr>
              <w:t xml:space="preserve">ash maculo-papular, </w:t>
            </w:r>
            <w:r w:rsidR="00C17BD2" w:rsidRPr="00B247FF">
              <w:rPr>
                <w:sz w:val="18"/>
                <w:szCs w:val="18"/>
                <w:lang w:val="en-US"/>
              </w:rPr>
              <w:t>r</w:t>
            </w:r>
            <w:r w:rsidRPr="00B247FF">
              <w:rPr>
                <w:sz w:val="18"/>
                <w:szCs w:val="18"/>
                <w:lang w:val="en-US"/>
              </w:rPr>
              <w:t xml:space="preserve">ash </w:t>
            </w:r>
            <w:r w:rsidR="004D1BFF" w:rsidRPr="00B247FF">
              <w:rPr>
                <w:sz w:val="18"/>
                <w:szCs w:val="18"/>
                <w:lang w:val="en-US"/>
              </w:rPr>
              <w:t>g</w:t>
            </w:r>
            <w:r w:rsidR="00A06F04" w:rsidRPr="00B247FF">
              <w:rPr>
                <w:sz w:val="18"/>
                <w:szCs w:val="18"/>
                <w:lang w:val="en-US"/>
              </w:rPr>
              <w:t>eneral</w:t>
            </w:r>
            <w:r w:rsidRPr="00B247FF">
              <w:rPr>
                <w:sz w:val="18"/>
                <w:szCs w:val="18"/>
                <w:lang w:val="en-US"/>
              </w:rPr>
              <w:t xml:space="preserve">, </w:t>
            </w:r>
            <w:r w:rsidR="00C17BD2" w:rsidRPr="00B247FF">
              <w:rPr>
                <w:sz w:val="18"/>
                <w:szCs w:val="18"/>
                <w:lang w:val="en-US"/>
              </w:rPr>
              <w:t>r</w:t>
            </w:r>
            <w:r w:rsidRPr="00B247FF">
              <w:rPr>
                <w:sz w:val="18"/>
                <w:szCs w:val="18"/>
                <w:lang w:val="en-US"/>
              </w:rPr>
              <w:t xml:space="preserve">ash pustular, </w:t>
            </w:r>
            <w:r w:rsidR="00C17BD2" w:rsidRPr="00B247FF">
              <w:rPr>
                <w:sz w:val="18"/>
                <w:szCs w:val="18"/>
                <w:lang w:val="en-US"/>
              </w:rPr>
              <w:t>r</w:t>
            </w:r>
            <w:r w:rsidRPr="00B247FF">
              <w:rPr>
                <w:sz w:val="18"/>
                <w:szCs w:val="18"/>
                <w:lang w:val="en-US"/>
              </w:rPr>
              <w:t xml:space="preserve">ash vesicular, </w:t>
            </w:r>
            <w:r w:rsidR="00C17BD2" w:rsidRPr="00B247FF">
              <w:rPr>
                <w:sz w:val="18"/>
                <w:szCs w:val="18"/>
                <w:lang w:val="en-US"/>
              </w:rPr>
              <w:t>s</w:t>
            </w:r>
            <w:r w:rsidRPr="00B247FF">
              <w:rPr>
                <w:sz w:val="18"/>
                <w:szCs w:val="18"/>
                <w:lang w:val="en-US"/>
              </w:rPr>
              <w:t xml:space="preserve">kin exfoliation, </w:t>
            </w:r>
            <w:r w:rsidR="00C17BD2" w:rsidRPr="00B247FF">
              <w:rPr>
                <w:sz w:val="18"/>
                <w:szCs w:val="18"/>
                <w:lang w:val="en-US"/>
              </w:rPr>
              <w:t>s</w:t>
            </w:r>
            <w:r w:rsidRPr="00B247FF">
              <w:rPr>
                <w:sz w:val="18"/>
                <w:szCs w:val="18"/>
                <w:lang w:val="en-US"/>
              </w:rPr>
              <w:t>kin lesion</w:t>
            </w:r>
            <w:r w:rsidRPr="00B247FF">
              <w:rPr>
                <w:sz w:val="18"/>
                <w:szCs w:val="18"/>
                <w:lang w:val="en-US"/>
              </w:rPr>
              <w:br/>
            </w:r>
            <w:r w:rsidRPr="00B247FF">
              <w:rPr>
                <w:sz w:val="18"/>
                <w:szCs w:val="18"/>
                <w:vertAlign w:val="superscript"/>
                <w:lang w:val="en-US"/>
              </w:rPr>
              <w:t xml:space="preserve"> b</w:t>
            </w:r>
            <w:r w:rsidRPr="00B247FF">
              <w:rPr>
                <w:sz w:val="18"/>
                <w:szCs w:val="18"/>
                <w:lang w:val="en-US"/>
              </w:rPr>
              <w:t xml:space="preserve"> </w:t>
            </w:r>
            <w:r w:rsidRPr="00B247FF">
              <w:rPr>
                <w:color w:val="auto"/>
                <w:sz w:val="18"/>
                <w:szCs w:val="18"/>
                <w:lang w:val="en-US"/>
              </w:rPr>
              <w:tab/>
              <w:t xml:space="preserve">Nail toxicity: </w:t>
            </w:r>
            <w:r w:rsidR="00C17BD2" w:rsidRPr="00B247FF">
              <w:rPr>
                <w:sz w:val="18"/>
                <w:szCs w:val="18"/>
                <w:lang w:val="en-US"/>
              </w:rPr>
              <w:t>n</w:t>
            </w:r>
            <w:r w:rsidRPr="00B247FF">
              <w:rPr>
                <w:sz w:val="18"/>
                <w:szCs w:val="18"/>
                <w:lang w:val="en-US"/>
              </w:rPr>
              <w:t xml:space="preserve">ail bed infection, </w:t>
            </w:r>
            <w:r w:rsidR="00C17BD2" w:rsidRPr="00B247FF">
              <w:rPr>
                <w:sz w:val="18"/>
                <w:szCs w:val="18"/>
                <w:lang w:val="en-US"/>
              </w:rPr>
              <w:t>n</w:t>
            </w:r>
            <w:r w:rsidRPr="00B247FF">
              <w:rPr>
                <w:sz w:val="18"/>
                <w:szCs w:val="18"/>
                <w:lang w:val="en-US"/>
              </w:rPr>
              <w:t xml:space="preserve">ail cuticle fissure, </w:t>
            </w:r>
            <w:r w:rsidR="00C17BD2" w:rsidRPr="00B247FF">
              <w:rPr>
                <w:sz w:val="18"/>
                <w:szCs w:val="18"/>
                <w:lang w:val="en-US"/>
              </w:rPr>
              <w:t>n</w:t>
            </w:r>
            <w:r w:rsidRPr="00B247FF">
              <w:rPr>
                <w:sz w:val="18"/>
                <w:szCs w:val="18"/>
                <w:lang w:val="en-US"/>
              </w:rPr>
              <w:t xml:space="preserve">ail disorder, </w:t>
            </w:r>
            <w:proofErr w:type="spellStart"/>
            <w:r w:rsidR="00C17BD2" w:rsidRPr="00B247FF">
              <w:rPr>
                <w:sz w:val="18"/>
                <w:szCs w:val="18"/>
                <w:lang w:val="en-US"/>
              </w:rPr>
              <w:t>o</w:t>
            </w:r>
            <w:r w:rsidRPr="00B247FF">
              <w:rPr>
                <w:sz w:val="18"/>
                <w:szCs w:val="18"/>
                <w:lang w:val="en-US"/>
              </w:rPr>
              <w:t>nychoclasis</w:t>
            </w:r>
            <w:proofErr w:type="spellEnd"/>
            <w:r w:rsidRPr="00B247FF">
              <w:rPr>
                <w:sz w:val="18"/>
                <w:szCs w:val="18"/>
                <w:lang w:val="en-US"/>
              </w:rPr>
              <w:t xml:space="preserve">, </w:t>
            </w:r>
            <w:r w:rsidR="00C17BD2" w:rsidRPr="00B247FF">
              <w:rPr>
                <w:sz w:val="18"/>
                <w:szCs w:val="18"/>
                <w:lang w:val="en-US"/>
              </w:rPr>
              <w:t>o</w:t>
            </w:r>
            <w:r w:rsidRPr="00B247FF">
              <w:rPr>
                <w:sz w:val="18"/>
                <w:szCs w:val="18"/>
                <w:lang w:val="en-US"/>
              </w:rPr>
              <w:t xml:space="preserve">nycholysis, </w:t>
            </w:r>
            <w:r w:rsidR="00C17BD2" w:rsidRPr="00B247FF">
              <w:rPr>
                <w:sz w:val="18"/>
                <w:szCs w:val="18"/>
                <w:lang w:val="en-US"/>
              </w:rPr>
              <w:t>p</w:t>
            </w:r>
            <w:r w:rsidRPr="00B247FF">
              <w:rPr>
                <w:sz w:val="18"/>
                <w:szCs w:val="18"/>
                <w:lang w:val="en-US"/>
              </w:rPr>
              <w:t>aronychia</w:t>
            </w:r>
            <w:r w:rsidRPr="00B247FF">
              <w:rPr>
                <w:sz w:val="18"/>
                <w:szCs w:val="18"/>
                <w:lang w:val="en-US"/>
              </w:rPr>
              <w:br/>
            </w:r>
            <w:r w:rsidRPr="00B247FF">
              <w:rPr>
                <w:sz w:val="18"/>
                <w:szCs w:val="18"/>
                <w:vertAlign w:val="superscript"/>
                <w:lang w:val="en-US"/>
              </w:rPr>
              <w:t xml:space="preserve"> c</w:t>
            </w:r>
            <w:r w:rsidRPr="00B247FF">
              <w:rPr>
                <w:color w:val="auto"/>
                <w:sz w:val="18"/>
                <w:szCs w:val="18"/>
                <w:lang w:val="en-US"/>
              </w:rPr>
              <w:tab/>
            </w:r>
            <w:r w:rsidRPr="00B247FF">
              <w:rPr>
                <w:sz w:val="18"/>
                <w:szCs w:val="18"/>
                <w:lang w:val="en-US"/>
              </w:rPr>
              <w:t xml:space="preserve">Dry skin: dry skin, </w:t>
            </w:r>
            <w:r w:rsidR="00C17BD2" w:rsidRPr="00B247FF">
              <w:rPr>
                <w:sz w:val="18"/>
                <w:szCs w:val="18"/>
                <w:lang w:val="en-US"/>
              </w:rPr>
              <w:t>e</w:t>
            </w:r>
            <w:r w:rsidRPr="00B247FF">
              <w:rPr>
                <w:sz w:val="18"/>
                <w:szCs w:val="18"/>
                <w:lang w:val="en-US"/>
              </w:rPr>
              <w:t xml:space="preserve">czema, </w:t>
            </w:r>
            <w:r w:rsidR="00C17BD2" w:rsidRPr="00B247FF">
              <w:rPr>
                <w:sz w:val="18"/>
                <w:szCs w:val="18"/>
                <w:lang w:val="en-US"/>
              </w:rPr>
              <w:t>e</w:t>
            </w:r>
            <w:r w:rsidRPr="00B247FF">
              <w:rPr>
                <w:sz w:val="18"/>
                <w:szCs w:val="18"/>
                <w:lang w:val="en-US"/>
              </w:rPr>
              <w:t xml:space="preserve">czema </w:t>
            </w:r>
            <w:proofErr w:type="spellStart"/>
            <w:r w:rsidRPr="00B247FF">
              <w:rPr>
                <w:sz w:val="18"/>
                <w:szCs w:val="18"/>
                <w:lang w:val="en-US"/>
              </w:rPr>
              <w:t>asteatotic</w:t>
            </w:r>
            <w:proofErr w:type="spellEnd"/>
            <w:r w:rsidRPr="00B247FF">
              <w:rPr>
                <w:sz w:val="18"/>
                <w:szCs w:val="18"/>
                <w:lang w:val="en-US"/>
              </w:rPr>
              <w:t xml:space="preserve">, </w:t>
            </w:r>
            <w:r w:rsidR="00C17BD2" w:rsidRPr="00B247FF">
              <w:rPr>
                <w:sz w:val="18"/>
                <w:szCs w:val="18"/>
                <w:lang w:val="en-US"/>
              </w:rPr>
              <w:t>s</w:t>
            </w:r>
            <w:r w:rsidRPr="00B247FF">
              <w:rPr>
                <w:sz w:val="18"/>
                <w:szCs w:val="18"/>
                <w:lang w:val="en-US"/>
              </w:rPr>
              <w:t xml:space="preserve">kin fissures, </w:t>
            </w:r>
            <w:r w:rsidR="00C17BD2" w:rsidRPr="00B247FF">
              <w:rPr>
                <w:sz w:val="18"/>
                <w:szCs w:val="18"/>
                <w:lang w:val="en-US"/>
              </w:rPr>
              <w:t>x</w:t>
            </w:r>
            <w:r w:rsidRPr="00B247FF">
              <w:rPr>
                <w:sz w:val="18"/>
                <w:szCs w:val="18"/>
                <w:lang w:val="en-US"/>
              </w:rPr>
              <w:t>eroderma</w:t>
            </w:r>
            <w:r w:rsidRPr="00B247FF">
              <w:rPr>
                <w:sz w:val="18"/>
                <w:szCs w:val="18"/>
                <w:lang w:val="en-US"/>
              </w:rPr>
              <w:br/>
            </w:r>
            <w:bookmarkEnd w:id="44"/>
            <w:r w:rsidRPr="00B247FF">
              <w:rPr>
                <w:sz w:val="18"/>
                <w:szCs w:val="18"/>
                <w:vertAlign w:val="superscript"/>
                <w:lang w:val="en-US"/>
              </w:rPr>
              <w:t xml:space="preserve"> d</w:t>
            </w:r>
            <w:r w:rsidRPr="00B247FF">
              <w:rPr>
                <w:color w:val="auto"/>
                <w:sz w:val="18"/>
                <w:szCs w:val="18"/>
                <w:lang w:val="en-US"/>
              </w:rPr>
              <w:tab/>
              <w:t xml:space="preserve">Stomatitis: </w:t>
            </w:r>
            <w:r w:rsidR="00C17BD2" w:rsidRPr="00B247FF">
              <w:rPr>
                <w:sz w:val="18"/>
                <w:szCs w:val="18"/>
                <w:lang w:val="en-US"/>
              </w:rPr>
              <w:t>a</w:t>
            </w:r>
            <w:r w:rsidRPr="00B247FF">
              <w:rPr>
                <w:sz w:val="18"/>
                <w:szCs w:val="18"/>
                <w:lang w:val="en-US"/>
              </w:rPr>
              <w:t xml:space="preserve">phthous ulcer, </w:t>
            </w:r>
            <w:r w:rsidR="00C17BD2" w:rsidRPr="00B247FF">
              <w:rPr>
                <w:sz w:val="18"/>
                <w:szCs w:val="18"/>
                <w:lang w:val="en-US"/>
              </w:rPr>
              <w:t>c</w:t>
            </w:r>
            <w:r w:rsidRPr="00B247FF">
              <w:rPr>
                <w:sz w:val="18"/>
                <w:szCs w:val="18"/>
                <w:lang w:val="en-US"/>
              </w:rPr>
              <w:t xml:space="preserve">heilitis, </w:t>
            </w:r>
            <w:r w:rsidR="00C17BD2" w:rsidRPr="00B247FF">
              <w:rPr>
                <w:sz w:val="18"/>
                <w:szCs w:val="18"/>
                <w:lang w:val="en-US"/>
              </w:rPr>
              <w:t>g</w:t>
            </w:r>
            <w:r w:rsidRPr="00B247FF">
              <w:rPr>
                <w:sz w:val="18"/>
                <w:szCs w:val="18"/>
                <w:lang w:val="en-US"/>
              </w:rPr>
              <w:t xml:space="preserve">lossitis, </w:t>
            </w:r>
            <w:r w:rsidR="00C17BD2" w:rsidRPr="00B247FF">
              <w:rPr>
                <w:sz w:val="18"/>
                <w:szCs w:val="18"/>
                <w:lang w:val="en-US"/>
              </w:rPr>
              <w:t>l</w:t>
            </w:r>
            <w:r w:rsidRPr="00B247FF">
              <w:rPr>
                <w:sz w:val="18"/>
                <w:szCs w:val="18"/>
                <w:lang w:val="en-US"/>
              </w:rPr>
              <w:t xml:space="preserve">ip ulceration, </w:t>
            </w:r>
            <w:r w:rsidR="00C17BD2" w:rsidRPr="00B247FF">
              <w:rPr>
                <w:sz w:val="18"/>
                <w:szCs w:val="18"/>
                <w:lang w:val="en-US"/>
              </w:rPr>
              <w:t>m</w:t>
            </w:r>
            <w:r w:rsidRPr="00B247FF">
              <w:rPr>
                <w:sz w:val="18"/>
                <w:szCs w:val="18"/>
                <w:lang w:val="en-US"/>
              </w:rPr>
              <w:t xml:space="preserve">outh ulceration, </w:t>
            </w:r>
            <w:r w:rsidR="00C17BD2" w:rsidRPr="00B247FF">
              <w:rPr>
                <w:sz w:val="18"/>
                <w:szCs w:val="18"/>
                <w:lang w:val="en-US"/>
              </w:rPr>
              <w:t>s</w:t>
            </w:r>
            <w:r w:rsidRPr="00B247FF">
              <w:rPr>
                <w:sz w:val="18"/>
                <w:szCs w:val="18"/>
                <w:lang w:val="en-US"/>
              </w:rPr>
              <w:t>tomatitis</w:t>
            </w:r>
            <w:r w:rsidRPr="00B247FF">
              <w:rPr>
                <w:sz w:val="18"/>
                <w:szCs w:val="18"/>
                <w:lang w:val="en-US"/>
              </w:rPr>
              <w:br/>
            </w:r>
            <w:r w:rsidR="001C3C12" w:rsidRPr="00B247FF">
              <w:rPr>
                <w:sz w:val="18"/>
                <w:szCs w:val="18"/>
                <w:vertAlign w:val="superscript"/>
                <w:lang w:val="en-US"/>
              </w:rPr>
              <w:t>e</w:t>
            </w:r>
            <w:r w:rsidRPr="00B247FF">
              <w:rPr>
                <w:sz w:val="18"/>
                <w:szCs w:val="18"/>
                <w:lang w:val="en-US"/>
              </w:rPr>
              <w:t xml:space="preserve"> </w:t>
            </w:r>
            <w:r w:rsidR="001C3C12" w:rsidRPr="00B247FF">
              <w:rPr>
                <w:sz w:val="18"/>
                <w:szCs w:val="18"/>
                <w:lang w:val="en-US"/>
              </w:rPr>
              <w:t xml:space="preserve">   Abdominal pain: abdominal discomfort, abdominal pain, abdominal pain lower, abdominal pain upper,   epigastric discomfort</w:t>
            </w:r>
          </w:p>
          <w:p w14:paraId="7A386F33" w14:textId="2FADF7D8" w:rsidR="00A06F04" w:rsidRPr="00B247FF" w:rsidRDefault="00A06F04" w:rsidP="00786F6E">
            <w:pPr>
              <w:keepNext/>
              <w:tabs>
                <w:tab w:val="left" w:pos="285"/>
              </w:tabs>
              <w:adjustRightInd w:val="0"/>
              <w:ind w:left="15"/>
              <w:rPr>
                <w:sz w:val="18"/>
                <w:szCs w:val="18"/>
                <w:lang w:val="en-US"/>
              </w:rPr>
            </w:pPr>
            <w:r w:rsidRPr="00B247FF">
              <w:rPr>
                <w:sz w:val="18"/>
                <w:szCs w:val="18"/>
                <w:vertAlign w:val="superscript"/>
                <w:lang w:val="en-US"/>
              </w:rPr>
              <w:t>f</w:t>
            </w:r>
            <w:r w:rsidR="003A5CC5" w:rsidRPr="00B247FF">
              <w:rPr>
                <w:color w:val="auto"/>
                <w:sz w:val="18"/>
                <w:szCs w:val="18"/>
                <w:lang w:val="en-US"/>
              </w:rPr>
              <w:tab/>
            </w:r>
            <w:r w:rsidR="00C17BD2" w:rsidRPr="00B247FF">
              <w:rPr>
                <w:color w:val="auto"/>
                <w:sz w:val="18"/>
                <w:szCs w:val="18"/>
                <w:lang w:val="en-US"/>
              </w:rPr>
              <w:t>Fatigue: a</w:t>
            </w:r>
            <w:r w:rsidR="00C17BD2" w:rsidRPr="00B247FF">
              <w:rPr>
                <w:sz w:val="18"/>
                <w:szCs w:val="18"/>
                <w:lang w:val="en-US"/>
              </w:rPr>
              <w:t>sthenia, fatigue</w:t>
            </w:r>
            <w:r w:rsidR="00C17BD2" w:rsidRPr="00B247FF" w:rsidDel="00C17BD2">
              <w:rPr>
                <w:color w:val="auto"/>
                <w:sz w:val="18"/>
                <w:szCs w:val="18"/>
                <w:lang w:val="en-US"/>
              </w:rPr>
              <w:t xml:space="preserve"> </w:t>
            </w:r>
            <w:r w:rsidR="003A5CC5" w:rsidRPr="00B247FF">
              <w:rPr>
                <w:sz w:val="18"/>
                <w:szCs w:val="18"/>
                <w:lang w:val="en-US"/>
              </w:rPr>
              <w:br/>
            </w:r>
            <w:r w:rsidR="003A5CC5" w:rsidRPr="00B247FF">
              <w:rPr>
                <w:sz w:val="18"/>
                <w:szCs w:val="18"/>
                <w:vertAlign w:val="superscript"/>
                <w:lang w:val="en-US"/>
              </w:rPr>
              <w:t xml:space="preserve"> </w:t>
            </w:r>
            <w:r w:rsidRPr="00B247FF">
              <w:rPr>
                <w:sz w:val="18"/>
                <w:szCs w:val="18"/>
                <w:vertAlign w:val="superscript"/>
                <w:lang w:val="en-US"/>
              </w:rPr>
              <w:t>g</w:t>
            </w:r>
            <w:r w:rsidR="003A5CC5" w:rsidRPr="00B247FF">
              <w:rPr>
                <w:color w:val="auto"/>
                <w:sz w:val="18"/>
                <w:szCs w:val="18"/>
                <w:lang w:val="en-US"/>
              </w:rPr>
              <w:tab/>
            </w:r>
            <w:r w:rsidR="00C17BD2" w:rsidRPr="00B247FF">
              <w:rPr>
                <w:color w:val="auto"/>
                <w:sz w:val="18"/>
                <w:szCs w:val="18"/>
                <w:lang w:val="en-US"/>
              </w:rPr>
              <w:t xml:space="preserve">Oedema: </w:t>
            </w:r>
            <w:r w:rsidR="00C17BD2" w:rsidRPr="00B247FF">
              <w:rPr>
                <w:sz w:val="18"/>
                <w:szCs w:val="18"/>
                <w:lang w:val="en-US"/>
              </w:rPr>
              <w:t xml:space="preserve">eyelid oedema, face oedema, </w:t>
            </w:r>
            <w:r w:rsidR="004D1BFF" w:rsidRPr="00B247FF">
              <w:rPr>
                <w:sz w:val="18"/>
                <w:szCs w:val="18"/>
                <w:lang w:val="en-US"/>
              </w:rPr>
              <w:t>g</w:t>
            </w:r>
            <w:r w:rsidRPr="00B247FF">
              <w:rPr>
                <w:sz w:val="18"/>
                <w:szCs w:val="18"/>
                <w:lang w:val="en-US"/>
              </w:rPr>
              <w:t>eneralized</w:t>
            </w:r>
            <w:r w:rsidR="00C17BD2" w:rsidRPr="00B247FF">
              <w:rPr>
                <w:sz w:val="18"/>
                <w:szCs w:val="18"/>
                <w:lang w:val="en-US"/>
              </w:rPr>
              <w:t xml:space="preserve"> oedema, oedema, oedema peripheral, periorbital oedema, periorbital swelling, peripheral swelling, swelling face</w:t>
            </w:r>
            <w:r w:rsidR="00C17BD2" w:rsidRPr="00B247FF" w:rsidDel="00C17BD2">
              <w:rPr>
                <w:color w:val="auto"/>
                <w:sz w:val="18"/>
                <w:szCs w:val="18"/>
                <w:lang w:val="en-US"/>
              </w:rPr>
              <w:t xml:space="preserve"> </w:t>
            </w:r>
            <w:r w:rsidR="003A5CC5" w:rsidRPr="00B247FF">
              <w:rPr>
                <w:sz w:val="18"/>
                <w:szCs w:val="18"/>
                <w:lang w:val="en-US"/>
              </w:rPr>
              <w:br/>
            </w:r>
            <w:r w:rsidRPr="00B247FF">
              <w:rPr>
                <w:sz w:val="18"/>
                <w:szCs w:val="18"/>
                <w:vertAlign w:val="superscript"/>
                <w:lang w:val="en-US"/>
              </w:rPr>
              <w:t>h</w:t>
            </w:r>
            <w:r w:rsidRPr="00B247FF">
              <w:rPr>
                <w:sz w:val="18"/>
                <w:szCs w:val="18"/>
                <w:lang w:val="en-US"/>
              </w:rPr>
              <w:t xml:space="preserve">    Musculoskeletal pain: arthralgia, arthritis, back pain, bone pain, musculoskeletal chest pain, musculoskeletal discomfort, musculoskeletal pain, myalgia, neck pain, non-cardiac chest pain, pain in extremity, spinal pain</w:t>
            </w:r>
          </w:p>
          <w:p w14:paraId="1F7E4B20" w14:textId="4009D6B9" w:rsidR="00A06F04" w:rsidRPr="00B247FF" w:rsidRDefault="003A5CC5" w:rsidP="00786F6E">
            <w:pPr>
              <w:keepNext/>
              <w:tabs>
                <w:tab w:val="left" w:pos="285"/>
              </w:tabs>
              <w:adjustRightInd w:val="0"/>
              <w:ind w:left="15"/>
              <w:rPr>
                <w:color w:val="auto"/>
                <w:sz w:val="18"/>
                <w:szCs w:val="18"/>
                <w:lang w:val="en-US"/>
              </w:rPr>
            </w:pPr>
            <w:r w:rsidRPr="00B247FF">
              <w:rPr>
                <w:sz w:val="18"/>
                <w:szCs w:val="18"/>
                <w:vertAlign w:val="superscript"/>
                <w:lang w:val="en-US"/>
              </w:rPr>
              <w:t xml:space="preserve"> </w:t>
            </w:r>
            <w:proofErr w:type="spellStart"/>
            <w:r w:rsidR="00A06F04" w:rsidRPr="00B247FF">
              <w:rPr>
                <w:sz w:val="18"/>
                <w:szCs w:val="18"/>
                <w:vertAlign w:val="superscript"/>
                <w:lang w:val="en-US"/>
              </w:rPr>
              <w:t>i</w:t>
            </w:r>
            <w:proofErr w:type="spellEnd"/>
            <w:r w:rsidRPr="00B247FF">
              <w:rPr>
                <w:color w:val="auto"/>
                <w:sz w:val="18"/>
                <w:szCs w:val="18"/>
                <w:lang w:val="en-US"/>
              </w:rPr>
              <w:tab/>
            </w:r>
            <w:r w:rsidR="00C17BD2" w:rsidRPr="00B247FF">
              <w:rPr>
                <w:color w:val="auto"/>
                <w:sz w:val="18"/>
                <w:szCs w:val="18"/>
                <w:lang w:val="en-US"/>
              </w:rPr>
              <w:t>Dizziness</w:t>
            </w:r>
          </w:p>
          <w:p w14:paraId="3E0E1F4B" w14:textId="0F58EF96" w:rsidR="00A06F04" w:rsidRPr="00B247FF" w:rsidRDefault="00A06F04" w:rsidP="00786F6E">
            <w:pPr>
              <w:keepNext/>
              <w:tabs>
                <w:tab w:val="left" w:pos="285"/>
              </w:tabs>
              <w:adjustRightInd w:val="0"/>
              <w:ind w:left="15"/>
              <w:rPr>
                <w:sz w:val="18"/>
                <w:szCs w:val="18"/>
                <w:lang w:val="en-US"/>
              </w:rPr>
            </w:pPr>
            <w:r w:rsidRPr="00B247FF">
              <w:rPr>
                <w:sz w:val="18"/>
                <w:szCs w:val="18"/>
                <w:vertAlign w:val="superscript"/>
                <w:lang w:val="en-US"/>
              </w:rPr>
              <w:t>j</w:t>
            </w:r>
            <w:r w:rsidRPr="00B247FF">
              <w:rPr>
                <w:sz w:val="18"/>
                <w:szCs w:val="18"/>
                <w:lang w:val="en-US"/>
              </w:rPr>
              <w:t xml:space="preserve">    Peripheral neuropathy: </w:t>
            </w:r>
            <w:proofErr w:type="spellStart"/>
            <w:r w:rsidRPr="00B247FF">
              <w:rPr>
                <w:sz w:val="18"/>
                <w:szCs w:val="18"/>
                <w:lang w:val="en-US"/>
              </w:rPr>
              <w:t>hypoaesthesia</w:t>
            </w:r>
            <w:proofErr w:type="spellEnd"/>
            <w:r w:rsidRPr="00B247FF">
              <w:rPr>
                <w:sz w:val="18"/>
                <w:szCs w:val="18"/>
                <w:lang w:val="en-US"/>
              </w:rPr>
              <w:t xml:space="preserve">, neuralgia, neuritis, </w:t>
            </w:r>
            <w:proofErr w:type="spellStart"/>
            <w:r w:rsidRPr="00B247FF">
              <w:rPr>
                <w:sz w:val="18"/>
                <w:szCs w:val="18"/>
                <w:lang w:val="en-US"/>
              </w:rPr>
              <w:t>paraesthesia</w:t>
            </w:r>
            <w:proofErr w:type="spellEnd"/>
            <w:r w:rsidRPr="00B247FF">
              <w:rPr>
                <w:sz w:val="18"/>
                <w:szCs w:val="18"/>
                <w:lang w:val="en-US"/>
              </w:rPr>
              <w:t>, peripheral sensory neuropathy</w:t>
            </w:r>
          </w:p>
          <w:p w14:paraId="65EC4673" w14:textId="047584FD" w:rsidR="00A06F04" w:rsidRPr="00B247FF" w:rsidRDefault="00A06F04" w:rsidP="00786F6E">
            <w:pPr>
              <w:keepNext/>
              <w:tabs>
                <w:tab w:val="left" w:pos="285"/>
              </w:tabs>
              <w:adjustRightInd w:val="0"/>
              <w:ind w:left="15"/>
              <w:rPr>
                <w:sz w:val="18"/>
                <w:szCs w:val="18"/>
                <w:lang w:val="en-US"/>
              </w:rPr>
            </w:pPr>
            <w:r w:rsidRPr="00B247FF">
              <w:rPr>
                <w:sz w:val="18"/>
                <w:szCs w:val="18"/>
                <w:vertAlign w:val="superscript"/>
                <w:lang w:val="en-US"/>
              </w:rPr>
              <w:t>k</w:t>
            </w:r>
            <w:r w:rsidRPr="00B247FF">
              <w:t xml:space="preserve">  </w:t>
            </w:r>
            <w:r w:rsidR="00241936" w:rsidRPr="00B247FF">
              <w:t xml:space="preserve"> </w:t>
            </w:r>
            <w:r w:rsidRPr="00B247FF">
              <w:rPr>
                <w:sz w:val="18"/>
                <w:szCs w:val="18"/>
                <w:lang w:val="en-US"/>
              </w:rPr>
              <w:t>Headache: headache, migraine</w:t>
            </w:r>
          </w:p>
          <w:p w14:paraId="78FA173D" w14:textId="2D9A2CF6" w:rsidR="00EB0653" w:rsidRPr="00B247FF" w:rsidRDefault="00EB0653" w:rsidP="00786F6E">
            <w:pPr>
              <w:keepNext/>
              <w:tabs>
                <w:tab w:val="left" w:pos="285"/>
              </w:tabs>
              <w:adjustRightInd w:val="0"/>
              <w:ind w:left="15"/>
              <w:rPr>
                <w:sz w:val="18"/>
                <w:szCs w:val="18"/>
                <w:lang w:val="en-US"/>
              </w:rPr>
            </w:pPr>
            <w:r w:rsidRPr="00B247FF">
              <w:rPr>
                <w:sz w:val="18"/>
                <w:szCs w:val="18"/>
                <w:vertAlign w:val="superscript"/>
                <w:lang w:val="en-US"/>
              </w:rPr>
              <w:t xml:space="preserve">l </w:t>
            </w:r>
            <w:r w:rsidRPr="00B247FF">
              <w:rPr>
                <w:sz w:val="18"/>
                <w:szCs w:val="18"/>
                <w:lang w:val="en-US"/>
              </w:rPr>
              <w:t xml:space="preserve">   </w:t>
            </w:r>
            <w:proofErr w:type="spellStart"/>
            <w:r w:rsidRPr="00B247FF">
              <w:rPr>
                <w:sz w:val="18"/>
                <w:szCs w:val="18"/>
                <w:lang w:val="en-US"/>
              </w:rPr>
              <w:t>Haemorrhage</w:t>
            </w:r>
            <w:proofErr w:type="spellEnd"/>
            <w:r w:rsidRPr="00B247FF">
              <w:rPr>
                <w:sz w:val="18"/>
                <w:szCs w:val="18"/>
                <w:lang w:val="en-US"/>
              </w:rPr>
              <w:t xml:space="preserve">:  epistaxis, gastric </w:t>
            </w:r>
            <w:proofErr w:type="spellStart"/>
            <w:r w:rsidRPr="00B247FF">
              <w:rPr>
                <w:sz w:val="18"/>
                <w:szCs w:val="18"/>
                <w:lang w:val="en-US"/>
              </w:rPr>
              <w:t>haemorrhage</w:t>
            </w:r>
            <w:proofErr w:type="spellEnd"/>
            <w:r w:rsidRPr="00B247FF">
              <w:rPr>
                <w:sz w:val="18"/>
                <w:szCs w:val="18"/>
                <w:lang w:val="en-US"/>
              </w:rPr>
              <w:t xml:space="preserve">, gingival bleeding, </w:t>
            </w:r>
            <w:proofErr w:type="spellStart"/>
            <w:r w:rsidRPr="00B247FF">
              <w:rPr>
                <w:sz w:val="18"/>
                <w:szCs w:val="18"/>
                <w:lang w:val="en-US"/>
              </w:rPr>
              <w:t>haematuria</w:t>
            </w:r>
            <w:proofErr w:type="spellEnd"/>
            <w:r w:rsidRPr="00B247FF">
              <w:rPr>
                <w:sz w:val="18"/>
                <w:szCs w:val="18"/>
                <w:lang w:val="en-US"/>
              </w:rPr>
              <w:t xml:space="preserve">, </w:t>
            </w:r>
            <w:proofErr w:type="spellStart"/>
            <w:r w:rsidRPr="00B247FF">
              <w:rPr>
                <w:sz w:val="18"/>
                <w:szCs w:val="18"/>
                <w:lang w:val="en-US"/>
              </w:rPr>
              <w:t>haemoptysis</w:t>
            </w:r>
            <w:proofErr w:type="spellEnd"/>
            <w:r w:rsidRPr="00B247FF">
              <w:rPr>
                <w:sz w:val="18"/>
                <w:szCs w:val="18"/>
                <w:lang w:val="en-US"/>
              </w:rPr>
              <w:t xml:space="preserve">, </w:t>
            </w:r>
            <w:proofErr w:type="spellStart"/>
            <w:r w:rsidRPr="00B247FF">
              <w:rPr>
                <w:sz w:val="18"/>
                <w:szCs w:val="18"/>
                <w:lang w:val="en-US"/>
              </w:rPr>
              <w:t>haemorrhage</w:t>
            </w:r>
            <w:proofErr w:type="spellEnd"/>
            <w:r w:rsidRPr="00B247FF">
              <w:rPr>
                <w:sz w:val="18"/>
                <w:szCs w:val="18"/>
                <w:lang w:val="en-US"/>
              </w:rPr>
              <w:t xml:space="preserve">, mouth </w:t>
            </w:r>
            <w:proofErr w:type="spellStart"/>
            <w:r w:rsidRPr="00B247FF">
              <w:rPr>
                <w:sz w:val="18"/>
                <w:szCs w:val="18"/>
                <w:lang w:val="en-US"/>
              </w:rPr>
              <w:t>haemorrhage</w:t>
            </w:r>
            <w:proofErr w:type="spellEnd"/>
            <w:r w:rsidRPr="00B247FF">
              <w:rPr>
                <w:sz w:val="18"/>
                <w:szCs w:val="18"/>
                <w:lang w:val="en-US"/>
              </w:rPr>
              <w:t xml:space="preserve">, mucosal </w:t>
            </w:r>
            <w:proofErr w:type="spellStart"/>
            <w:r w:rsidRPr="00B247FF">
              <w:rPr>
                <w:sz w:val="18"/>
                <w:szCs w:val="18"/>
                <w:lang w:val="en-US"/>
              </w:rPr>
              <w:t>haemorrhage</w:t>
            </w:r>
            <w:proofErr w:type="spellEnd"/>
          </w:p>
          <w:p w14:paraId="0EBBA054" w14:textId="63628D51" w:rsidR="00241936" w:rsidRPr="00B247FF" w:rsidRDefault="00241936" w:rsidP="00786F6E">
            <w:pPr>
              <w:keepNext/>
              <w:tabs>
                <w:tab w:val="left" w:pos="285"/>
              </w:tabs>
              <w:adjustRightInd w:val="0"/>
              <w:ind w:left="15"/>
              <w:rPr>
                <w:sz w:val="18"/>
                <w:szCs w:val="18"/>
                <w:lang w:val="en-US"/>
              </w:rPr>
            </w:pPr>
            <w:r w:rsidRPr="00B247FF">
              <w:rPr>
                <w:sz w:val="18"/>
                <w:szCs w:val="18"/>
                <w:vertAlign w:val="superscript"/>
                <w:lang w:val="en-US"/>
              </w:rPr>
              <w:t xml:space="preserve">m </w:t>
            </w:r>
            <w:r w:rsidRPr="00B247FF">
              <w:rPr>
                <w:sz w:val="18"/>
                <w:szCs w:val="18"/>
                <w:lang w:val="en-US"/>
              </w:rPr>
              <w:t xml:space="preserve">  Pneumonia:  pneumonia, pneumonia aspiration, pulmonary sepsis</w:t>
            </w:r>
          </w:p>
          <w:p w14:paraId="3C6C0B54" w14:textId="603A46F5" w:rsidR="003A5CC5" w:rsidRPr="00B247FF" w:rsidRDefault="00C17BD2" w:rsidP="00786F6E">
            <w:pPr>
              <w:keepNext/>
              <w:tabs>
                <w:tab w:val="left" w:pos="285"/>
              </w:tabs>
              <w:adjustRightInd w:val="0"/>
              <w:ind w:left="15"/>
              <w:rPr>
                <w:sz w:val="18"/>
                <w:szCs w:val="18"/>
                <w:lang w:val="en-US"/>
              </w:rPr>
            </w:pPr>
            <w:r w:rsidRPr="00B247FF">
              <w:rPr>
                <w:color w:val="auto"/>
                <w:sz w:val="18"/>
                <w:szCs w:val="18"/>
                <w:lang w:val="en-US"/>
              </w:rPr>
              <w:t xml:space="preserve"> </w:t>
            </w:r>
            <w:r w:rsidR="003A5CC5" w:rsidRPr="00B247FF">
              <w:rPr>
                <w:sz w:val="18"/>
                <w:szCs w:val="18"/>
                <w:lang w:val="en-US"/>
              </w:rPr>
              <w:br/>
            </w:r>
          </w:p>
        </w:tc>
      </w:tr>
    </w:tbl>
    <w:p w14:paraId="007EC8BA" w14:textId="77777777" w:rsidR="00786F6E" w:rsidRDefault="00786F6E" w:rsidP="00786F6E">
      <w:pPr>
        <w:pStyle w:val="BodyText1"/>
        <w:jc w:val="left"/>
        <w:rPr>
          <w:lang w:val="en-US"/>
        </w:rPr>
      </w:pPr>
    </w:p>
    <w:p w14:paraId="3366B1D2" w14:textId="77777777" w:rsidR="00786F6E" w:rsidRDefault="00786F6E" w:rsidP="00786F6E">
      <w:pPr>
        <w:pStyle w:val="BodyText1"/>
        <w:jc w:val="left"/>
        <w:rPr>
          <w:lang w:val="en-US"/>
        </w:rPr>
      </w:pPr>
    </w:p>
    <w:p w14:paraId="0C4C03F4" w14:textId="1AE73847" w:rsidR="00B247FF" w:rsidRDefault="00605349" w:rsidP="00786F6E">
      <w:pPr>
        <w:pStyle w:val="BodyText1"/>
        <w:jc w:val="left"/>
        <w:rPr>
          <w:lang w:val="en-US"/>
        </w:rPr>
      </w:pPr>
      <w:r w:rsidRPr="00B247FF">
        <w:rPr>
          <w:lang w:val="en-US"/>
        </w:rPr>
        <w:lastRenderedPageBreak/>
        <w:t>Clinically relevant a</w:t>
      </w:r>
      <w:r w:rsidR="00D0729C" w:rsidRPr="00B247FF">
        <w:rPr>
          <w:lang w:val="en-US"/>
        </w:rPr>
        <w:t xml:space="preserve">dverse reactions </w:t>
      </w:r>
      <w:r w:rsidR="00260678" w:rsidRPr="00B247FF">
        <w:rPr>
          <w:lang w:val="en-US"/>
        </w:rPr>
        <w:t xml:space="preserve">that occurred </w:t>
      </w:r>
      <w:r w:rsidR="00D0729C" w:rsidRPr="00B247FF">
        <w:rPr>
          <w:lang w:val="en-US"/>
        </w:rPr>
        <w:t xml:space="preserve">in &lt;10% of RYBREVANT-treated patients with NSCLC exon 20 insertion mutations in Study EDI1001 </w:t>
      </w:r>
      <w:r w:rsidR="00260678" w:rsidRPr="00B247FF">
        <w:rPr>
          <w:lang w:val="en-US"/>
        </w:rPr>
        <w:t xml:space="preserve">included those </w:t>
      </w:r>
      <w:proofErr w:type="spellStart"/>
      <w:r w:rsidR="00D0729C" w:rsidRPr="00B247FF">
        <w:rPr>
          <w:lang w:val="en-US"/>
        </w:rPr>
        <w:t>summari</w:t>
      </w:r>
      <w:r w:rsidR="006F4D6E" w:rsidRPr="00B247FF">
        <w:rPr>
          <w:lang w:val="en-US"/>
        </w:rPr>
        <w:t>s</w:t>
      </w:r>
      <w:r w:rsidR="00D0729C" w:rsidRPr="00B247FF">
        <w:rPr>
          <w:lang w:val="en-US"/>
        </w:rPr>
        <w:t>ed</w:t>
      </w:r>
      <w:proofErr w:type="spellEnd"/>
      <w:r w:rsidR="00D0729C" w:rsidRPr="00B247FF">
        <w:rPr>
          <w:lang w:val="en-US"/>
        </w:rPr>
        <w:t xml:space="preserve"> in Table </w:t>
      </w:r>
      <w:r w:rsidR="00256C1F" w:rsidRPr="00B247FF">
        <w:rPr>
          <w:lang w:val="en-US"/>
        </w:rPr>
        <w:t>8</w:t>
      </w:r>
      <w:r w:rsidR="00D0729C" w:rsidRPr="00B247FF">
        <w:rPr>
          <w:lang w:val="en-US"/>
        </w:rPr>
        <w:t>.</w:t>
      </w:r>
    </w:p>
    <w:p w14:paraId="4267A81E" w14:textId="05C082D9" w:rsidR="00B247FF" w:rsidRDefault="00B247FF" w:rsidP="00786F6E">
      <w:pPr>
        <w:rPr>
          <w:rFonts w:eastAsiaTheme="minorHAnsi" w:cs="Times New Roman"/>
          <w:color w:val="auto"/>
          <w:szCs w:val="20"/>
          <w:lang w:val="en-US"/>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98"/>
      </w:tblGrid>
      <w:tr w:rsidR="00D0729C" w:rsidRPr="00B247FF" w14:paraId="05C64CBC" w14:textId="77777777" w:rsidTr="00D0729C">
        <w:tc>
          <w:tcPr>
            <w:tcW w:w="9498" w:type="dxa"/>
          </w:tcPr>
          <w:p w14:paraId="16D85F22" w14:textId="547B24A5" w:rsidR="00D0729C" w:rsidRPr="00B247FF" w:rsidRDefault="00D0729C" w:rsidP="00786F6E">
            <w:pPr>
              <w:adjustRightInd w:val="0"/>
              <w:rPr>
                <w:b/>
                <w:bCs/>
                <w:color w:val="auto"/>
                <w:sz w:val="20"/>
                <w:szCs w:val="20"/>
                <w:lang w:val="en-US"/>
              </w:rPr>
            </w:pPr>
            <w:r w:rsidRPr="00B247FF">
              <w:rPr>
                <w:b/>
                <w:bCs/>
                <w:sz w:val="20"/>
                <w:szCs w:val="20"/>
                <w:lang w:val="en-US"/>
              </w:rPr>
              <w:t>Table </w:t>
            </w:r>
            <w:r w:rsidR="00256C1F" w:rsidRPr="00B247FF">
              <w:rPr>
                <w:b/>
                <w:bCs/>
                <w:sz w:val="20"/>
                <w:szCs w:val="20"/>
                <w:lang w:val="en-US"/>
              </w:rPr>
              <w:t>8</w:t>
            </w:r>
            <w:r w:rsidRPr="00B247FF">
              <w:rPr>
                <w:b/>
                <w:bCs/>
                <w:sz w:val="20"/>
                <w:szCs w:val="20"/>
                <w:lang w:val="en-US"/>
              </w:rPr>
              <w:t xml:space="preserve">:  </w:t>
            </w:r>
            <w:r w:rsidR="00605349" w:rsidRPr="00B247FF">
              <w:rPr>
                <w:b/>
                <w:bCs/>
                <w:sz w:val="20"/>
                <w:szCs w:val="20"/>
                <w:lang w:val="en-US"/>
              </w:rPr>
              <w:t>Clinically relevant a</w:t>
            </w:r>
            <w:r w:rsidRPr="00B247FF">
              <w:rPr>
                <w:b/>
                <w:bCs/>
                <w:sz w:val="20"/>
                <w:szCs w:val="20"/>
                <w:lang w:val="en-US"/>
              </w:rPr>
              <w:t xml:space="preserve">dverse reactions (&lt;10%) in </w:t>
            </w:r>
            <w:r w:rsidR="00907CA3" w:rsidRPr="00B247FF">
              <w:rPr>
                <w:b/>
                <w:bCs/>
                <w:sz w:val="20"/>
                <w:szCs w:val="20"/>
                <w:lang w:val="en-US"/>
              </w:rPr>
              <w:t>p</w:t>
            </w:r>
            <w:r w:rsidRPr="00B247FF">
              <w:rPr>
                <w:b/>
                <w:bCs/>
                <w:sz w:val="20"/>
                <w:szCs w:val="20"/>
                <w:lang w:val="en-US"/>
              </w:rPr>
              <w:t xml:space="preserve">atients with NSCLC with </w:t>
            </w:r>
            <w:r w:rsidR="00907CA3" w:rsidRPr="00B247FF">
              <w:rPr>
                <w:b/>
                <w:bCs/>
                <w:sz w:val="20"/>
                <w:szCs w:val="20"/>
                <w:lang w:val="en-US"/>
              </w:rPr>
              <w:t>e</w:t>
            </w:r>
            <w:r w:rsidRPr="00B247FF">
              <w:rPr>
                <w:b/>
                <w:bCs/>
                <w:sz w:val="20"/>
                <w:szCs w:val="20"/>
                <w:lang w:val="en-US"/>
              </w:rPr>
              <w:t xml:space="preserve">xon 20 </w:t>
            </w:r>
            <w:r w:rsidR="00907CA3" w:rsidRPr="00B247FF">
              <w:rPr>
                <w:b/>
                <w:bCs/>
                <w:sz w:val="20"/>
                <w:szCs w:val="20"/>
                <w:lang w:val="en-US"/>
              </w:rPr>
              <w:t>i</w:t>
            </w:r>
            <w:r w:rsidRPr="00B247FF">
              <w:rPr>
                <w:b/>
                <w:bCs/>
                <w:sz w:val="20"/>
                <w:szCs w:val="20"/>
                <w:lang w:val="en-US"/>
              </w:rPr>
              <w:t xml:space="preserve">nsertion </w:t>
            </w:r>
            <w:r w:rsidR="00907CA3" w:rsidRPr="00B247FF">
              <w:rPr>
                <w:b/>
                <w:bCs/>
                <w:sz w:val="20"/>
                <w:szCs w:val="20"/>
                <w:lang w:val="en-US"/>
              </w:rPr>
              <w:t>m</w:t>
            </w:r>
            <w:r w:rsidRPr="00B247FF">
              <w:rPr>
                <w:b/>
                <w:bCs/>
                <w:sz w:val="20"/>
                <w:szCs w:val="20"/>
                <w:lang w:val="en-US"/>
              </w:rPr>
              <w:t xml:space="preserve">utations </w:t>
            </w:r>
            <w:r w:rsidR="00907CA3" w:rsidRPr="00B247FF">
              <w:rPr>
                <w:b/>
                <w:bCs/>
                <w:sz w:val="20"/>
                <w:szCs w:val="20"/>
                <w:lang w:val="en-US"/>
              </w:rPr>
              <w:t xml:space="preserve">whose disease had progressed on or after platinum-based chemotherapy and </w:t>
            </w:r>
            <w:r w:rsidR="005A2009" w:rsidRPr="00B247FF">
              <w:rPr>
                <w:b/>
                <w:bCs/>
                <w:sz w:val="20"/>
                <w:szCs w:val="20"/>
                <w:lang w:val="en-US"/>
              </w:rPr>
              <w:t xml:space="preserve">who </w:t>
            </w:r>
            <w:r w:rsidR="00907CA3" w:rsidRPr="00B247FF">
              <w:rPr>
                <w:b/>
                <w:bCs/>
                <w:sz w:val="20"/>
                <w:szCs w:val="20"/>
                <w:lang w:val="en-US"/>
              </w:rPr>
              <w:t xml:space="preserve">received RYBREVANT </w:t>
            </w:r>
            <w:r w:rsidRPr="00B247FF">
              <w:rPr>
                <w:b/>
                <w:bCs/>
                <w:sz w:val="20"/>
                <w:szCs w:val="20"/>
                <w:lang w:val="en-US"/>
              </w:rPr>
              <w:t>in Study EDI1001 (N=153)</w:t>
            </w:r>
          </w:p>
        </w:tc>
      </w:tr>
    </w:tbl>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14"/>
        <w:gridCol w:w="1761"/>
        <w:gridCol w:w="1298"/>
        <w:gridCol w:w="1406"/>
      </w:tblGrid>
      <w:tr w:rsidR="00D0729C" w:rsidRPr="00B247FF" w14:paraId="1C1790D8" w14:textId="77777777" w:rsidTr="006F4D6E">
        <w:trPr>
          <w:cantSplit/>
          <w:trHeight w:val="702"/>
          <w:jc w:val="center"/>
        </w:trPr>
        <w:tc>
          <w:tcPr>
            <w:tcW w:w="4675" w:type="dxa"/>
            <w:shd w:val="clear" w:color="auto" w:fill="auto"/>
            <w:tcMar>
              <w:left w:w="67" w:type="dxa"/>
              <w:right w:w="67" w:type="dxa"/>
            </w:tcMar>
            <w:vAlign w:val="bottom"/>
          </w:tcPr>
          <w:p w14:paraId="237A7050" w14:textId="77777777" w:rsidR="00D0729C" w:rsidRPr="00B247FF" w:rsidRDefault="00D0729C" w:rsidP="00786F6E">
            <w:pPr>
              <w:adjustRightInd w:val="0"/>
              <w:rPr>
                <w:b/>
                <w:bCs/>
                <w:sz w:val="20"/>
                <w:szCs w:val="20"/>
                <w:lang w:val="en-US"/>
              </w:rPr>
            </w:pPr>
            <w:r w:rsidRPr="00B247FF">
              <w:rPr>
                <w:b/>
                <w:bCs/>
                <w:sz w:val="20"/>
                <w:szCs w:val="20"/>
                <w:lang w:val="en-US"/>
              </w:rPr>
              <w:t>System Organ Class</w:t>
            </w:r>
          </w:p>
          <w:p w14:paraId="2B336064" w14:textId="77777777" w:rsidR="00D0729C" w:rsidRPr="00B247FF" w:rsidRDefault="00D0729C" w:rsidP="00786F6E">
            <w:pPr>
              <w:adjustRightInd w:val="0"/>
              <w:rPr>
                <w:sz w:val="20"/>
                <w:szCs w:val="20"/>
                <w:lang w:val="en-US"/>
              </w:rPr>
            </w:pPr>
            <w:r w:rsidRPr="00B247FF">
              <w:rPr>
                <w:sz w:val="20"/>
                <w:szCs w:val="20"/>
                <w:lang w:val="en-US"/>
              </w:rPr>
              <w:t>Adverse Reaction</w:t>
            </w:r>
          </w:p>
        </w:tc>
        <w:tc>
          <w:tcPr>
            <w:tcW w:w="1710" w:type="dxa"/>
            <w:shd w:val="clear" w:color="auto" w:fill="auto"/>
          </w:tcPr>
          <w:p w14:paraId="6D05A010" w14:textId="77777777" w:rsidR="00D0729C" w:rsidRPr="00B247FF" w:rsidRDefault="00D0729C" w:rsidP="00786F6E">
            <w:pPr>
              <w:adjustRightInd w:val="0"/>
              <w:rPr>
                <w:b/>
                <w:bCs/>
                <w:sz w:val="20"/>
                <w:szCs w:val="20"/>
                <w:lang w:val="en-US"/>
              </w:rPr>
            </w:pPr>
            <w:r w:rsidRPr="00B247FF">
              <w:rPr>
                <w:b/>
                <w:bCs/>
                <w:sz w:val="20"/>
                <w:szCs w:val="20"/>
                <w:lang w:val="en-US"/>
              </w:rPr>
              <w:t>Frequency</w:t>
            </w:r>
          </w:p>
          <w:p w14:paraId="0BDA6773" w14:textId="77777777" w:rsidR="00D0729C" w:rsidRPr="00B247FF" w:rsidRDefault="00D0729C" w:rsidP="00786F6E">
            <w:pPr>
              <w:adjustRightInd w:val="0"/>
              <w:rPr>
                <w:b/>
                <w:bCs/>
                <w:sz w:val="20"/>
                <w:szCs w:val="20"/>
                <w:lang w:val="en-US"/>
              </w:rPr>
            </w:pPr>
            <w:r w:rsidRPr="00B247FF">
              <w:rPr>
                <w:b/>
                <w:bCs/>
                <w:sz w:val="20"/>
                <w:szCs w:val="20"/>
                <w:lang w:val="en-US"/>
              </w:rPr>
              <w:t>Category</w:t>
            </w:r>
          </w:p>
        </w:tc>
        <w:tc>
          <w:tcPr>
            <w:tcW w:w="1260" w:type="dxa"/>
            <w:shd w:val="clear" w:color="auto" w:fill="auto"/>
          </w:tcPr>
          <w:p w14:paraId="54BF4DF7" w14:textId="77777777" w:rsidR="00D0729C" w:rsidRPr="00B247FF" w:rsidRDefault="00D0729C" w:rsidP="00786F6E">
            <w:pPr>
              <w:adjustRightInd w:val="0"/>
              <w:rPr>
                <w:b/>
                <w:bCs/>
                <w:sz w:val="20"/>
                <w:szCs w:val="20"/>
                <w:lang w:val="en-US"/>
              </w:rPr>
            </w:pPr>
            <w:r w:rsidRPr="00B247FF">
              <w:rPr>
                <w:b/>
                <w:bCs/>
                <w:sz w:val="20"/>
                <w:szCs w:val="20"/>
                <w:lang w:val="en-US"/>
              </w:rPr>
              <w:t>All Grades (%)</w:t>
            </w:r>
          </w:p>
        </w:tc>
        <w:tc>
          <w:tcPr>
            <w:tcW w:w="1365" w:type="dxa"/>
            <w:shd w:val="clear" w:color="auto" w:fill="auto"/>
          </w:tcPr>
          <w:p w14:paraId="4A1ED67F" w14:textId="77777777" w:rsidR="00D0729C" w:rsidRPr="00B247FF" w:rsidRDefault="00D0729C" w:rsidP="00786F6E">
            <w:pPr>
              <w:adjustRightInd w:val="0"/>
              <w:rPr>
                <w:b/>
                <w:bCs/>
                <w:sz w:val="20"/>
                <w:szCs w:val="20"/>
                <w:lang w:val="en-US"/>
              </w:rPr>
            </w:pPr>
            <w:r w:rsidRPr="00B247FF">
              <w:rPr>
                <w:b/>
                <w:bCs/>
                <w:sz w:val="20"/>
                <w:szCs w:val="20"/>
                <w:lang w:val="en-US"/>
              </w:rPr>
              <w:t xml:space="preserve">Grade 3-4 </w:t>
            </w:r>
            <w:r w:rsidRPr="00B247FF">
              <w:rPr>
                <w:b/>
                <w:bCs/>
                <w:sz w:val="20"/>
                <w:szCs w:val="20"/>
                <w:lang w:val="en-US"/>
              </w:rPr>
              <w:br/>
              <w:t>(%)</w:t>
            </w:r>
          </w:p>
        </w:tc>
      </w:tr>
      <w:tr w:rsidR="00D0729C" w:rsidRPr="00B247FF" w14:paraId="0F732C41" w14:textId="77777777" w:rsidTr="006F4D6E">
        <w:trPr>
          <w:cantSplit/>
          <w:jc w:val="center"/>
        </w:trPr>
        <w:tc>
          <w:tcPr>
            <w:tcW w:w="9010" w:type="dxa"/>
            <w:gridSpan w:val="4"/>
            <w:shd w:val="clear" w:color="auto" w:fill="auto"/>
            <w:tcMar>
              <w:left w:w="67" w:type="dxa"/>
              <w:right w:w="67" w:type="dxa"/>
            </w:tcMar>
          </w:tcPr>
          <w:p w14:paraId="4F1C659E" w14:textId="77777777" w:rsidR="00D0729C" w:rsidRPr="00B247FF" w:rsidRDefault="00D0729C" w:rsidP="00786F6E">
            <w:pPr>
              <w:adjustRightInd w:val="0"/>
              <w:rPr>
                <w:b/>
                <w:bCs/>
                <w:sz w:val="20"/>
                <w:szCs w:val="20"/>
                <w:lang w:val="en-US"/>
              </w:rPr>
            </w:pPr>
            <w:r w:rsidRPr="00B247FF">
              <w:rPr>
                <w:b/>
                <w:bCs/>
                <w:sz w:val="20"/>
                <w:szCs w:val="20"/>
                <w:lang w:val="en-US"/>
              </w:rPr>
              <w:t>Gastrointestinal disorders</w:t>
            </w:r>
          </w:p>
        </w:tc>
      </w:tr>
      <w:tr w:rsidR="00D0729C" w:rsidRPr="00B247FF" w14:paraId="3EE00072" w14:textId="77777777" w:rsidTr="006F4D6E">
        <w:trPr>
          <w:cantSplit/>
          <w:jc w:val="center"/>
        </w:trPr>
        <w:tc>
          <w:tcPr>
            <w:tcW w:w="4675" w:type="dxa"/>
            <w:shd w:val="clear" w:color="auto" w:fill="auto"/>
            <w:tcMar>
              <w:left w:w="67" w:type="dxa"/>
              <w:right w:w="67" w:type="dxa"/>
            </w:tcMar>
          </w:tcPr>
          <w:p w14:paraId="50756286" w14:textId="77777777" w:rsidR="00D0729C" w:rsidRPr="00B247FF" w:rsidRDefault="00D0729C" w:rsidP="00786F6E">
            <w:pPr>
              <w:adjustRightInd w:val="0"/>
              <w:rPr>
                <w:sz w:val="20"/>
                <w:szCs w:val="20"/>
                <w:lang w:val="en-US"/>
              </w:rPr>
            </w:pPr>
            <w:r w:rsidRPr="00B247FF">
              <w:rPr>
                <w:sz w:val="20"/>
                <w:szCs w:val="20"/>
                <w:lang w:val="en-US"/>
              </w:rPr>
              <w:t xml:space="preserve">     Abdominal </w:t>
            </w:r>
            <w:proofErr w:type="spellStart"/>
            <w:r w:rsidRPr="00B247FF">
              <w:rPr>
                <w:sz w:val="20"/>
                <w:szCs w:val="20"/>
                <w:lang w:val="en-US"/>
              </w:rPr>
              <w:t>pain</w:t>
            </w:r>
            <w:r w:rsidRPr="00B247FF">
              <w:rPr>
                <w:sz w:val="20"/>
                <w:szCs w:val="20"/>
                <w:vertAlign w:val="superscript"/>
                <w:lang w:val="en-US"/>
              </w:rPr>
              <w:t>a</w:t>
            </w:r>
            <w:proofErr w:type="spellEnd"/>
          </w:p>
        </w:tc>
        <w:tc>
          <w:tcPr>
            <w:tcW w:w="1710" w:type="dxa"/>
            <w:shd w:val="clear" w:color="auto" w:fill="auto"/>
            <w:tcMar>
              <w:left w:w="67" w:type="dxa"/>
              <w:right w:w="67" w:type="dxa"/>
            </w:tcMar>
          </w:tcPr>
          <w:p w14:paraId="42518F43" w14:textId="77777777" w:rsidR="00D0729C" w:rsidRPr="00B247FF" w:rsidRDefault="00D0729C" w:rsidP="00786F6E">
            <w:pPr>
              <w:adjustRightInd w:val="0"/>
              <w:rPr>
                <w:sz w:val="20"/>
                <w:szCs w:val="20"/>
                <w:lang w:val="en-US"/>
              </w:rPr>
            </w:pPr>
            <w:r w:rsidRPr="00B247FF">
              <w:rPr>
                <w:sz w:val="20"/>
                <w:szCs w:val="20"/>
                <w:lang w:val="en-US"/>
              </w:rPr>
              <w:t>Common</w:t>
            </w:r>
          </w:p>
        </w:tc>
        <w:tc>
          <w:tcPr>
            <w:tcW w:w="1260" w:type="dxa"/>
            <w:shd w:val="clear" w:color="auto" w:fill="auto"/>
            <w:tcMar>
              <w:left w:w="67" w:type="dxa"/>
              <w:right w:w="67" w:type="dxa"/>
            </w:tcMar>
          </w:tcPr>
          <w:p w14:paraId="4DF1DC59" w14:textId="77777777" w:rsidR="00D0729C" w:rsidRPr="00B247FF" w:rsidRDefault="00D0729C" w:rsidP="00786F6E">
            <w:pPr>
              <w:adjustRightInd w:val="0"/>
              <w:rPr>
                <w:sz w:val="20"/>
                <w:szCs w:val="20"/>
                <w:lang w:val="en-US"/>
              </w:rPr>
            </w:pPr>
            <w:r w:rsidRPr="00B247FF">
              <w:rPr>
                <w:sz w:val="20"/>
                <w:szCs w:val="20"/>
                <w:lang w:val="en-US"/>
              </w:rPr>
              <w:t>9</w:t>
            </w:r>
          </w:p>
        </w:tc>
        <w:tc>
          <w:tcPr>
            <w:tcW w:w="1365" w:type="dxa"/>
            <w:shd w:val="clear" w:color="auto" w:fill="auto"/>
            <w:tcMar>
              <w:left w:w="67" w:type="dxa"/>
              <w:right w:w="67" w:type="dxa"/>
            </w:tcMar>
          </w:tcPr>
          <w:p w14:paraId="529F2875" w14:textId="77777777" w:rsidR="00D0729C" w:rsidRPr="00B247FF" w:rsidRDefault="00D0729C" w:rsidP="00786F6E">
            <w:pPr>
              <w:adjustRightInd w:val="0"/>
              <w:rPr>
                <w:sz w:val="20"/>
                <w:szCs w:val="20"/>
                <w:lang w:val="en-US"/>
              </w:rPr>
            </w:pPr>
            <w:r w:rsidRPr="00B247FF">
              <w:rPr>
                <w:sz w:val="20"/>
                <w:szCs w:val="20"/>
                <w:lang w:val="en-US"/>
              </w:rPr>
              <w:t>0.7</w:t>
            </w:r>
          </w:p>
        </w:tc>
      </w:tr>
      <w:tr w:rsidR="00D0729C" w:rsidRPr="00B247FF" w14:paraId="267289B7" w14:textId="77777777" w:rsidTr="006F4D6E">
        <w:trPr>
          <w:cantSplit/>
          <w:jc w:val="center"/>
        </w:trPr>
        <w:tc>
          <w:tcPr>
            <w:tcW w:w="9010" w:type="dxa"/>
            <w:gridSpan w:val="4"/>
            <w:shd w:val="clear" w:color="auto" w:fill="auto"/>
            <w:tcMar>
              <w:left w:w="67" w:type="dxa"/>
              <w:right w:w="67" w:type="dxa"/>
            </w:tcMar>
          </w:tcPr>
          <w:p w14:paraId="327DFD7E" w14:textId="4994F467" w:rsidR="00D0729C" w:rsidRPr="00B247FF" w:rsidRDefault="00D0729C" w:rsidP="00786F6E">
            <w:pPr>
              <w:adjustRightInd w:val="0"/>
              <w:rPr>
                <w:b/>
                <w:bCs/>
                <w:sz w:val="20"/>
                <w:szCs w:val="20"/>
                <w:lang w:val="en-US"/>
              </w:rPr>
            </w:pPr>
            <w:r w:rsidRPr="00B247FF">
              <w:rPr>
                <w:b/>
                <w:bCs/>
                <w:sz w:val="20"/>
                <w:szCs w:val="20"/>
                <w:lang w:val="en-US"/>
              </w:rPr>
              <w:t xml:space="preserve">Eye </w:t>
            </w:r>
            <w:r w:rsidR="00907CA3" w:rsidRPr="00B247FF">
              <w:rPr>
                <w:b/>
                <w:bCs/>
                <w:sz w:val="20"/>
                <w:szCs w:val="20"/>
                <w:lang w:val="en-US"/>
              </w:rPr>
              <w:t>dis</w:t>
            </w:r>
            <w:r w:rsidRPr="00B247FF">
              <w:rPr>
                <w:b/>
                <w:bCs/>
                <w:sz w:val="20"/>
                <w:szCs w:val="20"/>
                <w:lang w:val="en-US"/>
              </w:rPr>
              <w:t>orders</w:t>
            </w:r>
          </w:p>
        </w:tc>
      </w:tr>
      <w:tr w:rsidR="00D0729C" w:rsidRPr="00B247FF" w14:paraId="5EAFD2F0" w14:textId="77777777" w:rsidTr="006F4D6E">
        <w:trPr>
          <w:cantSplit/>
          <w:jc w:val="center"/>
        </w:trPr>
        <w:tc>
          <w:tcPr>
            <w:tcW w:w="4675" w:type="dxa"/>
            <w:shd w:val="clear" w:color="auto" w:fill="auto"/>
            <w:tcMar>
              <w:left w:w="67" w:type="dxa"/>
              <w:right w:w="67" w:type="dxa"/>
            </w:tcMar>
          </w:tcPr>
          <w:p w14:paraId="1319FB23" w14:textId="77777777" w:rsidR="00D0729C" w:rsidRPr="00B247FF" w:rsidRDefault="00D0729C" w:rsidP="00786F6E">
            <w:pPr>
              <w:adjustRightInd w:val="0"/>
              <w:rPr>
                <w:sz w:val="20"/>
                <w:szCs w:val="20"/>
                <w:lang w:val="en-US"/>
              </w:rPr>
            </w:pPr>
            <w:r w:rsidRPr="00B247FF">
              <w:rPr>
                <w:sz w:val="20"/>
                <w:szCs w:val="20"/>
                <w:lang w:val="en-US"/>
              </w:rPr>
              <w:t xml:space="preserve">     Other eye </w:t>
            </w:r>
            <w:proofErr w:type="spellStart"/>
            <w:r w:rsidRPr="00B247FF">
              <w:rPr>
                <w:sz w:val="20"/>
                <w:szCs w:val="20"/>
                <w:lang w:val="en-US"/>
              </w:rPr>
              <w:t>disorders</w:t>
            </w:r>
            <w:r w:rsidRPr="00B247FF">
              <w:rPr>
                <w:sz w:val="20"/>
                <w:szCs w:val="20"/>
                <w:vertAlign w:val="superscript"/>
                <w:lang w:val="en-US"/>
              </w:rPr>
              <w:t>b</w:t>
            </w:r>
            <w:proofErr w:type="spellEnd"/>
          </w:p>
        </w:tc>
        <w:tc>
          <w:tcPr>
            <w:tcW w:w="1710" w:type="dxa"/>
            <w:shd w:val="clear" w:color="auto" w:fill="auto"/>
            <w:tcMar>
              <w:left w:w="67" w:type="dxa"/>
              <w:right w:w="67" w:type="dxa"/>
            </w:tcMar>
          </w:tcPr>
          <w:p w14:paraId="66C43665" w14:textId="77777777" w:rsidR="00D0729C" w:rsidRPr="00B247FF" w:rsidRDefault="00D0729C" w:rsidP="00786F6E">
            <w:pPr>
              <w:adjustRightInd w:val="0"/>
              <w:rPr>
                <w:sz w:val="20"/>
                <w:szCs w:val="20"/>
                <w:lang w:val="en-US"/>
              </w:rPr>
            </w:pPr>
            <w:r w:rsidRPr="00B247FF">
              <w:rPr>
                <w:sz w:val="20"/>
                <w:szCs w:val="20"/>
                <w:lang w:val="en-US"/>
              </w:rPr>
              <w:t>Common</w:t>
            </w:r>
          </w:p>
        </w:tc>
        <w:tc>
          <w:tcPr>
            <w:tcW w:w="1260" w:type="dxa"/>
            <w:shd w:val="clear" w:color="auto" w:fill="auto"/>
            <w:tcMar>
              <w:left w:w="67" w:type="dxa"/>
              <w:right w:w="67" w:type="dxa"/>
            </w:tcMar>
          </w:tcPr>
          <w:p w14:paraId="1067A1E0" w14:textId="77777777" w:rsidR="00D0729C" w:rsidRPr="00B247FF" w:rsidRDefault="00D0729C" w:rsidP="00786F6E">
            <w:pPr>
              <w:adjustRightInd w:val="0"/>
              <w:rPr>
                <w:sz w:val="20"/>
                <w:szCs w:val="20"/>
                <w:lang w:val="en-US"/>
              </w:rPr>
            </w:pPr>
            <w:r w:rsidRPr="00B247FF">
              <w:rPr>
                <w:sz w:val="20"/>
                <w:szCs w:val="20"/>
                <w:lang w:val="en-US"/>
              </w:rPr>
              <w:t>6</w:t>
            </w:r>
          </w:p>
        </w:tc>
        <w:tc>
          <w:tcPr>
            <w:tcW w:w="1365" w:type="dxa"/>
            <w:shd w:val="clear" w:color="auto" w:fill="auto"/>
            <w:tcMar>
              <w:left w:w="67" w:type="dxa"/>
              <w:right w:w="67" w:type="dxa"/>
            </w:tcMar>
          </w:tcPr>
          <w:p w14:paraId="72B9D867" w14:textId="77777777" w:rsidR="00D0729C" w:rsidRPr="00B247FF" w:rsidRDefault="00D0729C" w:rsidP="00786F6E">
            <w:pPr>
              <w:adjustRightInd w:val="0"/>
              <w:rPr>
                <w:sz w:val="20"/>
                <w:szCs w:val="20"/>
                <w:lang w:val="en-US"/>
              </w:rPr>
            </w:pPr>
            <w:r w:rsidRPr="00B247FF">
              <w:rPr>
                <w:sz w:val="20"/>
                <w:szCs w:val="20"/>
                <w:lang w:val="en-US"/>
              </w:rPr>
              <w:t>0</w:t>
            </w:r>
          </w:p>
        </w:tc>
      </w:tr>
      <w:tr w:rsidR="00D0729C" w:rsidRPr="00B247FF" w14:paraId="79C0DC64" w14:textId="77777777" w:rsidTr="006F4D6E">
        <w:trPr>
          <w:cantSplit/>
          <w:jc w:val="center"/>
        </w:trPr>
        <w:tc>
          <w:tcPr>
            <w:tcW w:w="4675" w:type="dxa"/>
            <w:shd w:val="clear" w:color="auto" w:fill="auto"/>
            <w:tcMar>
              <w:left w:w="67" w:type="dxa"/>
              <w:right w:w="67" w:type="dxa"/>
            </w:tcMar>
          </w:tcPr>
          <w:p w14:paraId="1A3C3434" w14:textId="2F64690B" w:rsidR="00D0729C" w:rsidRPr="00B247FF" w:rsidRDefault="00D0729C" w:rsidP="00786F6E">
            <w:pPr>
              <w:adjustRightInd w:val="0"/>
              <w:rPr>
                <w:sz w:val="20"/>
                <w:szCs w:val="20"/>
                <w:lang w:val="en-US"/>
              </w:rPr>
            </w:pPr>
            <w:r w:rsidRPr="00B247FF">
              <w:rPr>
                <w:sz w:val="20"/>
                <w:szCs w:val="20"/>
                <w:lang w:val="en-US"/>
              </w:rPr>
              <w:t xml:space="preserve">     Visual </w:t>
            </w:r>
            <w:proofErr w:type="spellStart"/>
            <w:r w:rsidRPr="00B247FF">
              <w:rPr>
                <w:sz w:val="20"/>
                <w:szCs w:val="20"/>
                <w:lang w:val="en-US"/>
              </w:rPr>
              <w:t>impairment</w:t>
            </w:r>
            <w:r w:rsidR="00993BF0" w:rsidRPr="00B247FF">
              <w:rPr>
                <w:sz w:val="20"/>
                <w:szCs w:val="20"/>
                <w:vertAlign w:val="superscript"/>
                <w:lang w:val="en-US"/>
              </w:rPr>
              <w:t>c</w:t>
            </w:r>
            <w:proofErr w:type="spellEnd"/>
            <w:r w:rsidRPr="00B247FF">
              <w:rPr>
                <w:sz w:val="20"/>
                <w:szCs w:val="20"/>
                <w:lang w:val="en-US"/>
              </w:rPr>
              <w:t xml:space="preserve"> </w:t>
            </w:r>
          </w:p>
        </w:tc>
        <w:tc>
          <w:tcPr>
            <w:tcW w:w="1710" w:type="dxa"/>
            <w:shd w:val="clear" w:color="auto" w:fill="auto"/>
            <w:tcMar>
              <w:left w:w="67" w:type="dxa"/>
              <w:right w:w="67" w:type="dxa"/>
            </w:tcMar>
          </w:tcPr>
          <w:p w14:paraId="12AB81C4" w14:textId="77777777" w:rsidR="00D0729C" w:rsidRPr="00B247FF" w:rsidRDefault="00D0729C" w:rsidP="00786F6E">
            <w:pPr>
              <w:adjustRightInd w:val="0"/>
              <w:rPr>
                <w:sz w:val="20"/>
                <w:szCs w:val="20"/>
                <w:lang w:val="en-US"/>
              </w:rPr>
            </w:pPr>
            <w:r w:rsidRPr="00B247FF">
              <w:rPr>
                <w:sz w:val="20"/>
                <w:szCs w:val="20"/>
                <w:lang w:val="en-US"/>
              </w:rPr>
              <w:t>Common</w:t>
            </w:r>
          </w:p>
        </w:tc>
        <w:tc>
          <w:tcPr>
            <w:tcW w:w="1260" w:type="dxa"/>
            <w:shd w:val="clear" w:color="auto" w:fill="auto"/>
            <w:tcMar>
              <w:left w:w="67" w:type="dxa"/>
              <w:right w:w="67" w:type="dxa"/>
            </w:tcMar>
          </w:tcPr>
          <w:p w14:paraId="589DEBA2" w14:textId="77777777" w:rsidR="00D0729C" w:rsidRPr="00B247FF" w:rsidRDefault="00D0729C" w:rsidP="00786F6E">
            <w:pPr>
              <w:adjustRightInd w:val="0"/>
              <w:rPr>
                <w:sz w:val="20"/>
                <w:szCs w:val="20"/>
                <w:lang w:val="en-US"/>
              </w:rPr>
            </w:pPr>
            <w:r w:rsidRPr="00B247FF">
              <w:rPr>
                <w:sz w:val="20"/>
                <w:szCs w:val="20"/>
                <w:lang w:val="en-US"/>
              </w:rPr>
              <w:t>2</w:t>
            </w:r>
          </w:p>
        </w:tc>
        <w:tc>
          <w:tcPr>
            <w:tcW w:w="1365" w:type="dxa"/>
            <w:shd w:val="clear" w:color="auto" w:fill="auto"/>
            <w:tcMar>
              <w:left w:w="67" w:type="dxa"/>
              <w:right w:w="67" w:type="dxa"/>
            </w:tcMar>
          </w:tcPr>
          <w:p w14:paraId="3D657EDE" w14:textId="77777777" w:rsidR="00D0729C" w:rsidRPr="00B247FF" w:rsidRDefault="00D0729C" w:rsidP="00786F6E">
            <w:pPr>
              <w:adjustRightInd w:val="0"/>
              <w:rPr>
                <w:sz w:val="20"/>
                <w:szCs w:val="20"/>
                <w:lang w:val="en-US"/>
              </w:rPr>
            </w:pPr>
            <w:r w:rsidRPr="00B247FF">
              <w:rPr>
                <w:sz w:val="20"/>
                <w:szCs w:val="20"/>
                <w:lang w:val="en-US"/>
              </w:rPr>
              <w:t>0</w:t>
            </w:r>
          </w:p>
        </w:tc>
      </w:tr>
      <w:tr w:rsidR="00D0729C" w:rsidRPr="00B247FF" w14:paraId="306C1921" w14:textId="77777777" w:rsidTr="006F4D6E">
        <w:trPr>
          <w:cantSplit/>
          <w:jc w:val="center"/>
        </w:trPr>
        <w:tc>
          <w:tcPr>
            <w:tcW w:w="4675" w:type="dxa"/>
            <w:shd w:val="clear" w:color="auto" w:fill="auto"/>
            <w:tcMar>
              <w:left w:w="67" w:type="dxa"/>
              <w:right w:w="67" w:type="dxa"/>
            </w:tcMar>
          </w:tcPr>
          <w:p w14:paraId="76D3EF0C" w14:textId="3A1EA223" w:rsidR="00D0729C" w:rsidRPr="00B247FF" w:rsidRDefault="00D0729C" w:rsidP="00786F6E">
            <w:pPr>
              <w:adjustRightInd w:val="0"/>
              <w:rPr>
                <w:sz w:val="20"/>
                <w:szCs w:val="20"/>
                <w:vertAlign w:val="superscript"/>
                <w:lang w:val="en-US"/>
              </w:rPr>
            </w:pPr>
            <w:r w:rsidRPr="00B247FF">
              <w:rPr>
                <w:sz w:val="20"/>
                <w:szCs w:val="20"/>
                <w:lang w:val="en-US"/>
              </w:rPr>
              <w:t xml:space="preserve">     Growth of </w:t>
            </w:r>
            <w:proofErr w:type="spellStart"/>
            <w:r w:rsidRPr="00B247FF">
              <w:rPr>
                <w:sz w:val="20"/>
                <w:szCs w:val="20"/>
                <w:lang w:val="en-US"/>
              </w:rPr>
              <w:t>eyelashes</w:t>
            </w:r>
            <w:r w:rsidR="00993BF0" w:rsidRPr="00B247FF">
              <w:rPr>
                <w:sz w:val="20"/>
                <w:szCs w:val="20"/>
                <w:vertAlign w:val="superscript"/>
                <w:lang w:val="en-US"/>
              </w:rPr>
              <w:t>d</w:t>
            </w:r>
            <w:proofErr w:type="spellEnd"/>
          </w:p>
        </w:tc>
        <w:tc>
          <w:tcPr>
            <w:tcW w:w="1710" w:type="dxa"/>
            <w:shd w:val="clear" w:color="auto" w:fill="auto"/>
            <w:tcMar>
              <w:left w:w="67" w:type="dxa"/>
              <w:right w:w="67" w:type="dxa"/>
            </w:tcMar>
          </w:tcPr>
          <w:p w14:paraId="3B868FFA" w14:textId="77777777" w:rsidR="00D0729C" w:rsidRPr="00B247FF" w:rsidRDefault="00D0729C" w:rsidP="00786F6E">
            <w:pPr>
              <w:adjustRightInd w:val="0"/>
              <w:rPr>
                <w:sz w:val="20"/>
                <w:szCs w:val="20"/>
                <w:lang w:val="en-US"/>
              </w:rPr>
            </w:pPr>
            <w:r w:rsidRPr="00B247FF">
              <w:rPr>
                <w:sz w:val="20"/>
                <w:szCs w:val="20"/>
                <w:lang w:val="en-US"/>
              </w:rPr>
              <w:t>Common</w:t>
            </w:r>
          </w:p>
        </w:tc>
        <w:tc>
          <w:tcPr>
            <w:tcW w:w="1260" w:type="dxa"/>
            <w:shd w:val="clear" w:color="auto" w:fill="auto"/>
            <w:tcMar>
              <w:left w:w="67" w:type="dxa"/>
              <w:right w:w="67" w:type="dxa"/>
            </w:tcMar>
          </w:tcPr>
          <w:p w14:paraId="344E43F6" w14:textId="77777777" w:rsidR="00D0729C" w:rsidRPr="00B247FF" w:rsidRDefault="00D0729C" w:rsidP="00786F6E">
            <w:pPr>
              <w:adjustRightInd w:val="0"/>
              <w:rPr>
                <w:sz w:val="20"/>
                <w:szCs w:val="20"/>
                <w:lang w:val="en-US"/>
              </w:rPr>
            </w:pPr>
            <w:r w:rsidRPr="00B247FF">
              <w:rPr>
                <w:sz w:val="20"/>
                <w:szCs w:val="20"/>
                <w:lang w:val="en-US"/>
              </w:rPr>
              <w:t>1</w:t>
            </w:r>
          </w:p>
        </w:tc>
        <w:tc>
          <w:tcPr>
            <w:tcW w:w="1365" w:type="dxa"/>
            <w:shd w:val="clear" w:color="auto" w:fill="auto"/>
            <w:tcMar>
              <w:left w:w="67" w:type="dxa"/>
              <w:right w:w="67" w:type="dxa"/>
            </w:tcMar>
          </w:tcPr>
          <w:p w14:paraId="3991FB8D" w14:textId="77777777" w:rsidR="00D0729C" w:rsidRPr="00B247FF" w:rsidRDefault="00D0729C" w:rsidP="00786F6E">
            <w:pPr>
              <w:adjustRightInd w:val="0"/>
              <w:rPr>
                <w:sz w:val="20"/>
                <w:szCs w:val="20"/>
                <w:lang w:val="en-US"/>
              </w:rPr>
            </w:pPr>
            <w:r w:rsidRPr="00B247FF">
              <w:rPr>
                <w:sz w:val="20"/>
                <w:szCs w:val="20"/>
                <w:lang w:val="en-US"/>
              </w:rPr>
              <w:t>0</w:t>
            </w:r>
          </w:p>
        </w:tc>
      </w:tr>
      <w:tr w:rsidR="00D0729C" w:rsidRPr="00B247FF" w14:paraId="5CFB94F6" w14:textId="77777777" w:rsidTr="006F4D6E">
        <w:trPr>
          <w:cantSplit/>
          <w:jc w:val="center"/>
        </w:trPr>
        <w:tc>
          <w:tcPr>
            <w:tcW w:w="4675" w:type="dxa"/>
            <w:shd w:val="clear" w:color="auto" w:fill="auto"/>
            <w:tcMar>
              <w:left w:w="67" w:type="dxa"/>
              <w:right w:w="67" w:type="dxa"/>
            </w:tcMar>
          </w:tcPr>
          <w:p w14:paraId="3E0CD6B6" w14:textId="77777777" w:rsidR="00D0729C" w:rsidRPr="00B247FF" w:rsidRDefault="00D0729C" w:rsidP="00786F6E">
            <w:pPr>
              <w:adjustRightInd w:val="0"/>
              <w:rPr>
                <w:sz w:val="20"/>
                <w:szCs w:val="20"/>
                <w:lang w:val="en-US"/>
              </w:rPr>
            </w:pPr>
            <w:r w:rsidRPr="00B247FF">
              <w:rPr>
                <w:sz w:val="20"/>
                <w:szCs w:val="20"/>
                <w:lang w:val="en-US"/>
              </w:rPr>
              <w:t xml:space="preserve">     Keratitis</w:t>
            </w:r>
          </w:p>
        </w:tc>
        <w:tc>
          <w:tcPr>
            <w:tcW w:w="1710" w:type="dxa"/>
            <w:shd w:val="clear" w:color="auto" w:fill="auto"/>
            <w:tcMar>
              <w:left w:w="67" w:type="dxa"/>
              <w:right w:w="67" w:type="dxa"/>
            </w:tcMar>
          </w:tcPr>
          <w:p w14:paraId="0D95E826" w14:textId="77777777" w:rsidR="00D0729C" w:rsidRPr="00B247FF" w:rsidRDefault="00D0729C" w:rsidP="00786F6E">
            <w:pPr>
              <w:adjustRightInd w:val="0"/>
              <w:rPr>
                <w:sz w:val="20"/>
                <w:szCs w:val="20"/>
                <w:lang w:val="en-US"/>
              </w:rPr>
            </w:pPr>
            <w:r w:rsidRPr="00B247FF">
              <w:rPr>
                <w:sz w:val="20"/>
                <w:szCs w:val="20"/>
                <w:lang w:val="en-US"/>
              </w:rPr>
              <w:t>Common</w:t>
            </w:r>
          </w:p>
        </w:tc>
        <w:tc>
          <w:tcPr>
            <w:tcW w:w="1260" w:type="dxa"/>
            <w:shd w:val="clear" w:color="auto" w:fill="auto"/>
            <w:tcMar>
              <w:left w:w="67" w:type="dxa"/>
              <w:right w:w="67" w:type="dxa"/>
            </w:tcMar>
          </w:tcPr>
          <w:p w14:paraId="4AF7C016" w14:textId="77777777" w:rsidR="00D0729C" w:rsidRPr="00B247FF" w:rsidRDefault="00D0729C" w:rsidP="00786F6E">
            <w:pPr>
              <w:adjustRightInd w:val="0"/>
              <w:rPr>
                <w:sz w:val="20"/>
                <w:szCs w:val="20"/>
                <w:lang w:val="en-US"/>
              </w:rPr>
            </w:pPr>
            <w:r w:rsidRPr="00B247FF">
              <w:rPr>
                <w:sz w:val="20"/>
                <w:szCs w:val="20"/>
                <w:lang w:val="en-US"/>
              </w:rPr>
              <w:t>1</w:t>
            </w:r>
          </w:p>
        </w:tc>
        <w:tc>
          <w:tcPr>
            <w:tcW w:w="1365" w:type="dxa"/>
            <w:shd w:val="clear" w:color="auto" w:fill="auto"/>
            <w:tcMar>
              <w:left w:w="67" w:type="dxa"/>
              <w:right w:w="67" w:type="dxa"/>
            </w:tcMar>
          </w:tcPr>
          <w:p w14:paraId="1D90F45F" w14:textId="77777777" w:rsidR="00D0729C" w:rsidRPr="00B247FF" w:rsidRDefault="00D0729C" w:rsidP="00786F6E">
            <w:pPr>
              <w:adjustRightInd w:val="0"/>
              <w:rPr>
                <w:sz w:val="20"/>
                <w:szCs w:val="20"/>
                <w:lang w:val="en-US"/>
              </w:rPr>
            </w:pPr>
            <w:r w:rsidRPr="00B247FF">
              <w:rPr>
                <w:sz w:val="20"/>
                <w:szCs w:val="20"/>
                <w:lang w:val="en-US"/>
              </w:rPr>
              <w:t>0</w:t>
            </w:r>
          </w:p>
        </w:tc>
      </w:tr>
      <w:tr w:rsidR="00D0729C" w:rsidRPr="00B247FF" w14:paraId="33192803" w14:textId="77777777" w:rsidTr="006F4D6E">
        <w:trPr>
          <w:cantSplit/>
          <w:jc w:val="center"/>
        </w:trPr>
        <w:tc>
          <w:tcPr>
            <w:tcW w:w="4675" w:type="dxa"/>
            <w:shd w:val="clear" w:color="auto" w:fill="auto"/>
            <w:tcMar>
              <w:left w:w="67" w:type="dxa"/>
              <w:right w:w="67" w:type="dxa"/>
            </w:tcMar>
          </w:tcPr>
          <w:p w14:paraId="3A8E80E7" w14:textId="77777777" w:rsidR="00D0729C" w:rsidRPr="00B247FF" w:rsidRDefault="00D0729C" w:rsidP="00786F6E">
            <w:pPr>
              <w:adjustRightInd w:val="0"/>
              <w:rPr>
                <w:sz w:val="20"/>
                <w:szCs w:val="20"/>
                <w:lang w:val="en-US"/>
              </w:rPr>
            </w:pPr>
            <w:r w:rsidRPr="00B247FF">
              <w:rPr>
                <w:sz w:val="20"/>
                <w:szCs w:val="20"/>
                <w:lang w:val="en-US"/>
              </w:rPr>
              <w:t xml:space="preserve">     Uveitis</w:t>
            </w:r>
          </w:p>
        </w:tc>
        <w:tc>
          <w:tcPr>
            <w:tcW w:w="1710" w:type="dxa"/>
            <w:shd w:val="clear" w:color="auto" w:fill="auto"/>
            <w:tcMar>
              <w:left w:w="67" w:type="dxa"/>
              <w:right w:w="67" w:type="dxa"/>
            </w:tcMar>
          </w:tcPr>
          <w:p w14:paraId="07F3E81A" w14:textId="77777777" w:rsidR="00D0729C" w:rsidRPr="00B247FF" w:rsidRDefault="00D0729C" w:rsidP="00786F6E">
            <w:pPr>
              <w:adjustRightInd w:val="0"/>
              <w:rPr>
                <w:sz w:val="20"/>
                <w:szCs w:val="20"/>
                <w:lang w:val="en-US"/>
              </w:rPr>
            </w:pPr>
            <w:r w:rsidRPr="00B247FF">
              <w:rPr>
                <w:sz w:val="20"/>
                <w:szCs w:val="20"/>
                <w:lang w:val="en-US"/>
              </w:rPr>
              <w:t>Uncommon</w:t>
            </w:r>
          </w:p>
        </w:tc>
        <w:tc>
          <w:tcPr>
            <w:tcW w:w="1260" w:type="dxa"/>
            <w:shd w:val="clear" w:color="auto" w:fill="auto"/>
            <w:tcMar>
              <w:left w:w="67" w:type="dxa"/>
              <w:right w:w="67" w:type="dxa"/>
            </w:tcMar>
          </w:tcPr>
          <w:p w14:paraId="331BDA2E" w14:textId="77777777" w:rsidR="00D0729C" w:rsidRPr="00B247FF" w:rsidRDefault="00D0729C" w:rsidP="00786F6E">
            <w:pPr>
              <w:adjustRightInd w:val="0"/>
              <w:rPr>
                <w:sz w:val="20"/>
                <w:szCs w:val="20"/>
                <w:lang w:val="en-US"/>
              </w:rPr>
            </w:pPr>
            <w:r w:rsidRPr="00B247FF">
              <w:rPr>
                <w:sz w:val="20"/>
                <w:szCs w:val="20"/>
                <w:lang w:val="en-US"/>
              </w:rPr>
              <w:t>0.7</w:t>
            </w:r>
          </w:p>
        </w:tc>
        <w:tc>
          <w:tcPr>
            <w:tcW w:w="1365" w:type="dxa"/>
            <w:shd w:val="clear" w:color="auto" w:fill="auto"/>
            <w:tcMar>
              <w:left w:w="67" w:type="dxa"/>
              <w:right w:w="67" w:type="dxa"/>
            </w:tcMar>
          </w:tcPr>
          <w:p w14:paraId="4E8DDB0C" w14:textId="77777777" w:rsidR="00D0729C" w:rsidRPr="00B247FF" w:rsidRDefault="00D0729C" w:rsidP="00786F6E">
            <w:pPr>
              <w:adjustRightInd w:val="0"/>
              <w:rPr>
                <w:sz w:val="20"/>
                <w:szCs w:val="20"/>
                <w:lang w:val="en-US"/>
              </w:rPr>
            </w:pPr>
            <w:r w:rsidRPr="00B247FF">
              <w:rPr>
                <w:sz w:val="20"/>
                <w:szCs w:val="20"/>
                <w:lang w:val="en-US"/>
              </w:rPr>
              <w:t>0</w:t>
            </w:r>
          </w:p>
        </w:tc>
      </w:tr>
      <w:tr w:rsidR="00D0729C" w:rsidRPr="00B247FF" w14:paraId="708A2C28" w14:textId="77777777" w:rsidTr="006F4D6E">
        <w:trPr>
          <w:cantSplit/>
          <w:jc w:val="center"/>
        </w:trPr>
        <w:tc>
          <w:tcPr>
            <w:tcW w:w="9010" w:type="dxa"/>
            <w:gridSpan w:val="4"/>
            <w:shd w:val="clear" w:color="auto" w:fill="auto"/>
            <w:tcMar>
              <w:left w:w="67" w:type="dxa"/>
              <w:right w:w="67" w:type="dxa"/>
            </w:tcMar>
          </w:tcPr>
          <w:p w14:paraId="6720CDF5" w14:textId="77777777" w:rsidR="00D0729C" w:rsidRPr="00B247FF" w:rsidRDefault="00D0729C" w:rsidP="00786F6E">
            <w:pPr>
              <w:adjustRightInd w:val="0"/>
              <w:rPr>
                <w:b/>
                <w:bCs/>
                <w:sz w:val="20"/>
                <w:szCs w:val="20"/>
                <w:lang w:val="en-US"/>
              </w:rPr>
            </w:pPr>
            <w:r w:rsidRPr="00B247FF">
              <w:rPr>
                <w:b/>
                <w:bCs/>
                <w:sz w:val="20"/>
                <w:szCs w:val="20"/>
                <w:lang w:val="en-US"/>
              </w:rPr>
              <w:t>Respiratory, thoracic and mediastinal disorders</w:t>
            </w:r>
          </w:p>
        </w:tc>
      </w:tr>
      <w:tr w:rsidR="00D0729C" w:rsidRPr="00B247FF" w14:paraId="6A6EAEE2" w14:textId="77777777" w:rsidTr="006F4D6E">
        <w:trPr>
          <w:cantSplit/>
          <w:jc w:val="center"/>
        </w:trPr>
        <w:tc>
          <w:tcPr>
            <w:tcW w:w="4675" w:type="dxa"/>
            <w:shd w:val="clear" w:color="auto" w:fill="auto"/>
            <w:tcMar>
              <w:left w:w="67" w:type="dxa"/>
              <w:right w:w="67" w:type="dxa"/>
            </w:tcMar>
          </w:tcPr>
          <w:p w14:paraId="7FCCF9E8" w14:textId="270E8802" w:rsidR="00D0729C" w:rsidRPr="00B247FF" w:rsidRDefault="00D0729C" w:rsidP="00786F6E">
            <w:pPr>
              <w:adjustRightInd w:val="0"/>
              <w:rPr>
                <w:sz w:val="20"/>
                <w:szCs w:val="20"/>
                <w:lang w:val="en-US"/>
              </w:rPr>
            </w:pPr>
            <w:r w:rsidRPr="00B247FF">
              <w:rPr>
                <w:sz w:val="20"/>
                <w:szCs w:val="20"/>
                <w:lang w:val="en-US"/>
              </w:rPr>
              <w:t xml:space="preserve">     Interstitial lung </w:t>
            </w:r>
            <w:proofErr w:type="spellStart"/>
            <w:r w:rsidR="00993BF0" w:rsidRPr="00B247FF">
              <w:rPr>
                <w:sz w:val="20"/>
                <w:szCs w:val="20"/>
                <w:lang w:val="en-US"/>
              </w:rPr>
              <w:t>disease</w:t>
            </w:r>
            <w:r w:rsidR="00993BF0" w:rsidRPr="00B247FF">
              <w:rPr>
                <w:sz w:val="20"/>
                <w:szCs w:val="20"/>
                <w:vertAlign w:val="superscript"/>
                <w:lang w:val="en-US"/>
              </w:rPr>
              <w:t>e</w:t>
            </w:r>
            <w:proofErr w:type="spellEnd"/>
          </w:p>
        </w:tc>
        <w:tc>
          <w:tcPr>
            <w:tcW w:w="1710" w:type="dxa"/>
            <w:shd w:val="clear" w:color="auto" w:fill="auto"/>
            <w:tcMar>
              <w:left w:w="67" w:type="dxa"/>
              <w:right w:w="67" w:type="dxa"/>
            </w:tcMar>
          </w:tcPr>
          <w:p w14:paraId="759C3163" w14:textId="77777777" w:rsidR="00D0729C" w:rsidRPr="00B247FF" w:rsidRDefault="00D0729C" w:rsidP="00786F6E">
            <w:pPr>
              <w:adjustRightInd w:val="0"/>
              <w:rPr>
                <w:sz w:val="20"/>
                <w:szCs w:val="20"/>
                <w:lang w:val="en-US"/>
              </w:rPr>
            </w:pPr>
            <w:r w:rsidRPr="00B247FF">
              <w:rPr>
                <w:sz w:val="20"/>
                <w:szCs w:val="20"/>
                <w:lang w:val="en-US"/>
              </w:rPr>
              <w:t>Common</w:t>
            </w:r>
          </w:p>
        </w:tc>
        <w:tc>
          <w:tcPr>
            <w:tcW w:w="1260" w:type="dxa"/>
            <w:shd w:val="clear" w:color="auto" w:fill="auto"/>
            <w:tcMar>
              <w:left w:w="67" w:type="dxa"/>
              <w:right w:w="67" w:type="dxa"/>
            </w:tcMar>
          </w:tcPr>
          <w:p w14:paraId="041FA9C4" w14:textId="77777777" w:rsidR="00D0729C" w:rsidRPr="00B247FF" w:rsidRDefault="00D0729C" w:rsidP="00786F6E">
            <w:pPr>
              <w:adjustRightInd w:val="0"/>
              <w:rPr>
                <w:sz w:val="20"/>
                <w:szCs w:val="20"/>
                <w:lang w:val="en-US"/>
              </w:rPr>
            </w:pPr>
            <w:r w:rsidRPr="00B247FF">
              <w:rPr>
                <w:sz w:val="20"/>
                <w:szCs w:val="20"/>
                <w:lang w:val="en-US"/>
              </w:rPr>
              <w:t>4</w:t>
            </w:r>
          </w:p>
        </w:tc>
        <w:tc>
          <w:tcPr>
            <w:tcW w:w="1365" w:type="dxa"/>
            <w:shd w:val="clear" w:color="auto" w:fill="auto"/>
            <w:tcMar>
              <w:left w:w="67" w:type="dxa"/>
              <w:right w:w="67" w:type="dxa"/>
            </w:tcMar>
          </w:tcPr>
          <w:p w14:paraId="4DC06EFD" w14:textId="77777777" w:rsidR="00D0729C" w:rsidRPr="00B247FF" w:rsidRDefault="00D0729C" w:rsidP="00786F6E">
            <w:pPr>
              <w:adjustRightInd w:val="0"/>
              <w:rPr>
                <w:sz w:val="20"/>
                <w:szCs w:val="20"/>
                <w:lang w:val="en-US"/>
              </w:rPr>
            </w:pPr>
            <w:r w:rsidRPr="00B247FF">
              <w:rPr>
                <w:sz w:val="20"/>
                <w:szCs w:val="20"/>
                <w:lang w:val="en-US"/>
              </w:rPr>
              <w:t>0.7</w:t>
            </w:r>
          </w:p>
        </w:tc>
      </w:tr>
      <w:tr w:rsidR="00D0729C" w:rsidRPr="00B247FF" w14:paraId="06452A7B" w14:textId="77777777" w:rsidTr="006F4D6E">
        <w:trPr>
          <w:cantSplit/>
          <w:jc w:val="center"/>
        </w:trPr>
        <w:tc>
          <w:tcPr>
            <w:tcW w:w="9010" w:type="dxa"/>
            <w:gridSpan w:val="4"/>
            <w:shd w:val="clear" w:color="auto" w:fill="auto"/>
            <w:tcMar>
              <w:left w:w="67" w:type="dxa"/>
              <w:right w:w="67" w:type="dxa"/>
            </w:tcMar>
          </w:tcPr>
          <w:p w14:paraId="3337FF2D" w14:textId="77777777" w:rsidR="00D0729C" w:rsidRPr="00B247FF" w:rsidRDefault="00D0729C" w:rsidP="00786F6E">
            <w:pPr>
              <w:adjustRightInd w:val="0"/>
              <w:rPr>
                <w:b/>
                <w:bCs/>
                <w:sz w:val="20"/>
                <w:szCs w:val="20"/>
                <w:lang w:val="en-US"/>
              </w:rPr>
            </w:pPr>
            <w:r w:rsidRPr="00B247FF">
              <w:rPr>
                <w:b/>
                <w:bCs/>
                <w:sz w:val="20"/>
                <w:szCs w:val="20"/>
                <w:lang w:val="en-US"/>
              </w:rPr>
              <w:t>Skin and subcutaneous tissue disorders</w:t>
            </w:r>
          </w:p>
        </w:tc>
      </w:tr>
      <w:tr w:rsidR="00D0729C" w:rsidRPr="00B247FF" w14:paraId="5C76B84E" w14:textId="77777777" w:rsidTr="006F4D6E">
        <w:trPr>
          <w:cantSplit/>
          <w:jc w:val="center"/>
        </w:trPr>
        <w:tc>
          <w:tcPr>
            <w:tcW w:w="4675" w:type="dxa"/>
            <w:shd w:val="clear" w:color="auto" w:fill="auto"/>
            <w:tcMar>
              <w:left w:w="67" w:type="dxa"/>
              <w:right w:w="67" w:type="dxa"/>
            </w:tcMar>
          </w:tcPr>
          <w:p w14:paraId="267B6EF3" w14:textId="77777777" w:rsidR="00D0729C" w:rsidRPr="00B247FF" w:rsidRDefault="00D0729C" w:rsidP="00786F6E">
            <w:pPr>
              <w:adjustRightInd w:val="0"/>
              <w:rPr>
                <w:sz w:val="20"/>
                <w:szCs w:val="20"/>
                <w:lang w:val="en-US"/>
              </w:rPr>
            </w:pPr>
            <w:r w:rsidRPr="00B247FF">
              <w:rPr>
                <w:sz w:val="20"/>
                <w:szCs w:val="20"/>
                <w:lang w:val="en-US"/>
              </w:rPr>
              <w:t xml:space="preserve">     Toxic epidermal necrolysis</w:t>
            </w:r>
          </w:p>
        </w:tc>
        <w:tc>
          <w:tcPr>
            <w:tcW w:w="1710" w:type="dxa"/>
            <w:shd w:val="clear" w:color="auto" w:fill="auto"/>
            <w:tcMar>
              <w:left w:w="67" w:type="dxa"/>
              <w:right w:w="67" w:type="dxa"/>
            </w:tcMar>
          </w:tcPr>
          <w:p w14:paraId="685C37F1" w14:textId="77777777" w:rsidR="00D0729C" w:rsidRPr="00B247FF" w:rsidRDefault="00D0729C" w:rsidP="00786F6E">
            <w:pPr>
              <w:adjustRightInd w:val="0"/>
              <w:rPr>
                <w:sz w:val="20"/>
                <w:szCs w:val="20"/>
                <w:lang w:val="en-US"/>
              </w:rPr>
            </w:pPr>
            <w:r w:rsidRPr="00B247FF">
              <w:rPr>
                <w:sz w:val="20"/>
                <w:szCs w:val="20"/>
                <w:lang w:val="en-US"/>
              </w:rPr>
              <w:t>Uncommon</w:t>
            </w:r>
          </w:p>
        </w:tc>
        <w:tc>
          <w:tcPr>
            <w:tcW w:w="1260" w:type="dxa"/>
            <w:shd w:val="clear" w:color="auto" w:fill="auto"/>
            <w:tcMar>
              <w:left w:w="67" w:type="dxa"/>
              <w:right w:w="67" w:type="dxa"/>
            </w:tcMar>
          </w:tcPr>
          <w:p w14:paraId="34DB0652" w14:textId="77777777" w:rsidR="00D0729C" w:rsidRPr="00B247FF" w:rsidRDefault="00D0729C" w:rsidP="00786F6E">
            <w:pPr>
              <w:adjustRightInd w:val="0"/>
              <w:rPr>
                <w:sz w:val="20"/>
                <w:szCs w:val="20"/>
                <w:lang w:val="en-US"/>
              </w:rPr>
            </w:pPr>
            <w:r w:rsidRPr="00B247FF">
              <w:rPr>
                <w:sz w:val="20"/>
                <w:szCs w:val="20"/>
                <w:lang w:val="en-US"/>
              </w:rPr>
              <w:t>0.7</w:t>
            </w:r>
          </w:p>
        </w:tc>
        <w:tc>
          <w:tcPr>
            <w:tcW w:w="1365" w:type="dxa"/>
            <w:shd w:val="clear" w:color="auto" w:fill="auto"/>
            <w:tcMar>
              <w:left w:w="67" w:type="dxa"/>
              <w:right w:w="67" w:type="dxa"/>
            </w:tcMar>
          </w:tcPr>
          <w:p w14:paraId="518E5599" w14:textId="77777777" w:rsidR="00D0729C" w:rsidRPr="00B247FF" w:rsidRDefault="00D0729C" w:rsidP="00786F6E">
            <w:pPr>
              <w:adjustRightInd w:val="0"/>
              <w:rPr>
                <w:sz w:val="20"/>
                <w:szCs w:val="20"/>
                <w:lang w:val="en-US"/>
              </w:rPr>
            </w:pPr>
            <w:r w:rsidRPr="00B247FF">
              <w:rPr>
                <w:sz w:val="20"/>
                <w:szCs w:val="20"/>
                <w:lang w:val="en-US"/>
              </w:rPr>
              <w:t>0.7</w:t>
            </w:r>
          </w:p>
        </w:tc>
      </w:tr>
    </w:tbl>
    <w:p w14:paraId="3C69FA08" w14:textId="1F508A91" w:rsidR="00993BF0" w:rsidRPr="00B247FF" w:rsidRDefault="00D0729C" w:rsidP="00786F6E">
      <w:pPr>
        <w:tabs>
          <w:tab w:val="left" w:pos="540"/>
        </w:tabs>
        <w:adjustRightInd w:val="0"/>
        <w:ind w:left="270"/>
        <w:rPr>
          <w:sz w:val="18"/>
          <w:szCs w:val="18"/>
          <w:lang w:val="en-US"/>
        </w:rPr>
      </w:pPr>
      <w:proofErr w:type="spellStart"/>
      <w:r w:rsidRPr="00B247FF">
        <w:rPr>
          <w:sz w:val="18"/>
          <w:szCs w:val="18"/>
          <w:vertAlign w:val="superscript"/>
          <w:lang w:val="en-US"/>
        </w:rPr>
        <w:t>a</w:t>
      </w:r>
      <w:proofErr w:type="spellEnd"/>
      <w:r w:rsidRPr="00B247FF">
        <w:rPr>
          <w:color w:val="auto"/>
          <w:sz w:val="18"/>
          <w:szCs w:val="18"/>
          <w:lang w:val="en-US"/>
        </w:rPr>
        <w:tab/>
        <w:t xml:space="preserve">Abdominal pain: </w:t>
      </w:r>
      <w:r w:rsidR="00C17BD2" w:rsidRPr="00B247FF">
        <w:rPr>
          <w:sz w:val="18"/>
          <w:szCs w:val="18"/>
          <w:lang w:val="en-US"/>
        </w:rPr>
        <w:t>a</w:t>
      </w:r>
      <w:r w:rsidRPr="00B247FF">
        <w:rPr>
          <w:sz w:val="18"/>
          <w:szCs w:val="18"/>
          <w:lang w:val="en-US"/>
        </w:rPr>
        <w:t xml:space="preserve">bdominal discomfort, </w:t>
      </w:r>
      <w:r w:rsidR="00993BF0" w:rsidRPr="00B247FF">
        <w:rPr>
          <w:sz w:val="18"/>
          <w:szCs w:val="18"/>
          <w:lang w:val="en-US"/>
        </w:rPr>
        <w:t>a</w:t>
      </w:r>
      <w:r w:rsidRPr="00B247FF">
        <w:rPr>
          <w:sz w:val="18"/>
          <w:szCs w:val="18"/>
          <w:lang w:val="en-US"/>
        </w:rPr>
        <w:t xml:space="preserve">bdominal pain, </w:t>
      </w:r>
      <w:r w:rsidR="00993BF0" w:rsidRPr="00B247FF">
        <w:rPr>
          <w:sz w:val="18"/>
          <w:szCs w:val="18"/>
          <w:lang w:val="en-US"/>
        </w:rPr>
        <w:t>a</w:t>
      </w:r>
      <w:r w:rsidRPr="00B247FF">
        <w:rPr>
          <w:sz w:val="18"/>
          <w:szCs w:val="18"/>
          <w:lang w:val="en-US"/>
        </w:rPr>
        <w:t xml:space="preserve">bdominal pain lower, </w:t>
      </w:r>
      <w:r w:rsidR="00993BF0" w:rsidRPr="00B247FF">
        <w:rPr>
          <w:sz w:val="18"/>
          <w:szCs w:val="18"/>
          <w:lang w:val="en-US"/>
        </w:rPr>
        <w:t>a</w:t>
      </w:r>
      <w:r w:rsidRPr="00B247FF">
        <w:rPr>
          <w:sz w:val="18"/>
          <w:szCs w:val="18"/>
          <w:lang w:val="en-US"/>
        </w:rPr>
        <w:t xml:space="preserve">bdominal pain upper, </w:t>
      </w:r>
      <w:r w:rsidR="00993BF0" w:rsidRPr="00B247FF">
        <w:rPr>
          <w:sz w:val="18"/>
          <w:szCs w:val="18"/>
          <w:lang w:val="en-US"/>
        </w:rPr>
        <w:t>e</w:t>
      </w:r>
      <w:r w:rsidRPr="00B247FF">
        <w:rPr>
          <w:sz w:val="18"/>
          <w:szCs w:val="18"/>
          <w:lang w:val="en-US"/>
        </w:rPr>
        <w:t>pigastric discomfort</w:t>
      </w:r>
      <w:r w:rsidRPr="00B247FF">
        <w:rPr>
          <w:sz w:val="18"/>
          <w:szCs w:val="18"/>
          <w:lang w:val="en-US"/>
        </w:rPr>
        <w:br/>
      </w:r>
      <w:r w:rsidRPr="00B247FF">
        <w:rPr>
          <w:sz w:val="18"/>
          <w:szCs w:val="18"/>
          <w:vertAlign w:val="superscript"/>
          <w:lang w:val="en-US"/>
        </w:rPr>
        <w:t>b</w:t>
      </w:r>
      <w:r w:rsidRPr="00B247FF">
        <w:rPr>
          <w:sz w:val="18"/>
          <w:szCs w:val="18"/>
          <w:lang w:val="en-US"/>
        </w:rPr>
        <w:t xml:space="preserve"> </w:t>
      </w:r>
      <w:r w:rsidRPr="00B247FF">
        <w:rPr>
          <w:color w:val="auto"/>
          <w:sz w:val="18"/>
          <w:szCs w:val="18"/>
          <w:lang w:val="en-US"/>
        </w:rPr>
        <w:tab/>
        <w:t xml:space="preserve">Other eye disorders: </w:t>
      </w:r>
      <w:r w:rsidR="00993BF0" w:rsidRPr="00B247FF">
        <w:rPr>
          <w:sz w:val="18"/>
          <w:szCs w:val="18"/>
          <w:lang w:val="en-US"/>
        </w:rPr>
        <w:t>b</w:t>
      </w:r>
      <w:r w:rsidRPr="00B247FF">
        <w:rPr>
          <w:sz w:val="18"/>
          <w:szCs w:val="18"/>
          <w:lang w:val="en-US"/>
        </w:rPr>
        <w:t xml:space="preserve">lepharitis, </w:t>
      </w:r>
      <w:r w:rsidR="00993BF0" w:rsidRPr="00B247FF">
        <w:rPr>
          <w:sz w:val="18"/>
          <w:szCs w:val="18"/>
          <w:lang w:val="en-US"/>
        </w:rPr>
        <w:t>c</w:t>
      </w:r>
      <w:r w:rsidRPr="00B247FF">
        <w:rPr>
          <w:sz w:val="18"/>
          <w:szCs w:val="18"/>
          <w:lang w:val="en-US"/>
        </w:rPr>
        <w:t xml:space="preserve">onjunctival </w:t>
      </w:r>
      <w:proofErr w:type="spellStart"/>
      <w:r w:rsidRPr="00B247FF">
        <w:rPr>
          <w:sz w:val="18"/>
          <w:szCs w:val="18"/>
          <w:lang w:val="en-US"/>
        </w:rPr>
        <w:t>hyperaemia</w:t>
      </w:r>
      <w:proofErr w:type="spellEnd"/>
      <w:r w:rsidRPr="00B247FF">
        <w:rPr>
          <w:sz w:val="18"/>
          <w:szCs w:val="18"/>
          <w:lang w:val="en-US"/>
        </w:rPr>
        <w:t xml:space="preserve">, </w:t>
      </w:r>
      <w:r w:rsidR="00993BF0" w:rsidRPr="00B247FF">
        <w:rPr>
          <w:sz w:val="18"/>
          <w:szCs w:val="18"/>
          <w:lang w:val="en-US"/>
        </w:rPr>
        <w:t>c</w:t>
      </w:r>
      <w:r w:rsidRPr="00B247FF">
        <w:rPr>
          <w:sz w:val="18"/>
          <w:szCs w:val="18"/>
          <w:lang w:val="en-US"/>
        </w:rPr>
        <w:t xml:space="preserve">orneal irritation, </w:t>
      </w:r>
      <w:r w:rsidR="00993BF0" w:rsidRPr="00B247FF">
        <w:rPr>
          <w:sz w:val="18"/>
          <w:szCs w:val="18"/>
          <w:lang w:val="en-US"/>
        </w:rPr>
        <w:t>d</w:t>
      </w:r>
      <w:r w:rsidRPr="00B247FF">
        <w:rPr>
          <w:sz w:val="18"/>
          <w:szCs w:val="18"/>
          <w:lang w:val="en-US"/>
        </w:rPr>
        <w:t xml:space="preserve">ry eye, </w:t>
      </w:r>
      <w:r w:rsidR="00993BF0" w:rsidRPr="00B247FF">
        <w:rPr>
          <w:sz w:val="18"/>
          <w:szCs w:val="18"/>
          <w:lang w:val="en-US"/>
        </w:rPr>
        <w:t>e</w:t>
      </w:r>
      <w:r w:rsidRPr="00B247FF">
        <w:rPr>
          <w:sz w:val="18"/>
          <w:szCs w:val="18"/>
          <w:lang w:val="en-US"/>
        </w:rPr>
        <w:t xml:space="preserve">piscleritis, </w:t>
      </w:r>
      <w:r w:rsidR="00993BF0" w:rsidRPr="00B247FF">
        <w:rPr>
          <w:sz w:val="18"/>
          <w:szCs w:val="18"/>
          <w:lang w:val="en-US"/>
        </w:rPr>
        <w:t>e</w:t>
      </w:r>
      <w:r w:rsidRPr="00B247FF">
        <w:rPr>
          <w:sz w:val="18"/>
          <w:szCs w:val="18"/>
          <w:lang w:val="en-US"/>
        </w:rPr>
        <w:t xml:space="preserve">ye pruritus, </w:t>
      </w:r>
      <w:r w:rsidR="00993BF0" w:rsidRPr="00B247FF">
        <w:rPr>
          <w:sz w:val="18"/>
          <w:szCs w:val="18"/>
          <w:lang w:val="en-US"/>
        </w:rPr>
        <w:t>o</w:t>
      </w:r>
      <w:r w:rsidRPr="00B247FF">
        <w:rPr>
          <w:sz w:val="18"/>
          <w:szCs w:val="18"/>
          <w:lang w:val="en-US"/>
        </w:rPr>
        <w:t xml:space="preserve">cular </w:t>
      </w:r>
      <w:proofErr w:type="spellStart"/>
      <w:r w:rsidRPr="00B247FF">
        <w:rPr>
          <w:sz w:val="18"/>
          <w:szCs w:val="18"/>
          <w:lang w:val="en-US"/>
        </w:rPr>
        <w:t>hyperaemia</w:t>
      </w:r>
      <w:proofErr w:type="spellEnd"/>
    </w:p>
    <w:p w14:paraId="48A9E50A" w14:textId="77777777" w:rsidR="00993BF0" w:rsidRPr="00B247FF" w:rsidRDefault="00993BF0" w:rsidP="00786F6E">
      <w:pPr>
        <w:tabs>
          <w:tab w:val="left" w:pos="540"/>
        </w:tabs>
        <w:adjustRightInd w:val="0"/>
        <w:ind w:left="270"/>
        <w:rPr>
          <w:sz w:val="18"/>
          <w:szCs w:val="18"/>
          <w:lang w:val="en-US"/>
        </w:rPr>
      </w:pPr>
      <w:r w:rsidRPr="00B247FF">
        <w:rPr>
          <w:sz w:val="18"/>
          <w:szCs w:val="18"/>
          <w:vertAlign w:val="superscript"/>
          <w:lang w:val="en-US"/>
        </w:rPr>
        <w:t>c</w:t>
      </w:r>
      <w:r w:rsidRPr="00B247FF">
        <w:rPr>
          <w:sz w:val="18"/>
          <w:szCs w:val="18"/>
          <w:lang w:val="en-US"/>
        </w:rPr>
        <w:tab/>
        <w:t>Visual impairment: vision blurred, visual acuity reduced, visual impairment</w:t>
      </w:r>
    </w:p>
    <w:p w14:paraId="621C7194" w14:textId="77777777" w:rsidR="00590670" w:rsidRPr="00B247FF" w:rsidRDefault="00993BF0" w:rsidP="00786F6E">
      <w:pPr>
        <w:tabs>
          <w:tab w:val="left" w:pos="540"/>
        </w:tabs>
        <w:adjustRightInd w:val="0"/>
        <w:ind w:left="270"/>
        <w:rPr>
          <w:color w:val="auto"/>
          <w:sz w:val="18"/>
          <w:szCs w:val="18"/>
          <w:lang w:val="en-US"/>
        </w:rPr>
      </w:pPr>
      <w:r w:rsidRPr="00B247FF">
        <w:rPr>
          <w:sz w:val="18"/>
          <w:szCs w:val="18"/>
          <w:vertAlign w:val="superscript"/>
          <w:lang w:val="en-US"/>
        </w:rPr>
        <w:t>d</w:t>
      </w:r>
      <w:r w:rsidRPr="00B247FF">
        <w:rPr>
          <w:sz w:val="18"/>
          <w:szCs w:val="18"/>
          <w:lang w:val="en-US"/>
        </w:rPr>
        <w:tab/>
        <w:t>Growth of eyelashes: growth of eyelashes, trichomegaly</w:t>
      </w:r>
      <w:r w:rsidR="00D0729C" w:rsidRPr="00B247FF">
        <w:rPr>
          <w:sz w:val="18"/>
          <w:szCs w:val="18"/>
          <w:lang w:val="en-US"/>
        </w:rPr>
        <w:br/>
      </w:r>
      <w:r w:rsidRPr="00B247FF">
        <w:rPr>
          <w:sz w:val="18"/>
          <w:szCs w:val="18"/>
          <w:vertAlign w:val="superscript"/>
          <w:lang w:val="en-US"/>
        </w:rPr>
        <w:t>e</w:t>
      </w:r>
      <w:r w:rsidR="00D0729C" w:rsidRPr="00B247FF">
        <w:rPr>
          <w:color w:val="auto"/>
          <w:sz w:val="18"/>
          <w:szCs w:val="18"/>
          <w:lang w:val="en-US"/>
        </w:rPr>
        <w:tab/>
        <w:t>Interstitial lung disease: interstitial lung disease, pneumonitis</w:t>
      </w:r>
    </w:p>
    <w:p w14:paraId="0404C951" w14:textId="77777777" w:rsidR="00590670" w:rsidRPr="00B247FF" w:rsidRDefault="00590670" w:rsidP="00786F6E">
      <w:pPr>
        <w:tabs>
          <w:tab w:val="left" w:pos="540"/>
        </w:tabs>
        <w:adjustRightInd w:val="0"/>
        <w:ind w:left="270"/>
        <w:rPr>
          <w:sz w:val="18"/>
          <w:szCs w:val="18"/>
          <w:lang w:val="en-US"/>
        </w:rPr>
      </w:pPr>
    </w:p>
    <w:p w14:paraId="46ABD6F5" w14:textId="77777777" w:rsidR="00590670" w:rsidRPr="00B247FF" w:rsidRDefault="00590670" w:rsidP="00786F6E">
      <w:pPr>
        <w:pStyle w:val="Heading3"/>
        <w:jc w:val="left"/>
        <w:rPr>
          <w:color w:val="auto"/>
          <w:lang w:val="en-US"/>
        </w:rPr>
      </w:pPr>
      <w:r w:rsidRPr="00B247FF">
        <w:rPr>
          <w:color w:val="auto"/>
          <w:lang w:val="en-US"/>
        </w:rPr>
        <w:t>Laboratory abnormalities</w:t>
      </w:r>
    </w:p>
    <w:p w14:paraId="51896D7D" w14:textId="49624720" w:rsidR="00D0729C" w:rsidRPr="00B247FF" w:rsidRDefault="00D0729C" w:rsidP="00786F6E">
      <w:pPr>
        <w:tabs>
          <w:tab w:val="left" w:pos="540"/>
        </w:tabs>
        <w:adjustRightInd w:val="0"/>
        <w:ind w:left="270"/>
        <w:rPr>
          <w:sz w:val="18"/>
          <w:szCs w:val="18"/>
          <w:lang w:val="en-US"/>
        </w:rPr>
      </w:pPr>
    </w:p>
    <w:tbl>
      <w:tblPr>
        <w:tblW w:w="5000" w:type="pct"/>
        <w:tblCellMar>
          <w:left w:w="115" w:type="dxa"/>
          <w:right w:w="115" w:type="dxa"/>
        </w:tblCellMar>
        <w:tblLook w:val="0000" w:firstRow="0" w:lastRow="0" w:firstColumn="0" w:lastColumn="0" w:noHBand="0" w:noVBand="0"/>
      </w:tblPr>
      <w:tblGrid>
        <w:gridCol w:w="4821"/>
        <w:gridCol w:w="2352"/>
        <w:gridCol w:w="2466"/>
      </w:tblGrid>
      <w:tr w:rsidR="00590670" w:rsidRPr="00B247FF" w14:paraId="12EB20A9" w14:textId="77777777" w:rsidTr="00256C1F">
        <w:trPr>
          <w:cantSplit/>
        </w:trPr>
        <w:tc>
          <w:tcPr>
            <w:tcW w:w="9639" w:type="dxa"/>
            <w:gridSpan w:val="3"/>
            <w:tcBorders>
              <w:bottom w:val="single" w:sz="4" w:space="0" w:color="auto"/>
            </w:tcBorders>
          </w:tcPr>
          <w:p w14:paraId="4EDDC97D" w14:textId="6BA14522" w:rsidR="00256C1F" w:rsidRPr="00B247FF" w:rsidRDefault="00256C1F" w:rsidP="00786F6E">
            <w:pPr>
              <w:adjustRightInd w:val="0"/>
              <w:rPr>
                <w:b/>
                <w:bCs/>
                <w:color w:val="auto"/>
                <w:sz w:val="20"/>
                <w:szCs w:val="20"/>
                <w:lang w:val="en-US"/>
              </w:rPr>
            </w:pPr>
            <w:r w:rsidRPr="00B247FF">
              <w:rPr>
                <w:b/>
                <w:bCs/>
                <w:color w:val="auto"/>
                <w:sz w:val="20"/>
                <w:szCs w:val="20"/>
                <w:lang w:val="en-US"/>
              </w:rPr>
              <w:t xml:space="preserve">Table 9: Select </w:t>
            </w:r>
            <w:r w:rsidR="005A2009" w:rsidRPr="00B247FF">
              <w:rPr>
                <w:b/>
                <w:bCs/>
                <w:color w:val="auto"/>
                <w:sz w:val="20"/>
                <w:szCs w:val="20"/>
                <w:lang w:val="en-US"/>
              </w:rPr>
              <w:t>l</w:t>
            </w:r>
            <w:r w:rsidRPr="00B247FF">
              <w:rPr>
                <w:b/>
                <w:bCs/>
                <w:color w:val="auto"/>
                <w:sz w:val="20"/>
                <w:szCs w:val="20"/>
                <w:lang w:val="en-US"/>
              </w:rPr>
              <w:t xml:space="preserve">aboratory </w:t>
            </w:r>
            <w:r w:rsidR="005A2009" w:rsidRPr="00B247FF">
              <w:rPr>
                <w:b/>
                <w:bCs/>
                <w:color w:val="auto"/>
                <w:sz w:val="20"/>
                <w:szCs w:val="20"/>
                <w:lang w:val="en-US"/>
              </w:rPr>
              <w:t>a</w:t>
            </w:r>
            <w:r w:rsidRPr="00B247FF">
              <w:rPr>
                <w:b/>
                <w:bCs/>
                <w:color w:val="auto"/>
                <w:sz w:val="20"/>
                <w:szCs w:val="20"/>
                <w:lang w:val="en-US"/>
              </w:rPr>
              <w:t xml:space="preserve">bnormalities </w:t>
            </w:r>
            <w:r w:rsidR="005A2009" w:rsidRPr="00B247FF">
              <w:rPr>
                <w:b/>
                <w:bCs/>
                <w:color w:val="auto"/>
                <w:sz w:val="20"/>
                <w:szCs w:val="20"/>
                <w:lang w:val="en-US"/>
              </w:rPr>
              <w:t>t</w:t>
            </w:r>
            <w:r w:rsidRPr="00B247FF">
              <w:rPr>
                <w:b/>
                <w:bCs/>
                <w:color w:val="auto"/>
                <w:sz w:val="20"/>
                <w:szCs w:val="20"/>
                <w:lang w:val="en-US"/>
              </w:rPr>
              <w:t xml:space="preserve">hat </w:t>
            </w:r>
            <w:r w:rsidR="005A2009" w:rsidRPr="00B247FF">
              <w:rPr>
                <w:b/>
                <w:bCs/>
                <w:color w:val="auto"/>
                <w:sz w:val="20"/>
                <w:szCs w:val="20"/>
                <w:lang w:val="en-US"/>
              </w:rPr>
              <w:t>w</w:t>
            </w:r>
            <w:r w:rsidRPr="00B247FF">
              <w:rPr>
                <w:b/>
                <w:bCs/>
                <w:color w:val="auto"/>
                <w:sz w:val="20"/>
                <w:szCs w:val="20"/>
                <w:lang w:val="en-US"/>
              </w:rPr>
              <w:t xml:space="preserve">orsened from </w:t>
            </w:r>
            <w:r w:rsidR="005A2009" w:rsidRPr="00B247FF">
              <w:rPr>
                <w:b/>
                <w:bCs/>
                <w:color w:val="auto"/>
                <w:sz w:val="20"/>
                <w:szCs w:val="20"/>
                <w:lang w:val="en-US"/>
              </w:rPr>
              <w:t>b</w:t>
            </w:r>
            <w:r w:rsidRPr="00B247FF">
              <w:rPr>
                <w:b/>
                <w:bCs/>
                <w:color w:val="auto"/>
                <w:sz w:val="20"/>
                <w:szCs w:val="20"/>
                <w:lang w:val="en-US"/>
              </w:rPr>
              <w:t xml:space="preserve">aseline in </w:t>
            </w:r>
            <w:r w:rsidR="005A2009" w:rsidRPr="00B247FF">
              <w:rPr>
                <w:b/>
                <w:bCs/>
                <w:color w:val="auto"/>
                <w:sz w:val="20"/>
                <w:szCs w:val="20"/>
                <w:lang w:val="en-US"/>
              </w:rPr>
              <w:t>at least 20% of p</w:t>
            </w:r>
            <w:r w:rsidRPr="00B247FF">
              <w:rPr>
                <w:b/>
                <w:bCs/>
                <w:color w:val="auto"/>
                <w:sz w:val="20"/>
                <w:szCs w:val="20"/>
                <w:lang w:val="en-US"/>
              </w:rPr>
              <w:t xml:space="preserve">atients </w:t>
            </w:r>
            <w:r w:rsidR="005A2009" w:rsidRPr="00B247FF">
              <w:rPr>
                <w:b/>
                <w:bCs/>
                <w:color w:val="auto"/>
                <w:sz w:val="20"/>
                <w:szCs w:val="20"/>
                <w:lang w:val="en-US"/>
              </w:rPr>
              <w:t>w</w:t>
            </w:r>
            <w:r w:rsidRPr="00B247FF">
              <w:rPr>
                <w:b/>
                <w:bCs/>
                <w:color w:val="auto"/>
                <w:sz w:val="20"/>
                <w:szCs w:val="20"/>
                <w:lang w:val="en-US"/>
              </w:rPr>
              <w:t xml:space="preserve">ith </w:t>
            </w:r>
            <w:r w:rsidR="005A2009" w:rsidRPr="00B247FF">
              <w:rPr>
                <w:b/>
                <w:bCs/>
                <w:color w:val="auto"/>
                <w:sz w:val="20"/>
                <w:szCs w:val="20"/>
                <w:lang w:val="en-US"/>
              </w:rPr>
              <w:t>m</w:t>
            </w:r>
            <w:r w:rsidRPr="00B247FF">
              <w:rPr>
                <w:b/>
                <w:bCs/>
                <w:color w:val="auto"/>
                <w:sz w:val="20"/>
                <w:szCs w:val="20"/>
                <w:lang w:val="en-US"/>
              </w:rPr>
              <w:t xml:space="preserve">etastatic NSCLC with EGFR </w:t>
            </w:r>
            <w:r w:rsidR="005A2009" w:rsidRPr="00B247FF">
              <w:rPr>
                <w:b/>
                <w:bCs/>
                <w:color w:val="auto"/>
                <w:sz w:val="20"/>
                <w:szCs w:val="20"/>
                <w:lang w:val="en-US"/>
              </w:rPr>
              <w:t>e</w:t>
            </w:r>
            <w:r w:rsidRPr="00B247FF">
              <w:rPr>
                <w:b/>
                <w:bCs/>
                <w:color w:val="auto"/>
                <w:sz w:val="20"/>
                <w:szCs w:val="20"/>
                <w:lang w:val="en-US"/>
              </w:rPr>
              <w:t xml:space="preserve">xon 20 </w:t>
            </w:r>
            <w:r w:rsidR="005A2009" w:rsidRPr="00B247FF">
              <w:rPr>
                <w:b/>
                <w:bCs/>
                <w:color w:val="auto"/>
                <w:sz w:val="20"/>
                <w:szCs w:val="20"/>
                <w:lang w:val="en-US"/>
              </w:rPr>
              <w:t>i</w:t>
            </w:r>
            <w:r w:rsidRPr="00B247FF">
              <w:rPr>
                <w:b/>
                <w:bCs/>
                <w:color w:val="auto"/>
                <w:sz w:val="20"/>
                <w:szCs w:val="20"/>
                <w:lang w:val="en-US"/>
              </w:rPr>
              <w:t xml:space="preserve">nsertion </w:t>
            </w:r>
            <w:r w:rsidR="005A2009" w:rsidRPr="00B247FF">
              <w:rPr>
                <w:b/>
                <w:bCs/>
                <w:color w:val="auto"/>
                <w:sz w:val="20"/>
                <w:szCs w:val="20"/>
                <w:lang w:val="en-US"/>
              </w:rPr>
              <w:t>m</w:t>
            </w:r>
            <w:r w:rsidRPr="00B247FF">
              <w:rPr>
                <w:b/>
                <w:bCs/>
                <w:color w:val="auto"/>
                <w:sz w:val="20"/>
                <w:szCs w:val="20"/>
                <w:lang w:val="en-US"/>
              </w:rPr>
              <w:t xml:space="preserve">utations </w:t>
            </w:r>
            <w:r w:rsidR="005A2009" w:rsidRPr="00B247FF">
              <w:rPr>
                <w:b/>
                <w:bCs/>
                <w:color w:val="auto"/>
                <w:sz w:val="20"/>
                <w:szCs w:val="20"/>
                <w:lang w:val="en-US"/>
              </w:rPr>
              <w:t>w</w:t>
            </w:r>
            <w:r w:rsidRPr="00B247FF">
              <w:rPr>
                <w:b/>
                <w:bCs/>
                <w:color w:val="auto"/>
                <w:sz w:val="20"/>
                <w:szCs w:val="20"/>
                <w:lang w:val="en-US"/>
              </w:rPr>
              <w:t xml:space="preserve">hose </w:t>
            </w:r>
            <w:r w:rsidR="005A2009" w:rsidRPr="00B247FF">
              <w:rPr>
                <w:b/>
                <w:bCs/>
                <w:color w:val="auto"/>
                <w:sz w:val="20"/>
                <w:szCs w:val="20"/>
                <w:lang w:val="en-US"/>
              </w:rPr>
              <w:t>d</w:t>
            </w:r>
            <w:r w:rsidRPr="00B247FF">
              <w:rPr>
                <w:b/>
                <w:bCs/>
                <w:color w:val="auto"/>
                <w:sz w:val="20"/>
                <w:szCs w:val="20"/>
                <w:lang w:val="en-US"/>
              </w:rPr>
              <w:t xml:space="preserve">isease </w:t>
            </w:r>
            <w:r w:rsidR="005A2009" w:rsidRPr="00B247FF">
              <w:rPr>
                <w:b/>
                <w:bCs/>
                <w:color w:val="auto"/>
                <w:sz w:val="20"/>
                <w:szCs w:val="20"/>
                <w:lang w:val="en-US"/>
              </w:rPr>
              <w:t>h</w:t>
            </w:r>
            <w:r w:rsidRPr="00B247FF">
              <w:rPr>
                <w:b/>
                <w:bCs/>
                <w:color w:val="auto"/>
                <w:sz w:val="20"/>
                <w:szCs w:val="20"/>
                <w:lang w:val="en-US"/>
              </w:rPr>
              <w:t>a</w:t>
            </w:r>
            <w:r w:rsidR="005A2009" w:rsidRPr="00B247FF">
              <w:rPr>
                <w:b/>
                <w:bCs/>
                <w:color w:val="auto"/>
                <w:sz w:val="20"/>
                <w:szCs w:val="20"/>
                <w:lang w:val="en-US"/>
              </w:rPr>
              <w:t>d</w:t>
            </w:r>
            <w:r w:rsidRPr="00B247FF">
              <w:rPr>
                <w:b/>
                <w:bCs/>
                <w:color w:val="auto"/>
                <w:sz w:val="20"/>
                <w:szCs w:val="20"/>
                <w:lang w:val="en-US"/>
              </w:rPr>
              <w:t xml:space="preserve"> </w:t>
            </w:r>
            <w:r w:rsidR="005A2009" w:rsidRPr="00B247FF">
              <w:rPr>
                <w:b/>
                <w:bCs/>
                <w:color w:val="auto"/>
                <w:sz w:val="20"/>
                <w:szCs w:val="20"/>
                <w:lang w:val="en-US"/>
              </w:rPr>
              <w:t>p</w:t>
            </w:r>
            <w:r w:rsidRPr="00B247FF">
              <w:rPr>
                <w:b/>
                <w:bCs/>
                <w:color w:val="auto"/>
                <w:sz w:val="20"/>
                <w:szCs w:val="20"/>
                <w:lang w:val="en-US"/>
              </w:rPr>
              <w:t xml:space="preserve">rogressed on or </w:t>
            </w:r>
            <w:r w:rsidR="005A2009" w:rsidRPr="00B247FF">
              <w:rPr>
                <w:b/>
                <w:bCs/>
                <w:color w:val="auto"/>
                <w:sz w:val="20"/>
                <w:szCs w:val="20"/>
                <w:lang w:val="en-US"/>
              </w:rPr>
              <w:t>a</w:t>
            </w:r>
            <w:r w:rsidRPr="00B247FF">
              <w:rPr>
                <w:b/>
                <w:bCs/>
                <w:color w:val="auto"/>
                <w:sz w:val="20"/>
                <w:szCs w:val="20"/>
                <w:lang w:val="en-US"/>
              </w:rPr>
              <w:t xml:space="preserve">fter </w:t>
            </w:r>
            <w:r w:rsidR="005A2009" w:rsidRPr="00B247FF">
              <w:rPr>
                <w:b/>
                <w:bCs/>
                <w:color w:val="auto"/>
                <w:sz w:val="20"/>
                <w:szCs w:val="20"/>
                <w:lang w:val="en-US"/>
              </w:rPr>
              <w:t>p</w:t>
            </w:r>
            <w:r w:rsidRPr="00B247FF">
              <w:rPr>
                <w:b/>
                <w:bCs/>
                <w:color w:val="auto"/>
                <w:sz w:val="20"/>
                <w:szCs w:val="20"/>
                <w:lang w:val="en-US"/>
              </w:rPr>
              <w:t>latinum</w:t>
            </w:r>
            <w:r w:rsidRPr="00B247FF">
              <w:rPr>
                <w:b/>
                <w:bCs/>
                <w:color w:val="auto"/>
                <w:sz w:val="20"/>
                <w:szCs w:val="20"/>
                <w:lang w:val="en-US"/>
              </w:rPr>
              <w:noBreakHyphen/>
              <w:t xml:space="preserve">based </w:t>
            </w:r>
            <w:r w:rsidR="005A2009" w:rsidRPr="00B247FF">
              <w:rPr>
                <w:b/>
                <w:bCs/>
                <w:color w:val="auto"/>
                <w:sz w:val="20"/>
                <w:szCs w:val="20"/>
                <w:lang w:val="en-US"/>
              </w:rPr>
              <w:t>c</w:t>
            </w:r>
            <w:r w:rsidRPr="00B247FF">
              <w:rPr>
                <w:b/>
                <w:bCs/>
                <w:color w:val="auto"/>
                <w:sz w:val="20"/>
                <w:szCs w:val="20"/>
                <w:lang w:val="en-US"/>
              </w:rPr>
              <w:t xml:space="preserve">hemotherapy and </w:t>
            </w:r>
            <w:r w:rsidR="005A2009" w:rsidRPr="00B247FF">
              <w:rPr>
                <w:b/>
                <w:bCs/>
                <w:color w:val="auto"/>
                <w:sz w:val="20"/>
                <w:szCs w:val="20"/>
                <w:lang w:val="en-US"/>
              </w:rPr>
              <w:t>w</w:t>
            </w:r>
            <w:r w:rsidRPr="00B247FF">
              <w:rPr>
                <w:b/>
                <w:bCs/>
                <w:color w:val="auto"/>
                <w:sz w:val="20"/>
                <w:szCs w:val="20"/>
                <w:lang w:val="en-US"/>
              </w:rPr>
              <w:t xml:space="preserve">ho </w:t>
            </w:r>
            <w:r w:rsidR="005A2009" w:rsidRPr="00B247FF">
              <w:rPr>
                <w:b/>
                <w:bCs/>
                <w:color w:val="auto"/>
                <w:sz w:val="20"/>
                <w:szCs w:val="20"/>
                <w:lang w:val="en-US"/>
              </w:rPr>
              <w:t>r</w:t>
            </w:r>
            <w:r w:rsidRPr="00B247FF">
              <w:rPr>
                <w:b/>
                <w:bCs/>
                <w:color w:val="auto"/>
                <w:sz w:val="20"/>
                <w:szCs w:val="20"/>
                <w:lang w:val="en-US"/>
              </w:rPr>
              <w:t xml:space="preserve">eceived RYBREVANT in </w:t>
            </w:r>
            <w:r w:rsidR="005A2009" w:rsidRPr="00B247FF">
              <w:rPr>
                <w:b/>
                <w:bCs/>
                <w:color w:val="auto"/>
                <w:sz w:val="20"/>
                <w:szCs w:val="20"/>
                <w:lang w:val="en-US"/>
              </w:rPr>
              <w:t>Study EDI1001</w:t>
            </w:r>
            <w:r w:rsidRPr="00B247FF">
              <w:rPr>
                <w:b/>
                <w:bCs/>
                <w:color w:val="auto"/>
                <w:sz w:val="20"/>
                <w:szCs w:val="20"/>
                <w:lang w:val="en-US"/>
              </w:rPr>
              <w:t xml:space="preserve"> </w:t>
            </w:r>
          </w:p>
          <w:p w14:paraId="61E114E3" w14:textId="4706CB0E" w:rsidR="008C185C" w:rsidRPr="00B247FF" w:rsidRDefault="008C185C" w:rsidP="00786F6E">
            <w:pPr>
              <w:rPr>
                <w:rFonts w:cs="Times New Roman"/>
                <w:color w:val="auto"/>
                <w:sz w:val="20"/>
                <w:szCs w:val="20"/>
                <w:lang w:val="en-US"/>
              </w:rPr>
            </w:pPr>
          </w:p>
        </w:tc>
      </w:tr>
      <w:tr w:rsidR="00590670" w:rsidRPr="00B247FF" w14:paraId="5C063068"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4821" w:type="dxa"/>
            <w:vMerge w:val="restart"/>
            <w:tcBorders>
              <w:top w:val="single" w:sz="4" w:space="0" w:color="auto"/>
            </w:tcBorders>
            <w:vAlign w:val="center"/>
          </w:tcPr>
          <w:p w14:paraId="61509EDA" w14:textId="5A4F7376" w:rsidR="00256C1F" w:rsidRPr="00B247FF" w:rsidRDefault="00256C1F" w:rsidP="00786F6E">
            <w:pPr>
              <w:keepNext/>
              <w:rPr>
                <w:rFonts w:cs="Times New Roman"/>
                <w:b/>
                <w:color w:val="auto"/>
                <w:sz w:val="20"/>
                <w:szCs w:val="24"/>
                <w:lang w:val="en-US"/>
              </w:rPr>
            </w:pPr>
            <w:r w:rsidRPr="00B247FF">
              <w:rPr>
                <w:rFonts w:cs="Times New Roman"/>
                <w:b/>
                <w:color w:val="auto"/>
                <w:sz w:val="20"/>
                <w:szCs w:val="24"/>
                <w:lang w:val="en-US"/>
              </w:rPr>
              <w:t xml:space="preserve">Laboratory </w:t>
            </w:r>
            <w:r w:rsidR="005A2009" w:rsidRPr="00B247FF">
              <w:rPr>
                <w:rFonts w:cs="Times New Roman"/>
                <w:b/>
                <w:color w:val="auto"/>
                <w:sz w:val="20"/>
                <w:szCs w:val="24"/>
                <w:lang w:val="en-US"/>
              </w:rPr>
              <w:t>a</w:t>
            </w:r>
            <w:r w:rsidRPr="00B247FF">
              <w:rPr>
                <w:rFonts w:cs="Times New Roman"/>
                <w:b/>
                <w:color w:val="auto"/>
                <w:sz w:val="20"/>
                <w:szCs w:val="24"/>
                <w:lang w:val="en-US"/>
              </w:rPr>
              <w:t>bnormality</w:t>
            </w:r>
          </w:p>
        </w:tc>
        <w:tc>
          <w:tcPr>
            <w:tcW w:w="4818" w:type="dxa"/>
            <w:gridSpan w:val="2"/>
            <w:tcBorders>
              <w:top w:val="single" w:sz="4" w:space="0" w:color="auto"/>
            </w:tcBorders>
            <w:vAlign w:val="bottom"/>
          </w:tcPr>
          <w:p w14:paraId="6CEAF885" w14:textId="77777777" w:rsidR="00256C1F" w:rsidRPr="00B247FF" w:rsidRDefault="00256C1F" w:rsidP="00786F6E">
            <w:pPr>
              <w:keepNext/>
              <w:rPr>
                <w:rFonts w:cs="Times New Roman"/>
                <w:color w:val="auto"/>
                <w:sz w:val="20"/>
                <w:szCs w:val="24"/>
                <w:vertAlign w:val="superscript"/>
                <w:lang w:val="en-US"/>
              </w:rPr>
            </w:pPr>
            <w:r w:rsidRPr="00B247FF">
              <w:rPr>
                <w:rFonts w:cs="Times New Roman"/>
                <w:b/>
                <w:iCs/>
                <w:color w:val="auto"/>
                <w:sz w:val="20"/>
                <w:szCs w:val="24"/>
                <w:lang w:val="en-US"/>
              </w:rPr>
              <w:t>RYBREVANT</w:t>
            </w:r>
            <w:r w:rsidRPr="00B247FF">
              <w:rPr>
                <w:rFonts w:cs="Times New Roman"/>
                <w:color w:val="auto"/>
                <w:sz w:val="20"/>
                <w:szCs w:val="24"/>
                <w:vertAlign w:val="superscript"/>
                <w:lang w:val="en-US"/>
              </w:rPr>
              <w:t>+</w:t>
            </w:r>
          </w:p>
          <w:p w14:paraId="0D4CF2AB" w14:textId="77777777" w:rsidR="00256C1F" w:rsidRPr="00B247FF" w:rsidRDefault="00256C1F" w:rsidP="00786F6E">
            <w:pPr>
              <w:keepNext/>
              <w:rPr>
                <w:rFonts w:cs="Times New Roman"/>
                <w:b/>
                <w:iCs/>
                <w:color w:val="auto"/>
                <w:sz w:val="20"/>
                <w:szCs w:val="24"/>
                <w:lang w:val="en-US"/>
              </w:rPr>
            </w:pPr>
            <w:r w:rsidRPr="00B247FF">
              <w:rPr>
                <w:rFonts w:cs="Times New Roman"/>
                <w:b/>
                <w:iCs/>
                <w:color w:val="auto"/>
                <w:sz w:val="20"/>
                <w:szCs w:val="24"/>
                <w:lang w:val="en-US"/>
              </w:rPr>
              <w:t>(N=153)</w:t>
            </w:r>
          </w:p>
        </w:tc>
      </w:tr>
      <w:tr w:rsidR="00590670" w:rsidRPr="00B247FF" w14:paraId="0C009135"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4821" w:type="dxa"/>
            <w:vMerge/>
            <w:vAlign w:val="bottom"/>
          </w:tcPr>
          <w:p w14:paraId="747BFF03" w14:textId="77777777" w:rsidR="00256C1F" w:rsidRPr="00B247FF" w:rsidRDefault="00256C1F" w:rsidP="00786F6E">
            <w:pPr>
              <w:keepNext/>
              <w:rPr>
                <w:rFonts w:cs="Times New Roman"/>
                <w:color w:val="auto"/>
                <w:sz w:val="20"/>
                <w:szCs w:val="24"/>
                <w:lang w:val="en-US"/>
              </w:rPr>
            </w:pPr>
          </w:p>
        </w:tc>
        <w:tc>
          <w:tcPr>
            <w:tcW w:w="2352" w:type="dxa"/>
            <w:tcBorders>
              <w:top w:val="single" w:sz="4" w:space="0" w:color="auto"/>
            </w:tcBorders>
            <w:vAlign w:val="bottom"/>
          </w:tcPr>
          <w:p w14:paraId="53F3123F" w14:textId="77777777" w:rsidR="00256C1F" w:rsidRPr="00B247FF" w:rsidRDefault="00256C1F" w:rsidP="00786F6E">
            <w:pPr>
              <w:keepNext/>
              <w:rPr>
                <w:rFonts w:cs="Times New Roman"/>
                <w:b/>
                <w:iCs/>
                <w:color w:val="auto"/>
                <w:sz w:val="20"/>
                <w:szCs w:val="24"/>
                <w:lang w:val="en-US"/>
              </w:rPr>
            </w:pPr>
            <w:r w:rsidRPr="00B247FF">
              <w:rPr>
                <w:rFonts w:cs="Times New Roman"/>
                <w:b/>
                <w:iCs/>
                <w:color w:val="auto"/>
                <w:sz w:val="20"/>
                <w:szCs w:val="24"/>
                <w:lang w:val="en-US"/>
              </w:rPr>
              <w:t>All Grades</w:t>
            </w:r>
          </w:p>
          <w:p w14:paraId="2F0FD3FA" w14:textId="77777777" w:rsidR="00256C1F" w:rsidRPr="00B247FF" w:rsidRDefault="00256C1F" w:rsidP="00786F6E">
            <w:pPr>
              <w:keepNext/>
              <w:rPr>
                <w:rFonts w:cs="Times New Roman"/>
                <w:b/>
                <w:iCs/>
                <w:color w:val="auto"/>
                <w:sz w:val="20"/>
                <w:szCs w:val="24"/>
                <w:lang w:val="en-US"/>
              </w:rPr>
            </w:pPr>
            <w:r w:rsidRPr="00B247FF">
              <w:rPr>
                <w:rFonts w:cs="Times New Roman"/>
                <w:b/>
                <w:iCs/>
                <w:color w:val="auto"/>
                <w:sz w:val="20"/>
                <w:szCs w:val="24"/>
                <w:lang w:val="en-US"/>
              </w:rPr>
              <w:t>(%)</w:t>
            </w:r>
          </w:p>
        </w:tc>
        <w:tc>
          <w:tcPr>
            <w:tcW w:w="2466" w:type="dxa"/>
            <w:tcBorders>
              <w:top w:val="single" w:sz="4" w:space="0" w:color="auto"/>
            </w:tcBorders>
            <w:vAlign w:val="bottom"/>
          </w:tcPr>
          <w:p w14:paraId="0D43F68A" w14:textId="77777777" w:rsidR="00256C1F" w:rsidRPr="00B247FF" w:rsidRDefault="00256C1F" w:rsidP="00786F6E">
            <w:pPr>
              <w:keepNext/>
              <w:rPr>
                <w:rFonts w:cs="Times New Roman"/>
                <w:b/>
                <w:iCs/>
                <w:color w:val="auto"/>
                <w:sz w:val="20"/>
                <w:szCs w:val="24"/>
                <w:lang w:val="en-US"/>
              </w:rPr>
            </w:pPr>
            <w:r w:rsidRPr="00B247FF">
              <w:rPr>
                <w:rFonts w:cs="Times New Roman"/>
                <w:b/>
                <w:iCs/>
                <w:color w:val="auto"/>
                <w:sz w:val="20"/>
                <w:szCs w:val="24"/>
                <w:lang w:val="en-US"/>
              </w:rPr>
              <w:t>Grades 3 or 4</w:t>
            </w:r>
          </w:p>
          <w:p w14:paraId="0355C203" w14:textId="77777777" w:rsidR="00256C1F" w:rsidRPr="00B247FF" w:rsidRDefault="00256C1F" w:rsidP="00786F6E">
            <w:pPr>
              <w:keepNext/>
              <w:rPr>
                <w:rFonts w:cs="Times New Roman"/>
                <w:b/>
                <w:iCs/>
                <w:color w:val="auto"/>
                <w:sz w:val="20"/>
                <w:szCs w:val="24"/>
                <w:lang w:val="en-US"/>
              </w:rPr>
            </w:pPr>
            <w:r w:rsidRPr="00B247FF">
              <w:rPr>
                <w:rFonts w:cs="Times New Roman"/>
                <w:b/>
                <w:iCs/>
                <w:color w:val="auto"/>
                <w:sz w:val="20"/>
                <w:szCs w:val="24"/>
                <w:lang w:val="en-US"/>
              </w:rPr>
              <w:t>(%)</w:t>
            </w:r>
          </w:p>
        </w:tc>
      </w:tr>
      <w:tr w:rsidR="00590670" w:rsidRPr="00B247FF" w14:paraId="5145456F"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vAlign w:val="bottom"/>
          </w:tcPr>
          <w:p w14:paraId="0CCF66DD" w14:textId="77777777" w:rsidR="00256C1F" w:rsidRPr="00B247FF" w:rsidRDefault="00256C1F" w:rsidP="00786F6E">
            <w:pPr>
              <w:keepNext/>
              <w:rPr>
                <w:rFonts w:cs="Times New Roman"/>
                <w:b/>
                <w:color w:val="auto"/>
                <w:sz w:val="20"/>
                <w:szCs w:val="24"/>
                <w:lang w:val="en-US"/>
              </w:rPr>
            </w:pPr>
            <w:r w:rsidRPr="00B247FF">
              <w:rPr>
                <w:rFonts w:cs="Times New Roman"/>
                <w:b/>
                <w:color w:val="auto"/>
                <w:sz w:val="20"/>
                <w:szCs w:val="24"/>
                <w:lang w:val="en-US"/>
              </w:rPr>
              <w:t>Chemistry</w:t>
            </w:r>
          </w:p>
        </w:tc>
        <w:tc>
          <w:tcPr>
            <w:tcW w:w="2352" w:type="dxa"/>
            <w:vAlign w:val="bottom"/>
          </w:tcPr>
          <w:p w14:paraId="0BA9E024" w14:textId="77777777" w:rsidR="00256C1F" w:rsidRPr="00B247FF" w:rsidRDefault="00256C1F" w:rsidP="00786F6E">
            <w:pPr>
              <w:keepNext/>
              <w:rPr>
                <w:rFonts w:cs="Times New Roman"/>
                <w:color w:val="auto"/>
                <w:sz w:val="20"/>
                <w:szCs w:val="24"/>
                <w:lang w:val="en-US"/>
              </w:rPr>
            </w:pPr>
          </w:p>
        </w:tc>
        <w:tc>
          <w:tcPr>
            <w:tcW w:w="2466" w:type="dxa"/>
            <w:vAlign w:val="bottom"/>
          </w:tcPr>
          <w:p w14:paraId="0F086CDE" w14:textId="77777777" w:rsidR="00256C1F" w:rsidRPr="00B247FF" w:rsidRDefault="00256C1F" w:rsidP="00786F6E">
            <w:pPr>
              <w:keepNext/>
              <w:rPr>
                <w:rFonts w:cs="Times New Roman"/>
                <w:color w:val="auto"/>
                <w:sz w:val="20"/>
                <w:szCs w:val="24"/>
                <w:lang w:val="en-US"/>
              </w:rPr>
            </w:pPr>
          </w:p>
        </w:tc>
      </w:tr>
      <w:tr w:rsidR="00590670" w:rsidRPr="00B247FF" w14:paraId="60EF130F"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vAlign w:val="bottom"/>
          </w:tcPr>
          <w:p w14:paraId="6985836C" w14:textId="77777777" w:rsidR="00256C1F" w:rsidRPr="00B247FF" w:rsidRDefault="00256C1F" w:rsidP="00786F6E">
            <w:pPr>
              <w:keepNext/>
              <w:ind w:left="180"/>
              <w:rPr>
                <w:rFonts w:cs="Times New Roman"/>
                <w:bCs/>
                <w:color w:val="auto"/>
                <w:sz w:val="20"/>
                <w:szCs w:val="24"/>
                <w:lang w:val="en-US"/>
              </w:rPr>
            </w:pPr>
            <w:r w:rsidRPr="00B247FF">
              <w:rPr>
                <w:rFonts w:cs="Times New Roman"/>
                <w:bCs/>
                <w:color w:val="auto"/>
                <w:sz w:val="20"/>
                <w:szCs w:val="24"/>
                <w:lang w:val="en-US"/>
              </w:rPr>
              <w:t>Decreased albumin</w:t>
            </w:r>
          </w:p>
        </w:tc>
        <w:tc>
          <w:tcPr>
            <w:tcW w:w="2352" w:type="dxa"/>
            <w:vAlign w:val="bottom"/>
          </w:tcPr>
          <w:p w14:paraId="420FA6BE" w14:textId="77777777" w:rsidR="00256C1F" w:rsidRPr="00B247FF" w:rsidRDefault="00256C1F" w:rsidP="00786F6E">
            <w:pPr>
              <w:keepNext/>
              <w:rPr>
                <w:rFonts w:cs="Times New Roman"/>
                <w:bCs/>
                <w:color w:val="auto"/>
                <w:sz w:val="20"/>
                <w:szCs w:val="24"/>
                <w:lang w:val="en-US"/>
              </w:rPr>
            </w:pPr>
            <w:r w:rsidRPr="00B247FF">
              <w:rPr>
                <w:rFonts w:cs="Times New Roman"/>
                <w:bCs/>
                <w:color w:val="auto"/>
                <w:sz w:val="20"/>
                <w:szCs w:val="24"/>
                <w:lang w:val="en-US"/>
              </w:rPr>
              <w:t>83</w:t>
            </w:r>
          </w:p>
        </w:tc>
        <w:tc>
          <w:tcPr>
            <w:tcW w:w="2466" w:type="dxa"/>
            <w:vAlign w:val="bottom"/>
          </w:tcPr>
          <w:p w14:paraId="6D7C9F10" w14:textId="77777777" w:rsidR="00256C1F" w:rsidRPr="00B247FF" w:rsidRDefault="00256C1F" w:rsidP="00786F6E">
            <w:pPr>
              <w:keepNext/>
              <w:rPr>
                <w:rFonts w:cs="Times New Roman"/>
                <w:bCs/>
                <w:color w:val="auto"/>
                <w:sz w:val="20"/>
                <w:szCs w:val="24"/>
                <w:lang w:val="en-US"/>
              </w:rPr>
            </w:pPr>
            <w:r w:rsidRPr="00B247FF">
              <w:rPr>
                <w:rFonts w:cs="Times New Roman"/>
                <w:bCs/>
                <w:color w:val="auto"/>
                <w:sz w:val="20"/>
                <w:szCs w:val="24"/>
                <w:lang w:val="en-US"/>
              </w:rPr>
              <w:t>8</w:t>
            </w:r>
          </w:p>
        </w:tc>
      </w:tr>
      <w:tr w:rsidR="00590670" w:rsidRPr="00B247FF" w14:paraId="70178853"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4EBB162B"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Increased glucose</w:t>
            </w:r>
          </w:p>
        </w:tc>
        <w:tc>
          <w:tcPr>
            <w:tcW w:w="2352" w:type="dxa"/>
            <w:tcBorders>
              <w:bottom w:val="single" w:sz="4" w:space="0" w:color="auto"/>
            </w:tcBorders>
            <w:vAlign w:val="bottom"/>
          </w:tcPr>
          <w:p w14:paraId="7A4E42CA"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56</w:t>
            </w:r>
          </w:p>
        </w:tc>
        <w:tc>
          <w:tcPr>
            <w:tcW w:w="2466" w:type="dxa"/>
            <w:tcBorders>
              <w:bottom w:val="single" w:sz="4" w:space="0" w:color="auto"/>
            </w:tcBorders>
            <w:vAlign w:val="bottom"/>
          </w:tcPr>
          <w:p w14:paraId="2765310D"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4</w:t>
            </w:r>
          </w:p>
        </w:tc>
      </w:tr>
      <w:tr w:rsidR="00590670" w:rsidRPr="00B247FF" w14:paraId="27E01E65"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51D5D8BB"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Increased alkaline phosphatase</w:t>
            </w:r>
          </w:p>
        </w:tc>
        <w:tc>
          <w:tcPr>
            <w:tcW w:w="2352" w:type="dxa"/>
            <w:tcBorders>
              <w:bottom w:val="single" w:sz="4" w:space="0" w:color="auto"/>
            </w:tcBorders>
            <w:vAlign w:val="bottom"/>
          </w:tcPr>
          <w:p w14:paraId="13E84C16"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52</w:t>
            </w:r>
          </w:p>
        </w:tc>
        <w:tc>
          <w:tcPr>
            <w:tcW w:w="2466" w:type="dxa"/>
            <w:tcBorders>
              <w:bottom w:val="single" w:sz="4" w:space="0" w:color="auto"/>
            </w:tcBorders>
            <w:vAlign w:val="bottom"/>
          </w:tcPr>
          <w:p w14:paraId="51BBACC7"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5</w:t>
            </w:r>
          </w:p>
        </w:tc>
      </w:tr>
      <w:tr w:rsidR="00590670" w:rsidRPr="00B247FF" w14:paraId="460D627C"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5BFAC2D6"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Increased creatinine</w:t>
            </w:r>
          </w:p>
        </w:tc>
        <w:tc>
          <w:tcPr>
            <w:tcW w:w="2352" w:type="dxa"/>
            <w:tcBorders>
              <w:bottom w:val="single" w:sz="4" w:space="0" w:color="auto"/>
            </w:tcBorders>
            <w:vAlign w:val="bottom"/>
          </w:tcPr>
          <w:p w14:paraId="3E1163C9"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48</w:t>
            </w:r>
          </w:p>
        </w:tc>
        <w:tc>
          <w:tcPr>
            <w:tcW w:w="2466" w:type="dxa"/>
            <w:tcBorders>
              <w:bottom w:val="single" w:sz="4" w:space="0" w:color="auto"/>
            </w:tcBorders>
            <w:vAlign w:val="bottom"/>
          </w:tcPr>
          <w:p w14:paraId="3C2DD9E8"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0</w:t>
            </w:r>
          </w:p>
        </w:tc>
      </w:tr>
      <w:tr w:rsidR="00590670" w:rsidRPr="00B247FF" w14:paraId="56860017"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0A881AA6"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Increased alanine aminotransferase</w:t>
            </w:r>
          </w:p>
        </w:tc>
        <w:tc>
          <w:tcPr>
            <w:tcW w:w="2352" w:type="dxa"/>
            <w:tcBorders>
              <w:bottom w:val="single" w:sz="4" w:space="0" w:color="auto"/>
            </w:tcBorders>
            <w:vAlign w:val="bottom"/>
          </w:tcPr>
          <w:p w14:paraId="2272FF7D"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40</w:t>
            </w:r>
          </w:p>
        </w:tc>
        <w:tc>
          <w:tcPr>
            <w:tcW w:w="2466" w:type="dxa"/>
            <w:tcBorders>
              <w:bottom w:val="single" w:sz="4" w:space="0" w:color="auto"/>
            </w:tcBorders>
            <w:vAlign w:val="bottom"/>
          </w:tcPr>
          <w:p w14:paraId="30C02631"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2</w:t>
            </w:r>
          </w:p>
        </w:tc>
      </w:tr>
      <w:tr w:rsidR="00590670" w:rsidRPr="00B247FF" w14:paraId="7BDCEBAB"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6DBE4779"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Decreased phosphate</w:t>
            </w:r>
          </w:p>
        </w:tc>
        <w:tc>
          <w:tcPr>
            <w:tcW w:w="2352" w:type="dxa"/>
            <w:tcBorders>
              <w:bottom w:val="single" w:sz="4" w:space="0" w:color="auto"/>
            </w:tcBorders>
            <w:vAlign w:val="bottom"/>
          </w:tcPr>
          <w:p w14:paraId="37C8D3FC"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36</w:t>
            </w:r>
          </w:p>
        </w:tc>
        <w:tc>
          <w:tcPr>
            <w:tcW w:w="2466" w:type="dxa"/>
            <w:tcBorders>
              <w:bottom w:val="single" w:sz="4" w:space="0" w:color="auto"/>
            </w:tcBorders>
            <w:vAlign w:val="bottom"/>
          </w:tcPr>
          <w:p w14:paraId="2E793B19"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7</w:t>
            </w:r>
          </w:p>
        </w:tc>
      </w:tr>
      <w:tr w:rsidR="00590670" w:rsidRPr="00B247FF" w14:paraId="6CE0FA26"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654A0B29"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Increased aspartate aminotransferase</w:t>
            </w:r>
          </w:p>
        </w:tc>
        <w:tc>
          <w:tcPr>
            <w:tcW w:w="2352" w:type="dxa"/>
            <w:tcBorders>
              <w:bottom w:val="single" w:sz="4" w:space="0" w:color="auto"/>
            </w:tcBorders>
            <w:vAlign w:val="bottom"/>
          </w:tcPr>
          <w:p w14:paraId="649B1077"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34</w:t>
            </w:r>
          </w:p>
        </w:tc>
        <w:tc>
          <w:tcPr>
            <w:tcW w:w="2466" w:type="dxa"/>
            <w:tcBorders>
              <w:bottom w:val="single" w:sz="4" w:space="0" w:color="auto"/>
            </w:tcBorders>
            <w:vAlign w:val="bottom"/>
          </w:tcPr>
          <w:p w14:paraId="2BD386A4"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1</w:t>
            </w:r>
          </w:p>
        </w:tc>
      </w:tr>
      <w:tr w:rsidR="00590670" w:rsidRPr="00B247FF" w:rsidDel="00654571" w14:paraId="1E9B0A01"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0DE962F8"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Increased gamma-glutamyl transferase</w:t>
            </w:r>
          </w:p>
        </w:tc>
        <w:tc>
          <w:tcPr>
            <w:tcW w:w="2352" w:type="dxa"/>
            <w:tcBorders>
              <w:bottom w:val="single" w:sz="4" w:space="0" w:color="auto"/>
            </w:tcBorders>
            <w:vAlign w:val="bottom"/>
          </w:tcPr>
          <w:p w14:paraId="4D866B95"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29</w:t>
            </w:r>
          </w:p>
        </w:tc>
        <w:tc>
          <w:tcPr>
            <w:tcW w:w="2466" w:type="dxa"/>
            <w:tcBorders>
              <w:bottom w:val="single" w:sz="4" w:space="0" w:color="auto"/>
            </w:tcBorders>
            <w:vAlign w:val="bottom"/>
          </w:tcPr>
          <w:p w14:paraId="38DA0267" w14:textId="77777777" w:rsidR="00256C1F" w:rsidRPr="00B247FF" w:rsidDel="00654571" w:rsidRDefault="00256C1F" w:rsidP="00786F6E">
            <w:pPr>
              <w:keepNext/>
              <w:rPr>
                <w:rFonts w:cs="Times New Roman"/>
                <w:color w:val="auto"/>
                <w:sz w:val="20"/>
                <w:szCs w:val="24"/>
                <w:lang w:val="en-US"/>
              </w:rPr>
            </w:pPr>
            <w:r w:rsidRPr="00B247FF">
              <w:rPr>
                <w:rFonts w:cs="Times New Roman"/>
                <w:color w:val="auto"/>
                <w:sz w:val="20"/>
                <w:szCs w:val="24"/>
                <w:lang w:val="en-US"/>
              </w:rPr>
              <w:t>4</w:t>
            </w:r>
          </w:p>
        </w:tc>
      </w:tr>
      <w:tr w:rsidR="00590670" w:rsidRPr="00B247FF" w14:paraId="08FD3CCB"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3CDB8102"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Decreased magnesium</w:t>
            </w:r>
          </w:p>
        </w:tc>
        <w:tc>
          <w:tcPr>
            <w:tcW w:w="2352" w:type="dxa"/>
            <w:tcBorders>
              <w:bottom w:val="single" w:sz="4" w:space="0" w:color="auto"/>
            </w:tcBorders>
            <w:vAlign w:val="bottom"/>
          </w:tcPr>
          <w:p w14:paraId="4BF10FDA"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28</w:t>
            </w:r>
          </w:p>
        </w:tc>
        <w:tc>
          <w:tcPr>
            <w:tcW w:w="2466" w:type="dxa"/>
            <w:tcBorders>
              <w:bottom w:val="single" w:sz="4" w:space="0" w:color="auto"/>
            </w:tcBorders>
            <w:vAlign w:val="bottom"/>
          </w:tcPr>
          <w:p w14:paraId="79FA0E23"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0</w:t>
            </w:r>
          </w:p>
        </w:tc>
      </w:tr>
      <w:tr w:rsidR="00590670" w:rsidRPr="00B247FF" w14:paraId="2C2E9AF1"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7611F6C2"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Decreased potassium</w:t>
            </w:r>
          </w:p>
        </w:tc>
        <w:tc>
          <w:tcPr>
            <w:tcW w:w="2352" w:type="dxa"/>
            <w:tcBorders>
              <w:bottom w:val="single" w:sz="4" w:space="0" w:color="auto"/>
            </w:tcBorders>
            <w:vAlign w:val="bottom"/>
          </w:tcPr>
          <w:p w14:paraId="2A346777"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28</w:t>
            </w:r>
          </w:p>
        </w:tc>
        <w:tc>
          <w:tcPr>
            <w:tcW w:w="2466" w:type="dxa"/>
            <w:tcBorders>
              <w:bottom w:val="single" w:sz="4" w:space="0" w:color="auto"/>
            </w:tcBorders>
            <w:vAlign w:val="bottom"/>
          </w:tcPr>
          <w:p w14:paraId="377204CA"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5</w:t>
            </w:r>
          </w:p>
        </w:tc>
      </w:tr>
      <w:tr w:rsidR="00590670" w:rsidRPr="00B247FF" w14:paraId="5B9DF2BE"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237B084A"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Decreased sodium</w:t>
            </w:r>
          </w:p>
        </w:tc>
        <w:tc>
          <w:tcPr>
            <w:tcW w:w="2352" w:type="dxa"/>
            <w:tcBorders>
              <w:bottom w:val="single" w:sz="4" w:space="0" w:color="auto"/>
            </w:tcBorders>
            <w:vAlign w:val="bottom"/>
          </w:tcPr>
          <w:p w14:paraId="41F9C88A"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25</w:t>
            </w:r>
          </w:p>
        </w:tc>
        <w:tc>
          <w:tcPr>
            <w:tcW w:w="2466" w:type="dxa"/>
            <w:tcBorders>
              <w:bottom w:val="single" w:sz="4" w:space="0" w:color="auto"/>
            </w:tcBorders>
            <w:vAlign w:val="bottom"/>
          </w:tcPr>
          <w:p w14:paraId="268F1ED1"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3</w:t>
            </w:r>
          </w:p>
        </w:tc>
      </w:tr>
      <w:tr w:rsidR="00590670" w:rsidRPr="00B247FF" w14:paraId="6E59B089"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05962432"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Decreased calcium</w:t>
            </w:r>
          </w:p>
        </w:tc>
        <w:tc>
          <w:tcPr>
            <w:tcW w:w="2352" w:type="dxa"/>
            <w:tcBorders>
              <w:bottom w:val="single" w:sz="4" w:space="0" w:color="auto"/>
            </w:tcBorders>
            <w:vAlign w:val="bottom"/>
          </w:tcPr>
          <w:p w14:paraId="6BF74470"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21</w:t>
            </w:r>
          </w:p>
        </w:tc>
        <w:tc>
          <w:tcPr>
            <w:tcW w:w="2466" w:type="dxa"/>
            <w:tcBorders>
              <w:bottom w:val="single" w:sz="4" w:space="0" w:color="auto"/>
            </w:tcBorders>
            <w:vAlign w:val="bottom"/>
          </w:tcPr>
          <w:p w14:paraId="08097853"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1</w:t>
            </w:r>
          </w:p>
        </w:tc>
      </w:tr>
      <w:tr w:rsidR="00590670" w:rsidRPr="00B247FF" w14:paraId="3644AC50"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tcBorders>
              <w:bottom w:val="single" w:sz="4" w:space="0" w:color="auto"/>
            </w:tcBorders>
            <w:vAlign w:val="bottom"/>
          </w:tcPr>
          <w:p w14:paraId="01D6744E" w14:textId="77777777" w:rsidR="00256C1F" w:rsidRPr="00B247FF" w:rsidRDefault="00256C1F" w:rsidP="00786F6E">
            <w:pPr>
              <w:keepNext/>
              <w:rPr>
                <w:rFonts w:cs="Times New Roman"/>
                <w:b/>
                <w:bCs/>
                <w:color w:val="auto"/>
                <w:sz w:val="20"/>
                <w:szCs w:val="24"/>
                <w:lang w:val="en-US"/>
              </w:rPr>
            </w:pPr>
            <w:r w:rsidRPr="00B247FF">
              <w:rPr>
                <w:rFonts w:cs="Times New Roman"/>
                <w:b/>
                <w:bCs/>
                <w:color w:val="auto"/>
                <w:sz w:val="20"/>
                <w:szCs w:val="24"/>
                <w:lang w:val="en-US"/>
              </w:rPr>
              <w:t>Hematology</w:t>
            </w:r>
          </w:p>
        </w:tc>
        <w:tc>
          <w:tcPr>
            <w:tcW w:w="2352" w:type="dxa"/>
            <w:tcBorders>
              <w:bottom w:val="single" w:sz="4" w:space="0" w:color="auto"/>
            </w:tcBorders>
            <w:vAlign w:val="bottom"/>
          </w:tcPr>
          <w:p w14:paraId="1B38839E" w14:textId="77777777" w:rsidR="00256C1F" w:rsidRPr="00B247FF" w:rsidRDefault="00256C1F" w:rsidP="00786F6E">
            <w:pPr>
              <w:keepNext/>
              <w:rPr>
                <w:rFonts w:cs="Times New Roman"/>
                <w:color w:val="auto"/>
                <w:sz w:val="20"/>
                <w:szCs w:val="24"/>
                <w:lang w:val="en-US"/>
              </w:rPr>
            </w:pPr>
          </w:p>
        </w:tc>
        <w:tc>
          <w:tcPr>
            <w:tcW w:w="2466" w:type="dxa"/>
            <w:tcBorders>
              <w:bottom w:val="single" w:sz="4" w:space="0" w:color="auto"/>
            </w:tcBorders>
            <w:vAlign w:val="bottom"/>
          </w:tcPr>
          <w:p w14:paraId="621E0F7A" w14:textId="77777777" w:rsidR="00256C1F" w:rsidRPr="00B247FF" w:rsidRDefault="00256C1F" w:rsidP="00786F6E">
            <w:pPr>
              <w:keepNext/>
              <w:rPr>
                <w:rFonts w:cs="Times New Roman"/>
                <w:color w:val="auto"/>
                <w:sz w:val="20"/>
                <w:szCs w:val="24"/>
                <w:lang w:val="en-US"/>
              </w:rPr>
            </w:pPr>
          </w:p>
        </w:tc>
      </w:tr>
      <w:tr w:rsidR="00590670" w:rsidRPr="00B247FF" w14:paraId="18198931"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821" w:type="dxa"/>
            <w:vAlign w:val="bottom"/>
          </w:tcPr>
          <w:p w14:paraId="03934F9C" w14:textId="77777777" w:rsidR="00256C1F" w:rsidRPr="00B247FF" w:rsidRDefault="00256C1F" w:rsidP="00786F6E">
            <w:pPr>
              <w:keepNext/>
              <w:ind w:left="180"/>
              <w:rPr>
                <w:rFonts w:cs="Times New Roman"/>
                <w:color w:val="auto"/>
                <w:sz w:val="20"/>
                <w:szCs w:val="24"/>
                <w:lang w:val="en-US"/>
              </w:rPr>
            </w:pPr>
            <w:r w:rsidRPr="00B247FF">
              <w:rPr>
                <w:rFonts w:cs="Times New Roman"/>
                <w:color w:val="auto"/>
                <w:sz w:val="20"/>
                <w:szCs w:val="24"/>
                <w:lang w:val="en-US"/>
              </w:rPr>
              <w:t>Decreased lymphocytes</w:t>
            </w:r>
          </w:p>
        </w:tc>
        <w:tc>
          <w:tcPr>
            <w:tcW w:w="2352" w:type="dxa"/>
            <w:vAlign w:val="bottom"/>
          </w:tcPr>
          <w:p w14:paraId="4561BF48"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38</w:t>
            </w:r>
          </w:p>
        </w:tc>
        <w:tc>
          <w:tcPr>
            <w:tcW w:w="2466" w:type="dxa"/>
            <w:vAlign w:val="bottom"/>
          </w:tcPr>
          <w:p w14:paraId="51F3FC0E" w14:textId="77777777" w:rsidR="00256C1F" w:rsidRPr="00B247FF" w:rsidRDefault="00256C1F" w:rsidP="00786F6E">
            <w:pPr>
              <w:keepNext/>
              <w:rPr>
                <w:rFonts w:cs="Times New Roman"/>
                <w:color w:val="auto"/>
                <w:sz w:val="20"/>
                <w:szCs w:val="24"/>
                <w:lang w:val="en-US"/>
              </w:rPr>
            </w:pPr>
            <w:r w:rsidRPr="00B247FF">
              <w:rPr>
                <w:rFonts w:cs="Times New Roman"/>
                <w:color w:val="auto"/>
                <w:sz w:val="20"/>
                <w:szCs w:val="24"/>
                <w:lang w:val="en-US"/>
              </w:rPr>
              <w:t>7</w:t>
            </w:r>
          </w:p>
        </w:tc>
      </w:tr>
      <w:tr w:rsidR="00590670" w:rsidRPr="00B247FF" w14:paraId="6C0FD8F9" w14:textId="77777777" w:rsidTr="00256C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639" w:type="dxa"/>
            <w:gridSpan w:val="3"/>
            <w:tcBorders>
              <w:left w:val="nil"/>
              <w:bottom w:val="nil"/>
              <w:right w:val="nil"/>
            </w:tcBorders>
          </w:tcPr>
          <w:p w14:paraId="26B0EA0E" w14:textId="77777777" w:rsidR="00256C1F" w:rsidRPr="00B247FF" w:rsidRDefault="00256C1F" w:rsidP="00786F6E">
            <w:pPr>
              <w:keepNext/>
              <w:tabs>
                <w:tab w:val="left" w:pos="360"/>
              </w:tabs>
              <w:ind w:left="360" w:hanging="360"/>
              <w:rPr>
                <w:rFonts w:cs="Times New Roman"/>
                <w:color w:val="auto"/>
                <w:sz w:val="16"/>
                <w:szCs w:val="16"/>
                <w:lang w:val="en-US"/>
              </w:rPr>
            </w:pPr>
            <w:r w:rsidRPr="00B247FF">
              <w:rPr>
                <w:rFonts w:cs="Times New Roman"/>
                <w:color w:val="auto"/>
                <w:szCs w:val="28"/>
                <w:vertAlign w:val="superscript"/>
                <w:lang w:val="en-US"/>
              </w:rPr>
              <w:t>+</w:t>
            </w:r>
            <w:r w:rsidRPr="00B247FF">
              <w:rPr>
                <w:rFonts w:cs="Times New Roman"/>
                <w:color w:val="auto"/>
                <w:sz w:val="18"/>
                <w:szCs w:val="18"/>
                <w:lang w:val="en-US"/>
              </w:rPr>
              <w:tab/>
              <w:t>The denominator used to calculate the rate was the number of patients with a baseline value and at least one post</w:t>
            </w:r>
            <w:r w:rsidRPr="00B247FF">
              <w:rPr>
                <w:rFonts w:cs="Times New Roman"/>
                <w:color w:val="auto"/>
                <w:sz w:val="18"/>
                <w:szCs w:val="18"/>
                <w:lang w:val="en-US"/>
              </w:rPr>
              <w:noBreakHyphen/>
              <w:t>treatment value.</w:t>
            </w:r>
          </w:p>
        </w:tc>
      </w:tr>
    </w:tbl>
    <w:p w14:paraId="4971C886" w14:textId="77777777" w:rsidR="00256C1F" w:rsidRPr="00B247FF" w:rsidRDefault="00256C1F" w:rsidP="00786F6E">
      <w:pPr>
        <w:pStyle w:val="BodyText1"/>
        <w:jc w:val="left"/>
        <w:rPr>
          <w:bCs/>
          <w:sz w:val="18"/>
          <w:szCs w:val="18"/>
          <w:lang w:val="en-US"/>
        </w:rPr>
      </w:pPr>
    </w:p>
    <w:p w14:paraId="61F3D0B8" w14:textId="24384563" w:rsidR="00367541" w:rsidRPr="00B247FF" w:rsidRDefault="00367541" w:rsidP="00786F6E">
      <w:pPr>
        <w:pStyle w:val="Heading3"/>
        <w:jc w:val="left"/>
        <w:rPr>
          <w:color w:val="auto"/>
          <w:lang w:val="en-US"/>
        </w:rPr>
      </w:pPr>
      <w:r w:rsidRPr="00B247FF">
        <w:rPr>
          <w:color w:val="auto"/>
          <w:lang w:val="en-US"/>
        </w:rPr>
        <w:t>Reporting suspected adverse effects</w:t>
      </w:r>
    </w:p>
    <w:p w14:paraId="5F12727F" w14:textId="5FEC377F" w:rsidR="00C2178D" w:rsidRPr="00B247FF" w:rsidRDefault="00367541" w:rsidP="00786F6E">
      <w:pPr>
        <w:pStyle w:val="BodyText1"/>
        <w:jc w:val="left"/>
      </w:pPr>
      <w:r w:rsidRPr="00B247FF">
        <w:rPr>
          <w:szCs w:val="22"/>
        </w:rPr>
        <w:lastRenderedPageBreak/>
        <w:t>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1" w:history="1">
        <w:r w:rsidRPr="00B247FF">
          <w:rPr>
            <w:rStyle w:val="Hyperlink"/>
            <w:color w:val="auto"/>
            <w:szCs w:val="22"/>
          </w:rPr>
          <w:t>www.tga.gov.au/reporting-problems</w:t>
        </w:r>
      </w:hyperlink>
      <w:r w:rsidRPr="00B247FF">
        <w:rPr>
          <w:szCs w:val="22"/>
        </w:rPr>
        <w:t>.</w:t>
      </w:r>
    </w:p>
    <w:p w14:paraId="7989C4A1" w14:textId="77777777" w:rsidR="00367DB2" w:rsidRPr="00B247FF" w:rsidRDefault="00367DB2" w:rsidP="00786F6E">
      <w:pPr>
        <w:keepNext/>
        <w:tabs>
          <w:tab w:val="left" w:pos="567"/>
        </w:tabs>
        <w:rPr>
          <w:noProof/>
          <w:color w:val="auto"/>
          <w:szCs w:val="20"/>
          <w:lang w:val="en-GB"/>
        </w:rPr>
      </w:pPr>
      <w:bookmarkStart w:id="45" w:name="_Hlk11424648"/>
    </w:p>
    <w:bookmarkEnd w:id="45"/>
    <w:p w14:paraId="394FF1B1" w14:textId="0DD31AE9" w:rsidR="00D13B85" w:rsidRPr="00B247FF" w:rsidRDefault="00D13B85" w:rsidP="00786F6E">
      <w:pPr>
        <w:pStyle w:val="Heading2"/>
        <w:numPr>
          <w:ilvl w:val="1"/>
          <w:numId w:val="18"/>
        </w:numPr>
        <w:ind w:left="426" w:hanging="426"/>
        <w:jc w:val="left"/>
        <w:rPr>
          <w:color w:val="auto"/>
        </w:rPr>
      </w:pPr>
      <w:r w:rsidRPr="00B247FF">
        <w:rPr>
          <w:color w:val="auto"/>
        </w:rPr>
        <w:t>OVERDOSE</w:t>
      </w:r>
    </w:p>
    <w:p w14:paraId="4256B040" w14:textId="77777777" w:rsidR="00590670" w:rsidRPr="00B247FF" w:rsidRDefault="00F4658B" w:rsidP="00786F6E">
      <w:pPr>
        <w:rPr>
          <w:color w:val="auto"/>
        </w:rPr>
      </w:pPr>
      <w:bookmarkStart w:id="46" w:name="_Toc128303698"/>
      <w:bookmarkStart w:id="47" w:name="_Toc128305223"/>
      <w:bookmarkStart w:id="48" w:name="_Toc128305456"/>
      <w:bookmarkStart w:id="49" w:name="_Toc128306671"/>
      <w:bookmarkStart w:id="50" w:name="_Toc128307799"/>
      <w:bookmarkStart w:id="51" w:name="_Toc128307949"/>
      <w:bookmarkStart w:id="52" w:name="_Toc151795587"/>
      <w:bookmarkStart w:id="53" w:name="_Toc151796736"/>
      <w:bookmarkStart w:id="54" w:name="_Toc151796938"/>
      <w:bookmarkStart w:id="55" w:name="_Toc151801687"/>
      <w:bookmarkStart w:id="56" w:name="_Toc219801075"/>
      <w:bookmarkStart w:id="57" w:name="_Toc128303699"/>
      <w:bookmarkStart w:id="58" w:name="_Toc128305224"/>
      <w:bookmarkStart w:id="59" w:name="_Toc128305457"/>
      <w:bookmarkStart w:id="60" w:name="_Toc128306672"/>
      <w:bookmarkStart w:id="61" w:name="_Toc128307800"/>
      <w:bookmarkStart w:id="62" w:name="_Toc128307950"/>
      <w:bookmarkStart w:id="63" w:name="_Toc151795588"/>
      <w:bookmarkStart w:id="64" w:name="_Toc151796737"/>
      <w:bookmarkStart w:id="65" w:name="_Toc151796939"/>
      <w:bookmarkStart w:id="66" w:name="_Toc151801688"/>
      <w:bookmarkStart w:id="67" w:name="_Toc219801076"/>
      <w:r w:rsidRPr="00B247FF">
        <w:rPr>
          <w:color w:val="auto"/>
        </w:rPr>
        <w:t>There is no information on overdosage with RYBREVANT.</w:t>
      </w:r>
    </w:p>
    <w:p w14:paraId="2E78EFF5" w14:textId="77777777" w:rsidR="00590670" w:rsidRPr="00B247FF" w:rsidRDefault="00590670" w:rsidP="00786F6E">
      <w:pPr>
        <w:rPr>
          <w:color w:val="auto"/>
        </w:rPr>
      </w:pPr>
    </w:p>
    <w:p w14:paraId="4605E8F3" w14:textId="12B46AFC" w:rsidR="00CF5DC4" w:rsidRPr="00B247FF" w:rsidRDefault="00F4658B" w:rsidP="00786F6E">
      <w:pPr>
        <w:rPr>
          <w:iCs/>
          <w:color w:val="auto"/>
        </w:rPr>
      </w:pPr>
      <w:r w:rsidRPr="00B247FF">
        <w:rPr>
          <w:iCs/>
          <w:color w:val="auto"/>
        </w:rPr>
        <w:t xml:space="preserve">There is no known specific antidote for </w:t>
      </w:r>
      <w:r w:rsidRPr="00B247FF">
        <w:rPr>
          <w:color w:val="auto"/>
        </w:rPr>
        <w:t>RYBREVANT</w:t>
      </w:r>
      <w:r w:rsidRPr="00B247FF">
        <w:rPr>
          <w:iCs/>
          <w:color w:val="auto"/>
        </w:rPr>
        <w:t xml:space="preserve"> overdose.</w:t>
      </w:r>
      <w:r w:rsidRPr="00B247FF">
        <w:rPr>
          <w:iCs/>
          <w:color w:val="auto"/>
          <w:lang w:val="en-GB"/>
        </w:rPr>
        <w:t xml:space="preserve"> </w:t>
      </w:r>
      <w:r w:rsidRPr="00B247FF">
        <w:rPr>
          <w:iCs/>
          <w:color w:val="auto"/>
        </w:rPr>
        <w:t xml:space="preserve">In the event of an overdose, stop </w:t>
      </w:r>
      <w:r w:rsidRPr="00B247FF">
        <w:rPr>
          <w:color w:val="auto"/>
        </w:rPr>
        <w:t>RYBREVANT</w:t>
      </w:r>
      <w:r w:rsidRPr="00B247FF">
        <w:rPr>
          <w:iCs/>
          <w:color w:val="auto"/>
        </w:rPr>
        <w:t>, undertake general supportive measures until clinical toxicity has diminished or resolved.</w:t>
      </w:r>
    </w:p>
    <w:p w14:paraId="6C2B973B" w14:textId="5E8E037D" w:rsidR="00D7179F" w:rsidRPr="00B247FF" w:rsidRDefault="00D7179F" w:rsidP="00786F6E">
      <w:pPr>
        <w:rPr>
          <w:iCs/>
          <w:color w:val="auto"/>
        </w:rPr>
      </w:pPr>
    </w:p>
    <w:p w14:paraId="0928CD39" w14:textId="530842ED" w:rsidR="00D7179F" w:rsidRPr="00B247FF" w:rsidRDefault="00D7179F" w:rsidP="00786F6E">
      <w:pPr>
        <w:rPr>
          <w:iCs/>
          <w:color w:val="auto"/>
        </w:rPr>
      </w:pPr>
      <w:r w:rsidRPr="00B247FF">
        <w:rPr>
          <w:iCs/>
          <w:color w:val="auto"/>
        </w:rPr>
        <w:t>For information on the management of overdose, contact the Poisons Information Centre on 131126 (Australia).</w:t>
      </w:r>
    </w:p>
    <w:p w14:paraId="7EFC5E3A" w14:textId="77777777" w:rsidR="00F97B1D" w:rsidRPr="00B247FF" w:rsidRDefault="00F97B1D" w:rsidP="00786F6E">
      <w:pPr>
        <w:rPr>
          <w:iCs/>
          <w:color w:val="auto"/>
        </w:rPr>
      </w:pPr>
    </w:p>
    <w:p w14:paraId="19C661D6" w14:textId="45AE8410" w:rsidR="00706FA4" w:rsidRPr="00B247FF" w:rsidRDefault="00706FA4" w:rsidP="00786F6E">
      <w:pPr>
        <w:pStyle w:val="Heading1"/>
        <w:jc w:val="left"/>
        <w:rPr>
          <w:color w:val="auto"/>
        </w:rPr>
      </w:pPr>
      <w:bookmarkStart w:id="68" w:name="_Hlk15571644"/>
      <w:r w:rsidRPr="00B247FF">
        <w:rPr>
          <w:color w:val="auto"/>
        </w:rPr>
        <w:t>PHARMACOLOGICAL PROPERTIES</w:t>
      </w:r>
    </w:p>
    <w:p w14:paraId="6AA40B0F" w14:textId="348A38F7" w:rsidR="00706FA4" w:rsidRPr="00B247FF" w:rsidRDefault="00706FA4" w:rsidP="00786F6E">
      <w:pPr>
        <w:pStyle w:val="Heading2"/>
        <w:numPr>
          <w:ilvl w:val="1"/>
          <w:numId w:val="18"/>
        </w:numPr>
        <w:ind w:left="426" w:hanging="426"/>
        <w:jc w:val="left"/>
        <w:rPr>
          <w:color w:val="auto"/>
        </w:rPr>
      </w:pPr>
      <w:r w:rsidRPr="00B247FF">
        <w:rPr>
          <w:color w:val="auto"/>
        </w:rPr>
        <w:t>PHARMACODYNAMIC PROPERTIES</w:t>
      </w:r>
    </w:p>
    <w:p w14:paraId="35B828E8" w14:textId="1B50F88E" w:rsidR="005D6681" w:rsidRPr="00B247FF" w:rsidRDefault="0012412C" w:rsidP="00786F6E">
      <w:pPr>
        <w:rPr>
          <w:color w:val="auto"/>
        </w:rPr>
      </w:pPr>
      <w:r w:rsidRPr="00B247FF">
        <w:rPr>
          <w:color w:val="auto"/>
        </w:rPr>
        <w:t xml:space="preserve">Pharmacotherapeutic group: </w:t>
      </w:r>
      <w:r w:rsidR="00DC185D" w:rsidRPr="00B247FF">
        <w:rPr>
          <w:color w:val="auto"/>
        </w:rPr>
        <w:t>Monoclonal antibodies and antibody drug conjugates</w:t>
      </w:r>
      <w:r w:rsidRPr="00B247FF">
        <w:rPr>
          <w:color w:val="auto"/>
          <w:lang w:val="en-GB"/>
        </w:rPr>
        <w:t xml:space="preserve">, ATC code: </w:t>
      </w:r>
      <w:r w:rsidR="00DC185D" w:rsidRPr="00B247FF">
        <w:rPr>
          <w:color w:val="auto"/>
          <w:lang w:val="en-GB"/>
        </w:rPr>
        <w:t>L01FX18</w:t>
      </w:r>
      <w:r w:rsidRPr="00B247FF">
        <w:rPr>
          <w:color w:val="auto"/>
          <w:lang w:val="en-GB"/>
        </w:rPr>
        <w:t>.</w:t>
      </w:r>
    </w:p>
    <w:bookmarkEnd w:id="68"/>
    <w:p w14:paraId="32492F20" w14:textId="00990969" w:rsidR="00706FA4" w:rsidRPr="00B247FF" w:rsidRDefault="00706FA4" w:rsidP="00786F6E">
      <w:pPr>
        <w:pStyle w:val="Heading3"/>
        <w:jc w:val="left"/>
        <w:rPr>
          <w:color w:val="auto"/>
        </w:rPr>
      </w:pPr>
      <w:r w:rsidRPr="00B247FF">
        <w:rPr>
          <w:color w:val="auto"/>
        </w:rPr>
        <w:t xml:space="preserve">Mechanism of </w:t>
      </w:r>
      <w:r w:rsidR="00AE7FBB" w:rsidRPr="00B247FF">
        <w:rPr>
          <w:color w:val="auto"/>
        </w:rPr>
        <w:t>a</w:t>
      </w:r>
      <w:r w:rsidRPr="00B247FF">
        <w:rPr>
          <w:color w:val="auto"/>
        </w:rPr>
        <w:t>ction</w:t>
      </w:r>
    </w:p>
    <w:p w14:paraId="70A472F0" w14:textId="141D1CF1" w:rsidR="0012412C" w:rsidRPr="00B247FF" w:rsidRDefault="0012412C" w:rsidP="00786F6E">
      <w:pPr>
        <w:rPr>
          <w:color w:val="auto"/>
          <w:lang w:val="en-US"/>
        </w:rPr>
      </w:pPr>
      <w:r w:rsidRPr="00B247FF">
        <w:rPr>
          <w:color w:val="auto"/>
          <w:lang w:val="en-US"/>
        </w:rPr>
        <w:t xml:space="preserve">Amivantamab is a low-fucose, fully-human IgG1-based bispecific antibody </w:t>
      </w:r>
      <w:r w:rsidR="006B6613" w:rsidRPr="00B247FF">
        <w:rPr>
          <w:color w:val="auto"/>
          <w:lang w:val="en-US"/>
        </w:rPr>
        <w:t xml:space="preserve">that </w:t>
      </w:r>
      <w:r w:rsidRPr="00B247FF">
        <w:rPr>
          <w:color w:val="auto"/>
          <w:lang w:val="en-US"/>
        </w:rPr>
        <w:t>binds to the extracellular domains of EGFR and MET.</w:t>
      </w:r>
    </w:p>
    <w:p w14:paraId="4E06A500" w14:textId="77777777" w:rsidR="0012412C" w:rsidRPr="00B247FF" w:rsidRDefault="0012412C" w:rsidP="00786F6E">
      <w:pPr>
        <w:rPr>
          <w:color w:val="auto"/>
          <w:lang w:val="en-US"/>
        </w:rPr>
      </w:pPr>
    </w:p>
    <w:p w14:paraId="0975C912" w14:textId="26C34BCB" w:rsidR="005D6681" w:rsidRPr="00B247FF" w:rsidRDefault="005D29D8" w:rsidP="00786F6E">
      <w:pPr>
        <w:rPr>
          <w:color w:val="auto"/>
          <w:lang w:val="en-US"/>
        </w:rPr>
      </w:pPr>
      <w:r w:rsidRPr="00B247FF">
        <w:rPr>
          <w:color w:val="auto"/>
          <w:lang w:val="en-US"/>
        </w:rPr>
        <w:t>In p</w:t>
      </w:r>
      <w:r w:rsidR="0012412C" w:rsidRPr="00B247FF">
        <w:rPr>
          <w:color w:val="auto"/>
          <w:lang w:val="en-US"/>
        </w:rPr>
        <w:t>reclinical studies</w:t>
      </w:r>
      <w:r w:rsidRPr="00B247FF">
        <w:rPr>
          <w:color w:val="auto"/>
          <w:lang w:val="en-US"/>
        </w:rPr>
        <w:t>,</w:t>
      </w:r>
      <w:r w:rsidR="0012412C" w:rsidRPr="00B247FF">
        <w:rPr>
          <w:color w:val="auto"/>
          <w:lang w:val="en-US"/>
        </w:rPr>
        <w:t xml:space="preserve"> </w:t>
      </w:r>
      <w:proofErr w:type="spellStart"/>
      <w:r w:rsidR="0012412C" w:rsidRPr="00B247FF">
        <w:rPr>
          <w:color w:val="auto"/>
          <w:lang w:val="en-US"/>
        </w:rPr>
        <w:t>amivantamab</w:t>
      </w:r>
      <w:proofErr w:type="spellEnd"/>
      <w:r w:rsidR="0012412C" w:rsidRPr="00B247FF">
        <w:rPr>
          <w:color w:val="auto"/>
          <w:lang w:val="en-US"/>
        </w:rPr>
        <w:t xml:space="preserve"> disrupt</w:t>
      </w:r>
      <w:r w:rsidRPr="00B247FF">
        <w:rPr>
          <w:color w:val="auto"/>
          <w:lang w:val="en-US"/>
        </w:rPr>
        <w:t>ed</w:t>
      </w:r>
      <w:r w:rsidR="0012412C" w:rsidRPr="00B247FF">
        <w:rPr>
          <w:color w:val="auto"/>
          <w:lang w:val="en-US"/>
        </w:rPr>
        <w:t xml:space="preserve"> EGFR and MET </w:t>
      </w:r>
      <w:proofErr w:type="spellStart"/>
      <w:r w:rsidR="0012412C" w:rsidRPr="00B247FF">
        <w:rPr>
          <w:color w:val="auto"/>
          <w:lang w:val="en-US"/>
        </w:rPr>
        <w:t>signal</w:t>
      </w:r>
      <w:r w:rsidRPr="00B247FF">
        <w:rPr>
          <w:color w:val="auto"/>
          <w:lang w:val="en-US"/>
        </w:rPr>
        <w:t>l</w:t>
      </w:r>
      <w:r w:rsidR="0012412C" w:rsidRPr="00B247FF">
        <w:rPr>
          <w:color w:val="auto"/>
          <w:lang w:val="en-US"/>
        </w:rPr>
        <w:t>ing</w:t>
      </w:r>
      <w:proofErr w:type="spellEnd"/>
      <w:r w:rsidR="0012412C" w:rsidRPr="00B247FF">
        <w:rPr>
          <w:color w:val="auto"/>
          <w:lang w:val="en-US"/>
        </w:rPr>
        <w:t xml:space="preserve"> functions through blocking ligand binding and</w:t>
      </w:r>
      <w:r w:rsidRPr="00B247FF">
        <w:rPr>
          <w:color w:val="auto"/>
          <w:lang w:val="en-US"/>
        </w:rPr>
        <w:t>, in exon 20 insertion mutation models,</w:t>
      </w:r>
      <w:r w:rsidR="0012412C" w:rsidRPr="00B247FF">
        <w:rPr>
          <w:color w:val="auto"/>
          <w:lang w:val="en-US"/>
        </w:rPr>
        <w:t xml:space="preserve"> enhancing degradation of EGFR and MET. The presence of EGFR and MET on the surface of </w:t>
      </w:r>
      <w:proofErr w:type="spellStart"/>
      <w:r w:rsidR="0012412C" w:rsidRPr="00B247FF">
        <w:rPr>
          <w:color w:val="auto"/>
          <w:lang w:val="en-US"/>
        </w:rPr>
        <w:t>tumo</w:t>
      </w:r>
      <w:r w:rsidR="00BC4530" w:rsidRPr="00B247FF">
        <w:rPr>
          <w:color w:val="auto"/>
          <w:lang w:val="en-US"/>
        </w:rPr>
        <w:t>u</w:t>
      </w:r>
      <w:r w:rsidR="0012412C" w:rsidRPr="00B247FF">
        <w:rPr>
          <w:color w:val="auto"/>
          <w:lang w:val="en-US"/>
        </w:rPr>
        <w:t>r</w:t>
      </w:r>
      <w:proofErr w:type="spellEnd"/>
      <w:r w:rsidR="0012412C" w:rsidRPr="00B247FF">
        <w:rPr>
          <w:color w:val="auto"/>
          <w:lang w:val="en-US"/>
        </w:rPr>
        <w:t xml:space="preserve"> cells also allows for targeting of these cells for destruction by immune effector cells, such as natural killer cells and macrophages, through antibody-dependent cellular cytotoxicity (ADCC) and </w:t>
      </w:r>
      <w:proofErr w:type="spellStart"/>
      <w:r w:rsidR="0012412C" w:rsidRPr="00B247FF">
        <w:rPr>
          <w:color w:val="auto"/>
          <w:lang w:val="en-US"/>
        </w:rPr>
        <w:t>trogocytosis</w:t>
      </w:r>
      <w:proofErr w:type="spellEnd"/>
      <w:r w:rsidR="0012412C" w:rsidRPr="00B247FF">
        <w:rPr>
          <w:color w:val="auto"/>
          <w:lang w:val="en-US"/>
        </w:rPr>
        <w:t xml:space="preserve"> mechanisms, respectively.</w:t>
      </w:r>
    </w:p>
    <w:p w14:paraId="0B0893DD" w14:textId="2DA96AEE" w:rsidR="0012412C" w:rsidRPr="00B247FF" w:rsidRDefault="0012412C" w:rsidP="00786F6E">
      <w:pPr>
        <w:pStyle w:val="Heading3"/>
        <w:jc w:val="left"/>
        <w:rPr>
          <w:color w:val="auto"/>
        </w:rPr>
      </w:pPr>
      <w:bookmarkStart w:id="69" w:name="_Hlk52968651"/>
      <w:r w:rsidRPr="00B247FF">
        <w:rPr>
          <w:color w:val="auto"/>
        </w:rPr>
        <w:t>Pharmacodynamic effects</w:t>
      </w:r>
    </w:p>
    <w:bookmarkEnd w:id="69"/>
    <w:p w14:paraId="355BA8B2" w14:textId="77777777" w:rsidR="0012412C" w:rsidRPr="00B247FF" w:rsidRDefault="0012412C" w:rsidP="00786F6E">
      <w:pPr>
        <w:pStyle w:val="Heading4"/>
        <w:rPr>
          <w:color w:val="auto"/>
        </w:rPr>
      </w:pPr>
      <w:r w:rsidRPr="00B247FF">
        <w:rPr>
          <w:color w:val="auto"/>
        </w:rPr>
        <w:t>Immunogenicity</w:t>
      </w:r>
    </w:p>
    <w:p w14:paraId="51093C2A" w14:textId="11BF5533" w:rsidR="0012412C" w:rsidRPr="00B247FF" w:rsidRDefault="007660A9" w:rsidP="00786F6E">
      <w:pPr>
        <w:rPr>
          <w:color w:val="auto"/>
        </w:rPr>
      </w:pPr>
      <w:r w:rsidRPr="00B247FF">
        <w:rPr>
          <w:color w:val="auto"/>
          <w:lang w:val="en-GB"/>
        </w:rPr>
        <w:t xml:space="preserve">As with all therapeutic proteins, there is the potential for immunogenicity. In a clinical study of patients with locally advanced or metastatic NSCLC treated with amivantamab, 3 (0.9%) of the 347 patients </w:t>
      </w:r>
      <w:r w:rsidR="00260678" w:rsidRPr="00B247FF">
        <w:rPr>
          <w:color w:val="auto"/>
          <w:lang w:val="en-GB"/>
        </w:rPr>
        <w:t xml:space="preserve">who received RYBREVANT and were evaluable for the presence of anti-drug antibodies </w:t>
      </w:r>
      <w:r w:rsidRPr="00B247FF">
        <w:rPr>
          <w:color w:val="auto"/>
          <w:lang w:val="en-GB"/>
        </w:rPr>
        <w:t>tested positive for anti</w:t>
      </w:r>
      <w:r w:rsidRPr="00B247FF">
        <w:rPr>
          <w:color w:val="auto"/>
          <w:lang w:val="en-GB"/>
        </w:rPr>
        <w:noBreakHyphen/>
        <w:t>amivantamab antibodies</w:t>
      </w:r>
      <w:r w:rsidR="00260678" w:rsidRPr="00B247FF">
        <w:rPr>
          <w:color w:val="auto"/>
          <w:lang w:val="en-GB"/>
        </w:rPr>
        <w:t xml:space="preserve">: one at 27 days, one at 59 days and one at 168 days after the first dose: all with </w:t>
      </w:r>
      <w:proofErr w:type="spellStart"/>
      <w:r w:rsidR="00260678" w:rsidRPr="00B247FF">
        <w:rPr>
          <w:color w:val="auto"/>
          <w:lang w:val="en-GB"/>
        </w:rPr>
        <w:t>titers</w:t>
      </w:r>
      <w:proofErr w:type="spellEnd"/>
      <w:r w:rsidR="00260678" w:rsidRPr="00B247FF">
        <w:rPr>
          <w:color w:val="auto"/>
          <w:lang w:val="en-GB"/>
        </w:rPr>
        <w:t xml:space="preserve"> of 1:40 or less</w:t>
      </w:r>
      <w:r w:rsidRPr="00B247FF">
        <w:rPr>
          <w:color w:val="auto"/>
          <w:lang w:val="en-GB"/>
        </w:rPr>
        <w:t xml:space="preserve">. There </w:t>
      </w:r>
      <w:r w:rsidR="00260678" w:rsidRPr="00B247FF">
        <w:rPr>
          <w:color w:val="auto"/>
          <w:lang w:val="en-GB"/>
        </w:rPr>
        <w:t xml:space="preserve">are insufficient data to evaluate the effect of </w:t>
      </w:r>
      <w:r w:rsidR="00D059C2" w:rsidRPr="00B247FF">
        <w:rPr>
          <w:color w:val="auto"/>
          <w:lang w:val="en-GB"/>
        </w:rPr>
        <w:t>anti-drug antibodies</w:t>
      </w:r>
      <w:r w:rsidR="00260678" w:rsidRPr="00B247FF">
        <w:rPr>
          <w:color w:val="auto"/>
          <w:lang w:val="en-GB"/>
        </w:rPr>
        <w:t xml:space="preserve"> on</w:t>
      </w:r>
      <w:r w:rsidRPr="00B247FF">
        <w:rPr>
          <w:color w:val="auto"/>
          <w:lang w:val="en-GB"/>
        </w:rPr>
        <w:t xml:space="preserve"> </w:t>
      </w:r>
      <w:r w:rsidR="0013597A" w:rsidRPr="00B247FF">
        <w:rPr>
          <w:color w:val="auto"/>
          <w:lang w:val="en-GB"/>
        </w:rPr>
        <w:t>the</w:t>
      </w:r>
      <w:r w:rsidR="00D059C2" w:rsidRPr="00B247FF">
        <w:rPr>
          <w:color w:val="auto"/>
          <w:lang w:val="en-GB"/>
        </w:rPr>
        <w:t xml:space="preserve"> </w:t>
      </w:r>
      <w:r w:rsidRPr="00B247FF">
        <w:rPr>
          <w:color w:val="auto"/>
          <w:lang w:val="en-GB"/>
        </w:rPr>
        <w:t>pharmacokinetic</w:t>
      </w:r>
      <w:r w:rsidR="0013597A" w:rsidRPr="00B247FF">
        <w:rPr>
          <w:color w:val="auto"/>
          <w:lang w:val="en-GB"/>
        </w:rPr>
        <w:t>s</w:t>
      </w:r>
      <w:r w:rsidRPr="00B247FF">
        <w:rPr>
          <w:color w:val="auto"/>
          <w:lang w:val="en-GB"/>
        </w:rPr>
        <w:t xml:space="preserve">, efficacy, or safety </w:t>
      </w:r>
      <w:r w:rsidR="0013597A" w:rsidRPr="00B247FF">
        <w:rPr>
          <w:color w:val="auto"/>
          <w:lang w:val="en-GB"/>
        </w:rPr>
        <w:t>of RYBREVANT</w:t>
      </w:r>
      <w:r w:rsidR="0012412C" w:rsidRPr="00B247FF">
        <w:rPr>
          <w:color w:val="auto"/>
          <w:lang w:val="en-US"/>
        </w:rPr>
        <w:t>.</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14:paraId="35F8C6E0" w14:textId="1AB2096B" w:rsidR="00D13B85" w:rsidRPr="00B247FF" w:rsidRDefault="00D13B85" w:rsidP="00786F6E">
      <w:pPr>
        <w:pStyle w:val="Heading3"/>
        <w:jc w:val="left"/>
        <w:rPr>
          <w:color w:val="auto"/>
        </w:rPr>
      </w:pPr>
      <w:r w:rsidRPr="00B247FF">
        <w:rPr>
          <w:color w:val="auto"/>
        </w:rPr>
        <w:t>Clinical trials</w:t>
      </w:r>
    </w:p>
    <w:p w14:paraId="3398B07F" w14:textId="09F1BB63" w:rsidR="00E40803" w:rsidRPr="00B247FF" w:rsidRDefault="00E40803" w:rsidP="00786F6E">
      <w:pPr>
        <w:pStyle w:val="Heading4"/>
        <w:rPr>
          <w:color w:val="auto"/>
        </w:rPr>
      </w:pPr>
      <w:r w:rsidRPr="00B247FF">
        <w:rPr>
          <w:color w:val="auto"/>
        </w:rPr>
        <w:t xml:space="preserve">Locally </w:t>
      </w:r>
      <w:r w:rsidR="00D059C2" w:rsidRPr="00B247FF">
        <w:rPr>
          <w:color w:val="auto"/>
        </w:rPr>
        <w:t>a</w:t>
      </w:r>
      <w:r w:rsidRPr="00B247FF">
        <w:rPr>
          <w:color w:val="auto"/>
        </w:rPr>
        <w:t xml:space="preserve">dvanced or </w:t>
      </w:r>
      <w:bookmarkStart w:id="70" w:name="_Hlk43276479"/>
      <w:r w:rsidR="00D059C2" w:rsidRPr="00B247FF">
        <w:rPr>
          <w:color w:val="auto"/>
        </w:rPr>
        <w:t>m</w:t>
      </w:r>
      <w:r w:rsidRPr="00B247FF">
        <w:rPr>
          <w:color w:val="auto"/>
        </w:rPr>
        <w:t xml:space="preserve">etastatic NSCLC with </w:t>
      </w:r>
      <w:r w:rsidR="00D059C2" w:rsidRPr="00B247FF">
        <w:rPr>
          <w:color w:val="auto"/>
        </w:rPr>
        <w:t>e</w:t>
      </w:r>
      <w:r w:rsidRPr="00B247FF">
        <w:rPr>
          <w:color w:val="auto"/>
        </w:rPr>
        <w:t xml:space="preserve">xon 20 </w:t>
      </w:r>
      <w:r w:rsidR="00D059C2" w:rsidRPr="00B247FF">
        <w:rPr>
          <w:color w:val="auto"/>
        </w:rPr>
        <w:t>i</w:t>
      </w:r>
      <w:r w:rsidRPr="00B247FF">
        <w:rPr>
          <w:color w:val="auto"/>
        </w:rPr>
        <w:t xml:space="preserve">nsertion </w:t>
      </w:r>
      <w:r w:rsidR="00D059C2" w:rsidRPr="00B247FF">
        <w:rPr>
          <w:color w:val="auto"/>
        </w:rPr>
        <w:t>m</w:t>
      </w:r>
      <w:r w:rsidRPr="00B247FF">
        <w:rPr>
          <w:color w:val="auto"/>
        </w:rPr>
        <w:t>utations</w:t>
      </w:r>
      <w:bookmarkEnd w:id="70"/>
    </w:p>
    <w:p w14:paraId="0C140982" w14:textId="74344331" w:rsidR="001161F8" w:rsidRPr="00B247FF" w:rsidRDefault="005D29D8" w:rsidP="00786F6E">
      <w:pPr>
        <w:rPr>
          <w:lang w:val="en-GB"/>
        </w:rPr>
      </w:pPr>
      <w:bookmarkStart w:id="71" w:name="_Hlk39760331"/>
      <w:r w:rsidRPr="00B247FF">
        <w:rPr>
          <w:lang w:val="en-GB"/>
        </w:rPr>
        <w:t xml:space="preserve">The efficacy and safety of </w:t>
      </w:r>
      <w:proofErr w:type="spellStart"/>
      <w:r w:rsidRPr="00B247FF">
        <w:rPr>
          <w:lang w:val="en-GB"/>
        </w:rPr>
        <w:t>amivantamab</w:t>
      </w:r>
      <w:proofErr w:type="spellEnd"/>
      <w:r w:rsidRPr="00B247FF">
        <w:rPr>
          <w:lang w:val="en-GB"/>
        </w:rPr>
        <w:t xml:space="preserve"> were evaluated in </w:t>
      </w:r>
      <w:r w:rsidRPr="00B247FF">
        <w:rPr>
          <w:lang w:val="en-US"/>
        </w:rPr>
        <w:t>Study EDI1001</w:t>
      </w:r>
      <w:r w:rsidRPr="00B247FF">
        <w:rPr>
          <w:lang w:val="en-GB"/>
        </w:rPr>
        <w:t>: a</w:t>
      </w:r>
      <w:r w:rsidR="007660A9" w:rsidRPr="00B247FF">
        <w:rPr>
          <w:lang w:val="en-GB"/>
        </w:rPr>
        <w:t xml:space="preserve"> multicentre, open-label, multi-cohort study </w:t>
      </w:r>
      <w:r w:rsidRPr="00B247FF">
        <w:rPr>
          <w:lang w:val="en-GB"/>
        </w:rPr>
        <w:t xml:space="preserve">conducted </w:t>
      </w:r>
      <w:r w:rsidR="007660A9" w:rsidRPr="00B247FF">
        <w:rPr>
          <w:lang w:val="en-GB"/>
        </w:rPr>
        <w:t xml:space="preserve">in patients with locally advanced or metastatic NSCLC. Efficacy was evaluated in 81 subjects with locally advanced or metastatic NSCLC who had EGFR </w:t>
      </w:r>
      <w:r w:rsidRPr="00B247FF">
        <w:rPr>
          <w:lang w:val="en-GB"/>
        </w:rPr>
        <w:t>e</w:t>
      </w:r>
      <w:r w:rsidR="007660A9" w:rsidRPr="00B247FF">
        <w:rPr>
          <w:lang w:val="en-GB"/>
        </w:rPr>
        <w:t xml:space="preserve">xon 20 insertion mutations, whose disease had progressed on or after platinum-based chemotherapy, and who had a median follow-up of 14.5 months. Identification of an EGFR exon 20 insertion mutation was determined </w:t>
      </w:r>
      <w:r w:rsidR="001161F8" w:rsidRPr="00B247FF">
        <w:rPr>
          <w:lang w:val="en-GB"/>
        </w:rPr>
        <w:t xml:space="preserve">by prospective </w:t>
      </w:r>
      <w:r w:rsidR="007660A9" w:rsidRPr="00B247FF">
        <w:rPr>
          <w:lang w:val="en-GB"/>
        </w:rPr>
        <w:t>local</w:t>
      </w:r>
      <w:r w:rsidR="001161F8" w:rsidRPr="00B247FF">
        <w:rPr>
          <w:lang w:val="en-GB"/>
        </w:rPr>
        <w:t xml:space="preserve"> testing</w:t>
      </w:r>
      <w:r w:rsidR="007660A9" w:rsidRPr="00B247FF">
        <w:rPr>
          <w:lang w:val="en-GB"/>
        </w:rPr>
        <w:t xml:space="preserve"> using tumour tissue</w:t>
      </w:r>
      <w:r w:rsidR="001161F8" w:rsidRPr="00B247FF">
        <w:rPr>
          <w:lang w:val="en-GB"/>
        </w:rPr>
        <w:t xml:space="preserve"> (94%)</w:t>
      </w:r>
      <w:r w:rsidR="007660A9" w:rsidRPr="00B247FF">
        <w:rPr>
          <w:lang w:val="en-GB"/>
        </w:rPr>
        <w:t xml:space="preserve"> or plasma</w:t>
      </w:r>
      <w:r w:rsidR="001161F8" w:rsidRPr="00B247FF">
        <w:rPr>
          <w:lang w:val="en-GB"/>
        </w:rPr>
        <w:t xml:space="preserve"> (6%)</w:t>
      </w:r>
      <w:r w:rsidR="007660A9" w:rsidRPr="00B247FF">
        <w:rPr>
          <w:lang w:val="en-GB"/>
        </w:rPr>
        <w:t xml:space="preserve"> samples.</w:t>
      </w:r>
      <w:r w:rsidR="0018059E" w:rsidRPr="00B247FF">
        <w:rPr>
          <w:lang w:val="en-GB"/>
        </w:rPr>
        <w:t xml:space="preserve"> Patients with untreated brain metastases and patients with a history of ILD requiring </w:t>
      </w:r>
      <w:r w:rsidR="0018059E" w:rsidRPr="00B247FF">
        <w:rPr>
          <w:lang w:val="en-GB"/>
        </w:rPr>
        <w:lastRenderedPageBreak/>
        <w:t>treatment with prolonged steroids or other immunosuppressive agents within the last 2 years were not eligible for the study.</w:t>
      </w:r>
    </w:p>
    <w:p w14:paraId="38BF2111" w14:textId="77777777" w:rsidR="001161F8" w:rsidRPr="00B247FF" w:rsidRDefault="001161F8" w:rsidP="00786F6E">
      <w:pPr>
        <w:rPr>
          <w:lang w:val="en-GB"/>
        </w:rPr>
      </w:pPr>
    </w:p>
    <w:p w14:paraId="48B5A1F1" w14:textId="73C090E4" w:rsidR="007660A9" w:rsidRPr="00B247FF" w:rsidRDefault="005D29D8" w:rsidP="00786F6E">
      <w:pPr>
        <w:rPr>
          <w:lang w:val="en-GB"/>
        </w:rPr>
      </w:pPr>
      <w:proofErr w:type="spellStart"/>
      <w:r w:rsidRPr="00B247FF">
        <w:rPr>
          <w:lang w:val="en-GB"/>
        </w:rPr>
        <w:t>Amivantamab</w:t>
      </w:r>
      <w:proofErr w:type="spellEnd"/>
      <w:r w:rsidRPr="00B247FF">
        <w:rPr>
          <w:lang w:val="en-GB"/>
        </w:rPr>
        <w:t xml:space="preserve"> </w:t>
      </w:r>
      <w:r w:rsidR="007660A9" w:rsidRPr="00B247FF">
        <w:rPr>
          <w:lang w:val="en-GB"/>
        </w:rPr>
        <w:t xml:space="preserve">was administered intravenously at </w:t>
      </w:r>
      <w:r w:rsidR="006A3B93" w:rsidRPr="00B247FF">
        <w:rPr>
          <w:lang w:val="en-GB"/>
        </w:rPr>
        <w:t xml:space="preserve">a dose of </w:t>
      </w:r>
      <w:r w:rsidR="007660A9" w:rsidRPr="00B247FF">
        <w:rPr>
          <w:lang w:val="en-GB"/>
        </w:rPr>
        <w:t xml:space="preserve">1050 mg </w:t>
      </w:r>
      <w:r w:rsidR="006A3B93" w:rsidRPr="00B247FF">
        <w:rPr>
          <w:lang w:val="en-GB"/>
        </w:rPr>
        <w:t>(</w:t>
      </w:r>
      <w:r w:rsidR="007660A9" w:rsidRPr="00B247FF">
        <w:rPr>
          <w:lang w:val="en-GB"/>
        </w:rPr>
        <w:t>for patients &lt;80 kg</w:t>
      </w:r>
      <w:r w:rsidR="006A3B93" w:rsidRPr="00B247FF">
        <w:rPr>
          <w:lang w:val="en-GB"/>
        </w:rPr>
        <w:t>)</w:t>
      </w:r>
      <w:r w:rsidR="007660A9" w:rsidRPr="00B247FF">
        <w:rPr>
          <w:lang w:val="en-GB"/>
        </w:rPr>
        <w:t xml:space="preserve"> or 1400 mg </w:t>
      </w:r>
      <w:r w:rsidR="006A3B93" w:rsidRPr="00B247FF">
        <w:rPr>
          <w:lang w:val="en-GB"/>
        </w:rPr>
        <w:t>(</w:t>
      </w:r>
      <w:r w:rsidR="007660A9" w:rsidRPr="00B247FF">
        <w:rPr>
          <w:lang w:val="en-GB"/>
        </w:rPr>
        <w:t>for subjects ≥80 kg</w:t>
      </w:r>
      <w:r w:rsidR="006A3B93" w:rsidRPr="00B247FF">
        <w:rPr>
          <w:lang w:val="en-GB"/>
        </w:rPr>
        <w:t>)</w:t>
      </w:r>
      <w:r w:rsidR="007660A9" w:rsidRPr="00B247FF">
        <w:rPr>
          <w:lang w:val="en-GB"/>
        </w:rPr>
        <w:t xml:space="preserve"> once weekly for 4 weeks, then every 2 weeks starting at Week 5 until </w:t>
      </w:r>
      <w:r w:rsidR="001161F8" w:rsidRPr="00B247FF">
        <w:rPr>
          <w:lang w:val="en-GB"/>
        </w:rPr>
        <w:t>disease progression</w:t>
      </w:r>
      <w:r w:rsidR="007660A9" w:rsidRPr="00B247FF">
        <w:rPr>
          <w:lang w:val="en-GB"/>
        </w:rPr>
        <w:t xml:space="preserve"> or unacceptable toxicity. The primary efficacy endpoint was overall response rate (ORR), defined as confirmed complete response (CR) or partial response (PR) based on RECIST v1.1</w:t>
      </w:r>
      <w:r w:rsidR="00D90063" w:rsidRPr="00B247FF">
        <w:rPr>
          <w:lang w:val="en-GB"/>
        </w:rPr>
        <w:t xml:space="preserve">, </w:t>
      </w:r>
      <w:r w:rsidR="007660A9" w:rsidRPr="00B247FF">
        <w:rPr>
          <w:lang w:val="en-GB"/>
        </w:rPr>
        <w:t>assessed by a blinded independent central review (BICR). Secondary efficacy endpoints included duration of response (DOR</w:t>
      </w:r>
      <w:r w:rsidR="008C185C" w:rsidRPr="00B247FF">
        <w:rPr>
          <w:lang w:val="en-GB"/>
        </w:rPr>
        <w:t>)</w:t>
      </w:r>
      <w:r w:rsidR="00281762" w:rsidRPr="00B247FF">
        <w:rPr>
          <w:lang w:val="en-GB"/>
        </w:rPr>
        <w:t xml:space="preserve"> according to BICR</w:t>
      </w:r>
      <w:r w:rsidR="007660A9" w:rsidRPr="00B247FF">
        <w:rPr>
          <w:lang w:val="en-GB"/>
        </w:rPr>
        <w:t>.</w:t>
      </w:r>
    </w:p>
    <w:p w14:paraId="7B12749C" w14:textId="77777777" w:rsidR="007660A9" w:rsidRPr="00B247FF" w:rsidRDefault="007660A9" w:rsidP="00786F6E">
      <w:pPr>
        <w:rPr>
          <w:lang w:val="en-GB"/>
        </w:rPr>
      </w:pPr>
    </w:p>
    <w:p w14:paraId="222BCACD" w14:textId="4030C0F4" w:rsidR="009444C4" w:rsidRPr="00B247FF" w:rsidRDefault="007660A9" w:rsidP="00786F6E">
      <w:pPr>
        <w:rPr>
          <w:iCs/>
          <w:lang w:val="en-GB"/>
        </w:rPr>
      </w:pPr>
      <w:r w:rsidRPr="00B247FF">
        <w:rPr>
          <w:iCs/>
          <w:lang w:val="en-GB"/>
        </w:rPr>
        <w:t xml:space="preserve">The median age </w:t>
      </w:r>
      <w:r w:rsidR="00D90063" w:rsidRPr="00B247FF">
        <w:rPr>
          <w:iCs/>
          <w:lang w:val="en-GB"/>
        </w:rPr>
        <w:t xml:space="preserve">amongst the 81 patients in the efficacy population </w:t>
      </w:r>
      <w:r w:rsidRPr="00B247FF">
        <w:rPr>
          <w:iCs/>
          <w:lang w:val="en-GB"/>
        </w:rPr>
        <w:t xml:space="preserve">was 62 (range: 42–84) years, with 9% of the </w:t>
      </w:r>
      <w:r w:rsidR="00D90063" w:rsidRPr="00B247FF">
        <w:rPr>
          <w:iCs/>
          <w:lang w:val="en-GB"/>
        </w:rPr>
        <w:t xml:space="preserve">patients </w:t>
      </w:r>
      <w:r w:rsidRPr="00B247FF">
        <w:rPr>
          <w:iCs/>
          <w:lang w:val="en-GB"/>
        </w:rPr>
        <w:t xml:space="preserve">≥75 years of age; 59% were female; 49% were Asian and 37% were </w:t>
      </w:r>
      <w:r w:rsidR="00D90063" w:rsidRPr="00B247FF">
        <w:rPr>
          <w:iCs/>
          <w:lang w:val="en-GB"/>
        </w:rPr>
        <w:t>Caucasian;</w:t>
      </w:r>
      <w:r w:rsidRPr="00B247FF">
        <w:rPr>
          <w:iCs/>
          <w:lang w:val="en-GB"/>
        </w:rPr>
        <w:t xml:space="preserve"> </w:t>
      </w:r>
      <w:r w:rsidR="00D90063" w:rsidRPr="00B247FF">
        <w:rPr>
          <w:iCs/>
          <w:lang w:val="en-GB"/>
        </w:rPr>
        <w:t xml:space="preserve">74% had baseline body weight &lt;80 kg; 95% had adenocarcinoma; and 46% had received prior immunotherapy. </w:t>
      </w:r>
      <w:r w:rsidRPr="00B247FF">
        <w:rPr>
          <w:iCs/>
          <w:lang w:val="en-GB"/>
        </w:rPr>
        <w:t xml:space="preserve">The median number of prior therapies was 2 (range: 1 to 7). At baseline, 32% had Eastern Cooperative Oncology Group (ECOG) performance status of 0 and 67% had ECOG performance status of 1; 53% </w:t>
      </w:r>
      <w:r w:rsidR="00D90063" w:rsidRPr="00B247FF">
        <w:rPr>
          <w:iCs/>
          <w:lang w:val="en-GB"/>
        </w:rPr>
        <w:t xml:space="preserve">had </w:t>
      </w:r>
      <w:r w:rsidRPr="00B247FF">
        <w:rPr>
          <w:iCs/>
          <w:lang w:val="en-GB"/>
        </w:rPr>
        <w:t xml:space="preserve">never smoked; </w:t>
      </w:r>
      <w:r w:rsidR="00E81D41" w:rsidRPr="00B247FF">
        <w:rPr>
          <w:iCs/>
          <w:lang w:val="en-GB"/>
        </w:rPr>
        <w:t>all patients had metastatic disease</w:t>
      </w:r>
      <w:r w:rsidRPr="00B247FF">
        <w:rPr>
          <w:iCs/>
          <w:lang w:val="en-GB"/>
        </w:rPr>
        <w:t xml:space="preserve">; and 22% had previous treatment for brain metastases. </w:t>
      </w:r>
    </w:p>
    <w:bookmarkEnd w:id="71"/>
    <w:p w14:paraId="2CAF0123" w14:textId="77777777" w:rsidR="007660A9" w:rsidRPr="00B247FF" w:rsidRDefault="007660A9" w:rsidP="00786F6E">
      <w:pPr>
        <w:rPr>
          <w:iCs/>
          <w:lang w:val="en-GB"/>
        </w:rPr>
      </w:pPr>
    </w:p>
    <w:p w14:paraId="50CB7208" w14:textId="11CBCA23" w:rsidR="007660A9" w:rsidRPr="00B247FF" w:rsidRDefault="007660A9" w:rsidP="00786F6E">
      <w:pPr>
        <w:rPr>
          <w:iCs/>
          <w:lang w:val="en-GB"/>
        </w:rPr>
      </w:pPr>
      <w:r w:rsidRPr="00B247FF">
        <w:rPr>
          <w:iCs/>
          <w:lang w:val="en-GB"/>
        </w:rPr>
        <w:t>Efficacy results are summari</w:t>
      </w:r>
      <w:r w:rsidR="00A30F31" w:rsidRPr="00B247FF">
        <w:rPr>
          <w:iCs/>
          <w:lang w:val="en-GB"/>
        </w:rPr>
        <w:t>s</w:t>
      </w:r>
      <w:r w:rsidRPr="00B247FF">
        <w:rPr>
          <w:iCs/>
          <w:lang w:val="en-GB"/>
        </w:rPr>
        <w:t>ed in Table </w:t>
      </w:r>
      <w:r w:rsidR="00CD493E" w:rsidRPr="00B247FF">
        <w:rPr>
          <w:iCs/>
          <w:lang w:val="en-GB"/>
        </w:rPr>
        <w:t>10</w:t>
      </w:r>
      <w:r w:rsidRPr="00B247FF">
        <w:rPr>
          <w:iCs/>
          <w:lang w:val="en-GB"/>
        </w:rPr>
        <w:t xml:space="preserve">. </w:t>
      </w:r>
    </w:p>
    <w:p w14:paraId="759ED266" w14:textId="68FA7AAE" w:rsidR="007660A9" w:rsidRPr="00B247FF" w:rsidRDefault="007660A9" w:rsidP="00786F6E">
      <w:pPr>
        <w:rPr>
          <w:iCs/>
          <w:lang w:val="en-GB"/>
        </w:rPr>
      </w:pPr>
    </w:p>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534"/>
      </w:tblGrid>
      <w:tr w:rsidR="007660A9" w:rsidRPr="00B247FF" w14:paraId="455F24F7" w14:textId="77777777" w:rsidTr="0018059E">
        <w:trPr>
          <w:trHeight w:val="357"/>
        </w:trPr>
        <w:tc>
          <w:tcPr>
            <w:tcW w:w="5000" w:type="pct"/>
            <w:gridSpan w:val="2"/>
            <w:tcBorders>
              <w:top w:val="nil"/>
              <w:left w:val="nil"/>
              <w:right w:val="nil"/>
            </w:tcBorders>
          </w:tcPr>
          <w:p w14:paraId="4E08DEFB" w14:textId="40A340BB" w:rsidR="007660A9" w:rsidRPr="00B247FF" w:rsidRDefault="007660A9" w:rsidP="00786F6E">
            <w:pPr>
              <w:keepNext/>
              <w:tabs>
                <w:tab w:val="left" w:pos="1152"/>
                <w:tab w:val="left" w:pos="1440"/>
              </w:tabs>
              <w:spacing w:before="60" w:after="60"/>
              <w:ind w:left="1152" w:hanging="1152"/>
              <w:rPr>
                <w:b/>
                <w:bCs/>
                <w:color w:val="auto"/>
                <w:lang w:val="en-US"/>
              </w:rPr>
            </w:pPr>
            <w:bookmarkStart w:id="72" w:name="_Hlk51592167"/>
            <w:r w:rsidRPr="00B247FF">
              <w:rPr>
                <w:b/>
                <w:bCs/>
                <w:color w:val="auto"/>
                <w:lang w:val="en-US"/>
              </w:rPr>
              <w:t>Table </w:t>
            </w:r>
            <w:r w:rsidR="00CD493E" w:rsidRPr="00B247FF">
              <w:rPr>
                <w:b/>
                <w:bCs/>
                <w:color w:val="auto"/>
                <w:lang w:val="en-US"/>
              </w:rPr>
              <w:t>10</w:t>
            </w:r>
            <w:r w:rsidRPr="00B247FF">
              <w:rPr>
                <w:b/>
                <w:bCs/>
                <w:color w:val="auto"/>
                <w:lang w:val="en-US"/>
              </w:rPr>
              <w:t>:</w:t>
            </w:r>
            <w:r w:rsidRPr="00B247FF">
              <w:rPr>
                <w:b/>
                <w:bCs/>
                <w:color w:val="auto"/>
                <w:lang w:val="en-US"/>
              </w:rPr>
              <w:tab/>
              <w:t xml:space="preserve">Efficacy results in </w:t>
            </w:r>
            <w:r w:rsidR="0018059E" w:rsidRPr="00B247FF">
              <w:rPr>
                <w:b/>
                <w:bCs/>
                <w:color w:val="auto"/>
                <w:lang w:val="en-US"/>
              </w:rPr>
              <w:t>Study EDI1001</w:t>
            </w:r>
          </w:p>
        </w:tc>
      </w:tr>
      <w:tr w:rsidR="0018059E" w:rsidRPr="00B247FF" w14:paraId="627A29F9" w14:textId="77777777" w:rsidTr="0018059E">
        <w:trPr>
          <w:trHeight w:val="836"/>
        </w:trPr>
        <w:tc>
          <w:tcPr>
            <w:tcW w:w="2614" w:type="pct"/>
            <w:tcBorders>
              <w:top w:val="single" w:sz="4" w:space="0" w:color="auto"/>
            </w:tcBorders>
            <w:shd w:val="clear" w:color="auto" w:fill="auto"/>
          </w:tcPr>
          <w:p w14:paraId="6E19F324" w14:textId="77777777" w:rsidR="0018059E" w:rsidRPr="00B247FF" w:rsidRDefault="0018059E" w:rsidP="00786F6E">
            <w:pPr>
              <w:tabs>
                <w:tab w:val="left" w:pos="567"/>
              </w:tabs>
              <w:spacing w:line="260" w:lineRule="exact"/>
              <w:rPr>
                <w:b/>
                <w:bCs/>
                <w:color w:val="auto"/>
                <w:szCs w:val="24"/>
                <w:lang w:val="en-GB"/>
              </w:rPr>
            </w:pPr>
          </w:p>
        </w:tc>
        <w:tc>
          <w:tcPr>
            <w:tcW w:w="2386" w:type="pct"/>
            <w:tcBorders>
              <w:top w:val="single" w:sz="4" w:space="0" w:color="auto"/>
            </w:tcBorders>
            <w:shd w:val="clear" w:color="auto" w:fill="auto"/>
          </w:tcPr>
          <w:p w14:paraId="7DFA0872" w14:textId="3424C946" w:rsidR="0018059E" w:rsidRPr="00B247FF" w:rsidRDefault="00281762" w:rsidP="00786F6E">
            <w:pPr>
              <w:tabs>
                <w:tab w:val="left" w:pos="567"/>
              </w:tabs>
              <w:spacing w:line="260" w:lineRule="exact"/>
              <w:rPr>
                <w:b/>
                <w:bCs/>
                <w:color w:val="auto"/>
                <w:szCs w:val="24"/>
                <w:lang w:val="en-GB"/>
              </w:rPr>
            </w:pPr>
            <w:r w:rsidRPr="00B247FF">
              <w:rPr>
                <w:b/>
                <w:bCs/>
                <w:color w:val="auto"/>
                <w:szCs w:val="24"/>
                <w:lang w:val="en-GB"/>
              </w:rPr>
              <w:t>Patients with</w:t>
            </w:r>
            <w:r w:rsidR="0018059E" w:rsidRPr="00B247FF">
              <w:rPr>
                <w:b/>
                <w:bCs/>
                <w:color w:val="auto"/>
                <w:szCs w:val="24"/>
                <w:lang w:val="en-GB"/>
              </w:rPr>
              <w:t xml:space="preserve"> EGFR exon 20 insertion</w:t>
            </w:r>
            <w:r w:rsidR="001F1972" w:rsidRPr="00B247FF">
              <w:rPr>
                <w:b/>
                <w:bCs/>
                <w:color w:val="auto"/>
                <w:szCs w:val="24"/>
                <w:lang w:val="en-GB"/>
              </w:rPr>
              <w:t>-</w:t>
            </w:r>
            <w:r w:rsidR="0018059E" w:rsidRPr="00B247FF">
              <w:rPr>
                <w:b/>
                <w:bCs/>
                <w:color w:val="auto"/>
                <w:szCs w:val="24"/>
                <w:lang w:val="en-GB"/>
              </w:rPr>
              <w:t xml:space="preserve">positive </w:t>
            </w:r>
            <w:r w:rsidR="001F1972" w:rsidRPr="00B247FF">
              <w:rPr>
                <w:b/>
                <w:bCs/>
                <w:color w:val="auto"/>
                <w:szCs w:val="24"/>
                <w:lang w:val="en-GB"/>
              </w:rPr>
              <w:t xml:space="preserve">NSCLC </w:t>
            </w:r>
            <w:r w:rsidR="0018059E" w:rsidRPr="00B247FF">
              <w:rPr>
                <w:b/>
                <w:bCs/>
                <w:color w:val="auto"/>
                <w:szCs w:val="24"/>
                <w:lang w:val="en-GB"/>
              </w:rPr>
              <w:t>previously treated with platinum-based chemotherapy</w:t>
            </w:r>
          </w:p>
          <w:p w14:paraId="7C22EA0F" w14:textId="77777777" w:rsidR="0018059E" w:rsidRPr="00B247FF" w:rsidRDefault="0018059E" w:rsidP="00786F6E">
            <w:pPr>
              <w:tabs>
                <w:tab w:val="left" w:pos="567"/>
              </w:tabs>
              <w:spacing w:line="260" w:lineRule="exact"/>
              <w:rPr>
                <w:b/>
                <w:bCs/>
                <w:color w:val="auto"/>
                <w:szCs w:val="24"/>
                <w:lang w:val="en-GB"/>
              </w:rPr>
            </w:pPr>
            <w:r w:rsidRPr="00B247FF">
              <w:rPr>
                <w:b/>
                <w:bCs/>
                <w:color w:val="auto"/>
                <w:szCs w:val="24"/>
                <w:lang w:val="en-GB"/>
              </w:rPr>
              <w:t>(N=81)</w:t>
            </w:r>
          </w:p>
        </w:tc>
      </w:tr>
      <w:tr w:rsidR="0018059E" w:rsidRPr="00B247FF" w14:paraId="3BB090A3" w14:textId="77777777" w:rsidTr="0018059E">
        <w:trPr>
          <w:trHeight w:val="373"/>
        </w:trPr>
        <w:tc>
          <w:tcPr>
            <w:tcW w:w="2614" w:type="pct"/>
            <w:shd w:val="clear" w:color="auto" w:fill="auto"/>
            <w:vAlign w:val="center"/>
          </w:tcPr>
          <w:p w14:paraId="03A91E49" w14:textId="024A432C" w:rsidR="0018059E" w:rsidRPr="00B247FF" w:rsidRDefault="0018059E" w:rsidP="00786F6E">
            <w:pPr>
              <w:tabs>
                <w:tab w:val="left" w:pos="567"/>
              </w:tabs>
              <w:spacing w:line="260" w:lineRule="exact"/>
              <w:rPr>
                <w:color w:val="auto"/>
                <w:szCs w:val="24"/>
                <w:lang w:val="en-GB"/>
              </w:rPr>
            </w:pPr>
            <w:r w:rsidRPr="00B247FF">
              <w:rPr>
                <w:b/>
                <w:bCs/>
                <w:color w:val="auto"/>
                <w:szCs w:val="24"/>
                <w:lang w:val="en-GB"/>
              </w:rPr>
              <w:t>Overall response rate</w:t>
            </w:r>
            <w:r w:rsidR="001F1972" w:rsidRPr="00B247FF">
              <w:rPr>
                <w:b/>
                <w:bCs/>
                <w:color w:val="auto"/>
                <w:vertAlign w:val="superscript"/>
                <w:lang w:val="en-US"/>
              </w:rPr>
              <w:t>a</w:t>
            </w:r>
            <w:r w:rsidRPr="00B247FF">
              <w:rPr>
                <w:b/>
                <w:bCs/>
                <w:color w:val="auto"/>
                <w:szCs w:val="24"/>
                <w:lang w:val="en-GB"/>
              </w:rPr>
              <w:t xml:space="preserve"> </w:t>
            </w:r>
            <w:r w:rsidRPr="00B247FF">
              <w:rPr>
                <w:color w:val="auto"/>
                <w:szCs w:val="24"/>
                <w:lang w:val="en-GB"/>
              </w:rPr>
              <w:t>(95% CI)</w:t>
            </w:r>
          </w:p>
        </w:tc>
        <w:tc>
          <w:tcPr>
            <w:tcW w:w="2386" w:type="pct"/>
            <w:vAlign w:val="center"/>
          </w:tcPr>
          <w:p w14:paraId="129365AE" w14:textId="77777777" w:rsidR="0018059E" w:rsidRPr="00B247FF" w:rsidRDefault="0018059E" w:rsidP="00786F6E">
            <w:pPr>
              <w:tabs>
                <w:tab w:val="left" w:pos="567"/>
              </w:tabs>
              <w:spacing w:line="260" w:lineRule="exact"/>
              <w:rPr>
                <w:color w:val="auto"/>
                <w:szCs w:val="24"/>
                <w:lang w:val="en-GB"/>
              </w:rPr>
            </w:pPr>
            <w:r w:rsidRPr="00B247FF">
              <w:rPr>
                <w:color w:val="auto"/>
                <w:szCs w:val="24"/>
                <w:lang w:val="en-GB"/>
              </w:rPr>
              <w:t>43% (32%, 55%)</w:t>
            </w:r>
          </w:p>
        </w:tc>
      </w:tr>
      <w:tr w:rsidR="0018059E" w:rsidRPr="00B247FF" w14:paraId="48CBBB01" w14:textId="77777777" w:rsidTr="0018059E">
        <w:trPr>
          <w:trHeight w:val="373"/>
        </w:trPr>
        <w:tc>
          <w:tcPr>
            <w:tcW w:w="2614" w:type="pct"/>
            <w:shd w:val="clear" w:color="auto" w:fill="auto"/>
            <w:vAlign w:val="center"/>
          </w:tcPr>
          <w:p w14:paraId="7FA9A18A" w14:textId="75FFA00F" w:rsidR="0018059E" w:rsidRPr="00B247FF" w:rsidRDefault="0018059E" w:rsidP="00786F6E">
            <w:pPr>
              <w:tabs>
                <w:tab w:val="left" w:pos="567"/>
              </w:tabs>
              <w:spacing w:line="260" w:lineRule="exact"/>
              <w:ind w:left="567"/>
              <w:rPr>
                <w:color w:val="auto"/>
                <w:szCs w:val="24"/>
                <w:lang w:val="en-GB"/>
              </w:rPr>
            </w:pPr>
            <w:r w:rsidRPr="00B247FF">
              <w:rPr>
                <w:szCs w:val="24"/>
                <w:lang w:val="en-GB"/>
              </w:rPr>
              <w:t>Complete response (CR) rate</w:t>
            </w:r>
          </w:p>
        </w:tc>
        <w:tc>
          <w:tcPr>
            <w:tcW w:w="2386" w:type="pct"/>
            <w:vAlign w:val="center"/>
          </w:tcPr>
          <w:p w14:paraId="0E7565B6" w14:textId="77777777" w:rsidR="0018059E" w:rsidRPr="00B247FF" w:rsidRDefault="0018059E" w:rsidP="00786F6E">
            <w:pPr>
              <w:tabs>
                <w:tab w:val="left" w:pos="567"/>
              </w:tabs>
              <w:spacing w:line="260" w:lineRule="exact"/>
              <w:rPr>
                <w:color w:val="auto"/>
                <w:szCs w:val="24"/>
                <w:lang w:val="en-GB"/>
              </w:rPr>
            </w:pPr>
            <w:r w:rsidRPr="00B247FF">
              <w:rPr>
                <w:color w:val="auto"/>
                <w:szCs w:val="24"/>
                <w:lang w:val="en-GB"/>
              </w:rPr>
              <w:t>4%</w:t>
            </w:r>
          </w:p>
        </w:tc>
      </w:tr>
      <w:tr w:rsidR="0018059E" w:rsidRPr="00B247FF" w14:paraId="0AD5FAAE" w14:textId="77777777" w:rsidTr="0018059E">
        <w:trPr>
          <w:trHeight w:val="373"/>
        </w:trPr>
        <w:tc>
          <w:tcPr>
            <w:tcW w:w="2614" w:type="pct"/>
            <w:shd w:val="clear" w:color="auto" w:fill="auto"/>
            <w:vAlign w:val="center"/>
          </w:tcPr>
          <w:p w14:paraId="4AD1DE91" w14:textId="2F976A24" w:rsidR="0018059E" w:rsidRPr="00B247FF" w:rsidRDefault="0018059E" w:rsidP="00786F6E">
            <w:pPr>
              <w:tabs>
                <w:tab w:val="left" w:pos="567"/>
              </w:tabs>
              <w:spacing w:line="260" w:lineRule="exact"/>
              <w:ind w:left="567"/>
              <w:rPr>
                <w:color w:val="auto"/>
                <w:szCs w:val="24"/>
                <w:lang w:val="en-GB"/>
              </w:rPr>
            </w:pPr>
            <w:r w:rsidRPr="00B247FF">
              <w:rPr>
                <w:szCs w:val="24"/>
                <w:lang w:val="en-GB"/>
              </w:rPr>
              <w:t>Partial response (PR) rate</w:t>
            </w:r>
          </w:p>
        </w:tc>
        <w:tc>
          <w:tcPr>
            <w:tcW w:w="2386" w:type="pct"/>
            <w:vAlign w:val="center"/>
          </w:tcPr>
          <w:p w14:paraId="6CFEECF9" w14:textId="77777777" w:rsidR="0018059E" w:rsidRPr="00B247FF" w:rsidRDefault="0018059E" w:rsidP="00786F6E">
            <w:pPr>
              <w:tabs>
                <w:tab w:val="left" w:pos="567"/>
              </w:tabs>
              <w:spacing w:line="260" w:lineRule="exact"/>
              <w:rPr>
                <w:color w:val="auto"/>
                <w:szCs w:val="24"/>
                <w:lang w:val="en-GB"/>
              </w:rPr>
            </w:pPr>
            <w:r w:rsidRPr="00B247FF">
              <w:rPr>
                <w:color w:val="auto"/>
                <w:szCs w:val="24"/>
                <w:lang w:val="en-GB"/>
              </w:rPr>
              <w:t>40%</w:t>
            </w:r>
          </w:p>
        </w:tc>
      </w:tr>
      <w:tr w:rsidR="007660A9" w:rsidRPr="00B247FF" w14:paraId="49C2B296" w14:textId="77777777" w:rsidTr="0018059E">
        <w:trPr>
          <w:trHeight w:val="373"/>
        </w:trPr>
        <w:tc>
          <w:tcPr>
            <w:tcW w:w="5000" w:type="pct"/>
            <w:gridSpan w:val="2"/>
            <w:shd w:val="clear" w:color="auto" w:fill="auto"/>
            <w:vAlign w:val="center"/>
          </w:tcPr>
          <w:p w14:paraId="4171E749" w14:textId="46AB6FE5" w:rsidR="007660A9" w:rsidRPr="00B247FF" w:rsidRDefault="007660A9" w:rsidP="00786F6E">
            <w:pPr>
              <w:tabs>
                <w:tab w:val="left" w:pos="567"/>
              </w:tabs>
              <w:spacing w:line="260" w:lineRule="exact"/>
              <w:rPr>
                <w:color w:val="auto"/>
                <w:szCs w:val="24"/>
                <w:lang w:val="en-GB"/>
              </w:rPr>
            </w:pPr>
            <w:r w:rsidRPr="00B247FF">
              <w:rPr>
                <w:b/>
                <w:bCs/>
                <w:szCs w:val="24"/>
                <w:lang w:val="en-GB"/>
              </w:rPr>
              <w:t xml:space="preserve">Duration of </w:t>
            </w:r>
            <w:proofErr w:type="spellStart"/>
            <w:r w:rsidRPr="00B247FF">
              <w:rPr>
                <w:b/>
                <w:bCs/>
                <w:szCs w:val="24"/>
                <w:lang w:val="en-GB"/>
              </w:rPr>
              <w:t>response</w:t>
            </w:r>
            <w:r w:rsidR="00114BB1" w:rsidRPr="00B247FF">
              <w:rPr>
                <w:b/>
                <w:bCs/>
                <w:szCs w:val="24"/>
                <w:vertAlign w:val="superscript"/>
                <w:lang w:val="en-GB"/>
              </w:rPr>
              <w:t>a</w:t>
            </w:r>
            <w:proofErr w:type="spellEnd"/>
            <w:r w:rsidRPr="00B247FF">
              <w:rPr>
                <w:szCs w:val="24"/>
                <w:lang w:val="en-GB"/>
              </w:rPr>
              <w:t xml:space="preserve"> </w:t>
            </w:r>
          </w:p>
        </w:tc>
      </w:tr>
      <w:tr w:rsidR="0018059E" w:rsidRPr="00B247FF" w14:paraId="33834228" w14:textId="77777777" w:rsidTr="0018059E">
        <w:trPr>
          <w:trHeight w:val="373"/>
        </w:trPr>
        <w:tc>
          <w:tcPr>
            <w:tcW w:w="2614" w:type="pct"/>
            <w:shd w:val="clear" w:color="auto" w:fill="auto"/>
            <w:vAlign w:val="center"/>
          </w:tcPr>
          <w:p w14:paraId="4D4A00E1" w14:textId="6AAC5EAD" w:rsidR="0018059E" w:rsidRPr="00B247FF" w:rsidRDefault="0018059E" w:rsidP="00786F6E">
            <w:pPr>
              <w:tabs>
                <w:tab w:val="left" w:pos="567"/>
              </w:tabs>
              <w:spacing w:line="260" w:lineRule="exact"/>
              <w:ind w:left="567"/>
              <w:rPr>
                <w:szCs w:val="24"/>
                <w:vertAlign w:val="superscript"/>
                <w:lang w:val="en-GB"/>
              </w:rPr>
            </w:pPr>
            <w:r w:rsidRPr="00B247FF">
              <w:rPr>
                <w:szCs w:val="24"/>
                <w:lang w:val="en-GB"/>
              </w:rPr>
              <w:t>Median (95% CI), months</w:t>
            </w:r>
          </w:p>
        </w:tc>
        <w:tc>
          <w:tcPr>
            <w:tcW w:w="2386" w:type="pct"/>
            <w:vAlign w:val="center"/>
          </w:tcPr>
          <w:p w14:paraId="35770EE5" w14:textId="77777777" w:rsidR="0018059E" w:rsidRPr="00B247FF" w:rsidDel="00257DF4" w:rsidRDefault="0018059E" w:rsidP="00786F6E">
            <w:pPr>
              <w:tabs>
                <w:tab w:val="left" w:pos="567"/>
              </w:tabs>
              <w:spacing w:line="260" w:lineRule="exact"/>
              <w:rPr>
                <w:color w:val="auto"/>
                <w:szCs w:val="24"/>
                <w:lang w:val="en-GB"/>
              </w:rPr>
            </w:pPr>
            <w:r w:rsidRPr="00B247FF">
              <w:rPr>
                <w:color w:val="auto"/>
                <w:szCs w:val="24"/>
                <w:lang w:val="en-GB"/>
              </w:rPr>
              <w:t>11.0 (6.9, NE)</w:t>
            </w:r>
          </w:p>
        </w:tc>
      </w:tr>
      <w:tr w:rsidR="0018059E" w:rsidRPr="00B247FF" w14:paraId="46133CC4" w14:textId="77777777" w:rsidTr="0018059E">
        <w:trPr>
          <w:trHeight w:val="373"/>
        </w:trPr>
        <w:tc>
          <w:tcPr>
            <w:tcW w:w="2614" w:type="pct"/>
            <w:shd w:val="clear" w:color="auto" w:fill="auto"/>
            <w:vAlign w:val="center"/>
          </w:tcPr>
          <w:p w14:paraId="4D8DBFA3" w14:textId="77777777" w:rsidR="0018059E" w:rsidRPr="00B247FF" w:rsidRDefault="0018059E" w:rsidP="00786F6E">
            <w:pPr>
              <w:tabs>
                <w:tab w:val="left" w:pos="567"/>
              </w:tabs>
              <w:spacing w:line="260" w:lineRule="exact"/>
              <w:ind w:left="567"/>
              <w:rPr>
                <w:szCs w:val="24"/>
                <w:lang w:val="en-GB"/>
              </w:rPr>
            </w:pPr>
            <w:r w:rsidRPr="00B247FF">
              <w:rPr>
                <w:szCs w:val="24"/>
                <w:lang w:val="en-GB"/>
              </w:rPr>
              <w:t>Patients with DOR ≥ 6 months</w:t>
            </w:r>
          </w:p>
        </w:tc>
        <w:tc>
          <w:tcPr>
            <w:tcW w:w="2386" w:type="pct"/>
            <w:vAlign w:val="center"/>
          </w:tcPr>
          <w:p w14:paraId="0D9C73CD" w14:textId="77777777" w:rsidR="0018059E" w:rsidRPr="00B247FF" w:rsidRDefault="0018059E" w:rsidP="00786F6E">
            <w:pPr>
              <w:tabs>
                <w:tab w:val="left" w:pos="567"/>
              </w:tabs>
              <w:spacing w:line="260" w:lineRule="exact"/>
              <w:rPr>
                <w:color w:val="auto"/>
                <w:szCs w:val="24"/>
                <w:lang w:val="en-GB"/>
              </w:rPr>
            </w:pPr>
            <w:r w:rsidRPr="00B247FF">
              <w:rPr>
                <w:color w:val="auto"/>
                <w:szCs w:val="24"/>
                <w:lang w:val="en-GB"/>
              </w:rPr>
              <w:t>60%</w:t>
            </w:r>
          </w:p>
        </w:tc>
      </w:tr>
      <w:tr w:rsidR="007660A9" w:rsidRPr="00B247FF" w14:paraId="6824350B" w14:textId="77777777" w:rsidTr="0018059E">
        <w:trPr>
          <w:trHeight w:val="373"/>
        </w:trPr>
        <w:tc>
          <w:tcPr>
            <w:tcW w:w="5000" w:type="pct"/>
            <w:gridSpan w:val="2"/>
            <w:tcBorders>
              <w:left w:val="nil"/>
              <w:bottom w:val="nil"/>
              <w:right w:val="nil"/>
            </w:tcBorders>
            <w:shd w:val="clear" w:color="auto" w:fill="auto"/>
            <w:vAlign w:val="center"/>
          </w:tcPr>
          <w:p w14:paraId="4E1F6EC3" w14:textId="6444E995" w:rsidR="007660A9" w:rsidRPr="00B247FF" w:rsidRDefault="0018059E" w:rsidP="00786F6E">
            <w:pPr>
              <w:ind w:left="360" w:hanging="360"/>
              <w:rPr>
                <w:color w:val="auto"/>
                <w:sz w:val="18"/>
                <w:szCs w:val="18"/>
                <w:lang w:val="en-US"/>
              </w:rPr>
            </w:pPr>
            <w:r w:rsidRPr="00B247FF">
              <w:rPr>
                <w:color w:val="auto"/>
                <w:sz w:val="18"/>
                <w:szCs w:val="18"/>
                <w:lang w:val="en-US"/>
              </w:rPr>
              <w:t xml:space="preserve">CI = confidence interval; </w:t>
            </w:r>
            <w:r w:rsidR="007660A9" w:rsidRPr="00B247FF">
              <w:rPr>
                <w:color w:val="auto"/>
                <w:sz w:val="18"/>
                <w:szCs w:val="18"/>
                <w:lang w:val="en-US"/>
              </w:rPr>
              <w:t xml:space="preserve">NE = </w:t>
            </w:r>
            <w:r w:rsidRPr="00B247FF">
              <w:rPr>
                <w:color w:val="auto"/>
                <w:sz w:val="18"/>
                <w:szCs w:val="18"/>
                <w:lang w:val="en-US"/>
              </w:rPr>
              <w:t>n</w:t>
            </w:r>
            <w:r w:rsidR="007660A9" w:rsidRPr="00B247FF">
              <w:rPr>
                <w:color w:val="auto"/>
                <w:sz w:val="18"/>
                <w:szCs w:val="18"/>
                <w:lang w:val="en-US"/>
              </w:rPr>
              <w:t xml:space="preserve">ot </w:t>
            </w:r>
            <w:r w:rsidRPr="00B247FF">
              <w:rPr>
                <w:color w:val="auto"/>
                <w:sz w:val="18"/>
                <w:szCs w:val="18"/>
                <w:lang w:val="en-US"/>
              </w:rPr>
              <w:t>e</w:t>
            </w:r>
            <w:r w:rsidR="007660A9" w:rsidRPr="00B247FF">
              <w:rPr>
                <w:color w:val="auto"/>
                <w:sz w:val="18"/>
                <w:szCs w:val="18"/>
                <w:lang w:val="en-US"/>
              </w:rPr>
              <w:t>stimable</w:t>
            </w:r>
          </w:p>
          <w:p w14:paraId="1E316609" w14:textId="5156B50F" w:rsidR="007660A9" w:rsidRPr="00B247FF" w:rsidRDefault="0018059E" w:rsidP="00786F6E">
            <w:pPr>
              <w:ind w:left="360" w:hanging="360"/>
              <w:rPr>
                <w:color w:val="auto"/>
                <w:sz w:val="18"/>
                <w:szCs w:val="18"/>
                <w:lang w:val="en-US"/>
              </w:rPr>
            </w:pPr>
            <w:r w:rsidRPr="00B247FF">
              <w:rPr>
                <w:color w:val="auto"/>
                <w:szCs w:val="20"/>
                <w:vertAlign w:val="superscript"/>
                <w:lang w:val="en-US"/>
              </w:rPr>
              <w:t>a</w:t>
            </w:r>
            <w:r w:rsidR="007660A9" w:rsidRPr="00B247FF">
              <w:rPr>
                <w:color w:val="auto"/>
                <w:szCs w:val="20"/>
                <w:lang w:val="en-US"/>
              </w:rPr>
              <w:tab/>
            </w:r>
            <w:r w:rsidR="007660A9" w:rsidRPr="00B247FF">
              <w:rPr>
                <w:color w:val="auto"/>
                <w:sz w:val="18"/>
                <w:szCs w:val="18"/>
                <w:lang w:val="en-US"/>
              </w:rPr>
              <w:t>Kaplan-Meier estimate</w:t>
            </w:r>
            <w:r w:rsidR="001F1972" w:rsidRPr="00B247FF">
              <w:rPr>
                <w:color w:val="auto"/>
                <w:sz w:val="18"/>
                <w:szCs w:val="18"/>
                <w:lang w:val="en-US"/>
              </w:rPr>
              <w:t>s</w:t>
            </w:r>
            <w:r w:rsidR="00114BB1" w:rsidRPr="00B247FF">
              <w:rPr>
                <w:color w:val="auto"/>
                <w:sz w:val="18"/>
                <w:szCs w:val="18"/>
                <w:lang w:val="en-US"/>
              </w:rPr>
              <w:t>, based on c</w:t>
            </w:r>
            <w:r w:rsidR="00B4109B" w:rsidRPr="00B247FF">
              <w:rPr>
                <w:color w:val="auto"/>
                <w:sz w:val="18"/>
                <w:szCs w:val="18"/>
                <w:lang w:val="en-US"/>
              </w:rPr>
              <w:t>onfirmed response</w:t>
            </w:r>
            <w:r w:rsidR="00114BB1" w:rsidRPr="00B247FF">
              <w:rPr>
                <w:color w:val="auto"/>
                <w:sz w:val="18"/>
                <w:szCs w:val="18"/>
                <w:lang w:val="en-US"/>
              </w:rPr>
              <w:t>s</w:t>
            </w:r>
          </w:p>
        </w:tc>
      </w:tr>
      <w:bookmarkEnd w:id="72"/>
    </w:tbl>
    <w:p w14:paraId="190D79E9" w14:textId="77777777" w:rsidR="00786F6E" w:rsidRDefault="00786F6E" w:rsidP="00786F6E">
      <w:pPr>
        <w:rPr>
          <w:iCs/>
          <w:lang w:val="en-GB"/>
        </w:rPr>
      </w:pPr>
    </w:p>
    <w:p w14:paraId="3F808E29" w14:textId="066CDAAB" w:rsidR="007660A9" w:rsidRPr="00B247FF" w:rsidRDefault="009444C4" w:rsidP="00786F6E">
      <w:pPr>
        <w:rPr>
          <w:iCs/>
          <w:lang w:val="en-US"/>
        </w:rPr>
      </w:pPr>
      <w:r w:rsidRPr="00B247FF">
        <w:rPr>
          <w:iCs/>
          <w:lang w:val="en-GB"/>
        </w:rPr>
        <w:t>Of the 81 patients with EGFR exon 20 insertion mutations according to local testing, plasma samples from 96% of patients were tested retrospectively using Guardant360</w:t>
      </w:r>
      <w:r w:rsidRPr="00B247FF">
        <w:rPr>
          <w:iCs/>
          <w:vertAlign w:val="superscript"/>
          <w:lang w:val="en-GB"/>
        </w:rPr>
        <w:t>®</w:t>
      </w:r>
      <w:r w:rsidRPr="00B247FF">
        <w:rPr>
          <w:iCs/>
          <w:lang w:val="en-GB"/>
        </w:rPr>
        <w:t xml:space="preserve"> </w:t>
      </w:r>
      <w:proofErr w:type="spellStart"/>
      <w:r w:rsidRPr="00B247FF">
        <w:rPr>
          <w:iCs/>
          <w:lang w:val="en-GB"/>
        </w:rPr>
        <w:t>CDx</w:t>
      </w:r>
      <w:proofErr w:type="spellEnd"/>
      <w:r w:rsidRPr="00B247FF">
        <w:rPr>
          <w:iCs/>
          <w:lang w:val="en-GB"/>
        </w:rPr>
        <w:t xml:space="preserve"> (3.7% did not have plasma samples for testing). EGFR exon 20 insertion mutations were not identified on the Guardant360</w:t>
      </w:r>
      <w:r w:rsidRPr="00B247FF">
        <w:rPr>
          <w:iCs/>
          <w:vertAlign w:val="superscript"/>
          <w:lang w:val="en-GB"/>
        </w:rPr>
        <w:t>®</w:t>
      </w:r>
      <w:r w:rsidRPr="00B247FF">
        <w:rPr>
          <w:iCs/>
          <w:lang w:val="en-GB"/>
        </w:rPr>
        <w:t xml:space="preserve"> </w:t>
      </w:r>
      <w:proofErr w:type="spellStart"/>
      <w:r w:rsidRPr="00B247FF">
        <w:rPr>
          <w:iCs/>
          <w:lang w:val="en-GB"/>
        </w:rPr>
        <w:t>CDx</w:t>
      </w:r>
      <w:proofErr w:type="spellEnd"/>
      <w:r w:rsidRPr="00B247FF">
        <w:rPr>
          <w:iCs/>
          <w:lang w:val="en-GB"/>
        </w:rPr>
        <w:t xml:space="preserve"> test for 20% of patients. For the 76% of patients in whom exon 20 insertion mutations were identified, the variants </w:t>
      </w:r>
      <w:r w:rsidR="00F42AB7" w:rsidRPr="00B247FF">
        <w:rPr>
          <w:iCs/>
          <w:lang w:val="en-GB"/>
        </w:rPr>
        <w:t xml:space="preserve">identified </w:t>
      </w:r>
      <w:r w:rsidRPr="00B247FF">
        <w:rPr>
          <w:iCs/>
          <w:lang w:val="en-GB"/>
        </w:rPr>
        <w:t xml:space="preserve">were A767 (23%), S768 (16%), D770 (11%), N771 (11%), H773 (9%), P772 (3%), V769 (1%) and A763 (1%). </w:t>
      </w:r>
      <w:r w:rsidR="00EF7A5A" w:rsidRPr="00B247FF">
        <w:rPr>
          <w:iCs/>
          <w:lang w:val="en-US"/>
        </w:rPr>
        <w:t xml:space="preserve">There were no </w:t>
      </w:r>
      <w:r w:rsidR="007660A9" w:rsidRPr="00B247FF">
        <w:rPr>
          <w:iCs/>
          <w:lang w:val="en-US"/>
        </w:rPr>
        <w:t>mutation variants</w:t>
      </w:r>
      <w:r w:rsidR="00EF7A5A" w:rsidRPr="00B247FF">
        <w:rPr>
          <w:iCs/>
          <w:lang w:val="en-US"/>
        </w:rPr>
        <w:t xml:space="preserve"> </w:t>
      </w:r>
      <w:r w:rsidRPr="00B247FF">
        <w:rPr>
          <w:iCs/>
          <w:lang w:val="en-US"/>
        </w:rPr>
        <w:t>identified</w:t>
      </w:r>
      <w:r w:rsidR="00EF7A5A" w:rsidRPr="00B247FF">
        <w:rPr>
          <w:iCs/>
          <w:lang w:val="en-US"/>
        </w:rPr>
        <w:t xml:space="preserve"> amongst the efficacy population that were associated with an absence of confirmed responses</w:t>
      </w:r>
      <w:r w:rsidR="007660A9" w:rsidRPr="00B247FF">
        <w:rPr>
          <w:iCs/>
          <w:lang w:val="en-US"/>
        </w:rPr>
        <w:t>.</w:t>
      </w:r>
    </w:p>
    <w:p w14:paraId="5A23ADB0" w14:textId="77777777" w:rsidR="00E40803" w:rsidRPr="00B247FF" w:rsidRDefault="00E40803" w:rsidP="00786F6E"/>
    <w:p w14:paraId="5F0D94BE" w14:textId="3D3B8F20" w:rsidR="00706FA4" w:rsidRPr="00B247FF" w:rsidRDefault="00706FA4" w:rsidP="00786F6E">
      <w:pPr>
        <w:pStyle w:val="Heading2"/>
        <w:numPr>
          <w:ilvl w:val="1"/>
          <w:numId w:val="18"/>
        </w:numPr>
        <w:ind w:left="426" w:hanging="426"/>
        <w:jc w:val="left"/>
        <w:rPr>
          <w:color w:val="auto"/>
        </w:rPr>
      </w:pPr>
      <w:bookmarkStart w:id="73" w:name="_Pharmacokinetics"/>
      <w:bookmarkStart w:id="74" w:name="_Toc128303700"/>
      <w:bookmarkStart w:id="75" w:name="_Toc128305225"/>
      <w:bookmarkStart w:id="76" w:name="_Toc128305458"/>
      <w:bookmarkStart w:id="77" w:name="_Toc128306673"/>
      <w:bookmarkStart w:id="78" w:name="_Toc128307801"/>
      <w:bookmarkStart w:id="79" w:name="_Toc128307951"/>
      <w:bookmarkStart w:id="80" w:name="_Toc151795589"/>
      <w:bookmarkStart w:id="81" w:name="_Toc151796738"/>
      <w:bookmarkStart w:id="82" w:name="_Toc151796940"/>
      <w:bookmarkStart w:id="83" w:name="_Toc151801689"/>
      <w:bookmarkStart w:id="84" w:name="_Toc219801077"/>
      <w:bookmarkEnd w:id="73"/>
      <w:r w:rsidRPr="00B247FF">
        <w:rPr>
          <w:color w:val="auto"/>
        </w:rPr>
        <w:t xml:space="preserve">PHARMACOKINETIC PROPERTIES </w:t>
      </w:r>
      <w:bookmarkEnd w:id="74"/>
      <w:bookmarkEnd w:id="75"/>
      <w:bookmarkEnd w:id="76"/>
      <w:bookmarkEnd w:id="77"/>
      <w:bookmarkEnd w:id="78"/>
      <w:bookmarkEnd w:id="79"/>
      <w:bookmarkEnd w:id="80"/>
      <w:bookmarkEnd w:id="81"/>
      <w:bookmarkEnd w:id="82"/>
      <w:bookmarkEnd w:id="83"/>
      <w:bookmarkEnd w:id="84"/>
    </w:p>
    <w:p w14:paraId="28C290B3" w14:textId="23B072DC" w:rsidR="008D443A" w:rsidRPr="00B247FF" w:rsidRDefault="008D443A" w:rsidP="00786F6E">
      <w:pPr>
        <w:pStyle w:val="BodyText"/>
        <w:jc w:val="left"/>
      </w:pPr>
      <w:bookmarkStart w:id="85" w:name="_Hlk37844414"/>
      <w:proofErr w:type="spellStart"/>
      <w:r w:rsidRPr="00B247FF">
        <w:t>Amivantamab</w:t>
      </w:r>
      <w:proofErr w:type="spellEnd"/>
      <w:r w:rsidRPr="00B247FF">
        <w:t xml:space="preserve"> </w:t>
      </w:r>
      <w:r w:rsidR="00C40187" w:rsidRPr="00B247FF">
        <w:t xml:space="preserve">exposure </w:t>
      </w:r>
      <w:r w:rsidRPr="00B247FF">
        <w:t>increases proportionally over a dose range from 350 to 1750 mg (0.33 to 1.67 times the recommended dose for subjects &lt;80 kg</w:t>
      </w:r>
      <w:r w:rsidR="003C3829" w:rsidRPr="00B247FF">
        <w:t>,</w:t>
      </w:r>
      <w:r w:rsidRPr="00B247FF">
        <w:t xml:space="preserve"> and 0.25 to 1.25 times the recommended dose for subjects ≥ 80 kg).</w:t>
      </w:r>
    </w:p>
    <w:p w14:paraId="4495B0EF" w14:textId="77777777" w:rsidR="008D443A" w:rsidRPr="00B247FF" w:rsidRDefault="008D443A" w:rsidP="00786F6E">
      <w:pPr>
        <w:pStyle w:val="BodyText"/>
        <w:jc w:val="left"/>
        <w:rPr>
          <w:rFonts w:ascii="Times New Roman" w:hAnsi="Times New Roman" w:cs="Times New Roman"/>
          <w:color w:val="auto"/>
          <w:sz w:val="24"/>
          <w:szCs w:val="20"/>
        </w:rPr>
      </w:pPr>
    </w:p>
    <w:p w14:paraId="4B35D887" w14:textId="6D8C175C" w:rsidR="008D443A" w:rsidRPr="00B247FF" w:rsidRDefault="008D443A" w:rsidP="00786F6E">
      <w:pPr>
        <w:pStyle w:val="BodyText"/>
        <w:jc w:val="left"/>
      </w:pPr>
      <w:r w:rsidRPr="00B247FF">
        <w:t xml:space="preserve">Following administration of </w:t>
      </w:r>
      <w:r w:rsidRPr="00B247FF">
        <w:rPr>
          <w:color w:val="auto"/>
          <w:lang w:val="en-US"/>
        </w:rPr>
        <w:t>RYBREVANT</w:t>
      </w:r>
      <w:r w:rsidRPr="00B247FF">
        <w:rPr>
          <w:lang w:val="en-US"/>
        </w:rPr>
        <w:t xml:space="preserve"> </w:t>
      </w:r>
      <w:r w:rsidRPr="00B247FF">
        <w:t xml:space="preserve">at the recommended dose and schedule, </w:t>
      </w:r>
      <w:r w:rsidR="003C3829" w:rsidRPr="00B247FF">
        <w:t xml:space="preserve">following the fifth dose, </w:t>
      </w:r>
      <w:r w:rsidRPr="00B247FF">
        <w:t>the mean </w:t>
      </w:r>
      <w:r w:rsidR="003C3829" w:rsidRPr="00B247FF">
        <w:t>(</w:t>
      </w:r>
      <w:r w:rsidRPr="00B247FF">
        <w:t>±SD</w:t>
      </w:r>
      <w:r w:rsidR="003C3829" w:rsidRPr="00B247FF">
        <w:t>)</w:t>
      </w:r>
      <w:r w:rsidRPr="00B247FF">
        <w:t xml:space="preserve"> maximal </w:t>
      </w:r>
      <w:r w:rsidR="003C3829" w:rsidRPr="00B247FF">
        <w:t xml:space="preserve">serum </w:t>
      </w:r>
      <w:r w:rsidRPr="00B247FF">
        <w:t>concentration (</w:t>
      </w:r>
      <w:proofErr w:type="spellStart"/>
      <w:r w:rsidRPr="00B247FF">
        <w:t>C</w:t>
      </w:r>
      <w:r w:rsidRPr="00B247FF">
        <w:rPr>
          <w:vertAlign w:val="subscript"/>
        </w:rPr>
        <w:t>max</w:t>
      </w:r>
      <w:proofErr w:type="spellEnd"/>
      <w:r w:rsidRPr="00B247FF">
        <w:t xml:space="preserve">) was 836 </w:t>
      </w:r>
      <w:r w:rsidR="003C3829" w:rsidRPr="00B247FF">
        <w:t>(</w:t>
      </w:r>
      <w:r w:rsidRPr="00B247FF">
        <w:t>±264</w:t>
      </w:r>
      <w:r w:rsidR="003C3829" w:rsidRPr="00B247FF">
        <w:t>)</w:t>
      </w:r>
      <w:r w:rsidRPr="00B247FF">
        <w:t xml:space="preserve"> mcg/mL at 1050 mg for subjects &lt;80 kg and 655 </w:t>
      </w:r>
      <w:r w:rsidR="003C3829" w:rsidRPr="00B247FF">
        <w:t>(</w:t>
      </w:r>
      <w:r w:rsidRPr="00B247FF">
        <w:t>±109</w:t>
      </w:r>
      <w:r w:rsidR="003C3829" w:rsidRPr="00B247FF">
        <w:t>)</w:t>
      </w:r>
      <w:r w:rsidRPr="00B247FF">
        <w:t xml:space="preserve"> mcg/mL at 1400 mg for subjects ≥80 kg. The mean </w:t>
      </w:r>
      <w:r w:rsidR="003C3829" w:rsidRPr="00B247FF">
        <w:t>(</w:t>
      </w:r>
      <w:r w:rsidRPr="00B247FF">
        <w:t>±SD</w:t>
      </w:r>
      <w:r w:rsidR="003C3829" w:rsidRPr="00B247FF">
        <w:t>)</w:t>
      </w:r>
      <w:r w:rsidRPr="00B247FF">
        <w:t xml:space="preserve"> </w:t>
      </w:r>
      <w:r w:rsidR="003C3829" w:rsidRPr="00B247FF">
        <w:lastRenderedPageBreak/>
        <w:t>area under the concentration-time curve (</w:t>
      </w:r>
      <w:r w:rsidRPr="00B247FF">
        <w:t>AUC</w:t>
      </w:r>
      <w:r w:rsidRPr="00B247FF">
        <w:rPr>
          <w:vertAlign w:val="subscript"/>
        </w:rPr>
        <w:t>1week</w:t>
      </w:r>
      <w:r w:rsidR="003C3829" w:rsidRPr="00B247FF">
        <w:t xml:space="preserve">) </w:t>
      </w:r>
      <w:r w:rsidRPr="00B247FF">
        <w:t xml:space="preserve">following the fifth dose was 94,946 </w:t>
      </w:r>
      <w:r w:rsidR="003C3829" w:rsidRPr="00B247FF">
        <w:t>(</w:t>
      </w:r>
      <w:r w:rsidRPr="00B247FF">
        <w:t>±35,440</w:t>
      </w:r>
      <w:r w:rsidR="003C3829" w:rsidRPr="00B247FF">
        <w:t>)</w:t>
      </w:r>
      <w:r w:rsidRPr="00B247FF">
        <w:t xml:space="preserve"> </w:t>
      </w:r>
      <w:proofErr w:type="spellStart"/>
      <w:r w:rsidRPr="00B247FF">
        <w:t>mcg.h</w:t>
      </w:r>
      <w:proofErr w:type="spellEnd"/>
      <w:r w:rsidRPr="00B247FF">
        <w:t xml:space="preserve">/mL at 1050 mg for subjects &lt;80 kg and 76,946 </w:t>
      </w:r>
      <w:r w:rsidR="003C3829" w:rsidRPr="00B247FF">
        <w:t>(</w:t>
      </w:r>
      <w:r w:rsidRPr="00B247FF">
        <w:t>±14,557</w:t>
      </w:r>
      <w:r w:rsidR="003C3829" w:rsidRPr="00B247FF">
        <w:t>)</w:t>
      </w:r>
      <w:r w:rsidRPr="00B247FF">
        <w:t xml:space="preserve"> </w:t>
      </w:r>
      <w:proofErr w:type="spellStart"/>
      <w:r w:rsidRPr="00B247FF">
        <w:t>mcg.h</w:t>
      </w:r>
      <w:proofErr w:type="spellEnd"/>
      <w:r w:rsidRPr="00B247FF">
        <w:t xml:space="preserve">/mL at 1400 mg for subjects ≥80 kg. </w:t>
      </w:r>
    </w:p>
    <w:p w14:paraId="30EE8223" w14:textId="78F5654A" w:rsidR="00A61365" w:rsidRPr="00B247FF" w:rsidRDefault="003C3829" w:rsidP="00786F6E">
      <w:pPr>
        <w:rPr>
          <w:color w:val="auto"/>
          <w:lang w:val="en-GB"/>
        </w:rPr>
      </w:pPr>
      <w:r w:rsidRPr="00B247FF">
        <w:t>S</w:t>
      </w:r>
      <w:r w:rsidR="008D443A" w:rsidRPr="00B247FF">
        <w:t xml:space="preserve">teady state </w:t>
      </w:r>
      <w:proofErr w:type="spellStart"/>
      <w:r w:rsidRPr="00B247FF">
        <w:t>amivantamab</w:t>
      </w:r>
      <w:proofErr w:type="spellEnd"/>
      <w:r w:rsidRPr="00B247FF">
        <w:t xml:space="preserve"> concentration </w:t>
      </w:r>
      <w:r w:rsidR="008D443A" w:rsidRPr="00B247FF">
        <w:t xml:space="preserve">was </w:t>
      </w:r>
      <w:r w:rsidRPr="00B247FF">
        <w:t xml:space="preserve">reached </w:t>
      </w:r>
      <w:r w:rsidR="008D443A" w:rsidRPr="00B247FF">
        <w:t xml:space="preserve">by the ninth infusion, and </w:t>
      </w:r>
      <w:r w:rsidRPr="00B247FF">
        <w:t>the accumulation ratio at steady state</w:t>
      </w:r>
      <w:r w:rsidR="008D443A" w:rsidRPr="00B247FF">
        <w:t xml:space="preserve"> was 2.4</w:t>
      </w:r>
      <w:bookmarkEnd w:id="85"/>
      <w:r w:rsidR="00A61365" w:rsidRPr="00B247FF">
        <w:rPr>
          <w:color w:val="auto"/>
          <w:lang w:val="en-GB"/>
        </w:rPr>
        <w:t>.</w:t>
      </w:r>
    </w:p>
    <w:p w14:paraId="2E8BD07A" w14:textId="610399A6" w:rsidR="008D443A" w:rsidRPr="00B247FF" w:rsidRDefault="008D443A" w:rsidP="00786F6E">
      <w:pPr>
        <w:pStyle w:val="Heading3"/>
        <w:jc w:val="left"/>
        <w:rPr>
          <w:color w:val="auto"/>
        </w:rPr>
      </w:pPr>
      <w:r w:rsidRPr="00B247FF">
        <w:rPr>
          <w:color w:val="auto"/>
        </w:rPr>
        <w:t>Distribution</w:t>
      </w:r>
    </w:p>
    <w:p w14:paraId="1F1DCE87" w14:textId="732BA408" w:rsidR="008D443A" w:rsidRPr="00B247FF" w:rsidRDefault="0057451A" w:rsidP="00786F6E">
      <w:pPr>
        <w:rPr>
          <w:color w:val="auto"/>
        </w:rPr>
      </w:pPr>
      <w:r w:rsidRPr="00B247FF">
        <w:rPr>
          <w:color w:val="auto"/>
        </w:rPr>
        <w:t xml:space="preserve">The </w:t>
      </w:r>
      <w:r w:rsidR="008D443A" w:rsidRPr="00B247FF">
        <w:rPr>
          <w:color w:val="auto"/>
        </w:rPr>
        <w:t xml:space="preserve">mean </w:t>
      </w:r>
      <w:r w:rsidR="003C3829" w:rsidRPr="00B247FF">
        <w:rPr>
          <w:color w:val="auto"/>
        </w:rPr>
        <w:t>(</w:t>
      </w:r>
      <w:r w:rsidR="008D443A" w:rsidRPr="00B247FF">
        <w:rPr>
          <w:color w:val="auto"/>
        </w:rPr>
        <w:t>±SD</w:t>
      </w:r>
      <w:r w:rsidR="003C3829" w:rsidRPr="00B247FF">
        <w:rPr>
          <w:color w:val="auto"/>
        </w:rPr>
        <w:t>)</w:t>
      </w:r>
      <w:r w:rsidR="008D443A" w:rsidRPr="00B247FF">
        <w:rPr>
          <w:color w:val="auto"/>
        </w:rPr>
        <w:t xml:space="preserve"> volume of distribution</w:t>
      </w:r>
      <w:r w:rsidRPr="00B247FF">
        <w:rPr>
          <w:color w:val="auto"/>
        </w:rPr>
        <w:t xml:space="preserve"> of </w:t>
      </w:r>
      <w:proofErr w:type="spellStart"/>
      <w:r w:rsidRPr="00B247FF">
        <w:rPr>
          <w:color w:val="auto"/>
        </w:rPr>
        <w:t>amivantamab</w:t>
      </w:r>
      <w:proofErr w:type="spellEnd"/>
      <w:r w:rsidR="008D443A" w:rsidRPr="00B247FF">
        <w:rPr>
          <w:color w:val="auto"/>
        </w:rPr>
        <w:t xml:space="preserve"> </w:t>
      </w:r>
      <w:r w:rsidR="003C3829" w:rsidRPr="00B247FF">
        <w:rPr>
          <w:color w:val="auto"/>
        </w:rPr>
        <w:t>is</w:t>
      </w:r>
      <w:r w:rsidR="008D443A" w:rsidRPr="00B247FF">
        <w:rPr>
          <w:color w:val="auto"/>
        </w:rPr>
        <w:t xml:space="preserve"> 5.13 </w:t>
      </w:r>
      <w:r w:rsidR="003C3829" w:rsidRPr="00B247FF">
        <w:rPr>
          <w:color w:val="auto"/>
        </w:rPr>
        <w:t>(</w:t>
      </w:r>
      <w:r w:rsidR="008D443A" w:rsidRPr="00B247FF">
        <w:rPr>
          <w:color w:val="auto"/>
        </w:rPr>
        <w:t>±1.78</w:t>
      </w:r>
      <w:r w:rsidR="003C3829" w:rsidRPr="00B247FF">
        <w:rPr>
          <w:color w:val="auto"/>
        </w:rPr>
        <w:t>)</w:t>
      </w:r>
      <w:r w:rsidR="008D443A" w:rsidRPr="00B247FF">
        <w:rPr>
          <w:color w:val="auto"/>
        </w:rPr>
        <w:t xml:space="preserve"> L.</w:t>
      </w:r>
    </w:p>
    <w:p w14:paraId="52C83652" w14:textId="1DA971AC" w:rsidR="008D443A" w:rsidRPr="00B247FF" w:rsidRDefault="008D443A" w:rsidP="00786F6E">
      <w:pPr>
        <w:pStyle w:val="Heading3"/>
        <w:jc w:val="left"/>
        <w:rPr>
          <w:color w:val="auto"/>
        </w:rPr>
      </w:pPr>
      <w:r w:rsidRPr="00B247FF">
        <w:rPr>
          <w:color w:val="auto"/>
        </w:rPr>
        <w:t>Excretion</w:t>
      </w:r>
    </w:p>
    <w:p w14:paraId="11F8084C" w14:textId="7FE168B9" w:rsidR="008D443A" w:rsidRPr="00B247FF" w:rsidRDefault="008D443A" w:rsidP="00786F6E">
      <w:pPr>
        <w:rPr>
          <w:color w:val="auto"/>
        </w:rPr>
      </w:pPr>
      <w:r w:rsidRPr="00B247FF">
        <w:rPr>
          <w:color w:val="auto"/>
        </w:rPr>
        <w:t xml:space="preserve">The mean </w:t>
      </w:r>
      <w:r w:rsidR="003C3829" w:rsidRPr="00B247FF">
        <w:rPr>
          <w:color w:val="auto"/>
        </w:rPr>
        <w:t>(</w:t>
      </w:r>
      <w:r w:rsidRPr="00B247FF">
        <w:rPr>
          <w:color w:val="auto"/>
        </w:rPr>
        <w:t>±SD</w:t>
      </w:r>
      <w:r w:rsidR="003C3829" w:rsidRPr="00B247FF">
        <w:rPr>
          <w:color w:val="auto"/>
        </w:rPr>
        <w:t>)</w:t>
      </w:r>
      <w:r w:rsidRPr="00B247FF">
        <w:rPr>
          <w:color w:val="auto"/>
        </w:rPr>
        <w:t xml:space="preserve"> clearance </w:t>
      </w:r>
      <w:r w:rsidR="003C3829" w:rsidRPr="00B247FF">
        <w:rPr>
          <w:color w:val="auto"/>
        </w:rPr>
        <w:t xml:space="preserve">of </w:t>
      </w:r>
      <w:proofErr w:type="spellStart"/>
      <w:r w:rsidR="003C3829" w:rsidRPr="00B247FF">
        <w:rPr>
          <w:color w:val="auto"/>
        </w:rPr>
        <w:t>amivantamab</w:t>
      </w:r>
      <w:proofErr w:type="spellEnd"/>
      <w:r w:rsidR="003C3829" w:rsidRPr="00B247FF">
        <w:rPr>
          <w:color w:val="auto"/>
        </w:rPr>
        <w:t xml:space="preserve"> is</w:t>
      </w:r>
      <w:r w:rsidRPr="00B247FF">
        <w:rPr>
          <w:color w:val="auto"/>
        </w:rPr>
        <w:t xml:space="preserve"> </w:t>
      </w:r>
      <w:bookmarkStart w:id="86" w:name="_Hlk52447213"/>
      <w:r w:rsidRPr="00B247FF">
        <w:rPr>
          <w:color w:val="auto"/>
        </w:rPr>
        <w:t xml:space="preserve">360 </w:t>
      </w:r>
      <w:r w:rsidR="003C3829" w:rsidRPr="00B247FF">
        <w:rPr>
          <w:color w:val="auto"/>
        </w:rPr>
        <w:t>(</w:t>
      </w:r>
      <w:r w:rsidRPr="00B247FF">
        <w:rPr>
          <w:color w:val="auto"/>
        </w:rPr>
        <w:t>±144</w:t>
      </w:r>
      <w:bookmarkEnd w:id="86"/>
      <w:r w:rsidR="003C3829" w:rsidRPr="00B247FF">
        <w:rPr>
          <w:color w:val="auto"/>
        </w:rPr>
        <w:t>)</w:t>
      </w:r>
      <w:r w:rsidRPr="00B247FF">
        <w:rPr>
          <w:color w:val="auto"/>
        </w:rPr>
        <w:t xml:space="preserve"> mL/day and the mean </w:t>
      </w:r>
      <w:r w:rsidR="003C3829" w:rsidRPr="00B247FF">
        <w:rPr>
          <w:color w:val="auto"/>
        </w:rPr>
        <w:t>(</w:t>
      </w:r>
      <w:r w:rsidRPr="00B247FF">
        <w:rPr>
          <w:color w:val="auto"/>
        </w:rPr>
        <w:t>±SD</w:t>
      </w:r>
      <w:r w:rsidR="003C3829" w:rsidRPr="00B247FF">
        <w:rPr>
          <w:color w:val="auto"/>
        </w:rPr>
        <w:t>)</w:t>
      </w:r>
      <w:r w:rsidRPr="00B247FF">
        <w:rPr>
          <w:color w:val="auto"/>
        </w:rPr>
        <w:t xml:space="preserve"> terminal half-life </w:t>
      </w:r>
      <w:r w:rsidR="003C3829" w:rsidRPr="00B247FF">
        <w:rPr>
          <w:color w:val="auto"/>
        </w:rPr>
        <w:t>is</w:t>
      </w:r>
      <w:r w:rsidRPr="00B247FF">
        <w:rPr>
          <w:color w:val="auto"/>
        </w:rPr>
        <w:t xml:space="preserve"> </w:t>
      </w:r>
      <w:bookmarkStart w:id="87" w:name="_Hlk52447236"/>
      <w:r w:rsidRPr="00B247FF">
        <w:rPr>
          <w:color w:val="auto"/>
        </w:rPr>
        <w:t xml:space="preserve">11.3 </w:t>
      </w:r>
      <w:r w:rsidR="0057451A" w:rsidRPr="00B247FF">
        <w:rPr>
          <w:color w:val="auto"/>
        </w:rPr>
        <w:t>(</w:t>
      </w:r>
      <w:r w:rsidRPr="00B247FF">
        <w:rPr>
          <w:color w:val="auto"/>
        </w:rPr>
        <w:t>±4.5</w:t>
      </w:r>
      <w:bookmarkEnd w:id="87"/>
      <w:r w:rsidR="0057451A" w:rsidRPr="00B247FF">
        <w:rPr>
          <w:color w:val="auto"/>
        </w:rPr>
        <w:t>)</w:t>
      </w:r>
      <w:r w:rsidRPr="00B247FF">
        <w:rPr>
          <w:color w:val="auto"/>
        </w:rPr>
        <w:t xml:space="preserve"> days</w:t>
      </w:r>
      <w:r w:rsidR="0057451A" w:rsidRPr="00B247FF">
        <w:rPr>
          <w:color w:val="auto"/>
        </w:rPr>
        <w:t>.</w:t>
      </w:r>
    </w:p>
    <w:p w14:paraId="43D52E93" w14:textId="3CFEDDE1" w:rsidR="003113E0" w:rsidRPr="00B247FF" w:rsidRDefault="003113E0" w:rsidP="00786F6E">
      <w:pPr>
        <w:pStyle w:val="Heading3"/>
        <w:jc w:val="left"/>
        <w:rPr>
          <w:color w:val="auto"/>
        </w:rPr>
      </w:pPr>
      <w:r w:rsidRPr="00B247FF">
        <w:rPr>
          <w:color w:val="auto"/>
        </w:rPr>
        <w:t>Special populations</w:t>
      </w:r>
    </w:p>
    <w:p w14:paraId="1892E838" w14:textId="71C3FBB8" w:rsidR="003113E0" w:rsidRPr="00B247FF" w:rsidRDefault="003113E0" w:rsidP="00786F6E">
      <w:pPr>
        <w:pStyle w:val="Heading4"/>
        <w:rPr>
          <w:color w:val="auto"/>
        </w:rPr>
      </w:pPr>
      <w:r w:rsidRPr="00B247FF">
        <w:rPr>
          <w:color w:val="auto"/>
        </w:rPr>
        <w:t>Paediatrics (17 years of age and younger)</w:t>
      </w:r>
    </w:p>
    <w:p w14:paraId="30EA7886" w14:textId="15306CD4" w:rsidR="003113E0" w:rsidRPr="00B247FF" w:rsidRDefault="003113E0" w:rsidP="00786F6E">
      <w:pPr>
        <w:rPr>
          <w:color w:val="auto"/>
        </w:rPr>
      </w:pPr>
      <w:r w:rsidRPr="00B247FF">
        <w:rPr>
          <w:color w:val="auto"/>
        </w:rPr>
        <w:t>The pharmacokinetics of RYBREVANT in paediatric patients have not been investigated.</w:t>
      </w:r>
    </w:p>
    <w:p w14:paraId="7DCBC546" w14:textId="4E0039CD" w:rsidR="003113E0" w:rsidRPr="00B247FF" w:rsidRDefault="003113E0" w:rsidP="00786F6E">
      <w:pPr>
        <w:pStyle w:val="Heading4"/>
        <w:rPr>
          <w:color w:val="auto"/>
        </w:rPr>
      </w:pPr>
      <w:r w:rsidRPr="00B247FF">
        <w:rPr>
          <w:color w:val="auto"/>
        </w:rPr>
        <w:t>Elderly (65 years of age and older)</w:t>
      </w:r>
    </w:p>
    <w:p w14:paraId="79B64DC1" w14:textId="5E356584" w:rsidR="003113E0" w:rsidRPr="00B247FF" w:rsidRDefault="003113E0" w:rsidP="00786F6E">
      <w:pPr>
        <w:rPr>
          <w:color w:val="auto"/>
        </w:rPr>
      </w:pPr>
      <w:r w:rsidRPr="00B247FF">
        <w:rPr>
          <w:color w:val="auto"/>
        </w:rPr>
        <w:t>No clinically meaningful differences in the pharmacokinetics of amivantamab were observed based on age (32-87 years).</w:t>
      </w:r>
    </w:p>
    <w:p w14:paraId="41845EC8" w14:textId="694912FC" w:rsidR="003113E0" w:rsidRPr="00B247FF" w:rsidRDefault="003113E0" w:rsidP="00786F6E">
      <w:pPr>
        <w:pStyle w:val="Heading4"/>
        <w:rPr>
          <w:color w:val="auto"/>
        </w:rPr>
      </w:pPr>
      <w:r w:rsidRPr="00B247FF">
        <w:rPr>
          <w:color w:val="auto"/>
        </w:rPr>
        <w:t>Renal impairment</w:t>
      </w:r>
    </w:p>
    <w:p w14:paraId="0D6319A8" w14:textId="231D8226" w:rsidR="00570BBA" w:rsidRPr="00B247FF" w:rsidRDefault="003113E0" w:rsidP="00786F6E">
      <w:pPr>
        <w:rPr>
          <w:color w:val="auto"/>
        </w:rPr>
      </w:pPr>
      <w:r w:rsidRPr="00B247FF">
        <w:rPr>
          <w:color w:val="auto"/>
        </w:rPr>
        <w:t>No clinically meaningful effect on the pharmacokinetics of amivantamab was observed in patients with mild (creatinine clearance [</w:t>
      </w:r>
      <w:proofErr w:type="spellStart"/>
      <w:r w:rsidRPr="00B247FF">
        <w:rPr>
          <w:color w:val="auto"/>
        </w:rPr>
        <w:t>CrCl</w:t>
      </w:r>
      <w:proofErr w:type="spellEnd"/>
      <w:r w:rsidRPr="00B247FF">
        <w:rPr>
          <w:color w:val="auto"/>
        </w:rPr>
        <w:t xml:space="preserve">] </w:t>
      </w:r>
      <w:r w:rsidR="00281762" w:rsidRPr="00B247FF">
        <w:rPr>
          <w:color w:val="auto"/>
        </w:rPr>
        <w:t xml:space="preserve">of 60 to </w:t>
      </w:r>
      <w:r w:rsidRPr="00B247FF">
        <w:rPr>
          <w:color w:val="auto"/>
        </w:rPr>
        <w:t>&lt;90 mL/min) and moderate (</w:t>
      </w:r>
      <w:proofErr w:type="spellStart"/>
      <w:r w:rsidRPr="00B247FF">
        <w:rPr>
          <w:color w:val="auto"/>
        </w:rPr>
        <w:t>CrCl</w:t>
      </w:r>
      <w:proofErr w:type="spellEnd"/>
      <w:r w:rsidRPr="00B247FF">
        <w:rPr>
          <w:color w:val="auto"/>
        </w:rPr>
        <w:t xml:space="preserve"> </w:t>
      </w:r>
      <w:r w:rsidR="00281762" w:rsidRPr="00B247FF">
        <w:rPr>
          <w:color w:val="auto"/>
        </w:rPr>
        <w:t xml:space="preserve">of 29 to </w:t>
      </w:r>
      <w:r w:rsidRPr="00B247FF">
        <w:rPr>
          <w:color w:val="auto"/>
        </w:rPr>
        <w:t xml:space="preserve">&lt;60 mL/min) renal impairment. The effect of severe renal impairment </w:t>
      </w:r>
      <w:r w:rsidR="00281762" w:rsidRPr="00B247FF">
        <w:rPr>
          <w:color w:val="auto"/>
        </w:rPr>
        <w:t xml:space="preserve">or end stage renal failure </w:t>
      </w:r>
      <w:r w:rsidRPr="00B247FF">
        <w:rPr>
          <w:color w:val="auto"/>
        </w:rPr>
        <w:t>(</w:t>
      </w:r>
      <w:proofErr w:type="spellStart"/>
      <w:r w:rsidRPr="00B247FF">
        <w:rPr>
          <w:color w:val="auto"/>
        </w:rPr>
        <w:t>CrCl</w:t>
      </w:r>
      <w:proofErr w:type="spellEnd"/>
      <w:r w:rsidRPr="00B247FF">
        <w:rPr>
          <w:color w:val="auto"/>
        </w:rPr>
        <w:t xml:space="preserve"> &lt;29 mL/min) on </w:t>
      </w:r>
      <w:proofErr w:type="spellStart"/>
      <w:r w:rsidRPr="00B247FF">
        <w:rPr>
          <w:color w:val="auto"/>
        </w:rPr>
        <w:t>amivantamab</w:t>
      </w:r>
      <w:proofErr w:type="spellEnd"/>
      <w:r w:rsidRPr="00B247FF">
        <w:rPr>
          <w:color w:val="auto"/>
        </w:rPr>
        <w:t xml:space="preserve"> pharmacokinetics is unknown.</w:t>
      </w:r>
    </w:p>
    <w:p w14:paraId="71F0FDEF" w14:textId="682086F5" w:rsidR="003113E0" w:rsidRPr="00B247FF" w:rsidRDefault="003113E0" w:rsidP="00786F6E">
      <w:pPr>
        <w:pStyle w:val="Heading4"/>
        <w:rPr>
          <w:color w:val="auto"/>
        </w:rPr>
      </w:pPr>
      <w:r w:rsidRPr="00B247FF">
        <w:rPr>
          <w:color w:val="auto"/>
        </w:rPr>
        <w:t>Hepatic impairment</w:t>
      </w:r>
    </w:p>
    <w:p w14:paraId="42E65B51" w14:textId="3ADF1EB8" w:rsidR="003113E0" w:rsidRPr="00B247FF" w:rsidRDefault="003113E0" w:rsidP="00786F6E">
      <w:pPr>
        <w:rPr>
          <w:color w:val="auto"/>
        </w:rPr>
      </w:pPr>
      <w:r w:rsidRPr="00B247FF">
        <w:rPr>
          <w:color w:val="auto"/>
        </w:rPr>
        <w:t xml:space="preserve">No clinically meaningful effect </w:t>
      </w:r>
      <w:r w:rsidR="0057451A" w:rsidRPr="00B247FF">
        <w:rPr>
          <w:color w:val="auto"/>
        </w:rPr>
        <w:t>o</w:t>
      </w:r>
      <w:r w:rsidRPr="00B247FF">
        <w:rPr>
          <w:color w:val="auto"/>
        </w:rPr>
        <w:t>n the pharmacokinetics of amivantamab was observed based on mild hepatic impairment [(total bilirubin ≤ ULN and AST &gt; ULN) or (ULN &lt; total bilirubin ≤ 1.5 x ULN)]. The effect of moderate (total bilirubin 1.5 to 3 times ULN) and severe (total bilirubin &gt; 3 times ULN) hepatic impairment on amivantamab pharmacokinetics is unknown.</w:t>
      </w:r>
      <w:r w:rsidR="0057451A" w:rsidRPr="00B247FF">
        <w:rPr>
          <w:color w:val="auto"/>
        </w:rPr>
        <w:t xml:space="preserve"> Changes in hepatic function are not expected to affect amivantamab elimination since IgG1-based molecules are not metabolised through hepatic pathways.</w:t>
      </w:r>
    </w:p>
    <w:p w14:paraId="565C0497" w14:textId="1CAA4340" w:rsidR="003113E0" w:rsidRPr="00B247FF" w:rsidRDefault="0057451A" w:rsidP="00786F6E">
      <w:pPr>
        <w:pStyle w:val="Heading4"/>
        <w:rPr>
          <w:color w:val="auto"/>
        </w:rPr>
      </w:pPr>
      <w:r w:rsidRPr="00B247FF">
        <w:rPr>
          <w:color w:val="auto"/>
        </w:rPr>
        <w:t>Sex</w:t>
      </w:r>
    </w:p>
    <w:p w14:paraId="647AB3F5" w14:textId="0D4430DF" w:rsidR="0057451A" w:rsidRPr="00B247FF" w:rsidRDefault="0057451A" w:rsidP="00786F6E">
      <w:pPr>
        <w:rPr>
          <w:color w:val="auto"/>
        </w:rPr>
      </w:pPr>
      <w:r w:rsidRPr="00B247FF">
        <w:rPr>
          <w:color w:val="auto"/>
        </w:rPr>
        <w:t>Amivantamab clearance was 24% higher in males than in females, but no clinically meaningful pharmacokinetic differences were observed between male and female patients.</w:t>
      </w:r>
      <w:r w:rsidRPr="00B247FF" w:rsidDel="0057451A">
        <w:rPr>
          <w:color w:val="auto"/>
        </w:rPr>
        <w:t xml:space="preserve"> </w:t>
      </w:r>
    </w:p>
    <w:p w14:paraId="0DEF7E7C" w14:textId="67C285BC" w:rsidR="008D443A" w:rsidRPr="00B247FF" w:rsidRDefault="006E7794" w:rsidP="00786F6E">
      <w:pPr>
        <w:pStyle w:val="Heading4"/>
        <w:rPr>
          <w:color w:val="auto"/>
        </w:rPr>
      </w:pPr>
      <w:r w:rsidRPr="00B247FF">
        <w:rPr>
          <w:color w:val="auto"/>
        </w:rPr>
        <w:t>Weight</w:t>
      </w:r>
    </w:p>
    <w:p w14:paraId="2C917B1A" w14:textId="66BB32A8" w:rsidR="006E7794" w:rsidRPr="00B247FF" w:rsidRDefault="006E7794" w:rsidP="00786F6E">
      <w:pPr>
        <w:rPr>
          <w:color w:val="auto"/>
        </w:rPr>
      </w:pPr>
      <w:r w:rsidRPr="00B247FF">
        <w:rPr>
          <w:color w:val="auto"/>
        </w:rPr>
        <w:t xml:space="preserve">The central volume of distribution and clearance of amivantamab increased with increasing body weight. </w:t>
      </w:r>
      <w:bookmarkStart w:id="88" w:name="_Hlk54098599"/>
      <w:r w:rsidR="0057451A" w:rsidRPr="00B247FF">
        <w:rPr>
          <w:color w:val="auto"/>
        </w:rPr>
        <w:t xml:space="preserve">Amivantamab exposure was 30-40% lower in patients who weighed ≥80 kg compared to patients with body weight &lt;80 kg at the same dose. </w:t>
      </w:r>
      <w:r w:rsidRPr="00B247FF">
        <w:rPr>
          <w:color w:val="auto"/>
        </w:rPr>
        <w:t>Similar amivantamab exposures were achieved at the recommended dose of RYBREVANT in patients with a body weight &lt;80 kg who received 1050 mg and patients with a body weight ≥80 kg who received 1400 mg</w:t>
      </w:r>
      <w:bookmarkEnd w:id="88"/>
      <w:r w:rsidRPr="00B247FF">
        <w:rPr>
          <w:color w:val="auto"/>
        </w:rPr>
        <w:t>.</w:t>
      </w:r>
    </w:p>
    <w:p w14:paraId="3F5DD625" w14:textId="76BE3283" w:rsidR="009C2283" w:rsidRPr="00B247FF" w:rsidRDefault="00706FA4" w:rsidP="00786F6E">
      <w:pPr>
        <w:pStyle w:val="Heading2"/>
        <w:numPr>
          <w:ilvl w:val="1"/>
          <w:numId w:val="18"/>
        </w:numPr>
        <w:spacing w:after="240"/>
        <w:ind w:left="426" w:hanging="426"/>
        <w:jc w:val="left"/>
        <w:rPr>
          <w:color w:val="auto"/>
        </w:rPr>
      </w:pPr>
      <w:r w:rsidRPr="00B247FF">
        <w:rPr>
          <w:color w:val="auto"/>
        </w:rPr>
        <w:t>PRECLINICAL SAFETY DATA</w:t>
      </w:r>
    </w:p>
    <w:p w14:paraId="1DF8F118" w14:textId="6A9B3B4E" w:rsidR="00E45745" w:rsidRPr="00B247FF" w:rsidRDefault="00706FA4" w:rsidP="00786F6E">
      <w:pPr>
        <w:pStyle w:val="Heading3"/>
        <w:jc w:val="left"/>
        <w:rPr>
          <w:color w:val="auto"/>
        </w:rPr>
      </w:pPr>
      <w:r w:rsidRPr="00B247FF">
        <w:rPr>
          <w:color w:val="auto"/>
        </w:rPr>
        <w:t>Genotoxicity</w:t>
      </w:r>
    </w:p>
    <w:p w14:paraId="209CF557" w14:textId="1DDEF1DC" w:rsidR="00A61365" w:rsidRPr="00B247FF" w:rsidRDefault="00BC4530" w:rsidP="00786F6E">
      <w:pPr>
        <w:pStyle w:val="BodyText1"/>
        <w:jc w:val="left"/>
        <w:rPr>
          <w:iCs/>
        </w:rPr>
      </w:pPr>
      <w:r w:rsidRPr="00B247FF">
        <w:rPr>
          <w:iCs/>
        </w:rPr>
        <w:t>A</w:t>
      </w:r>
      <w:r w:rsidR="0057451A" w:rsidRPr="00B247FF">
        <w:rPr>
          <w:iCs/>
        </w:rPr>
        <w:t xml:space="preserve">s </w:t>
      </w:r>
      <w:proofErr w:type="spellStart"/>
      <w:r w:rsidR="0057451A" w:rsidRPr="00B247FF">
        <w:rPr>
          <w:iCs/>
        </w:rPr>
        <w:t>a</w:t>
      </w:r>
      <w:r w:rsidRPr="00B247FF">
        <w:rPr>
          <w:iCs/>
        </w:rPr>
        <w:t>mivantamab</w:t>
      </w:r>
      <w:proofErr w:type="spellEnd"/>
      <w:r w:rsidRPr="00B247FF">
        <w:rPr>
          <w:iCs/>
        </w:rPr>
        <w:t xml:space="preserve"> is a monoclonal antibody, genotoxicity studies have not been conducted. </w:t>
      </w:r>
      <w:r w:rsidR="0057451A" w:rsidRPr="00B247FF">
        <w:rPr>
          <w:iCs/>
        </w:rPr>
        <w:t>L</w:t>
      </w:r>
      <w:r w:rsidRPr="00B247FF">
        <w:rPr>
          <w:iCs/>
        </w:rPr>
        <w:t>arge protein molecule</w:t>
      </w:r>
      <w:r w:rsidR="0057451A" w:rsidRPr="00B247FF">
        <w:rPr>
          <w:iCs/>
        </w:rPr>
        <w:t>s are</w:t>
      </w:r>
      <w:r w:rsidRPr="00B247FF">
        <w:rPr>
          <w:iCs/>
        </w:rPr>
        <w:t xml:space="preserve"> not expected to interact directly with DNA or other chromosomal material.</w:t>
      </w:r>
    </w:p>
    <w:p w14:paraId="1681B681" w14:textId="7452E00E" w:rsidR="00BC4530" w:rsidRPr="00B247FF" w:rsidRDefault="00BC4530" w:rsidP="00786F6E">
      <w:pPr>
        <w:pStyle w:val="Heading3"/>
        <w:jc w:val="left"/>
        <w:rPr>
          <w:color w:val="auto"/>
        </w:rPr>
      </w:pPr>
      <w:r w:rsidRPr="00B247FF">
        <w:rPr>
          <w:color w:val="auto"/>
        </w:rPr>
        <w:t>Carcinogenicity</w:t>
      </w:r>
    </w:p>
    <w:p w14:paraId="722DD0E7" w14:textId="1DC28A95" w:rsidR="00CD61A4" w:rsidRPr="00B247FF" w:rsidRDefault="00BC4530" w:rsidP="00786F6E">
      <w:pPr>
        <w:pStyle w:val="BodyText1"/>
        <w:jc w:val="left"/>
        <w:rPr>
          <w:iCs/>
          <w:lang w:val="en-GB"/>
        </w:rPr>
      </w:pPr>
      <w:r w:rsidRPr="00B247FF">
        <w:t>A</w:t>
      </w:r>
      <w:r w:rsidR="0057451A" w:rsidRPr="00B247FF">
        <w:t xml:space="preserve">s </w:t>
      </w:r>
      <w:proofErr w:type="spellStart"/>
      <w:r w:rsidR="0057451A" w:rsidRPr="00B247FF">
        <w:t>a</w:t>
      </w:r>
      <w:r w:rsidRPr="00B247FF">
        <w:t>mivantamab</w:t>
      </w:r>
      <w:proofErr w:type="spellEnd"/>
      <w:r w:rsidRPr="00B247FF">
        <w:t xml:space="preserve"> is a monoclonal antibody, carcinogenicity studies have not been conducted.</w:t>
      </w:r>
    </w:p>
    <w:p w14:paraId="2D517B6E" w14:textId="2EC12502" w:rsidR="00170F03" w:rsidRPr="00B247FF" w:rsidRDefault="00170F03" w:rsidP="00786F6E">
      <w:pPr>
        <w:pStyle w:val="Heading1"/>
        <w:keepNext/>
        <w:keepLines/>
        <w:jc w:val="left"/>
        <w:rPr>
          <w:color w:val="auto"/>
        </w:rPr>
      </w:pPr>
      <w:r w:rsidRPr="00B247FF">
        <w:rPr>
          <w:color w:val="auto"/>
        </w:rPr>
        <w:lastRenderedPageBreak/>
        <w:t>PHARMACEUTICAL PARTICULARS</w:t>
      </w:r>
    </w:p>
    <w:p w14:paraId="29F8FB5C" w14:textId="56052DC9" w:rsidR="00170F03" w:rsidRPr="00B247FF" w:rsidRDefault="00170F03" w:rsidP="00786F6E">
      <w:pPr>
        <w:pStyle w:val="Heading2"/>
        <w:keepNext/>
        <w:keepLines/>
        <w:numPr>
          <w:ilvl w:val="1"/>
          <w:numId w:val="18"/>
        </w:numPr>
        <w:ind w:left="426" w:hanging="426"/>
        <w:jc w:val="left"/>
        <w:rPr>
          <w:color w:val="auto"/>
        </w:rPr>
      </w:pPr>
      <w:r w:rsidRPr="00B247FF">
        <w:rPr>
          <w:color w:val="auto"/>
        </w:rPr>
        <w:t>LIST OF EXCIPIENTS</w:t>
      </w:r>
    </w:p>
    <w:p w14:paraId="7EF8DBAB" w14:textId="4B4B3212" w:rsidR="00B22E6A" w:rsidRPr="00B247FF" w:rsidRDefault="00544BED" w:rsidP="00786F6E">
      <w:pPr>
        <w:rPr>
          <w:color w:val="auto"/>
        </w:rPr>
      </w:pPr>
      <w:r w:rsidRPr="00B247FF">
        <w:rPr>
          <w:color w:val="auto"/>
        </w:rPr>
        <w:t>Disodium edetate</w:t>
      </w:r>
    </w:p>
    <w:p w14:paraId="2C102F66" w14:textId="48FC3246" w:rsidR="00B22E6A" w:rsidRPr="00B247FF" w:rsidRDefault="00B22E6A" w:rsidP="00786F6E">
      <w:pPr>
        <w:rPr>
          <w:color w:val="auto"/>
        </w:rPr>
      </w:pPr>
      <w:r w:rsidRPr="00B247FF">
        <w:rPr>
          <w:color w:val="auto"/>
        </w:rPr>
        <w:t>Histidine</w:t>
      </w:r>
    </w:p>
    <w:p w14:paraId="03F734B3" w14:textId="0E21756F" w:rsidR="00B22E6A" w:rsidRPr="00B247FF" w:rsidRDefault="00B22E6A" w:rsidP="00786F6E">
      <w:pPr>
        <w:rPr>
          <w:color w:val="auto"/>
        </w:rPr>
      </w:pPr>
      <w:r w:rsidRPr="00B247FF">
        <w:rPr>
          <w:color w:val="auto"/>
        </w:rPr>
        <w:t xml:space="preserve">Histidine hydrochloride monohydrate </w:t>
      </w:r>
    </w:p>
    <w:p w14:paraId="3DAD65EF" w14:textId="6698A253" w:rsidR="00B22E6A" w:rsidRPr="00B247FF" w:rsidRDefault="00B22E6A" w:rsidP="00786F6E">
      <w:pPr>
        <w:rPr>
          <w:color w:val="auto"/>
        </w:rPr>
      </w:pPr>
      <w:r w:rsidRPr="00B247FF">
        <w:rPr>
          <w:color w:val="auto"/>
        </w:rPr>
        <w:t>Methionine</w:t>
      </w:r>
    </w:p>
    <w:p w14:paraId="402C506D" w14:textId="77777777" w:rsidR="00B22E6A" w:rsidRPr="00B247FF" w:rsidRDefault="00B22E6A" w:rsidP="00786F6E">
      <w:pPr>
        <w:rPr>
          <w:color w:val="auto"/>
        </w:rPr>
      </w:pPr>
      <w:r w:rsidRPr="00B247FF">
        <w:rPr>
          <w:color w:val="auto"/>
        </w:rPr>
        <w:t>Polysorbate 80</w:t>
      </w:r>
    </w:p>
    <w:p w14:paraId="6BF8FE93" w14:textId="7F162DD3" w:rsidR="00174185" w:rsidRPr="00B247FF" w:rsidRDefault="00B22E6A" w:rsidP="00786F6E">
      <w:pPr>
        <w:rPr>
          <w:color w:val="auto"/>
        </w:rPr>
      </w:pPr>
      <w:r w:rsidRPr="00B247FF">
        <w:rPr>
          <w:color w:val="auto"/>
        </w:rPr>
        <w:t>Sucrose</w:t>
      </w:r>
    </w:p>
    <w:p w14:paraId="4A4B30D5" w14:textId="508CAEBA" w:rsidR="00174185" w:rsidRPr="00B247FF" w:rsidRDefault="00174185" w:rsidP="00786F6E">
      <w:pPr>
        <w:rPr>
          <w:color w:val="auto"/>
        </w:rPr>
      </w:pPr>
      <w:r w:rsidRPr="00B247FF">
        <w:rPr>
          <w:color w:val="auto"/>
        </w:rPr>
        <w:t>Water for injection</w:t>
      </w:r>
      <w:r w:rsidR="00B22E6A" w:rsidRPr="00B247FF">
        <w:rPr>
          <w:color w:val="auto"/>
        </w:rPr>
        <w:t>s</w:t>
      </w:r>
    </w:p>
    <w:p w14:paraId="1FBA632B" w14:textId="4019C3D6" w:rsidR="00873CDF" w:rsidRPr="00B247FF" w:rsidRDefault="00873CDF" w:rsidP="00786F6E">
      <w:pPr>
        <w:rPr>
          <w:color w:val="auto"/>
        </w:rPr>
      </w:pPr>
    </w:p>
    <w:p w14:paraId="352C6BAE" w14:textId="19354AC9" w:rsidR="00170F03" w:rsidRPr="00B247FF" w:rsidRDefault="00170F03" w:rsidP="00786F6E">
      <w:pPr>
        <w:pStyle w:val="Heading2"/>
        <w:numPr>
          <w:ilvl w:val="1"/>
          <w:numId w:val="18"/>
        </w:numPr>
        <w:ind w:left="426" w:hanging="426"/>
        <w:jc w:val="left"/>
        <w:rPr>
          <w:color w:val="auto"/>
        </w:rPr>
      </w:pPr>
      <w:r w:rsidRPr="00B247FF">
        <w:rPr>
          <w:color w:val="auto"/>
        </w:rPr>
        <w:t>INCOMPATIBILITIES</w:t>
      </w:r>
    </w:p>
    <w:p w14:paraId="2C82C56E" w14:textId="7B5CC06E" w:rsidR="00206DBC" w:rsidRPr="00B247FF" w:rsidRDefault="002D079A" w:rsidP="00786F6E">
      <w:pPr>
        <w:rPr>
          <w:color w:val="auto"/>
          <w:lang w:val="en-GB"/>
        </w:rPr>
      </w:pPr>
      <w:r w:rsidRPr="00B247FF">
        <w:rPr>
          <w:color w:val="auto"/>
        </w:rPr>
        <w:t xml:space="preserve">This medicinal product must not be mixed with other medicinal products except those mentioned in Section 4.2 Dose and Method of </w:t>
      </w:r>
      <w:r w:rsidR="004D1BFF" w:rsidRPr="00B247FF">
        <w:rPr>
          <w:color w:val="auto"/>
        </w:rPr>
        <w:t>a</w:t>
      </w:r>
      <w:r w:rsidRPr="00B247FF">
        <w:rPr>
          <w:color w:val="auto"/>
        </w:rPr>
        <w:t>dministration.</w:t>
      </w:r>
    </w:p>
    <w:p w14:paraId="2A0E230A" w14:textId="77777777" w:rsidR="00206DBC" w:rsidRPr="00B247FF" w:rsidRDefault="00206DBC" w:rsidP="00786F6E">
      <w:pPr>
        <w:rPr>
          <w:color w:val="auto"/>
        </w:rPr>
      </w:pPr>
    </w:p>
    <w:p w14:paraId="1C827FF4" w14:textId="768C74E1" w:rsidR="00170F03" w:rsidRPr="00B247FF" w:rsidRDefault="00170F03" w:rsidP="00786F6E">
      <w:pPr>
        <w:pStyle w:val="Heading2"/>
        <w:numPr>
          <w:ilvl w:val="1"/>
          <w:numId w:val="18"/>
        </w:numPr>
        <w:ind w:left="426" w:hanging="426"/>
        <w:jc w:val="left"/>
        <w:rPr>
          <w:color w:val="auto"/>
        </w:rPr>
      </w:pPr>
      <w:r w:rsidRPr="00B247FF">
        <w:rPr>
          <w:color w:val="auto"/>
        </w:rPr>
        <w:t>SHELF LIFE</w:t>
      </w:r>
    </w:p>
    <w:p w14:paraId="29212132" w14:textId="0EF8FD17" w:rsidR="000C649B" w:rsidRPr="00B247FF" w:rsidRDefault="000C649B" w:rsidP="00786F6E">
      <w:pPr>
        <w:pStyle w:val="Heading3"/>
        <w:jc w:val="left"/>
        <w:rPr>
          <w:color w:val="auto"/>
        </w:rPr>
      </w:pPr>
      <w:r w:rsidRPr="00B247FF">
        <w:rPr>
          <w:color w:val="auto"/>
        </w:rPr>
        <w:t>Unopened vial</w:t>
      </w:r>
      <w:r w:rsidR="001702F8" w:rsidRPr="00B247FF">
        <w:rPr>
          <w:color w:val="auto"/>
        </w:rPr>
        <w:t>s</w:t>
      </w:r>
    </w:p>
    <w:p w14:paraId="3D1D3E26" w14:textId="77777777" w:rsidR="004611CF" w:rsidRPr="00B247FF" w:rsidRDefault="004611CF" w:rsidP="00786F6E">
      <w:pPr>
        <w:suppressAutoHyphens/>
        <w:rPr>
          <w:rFonts w:cs="Times New Roman"/>
          <w:bCs/>
        </w:rPr>
      </w:pPr>
      <w:r w:rsidRPr="00B247FF">
        <w:rPr>
          <w:rFonts w:cs="Times New Roman"/>
          <w:bCs/>
        </w:rPr>
        <w:t>In Australia, information on the shelf life can be found on the public summary of the Australian Register of Therapeutic Goods (ARTG). The expiry date can be found on the packaging.</w:t>
      </w:r>
    </w:p>
    <w:p w14:paraId="03B4E4E1" w14:textId="4DBD3540" w:rsidR="002B08B7" w:rsidRPr="00B247FF" w:rsidRDefault="002B08B7" w:rsidP="00786F6E">
      <w:pPr>
        <w:pStyle w:val="BodyText1"/>
        <w:jc w:val="left"/>
        <w:rPr>
          <w:bCs/>
        </w:rPr>
      </w:pPr>
    </w:p>
    <w:p w14:paraId="64DF06F2" w14:textId="67FAE626" w:rsidR="002B08B7" w:rsidRPr="00B247FF" w:rsidRDefault="001702F8" w:rsidP="00786F6E">
      <w:pPr>
        <w:pStyle w:val="Heading3"/>
        <w:jc w:val="left"/>
        <w:rPr>
          <w:color w:val="auto"/>
        </w:rPr>
      </w:pPr>
      <w:r w:rsidRPr="00B247FF">
        <w:rPr>
          <w:color w:val="auto"/>
        </w:rPr>
        <w:t>After dilution:</w:t>
      </w:r>
    </w:p>
    <w:p w14:paraId="1DBBBB8D" w14:textId="6773EF14" w:rsidR="002B08B7" w:rsidRPr="00B247FF" w:rsidRDefault="001702F8" w:rsidP="00786F6E">
      <w:pPr>
        <w:rPr>
          <w:rFonts w:cs="Times New Roman"/>
        </w:rPr>
      </w:pPr>
      <w:r w:rsidRPr="00B247FF">
        <w:rPr>
          <w:rFonts w:cs="Times New Roman"/>
        </w:rPr>
        <w:t xml:space="preserve">Since amivantamab solutions do not contain a preservative, the product should be used immediately. </w:t>
      </w:r>
      <w:bookmarkStart w:id="89" w:name="_Hlk53511456"/>
      <w:r w:rsidRPr="00B247FF">
        <w:rPr>
          <w:rFonts w:cs="Times New Roman"/>
        </w:rPr>
        <w:t>Administer diluted solutions within 10 hours (including infusion time) at room temperature (15°C to 25°C) and in room light.</w:t>
      </w:r>
      <w:bookmarkEnd w:id="89"/>
    </w:p>
    <w:p w14:paraId="3B35F5A4" w14:textId="46752CE0" w:rsidR="000A00EC" w:rsidRPr="00B247FF" w:rsidRDefault="000A00EC" w:rsidP="00786F6E">
      <w:pPr>
        <w:rPr>
          <w:rFonts w:eastAsiaTheme="minorHAnsi" w:cs="Times New Roman"/>
          <w:color w:val="auto"/>
          <w:szCs w:val="20"/>
        </w:rPr>
      </w:pPr>
    </w:p>
    <w:p w14:paraId="3F438D98" w14:textId="0123FEE7" w:rsidR="00D13B85" w:rsidRPr="00B247FF" w:rsidRDefault="00D13B85" w:rsidP="00786F6E">
      <w:pPr>
        <w:pStyle w:val="Heading2"/>
        <w:numPr>
          <w:ilvl w:val="1"/>
          <w:numId w:val="18"/>
        </w:numPr>
        <w:ind w:left="426" w:hanging="426"/>
        <w:jc w:val="left"/>
        <w:rPr>
          <w:color w:val="auto"/>
        </w:rPr>
      </w:pPr>
      <w:r w:rsidRPr="00B247FF">
        <w:rPr>
          <w:color w:val="auto"/>
        </w:rPr>
        <w:t>SPECIAL PRECAUTIONS FOR STORAGE</w:t>
      </w:r>
    </w:p>
    <w:p w14:paraId="34089E4C" w14:textId="77777777" w:rsidR="00E75236" w:rsidRPr="00B247FF" w:rsidRDefault="00E75236" w:rsidP="00786F6E">
      <w:pPr>
        <w:rPr>
          <w:color w:val="auto"/>
          <w:lang w:val="en-US"/>
        </w:rPr>
      </w:pPr>
      <w:r w:rsidRPr="00B247FF">
        <w:rPr>
          <w:color w:val="auto"/>
          <w:lang w:val="en-US"/>
        </w:rPr>
        <w:t>Store in a refrigerator at 2°C to 8°C.</w:t>
      </w:r>
    </w:p>
    <w:p w14:paraId="49AD9656" w14:textId="77777777" w:rsidR="00E75236" w:rsidRPr="00B247FF" w:rsidRDefault="00E75236" w:rsidP="00786F6E">
      <w:pPr>
        <w:rPr>
          <w:color w:val="auto"/>
          <w:lang w:val="en-US"/>
        </w:rPr>
      </w:pPr>
      <w:r w:rsidRPr="00B247FF">
        <w:rPr>
          <w:color w:val="auto"/>
          <w:lang w:val="en-US"/>
        </w:rPr>
        <w:t>Do not freeze.</w:t>
      </w:r>
    </w:p>
    <w:p w14:paraId="236D3B15" w14:textId="77777777" w:rsidR="00E75236" w:rsidRPr="00B247FF" w:rsidRDefault="00E75236" w:rsidP="00786F6E">
      <w:pPr>
        <w:rPr>
          <w:color w:val="auto"/>
          <w:lang w:val="en-US"/>
        </w:rPr>
      </w:pPr>
      <w:r w:rsidRPr="00B247FF">
        <w:rPr>
          <w:color w:val="auto"/>
          <w:lang w:val="en-US"/>
        </w:rPr>
        <w:t>Store in the original package in order to protect from light.</w:t>
      </w:r>
    </w:p>
    <w:p w14:paraId="7525D7E7" w14:textId="18303C7B" w:rsidR="00062818" w:rsidRPr="00B247FF" w:rsidRDefault="00E75236" w:rsidP="00786F6E">
      <w:pPr>
        <w:rPr>
          <w:color w:val="auto"/>
          <w:lang w:val="en-US"/>
        </w:rPr>
      </w:pPr>
      <w:r w:rsidRPr="00B247FF">
        <w:rPr>
          <w:color w:val="auto"/>
          <w:lang w:val="en-US"/>
        </w:rPr>
        <w:t xml:space="preserve">For storage conditions after dilution of the medicinal product, see Section 6.3 Shelf </w:t>
      </w:r>
      <w:r w:rsidR="004D1BFF" w:rsidRPr="00B247FF">
        <w:rPr>
          <w:color w:val="auto"/>
          <w:lang w:val="en-US"/>
        </w:rPr>
        <w:t>l</w:t>
      </w:r>
      <w:r w:rsidRPr="00B247FF">
        <w:rPr>
          <w:color w:val="auto"/>
          <w:lang w:val="en-US"/>
        </w:rPr>
        <w:t>ife.</w:t>
      </w:r>
    </w:p>
    <w:p w14:paraId="266F2893" w14:textId="77777777" w:rsidR="00062818" w:rsidRPr="00B247FF" w:rsidRDefault="00062818" w:rsidP="00786F6E">
      <w:pPr>
        <w:rPr>
          <w:color w:val="auto"/>
          <w:lang w:val="en-US"/>
        </w:rPr>
      </w:pPr>
    </w:p>
    <w:p w14:paraId="44B4472B" w14:textId="28FA0A5C" w:rsidR="00D13B85" w:rsidRPr="00B247FF" w:rsidRDefault="00D13B85" w:rsidP="00786F6E">
      <w:pPr>
        <w:pStyle w:val="Heading2"/>
        <w:numPr>
          <w:ilvl w:val="1"/>
          <w:numId w:val="18"/>
        </w:numPr>
        <w:ind w:left="426" w:hanging="426"/>
        <w:jc w:val="left"/>
        <w:rPr>
          <w:rFonts w:cs="Times New Roman"/>
          <w:color w:val="auto"/>
          <w:spacing w:val="0"/>
          <w:kern w:val="28"/>
          <w:szCs w:val="20"/>
        </w:rPr>
      </w:pPr>
      <w:r w:rsidRPr="00B247FF">
        <w:rPr>
          <w:rFonts w:cs="Times New Roman"/>
          <w:color w:val="auto"/>
          <w:spacing w:val="0"/>
          <w:kern w:val="28"/>
          <w:szCs w:val="20"/>
        </w:rPr>
        <w:t>NATURE AND CONTENTS OF CONTAINER</w:t>
      </w:r>
    </w:p>
    <w:p w14:paraId="2FA0DB3A" w14:textId="6AE19E2D" w:rsidR="00062CAC" w:rsidRPr="00B247FF" w:rsidRDefault="00062CAC" w:rsidP="00786F6E">
      <w:pPr>
        <w:rPr>
          <w:iCs/>
          <w:color w:val="auto"/>
          <w:szCs w:val="24"/>
        </w:rPr>
      </w:pPr>
      <w:r w:rsidRPr="00B247FF">
        <w:rPr>
          <w:iCs/>
          <w:color w:val="auto"/>
          <w:szCs w:val="24"/>
        </w:rPr>
        <w:t>Type 1 glass vial with butyl rubber elastomer stopper and aluminium seal with a flip</w:t>
      </w:r>
      <w:r w:rsidRPr="00B247FF">
        <w:rPr>
          <w:iCs/>
          <w:color w:val="auto"/>
          <w:szCs w:val="24"/>
        </w:rPr>
        <w:noBreakHyphen/>
        <w:t>off cap.</w:t>
      </w:r>
    </w:p>
    <w:p w14:paraId="720D9B9F" w14:textId="77777777" w:rsidR="00062CAC" w:rsidRPr="00B247FF" w:rsidRDefault="00062CAC" w:rsidP="00786F6E">
      <w:pPr>
        <w:rPr>
          <w:iCs/>
          <w:color w:val="auto"/>
          <w:szCs w:val="24"/>
        </w:rPr>
      </w:pPr>
    </w:p>
    <w:p w14:paraId="74424A42" w14:textId="1837CC2F" w:rsidR="00AF2C0D" w:rsidRPr="00B247FF" w:rsidRDefault="00E75236" w:rsidP="00786F6E">
      <w:pPr>
        <w:rPr>
          <w:iCs/>
          <w:color w:val="auto"/>
          <w:szCs w:val="24"/>
        </w:rPr>
      </w:pPr>
      <w:r w:rsidRPr="00B247FF">
        <w:rPr>
          <w:iCs/>
          <w:color w:val="auto"/>
          <w:szCs w:val="24"/>
        </w:rPr>
        <w:t>RYBREVANT is available in cartons containing 1 single-use vial.</w:t>
      </w:r>
    </w:p>
    <w:p w14:paraId="461B166A" w14:textId="77777777" w:rsidR="00062CAC" w:rsidRPr="00B247FF" w:rsidRDefault="00062CAC" w:rsidP="00786F6E">
      <w:pPr>
        <w:rPr>
          <w:color w:val="auto"/>
        </w:rPr>
      </w:pPr>
    </w:p>
    <w:p w14:paraId="5E3E66BB" w14:textId="39BC087A" w:rsidR="00180102" w:rsidRPr="00B247FF" w:rsidRDefault="00180102" w:rsidP="00786F6E">
      <w:pPr>
        <w:pStyle w:val="Heading2"/>
        <w:numPr>
          <w:ilvl w:val="1"/>
          <w:numId w:val="18"/>
        </w:numPr>
        <w:ind w:left="426" w:hanging="426"/>
        <w:jc w:val="left"/>
        <w:rPr>
          <w:rFonts w:cs="Times New Roman"/>
          <w:color w:val="auto"/>
          <w:spacing w:val="0"/>
          <w:kern w:val="28"/>
          <w:szCs w:val="20"/>
        </w:rPr>
      </w:pPr>
      <w:r w:rsidRPr="00B247FF">
        <w:rPr>
          <w:rFonts w:cs="Times New Roman"/>
          <w:color w:val="auto"/>
          <w:spacing w:val="0"/>
          <w:kern w:val="28"/>
          <w:szCs w:val="20"/>
        </w:rPr>
        <w:t>SPECIAL PRECAUTIONS FOR DISPOSAL</w:t>
      </w:r>
    </w:p>
    <w:p w14:paraId="118EBB54" w14:textId="2674039A" w:rsidR="000A00EC" w:rsidRPr="00B247FF" w:rsidRDefault="00E546F7" w:rsidP="00786F6E">
      <w:r w:rsidRPr="00B247FF">
        <w:t>In Australia, any unused medicine or waste material should be disposed of in accordance with local requirements.</w:t>
      </w:r>
    </w:p>
    <w:p w14:paraId="3168AC67" w14:textId="77777777" w:rsidR="00AF2C0D" w:rsidRPr="00B247FF" w:rsidRDefault="00AF2C0D" w:rsidP="00786F6E"/>
    <w:p w14:paraId="51300E4C" w14:textId="2B67F391" w:rsidR="00170F03" w:rsidRPr="00B247FF" w:rsidRDefault="00170F03" w:rsidP="00786F6E">
      <w:pPr>
        <w:pStyle w:val="Heading1"/>
        <w:jc w:val="left"/>
      </w:pPr>
      <w:bookmarkStart w:id="90" w:name="_Instructions_for_Use"/>
      <w:bookmarkEnd w:id="90"/>
      <w:r w:rsidRPr="00B247FF">
        <w:t>MEDICINE SCHEDULE (POISON STANDARD)</w:t>
      </w:r>
    </w:p>
    <w:p w14:paraId="3BA151E0" w14:textId="7DA32AFB" w:rsidR="00766ED2" w:rsidRPr="00B247FF" w:rsidRDefault="000125A8" w:rsidP="00786F6E">
      <w:pPr>
        <w:pStyle w:val="BodyText1"/>
        <w:jc w:val="left"/>
      </w:pPr>
      <w:r w:rsidRPr="00B247FF">
        <w:t>S</w:t>
      </w:r>
      <w:r w:rsidR="00715510" w:rsidRPr="00B247FF">
        <w:t>4</w:t>
      </w:r>
      <w:r w:rsidRPr="00B247FF">
        <w:t xml:space="preserve"> </w:t>
      </w:r>
      <w:r w:rsidR="00715510" w:rsidRPr="00B247FF">
        <w:t>Prescription Medicine</w:t>
      </w:r>
    </w:p>
    <w:p w14:paraId="05AA3A40" w14:textId="77777777" w:rsidR="00786F6E" w:rsidRDefault="00786F6E" w:rsidP="00786F6E">
      <w:pPr>
        <w:pStyle w:val="Heading1"/>
        <w:numPr>
          <w:ilvl w:val="0"/>
          <w:numId w:val="0"/>
        </w:numPr>
        <w:ind w:left="360"/>
        <w:jc w:val="left"/>
      </w:pPr>
    </w:p>
    <w:p w14:paraId="2438F9F4" w14:textId="77777777" w:rsidR="00786F6E" w:rsidRDefault="00786F6E" w:rsidP="00786F6E">
      <w:pPr>
        <w:pStyle w:val="Heading1"/>
        <w:numPr>
          <w:ilvl w:val="0"/>
          <w:numId w:val="0"/>
        </w:numPr>
        <w:ind w:left="360"/>
        <w:jc w:val="left"/>
      </w:pPr>
    </w:p>
    <w:p w14:paraId="36CED72A" w14:textId="6E894C17" w:rsidR="00170F03" w:rsidRPr="00B247FF" w:rsidRDefault="00170F03" w:rsidP="00786F6E">
      <w:pPr>
        <w:pStyle w:val="Heading1"/>
        <w:numPr>
          <w:ilvl w:val="0"/>
          <w:numId w:val="0"/>
        </w:numPr>
        <w:ind w:left="360"/>
        <w:jc w:val="left"/>
      </w:pPr>
      <w:r w:rsidRPr="00B247FF">
        <w:lastRenderedPageBreak/>
        <w:t>SPONSOR</w:t>
      </w:r>
    </w:p>
    <w:p w14:paraId="05C52D97" w14:textId="01FA80D6" w:rsidR="00170F03" w:rsidRPr="00B247FF" w:rsidRDefault="00170F03" w:rsidP="00786F6E">
      <w:pPr>
        <w:pStyle w:val="BodyText1"/>
        <w:jc w:val="left"/>
      </w:pPr>
      <w:r w:rsidRPr="00B247FF">
        <w:t>Janssen-Cilag Pty Ltd</w:t>
      </w:r>
      <w:r w:rsidR="004A1416" w:rsidRPr="00B247FF">
        <w:br/>
      </w:r>
      <w:r w:rsidRPr="00B247FF">
        <w:t xml:space="preserve">1-5 Khartoum Road, </w:t>
      </w:r>
      <w:r w:rsidR="004A1416" w:rsidRPr="00B247FF">
        <w:br/>
      </w:r>
      <w:r w:rsidRPr="00B247FF">
        <w:t xml:space="preserve">Macquarie Park, </w:t>
      </w:r>
      <w:r w:rsidR="004A1416" w:rsidRPr="00B247FF">
        <w:br/>
      </w:r>
      <w:r w:rsidRPr="00B247FF">
        <w:t>NSW, 2113, AUSTRALIA</w:t>
      </w:r>
      <w:r w:rsidR="004A1416" w:rsidRPr="00B247FF">
        <w:br/>
      </w:r>
      <w:r w:rsidRPr="00B247FF">
        <w:t>Telephone: 1800 226 334</w:t>
      </w:r>
    </w:p>
    <w:p w14:paraId="7D295093" w14:textId="5A2870B7" w:rsidR="00170F03" w:rsidRPr="00B247FF" w:rsidRDefault="00170F03" w:rsidP="00786F6E">
      <w:pPr>
        <w:pStyle w:val="Heading1"/>
        <w:jc w:val="left"/>
      </w:pPr>
      <w:r w:rsidRPr="00B247FF">
        <w:t>DATE OF FIRST APPROVAL</w:t>
      </w:r>
    </w:p>
    <w:p w14:paraId="4BD16312" w14:textId="6CAF419C" w:rsidR="00F416BC" w:rsidRDefault="00B00EE1" w:rsidP="00786F6E">
      <w:r>
        <w:t>01</w:t>
      </w:r>
      <w:r w:rsidR="00E546F7" w:rsidRPr="00B247FF">
        <w:t xml:space="preserve"> </w:t>
      </w:r>
      <w:r>
        <w:t>Dec</w:t>
      </w:r>
      <w:r w:rsidR="00E546F7" w:rsidRPr="00B247FF">
        <w:t xml:space="preserve"> </w:t>
      </w:r>
      <w:r>
        <w:t>2022</w:t>
      </w:r>
    </w:p>
    <w:p w14:paraId="026500D0" w14:textId="77777777" w:rsidR="004576A6" w:rsidRDefault="004576A6" w:rsidP="00786F6E">
      <w:pPr>
        <w:pStyle w:val="Heading1"/>
        <w:jc w:val="left"/>
      </w:pPr>
      <w:r w:rsidRPr="004D0BDD">
        <w:t xml:space="preserve">DATE OF </w:t>
      </w:r>
      <w:r>
        <w:t>REVISION</w:t>
      </w:r>
    </w:p>
    <w:p w14:paraId="77DCEB06" w14:textId="77777777" w:rsidR="004576A6" w:rsidRPr="00642B49" w:rsidRDefault="004576A6" w:rsidP="00786F6E">
      <w:r>
        <w:t>N/A</w:t>
      </w:r>
    </w:p>
    <w:p w14:paraId="1C22DF7C" w14:textId="77777777" w:rsidR="004576A6" w:rsidRPr="00F416BC" w:rsidRDefault="004576A6" w:rsidP="00786F6E"/>
    <w:p w14:paraId="03842028" w14:textId="38D9D930" w:rsidR="004F6B26" w:rsidRDefault="004F6B26" w:rsidP="00786F6E">
      <w:pPr>
        <w:rPr>
          <w:b/>
          <w:bCs/>
        </w:rPr>
      </w:pPr>
    </w:p>
    <w:p w14:paraId="00E44D1A" w14:textId="44942CB6" w:rsidR="004576A6" w:rsidRPr="009A34E9" w:rsidRDefault="004576A6" w:rsidP="00786F6E">
      <w:pPr>
        <w:spacing w:after="120"/>
        <w:rPr>
          <w:b/>
          <w:bCs/>
        </w:rPr>
      </w:pPr>
      <w:r w:rsidRPr="009A34E9">
        <w:rPr>
          <w:b/>
          <w:bCs/>
        </w:rPr>
        <w:t>Summary table of changes</w:t>
      </w:r>
    </w:p>
    <w:tbl>
      <w:tblPr>
        <w:tblStyle w:val="TableGrid"/>
        <w:tblW w:w="0" w:type="auto"/>
        <w:tblLook w:val="04A0" w:firstRow="1" w:lastRow="0" w:firstColumn="1" w:lastColumn="0" w:noHBand="0" w:noVBand="1"/>
      </w:tblPr>
      <w:tblGrid>
        <w:gridCol w:w="2122"/>
        <w:gridCol w:w="7507"/>
      </w:tblGrid>
      <w:tr w:rsidR="004576A6" w:rsidRPr="009A34E9" w14:paraId="025804F2" w14:textId="77777777" w:rsidTr="004F6B26">
        <w:tc>
          <w:tcPr>
            <w:tcW w:w="2122" w:type="dxa"/>
          </w:tcPr>
          <w:p w14:paraId="516E82A3" w14:textId="77777777" w:rsidR="004576A6" w:rsidRPr="009A34E9" w:rsidRDefault="004576A6" w:rsidP="00786F6E">
            <w:pPr>
              <w:rPr>
                <w:b/>
                <w:bCs/>
              </w:rPr>
            </w:pPr>
            <w:r w:rsidRPr="009A34E9">
              <w:rPr>
                <w:b/>
                <w:bCs/>
              </w:rPr>
              <w:t>Section changed</w:t>
            </w:r>
          </w:p>
        </w:tc>
        <w:tc>
          <w:tcPr>
            <w:tcW w:w="7507" w:type="dxa"/>
          </w:tcPr>
          <w:p w14:paraId="179676CB" w14:textId="77777777" w:rsidR="004576A6" w:rsidRPr="009A34E9" w:rsidRDefault="004576A6" w:rsidP="00786F6E">
            <w:pPr>
              <w:rPr>
                <w:b/>
                <w:bCs/>
              </w:rPr>
            </w:pPr>
            <w:r w:rsidRPr="009A34E9">
              <w:rPr>
                <w:b/>
                <w:bCs/>
              </w:rPr>
              <w:t>Summary of new information</w:t>
            </w:r>
          </w:p>
        </w:tc>
      </w:tr>
      <w:tr w:rsidR="004576A6" w14:paraId="55691197" w14:textId="77777777" w:rsidTr="004F6B26">
        <w:tc>
          <w:tcPr>
            <w:tcW w:w="2122" w:type="dxa"/>
          </w:tcPr>
          <w:p w14:paraId="05C25810" w14:textId="77777777" w:rsidR="004576A6" w:rsidRDefault="004576A6" w:rsidP="00786F6E">
            <w:r>
              <w:t>N/A</w:t>
            </w:r>
          </w:p>
        </w:tc>
        <w:tc>
          <w:tcPr>
            <w:tcW w:w="7507" w:type="dxa"/>
          </w:tcPr>
          <w:p w14:paraId="0BB90E5F" w14:textId="77777777" w:rsidR="004576A6" w:rsidRDefault="004576A6" w:rsidP="00786F6E">
            <w:r>
              <w:t>N/A</w:t>
            </w:r>
          </w:p>
        </w:tc>
      </w:tr>
    </w:tbl>
    <w:p w14:paraId="7120D4E3" w14:textId="77777777" w:rsidR="004576A6" w:rsidRPr="00F416BC" w:rsidRDefault="004576A6" w:rsidP="00786F6E"/>
    <w:p w14:paraId="37468616" w14:textId="2792CA18" w:rsidR="00F416BC" w:rsidRPr="00F416BC" w:rsidRDefault="00F416BC" w:rsidP="00786F6E"/>
    <w:p w14:paraId="455FB4DD" w14:textId="65A87F71" w:rsidR="00F416BC" w:rsidRPr="00F416BC" w:rsidRDefault="00F416BC" w:rsidP="00786F6E"/>
    <w:sectPr w:rsidR="00F416BC" w:rsidRPr="00F416BC" w:rsidSect="00C42968">
      <w:headerReference w:type="default" r:id="rId12"/>
      <w:footerReference w:type="first" r:id="rId13"/>
      <w:endnotePr>
        <w:numFmt w:val="decimal"/>
      </w:endnotePr>
      <w:type w:val="continuous"/>
      <w:pgSz w:w="11907" w:h="16840" w:code="9"/>
      <w:pgMar w:top="1200" w:right="1134" w:bottom="600" w:left="1134" w:header="720" w:footer="5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D437" w14:textId="77777777" w:rsidR="00836AB5" w:rsidRDefault="00836AB5"/>
  </w:endnote>
  <w:endnote w:type="continuationSeparator" w:id="0">
    <w:p w14:paraId="662D8C3C" w14:textId="77777777" w:rsidR="00836AB5" w:rsidRDefault="00836AB5">
      <w:r>
        <w:t xml:space="preserve"> </w:t>
      </w:r>
    </w:p>
  </w:endnote>
  <w:endnote w:type="continuationNotice" w:id="1">
    <w:p w14:paraId="7E9040B6" w14:textId="77777777" w:rsidR="00836AB5" w:rsidRDefault="00836A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ntonSans-Black">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A1"/>
    <w:family w:val="auto"/>
    <w:notTrueType/>
    <w:pitch w:val="default"/>
    <w:sig w:usb0="00000083"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617D" w14:textId="5EDF8BEA" w:rsidR="00836AB5" w:rsidRDefault="00FB2118" w:rsidP="00E7367E">
    <w:pPr>
      <w:pBdr>
        <w:top w:val="single" w:sz="4" w:space="1" w:color="auto"/>
      </w:pBdr>
      <w:tabs>
        <w:tab w:val="right" w:pos="4820"/>
        <w:tab w:val="right" w:pos="9639"/>
      </w:tabs>
      <w:rPr>
        <w:sz w:val="16"/>
        <w:szCs w:val="16"/>
      </w:rPr>
    </w:pPr>
    <w:r>
      <w:rPr>
        <w:sz w:val="16"/>
        <w:szCs w:val="16"/>
      </w:rPr>
      <w:t>2.</w:t>
    </w:r>
    <w:r w:rsidR="00544BED">
      <w:rPr>
        <w:sz w:val="16"/>
        <w:szCs w:val="16"/>
      </w:rPr>
      <w:t>211116</w:t>
    </w:r>
    <w:r w:rsidR="00836AB5">
      <w:rPr>
        <w:sz w:val="16"/>
        <w:szCs w:val="16"/>
      </w:rPr>
      <w:tab/>
      <w:t xml:space="preserve">Page </w:t>
    </w:r>
    <w:r w:rsidR="00836AB5">
      <w:rPr>
        <w:sz w:val="16"/>
        <w:szCs w:val="16"/>
      </w:rPr>
      <w:fldChar w:fldCharType="begin"/>
    </w:r>
    <w:r w:rsidR="00836AB5">
      <w:rPr>
        <w:sz w:val="16"/>
        <w:szCs w:val="16"/>
      </w:rPr>
      <w:instrText xml:space="preserve"> PAGE </w:instrText>
    </w:r>
    <w:r w:rsidR="00836AB5">
      <w:rPr>
        <w:sz w:val="16"/>
        <w:szCs w:val="16"/>
      </w:rPr>
      <w:fldChar w:fldCharType="separate"/>
    </w:r>
    <w:r w:rsidR="00836AB5">
      <w:rPr>
        <w:noProof/>
        <w:sz w:val="16"/>
        <w:szCs w:val="16"/>
      </w:rPr>
      <w:t>1</w:t>
    </w:r>
    <w:r w:rsidR="00836AB5">
      <w:rPr>
        <w:sz w:val="16"/>
        <w:szCs w:val="16"/>
      </w:rPr>
      <w:fldChar w:fldCharType="end"/>
    </w:r>
    <w:r w:rsidR="00836AB5">
      <w:rPr>
        <w:sz w:val="16"/>
        <w:szCs w:val="16"/>
      </w:rPr>
      <w:t xml:space="preserve"> of </w:t>
    </w:r>
    <w:r w:rsidR="00836AB5">
      <w:rPr>
        <w:sz w:val="16"/>
        <w:szCs w:val="16"/>
      </w:rPr>
      <w:fldChar w:fldCharType="begin"/>
    </w:r>
    <w:r w:rsidR="00836AB5">
      <w:rPr>
        <w:sz w:val="16"/>
        <w:szCs w:val="16"/>
      </w:rPr>
      <w:instrText xml:space="preserve"> NUMPAGES </w:instrText>
    </w:r>
    <w:r w:rsidR="00836AB5">
      <w:rPr>
        <w:sz w:val="16"/>
        <w:szCs w:val="16"/>
      </w:rPr>
      <w:fldChar w:fldCharType="separate"/>
    </w:r>
    <w:r w:rsidR="00836AB5">
      <w:rPr>
        <w:noProof/>
        <w:sz w:val="16"/>
        <w:szCs w:val="16"/>
      </w:rPr>
      <w:t>34</w:t>
    </w:r>
    <w:r w:rsidR="00836AB5">
      <w:rPr>
        <w:sz w:val="16"/>
        <w:szCs w:val="16"/>
      </w:rPr>
      <w:fldChar w:fldCharType="end"/>
    </w:r>
    <w:r w:rsidR="00836AB5">
      <w:rPr>
        <w:sz w:val="16"/>
        <w:szCs w:val="16"/>
      </w:rPr>
      <w:tab/>
    </w:r>
    <w:r w:rsidR="00666740">
      <w:rPr>
        <w:sz w:val="16"/>
        <w:szCs w:val="16"/>
      </w:rPr>
      <w:t>RYBREVANT</w:t>
    </w:r>
    <w:r w:rsidR="00836AB5">
      <w:rPr>
        <w:sz w:val="16"/>
        <w:szCs w:val="16"/>
      </w:rPr>
      <w:t xml:space="preserve"> </w:t>
    </w:r>
    <w:r w:rsidR="00836AB5" w:rsidRPr="002C7E36">
      <w:rPr>
        <w:sz w:val="16"/>
        <w:szCs w:val="16"/>
      </w:rPr>
      <w:t>(</w:t>
    </w:r>
    <w:r w:rsidR="00ED77CB">
      <w:rPr>
        <w:sz w:val="16"/>
        <w:szCs w:val="16"/>
      </w:rPr>
      <w:t>22</w:t>
    </w:r>
    <w:r w:rsidR="00B00EE1">
      <w:rPr>
        <w:sz w:val="16"/>
        <w:szCs w:val="16"/>
      </w:rPr>
      <w:t>1201</w:t>
    </w:r>
    <w:r w:rsidR="00836AB5">
      <w:rPr>
        <w:sz w:val="16"/>
        <w:szCs w:val="16"/>
      </w:rPr>
      <w:t xml:space="preserve">) </w:t>
    </w:r>
    <w:r w:rsidR="00B00EE1">
      <w:rPr>
        <w:sz w:val="16"/>
        <w:szCs w:val="16"/>
      </w:rPr>
      <w:t>API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6F80" w14:textId="77777777" w:rsidR="00836AB5" w:rsidRDefault="00836AB5"/>
  <w:p w14:paraId="35C0774A" w14:textId="77777777" w:rsidR="00836AB5" w:rsidRDefault="00836AB5">
    <w:r>
      <w:tab/>
    </w:r>
    <w:r>
      <w:fldChar w:fldCharType="begin"/>
    </w:r>
    <w:r>
      <w:instrText xml:space="preserve"> PAGE </w:instrText>
    </w:r>
    <w:r>
      <w:fldChar w:fldCharType="separate"/>
    </w:r>
    <w:r>
      <w:rPr>
        <w:noProof/>
      </w:rPr>
      <w:t>1</w:t>
    </w:r>
    <w:r>
      <w:rPr>
        <w:noProof/>
      </w:rPr>
      <w:fldChar w:fldCharType="end"/>
    </w:r>
    <w:r>
      <w:tab/>
      <w:t>INVEGA draft PI</w:t>
    </w:r>
  </w:p>
  <w:p w14:paraId="33AD1A0A" w14:textId="77777777" w:rsidR="00836AB5" w:rsidRDefault="00836A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78DD" w14:textId="77777777" w:rsidR="00836AB5" w:rsidRDefault="00836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C4A1" w14:textId="77777777" w:rsidR="00836AB5" w:rsidRDefault="00836AB5">
      <w:r>
        <w:separator/>
      </w:r>
    </w:p>
  </w:footnote>
  <w:footnote w:type="continuationSeparator" w:id="0">
    <w:p w14:paraId="513D51F9" w14:textId="77777777" w:rsidR="00836AB5" w:rsidRDefault="0083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39"/>
    </w:tblGrid>
    <w:tr w:rsidR="00786F6E" w:rsidRPr="000B2145" w14:paraId="6C023B96" w14:textId="77777777" w:rsidTr="00944B12">
      <w:trPr>
        <w:trHeight w:val="1012"/>
      </w:trPr>
      <w:tc>
        <w:tcPr>
          <w:tcW w:w="9039" w:type="dxa"/>
          <w:shd w:val="clear" w:color="auto" w:fill="E4F2E0"/>
        </w:tcPr>
        <w:p w14:paraId="66A1E605" w14:textId="77777777" w:rsidR="00786F6E" w:rsidRPr="000E4791" w:rsidRDefault="00786F6E" w:rsidP="00786F6E">
          <w:pPr>
            <w:pStyle w:val="Footer"/>
            <w:rPr>
              <w:b/>
              <w:sz w:val="18"/>
              <w:szCs w:val="18"/>
            </w:rPr>
          </w:pPr>
          <w:bookmarkStart w:id="1" w:name="_Hlk109054010"/>
          <w:r w:rsidRPr="00EE2A41">
            <w:rPr>
              <w:b/>
              <w:sz w:val="18"/>
              <w:szCs w:val="18"/>
            </w:rPr>
            <w:t xml:space="preserve">Attachment </w:t>
          </w:r>
          <w:r w:rsidRPr="00460D8D">
            <w:rPr>
              <w:b/>
              <w:sz w:val="18"/>
              <w:szCs w:val="18"/>
            </w:rPr>
            <w:t xml:space="preserve">AusPAR – </w:t>
          </w:r>
          <w:proofErr w:type="spellStart"/>
          <w:r w:rsidRPr="00460D8D">
            <w:rPr>
              <w:b/>
              <w:sz w:val="18"/>
              <w:szCs w:val="18"/>
            </w:rPr>
            <w:t>Rybrevant</w:t>
          </w:r>
          <w:proofErr w:type="spellEnd"/>
          <w:r w:rsidRPr="00460D8D">
            <w:rPr>
              <w:b/>
              <w:sz w:val="18"/>
              <w:szCs w:val="18"/>
            </w:rPr>
            <w:t xml:space="preserve"> - </w:t>
          </w:r>
          <w:proofErr w:type="spellStart"/>
          <w:r w:rsidRPr="00460D8D">
            <w:rPr>
              <w:b/>
              <w:sz w:val="18"/>
              <w:szCs w:val="18"/>
            </w:rPr>
            <w:t>amivantamab</w:t>
          </w:r>
          <w:proofErr w:type="spellEnd"/>
          <w:r w:rsidRPr="00460D8D">
            <w:rPr>
              <w:b/>
              <w:sz w:val="18"/>
              <w:szCs w:val="18"/>
            </w:rPr>
            <w:t xml:space="preserve"> - Janssen-</w:t>
          </w:r>
          <w:proofErr w:type="spellStart"/>
          <w:r w:rsidRPr="00460D8D">
            <w:rPr>
              <w:b/>
              <w:sz w:val="18"/>
              <w:szCs w:val="18"/>
            </w:rPr>
            <w:t>Cilag</w:t>
          </w:r>
          <w:proofErr w:type="spellEnd"/>
          <w:r w:rsidRPr="00460D8D">
            <w:rPr>
              <w:b/>
              <w:sz w:val="18"/>
              <w:szCs w:val="18"/>
            </w:rPr>
            <w:t xml:space="preserve"> Pty Ltd - PM-2021-04814-1-4</w:t>
          </w:r>
          <w:r>
            <w:rPr>
              <w:b/>
              <w:sz w:val="18"/>
              <w:szCs w:val="18"/>
            </w:rPr>
            <w:t xml:space="preserve"> </w:t>
          </w:r>
          <w:r w:rsidRPr="00460D8D">
            <w:rPr>
              <w:b/>
              <w:sz w:val="18"/>
              <w:szCs w:val="18"/>
            </w:rPr>
            <w:t>FINAL 30 Aug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bookmarkEnd w:id="1"/>
  <w:p w14:paraId="316046F5" w14:textId="77C184CA" w:rsidR="00836AB5" w:rsidRDefault="00836AB5" w:rsidP="00A67A1D">
    <w:pPr>
      <w:pStyle w:val="Header"/>
      <w:tabs>
        <w:tab w:val="clear" w:pos="4153"/>
        <w:tab w:val="left" w:pos="7125"/>
      </w:tabs>
      <w:jc w:val="right"/>
    </w:pPr>
    <w:r>
      <w:rPr>
        <w:noProof/>
        <w:lang w:eastAsia="en-AU"/>
      </w:rPr>
      <w:drawing>
        <wp:inline distT="0" distB="0" distL="0" distR="0" wp14:anchorId="09B505D1" wp14:editId="00ACC745">
          <wp:extent cx="1828800" cy="819150"/>
          <wp:effectExtent l="19050" t="0" r="0" b="0"/>
          <wp:docPr id="1" name="Picture 1" descr="Janssen_Con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sen_Cons_RGB"/>
                  <pic:cNvPicPr>
                    <a:picLocks noChangeAspect="1" noChangeArrowheads="1"/>
                  </pic:cNvPicPr>
                </pic:nvPicPr>
                <pic:blipFill>
                  <a:blip r:embed="rId2"/>
                  <a:srcRect t="23622" b="31496"/>
                  <a:stretch>
                    <a:fillRect/>
                  </a:stretch>
                </pic:blipFill>
                <pic:spPr bwMode="auto">
                  <a:xfrm>
                    <a:off x="0" y="0"/>
                    <a:ext cx="1828800" cy="819150"/>
                  </a:xfrm>
                  <a:prstGeom prst="rect">
                    <a:avLst/>
                  </a:prstGeom>
                  <a:noFill/>
                  <a:ln w="9525">
                    <a:noFill/>
                    <a:miter lim="800000"/>
                    <a:headEnd/>
                    <a:tailEnd/>
                  </a:ln>
                </pic:spPr>
              </pic:pic>
            </a:graphicData>
          </a:graphic>
        </wp:inline>
      </w:drawing>
    </w:r>
  </w:p>
  <w:p w14:paraId="2F40A8A1" w14:textId="62D09A6F" w:rsidR="00836AB5" w:rsidRPr="00456726" w:rsidRDefault="00836AB5" w:rsidP="00456726">
    <w:pPr>
      <w:pStyle w:val="Header"/>
      <w:spacing w:after="120"/>
      <w:jc w:val="both"/>
      <w:rPr>
        <w:sz w:val="20"/>
      </w:rPr>
    </w:pPr>
    <w:r w:rsidRPr="00456726">
      <w:rPr>
        <w:rFonts w:cstheme="minorBidi"/>
        <w:noProof/>
        <w:sz w:val="20"/>
      </w:rPr>
      <mc:AlternateContent>
        <mc:Choice Requires="wps">
          <w:drawing>
            <wp:inline distT="0" distB="0" distL="0" distR="0" wp14:anchorId="0D07D909" wp14:editId="71D714F9">
              <wp:extent cx="252095" cy="252095"/>
              <wp:effectExtent l="0" t="0" r="0" b="0"/>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20AD3" w14:textId="77777777" w:rsidR="00836AB5" w:rsidRDefault="00836AB5" w:rsidP="00456726">
                          <w:pPr>
                            <w:rPr>
                              <w:rFonts w:ascii="Wingdings 3" w:hAnsi="Wingdings 3"/>
                              <w:sz w:val="24"/>
                            </w:rPr>
                          </w:pPr>
                          <w:r>
                            <w:rPr>
                              <w:rFonts w:ascii="SimSun" w:eastAsia="SimSun" w:hAnsi="SimSun" w:hint="eastAsia"/>
                              <w:sz w:val="40"/>
                            </w:rPr>
                            <w:t>▼</w:t>
                          </w:r>
                        </w:p>
                      </w:txbxContent>
                    </wps:txbx>
                    <wps:bodyPr rot="0" vert="horz" wrap="square" lIns="0" tIns="0" rIns="0" bIns="0" anchor="t" anchorCtr="0" upright="1">
                      <a:noAutofit/>
                    </wps:bodyPr>
                  </wps:wsp>
                </a:graphicData>
              </a:graphic>
            </wp:inline>
          </w:drawing>
        </mc:Choice>
        <mc:Fallback>
          <w:pict>
            <v:shapetype w14:anchorId="0D07D909" id="_x0000_t202" coordsize="21600,21600" o:spt="202" path="m,l,21600r21600,l21600,xe">
              <v:stroke joinstyle="miter"/>
              <v:path gradientshapeok="t" o:connecttype="rect"/>
            </v:shapetype>
            <v:shape id="Text Box 88"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72B20AD3" w14:textId="77777777" w:rsidR="00836AB5" w:rsidRDefault="00836AB5" w:rsidP="00456726">
                    <w:pPr>
                      <w:rPr>
                        <w:rFonts w:ascii="Wingdings 3" w:hAnsi="Wingdings 3"/>
                        <w:sz w:val="24"/>
                      </w:rPr>
                    </w:pPr>
                    <w:r>
                      <w:rPr>
                        <w:rFonts w:ascii="SimSun" w:eastAsia="SimSun" w:hAnsi="SimSun" w:hint="eastAsia"/>
                        <w:sz w:val="40"/>
                      </w:rPr>
                      <w:t>▼</w:t>
                    </w:r>
                  </w:p>
                </w:txbxContent>
              </v:textbox>
              <w10:anchorlock/>
            </v:shape>
          </w:pict>
        </mc:Fallback>
      </mc:AlternateContent>
    </w:r>
    <w:r w:rsidRPr="00456726">
      <w:rPr>
        <w:sz w:val="20"/>
      </w:rPr>
      <w:t xml:space="preserve">This </w:t>
    </w:r>
    <w:r w:rsidR="0045454F">
      <w:rPr>
        <w:sz w:val="20"/>
      </w:rPr>
      <w:t>medicine</w:t>
    </w:r>
    <w:r w:rsidRPr="00456726">
      <w:rPr>
        <w:sz w:val="20"/>
      </w:rPr>
      <w:t xml:space="preserve"> is subject to additional monitoring in Australia. This will allow quick identification of new safety information. Healthcare professionals are asked to report any suspected adverse events at www.tga.gov.au/reporting-problems.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39"/>
    </w:tblGrid>
    <w:tr w:rsidR="00786F6E" w:rsidRPr="000B2145" w14:paraId="03F29CC4" w14:textId="77777777" w:rsidTr="00944B12">
      <w:trPr>
        <w:trHeight w:val="1012"/>
      </w:trPr>
      <w:tc>
        <w:tcPr>
          <w:tcW w:w="9039" w:type="dxa"/>
          <w:shd w:val="clear" w:color="auto" w:fill="E4F2E0"/>
        </w:tcPr>
        <w:p w14:paraId="2051FA0E" w14:textId="77777777" w:rsidR="00786F6E" w:rsidRPr="000E4791" w:rsidRDefault="00786F6E" w:rsidP="00786F6E">
          <w:pPr>
            <w:pStyle w:val="Footer"/>
            <w:rPr>
              <w:b/>
              <w:sz w:val="18"/>
              <w:szCs w:val="18"/>
            </w:rPr>
          </w:pPr>
          <w:r w:rsidRPr="00EE2A41">
            <w:rPr>
              <w:b/>
              <w:sz w:val="18"/>
              <w:szCs w:val="18"/>
            </w:rPr>
            <w:t xml:space="preserve">Attachment </w:t>
          </w:r>
          <w:r w:rsidRPr="00460D8D">
            <w:rPr>
              <w:b/>
              <w:sz w:val="18"/>
              <w:szCs w:val="18"/>
            </w:rPr>
            <w:t xml:space="preserve">AusPAR – </w:t>
          </w:r>
          <w:proofErr w:type="spellStart"/>
          <w:r w:rsidRPr="00460D8D">
            <w:rPr>
              <w:b/>
              <w:sz w:val="18"/>
              <w:szCs w:val="18"/>
            </w:rPr>
            <w:t>Rybrevant</w:t>
          </w:r>
          <w:proofErr w:type="spellEnd"/>
          <w:r w:rsidRPr="00460D8D">
            <w:rPr>
              <w:b/>
              <w:sz w:val="18"/>
              <w:szCs w:val="18"/>
            </w:rPr>
            <w:t xml:space="preserve"> - </w:t>
          </w:r>
          <w:proofErr w:type="spellStart"/>
          <w:r w:rsidRPr="00460D8D">
            <w:rPr>
              <w:b/>
              <w:sz w:val="18"/>
              <w:szCs w:val="18"/>
            </w:rPr>
            <w:t>amivantamab</w:t>
          </w:r>
          <w:proofErr w:type="spellEnd"/>
          <w:r w:rsidRPr="00460D8D">
            <w:rPr>
              <w:b/>
              <w:sz w:val="18"/>
              <w:szCs w:val="18"/>
            </w:rPr>
            <w:t xml:space="preserve"> - Janssen-</w:t>
          </w:r>
          <w:proofErr w:type="spellStart"/>
          <w:r w:rsidRPr="00460D8D">
            <w:rPr>
              <w:b/>
              <w:sz w:val="18"/>
              <w:szCs w:val="18"/>
            </w:rPr>
            <w:t>Cilag</w:t>
          </w:r>
          <w:proofErr w:type="spellEnd"/>
          <w:r w:rsidRPr="00460D8D">
            <w:rPr>
              <w:b/>
              <w:sz w:val="18"/>
              <w:szCs w:val="18"/>
            </w:rPr>
            <w:t xml:space="preserve"> Pty Ltd - PM-2021-04814-1-4</w:t>
          </w:r>
          <w:r>
            <w:rPr>
              <w:b/>
              <w:sz w:val="18"/>
              <w:szCs w:val="18"/>
            </w:rPr>
            <w:t xml:space="preserve"> </w:t>
          </w:r>
          <w:r w:rsidRPr="00460D8D">
            <w:rPr>
              <w:b/>
              <w:sz w:val="18"/>
              <w:szCs w:val="18"/>
            </w:rPr>
            <w:t>FINAL 30 Aug 2023</w:t>
          </w:r>
          <w:r>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tbl>
  <w:p w14:paraId="0CA5E4A7" w14:textId="77777777" w:rsidR="00836AB5" w:rsidRDefault="00836AB5" w:rsidP="00786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pt;height:15.05pt;visibility:visible;mso-wrap-style:square" o:bullet="t">
        <v:imagedata r:id="rId1" o:title=""/>
      </v:shape>
    </w:pict>
  </w:numPicBullet>
  <w:numPicBullet w:numPicBulletId="1">
    <w:pict>
      <v:shape id="_x0000_i1027" type="#_x0000_t75" style="width:18.8pt;height:15.05pt;visibility:visible;mso-wrap-style:square" o:bullet="t">
        <v:imagedata r:id="rId2" o:title=""/>
      </v:shape>
    </w:pict>
  </w:numPicBullet>
  <w:abstractNum w:abstractNumId="0" w15:restartNumberingAfterBreak="0">
    <w:nsid w:val="FFFFFF7F"/>
    <w:multiLevelType w:val="singleLevel"/>
    <w:tmpl w:val="D5AA73C4"/>
    <w:lvl w:ilvl="0">
      <w:start w:val="1"/>
      <w:numFmt w:val="decimal"/>
      <w:pStyle w:val="ListNumber2"/>
      <w:lvlText w:val="%1."/>
      <w:lvlJc w:val="left"/>
      <w:pPr>
        <w:tabs>
          <w:tab w:val="num" w:pos="720"/>
        </w:tabs>
        <w:ind w:left="720" w:hanging="360"/>
      </w:pPr>
    </w:lvl>
  </w:abstractNum>
  <w:abstractNum w:abstractNumId="1" w15:restartNumberingAfterBreak="0">
    <w:nsid w:val="FFFFFFFB"/>
    <w:multiLevelType w:val="multilevel"/>
    <w:tmpl w:val="AB5453EA"/>
    <w:lvl w:ilvl="0">
      <w:start w:val="1"/>
      <w:numFmt w:val="none"/>
      <w:suff w:val="nothing"/>
      <w:lvlText w:val=""/>
      <w:lvlJc w:val="left"/>
      <w:pPr>
        <w:ind w:left="0" w:firstLine="0"/>
      </w:pPr>
    </w:lvl>
    <w:lvl w:ilvl="1">
      <w:start w:val="1"/>
      <w:numFmt w:val="none"/>
      <w:suff w:val="nothing"/>
      <w:lvlText w:val="%2"/>
      <w:lvlJc w:val="left"/>
      <w:pPr>
        <w:ind w:left="0" w:firstLine="0"/>
      </w:pPr>
    </w:lvl>
    <w:lvl w:ilvl="2">
      <w:start w:val="1"/>
      <w:numFmt w:val="none"/>
      <w:suff w:val="nothing"/>
      <w:lvlText w:val="%2"/>
      <w:lvlJc w:val="left"/>
      <w:pPr>
        <w:ind w:left="0" w:firstLine="0"/>
      </w:pPr>
    </w:lvl>
    <w:lvl w:ilvl="3">
      <w:start w:val="1"/>
      <w:numFmt w:val="none"/>
      <w:suff w:val="nothing"/>
      <w:lvlText w:val="%2"/>
      <w:lvlJc w:val="left"/>
      <w:pPr>
        <w:ind w:left="0" w:firstLine="0"/>
      </w:pPr>
    </w:lvl>
    <w:lvl w:ilvl="4">
      <w:start w:val="1"/>
      <w:numFmt w:val="none"/>
      <w:pStyle w:val="Heading5"/>
      <w:lvlText w:val="%2"/>
      <w:lvlJc w:val="left"/>
      <w:pPr>
        <w:tabs>
          <w:tab w:val="num" w:pos="2246"/>
        </w:tabs>
        <w:ind w:left="2246" w:hanging="1411"/>
      </w:pPr>
    </w:lvl>
    <w:lvl w:ilvl="5">
      <w:start w:val="1"/>
      <w:numFmt w:val="none"/>
      <w:pStyle w:val="Heading6"/>
      <w:lvlText w:val="%2"/>
      <w:lvlJc w:val="left"/>
      <w:pPr>
        <w:tabs>
          <w:tab w:val="num" w:pos="2246"/>
        </w:tabs>
        <w:ind w:left="2246" w:hanging="1411"/>
      </w:pPr>
    </w:lvl>
    <w:lvl w:ilvl="6">
      <w:start w:val="1"/>
      <w:numFmt w:val="none"/>
      <w:pStyle w:val="Heading7"/>
      <w:suff w:val="nothing"/>
      <w:lvlText w:val=""/>
      <w:lvlJc w:val="left"/>
      <w:pPr>
        <w:ind w:left="0" w:firstLine="0"/>
      </w:pPr>
    </w:lvl>
    <w:lvl w:ilvl="7">
      <w:start w:val="1"/>
      <w:numFmt w:val="none"/>
      <w:suff w:val="nothing"/>
      <w:lvlText w:val=""/>
      <w:lvlJc w:val="left"/>
      <w:pPr>
        <w:ind w:left="0" w:firstLine="0"/>
      </w:pPr>
    </w:lvl>
    <w:lvl w:ilvl="8">
      <w:start w:val="1"/>
      <w:numFmt w:val="none"/>
      <w:lvlText w:val="%2"/>
      <w:lvlJc w:val="left"/>
      <w:pPr>
        <w:tabs>
          <w:tab w:val="num" w:pos="2246"/>
        </w:tabs>
        <w:ind w:left="2246" w:hanging="1411"/>
      </w:pPr>
    </w:lvl>
  </w:abstractNum>
  <w:abstractNum w:abstractNumId="2" w15:restartNumberingAfterBreak="0">
    <w:nsid w:val="001D13EC"/>
    <w:multiLevelType w:val="singleLevel"/>
    <w:tmpl w:val="174650A8"/>
    <w:lvl w:ilvl="0">
      <w:start w:val="1"/>
      <w:numFmt w:val="bullet"/>
      <w:pStyle w:val="BulletIndent3"/>
      <w:lvlText w:val=""/>
      <w:lvlJc w:val="left"/>
      <w:pPr>
        <w:tabs>
          <w:tab w:val="num" w:pos="936"/>
        </w:tabs>
        <w:ind w:left="288" w:firstLine="288"/>
      </w:pPr>
      <w:rPr>
        <w:rFonts w:ascii="Symbol" w:hAnsi="Symbol" w:hint="default"/>
      </w:rPr>
    </w:lvl>
  </w:abstractNum>
  <w:abstractNum w:abstractNumId="3" w15:restartNumberingAfterBreak="0">
    <w:nsid w:val="06C276F0"/>
    <w:multiLevelType w:val="singleLevel"/>
    <w:tmpl w:val="3BAE124A"/>
    <w:lvl w:ilvl="0">
      <w:start w:val="1"/>
      <w:numFmt w:val="bullet"/>
      <w:pStyle w:val="BulletIndent1"/>
      <w:lvlText w:val=""/>
      <w:lvlJc w:val="left"/>
      <w:pPr>
        <w:tabs>
          <w:tab w:val="num" w:pos="360"/>
        </w:tabs>
        <w:ind w:left="288" w:hanging="288"/>
      </w:pPr>
      <w:rPr>
        <w:rFonts w:ascii="Symbol" w:hAnsi="Symbol" w:hint="default"/>
        <w:b w:val="0"/>
        <w:i w:val="0"/>
        <w:color w:val="auto"/>
        <w:sz w:val="28"/>
        <w:u w:val="none"/>
      </w:rPr>
    </w:lvl>
  </w:abstractNum>
  <w:abstractNum w:abstractNumId="4" w15:restartNumberingAfterBreak="0">
    <w:nsid w:val="0DA646FE"/>
    <w:multiLevelType w:val="hybridMultilevel"/>
    <w:tmpl w:val="CBD8C9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67268"/>
    <w:multiLevelType w:val="singleLevel"/>
    <w:tmpl w:val="B246C912"/>
    <w:lvl w:ilvl="0">
      <w:start w:val="1"/>
      <w:numFmt w:val="decimal"/>
      <w:pStyle w:val="Narrative3"/>
      <w:lvlText w:val="%1."/>
      <w:legacy w:legacy="1" w:legacySpace="0" w:legacyIndent="360"/>
      <w:lvlJc w:val="left"/>
      <w:pPr>
        <w:ind w:left="1210" w:hanging="360"/>
      </w:pPr>
    </w:lvl>
  </w:abstractNum>
  <w:abstractNum w:abstractNumId="6" w15:restartNumberingAfterBreak="0">
    <w:nsid w:val="134911EB"/>
    <w:multiLevelType w:val="hybridMultilevel"/>
    <w:tmpl w:val="A9188FD8"/>
    <w:lvl w:ilvl="0" w:tplc="68366C78">
      <w:numFmt w:val="bullet"/>
      <w:lvlText w:val="•"/>
      <w:lvlJc w:val="left"/>
      <w:pPr>
        <w:ind w:left="564" w:hanging="564"/>
      </w:pPr>
      <w:rPr>
        <w:rFonts w:ascii="Arial" w:eastAsia="Times New Roman" w:hAnsi="Arial" w:cs="Arial" w:hint="default"/>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5F5684"/>
    <w:multiLevelType w:val="hybridMultilevel"/>
    <w:tmpl w:val="9D1CC0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9A7AFD"/>
    <w:multiLevelType w:val="hybridMultilevel"/>
    <w:tmpl w:val="1CE006D6"/>
    <w:lvl w:ilvl="0" w:tplc="E6FE2F8A">
      <w:start w:val="1"/>
      <w:numFmt w:val="decimal"/>
      <w:pStyle w:val="Heading2"/>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FB7B82"/>
    <w:multiLevelType w:val="multilevel"/>
    <w:tmpl w:val="B638242A"/>
    <w:lvl w:ilvl="0">
      <w:start w:val="1"/>
      <w:numFmt w:val="upperLetter"/>
      <w:pStyle w:val="Narrative1"/>
      <w:lvlText w:val="%1."/>
      <w:lvlJc w:val="left"/>
      <w:pPr>
        <w:tabs>
          <w:tab w:val="num" w:pos="1210"/>
        </w:tabs>
        <w:ind w:left="1210" w:hanging="360"/>
      </w:pPr>
    </w:lvl>
    <w:lvl w:ilvl="1">
      <w:start w:val="1"/>
      <w:numFmt w:val="decimal"/>
      <w:lvlText w:val="%2."/>
      <w:lvlJc w:val="left"/>
      <w:pPr>
        <w:tabs>
          <w:tab w:val="num" w:pos="1570"/>
        </w:tabs>
        <w:ind w:left="1570" w:hanging="360"/>
      </w:pPr>
    </w:lvl>
    <w:lvl w:ilvl="2">
      <w:start w:val="1"/>
      <w:numFmt w:val="lowerLetter"/>
      <w:lvlText w:val="%3."/>
      <w:lvlJc w:val="left"/>
      <w:pPr>
        <w:tabs>
          <w:tab w:val="num" w:pos="2160"/>
        </w:tabs>
        <w:ind w:left="2160" w:hanging="590"/>
      </w:pPr>
    </w:lvl>
    <w:lvl w:ilvl="3">
      <w:start w:val="1"/>
      <w:numFmt w:val="none"/>
      <w:lvlText w:val="%4"/>
      <w:lvlJc w:val="left"/>
      <w:pPr>
        <w:tabs>
          <w:tab w:val="num" w:pos="360"/>
        </w:tabs>
        <w:ind w:left="0" w:firstLine="0"/>
      </w:pPr>
    </w:lvl>
    <w:lvl w:ilvl="4">
      <w:start w:val="1"/>
      <w:numFmt w:val="none"/>
      <w:lvlText w:val="%5"/>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0" w15:restartNumberingAfterBreak="0">
    <w:nsid w:val="230D56F1"/>
    <w:multiLevelType w:val="hybridMultilevel"/>
    <w:tmpl w:val="06809694"/>
    <w:lvl w:ilvl="0" w:tplc="0409000F">
      <w:start w:val="1"/>
      <w:numFmt w:val="decimal"/>
      <w:lvlText w:val="%1."/>
      <w:lvlJc w:val="left"/>
      <w:pPr>
        <w:tabs>
          <w:tab w:val="num" w:pos="360"/>
        </w:tabs>
        <w:ind w:left="360" w:hanging="360"/>
      </w:pPr>
      <w:rPr>
        <w:rFonts w:hint="default"/>
      </w:rPr>
    </w:lvl>
    <w:lvl w:ilvl="1" w:tplc="04090019" w:tentative="1">
      <w:start w:val="1"/>
      <w:numFmt w:val="lowerLetter"/>
      <w:pStyle w:val="Narrative2"/>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5684C6D"/>
    <w:multiLevelType w:val="hybridMultilevel"/>
    <w:tmpl w:val="A552D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C949A1"/>
    <w:multiLevelType w:val="hybridMultilevel"/>
    <w:tmpl w:val="E38040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12133"/>
    <w:multiLevelType w:val="hybridMultilevel"/>
    <w:tmpl w:val="086EAE32"/>
    <w:lvl w:ilvl="0" w:tplc="A8F0B08E">
      <w:start w:val="1"/>
      <w:numFmt w:val="bullet"/>
      <w:pStyle w:val="GuideDash"/>
      <w:lvlText w:val=""/>
      <w:lvlJc w:val="left"/>
      <w:pPr>
        <w:tabs>
          <w:tab w:val="num" w:pos="1786"/>
        </w:tabs>
        <w:ind w:left="1714"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2F0EA1"/>
    <w:multiLevelType w:val="hybridMultilevel"/>
    <w:tmpl w:val="EC2CF0E6"/>
    <w:lvl w:ilvl="0" w:tplc="64E4D92E">
      <w:start w:val="1"/>
      <w:numFmt w:val="bullet"/>
      <w:lvlText w:val=""/>
      <w:lvlPicBulletId w:val="0"/>
      <w:lvlJc w:val="left"/>
      <w:pPr>
        <w:tabs>
          <w:tab w:val="num" w:pos="720"/>
        </w:tabs>
        <w:ind w:left="720" w:hanging="360"/>
      </w:pPr>
      <w:rPr>
        <w:rFonts w:ascii="Symbol" w:hAnsi="Symbol" w:hint="default"/>
      </w:rPr>
    </w:lvl>
    <w:lvl w:ilvl="1" w:tplc="54FA6810" w:tentative="1">
      <w:start w:val="1"/>
      <w:numFmt w:val="bullet"/>
      <w:lvlText w:val=""/>
      <w:lvlJc w:val="left"/>
      <w:pPr>
        <w:tabs>
          <w:tab w:val="num" w:pos="1440"/>
        </w:tabs>
        <w:ind w:left="1440" w:hanging="360"/>
      </w:pPr>
      <w:rPr>
        <w:rFonts w:ascii="Symbol" w:hAnsi="Symbol" w:hint="default"/>
      </w:rPr>
    </w:lvl>
    <w:lvl w:ilvl="2" w:tplc="B71E8976" w:tentative="1">
      <w:start w:val="1"/>
      <w:numFmt w:val="bullet"/>
      <w:lvlText w:val=""/>
      <w:lvlJc w:val="left"/>
      <w:pPr>
        <w:tabs>
          <w:tab w:val="num" w:pos="2160"/>
        </w:tabs>
        <w:ind w:left="2160" w:hanging="360"/>
      </w:pPr>
      <w:rPr>
        <w:rFonts w:ascii="Symbol" w:hAnsi="Symbol" w:hint="default"/>
      </w:rPr>
    </w:lvl>
    <w:lvl w:ilvl="3" w:tplc="ED1CCC74" w:tentative="1">
      <w:start w:val="1"/>
      <w:numFmt w:val="bullet"/>
      <w:lvlText w:val=""/>
      <w:lvlJc w:val="left"/>
      <w:pPr>
        <w:tabs>
          <w:tab w:val="num" w:pos="2880"/>
        </w:tabs>
        <w:ind w:left="2880" w:hanging="360"/>
      </w:pPr>
      <w:rPr>
        <w:rFonts w:ascii="Symbol" w:hAnsi="Symbol" w:hint="default"/>
      </w:rPr>
    </w:lvl>
    <w:lvl w:ilvl="4" w:tplc="2E70E3AE" w:tentative="1">
      <w:start w:val="1"/>
      <w:numFmt w:val="bullet"/>
      <w:lvlText w:val=""/>
      <w:lvlJc w:val="left"/>
      <w:pPr>
        <w:tabs>
          <w:tab w:val="num" w:pos="3600"/>
        </w:tabs>
        <w:ind w:left="3600" w:hanging="360"/>
      </w:pPr>
      <w:rPr>
        <w:rFonts w:ascii="Symbol" w:hAnsi="Symbol" w:hint="default"/>
      </w:rPr>
    </w:lvl>
    <w:lvl w:ilvl="5" w:tplc="47BA41EC" w:tentative="1">
      <w:start w:val="1"/>
      <w:numFmt w:val="bullet"/>
      <w:lvlText w:val=""/>
      <w:lvlJc w:val="left"/>
      <w:pPr>
        <w:tabs>
          <w:tab w:val="num" w:pos="4320"/>
        </w:tabs>
        <w:ind w:left="4320" w:hanging="360"/>
      </w:pPr>
      <w:rPr>
        <w:rFonts w:ascii="Symbol" w:hAnsi="Symbol" w:hint="default"/>
      </w:rPr>
    </w:lvl>
    <w:lvl w:ilvl="6" w:tplc="7D70D704" w:tentative="1">
      <w:start w:val="1"/>
      <w:numFmt w:val="bullet"/>
      <w:lvlText w:val=""/>
      <w:lvlJc w:val="left"/>
      <w:pPr>
        <w:tabs>
          <w:tab w:val="num" w:pos="5040"/>
        </w:tabs>
        <w:ind w:left="5040" w:hanging="360"/>
      </w:pPr>
      <w:rPr>
        <w:rFonts w:ascii="Symbol" w:hAnsi="Symbol" w:hint="default"/>
      </w:rPr>
    </w:lvl>
    <w:lvl w:ilvl="7" w:tplc="3F10DC3A" w:tentative="1">
      <w:start w:val="1"/>
      <w:numFmt w:val="bullet"/>
      <w:lvlText w:val=""/>
      <w:lvlJc w:val="left"/>
      <w:pPr>
        <w:tabs>
          <w:tab w:val="num" w:pos="5760"/>
        </w:tabs>
        <w:ind w:left="5760" w:hanging="360"/>
      </w:pPr>
      <w:rPr>
        <w:rFonts w:ascii="Symbol" w:hAnsi="Symbol" w:hint="default"/>
      </w:rPr>
    </w:lvl>
    <w:lvl w:ilvl="8" w:tplc="49EC4AF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872C2F"/>
    <w:multiLevelType w:val="hybridMultilevel"/>
    <w:tmpl w:val="9D1CC0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374D84"/>
    <w:multiLevelType w:val="multilevel"/>
    <w:tmpl w:val="8F8ED286"/>
    <w:lvl w:ilvl="0">
      <w:start w:val="1"/>
      <w:numFmt w:val="decimal"/>
      <w:pStyle w:val="Heading1"/>
      <w:lvlText w:val="%1."/>
      <w:lvlJc w:val="left"/>
      <w:pPr>
        <w:ind w:left="72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106289"/>
    <w:multiLevelType w:val="hybridMultilevel"/>
    <w:tmpl w:val="AA305F66"/>
    <w:lvl w:ilvl="0" w:tplc="3FEEF272">
      <w:start w:val="1"/>
      <w:numFmt w:val="bullet"/>
      <w:pStyle w:val="Bullet12-4"/>
      <w:lvlText w:val=""/>
      <w:lvlJc w:val="left"/>
      <w:pPr>
        <w:tabs>
          <w:tab w:val="num" w:pos="1728"/>
        </w:tabs>
        <w:ind w:left="1728" w:hanging="432"/>
      </w:pPr>
      <w:rPr>
        <w:rFonts w:ascii="Symbol" w:hAnsi="Symbol" w:hint="default"/>
      </w:rPr>
    </w:lvl>
    <w:lvl w:ilvl="1" w:tplc="87B84278" w:tentative="1">
      <w:start w:val="1"/>
      <w:numFmt w:val="bullet"/>
      <w:lvlText w:val="o"/>
      <w:lvlJc w:val="left"/>
      <w:pPr>
        <w:ind w:left="2736" w:hanging="360"/>
      </w:pPr>
      <w:rPr>
        <w:rFonts w:ascii="Courier New" w:hAnsi="Courier New" w:cs="Courier New" w:hint="default"/>
      </w:rPr>
    </w:lvl>
    <w:lvl w:ilvl="2" w:tplc="61B6F222" w:tentative="1">
      <w:start w:val="1"/>
      <w:numFmt w:val="bullet"/>
      <w:lvlText w:val=""/>
      <w:lvlJc w:val="left"/>
      <w:pPr>
        <w:ind w:left="3456" w:hanging="360"/>
      </w:pPr>
      <w:rPr>
        <w:rFonts w:ascii="Wingdings" w:hAnsi="Wingdings" w:hint="default"/>
      </w:rPr>
    </w:lvl>
    <w:lvl w:ilvl="3" w:tplc="A5D68794" w:tentative="1">
      <w:start w:val="1"/>
      <w:numFmt w:val="bullet"/>
      <w:lvlText w:val=""/>
      <w:lvlJc w:val="left"/>
      <w:pPr>
        <w:ind w:left="4176" w:hanging="360"/>
      </w:pPr>
      <w:rPr>
        <w:rFonts w:ascii="Symbol" w:hAnsi="Symbol" w:hint="default"/>
      </w:rPr>
    </w:lvl>
    <w:lvl w:ilvl="4" w:tplc="9988A51E" w:tentative="1">
      <w:start w:val="1"/>
      <w:numFmt w:val="bullet"/>
      <w:lvlText w:val="o"/>
      <w:lvlJc w:val="left"/>
      <w:pPr>
        <w:ind w:left="4896" w:hanging="360"/>
      </w:pPr>
      <w:rPr>
        <w:rFonts w:ascii="Courier New" w:hAnsi="Courier New" w:cs="Courier New" w:hint="default"/>
      </w:rPr>
    </w:lvl>
    <w:lvl w:ilvl="5" w:tplc="0EA8A69C" w:tentative="1">
      <w:start w:val="1"/>
      <w:numFmt w:val="bullet"/>
      <w:lvlText w:val=""/>
      <w:lvlJc w:val="left"/>
      <w:pPr>
        <w:ind w:left="5616" w:hanging="360"/>
      </w:pPr>
      <w:rPr>
        <w:rFonts w:ascii="Wingdings" w:hAnsi="Wingdings" w:hint="default"/>
      </w:rPr>
    </w:lvl>
    <w:lvl w:ilvl="6" w:tplc="33E8BFD2" w:tentative="1">
      <w:start w:val="1"/>
      <w:numFmt w:val="bullet"/>
      <w:lvlText w:val=""/>
      <w:lvlJc w:val="left"/>
      <w:pPr>
        <w:ind w:left="6336" w:hanging="360"/>
      </w:pPr>
      <w:rPr>
        <w:rFonts w:ascii="Symbol" w:hAnsi="Symbol" w:hint="default"/>
      </w:rPr>
    </w:lvl>
    <w:lvl w:ilvl="7" w:tplc="6F7EBE98" w:tentative="1">
      <w:start w:val="1"/>
      <w:numFmt w:val="bullet"/>
      <w:lvlText w:val="o"/>
      <w:lvlJc w:val="left"/>
      <w:pPr>
        <w:ind w:left="7056" w:hanging="360"/>
      </w:pPr>
      <w:rPr>
        <w:rFonts w:ascii="Courier New" w:hAnsi="Courier New" w:cs="Courier New" w:hint="default"/>
      </w:rPr>
    </w:lvl>
    <w:lvl w:ilvl="8" w:tplc="75B29F26" w:tentative="1">
      <w:start w:val="1"/>
      <w:numFmt w:val="bullet"/>
      <w:lvlText w:val=""/>
      <w:lvlJc w:val="left"/>
      <w:pPr>
        <w:ind w:left="7776" w:hanging="360"/>
      </w:pPr>
      <w:rPr>
        <w:rFonts w:ascii="Wingdings" w:hAnsi="Wingdings" w:hint="default"/>
      </w:rPr>
    </w:lvl>
  </w:abstractNum>
  <w:abstractNum w:abstractNumId="18" w15:restartNumberingAfterBreak="0">
    <w:nsid w:val="54714268"/>
    <w:multiLevelType w:val="multilevel"/>
    <w:tmpl w:val="3680401E"/>
    <w:lvl w:ilvl="0">
      <w:start w:val="1"/>
      <w:numFmt w:val="decimal"/>
      <w:pStyle w:val="Numbered12-1"/>
      <w:lvlText w:val="%1."/>
      <w:lvlJc w:val="left"/>
      <w:pPr>
        <w:tabs>
          <w:tab w:val="num" w:pos="792"/>
        </w:tabs>
        <w:ind w:left="792" w:hanging="432"/>
      </w:pPr>
      <w:rPr>
        <w:rFonts w:ascii="Times New Roman" w:hAnsi="Times New Roman" w:hint="default"/>
        <w:sz w:val="24"/>
      </w:rPr>
    </w:lvl>
    <w:lvl w:ilvl="1">
      <w:start w:val="6"/>
      <w:numFmt w:val="decimal"/>
      <w:isLgl/>
      <w:lvlText w:val="%1.%2."/>
      <w:lvlJc w:val="left"/>
      <w:pPr>
        <w:ind w:left="1395" w:hanging="1035"/>
      </w:pPr>
      <w:rPr>
        <w:rFonts w:hint="default"/>
      </w:rPr>
    </w:lvl>
    <w:lvl w:ilvl="2">
      <w:start w:val="1"/>
      <w:numFmt w:val="decimal"/>
      <w:isLgl/>
      <w:lvlText w:val="%1.%2.%3."/>
      <w:lvlJc w:val="left"/>
      <w:pPr>
        <w:ind w:left="1035" w:hanging="1035"/>
      </w:pPr>
      <w:rPr>
        <w:rFonts w:hint="default"/>
      </w:rPr>
    </w:lvl>
    <w:lvl w:ilvl="3">
      <w:start w:val="1"/>
      <w:numFmt w:val="decimal"/>
      <w:isLgl/>
      <w:lvlText w:val="%1.%2.%3.%4."/>
      <w:lvlJc w:val="left"/>
      <w:pPr>
        <w:ind w:left="1395" w:hanging="10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932457"/>
    <w:multiLevelType w:val="hybridMultilevel"/>
    <w:tmpl w:val="4B4CF1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5F67F00"/>
    <w:multiLevelType w:val="multilevel"/>
    <w:tmpl w:val="585C1D3A"/>
    <w:lvl w:ilvl="0">
      <w:start w:val="1"/>
      <w:numFmt w:val="decimal"/>
      <w:pStyle w:val="ReferenceHeading2"/>
      <w:lvlText w:val="%1."/>
      <w:lvlJc w:val="left"/>
      <w:pPr>
        <w:tabs>
          <w:tab w:val="num" w:pos="850"/>
        </w:tabs>
        <w:ind w:left="850" w:hanging="850"/>
      </w:pPr>
    </w:lvl>
    <w:lvl w:ilvl="1">
      <w:start w:val="1"/>
      <w:numFmt w:val="decimal"/>
      <w:pStyle w:val="ReferenceHeading3"/>
      <w:isLgl/>
      <w:lvlText w:val="%1.%2."/>
      <w:lvlJc w:val="left"/>
      <w:pPr>
        <w:tabs>
          <w:tab w:val="num" w:pos="1397"/>
        </w:tabs>
        <w:ind w:left="1397" w:hanging="547"/>
      </w:pPr>
    </w:lvl>
    <w:lvl w:ilvl="2">
      <w:start w:val="1"/>
      <w:numFmt w:val="decimal"/>
      <w:lvlText w:val="%2.%3."/>
      <w:lvlJc w:val="left"/>
      <w:pPr>
        <w:tabs>
          <w:tab w:val="num" w:pos="835"/>
        </w:tabs>
        <w:ind w:left="835" w:hanging="835"/>
      </w:pPr>
    </w:lvl>
    <w:lvl w:ilvl="3">
      <w:start w:val="1"/>
      <w:numFmt w:val="decimal"/>
      <w:lvlText w:val="%2.%3.%4."/>
      <w:lvlJc w:val="left"/>
      <w:pPr>
        <w:tabs>
          <w:tab w:val="num" w:pos="2246"/>
        </w:tabs>
        <w:ind w:left="2246" w:hanging="1411"/>
      </w:pPr>
    </w:lvl>
    <w:lvl w:ilvl="4">
      <w:start w:val="1"/>
      <w:numFmt w:val="decimal"/>
      <w:lvlText w:val="%2.%3.%4.%5."/>
      <w:lvlJc w:val="left"/>
      <w:pPr>
        <w:tabs>
          <w:tab w:val="num" w:pos="2246"/>
        </w:tabs>
        <w:ind w:left="2246" w:hanging="1411"/>
      </w:pPr>
    </w:lvl>
    <w:lvl w:ilvl="5">
      <w:start w:val="1"/>
      <w:numFmt w:val="decimal"/>
      <w:lvlText w:val="%2.%3.%4.%5.%6."/>
      <w:lvlJc w:val="left"/>
      <w:pPr>
        <w:tabs>
          <w:tab w:val="num" w:pos="2246"/>
        </w:tabs>
        <w:ind w:left="2246" w:hanging="1411"/>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Text w:val="%2.%3.%4.%5.%6.%9."/>
      <w:lvlJc w:val="left"/>
      <w:pPr>
        <w:tabs>
          <w:tab w:val="num" w:pos="2246"/>
        </w:tabs>
        <w:ind w:left="2246" w:hanging="1411"/>
      </w:pPr>
    </w:lvl>
  </w:abstractNum>
  <w:abstractNum w:abstractNumId="21" w15:restartNumberingAfterBreak="0">
    <w:nsid w:val="57896D46"/>
    <w:multiLevelType w:val="hybridMultilevel"/>
    <w:tmpl w:val="C66EE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AEF3BE9"/>
    <w:multiLevelType w:val="singleLevel"/>
    <w:tmpl w:val="13A03A90"/>
    <w:lvl w:ilvl="0">
      <w:start w:val="1"/>
      <w:numFmt w:val="bullet"/>
      <w:pStyle w:val="BulletIndent2-"/>
      <w:lvlText w:val=""/>
      <w:lvlJc w:val="left"/>
      <w:pPr>
        <w:tabs>
          <w:tab w:val="num" w:pos="648"/>
        </w:tabs>
        <w:ind w:left="288" w:firstLine="0"/>
      </w:pPr>
      <w:rPr>
        <w:rFonts w:ascii="Symbol" w:hAnsi="Symbol" w:hint="default"/>
      </w:rPr>
    </w:lvl>
  </w:abstractNum>
  <w:abstractNum w:abstractNumId="23" w15:restartNumberingAfterBreak="0">
    <w:nsid w:val="5E022CB1"/>
    <w:multiLevelType w:val="singleLevel"/>
    <w:tmpl w:val="B4106BE6"/>
    <w:lvl w:ilvl="0">
      <w:start w:val="1"/>
      <w:numFmt w:val="bullet"/>
      <w:pStyle w:val="BulletIndent6"/>
      <w:lvlText w:val=""/>
      <w:lvlJc w:val="left"/>
      <w:pPr>
        <w:tabs>
          <w:tab w:val="num" w:pos="922"/>
        </w:tabs>
        <w:ind w:left="288" w:firstLine="274"/>
      </w:pPr>
      <w:rPr>
        <w:rFonts w:ascii="Symbol" w:hAnsi="Symbol" w:hint="default"/>
      </w:rPr>
    </w:lvl>
  </w:abstractNum>
  <w:abstractNum w:abstractNumId="24" w15:restartNumberingAfterBreak="0">
    <w:nsid w:val="5E872A07"/>
    <w:multiLevelType w:val="hybridMultilevel"/>
    <w:tmpl w:val="BE94C8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F2A1ABE"/>
    <w:multiLevelType w:val="singleLevel"/>
    <w:tmpl w:val="8E1A0C36"/>
    <w:lvl w:ilvl="0">
      <w:start w:val="1"/>
      <w:numFmt w:val="bullet"/>
      <w:pStyle w:val="BulletIndent4"/>
      <w:lvlText w:val=""/>
      <w:lvlJc w:val="left"/>
      <w:pPr>
        <w:tabs>
          <w:tab w:val="num" w:pos="360"/>
        </w:tabs>
        <w:ind w:left="360" w:hanging="360"/>
      </w:pPr>
      <w:rPr>
        <w:rFonts w:ascii="Symbol" w:hAnsi="Symbol" w:hint="default"/>
      </w:rPr>
    </w:lvl>
  </w:abstractNum>
  <w:abstractNum w:abstractNumId="26" w15:restartNumberingAfterBreak="0">
    <w:nsid w:val="60BE2FF2"/>
    <w:multiLevelType w:val="hybridMultilevel"/>
    <w:tmpl w:val="E3ACF658"/>
    <w:lvl w:ilvl="0" w:tplc="897C0318">
      <w:start w:val="1"/>
      <w:numFmt w:val="bullet"/>
      <w:pStyle w:val="Bullet11-3"/>
      <w:lvlText w:val="o"/>
      <w:lvlJc w:val="left"/>
      <w:pPr>
        <w:tabs>
          <w:tab w:val="num" w:pos="1296"/>
        </w:tabs>
        <w:ind w:left="1296" w:hanging="432"/>
      </w:pPr>
      <w:rPr>
        <w:rFonts w:ascii="Courier New" w:hAnsi="Courier New" w:hint="default"/>
      </w:rPr>
    </w:lvl>
    <w:lvl w:ilvl="1" w:tplc="FBBE5EAA" w:tentative="1">
      <w:start w:val="1"/>
      <w:numFmt w:val="bullet"/>
      <w:lvlText w:val="o"/>
      <w:lvlJc w:val="left"/>
      <w:pPr>
        <w:ind w:left="2304" w:hanging="360"/>
      </w:pPr>
      <w:rPr>
        <w:rFonts w:ascii="Courier New" w:hAnsi="Courier New" w:cs="Courier New" w:hint="default"/>
      </w:rPr>
    </w:lvl>
    <w:lvl w:ilvl="2" w:tplc="156AD0CC" w:tentative="1">
      <w:start w:val="1"/>
      <w:numFmt w:val="bullet"/>
      <w:lvlText w:val=""/>
      <w:lvlJc w:val="left"/>
      <w:pPr>
        <w:ind w:left="3024" w:hanging="360"/>
      </w:pPr>
      <w:rPr>
        <w:rFonts w:ascii="Wingdings" w:hAnsi="Wingdings" w:hint="default"/>
      </w:rPr>
    </w:lvl>
    <w:lvl w:ilvl="3" w:tplc="9AE6D7EC" w:tentative="1">
      <w:start w:val="1"/>
      <w:numFmt w:val="bullet"/>
      <w:lvlText w:val=""/>
      <w:lvlJc w:val="left"/>
      <w:pPr>
        <w:ind w:left="3744" w:hanging="360"/>
      </w:pPr>
      <w:rPr>
        <w:rFonts w:ascii="Symbol" w:hAnsi="Symbol" w:hint="default"/>
      </w:rPr>
    </w:lvl>
    <w:lvl w:ilvl="4" w:tplc="352A1694" w:tentative="1">
      <w:start w:val="1"/>
      <w:numFmt w:val="bullet"/>
      <w:lvlText w:val="o"/>
      <w:lvlJc w:val="left"/>
      <w:pPr>
        <w:ind w:left="4464" w:hanging="360"/>
      </w:pPr>
      <w:rPr>
        <w:rFonts w:ascii="Courier New" w:hAnsi="Courier New" w:cs="Courier New" w:hint="default"/>
      </w:rPr>
    </w:lvl>
    <w:lvl w:ilvl="5" w:tplc="719A92D4" w:tentative="1">
      <w:start w:val="1"/>
      <w:numFmt w:val="bullet"/>
      <w:lvlText w:val=""/>
      <w:lvlJc w:val="left"/>
      <w:pPr>
        <w:ind w:left="5184" w:hanging="360"/>
      </w:pPr>
      <w:rPr>
        <w:rFonts w:ascii="Wingdings" w:hAnsi="Wingdings" w:hint="default"/>
      </w:rPr>
    </w:lvl>
    <w:lvl w:ilvl="6" w:tplc="774C32EC" w:tentative="1">
      <w:start w:val="1"/>
      <w:numFmt w:val="bullet"/>
      <w:lvlText w:val=""/>
      <w:lvlJc w:val="left"/>
      <w:pPr>
        <w:ind w:left="5904" w:hanging="360"/>
      </w:pPr>
      <w:rPr>
        <w:rFonts w:ascii="Symbol" w:hAnsi="Symbol" w:hint="default"/>
      </w:rPr>
    </w:lvl>
    <w:lvl w:ilvl="7" w:tplc="19A8C65C" w:tentative="1">
      <w:start w:val="1"/>
      <w:numFmt w:val="bullet"/>
      <w:lvlText w:val="o"/>
      <w:lvlJc w:val="left"/>
      <w:pPr>
        <w:ind w:left="6624" w:hanging="360"/>
      </w:pPr>
      <w:rPr>
        <w:rFonts w:ascii="Courier New" w:hAnsi="Courier New" w:cs="Courier New" w:hint="default"/>
      </w:rPr>
    </w:lvl>
    <w:lvl w:ilvl="8" w:tplc="424EF890" w:tentative="1">
      <w:start w:val="1"/>
      <w:numFmt w:val="bullet"/>
      <w:lvlText w:val=""/>
      <w:lvlJc w:val="left"/>
      <w:pPr>
        <w:ind w:left="7344" w:hanging="360"/>
      </w:pPr>
      <w:rPr>
        <w:rFonts w:ascii="Wingdings" w:hAnsi="Wingdings" w:hint="default"/>
      </w:rPr>
    </w:lvl>
  </w:abstractNum>
  <w:abstractNum w:abstractNumId="27" w15:restartNumberingAfterBreak="0">
    <w:nsid w:val="659F4F06"/>
    <w:multiLevelType w:val="hybridMultilevel"/>
    <w:tmpl w:val="B574B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AC038F"/>
    <w:multiLevelType w:val="multilevel"/>
    <w:tmpl w:val="77D494AA"/>
    <w:name w:val="PISecondSet4"/>
    <w:lvl w:ilvl="0">
      <w:start w:val="1083"/>
      <w:numFmt w:val="bullet"/>
      <w:pStyle w:val="PIAddlBulletFirstIndent"/>
      <w:lvlText w:val=""/>
      <w:lvlJc w:val="left"/>
      <w:pPr>
        <w:ind w:left="720" w:hanging="360"/>
      </w:pPr>
      <w:rPr>
        <w:rFonts w:ascii="Symbol" w:hAnsi="Symbol" w:hint="default"/>
      </w:rPr>
    </w:lvl>
    <w:lvl w:ilvl="1">
      <w:start w:val="1"/>
      <w:numFmt w:val="bullet"/>
      <w:pStyle w:val="PIAddlBulletSecondIndent"/>
      <w:lvlText w:val="–"/>
      <w:lvlJc w:val="left"/>
      <w:pPr>
        <w:ind w:left="1440" w:hanging="72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4365C"/>
    <w:multiLevelType w:val="singleLevel"/>
    <w:tmpl w:val="E6B2D550"/>
    <w:lvl w:ilvl="0">
      <w:start w:val="1"/>
      <w:numFmt w:val="bullet"/>
      <w:pStyle w:val="ReferenceBullet"/>
      <w:lvlText w:val=""/>
      <w:lvlJc w:val="left"/>
      <w:pPr>
        <w:tabs>
          <w:tab w:val="num" w:pos="1224"/>
        </w:tabs>
        <w:ind w:left="1224" w:hanging="389"/>
      </w:pPr>
      <w:rPr>
        <w:rFonts w:ascii="Symbol" w:hAnsi="Symbol" w:hint="default"/>
      </w:rPr>
    </w:lvl>
  </w:abstractNum>
  <w:abstractNum w:abstractNumId="30" w15:restartNumberingAfterBreak="0">
    <w:nsid w:val="6D425079"/>
    <w:multiLevelType w:val="hybridMultilevel"/>
    <w:tmpl w:val="F5BCC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894C68"/>
    <w:multiLevelType w:val="singleLevel"/>
    <w:tmpl w:val="AE823A22"/>
    <w:lvl w:ilvl="0">
      <w:start w:val="1"/>
      <w:numFmt w:val="bullet"/>
      <w:pStyle w:val="BulletIndent5-"/>
      <w:lvlText w:val=""/>
      <w:lvlJc w:val="left"/>
      <w:pPr>
        <w:tabs>
          <w:tab w:val="num" w:pos="1570"/>
        </w:tabs>
        <w:ind w:left="360" w:firstLine="850"/>
      </w:pPr>
      <w:rPr>
        <w:rFonts w:ascii="Symbol" w:hAnsi="Symbol" w:hint="default"/>
      </w:rPr>
    </w:lvl>
  </w:abstractNum>
  <w:abstractNum w:abstractNumId="32" w15:restartNumberingAfterBreak="0">
    <w:nsid w:val="7990673F"/>
    <w:multiLevelType w:val="hybridMultilevel"/>
    <w:tmpl w:val="3A06497E"/>
    <w:lvl w:ilvl="0" w:tplc="FE6ACD9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724FC3"/>
    <w:multiLevelType w:val="hybridMultilevel"/>
    <w:tmpl w:val="8354D7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21592310">
    <w:abstractNumId w:val="1"/>
  </w:num>
  <w:num w:numId="2" w16cid:durableId="1279412276">
    <w:abstractNumId w:val="3"/>
  </w:num>
  <w:num w:numId="3" w16cid:durableId="1607615030">
    <w:abstractNumId w:val="23"/>
  </w:num>
  <w:num w:numId="4" w16cid:durableId="461776603">
    <w:abstractNumId w:val="25"/>
  </w:num>
  <w:num w:numId="5" w16cid:durableId="1270160462">
    <w:abstractNumId w:val="22"/>
  </w:num>
  <w:num w:numId="6" w16cid:durableId="338629426">
    <w:abstractNumId w:val="2"/>
  </w:num>
  <w:num w:numId="7" w16cid:durableId="582446483">
    <w:abstractNumId w:val="31"/>
  </w:num>
  <w:num w:numId="8" w16cid:durableId="998079539">
    <w:abstractNumId w:val="9"/>
  </w:num>
  <w:num w:numId="9" w16cid:durableId="1607620743">
    <w:abstractNumId w:val="10"/>
  </w:num>
  <w:num w:numId="10" w16cid:durableId="1637838307">
    <w:abstractNumId w:val="5"/>
  </w:num>
  <w:num w:numId="11" w16cid:durableId="153689934">
    <w:abstractNumId w:val="20"/>
  </w:num>
  <w:num w:numId="12" w16cid:durableId="363671584">
    <w:abstractNumId w:val="29"/>
  </w:num>
  <w:num w:numId="13" w16cid:durableId="756750519">
    <w:abstractNumId w:val="18"/>
  </w:num>
  <w:num w:numId="14" w16cid:durableId="73672927">
    <w:abstractNumId w:val="17"/>
  </w:num>
  <w:num w:numId="15" w16cid:durableId="959343243">
    <w:abstractNumId w:val="26"/>
  </w:num>
  <w:num w:numId="16" w16cid:durableId="1943757367">
    <w:abstractNumId w:val="28"/>
  </w:num>
  <w:num w:numId="17" w16cid:durableId="2073917894">
    <w:abstractNumId w:val="13"/>
  </w:num>
  <w:num w:numId="18" w16cid:durableId="416438050">
    <w:abstractNumId w:val="16"/>
  </w:num>
  <w:num w:numId="19" w16cid:durableId="1005791695">
    <w:abstractNumId w:val="8"/>
  </w:num>
  <w:num w:numId="20" w16cid:durableId="885723975">
    <w:abstractNumId w:val="33"/>
  </w:num>
  <w:num w:numId="21" w16cid:durableId="2053461995">
    <w:abstractNumId w:val="14"/>
  </w:num>
  <w:num w:numId="22" w16cid:durableId="1389915039">
    <w:abstractNumId w:val="27"/>
  </w:num>
  <w:num w:numId="23" w16cid:durableId="1828280390">
    <w:abstractNumId w:val="6"/>
  </w:num>
  <w:num w:numId="24" w16cid:durableId="1499492211">
    <w:abstractNumId w:val="32"/>
  </w:num>
  <w:num w:numId="25" w16cid:durableId="386536172">
    <w:abstractNumId w:val="24"/>
  </w:num>
  <w:num w:numId="26" w16cid:durableId="1041593799">
    <w:abstractNumId w:val="21"/>
  </w:num>
  <w:num w:numId="27" w16cid:durableId="49768171">
    <w:abstractNumId w:val="12"/>
  </w:num>
  <w:num w:numId="28" w16cid:durableId="863398806">
    <w:abstractNumId w:val="15"/>
  </w:num>
  <w:num w:numId="29" w16cid:durableId="212351231">
    <w:abstractNumId w:val="4"/>
  </w:num>
  <w:num w:numId="30" w16cid:durableId="379742756">
    <w:abstractNumId w:val="7"/>
  </w:num>
  <w:num w:numId="31" w16cid:durableId="1111625230">
    <w:abstractNumId w:val="0"/>
  </w:num>
  <w:num w:numId="32" w16cid:durableId="325478669">
    <w:abstractNumId w:val="11"/>
  </w:num>
  <w:num w:numId="33" w16cid:durableId="239602864">
    <w:abstractNumId w:val="30"/>
  </w:num>
  <w:num w:numId="34" w16cid:durableId="111754104">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s-419" w:vendorID="64" w:dllVersion="0" w:nlCheck="1" w:checkStyle="0"/>
  <w:activeWritingStyle w:appName="MSWord" w:lang="fr-FR" w:vendorID="64" w:dllVersion="0" w:nlCheck="1" w:checkStyle="0"/>
  <w:proofState w:spelling="clean"/>
  <w:doNotTrackFormatting/>
  <w:defaultTabStop w:val="720"/>
  <w:hyphenationZone w:val="919"/>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5E5"/>
    <w:rsid w:val="000016BD"/>
    <w:rsid w:val="00002F5F"/>
    <w:rsid w:val="000032AE"/>
    <w:rsid w:val="000034EC"/>
    <w:rsid w:val="00003968"/>
    <w:rsid w:val="00003CAC"/>
    <w:rsid w:val="00003FDB"/>
    <w:rsid w:val="000049B7"/>
    <w:rsid w:val="000075B5"/>
    <w:rsid w:val="000076C5"/>
    <w:rsid w:val="00011FFE"/>
    <w:rsid w:val="00012459"/>
    <w:rsid w:val="000125A8"/>
    <w:rsid w:val="00012C53"/>
    <w:rsid w:val="0001328E"/>
    <w:rsid w:val="00013880"/>
    <w:rsid w:val="000143B3"/>
    <w:rsid w:val="00014981"/>
    <w:rsid w:val="000155AB"/>
    <w:rsid w:val="00015E3C"/>
    <w:rsid w:val="000170F2"/>
    <w:rsid w:val="0001740D"/>
    <w:rsid w:val="00020BDC"/>
    <w:rsid w:val="0002407B"/>
    <w:rsid w:val="00026816"/>
    <w:rsid w:val="00026C51"/>
    <w:rsid w:val="000276F8"/>
    <w:rsid w:val="00030241"/>
    <w:rsid w:val="000330C8"/>
    <w:rsid w:val="00034901"/>
    <w:rsid w:val="000353CB"/>
    <w:rsid w:val="000359CC"/>
    <w:rsid w:val="00035A37"/>
    <w:rsid w:val="00036327"/>
    <w:rsid w:val="0003740B"/>
    <w:rsid w:val="00040D76"/>
    <w:rsid w:val="000413C2"/>
    <w:rsid w:val="00043D8F"/>
    <w:rsid w:val="00044616"/>
    <w:rsid w:val="00044949"/>
    <w:rsid w:val="00044979"/>
    <w:rsid w:val="00044F89"/>
    <w:rsid w:val="000460F0"/>
    <w:rsid w:val="0004621F"/>
    <w:rsid w:val="00050AF3"/>
    <w:rsid w:val="000537D1"/>
    <w:rsid w:val="00053D02"/>
    <w:rsid w:val="00054C5F"/>
    <w:rsid w:val="00054EAF"/>
    <w:rsid w:val="00054FE2"/>
    <w:rsid w:val="000550E2"/>
    <w:rsid w:val="000603B8"/>
    <w:rsid w:val="000606EF"/>
    <w:rsid w:val="00060AFB"/>
    <w:rsid w:val="00060DC1"/>
    <w:rsid w:val="000618A3"/>
    <w:rsid w:val="00062075"/>
    <w:rsid w:val="00062818"/>
    <w:rsid w:val="00062CAC"/>
    <w:rsid w:val="00064EB1"/>
    <w:rsid w:val="000651BD"/>
    <w:rsid w:val="000651EA"/>
    <w:rsid w:val="00067431"/>
    <w:rsid w:val="00070ACE"/>
    <w:rsid w:val="00070C86"/>
    <w:rsid w:val="000716DF"/>
    <w:rsid w:val="000722A2"/>
    <w:rsid w:val="000723BD"/>
    <w:rsid w:val="00073281"/>
    <w:rsid w:val="000737E7"/>
    <w:rsid w:val="00073D60"/>
    <w:rsid w:val="00075680"/>
    <w:rsid w:val="00077DBD"/>
    <w:rsid w:val="00080B15"/>
    <w:rsid w:val="00080D4D"/>
    <w:rsid w:val="00081A2D"/>
    <w:rsid w:val="00082C2C"/>
    <w:rsid w:val="0008307B"/>
    <w:rsid w:val="00085FC7"/>
    <w:rsid w:val="00087932"/>
    <w:rsid w:val="000879CF"/>
    <w:rsid w:val="00087D4C"/>
    <w:rsid w:val="00090455"/>
    <w:rsid w:val="000933D4"/>
    <w:rsid w:val="00095771"/>
    <w:rsid w:val="00095A4F"/>
    <w:rsid w:val="00096647"/>
    <w:rsid w:val="0009772B"/>
    <w:rsid w:val="000A00EC"/>
    <w:rsid w:val="000A0D78"/>
    <w:rsid w:val="000A111C"/>
    <w:rsid w:val="000A1F12"/>
    <w:rsid w:val="000A317E"/>
    <w:rsid w:val="000A3B5E"/>
    <w:rsid w:val="000A417D"/>
    <w:rsid w:val="000A4FAC"/>
    <w:rsid w:val="000A543D"/>
    <w:rsid w:val="000A5AF0"/>
    <w:rsid w:val="000A68CB"/>
    <w:rsid w:val="000B198E"/>
    <w:rsid w:val="000B1EA2"/>
    <w:rsid w:val="000B2583"/>
    <w:rsid w:val="000B3545"/>
    <w:rsid w:val="000B4650"/>
    <w:rsid w:val="000B5B54"/>
    <w:rsid w:val="000B770C"/>
    <w:rsid w:val="000C1B45"/>
    <w:rsid w:val="000C3E3A"/>
    <w:rsid w:val="000C4705"/>
    <w:rsid w:val="000C49D6"/>
    <w:rsid w:val="000C649B"/>
    <w:rsid w:val="000C68D1"/>
    <w:rsid w:val="000D471E"/>
    <w:rsid w:val="000D4A2F"/>
    <w:rsid w:val="000D6292"/>
    <w:rsid w:val="000D6343"/>
    <w:rsid w:val="000D6FAE"/>
    <w:rsid w:val="000D7903"/>
    <w:rsid w:val="000D7A3C"/>
    <w:rsid w:val="000E3B34"/>
    <w:rsid w:val="000E3C29"/>
    <w:rsid w:val="000E49B2"/>
    <w:rsid w:val="000E55E9"/>
    <w:rsid w:val="000E5764"/>
    <w:rsid w:val="000E7923"/>
    <w:rsid w:val="000F001A"/>
    <w:rsid w:val="000F027F"/>
    <w:rsid w:val="000F0E1A"/>
    <w:rsid w:val="000F1852"/>
    <w:rsid w:val="000F1ADF"/>
    <w:rsid w:val="000F39CE"/>
    <w:rsid w:val="000F42D9"/>
    <w:rsid w:val="000F510E"/>
    <w:rsid w:val="000F5FF2"/>
    <w:rsid w:val="000F6150"/>
    <w:rsid w:val="000F738A"/>
    <w:rsid w:val="000F75E3"/>
    <w:rsid w:val="000F7E6D"/>
    <w:rsid w:val="00103BDB"/>
    <w:rsid w:val="00105659"/>
    <w:rsid w:val="00111393"/>
    <w:rsid w:val="00112954"/>
    <w:rsid w:val="00112970"/>
    <w:rsid w:val="0011441E"/>
    <w:rsid w:val="0011477B"/>
    <w:rsid w:val="00114BB1"/>
    <w:rsid w:val="001153C1"/>
    <w:rsid w:val="001161F8"/>
    <w:rsid w:val="001164A7"/>
    <w:rsid w:val="00117D06"/>
    <w:rsid w:val="001201C2"/>
    <w:rsid w:val="00120EA2"/>
    <w:rsid w:val="00122522"/>
    <w:rsid w:val="0012412C"/>
    <w:rsid w:val="00124933"/>
    <w:rsid w:val="001253C8"/>
    <w:rsid w:val="00126963"/>
    <w:rsid w:val="0012738D"/>
    <w:rsid w:val="001273F4"/>
    <w:rsid w:val="00127E0A"/>
    <w:rsid w:val="00132697"/>
    <w:rsid w:val="00132791"/>
    <w:rsid w:val="001330FE"/>
    <w:rsid w:val="00133873"/>
    <w:rsid w:val="00134C93"/>
    <w:rsid w:val="00134CCE"/>
    <w:rsid w:val="0013597A"/>
    <w:rsid w:val="0013670E"/>
    <w:rsid w:val="001406C0"/>
    <w:rsid w:val="00143A5E"/>
    <w:rsid w:val="00144A68"/>
    <w:rsid w:val="0014506B"/>
    <w:rsid w:val="00151535"/>
    <w:rsid w:val="00151730"/>
    <w:rsid w:val="00153E66"/>
    <w:rsid w:val="001545D3"/>
    <w:rsid w:val="001550B9"/>
    <w:rsid w:val="001562D2"/>
    <w:rsid w:val="00156414"/>
    <w:rsid w:val="00162DCA"/>
    <w:rsid w:val="00163C4E"/>
    <w:rsid w:val="00163C69"/>
    <w:rsid w:val="00163FE5"/>
    <w:rsid w:val="001702F8"/>
    <w:rsid w:val="00170A3F"/>
    <w:rsid w:val="00170F03"/>
    <w:rsid w:val="001722BC"/>
    <w:rsid w:val="001740E9"/>
    <w:rsid w:val="00174185"/>
    <w:rsid w:val="001766C4"/>
    <w:rsid w:val="00177C36"/>
    <w:rsid w:val="00180102"/>
    <w:rsid w:val="0018059E"/>
    <w:rsid w:val="00180630"/>
    <w:rsid w:val="00180790"/>
    <w:rsid w:val="0018086E"/>
    <w:rsid w:val="00184658"/>
    <w:rsid w:val="001848E0"/>
    <w:rsid w:val="00184DBD"/>
    <w:rsid w:val="00185915"/>
    <w:rsid w:val="00192454"/>
    <w:rsid w:val="00194185"/>
    <w:rsid w:val="00195B99"/>
    <w:rsid w:val="00195EEB"/>
    <w:rsid w:val="00196BFD"/>
    <w:rsid w:val="001A4C25"/>
    <w:rsid w:val="001A5C13"/>
    <w:rsid w:val="001A647B"/>
    <w:rsid w:val="001B014F"/>
    <w:rsid w:val="001B0450"/>
    <w:rsid w:val="001B09D5"/>
    <w:rsid w:val="001B2C6C"/>
    <w:rsid w:val="001B2C94"/>
    <w:rsid w:val="001B43DE"/>
    <w:rsid w:val="001B54A2"/>
    <w:rsid w:val="001B580E"/>
    <w:rsid w:val="001C1AB1"/>
    <w:rsid w:val="001C2EF7"/>
    <w:rsid w:val="001C3C12"/>
    <w:rsid w:val="001C4755"/>
    <w:rsid w:val="001C4CF2"/>
    <w:rsid w:val="001C62EA"/>
    <w:rsid w:val="001C6C14"/>
    <w:rsid w:val="001D2428"/>
    <w:rsid w:val="001D3841"/>
    <w:rsid w:val="001D58FB"/>
    <w:rsid w:val="001D67E6"/>
    <w:rsid w:val="001E07C2"/>
    <w:rsid w:val="001E1010"/>
    <w:rsid w:val="001E3DA1"/>
    <w:rsid w:val="001E5053"/>
    <w:rsid w:val="001E5B4F"/>
    <w:rsid w:val="001E615C"/>
    <w:rsid w:val="001F0485"/>
    <w:rsid w:val="001F1972"/>
    <w:rsid w:val="001F241D"/>
    <w:rsid w:val="001F40BA"/>
    <w:rsid w:val="001F4A2A"/>
    <w:rsid w:val="001F4A63"/>
    <w:rsid w:val="001F4E9D"/>
    <w:rsid w:val="001F74E4"/>
    <w:rsid w:val="001F7709"/>
    <w:rsid w:val="001F7C39"/>
    <w:rsid w:val="00200CAC"/>
    <w:rsid w:val="0020407F"/>
    <w:rsid w:val="00205205"/>
    <w:rsid w:val="0020607E"/>
    <w:rsid w:val="002063EF"/>
    <w:rsid w:val="00206DBC"/>
    <w:rsid w:val="002075BA"/>
    <w:rsid w:val="00210DA3"/>
    <w:rsid w:val="0021228D"/>
    <w:rsid w:val="00212928"/>
    <w:rsid w:val="00215230"/>
    <w:rsid w:val="00215EBE"/>
    <w:rsid w:val="002160DF"/>
    <w:rsid w:val="00222213"/>
    <w:rsid w:val="00222B30"/>
    <w:rsid w:val="00222C87"/>
    <w:rsid w:val="0022543D"/>
    <w:rsid w:val="00225FFE"/>
    <w:rsid w:val="0022644E"/>
    <w:rsid w:val="002265D0"/>
    <w:rsid w:val="00227A46"/>
    <w:rsid w:val="00231C53"/>
    <w:rsid w:val="00232176"/>
    <w:rsid w:val="0023240A"/>
    <w:rsid w:val="00232510"/>
    <w:rsid w:val="00232C52"/>
    <w:rsid w:val="00232F6C"/>
    <w:rsid w:val="0023400F"/>
    <w:rsid w:val="002342A0"/>
    <w:rsid w:val="0023529B"/>
    <w:rsid w:val="00236124"/>
    <w:rsid w:val="0023627C"/>
    <w:rsid w:val="0023730A"/>
    <w:rsid w:val="00241560"/>
    <w:rsid w:val="002416B1"/>
    <w:rsid w:val="00241936"/>
    <w:rsid w:val="00241AB1"/>
    <w:rsid w:val="00241C4D"/>
    <w:rsid w:val="00242400"/>
    <w:rsid w:val="002435DC"/>
    <w:rsid w:val="00243A11"/>
    <w:rsid w:val="00245775"/>
    <w:rsid w:val="00245F81"/>
    <w:rsid w:val="00247E73"/>
    <w:rsid w:val="0025140E"/>
    <w:rsid w:val="00251A41"/>
    <w:rsid w:val="00251C5B"/>
    <w:rsid w:val="00251F8F"/>
    <w:rsid w:val="0025269D"/>
    <w:rsid w:val="00252774"/>
    <w:rsid w:val="0025444B"/>
    <w:rsid w:val="00254C64"/>
    <w:rsid w:val="00256C1F"/>
    <w:rsid w:val="00260678"/>
    <w:rsid w:val="0026150E"/>
    <w:rsid w:val="00265C8E"/>
    <w:rsid w:val="0027063A"/>
    <w:rsid w:val="00272A13"/>
    <w:rsid w:val="002748AA"/>
    <w:rsid w:val="00277D41"/>
    <w:rsid w:val="002802BE"/>
    <w:rsid w:val="00280531"/>
    <w:rsid w:val="00280876"/>
    <w:rsid w:val="0028130C"/>
    <w:rsid w:val="00281762"/>
    <w:rsid w:val="0028233D"/>
    <w:rsid w:val="002824EC"/>
    <w:rsid w:val="00283507"/>
    <w:rsid w:val="002863C6"/>
    <w:rsid w:val="002866B6"/>
    <w:rsid w:val="002877DB"/>
    <w:rsid w:val="0029009B"/>
    <w:rsid w:val="002908D4"/>
    <w:rsid w:val="00291702"/>
    <w:rsid w:val="00291CB1"/>
    <w:rsid w:val="00294EBE"/>
    <w:rsid w:val="00294F47"/>
    <w:rsid w:val="00295190"/>
    <w:rsid w:val="00296946"/>
    <w:rsid w:val="0029744A"/>
    <w:rsid w:val="002A2342"/>
    <w:rsid w:val="002A2FE7"/>
    <w:rsid w:val="002A6369"/>
    <w:rsid w:val="002A6829"/>
    <w:rsid w:val="002A77A2"/>
    <w:rsid w:val="002A7BB2"/>
    <w:rsid w:val="002A7FFA"/>
    <w:rsid w:val="002B00B4"/>
    <w:rsid w:val="002B08B7"/>
    <w:rsid w:val="002B4325"/>
    <w:rsid w:val="002B49E1"/>
    <w:rsid w:val="002B5979"/>
    <w:rsid w:val="002B6155"/>
    <w:rsid w:val="002C0694"/>
    <w:rsid w:val="002C06B7"/>
    <w:rsid w:val="002C06EA"/>
    <w:rsid w:val="002C0BAB"/>
    <w:rsid w:val="002C35D5"/>
    <w:rsid w:val="002C4139"/>
    <w:rsid w:val="002C49E8"/>
    <w:rsid w:val="002C4E1E"/>
    <w:rsid w:val="002C6CFE"/>
    <w:rsid w:val="002C7E36"/>
    <w:rsid w:val="002D079A"/>
    <w:rsid w:val="002E3C8F"/>
    <w:rsid w:val="002E5780"/>
    <w:rsid w:val="002E5C1C"/>
    <w:rsid w:val="002E5CD1"/>
    <w:rsid w:val="002E6357"/>
    <w:rsid w:val="002E643B"/>
    <w:rsid w:val="002E64BF"/>
    <w:rsid w:val="002F070D"/>
    <w:rsid w:val="002F29AC"/>
    <w:rsid w:val="002F6D43"/>
    <w:rsid w:val="003010D2"/>
    <w:rsid w:val="003012D9"/>
    <w:rsid w:val="00303FC9"/>
    <w:rsid w:val="003065BF"/>
    <w:rsid w:val="00306EC5"/>
    <w:rsid w:val="00311300"/>
    <w:rsid w:val="003113E0"/>
    <w:rsid w:val="00311BA4"/>
    <w:rsid w:val="003144C6"/>
    <w:rsid w:val="00317724"/>
    <w:rsid w:val="003215FA"/>
    <w:rsid w:val="00322477"/>
    <w:rsid w:val="00322836"/>
    <w:rsid w:val="00322B8E"/>
    <w:rsid w:val="003230D7"/>
    <w:rsid w:val="003235C5"/>
    <w:rsid w:val="00323783"/>
    <w:rsid w:val="00323A66"/>
    <w:rsid w:val="00324EEB"/>
    <w:rsid w:val="00326375"/>
    <w:rsid w:val="00326645"/>
    <w:rsid w:val="00326E3B"/>
    <w:rsid w:val="0032703E"/>
    <w:rsid w:val="00327786"/>
    <w:rsid w:val="00331FCE"/>
    <w:rsid w:val="003326C9"/>
    <w:rsid w:val="003336DF"/>
    <w:rsid w:val="00333E60"/>
    <w:rsid w:val="00335555"/>
    <w:rsid w:val="00335ACD"/>
    <w:rsid w:val="00335AFA"/>
    <w:rsid w:val="00335D2A"/>
    <w:rsid w:val="00335DB0"/>
    <w:rsid w:val="00336A31"/>
    <w:rsid w:val="00337A31"/>
    <w:rsid w:val="00344B63"/>
    <w:rsid w:val="00347DC3"/>
    <w:rsid w:val="003513BE"/>
    <w:rsid w:val="00353AF6"/>
    <w:rsid w:val="00353F66"/>
    <w:rsid w:val="0035599A"/>
    <w:rsid w:val="00357AAC"/>
    <w:rsid w:val="003620BC"/>
    <w:rsid w:val="003639C9"/>
    <w:rsid w:val="00363D37"/>
    <w:rsid w:val="003646E8"/>
    <w:rsid w:val="00365AB7"/>
    <w:rsid w:val="0036679E"/>
    <w:rsid w:val="00366921"/>
    <w:rsid w:val="00366D32"/>
    <w:rsid w:val="00367541"/>
    <w:rsid w:val="00367DB2"/>
    <w:rsid w:val="00370243"/>
    <w:rsid w:val="00370B88"/>
    <w:rsid w:val="00371E6B"/>
    <w:rsid w:val="003727E5"/>
    <w:rsid w:val="00374621"/>
    <w:rsid w:val="00374A15"/>
    <w:rsid w:val="00374DC2"/>
    <w:rsid w:val="003778B1"/>
    <w:rsid w:val="003807F6"/>
    <w:rsid w:val="003818B1"/>
    <w:rsid w:val="00383380"/>
    <w:rsid w:val="0038380E"/>
    <w:rsid w:val="00384195"/>
    <w:rsid w:val="003941C1"/>
    <w:rsid w:val="00394267"/>
    <w:rsid w:val="003964A4"/>
    <w:rsid w:val="00397724"/>
    <w:rsid w:val="00397A0D"/>
    <w:rsid w:val="003A457E"/>
    <w:rsid w:val="003A50E6"/>
    <w:rsid w:val="003A5CC5"/>
    <w:rsid w:val="003A645B"/>
    <w:rsid w:val="003B02FA"/>
    <w:rsid w:val="003B034A"/>
    <w:rsid w:val="003B0B09"/>
    <w:rsid w:val="003B36FE"/>
    <w:rsid w:val="003B62E2"/>
    <w:rsid w:val="003B6A8B"/>
    <w:rsid w:val="003B70D2"/>
    <w:rsid w:val="003C0CBF"/>
    <w:rsid w:val="003C3829"/>
    <w:rsid w:val="003C3F06"/>
    <w:rsid w:val="003C3F7D"/>
    <w:rsid w:val="003C4CB3"/>
    <w:rsid w:val="003C630C"/>
    <w:rsid w:val="003C67C6"/>
    <w:rsid w:val="003C6AA0"/>
    <w:rsid w:val="003C70E0"/>
    <w:rsid w:val="003D1C50"/>
    <w:rsid w:val="003D43CD"/>
    <w:rsid w:val="003D5672"/>
    <w:rsid w:val="003D7A9D"/>
    <w:rsid w:val="003E00B5"/>
    <w:rsid w:val="003E12E3"/>
    <w:rsid w:val="003E1FF1"/>
    <w:rsid w:val="003E22E7"/>
    <w:rsid w:val="003E3002"/>
    <w:rsid w:val="003E3C7C"/>
    <w:rsid w:val="003E402E"/>
    <w:rsid w:val="003E528D"/>
    <w:rsid w:val="003E6725"/>
    <w:rsid w:val="003F11EE"/>
    <w:rsid w:val="003F126D"/>
    <w:rsid w:val="003F12CE"/>
    <w:rsid w:val="003F244F"/>
    <w:rsid w:val="003F28B6"/>
    <w:rsid w:val="003F6736"/>
    <w:rsid w:val="003F68DA"/>
    <w:rsid w:val="00401954"/>
    <w:rsid w:val="00403F06"/>
    <w:rsid w:val="00404040"/>
    <w:rsid w:val="00404C20"/>
    <w:rsid w:val="0041165C"/>
    <w:rsid w:val="00411E69"/>
    <w:rsid w:val="00412AD5"/>
    <w:rsid w:val="0041386C"/>
    <w:rsid w:val="00413993"/>
    <w:rsid w:val="0041592A"/>
    <w:rsid w:val="00415DEF"/>
    <w:rsid w:val="00421897"/>
    <w:rsid w:val="00422C15"/>
    <w:rsid w:val="004255C9"/>
    <w:rsid w:val="004257AB"/>
    <w:rsid w:val="00431313"/>
    <w:rsid w:val="0043314F"/>
    <w:rsid w:val="0043533F"/>
    <w:rsid w:val="0043570A"/>
    <w:rsid w:val="00435D49"/>
    <w:rsid w:val="0043700B"/>
    <w:rsid w:val="0043733D"/>
    <w:rsid w:val="0043750D"/>
    <w:rsid w:val="004376B2"/>
    <w:rsid w:val="00437801"/>
    <w:rsid w:val="00437C8A"/>
    <w:rsid w:val="0044025A"/>
    <w:rsid w:val="004402E3"/>
    <w:rsid w:val="0044078D"/>
    <w:rsid w:val="00442410"/>
    <w:rsid w:val="00444398"/>
    <w:rsid w:val="00444DB0"/>
    <w:rsid w:val="004464EC"/>
    <w:rsid w:val="00446577"/>
    <w:rsid w:val="00450CB0"/>
    <w:rsid w:val="00451E61"/>
    <w:rsid w:val="00452C19"/>
    <w:rsid w:val="00453AFF"/>
    <w:rsid w:val="0045454F"/>
    <w:rsid w:val="00454E69"/>
    <w:rsid w:val="00455342"/>
    <w:rsid w:val="00456378"/>
    <w:rsid w:val="00456726"/>
    <w:rsid w:val="004576A6"/>
    <w:rsid w:val="00457B3A"/>
    <w:rsid w:val="004608B8"/>
    <w:rsid w:val="00460E41"/>
    <w:rsid w:val="00460E50"/>
    <w:rsid w:val="004611CF"/>
    <w:rsid w:val="004617FE"/>
    <w:rsid w:val="00461AEB"/>
    <w:rsid w:val="00461F93"/>
    <w:rsid w:val="0046754F"/>
    <w:rsid w:val="00472D5C"/>
    <w:rsid w:val="004756CB"/>
    <w:rsid w:val="004759BE"/>
    <w:rsid w:val="00482B4C"/>
    <w:rsid w:val="0048523E"/>
    <w:rsid w:val="00485B8A"/>
    <w:rsid w:val="004871E9"/>
    <w:rsid w:val="00490B34"/>
    <w:rsid w:val="0049144A"/>
    <w:rsid w:val="0049224D"/>
    <w:rsid w:val="00492595"/>
    <w:rsid w:val="00493C2E"/>
    <w:rsid w:val="0049586B"/>
    <w:rsid w:val="004967B6"/>
    <w:rsid w:val="0049699B"/>
    <w:rsid w:val="004978A2"/>
    <w:rsid w:val="0049790F"/>
    <w:rsid w:val="004A001A"/>
    <w:rsid w:val="004A1416"/>
    <w:rsid w:val="004A2D5C"/>
    <w:rsid w:val="004A31CA"/>
    <w:rsid w:val="004A4B28"/>
    <w:rsid w:val="004A5442"/>
    <w:rsid w:val="004A7DC7"/>
    <w:rsid w:val="004B1E7D"/>
    <w:rsid w:val="004B1EE1"/>
    <w:rsid w:val="004B376F"/>
    <w:rsid w:val="004B53D1"/>
    <w:rsid w:val="004B5F3B"/>
    <w:rsid w:val="004B6715"/>
    <w:rsid w:val="004B67D6"/>
    <w:rsid w:val="004C1F73"/>
    <w:rsid w:val="004C57CE"/>
    <w:rsid w:val="004C60B8"/>
    <w:rsid w:val="004C6225"/>
    <w:rsid w:val="004C62A1"/>
    <w:rsid w:val="004D0BDD"/>
    <w:rsid w:val="004D0C30"/>
    <w:rsid w:val="004D199D"/>
    <w:rsid w:val="004D1BFF"/>
    <w:rsid w:val="004D2B44"/>
    <w:rsid w:val="004D33E4"/>
    <w:rsid w:val="004D3969"/>
    <w:rsid w:val="004D490C"/>
    <w:rsid w:val="004D4A57"/>
    <w:rsid w:val="004D663C"/>
    <w:rsid w:val="004D770B"/>
    <w:rsid w:val="004E0108"/>
    <w:rsid w:val="004E02F7"/>
    <w:rsid w:val="004E25AD"/>
    <w:rsid w:val="004E3205"/>
    <w:rsid w:val="004E330C"/>
    <w:rsid w:val="004E3F19"/>
    <w:rsid w:val="004E62DA"/>
    <w:rsid w:val="004E6389"/>
    <w:rsid w:val="004E795E"/>
    <w:rsid w:val="004F2061"/>
    <w:rsid w:val="004F245D"/>
    <w:rsid w:val="004F3A50"/>
    <w:rsid w:val="004F3BA8"/>
    <w:rsid w:val="004F4E92"/>
    <w:rsid w:val="004F5705"/>
    <w:rsid w:val="004F6B26"/>
    <w:rsid w:val="004F7B6F"/>
    <w:rsid w:val="004F7C44"/>
    <w:rsid w:val="00500C79"/>
    <w:rsid w:val="00501FDC"/>
    <w:rsid w:val="00502478"/>
    <w:rsid w:val="00505953"/>
    <w:rsid w:val="005061E2"/>
    <w:rsid w:val="00506A85"/>
    <w:rsid w:val="0051015C"/>
    <w:rsid w:val="00510498"/>
    <w:rsid w:val="00510572"/>
    <w:rsid w:val="0051063B"/>
    <w:rsid w:val="005124AD"/>
    <w:rsid w:val="00513177"/>
    <w:rsid w:val="0051334A"/>
    <w:rsid w:val="005150A1"/>
    <w:rsid w:val="005169F4"/>
    <w:rsid w:val="0051799D"/>
    <w:rsid w:val="00520DA4"/>
    <w:rsid w:val="00523206"/>
    <w:rsid w:val="00523742"/>
    <w:rsid w:val="00526ECF"/>
    <w:rsid w:val="005279FD"/>
    <w:rsid w:val="00530243"/>
    <w:rsid w:val="0053106F"/>
    <w:rsid w:val="005325E2"/>
    <w:rsid w:val="00533D08"/>
    <w:rsid w:val="00533F9D"/>
    <w:rsid w:val="0053560F"/>
    <w:rsid w:val="00535CF8"/>
    <w:rsid w:val="00535D7E"/>
    <w:rsid w:val="00536204"/>
    <w:rsid w:val="00536BE4"/>
    <w:rsid w:val="005415C1"/>
    <w:rsid w:val="00541834"/>
    <w:rsid w:val="005420AC"/>
    <w:rsid w:val="00544BED"/>
    <w:rsid w:val="005461D9"/>
    <w:rsid w:val="00546B53"/>
    <w:rsid w:val="00546EF5"/>
    <w:rsid w:val="00547E8C"/>
    <w:rsid w:val="00550917"/>
    <w:rsid w:val="00550D11"/>
    <w:rsid w:val="00552223"/>
    <w:rsid w:val="00554755"/>
    <w:rsid w:val="00555DE8"/>
    <w:rsid w:val="00561DEF"/>
    <w:rsid w:val="00562625"/>
    <w:rsid w:val="00564B34"/>
    <w:rsid w:val="005654DC"/>
    <w:rsid w:val="0056591F"/>
    <w:rsid w:val="005659FC"/>
    <w:rsid w:val="005670F9"/>
    <w:rsid w:val="00567F3C"/>
    <w:rsid w:val="00570B2D"/>
    <w:rsid w:val="00570B78"/>
    <w:rsid w:val="00570BBA"/>
    <w:rsid w:val="0057451A"/>
    <w:rsid w:val="00574FE1"/>
    <w:rsid w:val="005758B1"/>
    <w:rsid w:val="00576247"/>
    <w:rsid w:val="00577650"/>
    <w:rsid w:val="00580C98"/>
    <w:rsid w:val="00584135"/>
    <w:rsid w:val="00584DC1"/>
    <w:rsid w:val="00585EAF"/>
    <w:rsid w:val="00586C65"/>
    <w:rsid w:val="0058726B"/>
    <w:rsid w:val="00590670"/>
    <w:rsid w:val="005915BE"/>
    <w:rsid w:val="00592517"/>
    <w:rsid w:val="00592774"/>
    <w:rsid w:val="00593B39"/>
    <w:rsid w:val="0059593D"/>
    <w:rsid w:val="00595973"/>
    <w:rsid w:val="00597359"/>
    <w:rsid w:val="005A1C56"/>
    <w:rsid w:val="005A2009"/>
    <w:rsid w:val="005A21C3"/>
    <w:rsid w:val="005A5D7E"/>
    <w:rsid w:val="005A6963"/>
    <w:rsid w:val="005B0023"/>
    <w:rsid w:val="005B3FA8"/>
    <w:rsid w:val="005C1097"/>
    <w:rsid w:val="005C5F12"/>
    <w:rsid w:val="005C63DA"/>
    <w:rsid w:val="005C7A57"/>
    <w:rsid w:val="005D14B6"/>
    <w:rsid w:val="005D174A"/>
    <w:rsid w:val="005D191E"/>
    <w:rsid w:val="005D1ACE"/>
    <w:rsid w:val="005D29D8"/>
    <w:rsid w:val="005D30CD"/>
    <w:rsid w:val="005D32FA"/>
    <w:rsid w:val="005D6681"/>
    <w:rsid w:val="005D66F0"/>
    <w:rsid w:val="005D74D8"/>
    <w:rsid w:val="005D75E5"/>
    <w:rsid w:val="005E050C"/>
    <w:rsid w:val="005E0B91"/>
    <w:rsid w:val="005E7159"/>
    <w:rsid w:val="005E749A"/>
    <w:rsid w:val="005F014B"/>
    <w:rsid w:val="005F0221"/>
    <w:rsid w:val="005F0D68"/>
    <w:rsid w:val="005F23E9"/>
    <w:rsid w:val="005F4521"/>
    <w:rsid w:val="005F5EAE"/>
    <w:rsid w:val="005F6B5F"/>
    <w:rsid w:val="005F7FED"/>
    <w:rsid w:val="00600070"/>
    <w:rsid w:val="00602D3F"/>
    <w:rsid w:val="006041C0"/>
    <w:rsid w:val="00605019"/>
    <w:rsid w:val="00605349"/>
    <w:rsid w:val="006057A5"/>
    <w:rsid w:val="006074FD"/>
    <w:rsid w:val="00607F7D"/>
    <w:rsid w:val="0061044D"/>
    <w:rsid w:val="006107CD"/>
    <w:rsid w:val="00611A7C"/>
    <w:rsid w:val="0061398D"/>
    <w:rsid w:val="00614D15"/>
    <w:rsid w:val="006218FE"/>
    <w:rsid w:val="0062674F"/>
    <w:rsid w:val="006268A4"/>
    <w:rsid w:val="006275DC"/>
    <w:rsid w:val="00630A46"/>
    <w:rsid w:val="0063118A"/>
    <w:rsid w:val="006339FE"/>
    <w:rsid w:val="00634F17"/>
    <w:rsid w:val="0063594F"/>
    <w:rsid w:val="00636541"/>
    <w:rsid w:val="0063699E"/>
    <w:rsid w:val="0063797F"/>
    <w:rsid w:val="00645473"/>
    <w:rsid w:val="00645B8F"/>
    <w:rsid w:val="0064653F"/>
    <w:rsid w:val="00647E3A"/>
    <w:rsid w:val="0065008C"/>
    <w:rsid w:val="00651B70"/>
    <w:rsid w:val="00651DE2"/>
    <w:rsid w:val="00652E34"/>
    <w:rsid w:val="00655263"/>
    <w:rsid w:val="006566D3"/>
    <w:rsid w:val="00656B46"/>
    <w:rsid w:val="00657C5D"/>
    <w:rsid w:val="00657E62"/>
    <w:rsid w:val="00661E28"/>
    <w:rsid w:val="006623D5"/>
    <w:rsid w:val="006637CB"/>
    <w:rsid w:val="00663D28"/>
    <w:rsid w:val="0066510A"/>
    <w:rsid w:val="00665BAB"/>
    <w:rsid w:val="00666740"/>
    <w:rsid w:val="006670FB"/>
    <w:rsid w:val="00670CA7"/>
    <w:rsid w:val="006713AA"/>
    <w:rsid w:val="00673FD7"/>
    <w:rsid w:val="006749FC"/>
    <w:rsid w:val="0067545A"/>
    <w:rsid w:val="00676CA0"/>
    <w:rsid w:val="0067712A"/>
    <w:rsid w:val="00680FE5"/>
    <w:rsid w:val="00681E96"/>
    <w:rsid w:val="00682F10"/>
    <w:rsid w:val="006843B9"/>
    <w:rsid w:val="006861C2"/>
    <w:rsid w:val="0068710F"/>
    <w:rsid w:val="00687252"/>
    <w:rsid w:val="00687254"/>
    <w:rsid w:val="00691C27"/>
    <w:rsid w:val="0069371F"/>
    <w:rsid w:val="006975C8"/>
    <w:rsid w:val="0069773F"/>
    <w:rsid w:val="00697A2C"/>
    <w:rsid w:val="00697E2B"/>
    <w:rsid w:val="006A044A"/>
    <w:rsid w:val="006A0801"/>
    <w:rsid w:val="006A1527"/>
    <w:rsid w:val="006A1852"/>
    <w:rsid w:val="006A2DA2"/>
    <w:rsid w:val="006A3437"/>
    <w:rsid w:val="006A3B93"/>
    <w:rsid w:val="006A3DC9"/>
    <w:rsid w:val="006A5E0A"/>
    <w:rsid w:val="006A63D8"/>
    <w:rsid w:val="006A6648"/>
    <w:rsid w:val="006B0032"/>
    <w:rsid w:val="006B0EA0"/>
    <w:rsid w:val="006B3A53"/>
    <w:rsid w:val="006B4330"/>
    <w:rsid w:val="006B4D3B"/>
    <w:rsid w:val="006B562B"/>
    <w:rsid w:val="006B6613"/>
    <w:rsid w:val="006C249B"/>
    <w:rsid w:val="006C30DC"/>
    <w:rsid w:val="006C7B10"/>
    <w:rsid w:val="006D0934"/>
    <w:rsid w:val="006D0CCB"/>
    <w:rsid w:val="006D27EB"/>
    <w:rsid w:val="006D32D3"/>
    <w:rsid w:val="006D5D17"/>
    <w:rsid w:val="006D79B2"/>
    <w:rsid w:val="006E172A"/>
    <w:rsid w:val="006E234A"/>
    <w:rsid w:val="006E499B"/>
    <w:rsid w:val="006E50E8"/>
    <w:rsid w:val="006E5F18"/>
    <w:rsid w:val="006E6306"/>
    <w:rsid w:val="006E6AB9"/>
    <w:rsid w:val="006E6E3C"/>
    <w:rsid w:val="006E7794"/>
    <w:rsid w:val="006E797B"/>
    <w:rsid w:val="006F0E2D"/>
    <w:rsid w:val="006F211C"/>
    <w:rsid w:val="006F3CDB"/>
    <w:rsid w:val="006F40C5"/>
    <w:rsid w:val="006F4D6E"/>
    <w:rsid w:val="00700CC2"/>
    <w:rsid w:val="007019AD"/>
    <w:rsid w:val="00702401"/>
    <w:rsid w:val="0070310B"/>
    <w:rsid w:val="00703526"/>
    <w:rsid w:val="00703800"/>
    <w:rsid w:val="00704B0F"/>
    <w:rsid w:val="00706FA4"/>
    <w:rsid w:val="00707CF2"/>
    <w:rsid w:val="007100B9"/>
    <w:rsid w:val="00710B44"/>
    <w:rsid w:val="007114D4"/>
    <w:rsid w:val="00713960"/>
    <w:rsid w:val="00714B44"/>
    <w:rsid w:val="00715510"/>
    <w:rsid w:val="007200FF"/>
    <w:rsid w:val="00720567"/>
    <w:rsid w:val="00720EF4"/>
    <w:rsid w:val="007215A4"/>
    <w:rsid w:val="0072265F"/>
    <w:rsid w:val="00722C6C"/>
    <w:rsid w:val="00723088"/>
    <w:rsid w:val="007250D2"/>
    <w:rsid w:val="007276BE"/>
    <w:rsid w:val="007278F3"/>
    <w:rsid w:val="007323E9"/>
    <w:rsid w:val="007325F2"/>
    <w:rsid w:val="0073632F"/>
    <w:rsid w:val="00737035"/>
    <w:rsid w:val="00737811"/>
    <w:rsid w:val="00737FB2"/>
    <w:rsid w:val="00741388"/>
    <w:rsid w:val="00741551"/>
    <w:rsid w:val="00741BAE"/>
    <w:rsid w:val="00743F3B"/>
    <w:rsid w:val="00743F78"/>
    <w:rsid w:val="00745894"/>
    <w:rsid w:val="00746A05"/>
    <w:rsid w:val="0074748B"/>
    <w:rsid w:val="00750326"/>
    <w:rsid w:val="00750FD2"/>
    <w:rsid w:val="0075106E"/>
    <w:rsid w:val="00753997"/>
    <w:rsid w:val="00757E4A"/>
    <w:rsid w:val="00763454"/>
    <w:rsid w:val="00763995"/>
    <w:rsid w:val="00764580"/>
    <w:rsid w:val="0076522B"/>
    <w:rsid w:val="007660A9"/>
    <w:rsid w:val="00766480"/>
    <w:rsid w:val="00766756"/>
    <w:rsid w:val="00766ED2"/>
    <w:rsid w:val="0077134E"/>
    <w:rsid w:val="00771F05"/>
    <w:rsid w:val="007729F6"/>
    <w:rsid w:val="007732F9"/>
    <w:rsid w:val="007732FB"/>
    <w:rsid w:val="007766AC"/>
    <w:rsid w:val="00776739"/>
    <w:rsid w:val="007777F1"/>
    <w:rsid w:val="00780406"/>
    <w:rsid w:val="00782E1D"/>
    <w:rsid w:val="00782E97"/>
    <w:rsid w:val="007849CC"/>
    <w:rsid w:val="00786F6E"/>
    <w:rsid w:val="007941F2"/>
    <w:rsid w:val="0079444A"/>
    <w:rsid w:val="0079548A"/>
    <w:rsid w:val="0079632D"/>
    <w:rsid w:val="00796818"/>
    <w:rsid w:val="007A170A"/>
    <w:rsid w:val="007A2C9A"/>
    <w:rsid w:val="007A3652"/>
    <w:rsid w:val="007A5A18"/>
    <w:rsid w:val="007A63A5"/>
    <w:rsid w:val="007A6829"/>
    <w:rsid w:val="007A6F3E"/>
    <w:rsid w:val="007B0213"/>
    <w:rsid w:val="007B13FB"/>
    <w:rsid w:val="007B1567"/>
    <w:rsid w:val="007B185E"/>
    <w:rsid w:val="007B261A"/>
    <w:rsid w:val="007B2926"/>
    <w:rsid w:val="007B38AE"/>
    <w:rsid w:val="007B5FC4"/>
    <w:rsid w:val="007B62AE"/>
    <w:rsid w:val="007B69A9"/>
    <w:rsid w:val="007B6CEF"/>
    <w:rsid w:val="007B6F20"/>
    <w:rsid w:val="007C1582"/>
    <w:rsid w:val="007C23E9"/>
    <w:rsid w:val="007C5CD1"/>
    <w:rsid w:val="007C73DD"/>
    <w:rsid w:val="007D017A"/>
    <w:rsid w:val="007D1C50"/>
    <w:rsid w:val="007D4BD6"/>
    <w:rsid w:val="007D6403"/>
    <w:rsid w:val="007D6B07"/>
    <w:rsid w:val="007D6F93"/>
    <w:rsid w:val="007D72DA"/>
    <w:rsid w:val="007D78A0"/>
    <w:rsid w:val="007D7C88"/>
    <w:rsid w:val="007D7D41"/>
    <w:rsid w:val="007E152E"/>
    <w:rsid w:val="007E2DBE"/>
    <w:rsid w:val="007E37A9"/>
    <w:rsid w:val="007E42C6"/>
    <w:rsid w:val="007F308F"/>
    <w:rsid w:val="007F7554"/>
    <w:rsid w:val="007F7E44"/>
    <w:rsid w:val="00801ED3"/>
    <w:rsid w:val="0080361B"/>
    <w:rsid w:val="0080419B"/>
    <w:rsid w:val="00806B51"/>
    <w:rsid w:val="00807F57"/>
    <w:rsid w:val="00810D9A"/>
    <w:rsid w:val="00811523"/>
    <w:rsid w:val="00811A67"/>
    <w:rsid w:val="00814B35"/>
    <w:rsid w:val="00817081"/>
    <w:rsid w:val="00820D89"/>
    <w:rsid w:val="008219D7"/>
    <w:rsid w:val="00824F69"/>
    <w:rsid w:val="00826E18"/>
    <w:rsid w:val="0082750C"/>
    <w:rsid w:val="00827F3B"/>
    <w:rsid w:val="008302CD"/>
    <w:rsid w:val="00831282"/>
    <w:rsid w:val="008337BC"/>
    <w:rsid w:val="0083476B"/>
    <w:rsid w:val="00836AB5"/>
    <w:rsid w:val="00836DE3"/>
    <w:rsid w:val="00846013"/>
    <w:rsid w:val="00846196"/>
    <w:rsid w:val="0084663B"/>
    <w:rsid w:val="00847F60"/>
    <w:rsid w:val="00852E54"/>
    <w:rsid w:val="00856447"/>
    <w:rsid w:val="008574A1"/>
    <w:rsid w:val="00860B68"/>
    <w:rsid w:val="008636DE"/>
    <w:rsid w:val="008638D3"/>
    <w:rsid w:val="00863A0F"/>
    <w:rsid w:val="00864655"/>
    <w:rsid w:val="00865C69"/>
    <w:rsid w:val="00866367"/>
    <w:rsid w:val="008664AC"/>
    <w:rsid w:val="00866571"/>
    <w:rsid w:val="008666B8"/>
    <w:rsid w:val="00872175"/>
    <w:rsid w:val="00873CDF"/>
    <w:rsid w:val="008747C7"/>
    <w:rsid w:val="00874FD5"/>
    <w:rsid w:val="0087586D"/>
    <w:rsid w:val="008765A2"/>
    <w:rsid w:val="0088073D"/>
    <w:rsid w:val="00880763"/>
    <w:rsid w:val="00881267"/>
    <w:rsid w:val="00882059"/>
    <w:rsid w:val="008823CF"/>
    <w:rsid w:val="00884237"/>
    <w:rsid w:val="008849A7"/>
    <w:rsid w:val="00884B66"/>
    <w:rsid w:val="008856EC"/>
    <w:rsid w:val="00887D3E"/>
    <w:rsid w:val="008900C8"/>
    <w:rsid w:val="00894AAE"/>
    <w:rsid w:val="00895EAB"/>
    <w:rsid w:val="00896586"/>
    <w:rsid w:val="008967C9"/>
    <w:rsid w:val="00896CFC"/>
    <w:rsid w:val="00896F15"/>
    <w:rsid w:val="00897AAB"/>
    <w:rsid w:val="008A1983"/>
    <w:rsid w:val="008A19D7"/>
    <w:rsid w:val="008A22D2"/>
    <w:rsid w:val="008A2BE2"/>
    <w:rsid w:val="008A4CD2"/>
    <w:rsid w:val="008A4E3D"/>
    <w:rsid w:val="008A5049"/>
    <w:rsid w:val="008A5056"/>
    <w:rsid w:val="008A5A3A"/>
    <w:rsid w:val="008A5BBA"/>
    <w:rsid w:val="008A6B65"/>
    <w:rsid w:val="008A7E1F"/>
    <w:rsid w:val="008B074B"/>
    <w:rsid w:val="008B23A5"/>
    <w:rsid w:val="008B2BAA"/>
    <w:rsid w:val="008B39D8"/>
    <w:rsid w:val="008B3E59"/>
    <w:rsid w:val="008B4B0C"/>
    <w:rsid w:val="008B4E3B"/>
    <w:rsid w:val="008B535A"/>
    <w:rsid w:val="008B6839"/>
    <w:rsid w:val="008C185C"/>
    <w:rsid w:val="008C7B33"/>
    <w:rsid w:val="008D1C6D"/>
    <w:rsid w:val="008D29B2"/>
    <w:rsid w:val="008D443A"/>
    <w:rsid w:val="008D6FA3"/>
    <w:rsid w:val="008E0672"/>
    <w:rsid w:val="008E3E46"/>
    <w:rsid w:val="008E4432"/>
    <w:rsid w:val="008E572C"/>
    <w:rsid w:val="008E6D86"/>
    <w:rsid w:val="008E6FFA"/>
    <w:rsid w:val="008F295D"/>
    <w:rsid w:val="008F3A02"/>
    <w:rsid w:val="008F47F2"/>
    <w:rsid w:val="009016C9"/>
    <w:rsid w:val="00903B81"/>
    <w:rsid w:val="009049AB"/>
    <w:rsid w:val="00906E39"/>
    <w:rsid w:val="00907CA3"/>
    <w:rsid w:val="00910476"/>
    <w:rsid w:val="00910478"/>
    <w:rsid w:val="00911542"/>
    <w:rsid w:val="00912E62"/>
    <w:rsid w:val="0091469D"/>
    <w:rsid w:val="00914925"/>
    <w:rsid w:val="00914D98"/>
    <w:rsid w:val="009161A5"/>
    <w:rsid w:val="0091638B"/>
    <w:rsid w:val="009232D8"/>
    <w:rsid w:val="009240DD"/>
    <w:rsid w:val="009267FB"/>
    <w:rsid w:val="00931A57"/>
    <w:rsid w:val="00934C6C"/>
    <w:rsid w:val="0093553D"/>
    <w:rsid w:val="00942C9E"/>
    <w:rsid w:val="00942EED"/>
    <w:rsid w:val="00943BC5"/>
    <w:rsid w:val="009444C4"/>
    <w:rsid w:val="009446AB"/>
    <w:rsid w:val="00944C5B"/>
    <w:rsid w:val="00946101"/>
    <w:rsid w:val="00950276"/>
    <w:rsid w:val="00951C0D"/>
    <w:rsid w:val="0095725D"/>
    <w:rsid w:val="0095796F"/>
    <w:rsid w:val="009600B8"/>
    <w:rsid w:val="009631BF"/>
    <w:rsid w:val="009652C0"/>
    <w:rsid w:val="009670FA"/>
    <w:rsid w:val="0096722B"/>
    <w:rsid w:val="009673BE"/>
    <w:rsid w:val="0097026F"/>
    <w:rsid w:val="00971824"/>
    <w:rsid w:val="009756ED"/>
    <w:rsid w:val="00975B64"/>
    <w:rsid w:val="009760E6"/>
    <w:rsid w:val="00976D72"/>
    <w:rsid w:val="00977AEA"/>
    <w:rsid w:val="0098174E"/>
    <w:rsid w:val="00981B55"/>
    <w:rsid w:val="00982D0F"/>
    <w:rsid w:val="00983BB8"/>
    <w:rsid w:val="0098533A"/>
    <w:rsid w:val="009861D9"/>
    <w:rsid w:val="00987F22"/>
    <w:rsid w:val="009903CF"/>
    <w:rsid w:val="00990825"/>
    <w:rsid w:val="00990E66"/>
    <w:rsid w:val="0099109B"/>
    <w:rsid w:val="009910CE"/>
    <w:rsid w:val="009921E8"/>
    <w:rsid w:val="00993BF0"/>
    <w:rsid w:val="009940CC"/>
    <w:rsid w:val="00994953"/>
    <w:rsid w:val="00995260"/>
    <w:rsid w:val="009A1D7F"/>
    <w:rsid w:val="009A2655"/>
    <w:rsid w:val="009A2B24"/>
    <w:rsid w:val="009A3492"/>
    <w:rsid w:val="009A3662"/>
    <w:rsid w:val="009A469B"/>
    <w:rsid w:val="009A507F"/>
    <w:rsid w:val="009A62F6"/>
    <w:rsid w:val="009B0B78"/>
    <w:rsid w:val="009B18C8"/>
    <w:rsid w:val="009B258A"/>
    <w:rsid w:val="009B285B"/>
    <w:rsid w:val="009B4717"/>
    <w:rsid w:val="009B6BA7"/>
    <w:rsid w:val="009B70E7"/>
    <w:rsid w:val="009B73BC"/>
    <w:rsid w:val="009B75B1"/>
    <w:rsid w:val="009C2283"/>
    <w:rsid w:val="009C26F8"/>
    <w:rsid w:val="009C285D"/>
    <w:rsid w:val="009C3636"/>
    <w:rsid w:val="009D1368"/>
    <w:rsid w:val="009D37B1"/>
    <w:rsid w:val="009D3A47"/>
    <w:rsid w:val="009D3D0D"/>
    <w:rsid w:val="009D50CD"/>
    <w:rsid w:val="009D5449"/>
    <w:rsid w:val="009E09EB"/>
    <w:rsid w:val="009E1DEE"/>
    <w:rsid w:val="009E3E1B"/>
    <w:rsid w:val="009E4E8D"/>
    <w:rsid w:val="009E6614"/>
    <w:rsid w:val="009F07BA"/>
    <w:rsid w:val="009F539C"/>
    <w:rsid w:val="009F63A5"/>
    <w:rsid w:val="00A0131C"/>
    <w:rsid w:val="00A01C5D"/>
    <w:rsid w:val="00A03E52"/>
    <w:rsid w:val="00A06F04"/>
    <w:rsid w:val="00A077AC"/>
    <w:rsid w:val="00A1257F"/>
    <w:rsid w:val="00A12AF0"/>
    <w:rsid w:val="00A13329"/>
    <w:rsid w:val="00A1333A"/>
    <w:rsid w:val="00A147DD"/>
    <w:rsid w:val="00A15EE1"/>
    <w:rsid w:val="00A174A4"/>
    <w:rsid w:val="00A176E3"/>
    <w:rsid w:val="00A17A56"/>
    <w:rsid w:val="00A21803"/>
    <w:rsid w:val="00A22D23"/>
    <w:rsid w:val="00A2331F"/>
    <w:rsid w:val="00A23CBF"/>
    <w:rsid w:val="00A24BCE"/>
    <w:rsid w:val="00A2538E"/>
    <w:rsid w:val="00A25A97"/>
    <w:rsid w:val="00A25B72"/>
    <w:rsid w:val="00A25FD3"/>
    <w:rsid w:val="00A26EAB"/>
    <w:rsid w:val="00A26EFB"/>
    <w:rsid w:val="00A30F31"/>
    <w:rsid w:val="00A31F76"/>
    <w:rsid w:val="00A32B12"/>
    <w:rsid w:val="00A332DD"/>
    <w:rsid w:val="00A348F8"/>
    <w:rsid w:val="00A3529A"/>
    <w:rsid w:val="00A3551D"/>
    <w:rsid w:val="00A37A69"/>
    <w:rsid w:val="00A403D3"/>
    <w:rsid w:val="00A4241C"/>
    <w:rsid w:val="00A4391F"/>
    <w:rsid w:val="00A43B3E"/>
    <w:rsid w:val="00A443A6"/>
    <w:rsid w:val="00A4451B"/>
    <w:rsid w:val="00A44D4A"/>
    <w:rsid w:val="00A4689C"/>
    <w:rsid w:val="00A46DC8"/>
    <w:rsid w:val="00A47D4F"/>
    <w:rsid w:val="00A5036E"/>
    <w:rsid w:val="00A504DA"/>
    <w:rsid w:val="00A52EB1"/>
    <w:rsid w:val="00A5370F"/>
    <w:rsid w:val="00A54C90"/>
    <w:rsid w:val="00A5502F"/>
    <w:rsid w:val="00A57E9E"/>
    <w:rsid w:val="00A60030"/>
    <w:rsid w:val="00A60873"/>
    <w:rsid w:val="00A61365"/>
    <w:rsid w:val="00A61377"/>
    <w:rsid w:val="00A62439"/>
    <w:rsid w:val="00A62A9E"/>
    <w:rsid w:val="00A637EA"/>
    <w:rsid w:val="00A64110"/>
    <w:rsid w:val="00A641E8"/>
    <w:rsid w:val="00A65DA1"/>
    <w:rsid w:val="00A66187"/>
    <w:rsid w:val="00A668C9"/>
    <w:rsid w:val="00A66E4D"/>
    <w:rsid w:val="00A6711C"/>
    <w:rsid w:val="00A67A0B"/>
    <w:rsid w:val="00A67A1D"/>
    <w:rsid w:val="00A7048C"/>
    <w:rsid w:val="00A72BC5"/>
    <w:rsid w:val="00A7338A"/>
    <w:rsid w:val="00A74AE1"/>
    <w:rsid w:val="00A7530C"/>
    <w:rsid w:val="00A76334"/>
    <w:rsid w:val="00A7660B"/>
    <w:rsid w:val="00A76F4C"/>
    <w:rsid w:val="00A7761D"/>
    <w:rsid w:val="00A80944"/>
    <w:rsid w:val="00A82B71"/>
    <w:rsid w:val="00A82E7A"/>
    <w:rsid w:val="00A831D0"/>
    <w:rsid w:val="00A83E50"/>
    <w:rsid w:val="00A85337"/>
    <w:rsid w:val="00A87B7F"/>
    <w:rsid w:val="00A907BF"/>
    <w:rsid w:val="00A9229B"/>
    <w:rsid w:val="00A935F3"/>
    <w:rsid w:val="00A952EE"/>
    <w:rsid w:val="00A964A4"/>
    <w:rsid w:val="00A9778E"/>
    <w:rsid w:val="00AA1215"/>
    <w:rsid w:val="00AA20FC"/>
    <w:rsid w:val="00AA60E7"/>
    <w:rsid w:val="00AA6AAB"/>
    <w:rsid w:val="00AA7807"/>
    <w:rsid w:val="00AB0816"/>
    <w:rsid w:val="00AB0D49"/>
    <w:rsid w:val="00AB1A56"/>
    <w:rsid w:val="00AB2CC5"/>
    <w:rsid w:val="00AB440B"/>
    <w:rsid w:val="00AB6733"/>
    <w:rsid w:val="00AC20E4"/>
    <w:rsid w:val="00AC2C69"/>
    <w:rsid w:val="00AC42AB"/>
    <w:rsid w:val="00AC4DC8"/>
    <w:rsid w:val="00AC6C07"/>
    <w:rsid w:val="00AC6C50"/>
    <w:rsid w:val="00AC6D7A"/>
    <w:rsid w:val="00AC6F8B"/>
    <w:rsid w:val="00AC7345"/>
    <w:rsid w:val="00AD376C"/>
    <w:rsid w:val="00AD448D"/>
    <w:rsid w:val="00AD6BA0"/>
    <w:rsid w:val="00AD7F02"/>
    <w:rsid w:val="00AE0D69"/>
    <w:rsid w:val="00AE1AB0"/>
    <w:rsid w:val="00AE2444"/>
    <w:rsid w:val="00AE40AF"/>
    <w:rsid w:val="00AE54C6"/>
    <w:rsid w:val="00AE6588"/>
    <w:rsid w:val="00AE6D96"/>
    <w:rsid w:val="00AE6F00"/>
    <w:rsid w:val="00AE7897"/>
    <w:rsid w:val="00AE7B9C"/>
    <w:rsid w:val="00AE7FBB"/>
    <w:rsid w:val="00AF04CD"/>
    <w:rsid w:val="00AF252D"/>
    <w:rsid w:val="00AF27E8"/>
    <w:rsid w:val="00AF2C0D"/>
    <w:rsid w:val="00AF63B8"/>
    <w:rsid w:val="00B0099E"/>
    <w:rsid w:val="00B00EE1"/>
    <w:rsid w:val="00B012F2"/>
    <w:rsid w:val="00B01323"/>
    <w:rsid w:val="00B01C94"/>
    <w:rsid w:val="00B01EED"/>
    <w:rsid w:val="00B03E3D"/>
    <w:rsid w:val="00B042D7"/>
    <w:rsid w:val="00B06160"/>
    <w:rsid w:val="00B0785F"/>
    <w:rsid w:val="00B103E0"/>
    <w:rsid w:val="00B10580"/>
    <w:rsid w:val="00B136C8"/>
    <w:rsid w:val="00B13714"/>
    <w:rsid w:val="00B14E15"/>
    <w:rsid w:val="00B17AE0"/>
    <w:rsid w:val="00B17C47"/>
    <w:rsid w:val="00B2000C"/>
    <w:rsid w:val="00B20385"/>
    <w:rsid w:val="00B211F3"/>
    <w:rsid w:val="00B22686"/>
    <w:rsid w:val="00B22D60"/>
    <w:rsid w:val="00B22E6A"/>
    <w:rsid w:val="00B23065"/>
    <w:rsid w:val="00B230AA"/>
    <w:rsid w:val="00B247FF"/>
    <w:rsid w:val="00B25707"/>
    <w:rsid w:val="00B27886"/>
    <w:rsid w:val="00B30CF6"/>
    <w:rsid w:val="00B30DAF"/>
    <w:rsid w:val="00B3103A"/>
    <w:rsid w:val="00B3266E"/>
    <w:rsid w:val="00B33ABE"/>
    <w:rsid w:val="00B33AD2"/>
    <w:rsid w:val="00B370FF"/>
    <w:rsid w:val="00B37E78"/>
    <w:rsid w:val="00B4109B"/>
    <w:rsid w:val="00B42A24"/>
    <w:rsid w:val="00B47E62"/>
    <w:rsid w:val="00B50866"/>
    <w:rsid w:val="00B514E7"/>
    <w:rsid w:val="00B51EE9"/>
    <w:rsid w:val="00B53AD1"/>
    <w:rsid w:val="00B540FB"/>
    <w:rsid w:val="00B54AFD"/>
    <w:rsid w:val="00B55E6D"/>
    <w:rsid w:val="00B56A6D"/>
    <w:rsid w:val="00B5725C"/>
    <w:rsid w:val="00B603A1"/>
    <w:rsid w:val="00B60E6E"/>
    <w:rsid w:val="00B61005"/>
    <w:rsid w:val="00B6144C"/>
    <w:rsid w:val="00B628BD"/>
    <w:rsid w:val="00B62A93"/>
    <w:rsid w:val="00B62DD3"/>
    <w:rsid w:val="00B64626"/>
    <w:rsid w:val="00B66266"/>
    <w:rsid w:val="00B67618"/>
    <w:rsid w:val="00B67DDF"/>
    <w:rsid w:val="00B700BD"/>
    <w:rsid w:val="00B704BF"/>
    <w:rsid w:val="00B711C3"/>
    <w:rsid w:val="00B729E6"/>
    <w:rsid w:val="00B73F96"/>
    <w:rsid w:val="00B74543"/>
    <w:rsid w:val="00B74DFC"/>
    <w:rsid w:val="00B77D79"/>
    <w:rsid w:val="00B82717"/>
    <w:rsid w:val="00B90EE8"/>
    <w:rsid w:val="00B913E1"/>
    <w:rsid w:val="00BA320E"/>
    <w:rsid w:val="00BA5033"/>
    <w:rsid w:val="00BA5176"/>
    <w:rsid w:val="00BB33BE"/>
    <w:rsid w:val="00BB3AB2"/>
    <w:rsid w:val="00BB4D44"/>
    <w:rsid w:val="00BB6134"/>
    <w:rsid w:val="00BC2D1C"/>
    <w:rsid w:val="00BC4530"/>
    <w:rsid w:val="00BC48CF"/>
    <w:rsid w:val="00BC7A52"/>
    <w:rsid w:val="00BD1209"/>
    <w:rsid w:val="00BD1346"/>
    <w:rsid w:val="00BD1CB0"/>
    <w:rsid w:val="00BD1D46"/>
    <w:rsid w:val="00BD2070"/>
    <w:rsid w:val="00BD2D23"/>
    <w:rsid w:val="00BD55FD"/>
    <w:rsid w:val="00BD5C43"/>
    <w:rsid w:val="00BD723F"/>
    <w:rsid w:val="00BE078F"/>
    <w:rsid w:val="00BE2FEB"/>
    <w:rsid w:val="00BE522C"/>
    <w:rsid w:val="00BF1B0B"/>
    <w:rsid w:val="00BF2CF6"/>
    <w:rsid w:val="00BF47F0"/>
    <w:rsid w:val="00BF5A35"/>
    <w:rsid w:val="00C01362"/>
    <w:rsid w:val="00C02913"/>
    <w:rsid w:val="00C042D5"/>
    <w:rsid w:val="00C05D1E"/>
    <w:rsid w:val="00C102E1"/>
    <w:rsid w:val="00C10D77"/>
    <w:rsid w:val="00C11CEA"/>
    <w:rsid w:val="00C12577"/>
    <w:rsid w:val="00C144D4"/>
    <w:rsid w:val="00C15380"/>
    <w:rsid w:val="00C168FA"/>
    <w:rsid w:val="00C17BD2"/>
    <w:rsid w:val="00C207F9"/>
    <w:rsid w:val="00C20824"/>
    <w:rsid w:val="00C2178D"/>
    <w:rsid w:val="00C239F6"/>
    <w:rsid w:val="00C23C12"/>
    <w:rsid w:val="00C25725"/>
    <w:rsid w:val="00C27F37"/>
    <w:rsid w:val="00C3285F"/>
    <w:rsid w:val="00C3289B"/>
    <w:rsid w:val="00C33412"/>
    <w:rsid w:val="00C33874"/>
    <w:rsid w:val="00C33916"/>
    <w:rsid w:val="00C377E3"/>
    <w:rsid w:val="00C37BD3"/>
    <w:rsid w:val="00C37C66"/>
    <w:rsid w:val="00C40187"/>
    <w:rsid w:val="00C4221E"/>
    <w:rsid w:val="00C42968"/>
    <w:rsid w:val="00C447EE"/>
    <w:rsid w:val="00C454D9"/>
    <w:rsid w:val="00C510C7"/>
    <w:rsid w:val="00C52170"/>
    <w:rsid w:val="00C529A7"/>
    <w:rsid w:val="00C52C64"/>
    <w:rsid w:val="00C53EA5"/>
    <w:rsid w:val="00C546AF"/>
    <w:rsid w:val="00C54EFD"/>
    <w:rsid w:val="00C5649A"/>
    <w:rsid w:val="00C56846"/>
    <w:rsid w:val="00C60006"/>
    <w:rsid w:val="00C60B7E"/>
    <w:rsid w:val="00C6158F"/>
    <w:rsid w:val="00C6316A"/>
    <w:rsid w:val="00C6408D"/>
    <w:rsid w:val="00C651C9"/>
    <w:rsid w:val="00C67674"/>
    <w:rsid w:val="00C7077C"/>
    <w:rsid w:val="00C70F02"/>
    <w:rsid w:val="00C75336"/>
    <w:rsid w:val="00C76776"/>
    <w:rsid w:val="00C76D4E"/>
    <w:rsid w:val="00C806F5"/>
    <w:rsid w:val="00C807B6"/>
    <w:rsid w:val="00C81DB4"/>
    <w:rsid w:val="00C82C84"/>
    <w:rsid w:val="00C82FF7"/>
    <w:rsid w:val="00C83486"/>
    <w:rsid w:val="00C8513F"/>
    <w:rsid w:val="00C85870"/>
    <w:rsid w:val="00C903D5"/>
    <w:rsid w:val="00C90DBD"/>
    <w:rsid w:val="00C9434F"/>
    <w:rsid w:val="00C96FB0"/>
    <w:rsid w:val="00C97BC2"/>
    <w:rsid w:val="00CA04CE"/>
    <w:rsid w:val="00CA3551"/>
    <w:rsid w:val="00CA3B17"/>
    <w:rsid w:val="00CA62DF"/>
    <w:rsid w:val="00CA7ACB"/>
    <w:rsid w:val="00CB2293"/>
    <w:rsid w:val="00CB5AD8"/>
    <w:rsid w:val="00CB5E9D"/>
    <w:rsid w:val="00CB7EC0"/>
    <w:rsid w:val="00CC2693"/>
    <w:rsid w:val="00CD0D29"/>
    <w:rsid w:val="00CD1887"/>
    <w:rsid w:val="00CD2F5B"/>
    <w:rsid w:val="00CD493E"/>
    <w:rsid w:val="00CD585A"/>
    <w:rsid w:val="00CD61A4"/>
    <w:rsid w:val="00CD64D5"/>
    <w:rsid w:val="00CD6DAA"/>
    <w:rsid w:val="00CD723E"/>
    <w:rsid w:val="00CD75E8"/>
    <w:rsid w:val="00CE3659"/>
    <w:rsid w:val="00CE42AB"/>
    <w:rsid w:val="00CE5B22"/>
    <w:rsid w:val="00CF05A9"/>
    <w:rsid w:val="00CF0E28"/>
    <w:rsid w:val="00CF114F"/>
    <w:rsid w:val="00CF148B"/>
    <w:rsid w:val="00CF2BEA"/>
    <w:rsid w:val="00CF5DC4"/>
    <w:rsid w:val="00CF65DE"/>
    <w:rsid w:val="00CF7347"/>
    <w:rsid w:val="00CF771E"/>
    <w:rsid w:val="00CF7FB2"/>
    <w:rsid w:val="00D0076C"/>
    <w:rsid w:val="00D01E81"/>
    <w:rsid w:val="00D02EC5"/>
    <w:rsid w:val="00D03F82"/>
    <w:rsid w:val="00D04707"/>
    <w:rsid w:val="00D0486F"/>
    <w:rsid w:val="00D059C2"/>
    <w:rsid w:val="00D0729C"/>
    <w:rsid w:val="00D1023C"/>
    <w:rsid w:val="00D10975"/>
    <w:rsid w:val="00D109CA"/>
    <w:rsid w:val="00D110D7"/>
    <w:rsid w:val="00D11836"/>
    <w:rsid w:val="00D13B85"/>
    <w:rsid w:val="00D13F01"/>
    <w:rsid w:val="00D15D7C"/>
    <w:rsid w:val="00D2185D"/>
    <w:rsid w:val="00D22541"/>
    <w:rsid w:val="00D2286E"/>
    <w:rsid w:val="00D22973"/>
    <w:rsid w:val="00D22F45"/>
    <w:rsid w:val="00D26176"/>
    <w:rsid w:val="00D30BB8"/>
    <w:rsid w:val="00D32418"/>
    <w:rsid w:val="00D340EE"/>
    <w:rsid w:val="00D3588F"/>
    <w:rsid w:val="00D35CF4"/>
    <w:rsid w:val="00D363C2"/>
    <w:rsid w:val="00D37DB1"/>
    <w:rsid w:val="00D40BA9"/>
    <w:rsid w:val="00D4121E"/>
    <w:rsid w:val="00D41B89"/>
    <w:rsid w:val="00D425BB"/>
    <w:rsid w:val="00D42653"/>
    <w:rsid w:val="00D43ABE"/>
    <w:rsid w:val="00D4412B"/>
    <w:rsid w:val="00D44181"/>
    <w:rsid w:val="00D4770B"/>
    <w:rsid w:val="00D478CD"/>
    <w:rsid w:val="00D51EF9"/>
    <w:rsid w:val="00D544BC"/>
    <w:rsid w:val="00D55B6E"/>
    <w:rsid w:val="00D569D1"/>
    <w:rsid w:val="00D56C01"/>
    <w:rsid w:val="00D56C2C"/>
    <w:rsid w:val="00D571A2"/>
    <w:rsid w:val="00D602EE"/>
    <w:rsid w:val="00D62BDA"/>
    <w:rsid w:val="00D6497B"/>
    <w:rsid w:val="00D65B4C"/>
    <w:rsid w:val="00D665C8"/>
    <w:rsid w:val="00D7179F"/>
    <w:rsid w:val="00D73C4F"/>
    <w:rsid w:val="00D75997"/>
    <w:rsid w:val="00D80F9C"/>
    <w:rsid w:val="00D811B8"/>
    <w:rsid w:val="00D82A68"/>
    <w:rsid w:val="00D8402C"/>
    <w:rsid w:val="00D8530C"/>
    <w:rsid w:val="00D8632B"/>
    <w:rsid w:val="00D87B8C"/>
    <w:rsid w:val="00D90063"/>
    <w:rsid w:val="00D91665"/>
    <w:rsid w:val="00D95EC6"/>
    <w:rsid w:val="00DA5E3D"/>
    <w:rsid w:val="00DB166C"/>
    <w:rsid w:val="00DB37B0"/>
    <w:rsid w:val="00DB3D22"/>
    <w:rsid w:val="00DB42B7"/>
    <w:rsid w:val="00DB46FA"/>
    <w:rsid w:val="00DB4AC0"/>
    <w:rsid w:val="00DB556A"/>
    <w:rsid w:val="00DB6799"/>
    <w:rsid w:val="00DC0302"/>
    <w:rsid w:val="00DC08A6"/>
    <w:rsid w:val="00DC11CB"/>
    <w:rsid w:val="00DC185D"/>
    <w:rsid w:val="00DC375E"/>
    <w:rsid w:val="00DC4C23"/>
    <w:rsid w:val="00DC4F3C"/>
    <w:rsid w:val="00DC6025"/>
    <w:rsid w:val="00DD5BE6"/>
    <w:rsid w:val="00DD6305"/>
    <w:rsid w:val="00DD65DF"/>
    <w:rsid w:val="00DD6DB3"/>
    <w:rsid w:val="00DE2575"/>
    <w:rsid w:val="00DE26D3"/>
    <w:rsid w:val="00DE2C1E"/>
    <w:rsid w:val="00DE4231"/>
    <w:rsid w:val="00DE4526"/>
    <w:rsid w:val="00DE735F"/>
    <w:rsid w:val="00DF211E"/>
    <w:rsid w:val="00DF38DA"/>
    <w:rsid w:val="00DF3D90"/>
    <w:rsid w:val="00DF45DF"/>
    <w:rsid w:val="00DF71C7"/>
    <w:rsid w:val="00E0162C"/>
    <w:rsid w:val="00E033B9"/>
    <w:rsid w:val="00E03516"/>
    <w:rsid w:val="00E041B5"/>
    <w:rsid w:val="00E13F0F"/>
    <w:rsid w:val="00E1591E"/>
    <w:rsid w:val="00E15BB4"/>
    <w:rsid w:val="00E16A85"/>
    <w:rsid w:val="00E2737B"/>
    <w:rsid w:val="00E3085D"/>
    <w:rsid w:val="00E314E4"/>
    <w:rsid w:val="00E325C0"/>
    <w:rsid w:val="00E37BC9"/>
    <w:rsid w:val="00E40803"/>
    <w:rsid w:val="00E40B89"/>
    <w:rsid w:val="00E43B99"/>
    <w:rsid w:val="00E44948"/>
    <w:rsid w:val="00E45745"/>
    <w:rsid w:val="00E4626E"/>
    <w:rsid w:val="00E4637F"/>
    <w:rsid w:val="00E520A0"/>
    <w:rsid w:val="00E523BD"/>
    <w:rsid w:val="00E52D92"/>
    <w:rsid w:val="00E542A9"/>
    <w:rsid w:val="00E546F7"/>
    <w:rsid w:val="00E54762"/>
    <w:rsid w:val="00E56A05"/>
    <w:rsid w:val="00E60142"/>
    <w:rsid w:val="00E6275E"/>
    <w:rsid w:val="00E62D57"/>
    <w:rsid w:val="00E63087"/>
    <w:rsid w:val="00E638AB"/>
    <w:rsid w:val="00E645C9"/>
    <w:rsid w:val="00E66985"/>
    <w:rsid w:val="00E66F33"/>
    <w:rsid w:val="00E67D06"/>
    <w:rsid w:val="00E7367E"/>
    <w:rsid w:val="00E75236"/>
    <w:rsid w:val="00E7580D"/>
    <w:rsid w:val="00E75B1C"/>
    <w:rsid w:val="00E75B5C"/>
    <w:rsid w:val="00E809DB"/>
    <w:rsid w:val="00E80DAA"/>
    <w:rsid w:val="00E81D41"/>
    <w:rsid w:val="00E84974"/>
    <w:rsid w:val="00E84E93"/>
    <w:rsid w:val="00E85B66"/>
    <w:rsid w:val="00E85EF9"/>
    <w:rsid w:val="00E874EB"/>
    <w:rsid w:val="00E87C19"/>
    <w:rsid w:val="00E92F25"/>
    <w:rsid w:val="00EA1E98"/>
    <w:rsid w:val="00EA207F"/>
    <w:rsid w:val="00EA256C"/>
    <w:rsid w:val="00EA34C4"/>
    <w:rsid w:val="00EA491F"/>
    <w:rsid w:val="00EA506A"/>
    <w:rsid w:val="00EA5B3C"/>
    <w:rsid w:val="00EA5E71"/>
    <w:rsid w:val="00EB0653"/>
    <w:rsid w:val="00EB48A2"/>
    <w:rsid w:val="00EB4D4F"/>
    <w:rsid w:val="00EB6DAF"/>
    <w:rsid w:val="00EC1BDD"/>
    <w:rsid w:val="00EC1E99"/>
    <w:rsid w:val="00EC2AE0"/>
    <w:rsid w:val="00EC4583"/>
    <w:rsid w:val="00EC48B6"/>
    <w:rsid w:val="00EC5C1A"/>
    <w:rsid w:val="00EC6706"/>
    <w:rsid w:val="00ED071F"/>
    <w:rsid w:val="00ED0E4F"/>
    <w:rsid w:val="00ED0EC6"/>
    <w:rsid w:val="00ED15EE"/>
    <w:rsid w:val="00ED22B5"/>
    <w:rsid w:val="00ED31D5"/>
    <w:rsid w:val="00ED77CB"/>
    <w:rsid w:val="00EE0035"/>
    <w:rsid w:val="00EE2157"/>
    <w:rsid w:val="00EE29F3"/>
    <w:rsid w:val="00EE5D69"/>
    <w:rsid w:val="00EE6516"/>
    <w:rsid w:val="00EE6629"/>
    <w:rsid w:val="00EE6868"/>
    <w:rsid w:val="00EE6A0E"/>
    <w:rsid w:val="00EE761A"/>
    <w:rsid w:val="00EF07A8"/>
    <w:rsid w:val="00EF25BD"/>
    <w:rsid w:val="00EF3C55"/>
    <w:rsid w:val="00EF4D98"/>
    <w:rsid w:val="00EF5060"/>
    <w:rsid w:val="00EF6CE8"/>
    <w:rsid w:val="00EF744D"/>
    <w:rsid w:val="00EF7A5A"/>
    <w:rsid w:val="00F00E1A"/>
    <w:rsid w:val="00F02F0E"/>
    <w:rsid w:val="00F02FE4"/>
    <w:rsid w:val="00F036FB"/>
    <w:rsid w:val="00F03B61"/>
    <w:rsid w:val="00F03DAA"/>
    <w:rsid w:val="00F04791"/>
    <w:rsid w:val="00F04C68"/>
    <w:rsid w:val="00F0532E"/>
    <w:rsid w:val="00F05CA8"/>
    <w:rsid w:val="00F06515"/>
    <w:rsid w:val="00F07C88"/>
    <w:rsid w:val="00F11607"/>
    <w:rsid w:val="00F121C8"/>
    <w:rsid w:val="00F12C08"/>
    <w:rsid w:val="00F1373F"/>
    <w:rsid w:val="00F13CCE"/>
    <w:rsid w:val="00F14838"/>
    <w:rsid w:val="00F14A2F"/>
    <w:rsid w:val="00F151DD"/>
    <w:rsid w:val="00F15C6B"/>
    <w:rsid w:val="00F1710B"/>
    <w:rsid w:val="00F17206"/>
    <w:rsid w:val="00F21227"/>
    <w:rsid w:val="00F21B04"/>
    <w:rsid w:val="00F23295"/>
    <w:rsid w:val="00F27B8D"/>
    <w:rsid w:val="00F3045E"/>
    <w:rsid w:val="00F3321A"/>
    <w:rsid w:val="00F33E2F"/>
    <w:rsid w:val="00F3441D"/>
    <w:rsid w:val="00F35944"/>
    <w:rsid w:val="00F37D52"/>
    <w:rsid w:val="00F40C3C"/>
    <w:rsid w:val="00F416BC"/>
    <w:rsid w:val="00F42AB7"/>
    <w:rsid w:val="00F43016"/>
    <w:rsid w:val="00F439C3"/>
    <w:rsid w:val="00F43BB6"/>
    <w:rsid w:val="00F4433E"/>
    <w:rsid w:val="00F45687"/>
    <w:rsid w:val="00F4658B"/>
    <w:rsid w:val="00F46A4A"/>
    <w:rsid w:val="00F47260"/>
    <w:rsid w:val="00F511F5"/>
    <w:rsid w:val="00F53031"/>
    <w:rsid w:val="00F53FDA"/>
    <w:rsid w:val="00F540B5"/>
    <w:rsid w:val="00F546CF"/>
    <w:rsid w:val="00F644C1"/>
    <w:rsid w:val="00F65F49"/>
    <w:rsid w:val="00F65F7E"/>
    <w:rsid w:val="00F664EA"/>
    <w:rsid w:val="00F70279"/>
    <w:rsid w:val="00F70A42"/>
    <w:rsid w:val="00F749D9"/>
    <w:rsid w:val="00F74F52"/>
    <w:rsid w:val="00F751F6"/>
    <w:rsid w:val="00F752BF"/>
    <w:rsid w:val="00F752F7"/>
    <w:rsid w:val="00F76215"/>
    <w:rsid w:val="00F8019D"/>
    <w:rsid w:val="00F81364"/>
    <w:rsid w:val="00F81AED"/>
    <w:rsid w:val="00F82F85"/>
    <w:rsid w:val="00F8367C"/>
    <w:rsid w:val="00F90BAC"/>
    <w:rsid w:val="00F929F0"/>
    <w:rsid w:val="00F955C9"/>
    <w:rsid w:val="00F979A4"/>
    <w:rsid w:val="00F97B1D"/>
    <w:rsid w:val="00FA20DC"/>
    <w:rsid w:val="00FA2A94"/>
    <w:rsid w:val="00FA31E6"/>
    <w:rsid w:val="00FA3284"/>
    <w:rsid w:val="00FA51A4"/>
    <w:rsid w:val="00FA52E1"/>
    <w:rsid w:val="00FA5EC8"/>
    <w:rsid w:val="00FB2118"/>
    <w:rsid w:val="00FB2784"/>
    <w:rsid w:val="00FB48EB"/>
    <w:rsid w:val="00FB4952"/>
    <w:rsid w:val="00FB705C"/>
    <w:rsid w:val="00FC493D"/>
    <w:rsid w:val="00FC5ACD"/>
    <w:rsid w:val="00FC61B8"/>
    <w:rsid w:val="00FC67F6"/>
    <w:rsid w:val="00FC7A2F"/>
    <w:rsid w:val="00FC7D66"/>
    <w:rsid w:val="00FD0807"/>
    <w:rsid w:val="00FD140C"/>
    <w:rsid w:val="00FD2638"/>
    <w:rsid w:val="00FD4504"/>
    <w:rsid w:val="00FD4EE8"/>
    <w:rsid w:val="00FD71F5"/>
    <w:rsid w:val="00FE07CB"/>
    <w:rsid w:val="00FE109B"/>
    <w:rsid w:val="00FE2974"/>
    <w:rsid w:val="00FE3BBE"/>
    <w:rsid w:val="00FE4790"/>
    <w:rsid w:val="00FE53A5"/>
    <w:rsid w:val="00FE65EB"/>
    <w:rsid w:val="00FF0ADD"/>
    <w:rsid w:val="00FF0F6C"/>
    <w:rsid w:val="00FF1764"/>
    <w:rsid w:val="00FF1A5A"/>
    <w:rsid w:val="00FF2CAB"/>
    <w:rsid w:val="00FF47D2"/>
    <w:rsid w:val="00FF511A"/>
    <w:rsid w:val="00FF553C"/>
    <w:rsid w:val="00FF614F"/>
    <w:rsid w:val="00FF62BA"/>
    <w:rsid w:val="00FF67A4"/>
    <w:rsid w:val="00FF6D7A"/>
    <w:rsid w:val="00FF7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2E79A"/>
  <w15:docId w15:val="{1CFF9B7D-E185-44D5-B9F9-7EA35921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968"/>
    <w:rPr>
      <w:rFonts w:ascii="Arial" w:hAnsi="Arial" w:cs="Arial"/>
      <w:color w:val="000000"/>
      <w:sz w:val="22"/>
      <w:szCs w:val="22"/>
      <w:lang w:val="en-AU"/>
    </w:rPr>
  </w:style>
  <w:style w:type="paragraph" w:styleId="Heading1">
    <w:name w:val="heading 1"/>
    <w:basedOn w:val="PIHEADING1"/>
    <w:next w:val="Normal"/>
    <w:link w:val="Heading1Char"/>
    <w:qFormat/>
    <w:rsid w:val="00117D06"/>
    <w:pPr>
      <w:numPr>
        <w:numId w:val="18"/>
      </w:numPr>
      <w:spacing w:before="240"/>
      <w:ind w:left="357" w:hanging="357"/>
      <w:outlineLvl w:val="0"/>
    </w:pPr>
  </w:style>
  <w:style w:type="paragraph" w:styleId="Heading2">
    <w:name w:val="heading 2"/>
    <w:basedOn w:val="PIHEADING2"/>
    <w:next w:val="Normal"/>
    <w:link w:val="Heading2Char"/>
    <w:qFormat/>
    <w:rsid w:val="004D0BDD"/>
    <w:pPr>
      <w:numPr>
        <w:numId w:val="19"/>
      </w:numPr>
      <w:spacing w:after="120"/>
      <w:ind w:left="0" w:firstLine="0"/>
      <w:jc w:val="both"/>
      <w:outlineLvl w:val="1"/>
    </w:pPr>
    <w:rPr>
      <w:sz w:val="24"/>
      <w:szCs w:val="24"/>
    </w:rPr>
  </w:style>
  <w:style w:type="paragraph" w:styleId="Heading3">
    <w:name w:val="heading 3"/>
    <w:basedOn w:val="Heading2"/>
    <w:next w:val="Normal"/>
    <w:link w:val="Heading3Char"/>
    <w:qFormat/>
    <w:rsid w:val="00117D06"/>
    <w:pPr>
      <w:numPr>
        <w:numId w:val="0"/>
      </w:numPr>
      <w:outlineLvl w:val="2"/>
    </w:pPr>
    <w:rPr>
      <w:sz w:val="22"/>
      <w:szCs w:val="22"/>
    </w:rPr>
  </w:style>
  <w:style w:type="paragraph" w:styleId="Heading4">
    <w:name w:val="heading 4"/>
    <w:basedOn w:val="Normal"/>
    <w:next w:val="BodyText12"/>
    <w:qFormat/>
    <w:rsid w:val="00C54EFD"/>
    <w:pPr>
      <w:spacing w:before="120" w:after="120"/>
      <w:outlineLvl w:val="3"/>
    </w:pPr>
    <w:rPr>
      <w:b/>
      <w:i/>
      <w:color w:val="1F497D" w:themeColor="text2"/>
    </w:rPr>
  </w:style>
  <w:style w:type="paragraph" w:styleId="Heading5">
    <w:name w:val="heading 5"/>
    <w:next w:val="BodyText12"/>
    <w:qFormat/>
    <w:rsid w:val="00C42968"/>
    <w:pPr>
      <w:keepNext/>
      <w:keepLines/>
      <w:numPr>
        <w:ilvl w:val="4"/>
        <w:numId w:val="1"/>
      </w:numPr>
      <w:tabs>
        <w:tab w:val="left" w:pos="2246"/>
      </w:tabs>
      <w:spacing w:after="60"/>
      <w:ind w:left="2247" w:hanging="1397"/>
      <w:outlineLvl w:val="4"/>
    </w:pPr>
    <w:rPr>
      <w:rFonts w:ascii="Arial" w:hAnsi="Arial"/>
      <w:b/>
      <w:i/>
      <w:sz w:val="24"/>
    </w:rPr>
  </w:style>
  <w:style w:type="paragraph" w:styleId="Heading6">
    <w:name w:val="heading 6"/>
    <w:next w:val="BodyText12"/>
    <w:qFormat/>
    <w:rsid w:val="00C42968"/>
    <w:pPr>
      <w:keepNext/>
      <w:keepLines/>
      <w:numPr>
        <w:ilvl w:val="5"/>
        <w:numId w:val="1"/>
      </w:numPr>
      <w:tabs>
        <w:tab w:val="left" w:pos="2246"/>
      </w:tabs>
      <w:spacing w:after="60"/>
      <w:ind w:left="2247" w:hanging="1397"/>
      <w:outlineLvl w:val="5"/>
    </w:pPr>
    <w:rPr>
      <w:rFonts w:ascii="Arial" w:hAnsi="Arial"/>
      <w:b/>
      <w:sz w:val="24"/>
    </w:rPr>
  </w:style>
  <w:style w:type="paragraph" w:styleId="Heading7">
    <w:name w:val="heading 7"/>
    <w:next w:val="BodyText12"/>
    <w:qFormat/>
    <w:rsid w:val="00C42968"/>
    <w:pPr>
      <w:keepNext/>
      <w:keepLines/>
      <w:numPr>
        <w:ilvl w:val="6"/>
        <w:numId w:val="1"/>
      </w:numPr>
      <w:tabs>
        <w:tab w:val="left" w:pos="2246"/>
      </w:tabs>
      <w:spacing w:after="60"/>
      <w:ind w:left="2247" w:hanging="1397"/>
      <w:outlineLvl w:val="6"/>
    </w:pPr>
    <w:rPr>
      <w:rFonts w:ascii="Arial" w:hAnsi="Arial"/>
      <w:b/>
      <w:i/>
      <w:sz w:val="24"/>
    </w:rPr>
  </w:style>
  <w:style w:type="paragraph" w:styleId="Heading8">
    <w:name w:val="heading 8"/>
    <w:basedOn w:val="Normal"/>
    <w:next w:val="Normal"/>
    <w:qFormat/>
    <w:rsid w:val="00C42968"/>
    <w:pPr>
      <w:keepNext/>
      <w:keepLines/>
      <w:outlineLvl w:val="7"/>
    </w:pPr>
    <w:rPr>
      <w:b/>
      <w:sz w:val="21"/>
    </w:rPr>
  </w:style>
  <w:style w:type="paragraph" w:styleId="Heading9">
    <w:name w:val="heading 9"/>
    <w:basedOn w:val="Normal"/>
    <w:next w:val="Normal"/>
    <w:qFormat/>
    <w:rsid w:val="00C42968"/>
    <w:pPr>
      <w:keepNext/>
      <w:keepLines/>
      <w:jc w:val="center"/>
      <w:outlineLvl w:val="8"/>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2">
    <w:name w:val="BodyText12"/>
    <w:link w:val="BodyText12Char"/>
    <w:uiPriority w:val="99"/>
    <w:rsid w:val="00C42968"/>
    <w:pPr>
      <w:spacing w:after="200" w:line="300" w:lineRule="auto"/>
      <w:jc w:val="both"/>
    </w:pPr>
    <w:rPr>
      <w:sz w:val="24"/>
    </w:rPr>
  </w:style>
  <w:style w:type="paragraph" w:customStyle="1" w:styleId="PIHEADING1">
    <w:name w:val="PI HEADING1"/>
    <w:basedOn w:val="PIHEADTOP"/>
    <w:rsid w:val="00C42968"/>
    <w:pPr>
      <w:spacing w:before="360"/>
      <w:jc w:val="both"/>
    </w:pPr>
  </w:style>
  <w:style w:type="paragraph" w:customStyle="1" w:styleId="PIHEADTOP">
    <w:name w:val="PI HEADTOP"/>
    <w:basedOn w:val="Normal"/>
    <w:rsid w:val="00C42968"/>
    <w:pPr>
      <w:tabs>
        <w:tab w:val="left" w:pos="-720"/>
      </w:tabs>
      <w:suppressAutoHyphens/>
      <w:spacing w:after="120"/>
    </w:pPr>
    <w:rPr>
      <w:b/>
      <w:caps/>
      <w:spacing w:val="-2"/>
      <w:sz w:val="28"/>
    </w:rPr>
  </w:style>
  <w:style w:type="paragraph" w:customStyle="1" w:styleId="PIProductInfo">
    <w:name w:val="PI Product Info"/>
    <w:basedOn w:val="Normal"/>
    <w:rsid w:val="00C42968"/>
    <w:pPr>
      <w:widowControl w:val="0"/>
      <w:pBdr>
        <w:bottom w:val="single" w:sz="6" w:space="1" w:color="auto"/>
      </w:pBdr>
      <w:spacing w:before="60" w:after="240"/>
      <w:jc w:val="center"/>
    </w:pPr>
    <w:rPr>
      <w:b/>
      <w:sz w:val="36"/>
      <w:lang w:val="en-US"/>
    </w:rPr>
  </w:style>
  <w:style w:type="paragraph" w:customStyle="1" w:styleId="PIMAINHEADING">
    <w:name w:val="PI MAINHEADING"/>
    <w:basedOn w:val="Heading1"/>
    <w:rsid w:val="00C42968"/>
    <w:pPr>
      <w:widowControl w:val="0"/>
      <w:pBdr>
        <w:top w:val="single" w:sz="6" w:space="1" w:color="auto"/>
      </w:pBdr>
      <w:spacing w:before="0" w:after="0"/>
      <w:jc w:val="center"/>
      <w:outlineLvl w:val="9"/>
    </w:pPr>
    <w:rPr>
      <w:rFonts w:ascii="Arial Rounded MT Bold" w:hAnsi="Arial Rounded MT Bold"/>
      <w:sz w:val="56"/>
    </w:rPr>
  </w:style>
  <w:style w:type="paragraph" w:customStyle="1" w:styleId="PIEXPLAIN">
    <w:name w:val="PI EXPLAIN"/>
    <w:basedOn w:val="Normal"/>
    <w:rsid w:val="00C42968"/>
    <w:pPr>
      <w:tabs>
        <w:tab w:val="left" w:pos="-720"/>
      </w:tabs>
      <w:suppressAutoHyphens/>
      <w:spacing w:before="20" w:after="80"/>
    </w:pPr>
    <w:rPr>
      <w:spacing w:val="-2"/>
    </w:rPr>
  </w:style>
  <w:style w:type="paragraph" w:customStyle="1" w:styleId="PIHEADING2">
    <w:name w:val="PI HEADING2"/>
    <w:basedOn w:val="Normal"/>
    <w:rsid w:val="00C42968"/>
    <w:pPr>
      <w:tabs>
        <w:tab w:val="left" w:pos="-720"/>
      </w:tabs>
      <w:suppressAutoHyphens/>
      <w:spacing w:before="120" w:after="80"/>
    </w:pPr>
    <w:rPr>
      <w:b/>
      <w:spacing w:val="-2"/>
    </w:rPr>
  </w:style>
  <w:style w:type="paragraph" w:customStyle="1" w:styleId="PIDOTPOINT">
    <w:name w:val="PI DOTPOINT"/>
    <w:basedOn w:val="PIEXPLAIN"/>
    <w:rsid w:val="00C42968"/>
    <w:pPr>
      <w:spacing w:before="0" w:after="40"/>
      <w:ind w:left="568" w:hanging="284"/>
    </w:pPr>
  </w:style>
  <w:style w:type="paragraph" w:styleId="Header">
    <w:name w:val="header"/>
    <w:basedOn w:val="Normal"/>
    <w:link w:val="HeaderChar"/>
    <w:uiPriority w:val="99"/>
    <w:rsid w:val="00C42968"/>
    <w:pPr>
      <w:tabs>
        <w:tab w:val="center" w:pos="4153"/>
        <w:tab w:val="right" w:pos="8306"/>
      </w:tabs>
    </w:pPr>
  </w:style>
  <w:style w:type="paragraph" w:styleId="Footer">
    <w:name w:val="footer"/>
    <w:basedOn w:val="Normal"/>
    <w:link w:val="FooterChar"/>
    <w:rsid w:val="00C42968"/>
    <w:pPr>
      <w:tabs>
        <w:tab w:val="center" w:pos="4153"/>
        <w:tab w:val="right" w:pos="8306"/>
      </w:tabs>
    </w:pPr>
  </w:style>
  <w:style w:type="paragraph" w:styleId="FootnoteText">
    <w:name w:val="footnote text"/>
    <w:basedOn w:val="Normal"/>
    <w:semiHidden/>
    <w:rsid w:val="00C42968"/>
    <w:rPr>
      <w:sz w:val="20"/>
    </w:rPr>
  </w:style>
  <w:style w:type="character" w:styleId="FootnoteReference">
    <w:name w:val="footnote reference"/>
    <w:basedOn w:val="DefaultParagraphFont"/>
    <w:semiHidden/>
    <w:rsid w:val="00C42968"/>
    <w:rPr>
      <w:vertAlign w:val="superscript"/>
    </w:rPr>
  </w:style>
  <w:style w:type="paragraph" w:styleId="TOC1">
    <w:name w:val="toc 1"/>
    <w:basedOn w:val="Normal"/>
    <w:next w:val="Normal"/>
    <w:autoRedefine/>
    <w:semiHidden/>
    <w:rsid w:val="00C42968"/>
    <w:pPr>
      <w:tabs>
        <w:tab w:val="right" w:leader="dot" w:pos="9360"/>
      </w:tabs>
      <w:suppressAutoHyphens/>
      <w:spacing w:before="480"/>
      <w:ind w:left="720" w:right="720" w:hanging="720"/>
    </w:pPr>
    <w:rPr>
      <w:lang w:val="en-US"/>
    </w:rPr>
  </w:style>
  <w:style w:type="character" w:styleId="CommentReference">
    <w:name w:val="annotation reference"/>
    <w:basedOn w:val="DefaultParagraphFont"/>
    <w:rsid w:val="00C42968"/>
    <w:rPr>
      <w:sz w:val="16"/>
    </w:rPr>
  </w:style>
  <w:style w:type="paragraph" w:styleId="CommentText">
    <w:name w:val="annotation text"/>
    <w:aliases w:val=" Char Char, Char,Char Char,Comment Text Char Char,Comment Text Char1 Char Char,Comment Text Char Char Char Char,Comment Text Char Char1,Testo commento,Char"/>
    <w:basedOn w:val="Normal"/>
    <w:qFormat/>
    <w:rsid w:val="00C42968"/>
    <w:rPr>
      <w:sz w:val="20"/>
    </w:rPr>
  </w:style>
  <w:style w:type="paragraph" w:styleId="BodyText">
    <w:name w:val="Body Text"/>
    <w:basedOn w:val="Normal"/>
    <w:semiHidden/>
    <w:rsid w:val="00C42968"/>
    <w:pPr>
      <w:jc w:val="both"/>
    </w:pPr>
  </w:style>
  <w:style w:type="paragraph" w:customStyle="1" w:styleId="BodyText10">
    <w:name w:val="BodyText10"/>
    <w:rsid w:val="00C42968"/>
    <w:pPr>
      <w:suppressAutoHyphens/>
      <w:jc w:val="both"/>
    </w:pPr>
  </w:style>
  <w:style w:type="paragraph" w:customStyle="1" w:styleId="Table">
    <w:name w:val="Table"/>
    <w:next w:val="Normal"/>
    <w:rsid w:val="00C42968"/>
    <w:pPr>
      <w:keepNext/>
      <w:ind w:left="1814" w:hanging="1800"/>
    </w:pPr>
  </w:style>
  <w:style w:type="paragraph" w:customStyle="1" w:styleId="TableNote">
    <w:name w:val="TableNote"/>
    <w:rsid w:val="00C42968"/>
    <w:pPr>
      <w:keepNext/>
      <w:keepLines/>
      <w:tabs>
        <w:tab w:val="left" w:pos="187"/>
        <w:tab w:val="left" w:pos="1440"/>
      </w:tabs>
      <w:ind w:left="187" w:hanging="187"/>
    </w:pPr>
  </w:style>
  <w:style w:type="paragraph" w:customStyle="1" w:styleId="TableText">
    <w:name w:val="TableText"/>
    <w:rsid w:val="00C42968"/>
    <w:pPr>
      <w:keepNext/>
    </w:pPr>
  </w:style>
  <w:style w:type="paragraph" w:customStyle="1" w:styleId="LastPageStyle">
    <w:name w:val="LastPageStyle"/>
    <w:next w:val="BodyText10"/>
    <w:rsid w:val="00C42968"/>
    <w:pPr>
      <w:tabs>
        <w:tab w:val="right" w:leader="dot" w:pos="8280"/>
      </w:tabs>
      <w:spacing w:before="200" w:after="200"/>
    </w:pPr>
    <w:rPr>
      <w:rFonts w:ascii="Arial" w:hAnsi="Arial"/>
      <w:b/>
      <w:caps/>
    </w:rPr>
  </w:style>
  <w:style w:type="paragraph" w:customStyle="1" w:styleId="Narrative1">
    <w:name w:val="Narrative 1"/>
    <w:rsid w:val="00C42968"/>
    <w:pPr>
      <w:numPr>
        <w:numId w:val="8"/>
      </w:numPr>
      <w:spacing w:after="200" w:line="300" w:lineRule="auto"/>
      <w:jc w:val="both"/>
    </w:pPr>
    <w:rPr>
      <w:sz w:val="24"/>
    </w:rPr>
  </w:style>
  <w:style w:type="paragraph" w:customStyle="1" w:styleId="Narrative2">
    <w:name w:val="Narrative 2"/>
    <w:rsid w:val="00C42968"/>
    <w:pPr>
      <w:numPr>
        <w:ilvl w:val="1"/>
        <w:numId w:val="9"/>
      </w:numPr>
      <w:spacing w:after="200" w:line="300" w:lineRule="auto"/>
      <w:jc w:val="both"/>
    </w:pPr>
    <w:rPr>
      <w:sz w:val="24"/>
    </w:rPr>
  </w:style>
  <w:style w:type="paragraph" w:customStyle="1" w:styleId="Narrative3">
    <w:name w:val="Narrative 3"/>
    <w:rsid w:val="00C42968"/>
    <w:pPr>
      <w:numPr>
        <w:ilvl w:val="2"/>
        <w:numId w:val="10"/>
      </w:numPr>
      <w:spacing w:after="200" w:line="300" w:lineRule="auto"/>
      <w:jc w:val="both"/>
    </w:pPr>
    <w:rPr>
      <w:sz w:val="24"/>
    </w:rPr>
  </w:style>
  <w:style w:type="character" w:styleId="Hyperlink">
    <w:name w:val="Hyperlink"/>
    <w:basedOn w:val="DefaultParagraphFont"/>
    <w:uiPriority w:val="99"/>
    <w:rsid w:val="00C42968"/>
    <w:rPr>
      <w:color w:val="0000FF"/>
      <w:u w:val="single"/>
    </w:rPr>
  </w:style>
  <w:style w:type="character" w:styleId="FollowedHyperlink">
    <w:name w:val="FollowedHyperlink"/>
    <w:basedOn w:val="DefaultParagraphFont"/>
    <w:semiHidden/>
    <w:rsid w:val="00C42968"/>
    <w:rPr>
      <w:color w:val="800080"/>
      <w:u w:val="single"/>
    </w:rPr>
  </w:style>
  <w:style w:type="paragraph" w:styleId="BodyText2">
    <w:name w:val="Body Text 2"/>
    <w:basedOn w:val="Normal"/>
    <w:semiHidden/>
    <w:rsid w:val="00C42968"/>
    <w:pPr>
      <w:autoSpaceDE w:val="0"/>
      <w:autoSpaceDN w:val="0"/>
      <w:adjustRightInd w:val="0"/>
    </w:pPr>
    <w:rPr>
      <w:rFonts w:ascii="TimesNewRomanPSMT" w:hAnsi="TimesNewRomanPSMT"/>
      <w:lang w:val="en-US" w:eastAsia="sv-SE"/>
    </w:rPr>
  </w:style>
  <w:style w:type="paragraph" w:customStyle="1" w:styleId="Default">
    <w:name w:val="Default"/>
    <w:rsid w:val="00C42968"/>
    <w:pPr>
      <w:widowControl w:val="0"/>
      <w:autoSpaceDE w:val="0"/>
      <w:autoSpaceDN w:val="0"/>
      <w:adjustRightInd w:val="0"/>
    </w:pPr>
    <w:rPr>
      <w:color w:val="000000"/>
      <w:sz w:val="24"/>
      <w:szCs w:val="24"/>
    </w:rPr>
  </w:style>
  <w:style w:type="paragraph" w:customStyle="1" w:styleId="CM31">
    <w:name w:val="CM31"/>
    <w:basedOn w:val="Default"/>
    <w:next w:val="Default"/>
    <w:rsid w:val="00C42968"/>
    <w:pPr>
      <w:spacing w:after="148"/>
    </w:pPr>
    <w:rPr>
      <w:color w:val="auto"/>
    </w:rPr>
  </w:style>
  <w:style w:type="paragraph" w:customStyle="1" w:styleId="CM32">
    <w:name w:val="CM32"/>
    <w:basedOn w:val="Default"/>
    <w:next w:val="Default"/>
    <w:rsid w:val="00C42968"/>
    <w:pPr>
      <w:spacing w:after="360"/>
    </w:pPr>
    <w:rPr>
      <w:color w:val="auto"/>
    </w:rPr>
  </w:style>
  <w:style w:type="paragraph" w:customStyle="1" w:styleId="CM22">
    <w:name w:val="CM22"/>
    <w:basedOn w:val="Default"/>
    <w:next w:val="Default"/>
    <w:rsid w:val="00C42968"/>
    <w:pPr>
      <w:spacing w:line="220" w:lineRule="atLeast"/>
    </w:pPr>
    <w:rPr>
      <w:color w:val="auto"/>
    </w:rPr>
  </w:style>
  <w:style w:type="character" w:styleId="LineNumber">
    <w:name w:val="line number"/>
    <w:basedOn w:val="DefaultParagraphFont"/>
    <w:semiHidden/>
    <w:rsid w:val="00C42968"/>
  </w:style>
  <w:style w:type="paragraph" w:customStyle="1" w:styleId="ReferenceHeading2">
    <w:name w:val="Reference Heading 2"/>
    <w:basedOn w:val="Reference"/>
    <w:next w:val="ReferenceText"/>
    <w:rsid w:val="00C42968"/>
    <w:pPr>
      <w:numPr>
        <w:numId w:val="11"/>
      </w:numPr>
      <w:outlineLvl w:val="0"/>
    </w:pPr>
    <w:rPr>
      <w:rFonts w:ascii="Arial" w:hAnsi="Arial"/>
      <w:b/>
      <w:caps/>
    </w:rPr>
  </w:style>
  <w:style w:type="paragraph" w:customStyle="1" w:styleId="Reference">
    <w:name w:val="Reference"/>
    <w:qFormat/>
    <w:rsid w:val="00C42968"/>
    <w:pPr>
      <w:keepLines/>
      <w:spacing w:after="200"/>
      <w:ind w:left="1210" w:hanging="360"/>
      <w:jc w:val="both"/>
    </w:pPr>
    <w:rPr>
      <w:sz w:val="24"/>
    </w:rPr>
  </w:style>
  <w:style w:type="paragraph" w:customStyle="1" w:styleId="ReferenceText">
    <w:name w:val="Reference Text"/>
    <w:rsid w:val="00C42968"/>
    <w:pPr>
      <w:spacing w:after="200"/>
      <w:ind w:left="1656"/>
    </w:pPr>
    <w:rPr>
      <w:rFonts w:ascii="Times New Roman Bold" w:hAnsi="Times New Roman Bold"/>
      <w:b/>
      <w:sz w:val="24"/>
    </w:rPr>
  </w:style>
  <w:style w:type="paragraph" w:customStyle="1" w:styleId="ReferenceHeading3">
    <w:name w:val="Reference Heading 3"/>
    <w:basedOn w:val="ReferenceHeading2"/>
    <w:next w:val="ReferenceText"/>
    <w:rsid w:val="00C42968"/>
    <w:pPr>
      <w:numPr>
        <w:ilvl w:val="1"/>
      </w:numPr>
      <w:tabs>
        <w:tab w:val="clear" w:pos="1397"/>
        <w:tab w:val="num" w:pos="360"/>
      </w:tabs>
      <w:ind w:left="360" w:hanging="360"/>
      <w:outlineLvl w:val="1"/>
    </w:pPr>
    <w:rPr>
      <w:caps w:val="0"/>
    </w:rPr>
  </w:style>
  <w:style w:type="paragraph" w:customStyle="1" w:styleId="ReferenceBullet">
    <w:name w:val="Reference Bullet"/>
    <w:basedOn w:val="Bullet"/>
    <w:rsid w:val="00C42968"/>
    <w:pPr>
      <w:numPr>
        <w:numId w:val="12"/>
      </w:numPr>
    </w:pPr>
    <w:rPr>
      <w:i/>
      <w:iCs/>
      <w:color w:val="FF00FF"/>
    </w:rPr>
  </w:style>
  <w:style w:type="paragraph" w:customStyle="1" w:styleId="Bullet">
    <w:name w:val="Bullet"/>
    <w:rsid w:val="00C42968"/>
    <w:pPr>
      <w:suppressAutoHyphens/>
      <w:spacing w:after="200"/>
      <w:ind w:left="360" w:hanging="360"/>
      <w:jc w:val="both"/>
    </w:pPr>
  </w:style>
  <w:style w:type="paragraph" w:customStyle="1" w:styleId="BulletIndent1">
    <w:name w:val="Bullet Indent 1 (•)"/>
    <w:rsid w:val="00C42968"/>
    <w:pPr>
      <w:numPr>
        <w:numId w:val="2"/>
      </w:numPr>
      <w:tabs>
        <w:tab w:val="clear" w:pos="360"/>
        <w:tab w:val="left" w:pos="288"/>
      </w:tabs>
      <w:spacing w:after="120"/>
      <w:jc w:val="both"/>
    </w:pPr>
    <w:rPr>
      <w:sz w:val="24"/>
    </w:rPr>
  </w:style>
  <w:style w:type="paragraph" w:customStyle="1" w:styleId="BulletIndent2-">
    <w:name w:val="Bullet Indent 2 (-)"/>
    <w:rsid w:val="00C42968"/>
    <w:pPr>
      <w:numPr>
        <w:numId w:val="5"/>
      </w:numPr>
      <w:tabs>
        <w:tab w:val="clear" w:pos="648"/>
        <w:tab w:val="left" w:pos="576"/>
      </w:tabs>
      <w:spacing w:after="120"/>
      <w:ind w:left="576" w:hanging="288"/>
      <w:jc w:val="both"/>
    </w:pPr>
    <w:rPr>
      <w:sz w:val="24"/>
    </w:rPr>
  </w:style>
  <w:style w:type="paragraph" w:customStyle="1" w:styleId="BulletIndent3">
    <w:name w:val="Bullet Indent 3 (.)"/>
    <w:rsid w:val="00C42968"/>
    <w:pPr>
      <w:numPr>
        <w:numId w:val="6"/>
      </w:numPr>
      <w:tabs>
        <w:tab w:val="clear" w:pos="936"/>
        <w:tab w:val="left" w:pos="864"/>
      </w:tabs>
      <w:spacing w:after="120"/>
      <w:ind w:left="864" w:hanging="288"/>
      <w:jc w:val="both"/>
    </w:pPr>
    <w:rPr>
      <w:sz w:val="24"/>
    </w:rPr>
  </w:style>
  <w:style w:type="paragraph" w:customStyle="1" w:styleId="BulletIndent4">
    <w:name w:val="Bullet Indent 4 (•)"/>
    <w:rsid w:val="00C42968"/>
    <w:pPr>
      <w:numPr>
        <w:numId w:val="4"/>
      </w:numPr>
      <w:tabs>
        <w:tab w:val="clear" w:pos="360"/>
        <w:tab w:val="left" w:pos="1138"/>
      </w:tabs>
      <w:spacing w:after="120"/>
      <w:ind w:left="1138" w:hanging="288"/>
      <w:jc w:val="both"/>
    </w:pPr>
    <w:rPr>
      <w:sz w:val="24"/>
    </w:rPr>
  </w:style>
  <w:style w:type="paragraph" w:customStyle="1" w:styleId="BulletIndent5-">
    <w:name w:val="Bullet Indent 5 (-)"/>
    <w:rsid w:val="00C42968"/>
    <w:pPr>
      <w:numPr>
        <w:numId w:val="7"/>
      </w:numPr>
      <w:tabs>
        <w:tab w:val="clear" w:pos="1570"/>
        <w:tab w:val="left" w:pos="1426"/>
      </w:tabs>
      <w:spacing w:after="120"/>
      <w:ind w:left="1426" w:hanging="288"/>
      <w:jc w:val="both"/>
    </w:pPr>
    <w:rPr>
      <w:sz w:val="24"/>
    </w:rPr>
  </w:style>
  <w:style w:type="paragraph" w:customStyle="1" w:styleId="BulletIndent6">
    <w:name w:val="Bullet Indent 6 (.)"/>
    <w:rsid w:val="00C42968"/>
    <w:pPr>
      <w:numPr>
        <w:numId w:val="3"/>
      </w:numPr>
      <w:tabs>
        <w:tab w:val="clear" w:pos="922"/>
        <w:tab w:val="left" w:pos="1714"/>
      </w:tabs>
      <w:spacing w:after="120"/>
      <w:ind w:left="1714" w:hanging="288"/>
      <w:jc w:val="both"/>
    </w:pPr>
    <w:rPr>
      <w:sz w:val="24"/>
    </w:rPr>
  </w:style>
  <w:style w:type="paragraph" w:customStyle="1" w:styleId="MarkTable">
    <w:name w:val="Mark Table"/>
    <w:next w:val="TableText"/>
    <w:rsid w:val="00C42968"/>
    <w:pPr>
      <w:keepNext/>
      <w:ind w:left="1080" w:hanging="1066"/>
    </w:pPr>
  </w:style>
  <w:style w:type="paragraph" w:styleId="BalloonText">
    <w:name w:val="Balloon Text"/>
    <w:basedOn w:val="Normal"/>
    <w:semiHidden/>
    <w:unhideWhenUsed/>
    <w:rsid w:val="00C42968"/>
    <w:rPr>
      <w:rFonts w:ascii="Tahoma" w:hAnsi="Tahoma" w:cs="Tahoma"/>
      <w:sz w:val="16"/>
      <w:szCs w:val="16"/>
    </w:rPr>
  </w:style>
  <w:style w:type="character" w:customStyle="1" w:styleId="BalloonTextChar">
    <w:name w:val="Balloon Text Char"/>
    <w:basedOn w:val="DefaultParagraphFont"/>
    <w:semiHidden/>
    <w:rsid w:val="00C42968"/>
    <w:rPr>
      <w:rFonts w:ascii="Tahoma" w:hAnsi="Tahoma" w:cs="Tahoma"/>
      <w:sz w:val="16"/>
      <w:szCs w:val="16"/>
      <w:lang w:val="en-AU"/>
    </w:rPr>
  </w:style>
  <w:style w:type="paragraph" w:customStyle="1" w:styleId="MarkFigure">
    <w:name w:val="Mark Figure"/>
    <w:next w:val="BodyText12"/>
    <w:rsid w:val="00C42968"/>
    <w:pPr>
      <w:keepNext/>
      <w:ind w:left="1916" w:hanging="1066"/>
    </w:pPr>
  </w:style>
  <w:style w:type="table" w:styleId="TableGrid">
    <w:name w:val="Table Grid"/>
    <w:basedOn w:val="TableNormal"/>
    <w:uiPriority w:val="59"/>
    <w:rsid w:val="00EE00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semiHidden/>
    <w:unhideWhenUsed/>
    <w:rsid w:val="00C42968"/>
    <w:rPr>
      <w:b/>
      <w:bCs/>
      <w:szCs w:val="20"/>
    </w:rPr>
  </w:style>
  <w:style w:type="character" w:customStyle="1" w:styleId="CommentTextChar">
    <w:name w:val="Comment Text Char"/>
    <w:basedOn w:val="DefaultParagraphFont"/>
    <w:semiHidden/>
    <w:rsid w:val="00C42968"/>
    <w:rPr>
      <w:rFonts w:ascii="Arial" w:hAnsi="Arial" w:cs="Arial"/>
      <w:color w:val="000000"/>
      <w:szCs w:val="22"/>
    </w:rPr>
  </w:style>
  <w:style w:type="character" w:customStyle="1" w:styleId="CommentSubjectChar">
    <w:name w:val="Comment Subject Char"/>
    <w:basedOn w:val="CommentTextChar"/>
    <w:rsid w:val="00C42968"/>
    <w:rPr>
      <w:rFonts w:ascii="Arial" w:hAnsi="Arial" w:cs="Arial"/>
      <w:color w:val="000000"/>
      <w:szCs w:val="22"/>
    </w:rPr>
  </w:style>
  <w:style w:type="paragraph" w:styleId="Revision">
    <w:name w:val="Revision"/>
    <w:hidden/>
    <w:semiHidden/>
    <w:rsid w:val="00C42968"/>
    <w:rPr>
      <w:rFonts w:ascii="Arial" w:hAnsi="Arial" w:cs="Arial"/>
      <w:color w:val="000000"/>
      <w:sz w:val="22"/>
      <w:szCs w:val="22"/>
    </w:rPr>
  </w:style>
  <w:style w:type="paragraph" w:styleId="ListParagraph">
    <w:name w:val="List Paragraph"/>
    <w:basedOn w:val="Normal"/>
    <w:uiPriority w:val="34"/>
    <w:qFormat/>
    <w:rsid w:val="006D32D3"/>
    <w:pPr>
      <w:ind w:left="720"/>
    </w:pPr>
    <w:rPr>
      <w:rFonts w:ascii="Calibri" w:eastAsia="Calibri" w:hAnsi="Calibri" w:cs="Times New Roman"/>
      <w:color w:val="auto"/>
      <w:lang w:val="en-US"/>
    </w:rPr>
  </w:style>
  <w:style w:type="character" w:customStyle="1" w:styleId="HeaderChar">
    <w:name w:val="Header Char"/>
    <w:basedOn w:val="DefaultParagraphFont"/>
    <w:link w:val="Header"/>
    <w:uiPriority w:val="99"/>
    <w:rsid w:val="00A67A1D"/>
    <w:rPr>
      <w:rFonts w:ascii="Arial" w:hAnsi="Arial" w:cs="Arial"/>
      <w:color w:val="000000"/>
      <w:sz w:val="22"/>
      <w:szCs w:val="22"/>
      <w:lang w:val="en-AU"/>
    </w:rPr>
  </w:style>
  <w:style w:type="paragraph" w:customStyle="1" w:styleId="SummaryResponse">
    <w:name w:val="Summary Response"/>
    <w:basedOn w:val="Normal"/>
    <w:rsid w:val="00013880"/>
    <w:pPr>
      <w:spacing w:after="200"/>
      <w:ind w:left="720"/>
      <w:jc w:val="both"/>
    </w:pPr>
    <w:rPr>
      <w:rFonts w:ascii="Times New Roman" w:hAnsi="Times New Roman" w:cs="Times New Roman"/>
      <w:color w:val="auto"/>
      <w:sz w:val="24"/>
      <w:szCs w:val="20"/>
      <w:lang w:val="en-US"/>
    </w:rPr>
  </w:style>
  <w:style w:type="paragraph" w:customStyle="1" w:styleId="BodyText120">
    <w:name w:val="Body Text 12"/>
    <w:link w:val="BodyText12Char0"/>
    <w:qFormat/>
    <w:rsid w:val="00F17206"/>
    <w:pPr>
      <w:spacing w:after="240" w:line="264" w:lineRule="auto"/>
      <w:jc w:val="both"/>
    </w:pPr>
    <w:rPr>
      <w:sz w:val="24"/>
    </w:rPr>
  </w:style>
  <w:style w:type="character" w:customStyle="1" w:styleId="sub">
    <w:name w:val="sub"/>
    <w:basedOn w:val="DefaultParagraphFont"/>
    <w:rsid w:val="002E3C8F"/>
  </w:style>
  <w:style w:type="paragraph" w:styleId="EndnoteText">
    <w:name w:val="endnote text"/>
    <w:basedOn w:val="Normal"/>
    <w:link w:val="EndnoteTextChar"/>
    <w:uiPriority w:val="99"/>
    <w:unhideWhenUsed/>
    <w:rsid w:val="00865C69"/>
    <w:pPr>
      <w:tabs>
        <w:tab w:val="left" w:pos="360"/>
      </w:tabs>
      <w:ind w:left="360" w:hanging="360"/>
      <w:jc w:val="both"/>
    </w:pPr>
    <w:rPr>
      <w:rFonts w:ascii="Times New Roman" w:hAnsi="Times New Roman" w:cs="Times New Roman"/>
      <w:color w:val="auto"/>
      <w:sz w:val="16"/>
      <w:szCs w:val="20"/>
      <w:lang w:val="en-US"/>
    </w:rPr>
  </w:style>
  <w:style w:type="character" w:customStyle="1" w:styleId="EndnoteTextChar">
    <w:name w:val="Endnote Text Char"/>
    <w:basedOn w:val="DefaultParagraphFont"/>
    <w:link w:val="EndnoteText"/>
    <w:uiPriority w:val="99"/>
    <w:rsid w:val="00865C69"/>
    <w:rPr>
      <w:sz w:val="16"/>
    </w:rPr>
  </w:style>
  <w:style w:type="character" w:styleId="EndnoteReference">
    <w:name w:val="endnote reference"/>
    <w:uiPriority w:val="99"/>
    <w:semiHidden/>
    <w:unhideWhenUsed/>
    <w:rsid w:val="00865C69"/>
    <w:rPr>
      <w:vertAlign w:val="superscript"/>
    </w:rPr>
  </w:style>
  <w:style w:type="paragraph" w:customStyle="1" w:styleId="TableFootnote">
    <w:name w:val="Table Footnote"/>
    <w:qFormat/>
    <w:rsid w:val="00E314E4"/>
    <w:pPr>
      <w:tabs>
        <w:tab w:val="left" w:pos="360"/>
      </w:tabs>
      <w:ind w:left="360" w:hanging="360"/>
    </w:pPr>
    <w:rPr>
      <w:sz w:val="16"/>
    </w:rPr>
  </w:style>
  <w:style w:type="character" w:customStyle="1" w:styleId="Bold">
    <w:name w:val="Bold"/>
    <w:uiPriority w:val="99"/>
    <w:rsid w:val="0091469D"/>
    <w:rPr>
      <w:b/>
      <w:bCs/>
    </w:rPr>
  </w:style>
  <w:style w:type="character" w:customStyle="1" w:styleId="DoNots">
    <w:name w:val="Do Nots"/>
    <w:uiPriority w:val="99"/>
    <w:rsid w:val="0091469D"/>
    <w:rPr>
      <w:rFonts w:ascii="BentonSans-Black" w:hAnsi="BentonSans-Black" w:cs="BentonSans-Black"/>
      <w:b w:val="0"/>
      <w:bCs w:val="0"/>
      <w:caps/>
      <w:spacing w:val="5"/>
      <w:sz w:val="16"/>
      <w:szCs w:val="16"/>
    </w:rPr>
  </w:style>
  <w:style w:type="character" w:customStyle="1" w:styleId="FooterChar">
    <w:name w:val="Footer Char"/>
    <w:link w:val="Footer"/>
    <w:rsid w:val="00DB3D22"/>
    <w:rPr>
      <w:rFonts w:ascii="Arial" w:hAnsi="Arial" w:cs="Arial"/>
      <w:color w:val="000000"/>
      <w:sz w:val="22"/>
      <w:szCs w:val="22"/>
      <w:lang w:val="en-AU"/>
    </w:rPr>
  </w:style>
  <w:style w:type="paragraph" w:customStyle="1" w:styleId="Numbered12-1">
    <w:name w:val="Numbered 12-1"/>
    <w:qFormat/>
    <w:rsid w:val="00044979"/>
    <w:pPr>
      <w:numPr>
        <w:numId w:val="13"/>
      </w:numPr>
      <w:spacing w:after="120"/>
      <w:jc w:val="both"/>
    </w:pPr>
    <w:rPr>
      <w:sz w:val="24"/>
    </w:rPr>
  </w:style>
  <w:style w:type="character" w:styleId="PlaceholderText">
    <w:name w:val="Placeholder Text"/>
    <w:basedOn w:val="DefaultParagraphFont"/>
    <w:uiPriority w:val="99"/>
    <w:semiHidden/>
    <w:rsid w:val="007941F2"/>
    <w:rPr>
      <w:color w:val="808080"/>
    </w:rPr>
  </w:style>
  <w:style w:type="character" w:customStyle="1" w:styleId="BodyText12Char0">
    <w:name w:val="Body Text 12 Char"/>
    <w:basedOn w:val="DefaultParagraphFont"/>
    <w:link w:val="BodyText120"/>
    <w:qFormat/>
    <w:rsid w:val="00B704BF"/>
    <w:rPr>
      <w:sz w:val="24"/>
    </w:rPr>
  </w:style>
  <w:style w:type="paragraph" w:customStyle="1" w:styleId="Basic11">
    <w:name w:val="Basic 11"/>
    <w:qFormat/>
    <w:rsid w:val="00AC7345"/>
    <w:rPr>
      <w:sz w:val="22"/>
    </w:rPr>
  </w:style>
  <w:style w:type="paragraph" w:customStyle="1" w:styleId="MarkforTOC">
    <w:name w:val="Mark for TOC"/>
    <w:next w:val="Basic11"/>
    <w:uiPriority w:val="99"/>
    <w:rsid w:val="00AC7345"/>
    <w:pPr>
      <w:keepNext/>
      <w:spacing w:before="60" w:after="60"/>
      <w:ind w:left="1440" w:hanging="1440"/>
    </w:pPr>
    <w:rPr>
      <w:rFonts w:ascii="Arial" w:hAnsi="Arial"/>
      <w:b/>
    </w:rPr>
  </w:style>
  <w:style w:type="paragraph" w:customStyle="1" w:styleId="Bullet12-4">
    <w:name w:val="Bullet 12-4"/>
    <w:uiPriority w:val="2"/>
    <w:qFormat/>
    <w:rsid w:val="00AC7345"/>
    <w:pPr>
      <w:numPr>
        <w:numId w:val="14"/>
      </w:numPr>
      <w:spacing w:after="120"/>
      <w:jc w:val="both"/>
    </w:pPr>
    <w:rPr>
      <w:sz w:val="24"/>
    </w:rPr>
  </w:style>
  <w:style w:type="paragraph" w:customStyle="1" w:styleId="TableText0">
    <w:name w:val="Table Text"/>
    <w:link w:val="TableTextChar"/>
    <w:uiPriority w:val="99"/>
    <w:qFormat/>
    <w:rsid w:val="007B2926"/>
    <w:pPr>
      <w:tabs>
        <w:tab w:val="left" w:pos="288"/>
        <w:tab w:val="left" w:pos="576"/>
        <w:tab w:val="left" w:pos="864"/>
      </w:tabs>
    </w:pPr>
  </w:style>
  <w:style w:type="paragraph" w:customStyle="1" w:styleId="Bullet11-3">
    <w:name w:val="Bullet 11-3"/>
    <w:rsid w:val="00A62439"/>
    <w:pPr>
      <w:numPr>
        <w:numId w:val="15"/>
      </w:numPr>
      <w:spacing w:after="120"/>
      <w:jc w:val="both"/>
    </w:pPr>
    <w:rPr>
      <w:sz w:val="22"/>
    </w:rPr>
  </w:style>
  <w:style w:type="paragraph" w:customStyle="1" w:styleId="BodyText1">
    <w:name w:val="Body Text1"/>
    <w:basedOn w:val="Normal"/>
    <w:qFormat/>
    <w:rsid w:val="00450CB0"/>
    <w:pPr>
      <w:spacing w:after="120"/>
      <w:jc w:val="both"/>
    </w:pPr>
    <w:rPr>
      <w:rFonts w:eastAsiaTheme="minorHAnsi" w:cs="Times New Roman"/>
      <w:color w:val="auto"/>
      <w:szCs w:val="20"/>
    </w:rPr>
  </w:style>
  <w:style w:type="character" w:customStyle="1" w:styleId="BodyText12Char">
    <w:name w:val="BodyText12 Char"/>
    <w:basedOn w:val="DefaultParagraphFont"/>
    <w:link w:val="BodyText12"/>
    <w:uiPriority w:val="99"/>
    <w:locked/>
    <w:rsid w:val="00B5725C"/>
    <w:rPr>
      <w:sz w:val="24"/>
    </w:rPr>
  </w:style>
  <w:style w:type="paragraph" w:customStyle="1" w:styleId="Table-Heading1">
    <w:name w:val="Table - Heading 1"/>
    <w:basedOn w:val="Normal"/>
    <w:qFormat/>
    <w:rsid w:val="00CF05A9"/>
    <w:pPr>
      <w:spacing w:before="60"/>
    </w:pPr>
    <w:rPr>
      <w:rFonts w:eastAsiaTheme="minorHAnsi"/>
      <w:b/>
      <w:color w:val="auto"/>
      <w:sz w:val="20"/>
    </w:rPr>
  </w:style>
  <w:style w:type="paragraph" w:customStyle="1" w:styleId="Table-text">
    <w:name w:val="Table - text"/>
    <w:basedOn w:val="Normal"/>
    <w:qFormat/>
    <w:rsid w:val="00CF05A9"/>
    <w:pPr>
      <w:spacing w:before="20" w:after="20"/>
      <w:ind w:left="181"/>
      <w:jc w:val="both"/>
    </w:pPr>
    <w:rPr>
      <w:rFonts w:eastAsiaTheme="minorHAnsi"/>
      <w:color w:val="auto"/>
      <w:sz w:val="20"/>
    </w:rPr>
  </w:style>
  <w:style w:type="character" w:customStyle="1" w:styleId="Heading1Char">
    <w:name w:val="Heading 1 Char"/>
    <w:basedOn w:val="DefaultParagraphFont"/>
    <w:link w:val="Heading1"/>
    <w:rsid w:val="00117D06"/>
    <w:rPr>
      <w:rFonts w:ascii="Arial" w:hAnsi="Arial" w:cs="Arial"/>
      <w:b/>
      <w:caps/>
      <w:color w:val="000000"/>
      <w:spacing w:val="-2"/>
      <w:sz w:val="28"/>
      <w:szCs w:val="22"/>
      <w:lang w:val="en-AU"/>
    </w:rPr>
  </w:style>
  <w:style w:type="character" w:customStyle="1" w:styleId="Heading2Char">
    <w:name w:val="Heading 2 Char"/>
    <w:basedOn w:val="DefaultParagraphFont"/>
    <w:link w:val="Heading2"/>
    <w:rsid w:val="004D0BDD"/>
    <w:rPr>
      <w:rFonts w:ascii="Arial" w:hAnsi="Arial" w:cs="Arial"/>
      <w:b/>
      <w:color w:val="000000"/>
      <w:spacing w:val="-2"/>
      <w:sz w:val="24"/>
      <w:szCs w:val="24"/>
      <w:lang w:val="en-AU"/>
    </w:rPr>
  </w:style>
  <w:style w:type="paragraph" w:customStyle="1" w:styleId="PIAddlBulletFirstIndent">
    <w:name w:val="PI Addl Bullet First Indent"/>
    <w:qFormat/>
    <w:rsid w:val="00374A15"/>
    <w:pPr>
      <w:numPr>
        <w:numId w:val="16"/>
      </w:numPr>
      <w:tabs>
        <w:tab w:val="left" w:pos="720"/>
      </w:tabs>
      <w:spacing w:after="200" w:line="300" w:lineRule="auto"/>
    </w:pPr>
    <w:rPr>
      <w:rFonts w:ascii="Verdana" w:hAnsi="Verdana"/>
      <w:sz w:val="24"/>
      <w:szCs w:val="24"/>
    </w:rPr>
  </w:style>
  <w:style w:type="paragraph" w:customStyle="1" w:styleId="PIAddlBulletSecondIndent">
    <w:name w:val="PI Addl Bullet Second Indent"/>
    <w:qFormat/>
    <w:rsid w:val="00374A15"/>
    <w:pPr>
      <w:numPr>
        <w:ilvl w:val="1"/>
        <w:numId w:val="16"/>
      </w:numPr>
      <w:tabs>
        <w:tab w:val="left" w:pos="1440"/>
      </w:tabs>
      <w:spacing w:after="200" w:line="300" w:lineRule="auto"/>
    </w:pPr>
    <w:rPr>
      <w:rFonts w:ascii="Verdana" w:hAnsi="Verdana"/>
      <w:sz w:val="24"/>
      <w:szCs w:val="24"/>
    </w:rPr>
  </w:style>
  <w:style w:type="paragraph" w:customStyle="1" w:styleId="GuideDash">
    <w:name w:val="GuideDash"/>
    <w:semiHidden/>
    <w:rsid w:val="00EA1E98"/>
    <w:pPr>
      <w:numPr>
        <w:numId w:val="17"/>
      </w:numPr>
      <w:tabs>
        <w:tab w:val="clear" w:pos="1786"/>
        <w:tab w:val="left" w:pos="576"/>
      </w:tabs>
      <w:spacing w:after="40"/>
      <w:ind w:left="576"/>
    </w:pPr>
    <w:rPr>
      <w:sz w:val="22"/>
    </w:rPr>
  </w:style>
  <w:style w:type="paragraph" w:styleId="Caption">
    <w:name w:val="caption"/>
    <w:next w:val="TableText0"/>
    <w:link w:val="CaptionChar"/>
    <w:uiPriority w:val="35"/>
    <w:qFormat/>
    <w:rsid w:val="00EA1E98"/>
    <w:pPr>
      <w:keepNext/>
      <w:tabs>
        <w:tab w:val="left" w:pos="1152"/>
        <w:tab w:val="left" w:pos="1440"/>
      </w:tabs>
      <w:spacing w:before="60" w:after="60"/>
      <w:ind w:left="1152" w:hanging="1152"/>
    </w:pPr>
    <w:rPr>
      <w:b/>
      <w:bCs/>
      <w:szCs w:val="18"/>
    </w:rPr>
  </w:style>
  <w:style w:type="character" w:customStyle="1" w:styleId="bold0">
    <w:name w:val="bold"/>
    <w:rsid w:val="00EA1E98"/>
  </w:style>
  <w:style w:type="character" w:customStyle="1" w:styleId="CaptionChar">
    <w:name w:val="Caption Char"/>
    <w:link w:val="Caption"/>
    <w:uiPriority w:val="99"/>
    <w:locked/>
    <w:rsid w:val="00EA1E98"/>
    <w:rPr>
      <w:b/>
      <w:bCs/>
      <w:szCs w:val="18"/>
    </w:rPr>
  </w:style>
  <w:style w:type="character" w:styleId="UnresolvedMention">
    <w:name w:val="Unresolved Mention"/>
    <w:basedOn w:val="DefaultParagraphFont"/>
    <w:uiPriority w:val="99"/>
    <w:semiHidden/>
    <w:unhideWhenUsed/>
    <w:rsid w:val="00456726"/>
    <w:rPr>
      <w:color w:val="808080"/>
      <w:shd w:val="clear" w:color="auto" w:fill="E6E6E6"/>
    </w:rPr>
  </w:style>
  <w:style w:type="paragraph" w:styleId="Title">
    <w:name w:val="Title"/>
    <w:basedOn w:val="Normal"/>
    <w:next w:val="Normal"/>
    <w:link w:val="TitleChar"/>
    <w:uiPriority w:val="10"/>
    <w:qFormat/>
    <w:rsid w:val="00117D06"/>
    <w:pPr>
      <w:pBdr>
        <w:top w:val="single" w:sz="4" w:space="1" w:color="auto"/>
      </w:pBdr>
      <w:contextualSpacing/>
      <w:jc w:val="center"/>
    </w:pPr>
    <w:rPr>
      <w:rFonts w:ascii="Arial Black" w:eastAsiaTheme="majorEastAsia" w:hAnsi="Arial Black" w:cstheme="majorBidi"/>
      <w:b/>
      <w:color w:val="auto"/>
      <w:spacing w:val="-10"/>
      <w:kern w:val="28"/>
      <w:sz w:val="56"/>
      <w:szCs w:val="56"/>
    </w:rPr>
  </w:style>
  <w:style w:type="character" w:customStyle="1" w:styleId="TitleChar">
    <w:name w:val="Title Char"/>
    <w:basedOn w:val="DefaultParagraphFont"/>
    <w:link w:val="Title"/>
    <w:uiPriority w:val="10"/>
    <w:rsid w:val="00117D06"/>
    <w:rPr>
      <w:rFonts w:ascii="Arial Black" w:eastAsiaTheme="majorEastAsia" w:hAnsi="Arial Black" w:cstheme="majorBidi"/>
      <w:b/>
      <w:spacing w:val="-10"/>
      <w:kern w:val="28"/>
      <w:sz w:val="56"/>
      <w:szCs w:val="56"/>
      <w:lang w:val="en-AU"/>
    </w:rPr>
  </w:style>
  <w:style w:type="character" w:customStyle="1" w:styleId="Heading3Char">
    <w:name w:val="Heading 3 Char"/>
    <w:basedOn w:val="DefaultParagraphFont"/>
    <w:link w:val="Heading3"/>
    <w:rsid w:val="00A64110"/>
    <w:rPr>
      <w:rFonts w:ascii="Arial" w:hAnsi="Arial" w:cs="Arial"/>
      <w:b/>
      <w:color w:val="000000"/>
      <w:spacing w:val="-2"/>
      <w:sz w:val="22"/>
      <w:szCs w:val="22"/>
      <w:lang w:val="en-AU"/>
    </w:rPr>
  </w:style>
  <w:style w:type="paragraph" w:styleId="NormalWeb">
    <w:name w:val="Normal (Web)"/>
    <w:basedOn w:val="Normal"/>
    <w:uiPriority w:val="99"/>
    <w:unhideWhenUsed/>
    <w:rsid w:val="000A543D"/>
    <w:pPr>
      <w:spacing w:before="100" w:beforeAutospacing="1" w:after="100" w:afterAutospacing="1"/>
    </w:pPr>
    <w:rPr>
      <w:rFonts w:ascii="Times New Roman" w:eastAsiaTheme="minorHAnsi" w:hAnsi="Times New Roman" w:cs="Times New Roman"/>
      <w:color w:val="auto"/>
      <w:sz w:val="24"/>
      <w:szCs w:val="24"/>
      <w:lang w:val="en-US" w:bidi="he-IL"/>
    </w:rPr>
  </w:style>
  <w:style w:type="character" w:customStyle="1" w:styleId="normaltextrun">
    <w:name w:val="normaltextrun"/>
    <w:basedOn w:val="DefaultParagraphFont"/>
    <w:rsid w:val="00156414"/>
  </w:style>
  <w:style w:type="paragraph" w:customStyle="1" w:styleId="WARINGIN">
    <w:name w:val="WARINGIN"/>
    <w:basedOn w:val="Heading1"/>
    <w:rsid w:val="00657C5D"/>
    <w:pPr>
      <w:numPr>
        <w:numId w:val="0"/>
      </w:numPr>
      <w:ind w:left="357" w:hanging="357"/>
    </w:pPr>
  </w:style>
  <w:style w:type="paragraph" w:customStyle="1" w:styleId="SubheadingBold12">
    <w:name w:val="Subheading Bold 12"/>
    <w:next w:val="BodyText120"/>
    <w:qFormat/>
    <w:rsid w:val="00003968"/>
    <w:pPr>
      <w:keepNext/>
      <w:keepLines/>
      <w:spacing w:before="240" w:after="120"/>
    </w:pPr>
    <w:rPr>
      <w:b/>
      <w:sz w:val="24"/>
    </w:rPr>
  </w:style>
  <w:style w:type="paragraph" w:customStyle="1" w:styleId="Basic12">
    <w:name w:val="Basic 12"/>
    <w:qFormat/>
    <w:rsid w:val="005F0D68"/>
    <w:pPr>
      <w:spacing w:after="200"/>
      <w:jc w:val="both"/>
    </w:pPr>
    <w:rPr>
      <w:sz w:val="24"/>
    </w:rPr>
  </w:style>
  <w:style w:type="character" w:customStyle="1" w:styleId="TableTextChar">
    <w:name w:val="Table Text Char"/>
    <w:link w:val="TableText0"/>
    <w:uiPriority w:val="99"/>
    <w:rsid w:val="005F0D68"/>
  </w:style>
  <w:style w:type="paragraph" w:styleId="HTMLPreformatted">
    <w:name w:val="HTML Preformatted"/>
    <w:basedOn w:val="Normal"/>
    <w:link w:val="HTMLPreformattedChar"/>
    <w:semiHidden/>
    <w:unhideWhenUsed/>
    <w:rsid w:val="008856EC"/>
    <w:pPr>
      <w:tabs>
        <w:tab w:val="left" w:pos="567"/>
      </w:tabs>
    </w:pPr>
    <w:rPr>
      <w:rFonts w:ascii="Consolas" w:hAnsi="Consolas" w:cs="Times New Roman"/>
      <w:noProof/>
      <w:color w:val="auto"/>
      <w:sz w:val="20"/>
      <w:szCs w:val="20"/>
      <w:lang w:val="en-GB"/>
    </w:rPr>
  </w:style>
  <w:style w:type="character" w:customStyle="1" w:styleId="HTMLPreformattedChar">
    <w:name w:val="HTML Preformatted Char"/>
    <w:basedOn w:val="DefaultParagraphFont"/>
    <w:link w:val="HTMLPreformatted"/>
    <w:semiHidden/>
    <w:rsid w:val="008856EC"/>
    <w:rPr>
      <w:rFonts w:ascii="Consolas" w:hAnsi="Consolas"/>
      <w:noProof/>
      <w:lang w:val="en-GB"/>
    </w:rPr>
  </w:style>
  <w:style w:type="table" w:customStyle="1" w:styleId="TableGrid1">
    <w:name w:val="Table Grid1"/>
    <w:basedOn w:val="TableNormal"/>
    <w:next w:val="TableGrid"/>
    <w:uiPriority w:val="59"/>
    <w:rsid w:val="00D64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semiHidden/>
    <w:unhideWhenUsed/>
    <w:rsid w:val="007660A9"/>
    <w:pPr>
      <w:numPr>
        <w:numId w:val="31"/>
      </w:numPr>
      <w:tabs>
        <w:tab w:val="left" w:pos="567"/>
      </w:tabs>
      <w:spacing w:line="260" w:lineRule="exact"/>
      <w:contextualSpacing/>
    </w:pPr>
    <w:rPr>
      <w:rFonts w:ascii="Times New Roman" w:hAnsi="Times New Roman" w:cs="Times New Roman"/>
      <w:color w:val="auto"/>
      <w:szCs w:val="20"/>
      <w:lang w:val="en-GB"/>
    </w:rPr>
  </w:style>
  <w:style w:type="table" w:customStyle="1" w:styleId="TableGrid2">
    <w:name w:val="Table Grid2"/>
    <w:basedOn w:val="TableNormal"/>
    <w:next w:val="TableGrid"/>
    <w:rsid w:val="00D0729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153">
      <w:bodyDiv w:val="1"/>
      <w:marLeft w:val="0"/>
      <w:marRight w:val="0"/>
      <w:marTop w:val="0"/>
      <w:marBottom w:val="0"/>
      <w:divBdr>
        <w:top w:val="none" w:sz="0" w:space="0" w:color="auto"/>
        <w:left w:val="none" w:sz="0" w:space="0" w:color="auto"/>
        <w:bottom w:val="none" w:sz="0" w:space="0" w:color="auto"/>
        <w:right w:val="none" w:sz="0" w:space="0" w:color="auto"/>
      </w:divBdr>
    </w:div>
    <w:div w:id="110173535">
      <w:bodyDiv w:val="1"/>
      <w:marLeft w:val="0"/>
      <w:marRight w:val="0"/>
      <w:marTop w:val="0"/>
      <w:marBottom w:val="0"/>
      <w:divBdr>
        <w:top w:val="none" w:sz="0" w:space="0" w:color="auto"/>
        <w:left w:val="none" w:sz="0" w:space="0" w:color="auto"/>
        <w:bottom w:val="none" w:sz="0" w:space="0" w:color="auto"/>
        <w:right w:val="none" w:sz="0" w:space="0" w:color="auto"/>
      </w:divBdr>
    </w:div>
    <w:div w:id="127478213">
      <w:bodyDiv w:val="1"/>
      <w:marLeft w:val="0"/>
      <w:marRight w:val="0"/>
      <w:marTop w:val="0"/>
      <w:marBottom w:val="0"/>
      <w:divBdr>
        <w:top w:val="none" w:sz="0" w:space="0" w:color="auto"/>
        <w:left w:val="none" w:sz="0" w:space="0" w:color="auto"/>
        <w:bottom w:val="none" w:sz="0" w:space="0" w:color="auto"/>
        <w:right w:val="none" w:sz="0" w:space="0" w:color="auto"/>
      </w:divBdr>
    </w:div>
    <w:div w:id="222301533">
      <w:bodyDiv w:val="1"/>
      <w:marLeft w:val="0"/>
      <w:marRight w:val="0"/>
      <w:marTop w:val="0"/>
      <w:marBottom w:val="0"/>
      <w:divBdr>
        <w:top w:val="none" w:sz="0" w:space="0" w:color="auto"/>
        <w:left w:val="none" w:sz="0" w:space="0" w:color="auto"/>
        <w:bottom w:val="none" w:sz="0" w:space="0" w:color="auto"/>
        <w:right w:val="none" w:sz="0" w:space="0" w:color="auto"/>
      </w:divBdr>
    </w:div>
    <w:div w:id="299849393">
      <w:bodyDiv w:val="1"/>
      <w:marLeft w:val="0"/>
      <w:marRight w:val="0"/>
      <w:marTop w:val="0"/>
      <w:marBottom w:val="0"/>
      <w:divBdr>
        <w:top w:val="none" w:sz="0" w:space="0" w:color="auto"/>
        <w:left w:val="none" w:sz="0" w:space="0" w:color="auto"/>
        <w:bottom w:val="none" w:sz="0" w:space="0" w:color="auto"/>
        <w:right w:val="none" w:sz="0" w:space="0" w:color="auto"/>
      </w:divBdr>
    </w:div>
    <w:div w:id="306714697">
      <w:bodyDiv w:val="1"/>
      <w:marLeft w:val="0"/>
      <w:marRight w:val="0"/>
      <w:marTop w:val="0"/>
      <w:marBottom w:val="0"/>
      <w:divBdr>
        <w:top w:val="none" w:sz="0" w:space="0" w:color="auto"/>
        <w:left w:val="none" w:sz="0" w:space="0" w:color="auto"/>
        <w:bottom w:val="none" w:sz="0" w:space="0" w:color="auto"/>
        <w:right w:val="none" w:sz="0" w:space="0" w:color="auto"/>
      </w:divBdr>
    </w:div>
    <w:div w:id="344748692">
      <w:bodyDiv w:val="1"/>
      <w:marLeft w:val="0"/>
      <w:marRight w:val="0"/>
      <w:marTop w:val="0"/>
      <w:marBottom w:val="0"/>
      <w:divBdr>
        <w:top w:val="none" w:sz="0" w:space="0" w:color="auto"/>
        <w:left w:val="none" w:sz="0" w:space="0" w:color="auto"/>
        <w:bottom w:val="none" w:sz="0" w:space="0" w:color="auto"/>
        <w:right w:val="none" w:sz="0" w:space="0" w:color="auto"/>
      </w:divBdr>
    </w:div>
    <w:div w:id="362098101">
      <w:bodyDiv w:val="1"/>
      <w:marLeft w:val="0"/>
      <w:marRight w:val="0"/>
      <w:marTop w:val="0"/>
      <w:marBottom w:val="0"/>
      <w:divBdr>
        <w:top w:val="none" w:sz="0" w:space="0" w:color="auto"/>
        <w:left w:val="none" w:sz="0" w:space="0" w:color="auto"/>
        <w:bottom w:val="none" w:sz="0" w:space="0" w:color="auto"/>
        <w:right w:val="none" w:sz="0" w:space="0" w:color="auto"/>
      </w:divBdr>
    </w:div>
    <w:div w:id="375660926">
      <w:bodyDiv w:val="1"/>
      <w:marLeft w:val="0"/>
      <w:marRight w:val="0"/>
      <w:marTop w:val="0"/>
      <w:marBottom w:val="0"/>
      <w:divBdr>
        <w:top w:val="none" w:sz="0" w:space="0" w:color="auto"/>
        <w:left w:val="none" w:sz="0" w:space="0" w:color="auto"/>
        <w:bottom w:val="none" w:sz="0" w:space="0" w:color="auto"/>
        <w:right w:val="none" w:sz="0" w:space="0" w:color="auto"/>
      </w:divBdr>
    </w:div>
    <w:div w:id="400448195">
      <w:bodyDiv w:val="1"/>
      <w:marLeft w:val="0"/>
      <w:marRight w:val="0"/>
      <w:marTop w:val="0"/>
      <w:marBottom w:val="0"/>
      <w:divBdr>
        <w:top w:val="none" w:sz="0" w:space="0" w:color="auto"/>
        <w:left w:val="none" w:sz="0" w:space="0" w:color="auto"/>
        <w:bottom w:val="none" w:sz="0" w:space="0" w:color="auto"/>
        <w:right w:val="none" w:sz="0" w:space="0" w:color="auto"/>
      </w:divBdr>
    </w:div>
    <w:div w:id="425614221">
      <w:bodyDiv w:val="1"/>
      <w:marLeft w:val="0"/>
      <w:marRight w:val="0"/>
      <w:marTop w:val="0"/>
      <w:marBottom w:val="0"/>
      <w:divBdr>
        <w:top w:val="none" w:sz="0" w:space="0" w:color="auto"/>
        <w:left w:val="none" w:sz="0" w:space="0" w:color="auto"/>
        <w:bottom w:val="none" w:sz="0" w:space="0" w:color="auto"/>
        <w:right w:val="none" w:sz="0" w:space="0" w:color="auto"/>
      </w:divBdr>
    </w:div>
    <w:div w:id="426850795">
      <w:bodyDiv w:val="1"/>
      <w:marLeft w:val="0"/>
      <w:marRight w:val="0"/>
      <w:marTop w:val="0"/>
      <w:marBottom w:val="0"/>
      <w:divBdr>
        <w:top w:val="none" w:sz="0" w:space="0" w:color="auto"/>
        <w:left w:val="none" w:sz="0" w:space="0" w:color="auto"/>
        <w:bottom w:val="none" w:sz="0" w:space="0" w:color="auto"/>
        <w:right w:val="none" w:sz="0" w:space="0" w:color="auto"/>
      </w:divBdr>
    </w:div>
    <w:div w:id="429206627">
      <w:bodyDiv w:val="1"/>
      <w:marLeft w:val="0"/>
      <w:marRight w:val="0"/>
      <w:marTop w:val="0"/>
      <w:marBottom w:val="0"/>
      <w:divBdr>
        <w:top w:val="none" w:sz="0" w:space="0" w:color="auto"/>
        <w:left w:val="none" w:sz="0" w:space="0" w:color="auto"/>
        <w:bottom w:val="none" w:sz="0" w:space="0" w:color="auto"/>
        <w:right w:val="none" w:sz="0" w:space="0" w:color="auto"/>
      </w:divBdr>
    </w:div>
    <w:div w:id="431168555">
      <w:bodyDiv w:val="1"/>
      <w:marLeft w:val="0"/>
      <w:marRight w:val="0"/>
      <w:marTop w:val="0"/>
      <w:marBottom w:val="0"/>
      <w:divBdr>
        <w:top w:val="none" w:sz="0" w:space="0" w:color="auto"/>
        <w:left w:val="none" w:sz="0" w:space="0" w:color="auto"/>
        <w:bottom w:val="none" w:sz="0" w:space="0" w:color="auto"/>
        <w:right w:val="none" w:sz="0" w:space="0" w:color="auto"/>
      </w:divBdr>
    </w:div>
    <w:div w:id="442772044">
      <w:bodyDiv w:val="1"/>
      <w:marLeft w:val="0"/>
      <w:marRight w:val="0"/>
      <w:marTop w:val="0"/>
      <w:marBottom w:val="0"/>
      <w:divBdr>
        <w:top w:val="none" w:sz="0" w:space="0" w:color="auto"/>
        <w:left w:val="none" w:sz="0" w:space="0" w:color="auto"/>
        <w:bottom w:val="none" w:sz="0" w:space="0" w:color="auto"/>
        <w:right w:val="none" w:sz="0" w:space="0" w:color="auto"/>
      </w:divBdr>
    </w:div>
    <w:div w:id="449327758">
      <w:bodyDiv w:val="1"/>
      <w:marLeft w:val="0"/>
      <w:marRight w:val="0"/>
      <w:marTop w:val="0"/>
      <w:marBottom w:val="0"/>
      <w:divBdr>
        <w:top w:val="none" w:sz="0" w:space="0" w:color="auto"/>
        <w:left w:val="none" w:sz="0" w:space="0" w:color="auto"/>
        <w:bottom w:val="none" w:sz="0" w:space="0" w:color="auto"/>
        <w:right w:val="none" w:sz="0" w:space="0" w:color="auto"/>
      </w:divBdr>
    </w:div>
    <w:div w:id="457073189">
      <w:bodyDiv w:val="1"/>
      <w:marLeft w:val="0"/>
      <w:marRight w:val="0"/>
      <w:marTop w:val="0"/>
      <w:marBottom w:val="0"/>
      <w:divBdr>
        <w:top w:val="none" w:sz="0" w:space="0" w:color="auto"/>
        <w:left w:val="none" w:sz="0" w:space="0" w:color="auto"/>
        <w:bottom w:val="none" w:sz="0" w:space="0" w:color="auto"/>
        <w:right w:val="none" w:sz="0" w:space="0" w:color="auto"/>
      </w:divBdr>
    </w:div>
    <w:div w:id="467475583">
      <w:bodyDiv w:val="1"/>
      <w:marLeft w:val="0"/>
      <w:marRight w:val="0"/>
      <w:marTop w:val="0"/>
      <w:marBottom w:val="0"/>
      <w:divBdr>
        <w:top w:val="none" w:sz="0" w:space="0" w:color="auto"/>
        <w:left w:val="none" w:sz="0" w:space="0" w:color="auto"/>
        <w:bottom w:val="none" w:sz="0" w:space="0" w:color="auto"/>
        <w:right w:val="none" w:sz="0" w:space="0" w:color="auto"/>
      </w:divBdr>
    </w:div>
    <w:div w:id="502475891">
      <w:bodyDiv w:val="1"/>
      <w:marLeft w:val="0"/>
      <w:marRight w:val="0"/>
      <w:marTop w:val="0"/>
      <w:marBottom w:val="0"/>
      <w:divBdr>
        <w:top w:val="none" w:sz="0" w:space="0" w:color="auto"/>
        <w:left w:val="none" w:sz="0" w:space="0" w:color="auto"/>
        <w:bottom w:val="none" w:sz="0" w:space="0" w:color="auto"/>
        <w:right w:val="none" w:sz="0" w:space="0" w:color="auto"/>
      </w:divBdr>
    </w:div>
    <w:div w:id="505246325">
      <w:bodyDiv w:val="1"/>
      <w:marLeft w:val="0"/>
      <w:marRight w:val="0"/>
      <w:marTop w:val="0"/>
      <w:marBottom w:val="0"/>
      <w:divBdr>
        <w:top w:val="none" w:sz="0" w:space="0" w:color="auto"/>
        <w:left w:val="none" w:sz="0" w:space="0" w:color="auto"/>
        <w:bottom w:val="none" w:sz="0" w:space="0" w:color="auto"/>
        <w:right w:val="none" w:sz="0" w:space="0" w:color="auto"/>
      </w:divBdr>
    </w:div>
    <w:div w:id="509218292">
      <w:bodyDiv w:val="1"/>
      <w:marLeft w:val="0"/>
      <w:marRight w:val="0"/>
      <w:marTop w:val="0"/>
      <w:marBottom w:val="0"/>
      <w:divBdr>
        <w:top w:val="none" w:sz="0" w:space="0" w:color="auto"/>
        <w:left w:val="none" w:sz="0" w:space="0" w:color="auto"/>
        <w:bottom w:val="none" w:sz="0" w:space="0" w:color="auto"/>
        <w:right w:val="none" w:sz="0" w:space="0" w:color="auto"/>
      </w:divBdr>
    </w:div>
    <w:div w:id="555556715">
      <w:bodyDiv w:val="1"/>
      <w:marLeft w:val="0"/>
      <w:marRight w:val="0"/>
      <w:marTop w:val="0"/>
      <w:marBottom w:val="0"/>
      <w:divBdr>
        <w:top w:val="none" w:sz="0" w:space="0" w:color="auto"/>
        <w:left w:val="none" w:sz="0" w:space="0" w:color="auto"/>
        <w:bottom w:val="none" w:sz="0" w:space="0" w:color="auto"/>
        <w:right w:val="none" w:sz="0" w:space="0" w:color="auto"/>
      </w:divBdr>
    </w:div>
    <w:div w:id="562108840">
      <w:bodyDiv w:val="1"/>
      <w:marLeft w:val="0"/>
      <w:marRight w:val="0"/>
      <w:marTop w:val="0"/>
      <w:marBottom w:val="0"/>
      <w:divBdr>
        <w:top w:val="none" w:sz="0" w:space="0" w:color="auto"/>
        <w:left w:val="none" w:sz="0" w:space="0" w:color="auto"/>
        <w:bottom w:val="none" w:sz="0" w:space="0" w:color="auto"/>
        <w:right w:val="none" w:sz="0" w:space="0" w:color="auto"/>
      </w:divBdr>
    </w:div>
    <w:div w:id="570385498">
      <w:bodyDiv w:val="1"/>
      <w:marLeft w:val="0"/>
      <w:marRight w:val="0"/>
      <w:marTop w:val="0"/>
      <w:marBottom w:val="0"/>
      <w:divBdr>
        <w:top w:val="none" w:sz="0" w:space="0" w:color="auto"/>
        <w:left w:val="none" w:sz="0" w:space="0" w:color="auto"/>
        <w:bottom w:val="none" w:sz="0" w:space="0" w:color="auto"/>
        <w:right w:val="none" w:sz="0" w:space="0" w:color="auto"/>
      </w:divBdr>
    </w:div>
    <w:div w:id="576520931">
      <w:bodyDiv w:val="1"/>
      <w:marLeft w:val="0"/>
      <w:marRight w:val="0"/>
      <w:marTop w:val="0"/>
      <w:marBottom w:val="0"/>
      <w:divBdr>
        <w:top w:val="none" w:sz="0" w:space="0" w:color="auto"/>
        <w:left w:val="none" w:sz="0" w:space="0" w:color="auto"/>
        <w:bottom w:val="none" w:sz="0" w:space="0" w:color="auto"/>
        <w:right w:val="none" w:sz="0" w:space="0" w:color="auto"/>
      </w:divBdr>
    </w:div>
    <w:div w:id="634530700">
      <w:bodyDiv w:val="1"/>
      <w:marLeft w:val="0"/>
      <w:marRight w:val="0"/>
      <w:marTop w:val="0"/>
      <w:marBottom w:val="0"/>
      <w:divBdr>
        <w:top w:val="none" w:sz="0" w:space="0" w:color="auto"/>
        <w:left w:val="none" w:sz="0" w:space="0" w:color="auto"/>
        <w:bottom w:val="none" w:sz="0" w:space="0" w:color="auto"/>
        <w:right w:val="none" w:sz="0" w:space="0" w:color="auto"/>
      </w:divBdr>
    </w:div>
    <w:div w:id="702680176">
      <w:bodyDiv w:val="1"/>
      <w:marLeft w:val="0"/>
      <w:marRight w:val="0"/>
      <w:marTop w:val="0"/>
      <w:marBottom w:val="0"/>
      <w:divBdr>
        <w:top w:val="none" w:sz="0" w:space="0" w:color="auto"/>
        <w:left w:val="none" w:sz="0" w:space="0" w:color="auto"/>
        <w:bottom w:val="none" w:sz="0" w:space="0" w:color="auto"/>
        <w:right w:val="none" w:sz="0" w:space="0" w:color="auto"/>
      </w:divBdr>
    </w:div>
    <w:div w:id="705834385">
      <w:bodyDiv w:val="1"/>
      <w:marLeft w:val="0"/>
      <w:marRight w:val="0"/>
      <w:marTop w:val="0"/>
      <w:marBottom w:val="0"/>
      <w:divBdr>
        <w:top w:val="none" w:sz="0" w:space="0" w:color="auto"/>
        <w:left w:val="none" w:sz="0" w:space="0" w:color="auto"/>
        <w:bottom w:val="none" w:sz="0" w:space="0" w:color="auto"/>
        <w:right w:val="none" w:sz="0" w:space="0" w:color="auto"/>
      </w:divBdr>
    </w:div>
    <w:div w:id="748961824">
      <w:bodyDiv w:val="1"/>
      <w:marLeft w:val="0"/>
      <w:marRight w:val="0"/>
      <w:marTop w:val="0"/>
      <w:marBottom w:val="0"/>
      <w:divBdr>
        <w:top w:val="none" w:sz="0" w:space="0" w:color="auto"/>
        <w:left w:val="none" w:sz="0" w:space="0" w:color="auto"/>
        <w:bottom w:val="none" w:sz="0" w:space="0" w:color="auto"/>
        <w:right w:val="none" w:sz="0" w:space="0" w:color="auto"/>
      </w:divBdr>
    </w:div>
    <w:div w:id="758256776">
      <w:bodyDiv w:val="1"/>
      <w:marLeft w:val="0"/>
      <w:marRight w:val="0"/>
      <w:marTop w:val="0"/>
      <w:marBottom w:val="0"/>
      <w:divBdr>
        <w:top w:val="none" w:sz="0" w:space="0" w:color="auto"/>
        <w:left w:val="none" w:sz="0" w:space="0" w:color="auto"/>
        <w:bottom w:val="none" w:sz="0" w:space="0" w:color="auto"/>
        <w:right w:val="none" w:sz="0" w:space="0" w:color="auto"/>
      </w:divBdr>
    </w:div>
    <w:div w:id="778258165">
      <w:bodyDiv w:val="1"/>
      <w:marLeft w:val="0"/>
      <w:marRight w:val="0"/>
      <w:marTop w:val="0"/>
      <w:marBottom w:val="0"/>
      <w:divBdr>
        <w:top w:val="none" w:sz="0" w:space="0" w:color="auto"/>
        <w:left w:val="none" w:sz="0" w:space="0" w:color="auto"/>
        <w:bottom w:val="none" w:sz="0" w:space="0" w:color="auto"/>
        <w:right w:val="none" w:sz="0" w:space="0" w:color="auto"/>
      </w:divBdr>
    </w:div>
    <w:div w:id="808715748">
      <w:bodyDiv w:val="1"/>
      <w:marLeft w:val="0"/>
      <w:marRight w:val="0"/>
      <w:marTop w:val="0"/>
      <w:marBottom w:val="0"/>
      <w:divBdr>
        <w:top w:val="none" w:sz="0" w:space="0" w:color="auto"/>
        <w:left w:val="none" w:sz="0" w:space="0" w:color="auto"/>
        <w:bottom w:val="none" w:sz="0" w:space="0" w:color="auto"/>
        <w:right w:val="none" w:sz="0" w:space="0" w:color="auto"/>
      </w:divBdr>
    </w:div>
    <w:div w:id="834801212">
      <w:bodyDiv w:val="1"/>
      <w:marLeft w:val="0"/>
      <w:marRight w:val="0"/>
      <w:marTop w:val="0"/>
      <w:marBottom w:val="0"/>
      <w:divBdr>
        <w:top w:val="none" w:sz="0" w:space="0" w:color="auto"/>
        <w:left w:val="none" w:sz="0" w:space="0" w:color="auto"/>
        <w:bottom w:val="none" w:sz="0" w:space="0" w:color="auto"/>
        <w:right w:val="none" w:sz="0" w:space="0" w:color="auto"/>
      </w:divBdr>
    </w:div>
    <w:div w:id="859853758">
      <w:bodyDiv w:val="1"/>
      <w:marLeft w:val="0"/>
      <w:marRight w:val="0"/>
      <w:marTop w:val="0"/>
      <w:marBottom w:val="0"/>
      <w:divBdr>
        <w:top w:val="none" w:sz="0" w:space="0" w:color="auto"/>
        <w:left w:val="none" w:sz="0" w:space="0" w:color="auto"/>
        <w:bottom w:val="none" w:sz="0" w:space="0" w:color="auto"/>
        <w:right w:val="none" w:sz="0" w:space="0" w:color="auto"/>
      </w:divBdr>
    </w:div>
    <w:div w:id="869998812">
      <w:bodyDiv w:val="1"/>
      <w:marLeft w:val="0"/>
      <w:marRight w:val="0"/>
      <w:marTop w:val="0"/>
      <w:marBottom w:val="0"/>
      <w:divBdr>
        <w:top w:val="none" w:sz="0" w:space="0" w:color="auto"/>
        <w:left w:val="none" w:sz="0" w:space="0" w:color="auto"/>
        <w:bottom w:val="none" w:sz="0" w:space="0" w:color="auto"/>
        <w:right w:val="none" w:sz="0" w:space="0" w:color="auto"/>
      </w:divBdr>
    </w:div>
    <w:div w:id="878273853">
      <w:bodyDiv w:val="1"/>
      <w:marLeft w:val="0"/>
      <w:marRight w:val="0"/>
      <w:marTop w:val="0"/>
      <w:marBottom w:val="0"/>
      <w:divBdr>
        <w:top w:val="none" w:sz="0" w:space="0" w:color="auto"/>
        <w:left w:val="none" w:sz="0" w:space="0" w:color="auto"/>
        <w:bottom w:val="none" w:sz="0" w:space="0" w:color="auto"/>
        <w:right w:val="none" w:sz="0" w:space="0" w:color="auto"/>
      </w:divBdr>
    </w:div>
    <w:div w:id="937299293">
      <w:bodyDiv w:val="1"/>
      <w:marLeft w:val="0"/>
      <w:marRight w:val="0"/>
      <w:marTop w:val="0"/>
      <w:marBottom w:val="0"/>
      <w:divBdr>
        <w:top w:val="none" w:sz="0" w:space="0" w:color="auto"/>
        <w:left w:val="none" w:sz="0" w:space="0" w:color="auto"/>
        <w:bottom w:val="none" w:sz="0" w:space="0" w:color="auto"/>
        <w:right w:val="none" w:sz="0" w:space="0" w:color="auto"/>
      </w:divBdr>
    </w:div>
    <w:div w:id="945771998">
      <w:bodyDiv w:val="1"/>
      <w:marLeft w:val="0"/>
      <w:marRight w:val="0"/>
      <w:marTop w:val="0"/>
      <w:marBottom w:val="0"/>
      <w:divBdr>
        <w:top w:val="none" w:sz="0" w:space="0" w:color="auto"/>
        <w:left w:val="none" w:sz="0" w:space="0" w:color="auto"/>
        <w:bottom w:val="none" w:sz="0" w:space="0" w:color="auto"/>
        <w:right w:val="none" w:sz="0" w:space="0" w:color="auto"/>
      </w:divBdr>
    </w:div>
    <w:div w:id="962616196">
      <w:bodyDiv w:val="1"/>
      <w:marLeft w:val="0"/>
      <w:marRight w:val="0"/>
      <w:marTop w:val="0"/>
      <w:marBottom w:val="0"/>
      <w:divBdr>
        <w:top w:val="none" w:sz="0" w:space="0" w:color="auto"/>
        <w:left w:val="none" w:sz="0" w:space="0" w:color="auto"/>
        <w:bottom w:val="none" w:sz="0" w:space="0" w:color="auto"/>
        <w:right w:val="none" w:sz="0" w:space="0" w:color="auto"/>
      </w:divBdr>
    </w:div>
    <w:div w:id="1064522097">
      <w:bodyDiv w:val="1"/>
      <w:marLeft w:val="0"/>
      <w:marRight w:val="0"/>
      <w:marTop w:val="0"/>
      <w:marBottom w:val="0"/>
      <w:divBdr>
        <w:top w:val="none" w:sz="0" w:space="0" w:color="auto"/>
        <w:left w:val="none" w:sz="0" w:space="0" w:color="auto"/>
        <w:bottom w:val="none" w:sz="0" w:space="0" w:color="auto"/>
        <w:right w:val="none" w:sz="0" w:space="0" w:color="auto"/>
      </w:divBdr>
    </w:div>
    <w:div w:id="1069692738">
      <w:bodyDiv w:val="1"/>
      <w:marLeft w:val="0"/>
      <w:marRight w:val="0"/>
      <w:marTop w:val="0"/>
      <w:marBottom w:val="0"/>
      <w:divBdr>
        <w:top w:val="none" w:sz="0" w:space="0" w:color="auto"/>
        <w:left w:val="none" w:sz="0" w:space="0" w:color="auto"/>
        <w:bottom w:val="none" w:sz="0" w:space="0" w:color="auto"/>
        <w:right w:val="none" w:sz="0" w:space="0" w:color="auto"/>
      </w:divBdr>
    </w:div>
    <w:div w:id="1078526154">
      <w:bodyDiv w:val="1"/>
      <w:marLeft w:val="0"/>
      <w:marRight w:val="0"/>
      <w:marTop w:val="0"/>
      <w:marBottom w:val="0"/>
      <w:divBdr>
        <w:top w:val="none" w:sz="0" w:space="0" w:color="auto"/>
        <w:left w:val="none" w:sz="0" w:space="0" w:color="auto"/>
        <w:bottom w:val="none" w:sz="0" w:space="0" w:color="auto"/>
        <w:right w:val="none" w:sz="0" w:space="0" w:color="auto"/>
      </w:divBdr>
    </w:div>
    <w:div w:id="1099063655">
      <w:bodyDiv w:val="1"/>
      <w:marLeft w:val="0"/>
      <w:marRight w:val="0"/>
      <w:marTop w:val="0"/>
      <w:marBottom w:val="0"/>
      <w:divBdr>
        <w:top w:val="none" w:sz="0" w:space="0" w:color="auto"/>
        <w:left w:val="none" w:sz="0" w:space="0" w:color="auto"/>
        <w:bottom w:val="none" w:sz="0" w:space="0" w:color="auto"/>
        <w:right w:val="none" w:sz="0" w:space="0" w:color="auto"/>
      </w:divBdr>
    </w:div>
    <w:div w:id="1104959580">
      <w:bodyDiv w:val="1"/>
      <w:marLeft w:val="0"/>
      <w:marRight w:val="0"/>
      <w:marTop w:val="0"/>
      <w:marBottom w:val="0"/>
      <w:divBdr>
        <w:top w:val="none" w:sz="0" w:space="0" w:color="auto"/>
        <w:left w:val="none" w:sz="0" w:space="0" w:color="auto"/>
        <w:bottom w:val="none" w:sz="0" w:space="0" w:color="auto"/>
        <w:right w:val="none" w:sz="0" w:space="0" w:color="auto"/>
      </w:divBdr>
    </w:div>
    <w:div w:id="1165828396">
      <w:bodyDiv w:val="1"/>
      <w:marLeft w:val="0"/>
      <w:marRight w:val="0"/>
      <w:marTop w:val="0"/>
      <w:marBottom w:val="0"/>
      <w:divBdr>
        <w:top w:val="none" w:sz="0" w:space="0" w:color="auto"/>
        <w:left w:val="none" w:sz="0" w:space="0" w:color="auto"/>
        <w:bottom w:val="none" w:sz="0" w:space="0" w:color="auto"/>
        <w:right w:val="none" w:sz="0" w:space="0" w:color="auto"/>
      </w:divBdr>
    </w:div>
    <w:div w:id="1180391878">
      <w:bodyDiv w:val="1"/>
      <w:marLeft w:val="0"/>
      <w:marRight w:val="0"/>
      <w:marTop w:val="0"/>
      <w:marBottom w:val="0"/>
      <w:divBdr>
        <w:top w:val="none" w:sz="0" w:space="0" w:color="auto"/>
        <w:left w:val="none" w:sz="0" w:space="0" w:color="auto"/>
        <w:bottom w:val="none" w:sz="0" w:space="0" w:color="auto"/>
        <w:right w:val="none" w:sz="0" w:space="0" w:color="auto"/>
      </w:divBdr>
    </w:div>
    <w:div w:id="1273366479">
      <w:bodyDiv w:val="1"/>
      <w:marLeft w:val="0"/>
      <w:marRight w:val="0"/>
      <w:marTop w:val="0"/>
      <w:marBottom w:val="0"/>
      <w:divBdr>
        <w:top w:val="none" w:sz="0" w:space="0" w:color="auto"/>
        <w:left w:val="none" w:sz="0" w:space="0" w:color="auto"/>
        <w:bottom w:val="none" w:sz="0" w:space="0" w:color="auto"/>
        <w:right w:val="none" w:sz="0" w:space="0" w:color="auto"/>
      </w:divBdr>
    </w:div>
    <w:div w:id="1294096944">
      <w:bodyDiv w:val="1"/>
      <w:marLeft w:val="0"/>
      <w:marRight w:val="0"/>
      <w:marTop w:val="0"/>
      <w:marBottom w:val="0"/>
      <w:divBdr>
        <w:top w:val="none" w:sz="0" w:space="0" w:color="auto"/>
        <w:left w:val="none" w:sz="0" w:space="0" w:color="auto"/>
        <w:bottom w:val="none" w:sz="0" w:space="0" w:color="auto"/>
        <w:right w:val="none" w:sz="0" w:space="0" w:color="auto"/>
      </w:divBdr>
    </w:div>
    <w:div w:id="1359428619">
      <w:bodyDiv w:val="1"/>
      <w:marLeft w:val="0"/>
      <w:marRight w:val="0"/>
      <w:marTop w:val="0"/>
      <w:marBottom w:val="0"/>
      <w:divBdr>
        <w:top w:val="none" w:sz="0" w:space="0" w:color="auto"/>
        <w:left w:val="none" w:sz="0" w:space="0" w:color="auto"/>
        <w:bottom w:val="none" w:sz="0" w:space="0" w:color="auto"/>
        <w:right w:val="none" w:sz="0" w:space="0" w:color="auto"/>
      </w:divBdr>
    </w:div>
    <w:div w:id="1460879190">
      <w:bodyDiv w:val="1"/>
      <w:marLeft w:val="0"/>
      <w:marRight w:val="0"/>
      <w:marTop w:val="0"/>
      <w:marBottom w:val="0"/>
      <w:divBdr>
        <w:top w:val="none" w:sz="0" w:space="0" w:color="auto"/>
        <w:left w:val="none" w:sz="0" w:space="0" w:color="auto"/>
        <w:bottom w:val="none" w:sz="0" w:space="0" w:color="auto"/>
        <w:right w:val="none" w:sz="0" w:space="0" w:color="auto"/>
      </w:divBdr>
    </w:div>
    <w:div w:id="1465466278">
      <w:bodyDiv w:val="1"/>
      <w:marLeft w:val="0"/>
      <w:marRight w:val="0"/>
      <w:marTop w:val="0"/>
      <w:marBottom w:val="0"/>
      <w:divBdr>
        <w:top w:val="none" w:sz="0" w:space="0" w:color="auto"/>
        <w:left w:val="none" w:sz="0" w:space="0" w:color="auto"/>
        <w:bottom w:val="none" w:sz="0" w:space="0" w:color="auto"/>
        <w:right w:val="none" w:sz="0" w:space="0" w:color="auto"/>
      </w:divBdr>
    </w:div>
    <w:div w:id="1499537403">
      <w:bodyDiv w:val="1"/>
      <w:marLeft w:val="0"/>
      <w:marRight w:val="0"/>
      <w:marTop w:val="0"/>
      <w:marBottom w:val="0"/>
      <w:divBdr>
        <w:top w:val="none" w:sz="0" w:space="0" w:color="auto"/>
        <w:left w:val="none" w:sz="0" w:space="0" w:color="auto"/>
        <w:bottom w:val="none" w:sz="0" w:space="0" w:color="auto"/>
        <w:right w:val="none" w:sz="0" w:space="0" w:color="auto"/>
      </w:divBdr>
    </w:div>
    <w:div w:id="1561283875">
      <w:bodyDiv w:val="1"/>
      <w:marLeft w:val="0"/>
      <w:marRight w:val="0"/>
      <w:marTop w:val="0"/>
      <w:marBottom w:val="0"/>
      <w:divBdr>
        <w:top w:val="none" w:sz="0" w:space="0" w:color="auto"/>
        <w:left w:val="none" w:sz="0" w:space="0" w:color="auto"/>
        <w:bottom w:val="none" w:sz="0" w:space="0" w:color="auto"/>
        <w:right w:val="none" w:sz="0" w:space="0" w:color="auto"/>
      </w:divBdr>
    </w:div>
    <w:div w:id="1577130813">
      <w:bodyDiv w:val="1"/>
      <w:marLeft w:val="0"/>
      <w:marRight w:val="0"/>
      <w:marTop w:val="0"/>
      <w:marBottom w:val="0"/>
      <w:divBdr>
        <w:top w:val="none" w:sz="0" w:space="0" w:color="auto"/>
        <w:left w:val="none" w:sz="0" w:space="0" w:color="auto"/>
        <w:bottom w:val="none" w:sz="0" w:space="0" w:color="auto"/>
        <w:right w:val="none" w:sz="0" w:space="0" w:color="auto"/>
      </w:divBdr>
    </w:div>
    <w:div w:id="1579443251">
      <w:bodyDiv w:val="1"/>
      <w:marLeft w:val="0"/>
      <w:marRight w:val="0"/>
      <w:marTop w:val="0"/>
      <w:marBottom w:val="0"/>
      <w:divBdr>
        <w:top w:val="none" w:sz="0" w:space="0" w:color="auto"/>
        <w:left w:val="none" w:sz="0" w:space="0" w:color="auto"/>
        <w:bottom w:val="none" w:sz="0" w:space="0" w:color="auto"/>
        <w:right w:val="none" w:sz="0" w:space="0" w:color="auto"/>
      </w:divBdr>
    </w:div>
    <w:div w:id="1609702905">
      <w:bodyDiv w:val="1"/>
      <w:marLeft w:val="0"/>
      <w:marRight w:val="0"/>
      <w:marTop w:val="0"/>
      <w:marBottom w:val="0"/>
      <w:divBdr>
        <w:top w:val="none" w:sz="0" w:space="0" w:color="auto"/>
        <w:left w:val="none" w:sz="0" w:space="0" w:color="auto"/>
        <w:bottom w:val="none" w:sz="0" w:space="0" w:color="auto"/>
        <w:right w:val="none" w:sz="0" w:space="0" w:color="auto"/>
      </w:divBdr>
    </w:div>
    <w:div w:id="1627547305">
      <w:bodyDiv w:val="1"/>
      <w:marLeft w:val="0"/>
      <w:marRight w:val="0"/>
      <w:marTop w:val="0"/>
      <w:marBottom w:val="0"/>
      <w:divBdr>
        <w:top w:val="none" w:sz="0" w:space="0" w:color="auto"/>
        <w:left w:val="none" w:sz="0" w:space="0" w:color="auto"/>
        <w:bottom w:val="none" w:sz="0" w:space="0" w:color="auto"/>
        <w:right w:val="none" w:sz="0" w:space="0" w:color="auto"/>
      </w:divBdr>
    </w:div>
    <w:div w:id="1672490403">
      <w:bodyDiv w:val="1"/>
      <w:marLeft w:val="0"/>
      <w:marRight w:val="0"/>
      <w:marTop w:val="0"/>
      <w:marBottom w:val="0"/>
      <w:divBdr>
        <w:top w:val="none" w:sz="0" w:space="0" w:color="auto"/>
        <w:left w:val="none" w:sz="0" w:space="0" w:color="auto"/>
        <w:bottom w:val="none" w:sz="0" w:space="0" w:color="auto"/>
        <w:right w:val="none" w:sz="0" w:space="0" w:color="auto"/>
      </w:divBdr>
    </w:div>
    <w:div w:id="1715692668">
      <w:bodyDiv w:val="1"/>
      <w:marLeft w:val="0"/>
      <w:marRight w:val="0"/>
      <w:marTop w:val="0"/>
      <w:marBottom w:val="0"/>
      <w:divBdr>
        <w:top w:val="none" w:sz="0" w:space="0" w:color="auto"/>
        <w:left w:val="none" w:sz="0" w:space="0" w:color="auto"/>
        <w:bottom w:val="none" w:sz="0" w:space="0" w:color="auto"/>
        <w:right w:val="none" w:sz="0" w:space="0" w:color="auto"/>
      </w:divBdr>
    </w:div>
    <w:div w:id="1731147927">
      <w:bodyDiv w:val="1"/>
      <w:marLeft w:val="0"/>
      <w:marRight w:val="0"/>
      <w:marTop w:val="0"/>
      <w:marBottom w:val="0"/>
      <w:divBdr>
        <w:top w:val="none" w:sz="0" w:space="0" w:color="auto"/>
        <w:left w:val="none" w:sz="0" w:space="0" w:color="auto"/>
        <w:bottom w:val="none" w:sz="0" w:space="0" w:color="auto"/>
        <w:right w:val="none" w:sz="0" w:space="0" w:color="auto"/>
      </w:divBdr>
    </w:div>
    <w:div w:id="1764110160">
      <w:bodyDiv w:val="1"/>
      <w:marLeft w:val="0"/>
      <w:marRight w:val="0"/>
      <w:marTop w:val="0"/>
      <w:marBottom w:val="0"/>
      <w:divBdr>
        <w:top w:val="none" w:sz="0" w:space="0" w:color="auto"/>
        <w:left w:val="none" w:sz="0" w:space="0" w:color="auto"/>
        <w:bottom w:val="none" w:sz="0" w:space="0" w:color="auto"/>
        <w:right w:val="none" w:sz="0" w:space="0" w:color="auto"/>
      </w:divBdr>
    </w:div>
    <w:div w:id="1766077869">
      <w:bodyDiv w:val="1"/>
      <w:marLeft w:val="0"/>
      <w:marRight w:val="0"/>
      <w:marTop w:val="0"/>
      <w:marBottom w:val="0"/>
      <w:divBdr>
        <w:top w:val="none" w:sz="0" w:space="0" w:color="auto"/>
        <w:left w:val="none" w:sz="0" w:space="0" w:color="auto"/>
        <w:bottom w:val="none" w:sz="0" w:space="0" w:color="auto"/>
        <w:right w:val="none" w:sz="0" w:space="0" w:color="auto"/>
      </w:divBdr>
    </w:div>
    <w:div w:id="1774280755">
      <w:bodyDiv w:val="1"/>
      <w:marLeft w:val="0"/>
      <w:marRight w:val="0"/>
      <w:marTop w:val="0"/>
      <w:marBottom w:val="0"/>
      <w:divBdr>
        <w:top w:val="none" w:sz="0" w:space="0" w:color="auto"/>
        <w:left w:val="none" w:sz="0" w:space="0" w:color="auto"/>
        <w:bottom w:val="none" w:sz="0" w:space="0" w:color="auto"/>
        <w:right w:val="none" w:sz="0" w:space="0" w:color="auto"/>
      </w:divBdr>
    </w:div>
    <w:div w:id="1775976163">
      <w:bodyDiv w:val="1"/>
      <w:marLeft w:val="0"/>
      <w:marRight w:val="0"/>
      <w:marTop w:val="0"/>
      <w:marBottom w:val="0"/>
      <w:divBdr>
        <w:top w:val="none" w:sz="0" w:space="0" w:color="auto"/>
        <w:left w:val="none" w:sz="0" w:space="0" w:color="auto"/>
        <w:bottom w:val="none" w:sz="0" w:space="0" w:color="auto"/>
        <w:right w:val="none" w:sz="0" w:space="0" w:color="auto"/>
      </w:divBdr>
    </w:div>
    <w:div w:id="1814591207">
      <w:bodyDiv w:val="1"/>
      <w:marLeft w:val="0"/>
      <w:marRight w:val="0"/>
      <w:marTop w:val="0"/>
      <w:marBottom w:val="0"/>
      <w:divBdr>
        <w:top w:val="none" w:sz="0" w:space="0" w:color="auto"/>
        <w:left w:val="none" w:sz="0" w:space="0" w:color="auto"/>
        <w:bottom w:val="none" w:sz="0" w:space="0" w:color="auto"/>
        <w:right w:val="none" w:sz="0" w:space="0" w:color="auto"/>
      </w:divBdr>
    </w:div>
    <w:div w:id="1844277158">
      <w:bodyDiv w:val="1"/>
      <w:marLeft w:val="0"/>
      <w:marRight w:val="0"/>
      <w:marTop w:val="0"/>
      <w:marBottom w:val="0"/>
      <w:divBdr>
        <w:top w:val="none" w:sz="0" w:space="0" w:color="auto"/>
        <w:left w:val="none" w:sz="0" w:space="0" w:color="auto"/>
        <w:bottom w:val="none" w:sz="0" w:space="0" w:color="auto"/>
        <w:right w:val="none" w:sz="0" w:space="0" w:color="auto"/>
      </w:divBdr>
    </w:div>
    <w:div w:id="1851601965">
      <w:bodyDiv w:val="1"/>
      <w:marLeft w:val="0"/>
      <w:marRight w:val="0"/>
      <w:marTop w:val="0"/>
      <w:marBottom w:val="0"/>
      <w:divBdr>
        <w:top w:val="none" w:sz="0" w:space="0" w:color="auto"/>
        <w:left w:val="none" w:sz="0" w:space="0" w:color="auto"/>
        <w:bottom w:val="none" w:sz="0" w:space="0" w:color="auto"/>
        <w:right w:val="none" w:sz="0" w:space="0" w:color="auto"/>
      </w:divBdr>
    </w:div>
    <w:div w:id="1868638026">
      <w:bodyDiv w:val="1"/>
      <w:marLeft w:val="0"/>
      <w:marRight w:val="0"/>
      <w:marTop w:val="0"/>
      <w:marBottom w:val="0"/>
      <w:divBdr>
        <w:top w:val="none" w:sz="0" w:space="0" w:color="auto"/>
        <w:left w:val="none" w:sz="0" w:space="0" w:color="auto"/>
        <w:bottom w:val="none" w:sz="0" w:space="0" w:color="auto"/>
        <w:right w:val="none" w:sz="0" w:space="0" w:color="auto"/>
      </w:divBdr>
    </w:div>
    <w:div w:id="1885673882">
      <w:bodyDiv w:val="1"/>
      <w:marLeft w:val="0"/>
      <w:marRight w:val="0"/>
      <w:marTop w:val="0"/>
      <w:marBottom w:val="0"/>
      <w:divBdr>
        <w:top w:val="none" w:sz="0" w:space="0" w:color="auto"/>
        <w:left w:val="none" w:sz="0" w:space="0" w:color="auto"/>
        <w:bottom w:val="none" w:sz="0" w:space="0" w:color="auto"/>
        <w:right w:val="none" w:sz="0" w:space="0" w:color="auto"/>
      </w:divBdr>
    </w:div>
    <w:div w:id="1893539103">
      <w:bodyDiv w:val="1"/>
      <w:marLeft w:val="0"/>
      <w:marRight w:val="0"/>
      <w:marTop w:val="0"/>
      <w:marBottom w:val="0"/>
      <w:divBdr>
        <w:top w:val="none" w:sz="0" w:space="0" w:color="auto"/>
        <w:left w:val="none" w:sz="0" w:space="0" w:color="auto"/>
        <w:bottom w:val="none" w:sz="0" w:space="0" w:color="auto"/>
        <w:right w:val="none" w:sz="0" w:space="0" w:color="auto"/>
      </w:divBdr>
    </w:div>
    <w:div w:id="1910458467">
      <w:bodyDiv w:val="1"/>
      <w:marLeft w:val="0"/>
      <w:marRight w:val="0"/>
      <w:marTop w:val="0"/>
      <w:marBottom w:val="0"/>
      <w:divBdr>
        <w:top w:val="none" w:sz="0" w:space="0" w:color="auto"/>
        <w:left w:val="none" w:sz="0" w:space="0" w:color="auto"/>
        <w:bottom w:val="none" w:sz="0" w:space="0" w:color="auto"/>
        <w:right w:val="none" w:sz="0" w:space="0" w:color="auto"/>
      </w:divBdr>
    </w:div>
    <w:div w:id="1914663348">
      <w:bodyDiv w:val="1"/>
      <w:marLeft w:val="0"/>
      <w:marRight w:val="0"/>
      <w:marTop w:val="0"/>
      <w:marBottom w:val="0"/>
      <w:divBdr>
        <w:top w:val="none" w:sz="0" w:space="0" w:color="auto"/>
        <w:left w:val="none" w:sz="0" w:space="0" w:color="auto"/>
        <w:bottom w:val="none" w:sz="0" w:space="0" w:color="auto"/>
        <w:right w:val="none" w:sz="0" w:space="0" w:color="auto"/>
      </w:divBdr>
    </w:div>
    <w:div w:id="1943803591">
      <w:bodyDiv w:val="1"/>
      <w:marLeft w:val="0"/>
      <w:marRight w:val="0"/>
      <w:marTop w:val="0"/>
      <w:marBottom w:val="0"/>
      <w:divBdr>
        <w:top w:val="none" w:sz="0" w:space="0" w:color="auto"/>
        <w:left w:val="none" w:sz="0" w:space="0" w:color="auto"/>
        <w:bottom w:val="none" w:sz="0" w:space="0" w:color="auto"/>
        <w:right w:val="none" w:sz="0" w:space="0" w:color="auto"/>
      </w:divBdr>
    </w:div>
    <w:div w:id="1964187965">
      <w:bodyDiv w:val="1"/>
      <w:marLeft w:val="0"/>
      <w:marRight w:val="0"/>
      <w:marTop w:val="0"/>
      <w:marBottom w:val="0"/>
      <w:divBdr>
        <w:top w:val="none" w:sz="0" w:space="0" w:color="auto"/>
        <w:left w:val="none" w:sz="0" w:space="0" w:color="auto"/>
        <w:bottom w:val="none" w:sz="0" w:space="0" w:color="auto"/>
        <w:right w:val="none" w:sz="0" w:space="0" w:color="auto"/>
      </w:divBdr>
    </w:div>
    <w:div w:id="1993941892">
      <w:bodyDiv w:val="1"/>
      <w:marLeft w:val="0"/>
      <w:marRight w:val="0"/>
      <w:marTop w:val="0"/>
      <w:marBottom w:val="0"/>
      <w:divBdr>
        <w:top w:val="none" w:sz="0" w:space="0" w:color="auto"/>
        <w:left w:val="none" w:sz="0" w:space="0" w:color="auto"/>
        <w:bottom w:val="none" w:sz="0" w:space="0" w:color="auto"/>
        <w:right w:val="none" w:sz="0" w:space="0" w:color="auto"/>
      </w:divBdr>
    </w:div>
    <w:div w:id="2011910584">
      <w:bodyDiv w:val="1"/>
      <w:marLeft w:val="0"/>
      <w:marRight w:val="0"/>
      <w:marTop w:val="0"/>
      <w:marBottom w:val="0"/>
      <w:divBdr>
        <w:top w:val="none" w:sz="0" w:space="0" w:color="auto"/>
        <w:left w:val="none" w:sz="0" w:space="0" w:color="auto"/>
        <w:bottom w:val="none" w:sz="0" w:space="0" w:color="auto"/>
        <w:right w:val="none" w:sz="0" w:space="0" w:color="auto"/>
      </w:divBdr>
    </w:div>
    <w:div w:id="2026594412">
      <w:bodyDiv w:val="1"/>
      <w:marLeft w:val="0"/>
      <w:marRight w:val="0"/>
      <w:marTop w:val="0"/>
      <w:marBottom w:val="0"/>
      <w:divBdr>
        <w:top w:val="none" w:sz="0" w:space="0" w:color="auto"/>
        <w:left w:val="none" w:sz="0" w:space="0" w:color="auto"/>
        <w:bottom w:val="none" w:sz="0" w:space="0" w:color="auto"/>
        <w:right w:val="none" w:sz="0" w:space="0" w:color="auto"/>
      </w:divBdr>
    </w:div>
    <w:div w:id="2051146298">
      <w:bodyDiv w:val="1"/>
      <w:marLeft w:val="0"/>
      <w:marRight w:val="0"/>
      <w:marTop w:val="0"/>
      <w:marBottom w:val="0"/>
      <w:divBdr>
        <w:top w:val="none" w:sz="0" w:space="0" w:color="auto"/>
        <w:left w:val="none" w:sz="0" w:space="0" w:color="auto"/>
        <w:bottom w:val="none" w:sz="0" w:space="0" w:color="auto"/>
        <w:right w:val="none" w:sz="0" w:space="0" w:color="auto"/>
      </w:divBdr>
    </w:div>
    <w:div w:id="2080518693">
      <w:bodyDiv w:val="1"/>
      <w:marLeft w:val="0"/>
      <w:marRight w:val="0"/>
      <w:marTop w:val="0"/>
      <w:marBottom w:val="0"/>
      <w:divBdr>
        <w:top w:val="none" w:sz="0" w:space="0" w:color="auto"/>
        <w:left w:val="none" w:sz="0" w:space="0" w:color="auto"/>
        <w:bottom w:val="none" w:sz="0" w:space="0" w:color="auto"/>
        <w:right w:val="none" w:sz="0" w:space="0" w:color="auto"/>
      </w:divBdr>
    </w:div>
    <w:div w:id="2098476546">
      <w:bodyDiv w:val="1"/>
      <w:marLeft w:val="0"/>
      <w:marRight w:val="0"/>
      <w:marTop w:val="0"/>
      <w:marBottom w:val="0"/>
      <w:divBdr>
        <w:top w:val="none" w:sz="0" w:space="0" w:color="auto"/>
        <w:left w:val="none" w:sz="0" w:space="0" w:color="auto"/>
        <w:bottom w:val="none" w:sz="0" w:space="0" w:color="auto"/>
        <w:right w:val="none" w:sz="0" w:space="0" w:color="auto"/>
      </w:divBdr>
    </w:div>
    <w:div w:id="21271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reporting-proble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tga.gov.au/product-information-pi"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4AF66-CB0B-4FA0-939E-C84043FC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4989</Words>
  <Characters>28582</Characters>
  <Application>Microsoft Office Word</Application>
  <DocSecurity>0</DocSecurity>
  <Lines>649</Lines>
  <Paragraphs>353</Paragraphs>
  <ScaleCrop>false</ScaleCrop>
  <HeadingPairs>
    <vt:vector size="2" baseType="variant">
      <vt:variant>
        <vt:lpstr>Title</vt:lpstr>
      </vt:variant>
      <vt:variant>
        <vt:i4>1</vt:i4>
      </vt:variant>
    </vt:vector>
  </HeadingPairs>
  <TitlesOfParts>
    <vt:vector size="1" baseType="lpstr">
      <vt:lpstr>COVID-19 Vaccine Janssen PI</vt:lpstr>
    </vt:vector>
  </TitlesOfParts>
  <Company>Janssen-Cilag</Company>
  <LinksUpToDate>false</LinksUpToDate>
  <CharactersWithSpaces>33218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Attachment-Product information for Rybrevant</dc:title>
  <dc:subject>perscription medicines</dc:subject>
  <dc:creator>Janssen-Cilag</dc:creator>
  <cp:lastModifiedBy>LACK, Janet</cp:lastModifiedBy>
  <cp:revision>3</cp:revision>
  <cp:lastPrinted>2019-06-12T00:20:00Z</cp:lastPrinted>
  <dcterms:created xsi:type="dcterms:W3CDTF">2023-09-04T00:16:00Z</dcterms:created>
  <dcterms:modified xsi:type="dcterms:W3CDTF">2023-09-04T00:22:00Z</dcterms:modified>
</cp:coreProperties>
</file>