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E445FBA" w:rsidR="00F02AEC" w:rsidRPr="00215D48" w:rsidRDefault="00346EC2" w:rsidP="007452E8">
            <w:pPr>
              <w:pStyle w:val="Title"/>
            </w:pPr>
            <w:r w:rsidRPr="00346EC2">
              <w:t xml:space="preserve">Australian Public Assessment Report for </w:t>
            </w:r>
            <w:proofErr w:type="spellStart"/>
            <w:r w:rsidR="006E6FCB">
              <w:t>Rybrevant</w:t>
            </w:r>
            <w:proofErr w:type="spellEnd"/>
          </w:p>
        </w:tc>
      </w:tr>
      <w:tr w:rsidR="00F02AEC" w:rsidRPr="00215D48" w14:paraId="318A40A3" w14:textId="77777777" w:rsidTr="00346EC2">
        <w:trPr>
          <w:trHeight w:val="995"/>
        </w:trPr>
        <w:tc>
          <w:tcPr>
            <w:tcW w:w="8720" w:type="dxa"/>
          </w:tcPr>
          <w:p w14:paraId="1AA7C701" w14:textId="3ECAA4F5" w:rsidR="00F02AEC" w:rsidRPr="00215D48" w:rsidRDefault="00346EC2" w:rsidP="007452E8">
            <w:pPr>
              <w:pStyle w:val="Subtitle"/>
              <w:ind w:left="0"/>
            </w:pPr>
            <w:r w:rsidRPr="00346EC2">
              <w:t xml:space="preserve">Active ingredient/s: </w:t>
            </w:r>
            <w:proofErr w:type="spellStart"/>
            <w:r w:rsidR="006E6FCB" w:rsidRPr="006E6FCB">
              <w:t>Amivantamab</w:t>
            </w:r>
            <w:proofErr w:type="spellEnd"/>
          </w:p>
        </w:tc>
      </w:tr>
      <w:tr w:rsidR="00346EC2" w:rsidRPr="00215D48" w14:paraId="362CCAE4" w14:textId="77777777" w:rsidTr="007452E8">
        <w:trPr>
          <w:trHeight w:val="1916"/>
        </w:trPr>
        <w:tc>
          <w:tcPr>
            <w:tcW w:w="8720" w:type="dxa"/>
          </w:tcPr>
          <w:p w14:paraId="709C45C0" w14:textId="78FFFC2D" w:rsidR="00346EC2" w:rsidRPr="00215D48" w:rsidRDefault="00346EC2" w:rsidP="007452E8">
            <w:pPr>
              <w:pStyle w:val="Subtitle"/>
              <w:ind w:left="0"/>
            </w:pPr>
            <w:r w:rsidRPr="00346EC2">
              <w:t xml:space="preserve">Sponsor: </w:t>
            </w:r>
            <w:r w:rsidR="006E6FCB" w:rsidRPr="006E6FCB">
              <w:t>Janssen-</w:t>
            </w:r>
            <w:proofErr w:type="spellStart"/>
            <w:r w:rsidR="006E6FCB" w:rsidRPr="006E6FCB">
              <w:t>Cilag</w:t>
            </w:r>
            <w:proofErr w:type="spellEnd"/>
            <w:r w:rsidR="006E6FCB" w:rsidRPr="006E6FCB">
              <w:t xml:space="preserve"> Pty Ltd</w:t>
            </w:r>
          </w:p>
        </w:tc>
      </w:tr>
      <w:tr w:rsidR="00F02AEC" w:rsidRPr="00215D48" w14:paraId="37F2AA1F" w14:textId="77777777" w:rsidTr="007452E8">
        <w:tc>
          <w:tcPr>
            <w:tcW w:w="8720" w:type="dxa"/>
          </w:tcPr>
          <w:p w14:paraId="1FDE8DCD" w14:textId="1F1F8193" w:rsidR="00F02AEC" w:rsidRPr="00215D48" w:rsidRDefault="0006496E" w:rsidP="007452E8">
            <w:pPr>
              <w:pStyle w:val="Date"/>
            </w:pPr>
            <w:r>
              <w:t>August</w:t>
            </w:r>
            <w:r w:rsidR="006E6FCB">
              <w:t xml:space="preserve"> 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04215D66"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5D3B9356"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25965F55"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2F0D0299" w14:textId="219EE03F" w:rsidR="0006496E"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4288294" w:history="1">
            <w:r w:rsidR="0006496E" w:rsidRPr="00443D63">
              <w:rPr>
                <w:rStyle w:val="Hyperlink"/>
                <w:noProof/>
              </w:rPr>
              <w:t>List of abbreviations</w:t>
            </w:r>
            <w:r w:rsidR="0006496E">
              <w:rPr>
                <w:noProof/>
                <w:webHidden/>
              </w:rPr>
              <w:tab/>
            </w:r>
            <w:r w:rsidR="0006496E">
              <w:rPr>
                <w:noProof/>
                <w:webHidden/>
              </w:rPr>
              <w:fldChar w:fldCharType="begin"/>
            </w:r>
            <w:r w:rsidR="0006496E">
              <w:rPr>
                <w:noProof/>
                <w:webHidden/>
              </w:rPr>
              <w:instrText xml:space="preserve"> PAGEREF _Toc144288294 \h </w:instrText>
            </w:r>
            <w:r w:rsidR="0006496E">
              <w:rPr>
                <w:noProof/>
                <w:webHidden/>
              </w:rPr>
            </w:r>
            <w:r w:rsidR="0006496E">
              <w:rPr>
                <w:noProof/>
                <w:webHidden/>
              </w:rPr>
              <w:fldChar w:fldCharType="separate"/>
            </w:r>
            <w:r w:rsidR="0006496E">
              <w:rPr>
                <w:noProof/>
                <w:webHidden/>
              </w:rPr>
              <w:t>4</w:t>
            </w:r>
            <w:r w:rsidR="0006496E">
              <w:rPr>
                <w:noProof/>
                <w:webHidden/>
              </w:rPr>
              <w:fldChar w:fldCharType="end"/>
            </w:r>
          </w:hyperlink>
        </w:p>
        <w:p w14:paraId="21297882" w14:textId="030537C1" w:rsidR="0006496E" w:rsidRDefault="00C3481D">
          <w:pPr>
            <w:pStyle w:val="TOC1"/>
            <w:rPr>
              <w:rFonts w:asciiTheme="minorHAnsi" w:eastAsiaTheme="minorEastAsia" w:hAnsiTheme="minorHAnsi" w:cstheme="minorBidi"/>
              <w:b w:val="0"/>
              <w:noProof/>
              <w:color w:val="auto"/>
              <w:sz w:val="22"/>
              <w:szCs w:val="22"/>
              <w:lang w:eastAsia="en-AU"/>
            </w:rPr>
          </w:pPr>
          <w:hyperlink w:anchor="_Toc144288295" w:history="1">
            <w:r w:rsidR="0006496E" w:rsidRPr="00443D63">
              <w:rPr>
                <w:rStyle w:val="Hyperlink"/>
                <w:noProof/>
              </w:rPr>
              <w:t>Product submission</w:t>
            </w:r>
            <w:r w:rsidR="0006496E">
              <w:rPr>
                <w:noProof/>
                <w:webHidden/>
              </w:rPr>
              <w:tab/>
            </w:r>
            <w:r w:rsidR="0006496E">
              <w:rPr>
                <w:noProof/>
                <w:webHidden/>
              </w:rPr>
              <w:fldChar w:fldCharType="begin"/>
            </w:r>
            <w:r w:rsidR="0006496E">
              <w:rPr>
                <w:noProof/>
                <w:webHidden/>
              </w:rPr>
              <w:instrText xml:space="preserve"> PAGEREF _Toc144288295 \h </w:instrText>
            </w:r>
            <w:r w:rsidR="0006496E">
              <w:rPr>
                <w:noProof/>
                <w:webHidden/>
              </w:rPr>
            </w:r>
            <w:r w:rsidR="0006496E">
              <w:rPr>
                <w:noProof/>
                <w:webHidden/>
              </w:rPr>
              <w:fldChar w:fldCharType="separate"/>
            </w:r>
            <w:r w:rsidR="0006496E">
              <w:rPr>
                <w:noProof/>
                <w:webHidden/>
              </w:rPr>
              <w:t>6</w:t>
            </w:r>
            <w:r w:rsidR="0006496E">
              <w:rPr>
                <w:noProof/>
                <w:webHidden/>
              </w:rPr>
              <w:fldChar w:fldCharType="end"/>
            </w:r>
          </w:hyperlink>
        </w:p>
        <w:p w14:paraId="4F00CD4C" w14:textId="054B729D" w:rsidR="0006496E" w:rsidRDefault="00C3481D">
          <w:pPr>
            <w:pStyle w:val="TOC2"/>
            <w:rPr>
              <w:rFonts w:asciiTheme="minorHAnsi" w:eastAsiaTheme="minorEastAsia" w:hAnsiTheme="minorHAnsi" w:cstheme="minorBidi"/>
              <w:b w:val="0"/>
              <w:noProof/>
              <w:color w:val="auto"/>
              <w:sz w:val="22"/>
              <w:szCs w:val="22"/>
              <w:lang w:eastAsia="en-AU"/>
            </w:rPr>
          </w:pPr>
          <w:hyperlink w:anchor="_Toc144288296" w:history="1">
            <w:r w:rsidR="0006496E" w:rsidRPr="00443D63">
              <w:rPr>
                <w:rStyle w:val="Hyperlink"/>
                <w:noProof/>
                <w:lang w:eastAsia="en-AU"/>
              </w:rPr>
              <w:t>Submission details</w:t>
            </w:r>
            <w:r w:rsidR="0006496E">
              <w:rPr>
                <w:noProof/>
                <w:webHidden/>
              </w:rPr>
              <w:tab/>
            </w:r>
            <w:r w:rsidR="0006496E">
              <w:rPr>
                <w:noProof/>
                <w:webHidden/>
              </w:rPr>
              <w:fldChar w:fldCharType="begin"/>
            </w:r>
            <w:r w:rsidR="0006496E">
              <w:rPr>
                <w:noProof/>
                <w:webHidden/>
              </w:rPr>
              <w:instrText xml:space="preserve"> PAGEREF _Toc144288296 \h </w:instrText>
            </w:r>
            <w:r w:rsidR="0006496E">
              <w:rPr>
                <w:noProof/>
                <w:webHidden/>
              </w:rPr>
            </w:r>
            <w:r w:rsidR="0006496E">
              <w:rPr>
                <w:noProof/>
                <w:webHidden/>
              </w:rPr>
              <w:fldChar w:fldCharType="separate"/>
            </w:r>
            <w:r w:rsidR="0006496E">
              <w:rPr>
                <w:noProof/>
                <w:webHidden/>
              </w:rPr>
              <w:t>6</w:t>
            </w:r>
            <w:r w:rsidR="0006496E">
              <w:rPr>
                <w:noProof/>
                <w:webHidden/>
              </w:rPr>
              <w:fldChar w:fldCharType="end"/>
            </w:r>
          </w:hyperlink>
        </w:p>
        <w:p w14:paraId="6CD0ADAE" w14:textId="72FC04C8" w:rsidR="0006496E" w:rsidRDefault="00C3481D">
          <w:pPr>
            <w:pStyle w:val="TOC2"/>
            <w:rPr>
              <w:rFonts w:asciiTheme="minorHAnsi" w:eastAsiaTheme="minorEastAsia" w:hAnsiTheme="minorHAnsi" w:cstheme="minorBidi"/>
              <w:b w:val="0"/>
              <w:noProof/>
              <w:color w:val="auto"/>
              <w:sz w:val="22"/>
              <w:szCs w:val="22"/>
              <w:lang w:eastAsia="en-AU"/>
            </w:rPr>
          </w:pPr>
          <w:hyperlink w:anchor="_Toc144288297" w:history="1">
            <w:r w:rsidR="0006496E" w:rsidRPr="00443D63">
              <w:rPr>
                <w:rStyle w:val="Hyperlink"/>
                <w:noProof/>
              </w:rPr>
              <w:t>Product background</w:t>
            </w:r>
            <w:r w:rsidR="0006496E">
              <w:rPr>
                <w:noProof/>
                <w:webHidden/>
              </w:rPr>
              <w:tab/>
            </w:r>
            <w:r w:rsidR="0006496E">
              <w:rPr>
                <w:noProof/>
                <w:webHidden/>
              </w:rPr>
              <w:fldChar w:fldCharType="begin"/>
            </w:r>
            <w:r w:rsidR="0006496E">
              <w:rPr>
                <w:noProof/>
                <w:webHidden/>
              </w:rPr>
              <w:instrText xml:space="preserve"> PAGEREF _Toc144288297 \h </w:instrText>
            </w:r>
            <w:r w:rsidR="0006496E">
              <w:rPr>
                <w:noProof/>
                <w:webHidden/>
              </w:rPr>
            </w:r>
            <w:r w:rsidR="0006496E">
              <w:rPr>
                <w:noProof/>
                <w:webHidden/>
              </w:rPr>
              <w:fldChar w:fldCharType="separate"/>
            </w:r>
            <w:r w:rsidR="0006496E">
              <w:rPr>
                <w:noProof/>
                <w:webHidden/>
              </w:rPr>
              <w:t>7</w:t>
            </w:r>
            <w:r w:rsidR="0006496E">
              <w:rPr>
                <w:noProof/>
                <w:webHidden/>
              </w:rPr>
              <w:fldChar w:fldCharType="end"/>
            </w:r>
          </w:hyperlink>
        </w:p>
        <w:p w14:paraId="1CA3DA95" w14:textId="1B6492AA" w:rsidR="0006496E" w:rsidRDefault="00C3481D">
          <w:pPr>
            <w:pStyle w:val="TOC3"/>
            <w:rPr>
              <w:rFonts w:asciiTheme="minorHAnsi" w:eastAsiaTheme="minorEastAsia" w:hAnsiTheme="minorHAnsi" w:cstheme="minorBidi"/>
              <w:b w:val="0"/>
              <w:noProof/>
              <w:color w:val="auto"/>
              <w:szCs w:val="22"/>
              <w:lang w:eastAsia="en-AU"/>
            </w:rPr>
          </w:pPr>
          <w:hyperlink w:anchor="_Toc144288298" w:history="1">
            <w:r w:rsidR="0006496E" w:rsidRPr="00443D63">
              <w:rPr>
                <w:rStyle w:val="Hyperlink"/>
                <w:noProof/>
              </w:rPr>
              <w:t>Condition</w:t>
            </w:r>
            <w:r w:rsidR="0006496E">
              <w:rPr>
                <w:noProof/>
                <w:webHidden/>
              </w:rPr>
              <w:tab/>
            </w:r>
            <w:r w:rsidR="0006496E">
              <w:rPr>
                <w:noProof/>
                <w:webHidden/>
              </w:rPr>
              <w:fldChar w:fldCharType="begin"/>
            </w:r>
            <w:r w:rsidR="0006496E">
              <w:rPr>
                <w:noProof/>
                <w:webHidden/>
              </w:rPr>
              <w:instrText xml:space="preserve"> PAGEREF _Toc144288298 \h </w:instrText>
            </w:r>
            <w:r w:rsidR="0006496E">
              <w:rPr>
                <w:noProof/>
                <w:webHidden/>
              </w:rPr>
            </w:r>
            <w:r w:rsidR="0006496E">
              <w:rPr>
                <w:noProof/>
                <w:webHidden/>
              </w:rPr>
              <w:fldChar w:fldCharType="separate"/>
            </w:r>
            <w:r w:rsidR="0006496E">
              <w:rPr>
                <w:noProof/>
                <w:webHidden/>
              </w:rPr>
              <w:t>8</w:t>
            </w:r>
            <w:r w:rsidR="0006496E">
              <w:rPr>
                <w:noProof/>
                <w:webHidden/>
              </w:rPr>
              <w:fldChar w:fldCharType="end"/>
            </w:r>
          </w:hyperlink>
        </w:p>
        <w:p w14:paraId="55054F08" w14:textId="6B5D2FE7" w:rsidR="0006496E" w:rsidRDefault="00C3481D">
          <w:pPr>
            <w:pStyle w:val="TOC3"/>
            <w:rPr>
              <w:rFonts w:asciiTheme="minorHAnsi" w:eastAsiaTheme="minorEastAsia" w:hAnsiTheme="minorHAnsi" w:cstheme="minorBidi"/>
              <w:b w:val="0"/>
              <w:noProof/>
              <w:color w:val="auto"/>
              <w:szCs w:val="22"/>
              <w:lang w:eastAsia="en-AU"/>
            </w:rPr>
          </w:pPr>
          <w:hyperlink w:anchor="_Toc144288299" w:history="1">
            <w:r w:rsidR="0006496E" w:rsidRPr="00443D63">
              <w:rPr>
                <w:rStyle w:val="Hyperlink"/>
                <w:noProof/>
              </w:rPr>
              <w:t>Current treatment options</w:t>
            </w:r>
            <w:r w:rsidR="0006496E">
              <w:rPr>
                <w:noProof/>
                <w:webHidden/>
              </w:rPr>
              <w:tab/>
            </w:r>
            <w:r w:rsidR="0006496E">
              <w:rPr>
                <w:noProof/>
                <w:webHidden/>
              </w:rPr>
              <w:fldChar w:fldCharType="begin"/>
            </w:r>
            <w:r w:rsidR="0006496E">
              <w:rPr>
                <w:noProof/>
                <w:webHidden/>
              </w:rPr>
              <w:instrText xml:space="preserve"> PAGEREF _Toc144288299 \h </w:instrText>
            </w:r>
            <w:r w:rsidR="0006496E">
              <w:rPr>
                <w:noProof/>
                <w:webHidden/>
              </w:rPr>
            </w:r>
            <w:r w:rsidR="0006496E">
              <w:rPr>
                <w:noProof/>
                <w:webHidden/>
              </w:rPr>
              <w:fldChar w:fldCharType="separate"/>
            </w:r>
            <w:r w:rsidR="0006496E">
              <w:rPr>
                <w:noProof/>
                <w:webHidden/>
              </w:rPr>
              <w:t>10</w:t>
            </w:r>
            <w:r w:rsidR="0006496E">
              <w:rPr>
                <w:noProof/>
                <w:webHidden/>
              </w:rPr>
              <w:fldChar w:fldCharType="end"/>
            </w:r>
          </w:hyperlink>
        </w:p>
        <w:p w14:paraId="47B5DBFE" w14:textId="2E8EE082" w:rsidR="0006496E" w:rsidRDefault="00C3481D">
          <w:pPr>
            <w:pStyle w:val="TOC3"/>
            <w:rPr>
              <w:rFonts w:asciiTheme="minorHAnsi" w:eastAsiaTheme="minorEastAsia" w:hAnsiTheme="minorHAnsi" w:cstheme="minorBidi"/>
              <w:b w:val="0"/>
              <w:noProof/>
              <w:color w:val="auto"/>
              <w:szCs w:val="22"/>
              <w:lang w:eastAsia="en-AU"/>
            </w:rPr>
          </w:pPr>
          <w:hyperlink w:anchor="_Toc144288300" w:history="1">
            <w:r w:rsidR="0006496E" w:rsidRPr="00443D63">
              <w:rPr>
                <w:rStyle w:val="Hyperlink"/>
                <w:noProof/>
              </w:rPr>
              <w:t>Mechanism of action of amivantamab</w:t>
            </w:r>
            <w:r w:rsidR="0006496E">
              <w:rPr>
                <w:noProof/>
                <w:webHidden/>
              </w:rPr>
              <w:tab/>
            </w:r>
            <w:r w:rsidR="0006496E">
              <w:rPr>
                <w:noProof/>
                <w:webHidden/>
              </w:rPr>
              <w:fldChar w:fldCharType="begin"/>
            </w:r>
            <w:r w:rsidR="0006496E">
              <w:rPr>
                <w:noProof/>
                <w:webHidden/>
              </w:rPr>
              <w:instrText xml:space="preserve"> PAGEREF _Toc144288300 \h </w:instrText>
            </w:r>
            <w:r w:rsidR="0006496E">
              <w:rPr>
                <w:noProof/>
                <w:webHidden/>
              </w:rPr>
            </w:r>
            <w:r w:rsidR="0006496E">
              <w:rPr>
                <w:noProof/>
                <w:webHidden/>
              </w:rPr>
              <w:fldChar w:fldCharType="separate"/>
            </w:r>
            <w:r w:rsidR="0006496E">
              <w:rPr>
                <w:noProof/>
                <w:webHidden/>
              </w:rPr>
              <w:t>18</w:t>
            </w:r>
            <w:r w:rsidR="0006496E">
              <w:rPr>
                <w:noProof/>
                <w:webHidden/>
              </w:rPr>
              <w:fldChar w:fldCharType="end"/>
            </w:r>
          </w:hyperlink>
        </w:p>
        <w:p w14:paraId="26C5834E" w14:textId="2166CC72" w:rsidR="0006496E" w:rsidRDefault="00C3481D">
          <w:pPr>
            <w:pStyle w:val="TOC2"/>
            <w:rPr>
              <w:rFonts w:asciiTheme="minorHAnsi" w:eastAsiaTheme="minorEastAsia" w:hAnsiTheme="minorHAnsi" w:cstheme="minorBidi"/>
              <w:b w:val="0"/>
              <w:noProof/>
              <w:color w:val="auto"/>
              <w:sz w:val="22"/>
              <w:szCs w:val="22"/>
              <w:lang w:eastAsia="en-AU"/>
            </w:rPr>
          </w:pPr>
          <w:hyperlink w:anchor="_Toc144288301" w:history="1">
            <w:r w:rsidR="0006496E" w:rsidRPr="00443D63">
              <w:rPr>
                <w:rStyle w:val="Hyperlink"/>
                <w:noProof/>
              </w:rPr>
              <w:t>Regulatory status</w:t>
            </w:r>
            <w:r w:rsidR="0006496E">
              <w:rPr>
                <w:noProof/>
                <w:webHidden/>
              </w:rPr>
              <w:tab/>
            </w:r>
            <w:r w:rsidR="0006496E">
              <w:rPr>
                <w:noProof/>
                <w:webHidden/>
              </w:rPr>
              <w:fldChar w:fldCharType="begin"/>
            </w:r>
            <w:r w:rsidR="0006496E">
              <w:rPr>
                <w:noProof/>
                <w:webHidden/>
              </w:rPr>
              <w:instrText xml:space="preserve"> PAGEREF _Toc144288301 \h </w:instrText>
            </w:r>
            <w:r w:rsidR="0006496E">
              <w:rPr>
                <w:noProof/>
                <w:webHidden/>
              </w:rPr>
            </w:r>
            <w:r w:rsidR="0006496E">
              <w:rPr>
                <w:noProof/>
                <w:webHidden/>
              </w:rPr>
              <w:fldChar w:fldCharType="separate"/>
            </w:r>
            <w:r w:rsidR="0006496E">
              <w:rPr>
                <w:noProof/>
                <w:webHidden/>
              </w:rPr>
              <w:t>19</w:t>
            </w:r>
            <w:r w:rsidR="0006496E">
              <w:rPr>
                <w:noProof/>
                <w:webHidden/>
              </w:rPr>
              <w:fldChar w:fldCharType="end"/>
            </w:r>
          </w:hyperlink>
        </w:p>
        <w:p w14:paraId="024B0D9F" w14:textId="583D442D" w:rsidR="0006496E" w:rsidRDefault="00C3481D">
          <w:pPr>
            <w:pStyle w:val="TOC2"/>
            <w:rPr>
              <w:rFonts w:asciiTheme="minorHAnsi" w:eastAsiaTheme="minorEastAsia" w:hAnsiTheme="minorHAnsi" w:cstheme="minorBidi"/>
              <w:b w:val="0"/>
              <w:noProof/>
              <w:color w:val="auto"/>
              <w:sz w:val="22"/>
              <w:szCs w:val="22"/>
              <w:lang w:eastAsia="en-AU"/>
            </w:rPr>
          </w:pPr>
          <w:hyperlink w:anchor="_Toc144288302" w:history="1">
            <w:r w:rsidR="0006496E" w:rsidRPr="00443D63">
              <w:rPr>
                <w:rStyle w:val="Hyperlink"/>
                <w:noProof/>
              </w:rPr>
              <w:t>Product Information</w:t>
            </w:r>
            <w:r w:rsidR="0006496E">
              <w:rPr>
                <w:noProof/>
                <w:webHidden/>
              </w:rPr>
              <w:tab/>
            </w:r>
            <w:r w:rsidR="0006496E">
              <w:rPr>
                <w:noProof/>
                <w:webHidden/>
              </w:rPr>
              <w:fldChar w:fldCharType="begin"/>
            </w:r>
            <w:r w:rsidR="0006496E">
              <w:rPr>
                <w:noProof/>
                <w:webHidden/>
              </w:rPr>
              <w:instrText xml:space="preserve"> PAGEREF _Toc144288302 \h </w:instrText>
            </w:r>
            <w:r w:rsidR="0006496E">
              <w:rPr>
                <w:noProof/>
                <w:webHidden/>
              </w:rPr>
            </w:r>
            <w:r w:rsidR="0006496E">
              <w:rPr>
                <w:noProof/>
                <w:webHidden/>
              </w:rPr>
              <w:fldChar w:fldCharType="separate"/>
            </w:r>
            <w:r w:rsidR="0006496E">
              <w:rPr>
                <w:noProof/>
                <w:webHidden/>
              </w:rPr>
              <w:t>21</w:t>
            </w:r>
            <w:r w:rsidR="0006496E">
              <w:rPr>
                <w:noProof/>
                <w:webHidden/>
              </w:rPr>
              <w:fldChar w:fldCharType="end"/>
            </w:r>
          </w:hyperlink>
        </w:p>
        <w:p w14:paraId="14564EC7" w14:textId="54D6A5CD" w:rsidR="0006496E" w:rsidRDefault="00C3481D">
          <w:pPr>
            <w:pStyle w:val="TOC1"/>
            <w:rPr>
              <w:rFonts w:asciiTheme="minorHAnsi" w:eastAsiaTheme="minorEastAsia" w:hAnsiTheme="minorHAnsi" w:cstheme="minorBidi"/>
              <w:b w:val="0"/>
              <w:noProof/>
              <w:color w:val="auto"/>
              <w:sz w:val="22"/>
              <w:szCs w:val="22"/>
              <w:lang w:eastAsia="en-AU"/>
            </w:rPr>
          </w:pPr>
          <w:hyperlink w:anchor="_Toc144288303" w:history="1">
            <w:r w:rsidR="0006496E" w:rsidRPr="00443D63">
              <w:rPr>
                <w:rStyle w:val="Hyperlink"/>
                <w:noProof/>
              </w:rPr>
              <w:t>Registration timeline</w:t>
            </w:r>
            <w:r w:rsidR="0006496E">
              <w:rPr>
                <w:noProof/>
                <w:webHidden/>
              </w:rPr>
              <w:tab/>
            </w:r>
            <w:r w:rsidR="0006496E">
              <w:rPr>
                <w:noProof/>
                <w:webHidden/>
              </w:rPr>
              <w:fldChar w:fldCharType="begin"/>
            </w:r>
            <w:r w:rsidR="0006496E">
              <w:rPr>
                <w:noProof/>
                <w:webHidden/>
              </w:rPr>
              <w:instrText xml:space="preserve"> PAGEREF _Toc144288303 \h </w:instrText>
            </w:r>
            <w:r w:rsidR="0006496E">
              <w:rPr>
                <w:noProof/>
                <w:webHidden/>
              </w:rPr>
            </w:r>
            <w:r w:rsidR="0006496E">
              <w:rPr>
                <w:noProof/>
                <w:webHidden/>
              </w:rPr>
              <w:fldChar w:fldCharType="separate"/>
            </w:r>
            <w:r w:rsidR="0006496E">
              <w:rPr>
                <w:noProof/>
                <w:webHidden/>
              </w:rPr>
              <w:t>21</w:t>
            </w:r>
            <w:r w:rsidR="0006496E">
              <w:rPr>
                <w:noProof/>
                <w:webHidden/>
              </w:rPr>
              <w:fldChar w:fldCharType="end"/>
            </w:r>
          </w:hyperlink>
        </w:p>
        <w:p w14:paraId="4E18DCBF" w14:textId="5A0C05CF" w:rsidR="0006496E" w:rsidRDefault="00C3481D">
          <w:pPr>
            <w:pStyle w:val="TOC1"/>
            <w:rPr>
              <w:rFonts w:asciiTheme="minorHAnsi" w:eastAsiaTheme="minorEastAsia" w:hAnsiTheme="minorHAnsi" w:cstheme="minorBidi"/>
              <w:b w:val="0"/>
              <w:noProof/>
              <w:color w:val="auto"/>
              <w:sz w:val="22"/>
              <w:szCs w:val="22"/>
              <w:lang w:eastAsia="en-AU"/>
            </w:rPr>
          </w:pPr>
          <w:hyperlink w:anchor="_Toc144288304" w:history="1">
            <w:r w:rsidR="0006496E" w:rsidRPr="00443D63">
              <w:rPr>
                <w:rStyle w:val="Hyperlink"/>
                <w:noProof/>
              </w:rPr>
              <w:t>Submission overview and risk/benefit assessment</w:t>
            </w:r>
            <w:r w:rsidR="0006496E">
              <w:rPr>
                <w:noProof/>
                <w:webHidden/>
              </w:rPr>
              <w:tab/>
            </w:r>
            <w:r w:rsidR="0006496E">
              <w:rPr>
                <w:noProof/>
                <w:webHidden/>
              </w:rPr>
              <w:fldChar w:fldCharType="begin"/>
            </w:r>
            <w:r w:rsidR="0006496E">
              <w:rPr>
                <w:noProof/>
                <w:webHidden/>
              </w:rPr>
              <w:instrText xml:space="preserve"> PAGEREF _Toc144288304 \h </w:instrText>
            </w:r>
            <w:r w:rsidR="0006496E">
              <w:rPr>
                <w:noProof/>
                <w:webHidden/>
              </w:rPr>
            </w:r>
            <w:r w:rsidR="0006496E">
              <w:rPr>
                <w:noProof/>
                <w:webHidden/>
              </w:rPr>
              <w:fldChar w:fldCharType="separate"/>
            </w:r>
            <w:r w:rsidR="0006496E">
              <w:rPr>
                <w:noProof/>
                <w:webHidden/>
              </w:rPr>
              <w:t>21</w:t>
            </w:r>
            <w:r w:rsidR="0006496E">
              <w:rPr>
                <w:noProof/>
                <w:webHidden/>
              </w:rPr>
              <w:fldChar w:fldCharType="end"/>
            </w:r>
          </w:hyperlink>
        </w:p>
        <w:p w14:paraId="2AD95B90" w14:textId="71BD5D51" w:rsidR="0006496E" w:rsidRDefault="00C3481D">
          <w:pPr>
            <w:pStyle w:val="TOC2"/>
            <w:rPr>
              <w:rFonts w:asciiTheme="minorHAnsi" w:eastAsiaTheme="minorEastAsia" w:hAnsiTheme="minorHAnsi" w:cstheme="minorBidi"/>
              <w:b w:val="0"/>
              <w:noProof/>
              <w:color w:val="auto"/>
              <w:sz w:val="22"/>
              <w:szCs w:val="22"/>
              <w:lang w:eastAsia="en-AU"/>
            </w:rPr>
          </w:pPr>
          <w:hyperlink w:anchor="_Toc144288305" w:history="1">
            <w:r w:rsidR="0006496E" w:rsidRPr="00443D63">
              <w:rPr>
                <w:rStyle w:val="Hyperlink"/>
                <w:noProof/>
              </w:rPr>
              <w:t>Quality</w:t>
            </w:r>
            <w:r w:rsidR="0006496E">
              <w:rPr>
                <w:noProof/>
                <w:webHidden/>
              </w:rPr>
              <w:tab/>
            </w:r>
            <w:r w:rsidR="0006496E">
              <w:rPr>
                <w:noProof/>
                <w:webHidden/>
              </w:rPr>
              <w:fldChar w:fldCharType="begin"/>
            </w:r>
            <w:r w:rsidR="0006496E">
              <w:rPr>
                <w:noProof/>
                <w:webHidden/>
              </w:rPr>
              <w:instrText xml:space="preserve"> PAGEREF _Toc144288305 \h </w:instrText>
            </w:r>
            <w:r w:rsidR="0006496E">
              <w:rPr>
                <w:noProof/>
                <w:webHidden/>
              </w:rPr>
            </w:r>
            <w:r w:rsidR="0006496E">
              <w:rPr>
                <w:noProof/>
                <w:webHidden/>
              </w:rPr>
              <w:fldChar w:fldCharType="separate"/>
            </w:r>
            <w:r w:rsidR="0006496E">
              <w:rPr>
                <w:noProof/>
                <w:webHidden/>
              </w:rPr>
              <w:t>22</w:t>
            </w:r>
            <w:r w:rsidR="0006496E">
              <w:rPr>
                <w:noProof/>
                <w:webHidden/>
              </w:rPr>
              <w:fldChar w:fldCharType="end"/>
            </w:r>
          </w:hyperlink>
        </w:p>
        <w:p w14:paraId="6F9A646C" w14:textId="4E65E7FD" w:rsidR="0006496E" w:rsidRDefault="00C3481D">
          <w:pPr>
            <w:pStyle w:val="TOC2"/>
            <w:rPr>
              <w:rFonts w:asciiTheme="minorHAnsi" w:eastAsiaTheme="minorEastAsia" w:hAnsiTheme="minorHAnsi" w:cstheme="minorBidi"/>
              <w:b w:val="0"/>
              <w:noProof/>
              <w:color w:val="auto"/>
              <w:sz w:val="22"/>
              <w:szCs w:val="22"/>
              <w:lang w:eastAsia="en-AU"/>
            </w:rPr>
          </w:pPr>
          <w:hyperlink w:anchor="_Toc144288306" w:history="1">
            <w:r w:rsidR="0006496E" w:rsidRPr="00443D63">
              <w:rPr>
                <w:rStyle w:val="Hyperlink"/>
                <w:noProof/>
              </w:rPr>
              <w:t>Nonclinical</w:t>
            </w:r>
            <w:r w:rsidR="0006496E">
              <w:rPr>
                <w:noProof/>
                <w:webHidden/>
              </w:rPr>
              <w:tab/>
            </w:r>
            <w:r w:rsidR="0006496E">
              <w:rPr>
                <w:noProof/>
                <w:webHidden/>
              </w:rPr>
              <w:fldChar w:fldCharType="begin"/>
            </w:r>
            <w:r w:rsidR="0006496E">
              <w:rPr>
                <w:noProof/>
                <w:webHidden/>
              </w:rPr>
              <w:instrText xml:space="preserve"> PAGEREF _Toc144288306 \h </w:instrText>
            </w:r>
            <w:r w:rsidR="0006496E">
              <w:rPr>
                <w:noProof/>
                <w:webHidden/>
              </w:rPr>
            </w:r>
            <w:r w:rsidR="0006496E">
              <w:rPr>
                <w:noProof/>
                <w:webHidden/>
              </w:rPr>
              <w:fldChar w:fldCharType="separate"/>
            </w:r>
            <w:r w:rsidR="0006496E">
              <w:rPr>
                <w:noProof/>
                <w:webHidden/>
              </w:rPr>
              <w:t>22</w:t>
            </w:r>
            <w:r w:rsidR="0006496E">
              <w:rPr>
                <w:noProof/>
                <w:webHidden/>
              </w:rPr>
              <w:fldChar w:fldCharType="end"/>
            </w:r>
          </w:hyperlink>
        </w:p>
        <w:p w14:paraId="110B7D85" w14:textId="29D41FD2" w:rsidR="0006496E" w:rsidRDefault="00C3481D">
          <w:pPr>
            <w:pStyle w:val="TOC2"/>
            <w:rPr>
              <w:rFonts w:asciiTheme="minorHAnsi" w:eastAsiaTheme="minorEastAsia" w:hAnsiTheme="minorHAnsi" w:cstheme="minorBidi"/>
              <w:b w:val="0"/>
              <w:noProof/>
              <w:color w:val="auto"/>
              <w:sz w:val="22"/>
              <w:szCs w:val="22"/>
              <w:lang w:eastAsia="en-AU"/>
            </w:rPr>
          </w:pPr>
          <w:hyperlink w:anchor="_Toc144288307" w:history="1">
            <w:r w:rsidR="0006496E" w:rsidRPr="00443D63">
              <w:rPr>
                <w:rStyle w:val="Hyperlink"/>
                <w:noProof/>
              </w:rPr>
              <w:t>Clinical</w:t>
            </w:r>
            <w:r w:rsidR="0006496E">
              <w:rPr>
                <w:noProof/>
                <w:webHidden/>
              </w:rPr>
              <w:tab/>
            </w:r>
            <w:r w:rsidR="0006496E">
              <w:rPr>
                <w:noProof/>
                <w:webHidden/>
              </w:rPr>
              <w:fldChar w:fldCharType="begin"/>
            </w:r>
            <w:r w:rsidR="0006496E">
              <w:rPr>
                <w:noProof/>
                <w:webHidden/>
              </w:rPr>
              <w:instrText xml:space="preserve"> PAGEREF _Toc144288307 \h </w:instrText>
            </w:r>
            <w:r w:rsidR="0006496E">
              <w:rPr>
                <w:noProof/>
                <w:webHidden/>
              </w:rPr>
            </w:r>
            <w:r w:rsidR="0006496E">
              <w:rPr>
                <w:noProof/>
                <w:webHidden/>
              </w:rPr>
              <w:fldChar w:fldCharType="separate"/>
            </w:r>
            <w:r w:rsidR="0006496E">
              <w:rPr>
                <w:noProof/>
                <w:webHidden/>
              </w:rPr>
              <w:t>23</w:t>
            </w:r>
            <w:r w:rsidR="0006496E">
              <w:rPr>
                <w:noProof/>
                <w:webHidden/>
              </w:rPr>
              <w:fldChar w:fldCharType="end"/>
            </w:r>
          </w:hyperlink>
        </w:p>
        <w:p w14:paraId="00DB1B95" w14:textId="54856AAC" w:rsidR="0006496E" w:rsidRDefault="00C3481D">
          <w:pPr>
            <w:pStyle w:val="TOC3"/>
            <w:rPr>
              <w:rFonts w:asciiTheme="minorHAnsi" w:eastAsiaTheme="minorEastAsia" w:hAnsiTheme="minorHAnsi" w:cstheme="minorBidi"/>
              <w:b w:val="0"/>
              <w:noProof/>
              <w:color w:val="auto"/>
              <w:szCs w:val="22"/>
              <w:lang w:eastAsia="en-AU"/>
            </w:rPr>
          </w:pPr>
          <w:hyperlink w:anchor="_Toc144288308" w:history="1">
            <w:r w:rsidR="0006496E" w:rsidRPr="00443D63">
              <w:rPr>
                <w:rStyle w:val="Hyperlink"/>
                <w:noProof/>
              </w:rPr>
              <w:t>Pharmacology</w:t>
            </w:r>
            <w:r w:rsidR="0006496E">
              <w:rPr>
                <w:noProof/>
                <w:webHidden/>
              </w:rPr>
              <w:tab/>
            </w:r>
            <w:r w:rsidR="0006496E">
              <w:rPr>
                <w:noProof/>
                <w:webHidden/>
              </w:rPr>
              <w:fldChar w:fldCharType="begin"/>
            </w:r>
            <w:r w:rsidR="0006496E">
              <w:rPr>
                <w:noProof/>
                <w:webHidden/>
              </w:rPr>
              <w:instrText xml:space="preserve"> PAGEREF _Toc144288308 \h </w:instrText>
            </w:r>
            <w:r w:rsidR="0006496E">
              <w:rPr>
                <w:noProof/>
                <w:webHidden/>
              </w:rPr>
            </w:r>
            <w:r w:rsidR="0006496E">
              <w:rPr>
                <w:noProof/>
                <w:webHidden/>
              </w:rPr>
              <w:fldChar w:fldCharType="separate"/>
            </w:r>
            <w:r w:rsidR="0006496E">
              <w:rPr>
                <w:noProof/>
                <w:webHidden/>
              </w:rPr>
              <w:t>23</w:t>
            </w:r>
            <w:r w:rsidR="0006496E">
              <w:rPr>
                <w:noProof/>
                <w:webHidden/>
              </w:rPr>
              <w:fldChar w:fldCharType="end"/>
            </w:r>
          </w:hyperlink>
        </w:p>
        <w:p w14:paraId="70BDC272" w14:textId="176F8377" w:rsidR="0006496E" w:rsidRDefault="00C3481D">
          <w:pPr>
            <w:pStyle w:val="TOC3"/>
            <w:rPr>
              <w:rFonts w:asciiTheme="minorHAnsi" w:eastAsiaTheme="minorEastAsia" w:hAnsiTheme="minorHAnsi" w:cstheme="minorBidi"/>
              <w:b w:val="0"/>
              <w:noProof/>
              <w:color w:val="auto"/>
              <w:szCs w:val="22"/>
              <w:lang w:eastAsia="en-AU"/>
            </w:rPr>
          </w:pPr>
          <w:hyperlink w:anchor="_Toc144288309" w:history="1">
            <w:r w:rsidR="0006496E" w:rsidRPr="00443D63">
              <w:rPr>
                <w:rStyle w:val="Hyperlink"/>
                <w:noProof/>
              </w:rPr>
              <w:t>Efficacy</w:t>
            </w:r>
            <w:r w:rsidR="0006496E">
              <w:rPr>
                <w:noProof/>
                <w:webHidden/>
              </w:rPr>
              <w:tab/>
            </w:r>
            <w:r w:rsidR="0006496E">
              <w:rPr>
                <w:noProof/>
                <w:webHidden/>
              </w:rPr>
              <w:fldChar w:fldCharType="begin"/>
            </w:r>
            <w:r w:rsidR="0006496E">
              <w:rPr>
                <w:noProof/>
                <w:webHidden/>
              </w:rPr>
              <w:instrText xml:space="preserve"> PAGEREF _Toc144288309 \h </w:instrText>
            </w:r>
            <w:r w:rsidR="0006496E">
              <w:rPr>
                <w:noProof/>
                <w:webHidden/>
              </w:rPr>
            </w:r>
            <w:r w:rsidR="0006496E">
              <w:rPr>
                <w:noProof/>
                <w:webHidden/>
              </w:rPr>
              <w:fldChar w:fldCharType="separate"/>
            </w:r>
            <w:r w:rsidR="0006496E">
              <w:rPr>
                <w:noProof/>
                <w:webHidden/>
              </w:rPr>
              <w:t>25</w:t>
            </w:r>
            <w:r w:rsidR="0006496E">
              <w:rPr>
                <w:noProof/>
                <w:webHidden/>
              </w:rPr>
              <w:fldChar w:fldCharType="end"/>
            </w:r>
          </w:hyperlink>
        </w:p>
        <w:p w14:paraId="3AD98CC5" w14:textId="03074BFB" w:rsidR="0006496E" w:rsidRDefault="00C3481D">
          <w:pPr>
            <w:pStyle w:val="TOC3"/>
            <w:rPr>
              <w:rFonts w:asciiTheme="minorHAnsi" w:eastAsiaTheme="minorEastAsia" w:hAnsiTheme="minorHAnsi" w:cstheme="minorBidi"/>
              <w:b w:val="0"/>
              <w:noProof/>
              <w:color w:val="auto"/>
              <w:szCs w:val="22"/>
              <w:lang w:eastAsia="en-AU"/>
            </w:rPr>
          </w:pPr>
          <w:hyperlink w:anchor="_Toc144288310" w:history="1">
            <w:r w:rsidR="0006496E" w:rsidRPr="00443D63">
              <w:rPr>
                <w:rStyle w:val="Hyperlink"/>
                <w:noProof/>
              </w:rPr>
              <w:t>Safety</w:t>
            </w:r>
            <w:r w:rsidR="0006496E">
              <w:rPr>
                <w:noProof/>
                <w:webHidden/>
              </w:rPr>
              <w:tab/>
            </w:r>
            <w:r w:rsidR="0006496E">
              <w:rPr>
                <w:noProof/>
                <w:webHidden/>
              </w:rPr>
              <w:fldChar w:fldCharType="begin"/>
            </w:r>
            <w:r w:rsidR="0006496E">
              <w:rPr>
                <w:noProof/>
                <w:webHidden/>
              </w:rPr>
              <w:instrText xml:space="preserve"> PAGEREF _Toc144288310 \h </w:instrText>
            </w:r>
            <w:r w:rsidR="0006496E">
              <w:rPr>
                <w:noProof/>
                <w:webHidden/>
              </w:rPr>
            </w:r>
            <w:r w:rsidR="0006496E">
              <w:rPr>
                <w:noProof/>
                <w:webHidden/>
              </w:rPr>
              <w:fldChar w:fldCharType="separate"/>
            </w:r>
            <w:r w:rsidR="0006496E">
              <w:rPr>
                <w:noProof/>
                <w:webHidden/>
              </w:rPr>
              <w:t>33</w:t>
            </w:r>
            <w:r w:rsidR="0006496E">
              <w:rPr>
                <w:noProof/>
                <w:webHidden/>
              </w:rPr>
              <w:fldChar w:fldCharType="end"/>
            </w:r>
          </w:hyperlink>
        </w:p>
        <w:p w14:paraId="46FA4299" w14:textId="5FE86C70" w:rsidR="0006496E" w:rsidRDefault="00C3481D">
          <w:pPr>
            <w:pStyle w:val="TOC3"/>
            <w:rPr>
              <w:rFonts w:asciiTheme="minorHAnsi" w:eastAsiaTheme="minorEastAsia" w:hAnsiTheme="minorHAnsi" w:cstheme="minorBidi"/>
              <w:b w:val="0"/>
              <w:noProof/>
              <w:color w:val="auto"/>
              <w:szCs w:val="22"/>
              <w:lang w:eastAsia="en-AU"/>
            </w:rPr>
          </w:pPr>
          <w:hyperlink w:anchor="_Toc144288311" w:history="1">
            <w:r w:rsidR="0006496E" w:rsidRPr="00443D63">
              <w:rPr>
                <w:rStyle w:val="Hyperlink"/>
                <w:noProof/>
              </w:rPr>
              <w:t>Confirmatory data plan</w:t>
            </w:r>
            <w:r w:rsidR="0006496E">
              <w:rPr>
                <w:noProof/>
                <w:webHidden/>
              </w:rPr>
              <w:tab/>
            </w:r>
            <w:r w:rsidR="0006496E">
              <w:rPr>
                <w:noProof/>
                <w:webHidden/>
              </w:rPr>
              <w:fldChar w:fldCharType="begin"/>
            </w:r>
            <w:r w:rsidR="0006496E">
              <w:rPr>
                <w:noProof/>
                <w:webHidden/>
              </w:rPr>
              <w:instrText xml:space="preserve"> PAGEREF _Toc144288311 \h </w:instrText>
            </w:r>
            <w:r w:rsidR="0006496E">
              <w:rPr>
                <w:noProof/>
                <w:webHidden/>
              </w:rPr>
            </w:r>
            <w:r w:rsidR="0006496E">
              <w:rPr>
                <w:noProof/>
                <w:webHidden/>
              </w:rPr>
              <w:fldChar w:fldCharType="separate"/>
            </w:r>
            <w:r w:rsidR="0006496E">
              <w:rPr>
                <w:noProof/>
                <w:webHidden/>
              </w:rPr>
              <w:t>43</w:t>
            </w:r>
            <w:r w:rsidR="0006496E">
              <w:rPr>
                <w:noProof/>
                <w:webHidden/>
              </w:rPr>
              <w:fldChar w:fldCharType="end"/>
            </w:r>
          </w:hyperlink>
        </w:p>
        <w:p w14:paraId="09D9CA0B" w14:textId="01726D9A" w:rsidR="0006496E" w:rsidRDefault="00C3481D">
          <w:pPr>
            <w:pStyle w:val="TOC2"/>
            <w:rPr>
              <w:rFonts w:asciiTheme="minorHAnsi" w:eastAsiaTheme="minorEastAsia" w:hAnsiTheme="minorHAnsi" w:cstheme="minorBidi"/>
              <w:b w:val="0"/>
              <w:noProof/>
              <w:color w:val="auto"/>
              <w:sz w:val="22"/>
              <w:szCs w:val="22"/>
              <w:lang w:eastAsia="en-AU"/>
            </w:rPr>
          </w:pPr>
          <w:hyperlink w:anchor="_Toc144288312" w:history="1">
            <w:r w:rsidR="0006496E" w:rsidRPr="00443D63">
              <w:rPr>
                <w:rStyle w:val="Hyperlink"/>
                <w:noProof/>
                <w:lang w:eastAsia="en-AU"/>
              </w:rPr>
              <w:t>Risk management plan</w:t>
            </w:r>
            <w:r w:rsidR="0006496E">
              <w:rPr>
                <w:noProof/>
                <w:webHidden/>
              </w:rPr>
              <w:tab/>
            </w:r>
            <w:r w:rsidR="0006496E">
              <w:rPr>
                <w:noProof/>
                <w:webHidden/>
              </w:rPr>
              <w:fldChar w:fldCharType="begin"/>
            </w:r>
            <w:r w:rsidR="0006496E">
              <w:rPr>
                <w:noProof/>
                <w:webHidden/>
              </w:rPr>
              <w:instrText xml:space="preserve"> PAGEREF _Toc144288312 \h </w:instrText>
            </w:r>
            <w:r w:rsidR="0006496E">
              <w:rPr>
                <w:noProof/>
                <w:webHidden/>
              </w:rPr>
            </w:r>
            <w:r w:rsidR="0006496E">
              <w:rPr>
                <w:noProof/>
                <w:webHidden/>
              </w:rPr>
              <w:fldChar w:fldCharType="separate"/>
            </w:r>
            <w:r w:rsidR="0006496E">
              <w:rPr>
                <w:noProof/>
                <w:webHidden/>
              </w:rPr>
              <w:t>43</w:t>
            </w:r>
            <w:r w:rsidR="0006496E">
              <w:rPr>
                <w:noProof/>
                <w:webHidden/>
              </w:rPr>
              <w:fldChar w:fldCharType="end"/>
            </w:r>
          </w:hyperlink>
        </w:p>
        <w:p w14:paraId="0328AF0A" w14:textId="0CF12F98" w:rsidR="0006496E" w:rsidRDefault="00C3481D">
          <w:pPr>
            <w:pStyle w:val="TOC2"/>
            <w:rPr>
              <w:rFonts w:asciiTheme="minorHAnsi" w:eastAsiaTheme="minorEastAsia" w:hAnsiTheme="minorHAnsi" w:cstheme="minorBidi"/>
              <w:b w:val="0"/>
              <w:noProof/>
              <w:color w:val="auto"/>
              <w:sz w:val="22"/>
              <w:szCs w:val="22"/>
              <w:lang w:eastAsia="en-AU"/>
            </w:rPr>
          </w:pPr>
          <w:hyperlink w:anchor="_Toc144288313" w:history="1">
            <w:r w:rsidR="0006496E" w:rsidRPr="00443D63">
              <w:rPr>
                <w:rStyle w:val="Hyperlink"/>
                <w:noProof/>
              </w:rPr>
              <w:t>Risk-benefit analysis</w:t>
            </w:r>
            <w:r w:rsidR="0006496E">
              <w:rPr>
                <w:noProof/>
                <w:webHidden/>
              </w:rPr>
              <w:tab/>
            </w:r>
            <w:r w:rsidR="0006496E">
              <w:rPr>
                <w:noProof/>
                <w:webHidden/>
              </w:rPr>
              <w:fldChar w:fldCharType="begin"/>
            </w:r>
            <w:r w:rsidR="0006496E">
              <w:rPr>
                <w:noProof/>
                <w:webHidden/>
              </w:rPr>
              <w:instrText xml:space="preserve"> PAGEREF _Toc144288313 \h </w:instrText>
            </w:r>
            <w:r w:rsidR="0006496E">
              <w:rPr>
                <w:noProof/>
                <w:webHidden/>
              </w:rPr>
            </w:r>
            <w:r w:rsidR="0006496E">
              <w:rPr>
                <w:noProof/>
                <w:webHidden/>
              </w:rPr>
              <w:fldChar w:fldCharType="separate"/>
            </w:r>
            <w:r w:rsidR="0006496E">
              <w:rPr>
                <w:noProof/>
                <w:webHidden/>
              </w:rPr>
              <w:t>45</w:t>
            </w:r>
            <w:r w:rsidR="0006496E">
              <w:rPr>
                <w:noProof/>
                <w:webHidden/>
              </w:rPr>
              <w:fldChar w:fldCharType="end"/>
            </w:r>
          </w:hyperlink>
        </w:p>
        <w:p w14:paraId="4ACFB819" w14:textId="35704B60" w:rsidR="0006496E" w:rsidRDefault="00C3481D">
          <w:pPr>
            <w:pStyle w:val="TOC3"/>
            <w:rPr>
              <w:rFonts w:asciiTheme="minorHAnsi" w:eastAsiaTheme="minorEastAsia" w:hAnsiTheme="minorHAnsi" w:cstheme="minorBidi"/>
              <w:b w:val="0"/>
              <w:noProof/>
              <w:color w:val="auto"/>
              <w:szCs w:val="22"/>
              <w:lang w:eastAsia="en-AU"/>
            </w:rPr>
          </w:pPr>
          <w:hyperlink w:anchor="_Toc144288314" w:history="1">
            <w:r w:rsidR="0006496E" w:rsidRPr="00443D63">
              <w:rPr>
                <w:rStyle w:val="Hyperlink"/>
                <w:noProof/>
              </w:rPr>
              <w:t>Delegate’s considerations</w:t>
            </w:r>
            <w:r w:rsidR="0006496E">
              <w:rPr>
                <w:noProof/>
                <w:webHidden/>
              </w:rPr>
              <w:tab/>
            </w:r>
            <w:r w:rsidR="0006496E">
              <w:rPr>
                <w:noProof/>
                <w:webHidden/>
              </w:rPr>
              <w:fldChar w:fldCharType="begin"/>
            </w:r>
            <w:r w:rsidR="0006496E">
              <w:rPr>
                <w:noProof/>
                <w:webHidden/>
              </w:rPr>
              <w:instrText xml:space="preserve"> PAGEREF _Toc144288314 \h </w:instrText>
            </w:r>
            <w:r w:rsidR="0006496E">
              <w:rPr>
                <w:noProof/>
                <w:webHidden/>
              </w:rPr>
            </w:r>
            <w:r w:rsidR="0006496E">
              <w:rPr>
                <w:noProof/>
                <w:webHidden/>
              </w:rPr>
              <w:fldChar w:fldCharType="separate"/>
            </w:r>
            <w:r w:rsidR="0006496E">
              <w:rPr>
                <w:noProof/>
                <w:webHidden/>
              </w:rPr>
              <w:t>45</w:t>
            </w:r>
            <w:r w:rsidR="0006496E">
              <w:rPr>
                <w:noProof/>
                <w:webHidden/>
              </w:rPr>
              <w:fldChar w:fldCharType="end"/>
            </w:r>
          </w:hyperlink>
        </w:p>
        <w:p w14:paraId="1DD66A08" w14:textId="01BE802C" w:rsidR="0006496E" w:rsidRDefault="00C3481D">
          <w:pPr>
            <w:pStyle w:val="TOC3"/>
            <w:rPr>
              <w:rFonts w:asciiTheme="minorHAnsi" w:eastAsiaTheme="minorEastAsia" w:hAnsiTheme="minorHAnsi" w:cstheme="minorBidi"/>
              <w:b w:val="0"/>
              <w:noProof/>
              <w:color w:val="auto"/>
              <w:szCs w:val="22"/>
              <w:lang w:eastAsia="en-AU"/>
            </w:rPr>
          </w:pPr>
          <w:hyperlink w:anchor="_Toc144288315" w:history="1">
            <w:r w:rsidR="0006496E" w:rsidRPr="00443D63">
              <w:rPr>
                <w:rStyle w:val="Hyperlink"/>
                <w:noProof/>
              </w:rPr>
              <w:t>Proposed action</w:t>
            </w:r>
            <w:r w:rsidR="0006496E">
              <w:rPr>
                <w:noProof/>
                <w:webHidden/>
              </w:rPr>
              <w:tab/>
            </w:r>
            <w:r w:rsidR="0006496E">
              <w:rPr>
                <w:noProof/>
                <w:webHidden/>
              </w:rPr>
              <w:fldChar w:fldCharType="begin"/>
            </w:r>
            <w:r w:rsidR="0006496E">
              <w:rPr>
                <w:noProof/>
                <w:webHidden/>
              </w:rPr>
              <w:instrText xml:space="preserve"> PAGEREF _Toc144288315 \h </w:instrText>
            </w:r>
            <w:r w:rsidR="0006496E">
              <w:rPr>
                <w:noProof/>
                <w:webHidden/>
              </w:rPr>
            </w:r>
            <w:r w:rsidR="0006496E">
              <w:rPr>
                <w:noProof/>
                <w:webHidden/>
              </w:rPr>
              <w:fldChar w:fldCharType="separate"/>
            </w:r>
            <w:r w:rsidR="0006496E">
              <w:rPr>
                <w:noProof/>
                <w:webHidden/>
              </w:rPr>
              <w:t>46</w:t>
            </w:r>
            <w:r w:rsidR="0006496E">
              <w:rPr>
                <w:noProof/>
                <w:webHidden/>
              </w:rPr>
              <w:fldChar w:fldCharType="end"/>
            </w:r>
          </w:hyperlink>
        </w:p>
        <w:p w14:paraId="45AE824F" w14:textId="5409109A" w:rsidR="0006496E" w:rsidRDefault="00C3481D">
          <w:pPr>
            <w:pStyle w:val="TOC3"/>
            <w:rPr>
              <w:rFonts w:asciiTheme="minorHAnsi" w:eastAsiaTheme="minorEastAsia" w:hAnsiTheme="minorHAnsi" w:cstheme="minorBidi"/>
              <w:b w:val="0"/>
              <w:noProof/>
              <w:color w:val="auto"/>
              <w:szCs w:val="22"/>
              <w:lang w:eastAsia="en-AU"/>
            </w:rPr>
          </w:pPr>
          <w:hyperlink w:anchor="_Toc144288316" w:history="1">
            <w:r w:rsidR="0006496E" w:rsidRPr="00443D63">
              <w:rPr>
                <w:rStyle w:val="Hyperlink"/>
                <w:noProof/>
              </w:rPr>
              <w:t>Advisory Committee considerations</w:t>
            </w:r>
            <w:r w:rsidR="0006496E">
              <w:rPr>
                <w:noProof/>
                <w:webHidden/>
              </w:rPr>
              <w:tab/>
            </w:r>
            <w:r w:rsidR="0006496E">
              <w:rPr>
                <w:noProof/>
                <w:webHidden/>
              </w:rPr>
              <w:fldChar w:fldCharType="begin"/>
            </w:r>
            <w:r w:rsidR="0006496E">
              <w:rPr>
                <w:noProof/>
                <w:webHidden/>
              </w:rPr>
              <w:instrText xml:space="preserve"> PAGEREF _Toc144288316 \h </w:instrText>
            </w:r>
            <w:r w:rsidR="0006496E">
              <w:rPr>
                <w:noProof/>
                <w:webHidden/>
              </w:rPr>
            </w:r>
            <w:r w:rsidR="0006496E">
              <w:rPr>
                <w:noProof/>
                <w:webHidden/>
              </w:rPr>
              <w:fldChar w:fldCharType="separate"/>
            </w:r>
            <w:r w:rsidR="0006496E">
              <w:rPr>
                <w:noProof/>
                <w:webHidden/>
              </w:rPr>
              <w:t>46</w:t>
            </w:r>
            <w:r w:rsidR="0006496E">
              <w:rPr>
                <w:noProof/>
                <w:webHidden/>
              </w:rPr>
              <w:fldChar w:fldCharType="end"/>
            </w:r>
          </w:hyperlink>
        </w:p>
        <w:p w14:paraId="52C9DC87" w14:textId="354D6CA7" w:rsidR="0006496E" w:rsidRDefault="00C3481D">
          <w:pPr>
            <w:pStyle w:val="TOC1"/>
            <w:rPr>
              <w:rFonts w:asciiTheme="minorHAnsi" w:eastAsiaTheme="minorEastAsia" w:hAnsiTheme="minorHAnsi" w:cstheme="minorBidi"/>
              <w:b w:val="0"/>
              <w:noProof/>
              <w:color w:val="auto"/>
              <w:sz w:val="22"/>
              <w:szCs w:val="22"/>
              <w:lang w:eastAsia="en-AU"/>
            </w:rPr>
          </w:pPr>
          <w:hyperlink w:anchor="_Toc144288317" w:history="1">
            <w:r w:rsidR="0006496E" w:rsidRPr="00443D63">
              <w:rPr>
                <w:rStyle w:val="Hyperlink"/>
                <w:noProof/>
              </w:rPr>
              <w:t>Outcome</w:t>
            </w:r>
            <w:r w:rsidR="0006496E">
              <w:rPr>
                <w:noProof/>
                <w:webHidden/>
              </w:rPr>
              <w:tab/>
            </w:r>
            <w:r w:rsidR="0006496E">
              <w:rPr>
                <w:noProof/>
                <w:webHidden/>
              </w:rPr>
              <w:fldChar w:fldCharType="begin"/>
            </w:r>
            <w:r w:rsidR="0006496E">
              <w:rPr>
                <w:noProof/>
                <w:webHidden/>
              </w:rPr>
              <w:instrText xml:space="preserve"> PAGEREF _Toc144288317 \h </w:instrText>
            </w:r>
            <w:r w:rsidR="0006496E">
              <w:rPr>
                <w:noProof/>
                <w:webHidden/>
              </w:rPr>
            </w:r>
            <w:r w:rsidR="0006496E">
              <w:rPr>
                <w:noProof/>
                <w:webHidden/>
              </w:rPr>
              <w:fldChar w:fldCharType="separate"/>
            </w:r>
            <w:r w:rsidR="0006496E">
              <w:rPr>
                <w:noProof/>
                <w:webHidden/>
              </w:rPr>
              <w:t>46</w:t>
            </w:r>
            <w:r w:rsidR="0006496E">
              <w:rPr>
                <w:noProof/>
                <w:webHidden/>
              </w:rPr>
              <w:fldChar w:fldCharType="end"/>
            </w:r>
          </w:hyperlink>
        </w:p>
        <w:p w14:paraId="251DF9FE" w14:textId="02506340" w:rsidR="0006496E" w:rsidRDefault="00C3481D">
          <w:pPr>
            <w:pStyle w:val="TOC2"/>
            <w:rPr>
              <w:rFonts w:asciiTheme="minorHAnsi" w:eastAsiaTheme="minorEastAsia" w:hAnsiTheme="minorHAnsi" w:cstheme="minorBidi"/>
              <w:b w:val="0"/>
              <w:noProof/>
              <w:color w:val="auto"/>
              <w:sz w:val="22"/>
              <w:szCs w:val="22"/>
              <w:lang w:eastAsia="en-AU"/>
            </w:rPr>
          </w:pPr>
          <w:hyperlink w:anchor="_Toc144288318" w:history="1">
            <w:r w:rsidR="0006496E" w:rsidRPr="00443D63">
              <w:rPr>
                <w:rStyle w:val="Hyperlink"/>
                <w:noProof/>
              </w:rPr>
              <w:t>Specific conditions of registration applying to these goods</w:t>
            </w:r>
            <w:r w:rsidR="0006496E">
              <w:rPr>
                <w:noProof/>
                <w:webHidden/>
              </w:rPr>
              <w:tab/>
            </w:r>
            <w:r w:rsidR="0006496E">
              <w:rPr>
                <w:noProof/>
                <w:webHidden/>
              </w:rPr>
              <w:fldChar w:fldCharType="begin"/>
            </w:r>
            <w:r w:rsidR="0006496E">
              <w:rPr>
                <w:noProof/>
                <w:webHidden/>
              </w:rPr>
              <w:instrText xml:space="preserve"> PAGEREF _Toc144288318 \h </w:instrText>
            </w:r>
            <w:r w:rsidR="0006496E">
              <w:rPr>
                <w:noProof/>
                <w:webHidden/>
              </w:rPr>
            </w:r>
            <w:r w:rsidR="0006496E">
              <w:rPr>
                <w:noProof/>
                <w:webHidden/>
              </w:rPr>
              <w:fldChar w:fldCharType="separate"/>
            </w:r>
            <w:r w:rsidR="0006496E">
              <w:rPr>
                <w:noProof/>
                <w:webHidden/>
              </w:rPr>
              <w:t>46</w:t>
            </w:r>
            <w:r w:rsidR="0006496E">
              <w:rPr>
                <w:noProof/>
                <w:webHidden/>
              </w:rPr>
              <w:fldChar w:fldCharType="end"/>
            </w:r>
          </w:hyperlink>
        </w:p>
        <w:p w14:paraId="0A0C3BAD" w14:textId="545DDEDF" w:rsidR="0006496E" w:rsidRDefault="00C3481D">
          <w:pPr>
            <w:pStyle w:val="TOC1"/>
            <w:rPr>
              <w:rFonts w:asciiTheme="minorHAnsi" w:eastAsiaTheme="minorEastAsia" w:hAnsiTheme="minorHAnsi" w:cstheme="minorBidi"/>
              <w:b w:val="0"/>
              <w:noProof/>
              <w:color w:val="auto"/>
              <w:sz w:val="22"/>
              <w:szCs w:val="22"/>
              <w:lang w:eastAsia="en-AU"/>
            </w:rPr>
          </w:pPr>
          <w:hyperlink w:anchor="_Toc144288319" w:history="1">
            <w:r w:rsidR="0006496E" w:rsidRPr="00443D63">
              <w:rPr>
                <w:rStyle w:val="Hyperlink"/>
                <w:noProof/>
              </w:rPr>
              <w:t>Attachment 1. Product Information</w:t>
            </w:r>
            <w:r w:rsidR="0006496E">
              <w:rPr>
                <w:noProof/>
                <w:webHidden/>
              </w:rPr>
              <w:tab/>
            </w:r>
            <w:r w:rsidR="0006496E">
              <w:rPr>
                <w:noProof/>
                <w:webHidden/>
              </w:rPr>
              <w:fldChar w:fldCharType="begin"/>
            </w:r>
            <w:r w:rsidR="0006496E">
              <w:rPr>
                <w:noProof/>
                <w:webHidden/>
              </w:rPr>
              <w:instrText xml:space="preserve"> PAGEREF _Toc144288319 \h </w:instrText>
            </w:r>
            <w:r w:rsidR="0006496E">
              <w:rPr>
                <w:noProof/>
                <w:webHidden/>
              </w:rPr>
            </w:r>
            <w:r w:rsidR="0006496E">
              <w:rPr>
                <w:noProof/>
                <w:webHidden/>
              </w:rPr>
              <w:fldChar w:fldCharType="separate"/>
            </w:r>
            <w:r w:rsidR="0006496E">
              <w:rPr>
                <w:noProof/>
                <w:webHidden/>
              </w:rPr>
              <w:t>47</w:t>
            </w:r>
            <w:r w:rsidR="0006496E">
              <w:rPr>
                <w:noProof/>
                <w:webHidden/>
              </w:rPr>
              <w:fldChar w:fldCharType="end"/>
            </w:r>
          </w:hyperlink>
        </w:p>
        <w:p w14:paraId="77659F2D" w14:textId="125A0A62"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44288294"/>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286663" w:rsidRPr="00D01DDB" w14:paraId="22CB4EF7" w14:textId="77777777" w:rsidTr="00022561">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6BD8544D" w14:textId="77777777" w:rsidR="00286663" w:rsidRPr="00D01DDB" w:rsidRDefault="00286663" w:rsidP="00022561">
            <w:pPr>
              <w:rPr>
                <w:szCs w:val="22"/>
              </w:rPr>
            </w:pPr>
            <w:r w:rsidRPr="00D01DDB">
              <w:rPr>
                <w:szCs w:val="22"/>
              </w:rPr>
              <w:t>Abbreviation</w:t>
            </w:r>
          </w:p>
        </w:tc>
        <w:tc>
          <w:tcPr>
            <w:tcW w:w="3800" w:type="pct"/>
          </w:tcPr>
          <w:p w14:paraId="6526F67F" w14:textId="77777777" w:rsidR="00286663" w:rsidRPr="00D01DDB" w:rsidRDefault="00286663" w:rsidP="00022561">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286663" w:rsidRPr="00D01DDB" w14:paraId="54CD741C"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A111A0" w14:textId="77777777" w:rsidR="00286663" w:rsidRDefault="00286663" w:rsidP="00022561">
            <w:pPr>
              <w:rPr>
                <w:szCs w:val="22"/>
              </w:rPr>
            </w:pPr>
            <w:r>
              <w:rPr>
                <w:szCs w:val="22"/>
              </w:rPr>
              <w:t>ADA</w:t>
            </w:r>
          </w:p>
        </w:tc>
        <w:tc>
          <w:tcPr>
            <w:tcW w:w="3800" w:type="pct"/>
          </w:tcPr>
          <w:p w14:paraId="7A2E144B"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Anti-drug antibody</w:t>
            </w:r>
          </w:p>
        </w:tc>
      </w:tr>
      <w:tr w:rsidR="00286663" w:rsidRPr="00D01DDB" w14:paraId="445240A5"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EC418B" w14:textId="77777777" w:rsidR="00286663" w:rsidRDefault="00286663" w:rsidP="00022561">
            <w:pPr>
              <w:rPr>
                <w:szCs w:val="22"/>
              </w:rPr>
            </w:pPr>
            <w:r>
              <w:rPr>
                <w:szCs w:val="22"/>
              </w:rPr>
              <w:t>AE</w:t>
            </w:r>
          </w:p>
        </w:tc>
        <w:tc>
          <w:tcPr>
            <w:tcW w:w="3800" w:type="pct"/>
          </w:tcPr>
          <w:p w14:paraId="4A9B5680"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Adverse event</w:t>
            </w:r>
          </w:p>
        </w:tc>
      </w:tr>
      <w:tr w:rsidR="00286663" w:rsidRPr="00D01DDB" w14:paraId="05C9C3E5"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86D31C" w14:textId="77777777" w:rsidR="00286663" w:rsidRPr="00D01DDB" w:rsidRDefault="00286663" w:rsidP="00022561">
            <w:pPr>
              <w:rPr>
                <w:szCs w:val="22"/>
              </w:rPr>
            </w:pPr>
            <w:r w:rsidRPr="00D01DDB">
              <w:rPr>
                <w:szCs w:val="22"/>
              </w:rPr>
              <w:t>ARTG</w:t>
            </w:r>
          </w:p>
        </w:tc>
        <w:tc>
          <w:tcPr>
            <w:tcW w:w="3800" w:type="pct"/>
          </w:tcPr>
          <w:p w14:paraId="295D927E"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286663" w:rsidRPr="00D01DDB" w14:paraId="060C8B02"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6CCCAF" w14:textId="77777777" w:rsidR="00286663" w:rsidRPr="00D01DDB" w:rsidRDefault="00286663" w:rsidP="00022561">
            <w:pPr>
              <w:rPr>
                <w:szCs w:val="22"/>
              </w:rPr>
            </w:pPr>
            <w:r w:rsidRPr="00D01DDB">
              <w:rPr>
                <w:szCs w:val="22"/>
              </w:rPr>
              <w:t>ASA</w:t>
            </w:r>
          </w:p>
        </w:tc>
        <w:tc>
          <w:tcPr>
            <w:tcW w:w="3800" w:type="pct"/>
          </w:tcPr>
          <w:p w14:paraId="70F51AA8" w14:textId="08E7C511"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557B80">
              <w:rPr>
                <w:szCs w:val="22"/>
              </w:rPr>
              <w:t>-</w:t>
            </w:r>
            <w:r w:rsidRPr="00D01DDB">
              <w:rPr>
                <w:szCs w:val="22"/>
              </w:rPr>
              <w:t>specific annex</w:t>
            </w:r>
          </w:p>
        </w:tc>
      </w:tr>
      <w:tr w:rsidR="00286663" w:rsidRPr="00D01DDB" w14:paraId="53110AEA"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3D7577" w14:textId="77777777" w:rsidR="00286663" w:rsidRDefault="00286663" w:rsidP="00022561">
            <w:pPr>
              <w:rPr>
                <w:szCs w:val="22"/>
              </w:rPr>
            </w:pPr>
            <w:r>
              <w:t>AST</w:t>
            </w:r>
          </w:p>
        </w:tc>
        <w:tc>
          <w:tcPr>
            <w:tcW w:w="3800" w:type="pct"/>
          </w:tcPr>
          <w:p w14:paraId="12D01061"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A</w:t>
            </w:r>
            <w:r w:rsidRPr="00DB25DC">
              <w:t xml:space="preserve">spartate </w:t>
            </w:r>
            <w:r>
              <w:t>t</w:t>
            </w:r>
            <w:r w:rsidRPr="00DB25DC">
              <w:t>ransaminas</w:t>
            </w:r>
            <w:r>
              <w:t>e</w:t>
            </w:r>
          </w:p>
        </w:tc>
      </w:tr>
      <w:tr w:rsidR="00286663" w:rsidRPr="00D01DDB" w14:paraId="071EEE50"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DC9D41" w14:textId="77777777" w:rsidR="00286663" w:rsidRDefault="00286663" w:rsidP="00022561">
            <w:pPr>
              <w:rPr>
                <w:szCs w:val="22"/>
              </w:rPr>
            </w:pPr>
            <w:r>
              <w:rPr>
                <w:szCs w:val="22"/>
              </w:rPr>
              <w:t>CCO</w:t>
            </w:r>
          </w:p>
        </w:tc>
        <w:tc>
          <w:tcPr>
            <w:tcW w:w="3800" w:type="pct"/>
          </w:tcPr>
          <w:p w14:paraId="5D89B62E" w14:textId="580E1368" w:rsidR="00286663" w:rsidRPr="0050783A" w:rsidRDefault="00286663" w:rsidP="00022561">
            <w:pPr>
              <w:cnfStyle w:val="000000000000" w:firstRow="0" w:lastRow="0" w:firstColumn="0" w:lastColumn="0" w:oddVBand="0" w:evenVBand="0" w:oddHBand="0" w:evenHBand="0" w:firstRowFirstColumn="0" w:firstRowLastColumn="0" w:lastRowFirstColumn="0" w:lastRowLastColumn="0"/>
            </w:pPr>
            <w:r>
              <w:t>Clinical cut</w:t>
            </w:r>
            <w:r w:rsidR="00557B80">
              <w:t>-</w:t>
            </w:r>
            <w:r>
              <w:t>off</w:t>
            </w:r>
          </w:p>
        </w:tc>
      </w:tr>
      <w:tr w:rsidR="00286663" w:rsidRPr="00D01DDB" w14:paraId="07F2F26A"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A9203E" w14:textId="77777777" w:rsidR="00286663" w:rsidRDefault="00286663" w:rsidP="00022561">
            <w:pPr>
              <w:rPr>
                <w:szCs w:val="22"/>
              </w:rPr>
            </w:pPr>
            <w:r>
              <w:rPr>
                <w:szCs w:val="22"/>
              </w:rPr>
              <w:t>CI</w:t>
            </w:r>
          </w:p>
        </w:tc>
        <w:tc>
          <w:tcPr>
            <w:tcW w:w="3800" w:type="pct"/>
          </w:tcPr>
          <w:p w14:paraId="1B46D8AC"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Confidence interval</w:t>
            </w:r>
          </w:p>
        </w:tc>
      </w:tr>
      <w:tr w:rsidR="00286663" w:rsidRPr="00D01DDB" w14:paraId="5480069F"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4A7B44" w14:textId="77777777" w:rsidR="00286663" w:rsidRPr="00D01DDB" w:rsidRDefault="00286663" w:rsidP="00022561">
            <w:pPr>
              <w:rPr>
                <w:szCs w:val="22"/>
              </w:rPr>
            </w:pPr>
            <w:r w:rsidRPr="00D01DDB">
              <w:rPr>
                <w:szCs w:val="22"/>
              </w:rPr>
              <w:t>CMI</w:t>
            </w:r>
          </w:p>
        </w:tc>
        <w:tc>
          <w:tcPr>
            <w:tcW w:w="3800" w:type="pct"/>
          </w:tcPr>
          <w:p w14:paraId="5A67A05D"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286663" w:rsidRPr="00D01DDB" w14:paraId="4AA71463"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E6FE20" w14:textId="77777777" w:rsidR="00286663" w:rsidRDefault="00286663" w:rsidP="00022561">
            <w:pPr>
              <w:rPr>
                <w:szCs w:val="22"/>
              </w:rPr>
            </w:pPr>
            <w:r>
              <w:rPr>
                <w:szCs w:val="22"/>
              </w:rPr>
              <w:t>CSR</w:t>
            </w:r>
          </w:p>
        </w:tc>
        <w:tc>
          <w:tcPr>
            <w:tcW w:w="3800" w:type="pct"/>
          </w:tcPr>
          <w:p w14:paraId="64AFE312" w14:textId="77777777" w:rsidR="00286663" w:rsidRPr="0050783A" w:rsidRDefault="00286663" w:rsidP="00022561">
            <w:pPr>
              <w:cnfStyle w:val="000000000000" w:firstRow="0" w:lastRow="0" w:firstColumn="0" w:lastColumn="0" w:oddVBand="0" w:evenVBand="0" w:oddHBand="0" w:evenHBand="0" w:firstRowFirstColumn="0" w:firstRowLastColumn="0" w:lastRowFirstColumn="0" w:lastRowLastColumn="0"/>
            </w:pPr>
            <w:r>
              <w:t>Clinical study report</w:t>
            </w:r>
          </w:p>
        </w:tc>
      </w:tr>
      <w:tr w:rsidR="00286663" w:rsidRPr="00D01DDB" w14:paraId="07B23287"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C5F48F" w14:textId="77777777" w:rsidR="00286663" w:rsidRDefault="00286663" w:rsidP="00022561">
            <w:pPr>
              <w:rPr>
                <w:szCs w:val="22"/>
              </w:rPr>
            </w:pPr>
            <w:proofErr w:type="spellStart"/>
            <w:r w:rsidRPr="00C104AA">
              <w:t>ctDNA</w:t>
            </w:r>
            <w:proofErr w:type="spellEnd"/>
          </w:p>
        </w:tc>
        <w:tc>
          <w:tcPr>
            <w:tcW w:w="3800" w:type="pct"/>
          </w:tcPr>
          <w:p w14:paraId="7343B636"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Circulation tumour DNA</w:t>
            </w:r>
          </w:p>
        </w:tc>
      </w:tr>
      <w:tr w:rsidR="00286663" w:rsidRPr="00D01DDB" w14:paraId="47F2F9AC"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4910BA" w14:textId="77777777" w:rsidR="00286663" w:rsidRDefault="00286663" w:rsidP="00022561">
            <w:pPr>
              <w:rPr>
                <w:szCs w:val="22"/>
              </w:rPr>
            </w:pPr>
            <w:r>
              <w:rPr>
                <w:szCs w:val="22"/>
              </w:rPr>
              <w:t>DCO</w:t>
            </w:r>
          </w:p>
        </w:tc>
        <w:tc>
          <w:tcPr>
            <w:tcW w:w="3800" w:type="pct"/>
          </w:tcPr>
          <w:p w14:paraId="40138570" w14:textId="2F35B7D1" w:rsidR="00286663" w:rsidRDefault="00286663" w:rsidP="00022561">
            <w:pPr>
              <w:cnfStyle w:val="000000000000" w:firstRow="0" w:lastRow="0" w:firstColumn="0" w:lastColumn="0" w:oddVBand="0" w:evenVBand="0" w:oddHBand="0" w:evenHBand="0" w:firstRowFirstColumn="0" w:firstRowLastColumn="0" w:lastRowFirstColumn="0" w:lastRowLastColumn="0"/>
            </w:pPr>
            <w:r>
              <w:t>Data cut</w:t>
            </w:r>
            <w:r w:rsidR="00557B80">
              <w:t>-</w:t>
            </w:r>
            <w:r>
              <w:t>off</w:t>
            </w:r>
          </w:p>
        </w:tc>
      </w:tr>
      <w:tr w:rsidR="00286663" w:rsidRPr="00D01DDB" w14:paraId="26E425DE"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61091C" w14:textId="77777777" w:rsidR="00286663" w:rsidRPr="00D01DDB" w:rsidRDefault="00286663" w:rsidP="00022561">
            <w:pPr>
              <w:rPr>
                <w:szCs w:val="22"/>
              </w:rPr>
            </w:pPr>
            <w:r w:rsidRPr="00D01DDB">
              <w:rPr>
                <w:szCs w:val="22"/>
              </w:rPr>
              <w:t>DLP</w:t>
            </w:r>
          </w:p>
        </w:tc>
        <w:tc>
          <w:tcPr>
            <w:tcW w:w="3800" w:type="pct"/>
          </w:tcPr>
          <w:p w14:paraId="58A757E7"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286663" w:rsidRPr="00D01DDB" w14:paraId="1E330D19"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8D6D2C" w14:textId="77777777" w:rsidR="00286663" w:rsidRDefault="00286663" w:rsidP="00022561">
            <w:pPr>
              <w:rPr>
                <w:szCs w:val="22"/>
              </w:rPr>
            </w:pPr>
            <w:r>
              <w:rPr>
                <w:szCs w:val="22"/>
              </w:rPr>
              <w:t>DLT</w:t>
            </w:r>
          </w:p>
        </w:tc>
        <w:tc>
          <w:tcPr>
            <w:tcW w:w="3800" w:type="pct"/>
          </w:tcPr>
          <w:p w14:paraId="61A1FB50"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Dose limiting toxicity</w:t>
            </w:r>
          </w:p>
        </w:tc>
      </w:tr>
      <w:tr w:rsidR="00286663" w:rsidRPr="00D01DDB" w14:paraId="37CBE494"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8A342D" w14:textId="77777777" w:rsidR="00286663" w:rsidRDefault="00286663" w:rsidP="00022561">
            <w:pPr>
              <w:rPr>
                <w:szCs w:val="22"/>
              </w:rPr>
            </w:pPr>
            <w:r>
              <w:rPr>
                <w:szCs w:val="22"/>
              </w:rPr>
              <w:t>DOR</w:t>
            </w:r>
          </w:p>
        </w:tc>
        <w:tc>
          <w:tcPr>
            <w:tcW w:w="3800" w:type="pct"/>
          </w:tcPr>
          <w:p w14:paraId="7C006FBF"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Duration of response</w:t>
            </w:r>
          </w:p>
        </w:tc>
      </w:tr>
      <w:tr w:rsidR="00286663" w:rsidRPr="00D01DDB" w14:paraId="60655AA1"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0CD4B7" w14:textId="77777777" w:rsidR="00286663" w:rsidRDefault="00286663" w:rsidP="00022561">
            <w:pPr>
              <w:rPr>
                <w:szCs w:val="22"/>
              </w:rPr>
            </w:pPr>
            <w:r>
              <w:rPr>
                <w:szCs w:val="22"/>
              </w:rPr>
              <w:t>ECOG</w:t>
            </w:r>
          </w:p>
        </w:tc>
        <w:tc>
          <w:tcPr>
            <w:tcW w:w="3800" w:type="pct"/>
          </w:tcPr>
          <w:p w14:paraId="1B4926E2"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Eastern Cooperative Oncology Group</w:t>
            </w:r>
          </w:p>
        </w:tc>
      </w:tr>
      <w:tr w:rsidR="00286663" w:rsidRPr="00D01DDB" w14:paraId="48230C1C"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52CAF9" w14:textId="77777777" w:rsidR="00286663" w:rsidRPr="00D01DDB" w:rsidRDefault="00286663" w:rsidP="00022561">
            <w:pPr>
              <w:rPr>
                <w:szCs w:val="22"/>
              </w:rPr>
            </w:pPr>
            <w:r>
              <w:rPr>
                <w:szCs w:val="22"/>
              </w:rPr>
              <w:t>EGFR</w:t>
            </w:r>
          </w:p>
        </w:tc>
        <w:tc>
          <w:tcPr>
            <w:tcW w:w="3800" w:type="pct"/>
          </w:tcPr>
          <w:p w14:paraId="22418F4C" w14:textId="4A327702"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rPr>
                <w:szCs w:val="22"/>
              </w:rPr>
              <w:t>E</w:t>
            </w:r>
            <w:r w:rsidRPr="004638AC">
              <w:rPr>
                <w:szCs w:val="22"/>
              </w:rPr>
              <w:t>pidermal</w:t>
            </w:r>
            <w:r w:rsidR="00557B80">
              <w:rPr>
                <w:szCs w:val="22"/>
              </w:rPr>
              <w:t xml:space="preserve"> </w:t>
            </w:r>
            <w:r w:rsidRPr="004638AC">
              <w:rPr>
                <w:szCs w:val="22"/>
              </w:rPr>
              <w:t>growth factor receptor</w:t>
            </w:r>
          </w:p>
        </w:tc>
      </w:tr>
      <w:tr w:rsidR="00286663" w:rsidRPr="00D01DDB" w14:paraId="4FEC1381"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945C2D" w14:textId="77777777" w:rsidR="00286663" w:rsidRPr="00D01DDB" w:rsidRDefault="00286663" w:rsidP="00022561">
            <w:pPr>
              <w:rPr>
                <w:szCs w:val="22"/>
              </w:rPr>
            </w:pPr>
            <w:r w:rsidRPr="009C683A">
              <w:t>EGFRm</w:t>
            </w:r>
          </w:p>
        </w:tc>
        <w:tc>
          <w:tcPr>
            <w:tcW w:w="3800" w:type="pct"/>
          </w:tcPr>
          <w:p w14:paraId="6DA0E131"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t>M</w:t>
            </w:r>
            <w:r w:rsidRPr="009C683A">
              <w:t xml:space="preserve">utations of the </w:t>
            </w:r>
            <w:r w:rsidRPr="00A00613">
              <w:rPr>
                <w:i/>
                <w:iCs/>
              </w:rPr>
              <w:t>EGFR</w:t>
            </w:r>
            <w:r w:rsidRPr="009C683A">
              <w:t xml:space="preserve"> oncogene</w:t>
            </w:r>
          </w:p>
        </w:tc>
      </w:tr>
      <w:tr w:rsidR="00286663" w:rsidRPr="00D01DDB" w14:paraId="5E559274"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B51BB3" w14:textId="77777777" w:rsidR="00286663" w:rsidRDefault="00286663" w:rsidP="00022561">
            <w:pPr>
              <w:rPr>
                <w:szCs w:val="22"/>
              </w:rPr>
            </w:pPr>
            <w:proofErr w:type="spellStart"/>
            <w:r>
              <w:rPr>
                <w:szCs w:val="22"/>
              </w:rPr>
              <w:t>eHR</w:t>
            </w:r>
            <w:proofErr w:type="spellEnd"/>
          </w:p>
        </w:tc>
        <w:tc>
          <w:tcPr>
            <w:tcW w:w="3800" w:type="pct"/>
          </w:tcPr>
          <w:p w14:paraId="74F461B7"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Electronic health record</w:t>
            </w:r>
          </w:p>
        </w:tc>
      </w:tr>
      <w:tr w:rsidR="00286663" w:rsidRPr="00D01DDB" w14:paraId="19848F0E"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E0586A" w14:textId="77777777" w:rsidR="00286663" w:rsidRDefault="00286663" w:rsidP="00022561">
            <w:pPr>
              <w:rPr>
                <w:szCs w:val="22"/>
              </w:rPr>
            </w:pPr>
            <w:r>
              <w:rPr>
                <w:szCs w:val="22"/>
              </w:rPr>
              <w:t>EMA</w:t>
            </w:r>
          </w:p>
        </w:tc>
        <w:tc>
          <w:tcPr>
            <w:tcW w:w="3800" w:type="pct"/>
          </w:tcPr>
          <w:p w14:paraId="20ACA00B"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rsidRPr="00F41E50">
              <w:t>European Medicines Agency</w:t>
            </w:r>
          </w:p>
        </w:tc>
      </w:tr>
      <w:tr w:rsidR="00286663" w:rsidRPr="00D01DDB" w14:paraId="553F5D5C"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70C363" w14:textId="77777777" w:rsidR="00286663" w:rsidRDefault="00286663" w:rsidP="00022561">
            <w:pPr>
              <w:rPr>
                <w:szCs w:val="22"/>
              </w:rPr>
            </w:pPr>
            <w:r>
              <w:rPr>
                <w:szCs w:val="22"/>
              </w:rPr>
              <w:t>EU</w:t>
            </w:r>
          </w:p>
        </w:tc>
        <w:tc>
          <w:tcPr>
            <w:tcW w:w="3800" w:type="pct"/>
          </w:tcPr>
          <w:p w14:paraId="3A046264"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European Union</w:t>
            </w:r>
          </w:p>
        </w:tc>
      </w:tr>
      <w:tr w:rsidR="00286663" w:rsidRPr="00D01DDB" w14:paraId="4BAA61B2"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ED73C0" w14:textId="77777777" w:rsidR="00286663" w:rsidRPr="00D01DDB" w:rsidRDefault="00286663" w:rsidP="00022561">
            <w:pPr>
              <w:rPr>
                <w:szCs w:val="22"/>
              </w:rPr>
            </w:pPr>
            <w:r>
              <w:rPr>
                <w:szCs w:val="22"/>
              </w:rPr>
              <w:t>ex20ins</w:t>
            </w:r>
          </w:p>
        </w:tc>
        <w:tc>
          <w:tcPr>
            <w:tcW w:w="3800" w:type="pct"/>
          </w:tcPr>
          <w:p w14:paraId="027E8B15"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t>E</w:t>
            </w:r>
            <w:r w:rsidRPr="009C683A">
              <w:t>xon 20 insertion</w:t>
            </w:r>
          </w:p>
        </w:tc>
      </w:tr>
      <w:tr w:rsidR="00286663" w:rsidRPr="00D01DDB" w14:paraId="71319E60"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72C4ED" w14:textId="77777777" w:rsidR="00286663" w:rsidRDefault="00286663" w:rsidP="00022561">
            <w:pPr>
              <w:rPr>
                <w:szCs w:val="22"/>
              </w:rPr>
            </w:pPr>
            <w:r>
              <w:rPr>
                <w:szCs w:val="22"/>
              </w:rPr>
              <w:t>FDA</w:t>
            </w:r>
          </w:p>
        </w:tc>
        <w:tc>
          <w:tcPr>
            <w:tcW w:w="3800" w:type="pct"/>
          </w:tcPr>
          <w:p w14:paraId="67F9B214" w14:textId="77777777" w:rsidR="00286663" w:rsidRPr="0050783A" w:rsidRDefault="00286663" w:rsidP="00022561">
            <w:pPr>
              <w:cnfStyle w:val="000000000000" w:firstRow="0" w:lastRow="0" w:firstColumn="0" w:lastColumn="0" w:oddVBand="0" w:evenVBand="0" w:oddHBand="0" w:evenHBand="0" w:firstRowFirstColumn="0" w:firstRowLastColumn="0" w:lastRowFirstColumn="0" w:lastRowLastColumn="0"/>
            </w:pPr>
            <w:r w:rsidRPr="00BD5DBD">
              <w:rPr>
                <w:szCs w:val="22"/>
              </w:rPr>
              <w:t>Food and Drug Administration</w:t>
            </w:r>
            <w:r>
              <w:rPr>
                <w:szCs w:val="22"/>
              </w:rPr>
              <w:t xml:space="preserve"> (United States of America)</w:t>
            </w:r>
          </w:p>
        </w:tc>
      </w:tr>
      <w:tr w:rsidR="00286663" w:rsidRPr="00D01DDB" w14:paraId="3E5AACAD"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95C569" w14:textId="77777777" w:rsidR="00286663" w:rsidRDefault="00286663" w:rsidP="00022561">
            <w:pPr>
              <w:rPr>
                <w:szCs w:val="22"/>
              </w:rPr>
            </w:pPr>
            <w:r>
              <w:rPr>
                <w:szCs w:val="22"/>
              </w:rPr>
              <w:t>IgG1</w:t>
            </w:r>
          </w:p>
        </w:tc>
        <w:tc>
          <w:tcPr>
            <w:tcW w:w="3800" w:type="pct"/>
          </w:tcPr>
          <w:p w14:paraId="67C2FC6C"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Immunoglobin G 1</w:t>
            </w:r>
          </w:p>
        </w:tc>
      </w:tr>
      <w:tr w:rsidR="00286663" w:rsidRPr="00D01DDB" w14:paraId="23F8ACD8"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9F42D6" w14:textId="77777777" w:rsidR="00286663" w:rsidRPr="00D01DDB" w:rsidRDefault="00286663" w:rsidP="00022561">
            <w:pPr>
              <w:rPr>
                <w:szCs w:val="22"/>
              </w:rPr>
            </w:pPr>
            <w:r>
              <w:rPr>
                <w:szCs w:val="22"/>
              </w:rPr>
              <w:t>IRR</w:t>
            </w:r>
          </w:p>
        </w:tc>
        <w:tc>
          <w:tcPr>
            <w:tcW w:w="3800" w:type="pct"/>
          </w:tcPr>
          <w:p w14:paraId="73D3EB59"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t>I</w:t>
            </w:r>
            <w:r w:rsidRPr="00FE3EFA">
              <w:t>nfusion-related reactions</w:t>
            </w:r>
          </w:p>
        </w:tc>
      </w:tr>
      <w:tr w:rsidR="00286663" w:rsidRPr="00D01DDB" w14:paraId="5378E1A5"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0BA985" w14:textId="77777777" w:rsidR="00286663" w:rsidRPr="00D01DDB" w:rsidRDefault="00286663" w:rsidP="00022561">
            <w:pPr>
              <w:rPr>
                <w:szCs w:val="22"/>
              </w:rPr>
            </w:pPr>
            <w:r>
              <w:rPr>
                <w:szCs w:val="22"/>
              </w:rPr>
              <w:t>MET</w:t>
            </w:r>
          </w:p>
        </w:tc>
        <w:tc>
          <w:tcPr>
            <w:tcW w:w="3800" w:type="pct"/>
          </w:tcPr>
          <w:p w14:paraId="58731EFE"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t>Mesenchymal epithelial transition</w:t>
            </w:r>
          </w:p>
        </w:tc>
      </w:tr>
      <w:tr w:rsidR="00286663" w:rsidRPr="00D01DDB" w14:paraId="41C8439D"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755BF1" w14:textId="77777777" w:rsidR="00286663" w:rsidRDefault="00286663" w:rsidP="00022561">
            <w:pPr>
              <w:rPr>
                <w:szCs w:val="22"/>
              </w:rPr>
            </w:pPr>
            <w:r>
              <w:rPr>
                <w:szCs w:val="22"/>
              </w:rPr>
              <w:t>MRD</w:t>
            </w:r>
          </w:p>
        </w:tc>
        <w:tc>
          <w:tcPr>
            <w:tcW w:w="3800" w:type="pct"/>
          </w:tcPr>
          <w:p w14:paraId="3455270F" w14:textId="77777777" w:rsidR="00286663" w:rsidRPr="0050783A" w:rsidRDefault="00286663" w:rsidP="00022561">
            <w:pPr>
              <w:cnfStyle w:val="000000000000" w:firstRow="0" w:lastRow="0" w:firstColumn="0" w:lastColumn="0" w:oddVBand="0" w:evenVBand="0" w:oddHBand="0" w:evenHBand="0" w:firstRowFirstColumn="0" w:firstRowLastColumn="0" w:lastRowFirstColumn="0" w:lastRowLastColumn="0"/>
            </w:pPr>
            <w:r>
              <w:t>M</w:t>
            </w:r>
            <w:r w:rsidRPr="00C87DD8">
              <w:t>ulti-disciplinary review</w:t>
            </w:r>
          </w:p>
        </w:tc>
      </w:tr>
      <w:tr w:rsidR="00286663" w:rsidRPr="00D01DDB" w14:paraId="37BF8F39"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D6BDB8" w14:textId="77777777" w:rsidR="00286663" w:rsidRDefault="00286663" w:rsidP="00022561">
            <w:pPr>
              <w:rPr>
                <w:szCs w:val="22"/>
              </w:rPr>
            </w:pPr>
            <w:r>
              <w:rPr>
                <w:szCs w:val="22"/>
              </w:rPr>
              <w:t>NCCN</w:t>
            </w:r>
          </w:p>
        </w:tc>
        <w:tc>
          <w:tcPr>
            <w:tcW w:w="3800" w:type="pct"/>
          </w:tcPr>
          <w:p w14:paraId="5B3913F5"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rsidRPr="0050783A">
              <w:t>National Comprehensive Cancer Network</w:t>
            </w:r>
            <w:r>
              <w:t xml:space="preserve"> (United States of America)</w:t>
            </w:r>
          </w:p>
        </w:tc>
      </w:tr>
      <w:tr w:rsidR="00286663" w:rsidRPr="00D01DDB" w14:paraId="6E951214"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E642CA" w14:textId="77777777" w:rsidR="00286663" w:rsidRDefault="00286663" w:rsidP="00022561">
            <w:pPr>
              <w:rPr>
                <w:szCs w:val="22"/>
              </w:rPr>
            </w:pPr>
            <w:r>
              <w:rPr>
                <w:szCs w:val="22"/>
              </w:rPr>
              <w:t>NGS</w:t>
            </w:r>
          </w:p>
        </w:tc>
        <w:tc>
          <w:tcPr>
            <w:tcW w:w="3800" w:type="pct"/>
          </w:tcPr>
          <w:p w14:paraId="7E9D2B5A"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N</w:t>
            </w:r>
            <w:r w:rsidRPr="00A27852">
              <w:t>ext</w:t>
            </w:r>
            <w:r>
              <w:t xml:space="preserve"> </w:t>
            </w:r>
            <w:r w:rsidRPr="00A27852">
              <w:t>generation sequencing</w:t>
            </w:r>
          </w:p>
        </w:tc>
      </w:tr>
      <w:tr w:rsidR="00286663" w:rsidRPr="00D01DDB" w14:paraId="136A4C67"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E3892B" w14:textId="77777777" w:rsidR="00286663" w:rsidRPr="00D01DDB" w:rsidRDefault="00286663" w:rsidP="00022561">
            <w:pPr>
              <w:rPr>
                <w:szCs w:val="22"/>
              </w:rPr>
            </w:pPr>
            <w:r>
              <w:rPr>
                <w:szCs w:val="22"/>
              </w:rPr>
              <w:t>NSCLC</w:t>
            </w:r>
          </w:p>
        </w:tc>
        <w:tc>
          <w:tcPr>
            <w:tcW w:w="3800" w:type="pct"/>
          </w:tcPr>
          <w:p w14:paraId="1F1212DC"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rPr>
                <w:szCs w:val="22"/>
              </w:rPr>
              <w:t>N</w:t>
            </w:r>
            <w:r w:rsidRPr="004638AC">
              <w:rPr>
                <w:szCs w:val="22"/>
              </w:rPr>
              <w:t>on-small cell lung cancer</w:t>
            </w:r>
          </w:p>
        </w:tc>
      </w:tr>
      <w:tr w:rsidR="00286663" w:rsidRPr="00D01DDB" w14:paraId="708E24D7"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01D405" w14:textId="77777777" w:rsidR="00286663" w:rsidRDefault="00286663" w:rsidP="00022561">
            <w:pPr>
              <w:rPr>
                <w:szCs w:val="22"/>
              </w:rPr>
            </w:pPr>
            <w:r>
              <w:rPr>
                <w:szCs w:val="22"/>
              </w:rPr>
              <w:t>ORR</w:t>
            </w:r>
          </w:p>
        </w:tc>
        <w:tc>
          <w:tcPr>
            <w:tcW w:w="3800" w:type="pct"/>
          </w:tcPr>
          <w:p w14:paraId="112FC466" w14:textId="6159BC47" w:rsidR="00286663" w:rsidRDefault="00286663" w:rsidP="00022561">
            <w:pPr>
              <w:cnfStyle w:val="000000000000" w:firstRow="0" w:lastRow="0" w:firstColumn="0" w:lastColumn="0" w:oddVBand="0" w:evenVBand="0" w:oddHBand="0" w:evenHBand="0" w:firstRowFirstColumn="0" w:firstRowLastColumn="0" w:lastRowFirstColumn="0" w:lastRowLastColumn="0"/>
            </w:pPr>
            <w:r>
              <w:t>Objective respon</w:t>
            </w:r>
            <w:r w:rsidR="00557B80">
              <w:t>se</w:t>
            </w:r>
            <w:r>
              <w:t xml:space="preserve"> rate</w:t>
            </w:r>
          </w:p>
        </w:tc>
      </w:tr>
      <w:tr w:rsidR="00286663" w:rsidRPr="00D01DDB" w14:paraId="7C7B4E5D"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283741" w14:textId="77777777" w:rsidR="00286663" w:rsidRPr="00D01DDB" w:rsidRDefault="00286663" w:rsidP="00022561">
            <w:pPr>
              <w:rPr>
                <w:szCs w:val="22"/>
              </w:rPr>
            </w:pPr>
            <w:r>
              <w:rPr>
                <w:szCs w:val="22"/>
              </w:rPr>
              <w:t>OS</w:t>
            </w:r>
          </w:p>
        </w:tc>
        <w:tc>
          <w:tcPr>
            <w:tcW w:w="3800" w:type="pct"/>
          </w:tcPr>
          <w:p w14:paraId="59DC88DC"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rPr>
                <w:szCs w:val="22"/>
              </w:rPr>
              <w:t>Overall survival</w:t>
            </w:r>
          </w:p>
        </w:tc>
      </w:tr>
      <w:tr w:rsidR="00286663" w:rsidRPr="00D01DDB" w14:paraId="546BBC0A"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7A3BF3" w14:textId="77777777" w:rsidR="00286663" w:rsidRDefault="00286663" w:rsidP="00022561">
            <w:pPr>
              <w:rPr>
                <w:szCs w:val="22"/>
              </w:rPr>
            </w:pPr>
            <w:r>
              <w:rPr>
                <w:szCs w:val="22"/>
              </w:rPr>
              <w:t>PCR</w:t>
            </w:r>
          </w:p>
        </w:tc>
        <w:tc>
          <w:tcPr>
            <w:tcW w:w="3800" w:type="pct"/>
          </w:tcPr>
          <w:p w14:paraId="695A9DFC"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rsidRPr="00A27852">
              <w:t xml:space="preserve">Polymerase </w:t>
            </w:r>
            <w:r>
              <w:t>c</w:t>
            </w:r>
            <w:r w:rsidRPr="00A27852">
              <w:t xml:space="preserve">hain </w:t>
            </w:r>
            <w:r>
              <w:t>r</w:t>
            </w:r>
            <w:r w:rsidRPr="00A27852">
              <w:t>eaction</w:t>
            </w:r>
          </w:p>
        </w:tc>
      </w:tr>
      <w:tr w:rsidR="00286663" w:rsidRPr="00D01DDB" w14:paraId="17045E23"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19B043" w14:textId="77777777" w:rsidR="00286663" w:rsidRDefault="00286663" w:rsidP="00022561">
            <w:pPr>
              <w:rPr>
                <w:szCs w:val="22"/>
              </w:rPr>
            </w:pPr>
            <w:r>
              <w:rPr>
                <w:szCs w:val="22"/>
              </w:rPr>
              <w:lastRenderedPageBreak/>
              <w:t>PD</w:t>
            </w:r>
          </w:p>
        </w:tc>
        <w:tc>
          <w:tcPr>
            <w:tcW w:w="3800" w:type="pct"/>
          </w:tcPr>
          <w:p w14:paraId="288BD202"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Pharmacodynamics</w:t>
            </w:r>
          </w:p>
        </w:tc>
      </w:tr>
      <w:tr w:rsidR="00286663" w:rsidRPr="00D01DDB" w14:paraId="2962A48E"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9C1C2A" w14:textId="77777777" w:rsidR="00286663" w:rsidRPr="00D01DDB" w:rsidRDefault="00286663" w:rsidP="00022561">
            <w:pPr>
              <w:rPr>
                <w:szCs w:val="22"/>
              </w:rPr>
            </w:pPr>
            <w:r>
              <w:rPr>
                <w:szCs w:val="22"/>
              </w:rPr>
              <w:t>PD-L1</w:t>
            </w:r>
          </w:p>
        </w:tc>
        <w:tc>
          <w:tcPr>
            <w:tcW w:w="3800" w:type="pct"/>
          </w:tcPr>
          <w:p w14:paraId="08F13A9F"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t xml:space="preserve">Programmed cell death ligand </w:t>
            </w:r>
            <w:r w:rsidRPr="004E32FE">
              <w:t>1</w:t>
            </w:r>
          </w:p>
        </w:tc>
      </w:tr>
      <w:tr w:rsidR="00286663" w:rsidRPr="00D01DDB" w14:paraId="481C3069"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4F974E" w14:textId="77777777" w:rsidR="00286663" w:rsidRDefault="00286663" w:rsidP="00022561">
            <w:pPr>
              <w:rPr>
                <w:szCs w:val="22"/>
              </w:rPr>
            </w:pPr>
            <w:r>
              <w:rPr>
                <w:szCs w:val="22"/>
              </w:rPr>
              <w:t>PFS</w:t>
            </w:r>
          </w:p>
        </w:tc>
        <w:tc>
          <w:tcPr>
            <w:tcW w:w="3800" w:type="pct"/>
          </w:tcPr>
          <w:p w14:paraId="306C5C43" w14:textId="2198E70A" w:rsidR="00286663" w:rsidRDefault="00286663" w:rsidP="00022561">
            <w:pPr>
              <w:cnfStyle w:val="000000000000" w:firstRow="0" w:lastRow="0" w:firstColumn="0" w:lastColumn="0" w:oddVBand="0" w:evenVBand="0" w:oddHBand="0" w:evenHBand="0" w:firstRowFirstColumn="0" w:firstRowLastColumn="0" w:lastRowFirstColumn="0" w:lastRowLastColumn="0"/>
            </w:pPr>
            <w:r>
              <w:t>Progression</w:t>
            </w:r>
            <w:r w:rsidR="00557B80">
              <w:t>-</w:t>
            </w:r>
            <w:r>
              <w:t>free survival</w:t>
            </w:r>
          </w:p>
        </w:tc>
      </w:tr>
      <w:tr w:rsidR="00286663" w:rsidRPr="00D01DDB" w14:paraId="24E3E69A"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79FD37" w14:textId="77777777" w:rsidR="00286663" w:rsidRPr="00D01DDB" w:rsidRDefault="00286663" w:rsidP="00022561">
            <w:pPr>
              <w:rPr>
                <w:szCs w:val="22"/>
              </w:rPr>
            </w:pPr>
            <w:r w:rsidRPr="00D01DDB">
              <w:rPr>
                <w:szCs w:val="22"/>
              </w:rPr>
              <w:t>PI</w:t>
            </w:r>
          </w:p>
        </w:tc>
        <w:tc>
          <w:tcPr>
            <w:tcW w:w="3800" w:type="pct"/>
          </w:tcPr>
          <w:p w14:paraId="6EF41559"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286663" w:rsidRPr="00D01DDB" w14:paraId="1ED6B558"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1271BE" w14:textId="77777777" w:rsidR="00286663" w:rsidRDefault="00286663" w:rsidP="00022561">
            <w:pPr>
              <w:rPr>
                <w:szCs w:val="22"/>
              </w:rPr>
            </w:pPr>
            <w:r>
              <w:rPr>
                <w:szCs w:val="22"/>
              </w:rPr>
              <w:t>PK</w:t>
            </w:r>
          </w:p>
        </w:tc>
        <w:tc>
          <w:tcPr>
            <w:tcW w:w="3800" w:type="pct"/>
          </w:tcPr>
          <w:p w14:paraId="1CA27106"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Pharmacokinetics</w:t>
            </w:r>
          </w:p>
        </w:tc>
      </w:tr>
      <w:tr w:rsidR="00286663" w:rsidRPr="00D01DDB" w14:paraId="6577249F"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F7B35B" w14:textId="77777777" w:rsidR="00286663" w:rsidRPr="00D01DDB" w:rsidRDefault="00286663" w:rsidP="00022561">
            <w:pPr>
              <w:rPr>
                <w:szCs w:val="22"/>
              </w:rPr>
            </w:pPr>
            <w:r w:rsidRPr="00D01DDB">
              <w:rPr>
                <w:szCs w:val="22"/>
              </w:rPr>
              <w:t>PSUR</w:t>
            </w:r>
          </w:p>
        </w:tc>
        <w:tc>
          <w:tcPr>
            <w:tcW w:w="3800" w:type="pct"/>
          </w:tcPr>
          <w:p w14:paraId="12A8815A"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286663" w:rsidRPr="00D01DDB" w14:paraId="475CECED"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C4DA2E" w14:textId="77777777" w:rsidR="00286663" w:rsidRPr="00D01DDB" w:rsidRDefault="00286663" w:rsidP="00022561">
            <w:pPr>
              <w:rPr>
                <w:szCs w:val="22"/>
              </w:rPr>
            </w:pPr>
            <w:r w:rsidRPr="00D01DDB">
              <w:rPr>
                <w:szCs w:val="22"/>
              </w:rPr>
              <w:t>RMP</w:t>
            </w:r>
          </w:p>
        </w:tc>
        <w:tc>
          <w:tcPr>
            <w:tcW w:w="3800" w:type="pct"/>
          </w:tcPr>
          <w:p w14:paraId="68F2D832"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286663" w:rsidRPr="00D01DDB" w14:paraId="336201E3"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FA161D" w14:textId="77777777" w:rsidR="00286663" w:rsidRDefault="00286663" w:rsidP="00022561">
            <w:pPr>
              <w:rPr>
                <w:szCs w:val="22"/>
              </w:rPr>
            </w:pPr>
            <w:r>
              <w:rPr>
                <w:szCs w:val="22"/>
              </w:rPr>
              <w:t>RP2D</w:t>
            </w:r>
          </w:p>
        </w:tc>
        <w:tc>
          <w:tcPr>
            <w:tcW w:w="3800" w:type="pct"/>
          </w:tcPr>
          <w:p w14:paraId="5F2F4474"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R</w:t>
            </w:r>
            <w:r w:rsidRPr="009F54D9">
              <w:t xml:space="preserve">ecommended </w:t>
            </w:r>
            <w:r>
              <w:t>P</w:t>
            </w:r>
            <w:r w:rsidRPr="009F54D9">
              <w:t xml:space="preserve">hase </w:t>
            </w:r>
            <w:r>
              <w:t>II</w:t>
            </w:r>
            <w:r w:rsidRPr="009F54D9">
              <w:t xml:space="preserve"> dose</w:t>
            </w:r>
          </w:p>
        </w:tc>
      </w:tr>
      <w:tr w:rsidR="00286663" w:rsidRPr="00D01DDB" w14:paraId="7EB2E3F6"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EF42F2" w14:textId="77777777" w:rsidR="00286663" w:rsidRDefault="00286663" w:rsidP="00022561">
            <w:pPr>
              <w:rPr>
                <w:szCs w:val="22"/>
              </w:rPr>
            </w:pPr>
            <w:r>
              <w:rPr>
                <w:szCs w:val="22"/>
              </w:rPr>
              <w:t>RWE</w:t>
            </w:r>
          </w:p>
        </w:tc>
        <w:tc>
          <w:tcPr>
            <w:tcW w:w="3800" w:type="pct"/>
          </w:tcPr>
          <w:p w14:paraId="62E823D1" w14:textId="77777777" w:rsidR="00286663" w:rsidRPr="0050783A" w:rsidRDefault="00286663" w:rsidP="00022561">
            <w:pPr>
              <w:cnfStyle w:val="000000000000" w:firstRow="0" w:lastRow="0" w:firstColumn="0" w:lastColumn="0" w:oddVBand="0" w:evenVBand="0" w:oddHBand="0" w:evenHBand="0" w:firstRowFirstColumn="0" w:firstRowLastColumn="0" w:lastRowFirstColumn="0" w:lastRowLastColumn="0"/>
            </w:pPr>
            <w:r>
              <w:t>Real world evidence</w:t>
            </w:r>
          </w:p>
        </w:tc>
      </w:tr>
      <w:tr w:rsidR="00286663" w:rsidRPr="00D01DDB" w14:paraId="5D2B8C6A"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E048CF" w14:textId="77777777" w:rsidR="00286663" w:rsidRDefault="00286663" w:rsidP="00022561">
            <w:pPr>
              <w:rPr>
                <w:szCs w:val="22"/>
              </w:rPr>
            </w:pPr>
            <w:r>
              <w:rPr>
                <w:szCs w:val="22"/>
              </w:rPr>
              <w:t>TEAE</w:t>
            </w:r>
          </w:p>
        </w:tc>
        <w:tc>
          <w:tcPr>
            <w:tcW w:w="3800" w:type="pct"/>
          </w:tcPr>
          <w:p w14:paraId="4A55EB2A" w14:textId="43D4F268" w:rsidR="00286663" w:rsidRDefault="00286663" w:rsidP="00022561">
            <w:pPr>
              <w:cnfStyle w:val="000000000000" w:firstRow="0" w:lastRow="0" w:firstColumn="0" w:lastColumn="0" w:oddVBand="0" w:evenVBand="0" w:oddHBand="0" w:evenHBand="0" w:firstRowFirstColumn="0" w:firstRowLastColumn="0" w:lastRowFirstColumn="0" w:lastRowLastColumn="0"/>
            </w:pPr>
            <w:r w:rsidRPr="003017A7">
              <w:t>Treatment</w:t>
            </w:r>
            <w:r w:rsidR="00557B80">
              <w:t>-</w:t>
            </w:r>
            <w:r w:rsidRPr="003017A7">
              <w:t>emergent adverse event</w:t>
            </w:r>
          </w:p>
        </w:tc>
      </w:tr>
      <w:tr w:rsidR="00286663" w:rsidRPr="00D01DDB" w14:paraId="21EC1E99"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B69665" w14:textId="77777777" w:rsidR="00286663" w:rsidRPr="00D01DDB" w:rsidRDefault="00286663" w:rsidP="00022561">
            <w:pPr>
              <w:rPr>
                <w:szCs w:val="22"/>
              </w:rPr>
            </w:pPr>
            <w:r w:rsidRPr="00D01DDB">
              <w:rPr>
                <w:szCs w:val="22"/>
              </w:rPr>
              <w:t>TGA</w:t>
            </w:r>
          </w:p>
        </w:tc>
        <w:tc>
          <w:tcPr>
            <w:tcW w:w="3800" w:type="pct"/>
          </w:tcPr>
          <w:p w14:paraId="79B4A35D"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286663" w:rsidRPr="00D01DDB" w14:paraId="79A9F9DE"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5E9823" w14:textId="77777777" w:rsidR="00286663" w:rsidRPr="00D01DDB" w:rsidRDefault="00286663" w:rsidP="00022561">
            <w:pPr>
              <w:rPr>
                <w:szCs w:val="22"/>
              </w:rPr>
            </w:pPr>
            <w:r>
              <w:rPr>
                <w:szCs w:val="22"/>
              </w:rPr>
              <w:t>TKI</w:t>
            </w:r>
          </w:p>
        </w:tc>
        <w:tc>
          <w:tcPr>
            <w:tcW w:w="3800" w:type="pct"/>
          </w:tcPr>
          <w:p w14:paraId="19FF7EA3" w14:textId="77777777" w:rsidR="00286663" w:rsidRPr="00D01DDB" w:rsidRDefault="00286663" w:rsidP="00022561">
            <w:pPr>
              <w:cnfStyle w:val="000000000000" w:firstRow="0" w:lastRow="0" w:firstColumn="0" w:lastColumn="0" w:oddVBand="0" w:evenVBand="0" w:oddHBand="0" w:evenHBand="0" w:firstRowFirstColumn="0" w:firstRowLastColumn="0" w:lastRowFirstColumn="0" w:lastRowLastColumn="0"/>
              <w:rPr>
                <w:szCs w:val="22"/>
              </w:rPr>
            </w:pPr>
            <w:r>
              <w:t>T</w:t>
            </w:r>
            <w:r w:rsidRPr="004E32FE">
              <w:t>yrosine kinase inhibitor</w:t>
            </w:r>
          </w:p>
        </w:tc>
      </w:tr>
      <w:tr w:rsidR="00286663" w:rsidRPr="00D01DDB" w14:paraId="2EF1F8B5"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E3C4DE" w14:textId="77777777" w:rsidR="00286663" w:rsidRDefault="00286663" w:rsidP="00022561">
            <w:pPr>
              <w:rPr>
                <w:szCs w:val="22"/>
              </w:rPr>
            </w:pPr>
            <w:r>
              <w:t>TRAE</w:t>
            </w:r>
          </w:p>
        </w:tc>
        <w:tc>
          <w:tcPr>
            <w:tcW w:w="3800" w:type="pct"/>
          </w:tcPr>
          <w:p w14:paraId="25043F02" w14:textId="31EAA8E0" w:rsidR="00286663" w:rsidRDefault="00286663" w:rsidP="00022561">
            <w:pPr>
              <w:cnfStyle w:val="000000000000" w:firstRow="0" w:lastRow="0" w:firstColumn="0" w:lastColumn="0" w:oddVBand="0" w:evenVBand="0" w:oddHBand="0" w:evenHBand="0" w:firstRowFirstColumn="0" w:firstRowLastColumn="0" w:lastRowFirstColumn="0" w:lastRowLastColumn="0"/>
            </w:pPr>
            <w:r>
              <w:t>Treatment</w:t>
            </w:r>
            <w:r w:rsidR="00557B80">
              <w:t>-</w:t>
            </w:r>
            <w:r>
              <w:t>related adverse event</w:t>
            </w:r>
          </w:p>
        </w:tc>
      </w:tr>
      <w:tr w:rsidR="00286663" w:rsidRPr="00D01DDB" w14:paraId="20D135D0"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DF0E73" w14:textId="77777777" w:rsidR="00286663" w:rsidRDefault="00286663" w:rsidP="00022561">
            <w:pPr>
              <w:rPr>
                <w:szCs w:val="22"/>
              </w:rPr>
            </w:pPr>
            <w:r>
              <w:rPr>
                <w:szCs w:val="22"/>
              </w:rPr>
              <w:t>ULN</w:t>
            </w:r>
          </w:p>
        </w:tc>
        <w:tc>
          <w:tcPr>
            <w:tcW w:w="3800" w:type="pct"/>
          </w:tcPr>
          <w:p w14:paraId="6F3A0B52"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U</w:t>
            </w:r>
            <w:r w:rsidRPr="00E0419B">
              <w:t>pper limit of normal</w:t>
            </w:r>
          </w:p>
        </w:tc>
      </w:tr>
      <w:tr w:rsidR="00286663" w:rsidRPr="00D01DDB" w14:paraId="2E9A4E8C" w14:textId="77777777" w:rsidTr="00022561">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0A2B21" w14:textId="77777777" w:rsidR="00286663" w:rsidRDefault="00286663" w:rsidP="00022561">
            <w:pPr>
              <w:rPr>
                <w:szCs w:val="22"/>
              </w:rPr>
            </w:pPr>
            <w:r>
              <w:rPr>
                <w:szCs w:val="22"/>
              </w:rPr>
              <w:t>VTE</w:t>
            </w:r>
          </w:p>
        </w:tc>
        <w:tc>
          <w:tcPr>
            <w:tcW w:w="3800" w:type="pct"/>
          </w:tcPr>
          <w:p w14:paraId="42255E2A" w14:textId="77777777" w:rsidR="00286663" w:rsidRDefault="00286663" w:rsidP="00022561">
            <w:pPr>
              <w:cnfStyle w:val="000000000000" w:firstRow="0" w:lastRow="0" w:firstColumn="0" w:lastColumn="0" w:oddVBand="0" w:evenVBand="0" w:oddHBand="0" w:evenHBand="0" w:firstRowFirstColumn="0" w:firstRowLastColumn="0" w:lastRowFirstColumn="0" w:lastRowLastColumn="0"/>
            </w:pPr>
            <w:r>
              <w:t>Venous thromboembolic events</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44288295"/>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44288296"/>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613CF93C" w:rsidR="00324B33" w:rsidRPr="00BD5DBD" w:rsidRDefault="00324B33" w:rsidP="007452E8">
            <w:pPr>
              <w:rPr>
                <w:szCs w:val="22"/>
              </w:rPr>
            </w:pPr>
            <w:r w:rsidRPr="00BD5DBD">
              <w:rPr>
                <w:szCs w:val="22"/>
              </w:rPr>
              <w:t xml:space="preserve">New </w:t>
            </w:r>
            <w:r w:rsidR="006E6FCB">
              <w:rPr>
                <w:szCs w:val="22"/>
              </w:rPr>
              <w:t>biological</w:t>
            </w:r>
            <w:r w:rsidRPr="00BD5DBD">
              <w:rPr>
                <w:szCs w:val="22"/>
              </w:rPr>
              <w:t xml:space="preserve"> entity</w:t>
            </w:r>
          </w:p>
        </w:tc>
      </w:tr>
      <w:tr w:rsidR="00324B33" w:rsidRPr="00BD5DBD" w14:paraId="13482B61" w14:textId="77777777" w:rsidTr="00F865A7">
        <w:tc>
          <w:tcPr>
            <w:tcW w:w="1577" w:type="pct"/>
          </w:tcPr>
          <w:p w14:paraId="2C427FCF" w14:textId="2A43A5EF" w:rsidR="00324B33" w:rsidRPr="00BD5DBD" w:rsidRDefault="00324B33" w:rsidP="007452E8">
            <w:pPr>
              <w:rPr>
                <w:i/>
                <w:szCs w:val="22"/>
              </w:rPr>
            </w:pPr>
            <w:r w:rsidRPr="00BD5DBD">
              <w:rPr>
                <w:i/>
                <w:szCs w:val="22"/>
              </w:rPr>
              <w:t>Product name:</w:t>
            </w:r>
          </w:p>
        </w:tc>
        <w:tc>
          <w:tcPr>
            <w:tcW w:w="3423" w:type="pct"/>
          </w:tcPr>
          <w:p w14:paraId="0E2DEF76" w14:textId="571ED438" w:rsidR="00324B33" w:rsidRPr="00BD5DBD" w:rsidRDefault="006E6FCB" w:rsidP="007452E8">
            <w:pPr>
              <w:rPr>
                <w:szCs w:val="22"/>
              </w:rPr>
            </w:pPr>
            <w:proofErr w:type="spellStart"/>
            <w:r>
              <w:rPr>
                <w:szCs w:val="22"/>
              </w:rPr>
              <w:t>Rybrevant</w:t>
            </w:r>
            <w:proofErr w:type="spellEnd"/>
          </w:p>
        </w:tc>
      </w:tr>
      <w:tr w:rsidR="00324B33" w:rsidRPr="00BD5DBD" w14:paraId="01255B5B" w14:textId="77777777" w:rsidTr="00F865A7">
        <w:tc>
          <w:tcPr>
            <w:tcW w:w="1577" w:type="pct"/>
          </w:tcPr>
          <w:p w14:paraId="52B4F3D7" w14:textId="6606FED9" w:rsidR="00324B33" w:rsidRPr="00BD5DBD" w:rsidRDefault="00324B33" w:rsidP="007452E8">
            <w:pPr>
              <w:rPr>
                <w:i/>
                <w:szCs w:val="22"/>
              </w:rPr>
            </w:pPr>
            <w:r w:rsidRPr="00BD5DBD">
              <w:rPr>
                <w:i/>
                <w:szCs w:val="22"/>
              </w:rPr>
              <w:t>Active ingredient:</w:t>
            </w:r>
          </w:p>
        </w:tc>
        <w:tc>
          <w:tcPr>
            <w:tcW w:w="3423" w:type="pct"/>
          </w:tcPr>
          <w:p w14:paraId="02FB6383" w14:textId="745ABBDA" w:rsidR="00324B33" w:rsidRPr="00BD5DBD" w:rsidRDefault="006E6FCB" w:rsidP="007452E8">
            <w:pPr>
              <w:rPr>
                <w:szCs w:val="22"/>
              </w:rPr>
            </w:pPr>
            <w:proofErr w:type="spellStart"/>
            <w:r>
              <w:rPr>
                <w:szCs w:val="22"/>
              </w:rPr>
              <w:t>Amivantamab</w:t>
            </w:r>
            <w:proofErr w:type="spellEnd"/>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1DB1B4C5" w:rsidR="00324B33" w:rsidRPr="00BD5DBD" w:rsidRDefault="00324B33" w:rsidP="007452E8">
            <w:pPr>
              <w:rPr>
                <w:szCs w:val="22"/>
              </w:rPr>
            </w:pPr>
            <w:r w:rsidRPr="00BD5DBD">
              <w:rPr>
                <w:szCs w:val="22"/>
              </w:rPr>
              <w:t>Approved for provisional registration</w:t>
            </w:r>
          </w:p>
        </w:tc>
      </w:tr>
      <w:tr w:rsidR="00AE1947" w:rsidRPr="00BD5DBD" w14:paraId="32B72632" w14:textId="77777777" w:rsidTr="00F865A7">
        <w:tc>
          <w:tcPr>
            <w:tcW w:w="1577" w:type="pct"/>
          </w:tcPr>
          <w:p w14:paraId="332A5CD5" w14:textId="66288C77" w:rsidR="00AE1947" w:rsidRPr="006E6FCB" w:rsidRDefault="00AE1947" w:rsidP="006E6FCB">
            <w:pPr>
              <w:rPr>
                <w:i/>
                <w:szCs w:val="22"/>
              </w:rPr>
            </w:pPr>
            <w:r w:rsidRPr="00BD5DBD">
              <w:rPr>
                <w:i/>
                <w:szCs w:val="22"/>
              </w:rPr>
              <w:t>Date of decision:</w:t>
            </w:r>
          </w:p>
        </w:tc>
        <w:tc>
          <w:tcPr>
            <w:tcW w:w="3423" w:type="pct"/>
          </w:tcPr>
          <w:p w14:paraId="7B381CD6" w14:textId="4B51FBA1" w:rsidR="00AE1947" w:rsidRPr="00BD5DBD" w:rsidRDefault="006E6FCB" w:rsidP="00602658">
            <w:pPr>
              <w:rPr>
                <w:szCs w:val="22"/>
              </w:rPr>
            </w:pPr>
            <w:r>
              <w:rPr>
                <w:szCs w:val="22"/>
              </w:rPr>
              <w:t>28 November 2022</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10F5DA47" w:rsidR="00324B33" w:rsidRPr="00BD5DBD" w:rsidRDefault="006E6FCB" w:rsidP="007452E8">
            <w:pPr>
              <w:rPr>
                <w:szCs w:val="22"/>
              </w:rPr>
            </w:pPr>
            <w:r>
              <w:rPr>
                <w:szCs w:val="22"/>
              </w:rPr>
              <w:t>1 December 2022</w:t>
            </w:r>
          </w:p>
        </w:tc>
      </w:tr>
      <w:tr w:rsidR="00324B33" w:rsidRPr="00BD5DBD" w14:paraId="547E08D7" w14:textId="77777777" w:rsidTr="00F865A7">
        <w:tc>
          <w:tcPr>
            <w:tcW w:w="1577" w:type="pct"/>
          </w:tcPr>
          <w:p w14:paraId="5030EF30" w14:textId="13F9B661" w:rsidR="00324B33" w:rsidRPr="00BD5DBD" w:rsidRDefault="00324B33" w:rsidP="007452E8">
            <w:pPr>
              <w:rPr>
                <w:i/>
                <w:szCs w:val="22"/>
              </w:rPr>
            </w:pPr>
            <w:r w:rsidRPr="00BD5DBD">
              <w:rPr>
                <w:i/>
                <w:szCs w:val="22"/>
              </w:rPr>
              <w:t>ARTG number:</w:t>
            </w:r>
          </w:p>
        </w:tc>
        <w:tc>
          <w:tcPr>
            <w:tcW w:w="3423" w:type="pct"/>
          </w:tcPr>
          <w:p w14:paraId="0054E912" w14:textId="1DEE6584" w:rsidR="00324B33" w:rsidRPr="00BD5DBD" w:rsidRDefault="006E6FCB" w:rsidP="007452E8">
            <w:pPr>
              <w:rPr>
                <w:szCs w:val="22"/>
              </w:rPr>
            </w:pPr>
            <w:r>
              <w:t>376832</w:t>
            </w:r>
          </w:p>
        </w:tc>
      </w:tr>
      <w:tr w:rsidR="00324B33" w:rsidRPr="00BD5DBD" w14:paraId="7618393F" w14:textId="77777777" w:rsidTr="00F865A7">
        <w:tc>
          <w:tcPr>
            <w:tcW w:w="1577" w:type="pct"/>
          </w:tcPr>
          <w:p w14:paraId="6C24CEB6" w14:textId="04A7EAA4" w:rsidR="00E47E0C" w:rsidRPr="00BD5DBD" w:rsidRDefault="00324B33" w:rsidP="007452E8">
            <w:pPr>
              <w:rPr>
                <w:rStyle w:val="Hyperlink"/>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48E9B8CF" w:rsidR="00324B33" w:rsidRPr="00BD5DBD" w:rsidRDefault="00324B33" w:rsidP="007452E8">
            <w:pPr>
              <w:rPr>
                <w:szCs w:val="22"/>
              </w:rPr>
            </w:pPr>
            <w:r w:rsidRPr="00BD5DBD">
              <w:rPr>
                <w:szCs w:val="22"/>
              </w:rPr>
              <w:t>Yes</w:t>
            </w:r>
          </w:p>
          <w:p w14:paraId="6FF3C6A2" w14:textId="4963BF94" w:rsidR="00324B33" w:rsidRPr="00BD5DBD" w:rsidRDefault="00324B33" w:rsidP="007452E8">
            <w:pPr>
              <w:rPr>
                <w:szCs w:val="22"/>
              </w:rPr>
            </w:pPr>
            <w:r w:rsidRPr="00BD5DBD">
              <w:rPr>
                <w:szCs w:val="22"/>
              </w:rPr>
              <w:t>As a provisionally registered product, this medicine will remain in the Black Triangle Scheme for the duration of its provisional registration</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257732A1" w14:textId="77777777" w:rsidR="00324B33" w:rsidRDefault="006E6FCB" w:rsidP="007452E8">
            <w:pPr>
              <w:rPr>
                <w:lang w:val="es-ES"/>
              </w:rPr>
            </w:pPr>
            <w:r>
              <w:rPr>
                <w:lang w:val="es-ES"/>
              </w:rPr>
              <w:t>Janssen-</w:t>
            </w:r>
            <w:proofErr w:type="spellStart"/>
            <w:r>
              <w:rPr>
                <w:lang w:val="es-ES"/>
              </w:rPr>
              <w:t>Cilag</w:t>
            </w:r>
            <w:proofErr w:type="spellEnd"/>
            <w:r>
              <w:rPr>
                <w:lang w:val="es-ES"/>
              </w:rPr>
              <w:t xml:space="preserve"> </w:t>
            </w:r>
            <w:proofErr w:type="spellStart"/>
            <w:r>
              <w:rPr>
                <w:lang w:val="es-ES"/>
              </w:rPr>
              <w:t>Pty</w:t>
            </w:r>
            <w:proofErr w:type="spellEnd"/>
            <w:r>
              <w:rPr>
                <w:lang w:val="es-ES"/>
              </w:rPr>
              <w:t xml:space="preserve"> </w:t>
            </w:r>
            <w:proofErr w:type="spellStart"/>
            <w:r>
              <w:rPr>
                <w:lang w:val="es-ES"/>
              </w:rPr>
              <w:t>Ltd</w:t>
            </w:r>
            <w:proofErr w:type="spellEnd"/>
          </w:p>
          <w:p w14:paraId="3B4278DF" w14:textId="77777777" w:rsidR="006E6FCB" w:rsidRDefault="006E6FCB" w:rsidP="006E6FCB">
            <w:pPr>
              <w:rPr>
                <w:lang w:val="es-ES"/>
              </w:rPr>
            </w:pPr>
            <w:r>
              <w:rPr>
                <w:lang w:val="es-ES"/>
              </w:rPr>
              <w:t xml:space="preserve">1-5 </w:t>
            </w:r>
            <w:proofErr w:type="spellStart"/>
            <w:r>
              <w:rPr>
                <w:lang w:val="es-ES"/>
              </w:rPr>
              <w:t>Khartoum</w:t>
            </w:r>
            <w:proofErr w:type="spellEnd"/>
            <w:r>
              <w:rPr>
                <w:lang w:val="es-ES"/>
              </w:rPr>
              <w:t xml:space="preserve"> Road,</w:t>
            </w:r>
          </w:p>
          <w:p w14:paraId="68DD94B0" w14:textId="0023E2B3" w:rsidR="006E6FCB" w:rsidRPr="00BD5DBD" w:rsidRDefault="006E6FCB" w:rsidP="006E6FCB">
            <w:pPr>
              <w:rPr>
                <w:szCs w:val="22"/>
              </w:rPr>
            </w:pPr>
            <w:r>
              <w:rPr>
                <w:lang w:val="es-ES"/>
              </w:rPr>
              <w:t>Macquarie Park, NSW 2113</w:t>
            </w:r>
          </w:p>
        </w:tc>
      </w:tr>
      <w:tr w:rsidR="00324B33" w:rsidRPr="00BD5DBD" w14:paraId="5322B989" w14:textId="77777777" w:rsidTr="00F865A7">
        <w:tc>
          <w:tcPr>
            <w:tcW w:w="1577" w:type="pct"/>
          </w:tcPr>
          <w:p w14:paraId="24F217E3" w14:textId="6187DEEE" w:rsidR="00324B33" w:rsidRPr="00BD5DBD" w:rsidRDefault="00324B33" w:rsidP="007452E8">
            <w:pPr>
              <w:rPr>
                <w:i/>
                <w:szCs w:val="22"/>
              </w:rPr>
            </w:pPr>
            <w:r w:rsidRPr="00BD5DBD">
              <w:rPr>
                <w:i/>
                <w:szCs w:val="22"/>
              </w:rPr>
              <w:t>Dose form:</w:t>
            </w:r>
          </w:p>
        </w:tc>
        <w:tc>
          <w:tcPr>
            <w:tcW w:w="3423" w:type="pct"/>
          </w:tcPr>
          <w:p w14:paraId="768B254C" w14:textId="147FC972" w:rsidR="00324B33" w:rsidRPr="00BD5DBD" w:rsidRDefault="006E6FCB" w:rsidP="007452E8">
            <w:pPr>
              <w:rPr>
                <w:szCs w:val="22"/>
              </w:rPr>
            </w:pPr>
            <w:r>
              <w:rPr>
                <w:szCs w:val="22"/>
              </w:rPr>
              <w:t>Concentrated injection</w:t>
            </w:r>
          </w:p>
        </w:tc>
      </w:tr>
      <w:tr w:rsidR="00324B33" w:rsidRPr="00BD5DBD" w14:paraId="115243E6" w14:textId="77777777" w:rsidTr="00F865A7">
        <w:tc>
          <w:tcPr>
            <w:tcW w:w="1577" w:type="pct"/>
          </w:tcPr>
          <w:p w14:paraId="7634B062" w14:textId="04AC9D74" w:rsidR="00324B33" w:rsidRPr="00BD5DBD" w:rsidRDefault="00324B33" w:rsidP="007452E8">
            <w:pPr>
              <w:rPr>
                <w:i/>
                <w:szCs w:val="22"/>
              </w:rPr>
            </w:pPr>
            <w:r w:rsidRPr="00BD5DBD">
              <w:rPr>
                <w:i/>
                <w:szCs w:val="22"/>
              </w:rPr>
              <w:t>Strength:</w:t>
            </w:r>
          </w:p>
        </w:tc>
        <w:tc>
          <w:tcPr>
            <w:tcW w:w="3423" w:type="pct"/>
          </w:tcPr>
          <w:p w14:paraId="5E5F83DB" w14:textId="6C548C11" w:rsidR="00324B33" w:rsidRPr="00BD5DBD" w:rsidRDefault="006E6FCB" w:rsidP="007452E8">
            <w:pPr>
              <w:rPr>
                <w:szCs w:val="22"/>
              </w:rPr>
            </w:pPr>
            <w:r>
              <w:rPr>
                <w:szCs w:val="22"/>
              </w:rPr>
              <w:t>350 mg/7 mL</w:t>
            </w:r>
          </w:p>
        </w:tc>
      </w:tr>
      <w:tr w:rsidR="00324B33" w:rsidRPr="00BD5DBD" w14:paraId="34B07BA6" w14:textId="77777777" w:rsidTr="00F865A7">
        <w:tc>
          <w:tcPr>
            <w:tcW w:w="1577" w:type="pct"/>
          </w:tcPr>
          <w:p w14:paraId="1C039224" w14:textId="4054381F" w:rsidR="00324B33" w:rsidRPr="00BD5DBD" w:rsidRDefault="00324B33" w:rsidP="007452E8">
            <w:pPr>
              <w:rPr>
                <w:i/>
                <w:szCs w:val="22"/>
              </w:rPr>
            </w:pPr>
            <w:r w:rsidRPr="00BD5DBD">
              <w:rPr>
                <w:i/>
                <w:szCs w:val="22"/>
              </w:rPr>
              <w:t>Container:</w:t>
            </w:r>
          </w:p>
        </w:tc>
        <w:tc>
          <w:tcPr>
            <w:tcW w:w="3423" w:type="pct"/>
          </w:tcPr>
          <w:p w14:paraId="500A42C6" w14:textId="119DA5FB" w:rsidR="00324B33" w:rsidRPr="00BD5DBD" w:rsidRDefault="006E6FCB" w:rsidP="007452E8">
            <w:pPr>
              <w:rPr>
                <w:szCs w:val="22"/>
              </w:rPr>
            </w:pPr>
            <w:r>
              <w:rPr>
                <w:szCs w:val="22"/>
              </w:rPr>
              <w:t>Vial</w:t>
            </w:r>
          </w:p>
        </w:tc>
      </w:tr>
      <w:tr w:rsidR="00324B33" w:rsidRPr="00BD5DBD" w14:paraId="176B6773" w14:textId="77777777" w:rsidTr="00F865A7">
        <w:tc>
          <w:tcPr>
            <w:tcW w:w="1577" w:type="pct"/>
          </w:tcPr>
          <w:p w14:paraId="71846159" w14:textId="1CCFE007" w:rsidR="00324B33" w:rsidRPr="00BD5DBD" w:rsidRDefault="00324B33" w:rsidP="007452E8">
            <w:pPr>
              <w:rPr>
                <w:i/>
                <w:szCs w:val="22"/>
              </w:rPr>
            </w:pPr>
            <w:r w:rsidRPr="00BD5DBD">
              <w:rPr>
                <w:i/>
                <w:szCs w:val="22"/>
              </w:rPr>
              <w:t>Pack size:</w:t>
            </w:r>
          </w:p>
        </w:tc>
        <w:tc>
          <w:tcPr>
            <w:tcW w:w="3423" w:type="pct"/>
          </w:tcPr>
          <w:p w14:paraId="7E978F8F" w14:textId="09FBF3A6" w:rsidR="00324B33" w:rsidRPr="00BD5DBD" w:rsidRDefault="006E6FCB" w:rsidP="007452E8">
            <w:pPr>
              <w:rPr>
                <w:szCs w:val="22"/>
              </w:rPr>
            </w:pPr>
            <w:r>
              <w:rPr>
                <w:szCs w:val="22"/>
              </w:rPr>
              <w:t>One</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25C0FE39" w14:textId="77777777" w:rsidR="006E6FCB" w:rsidRPr="006E6FCB" w:rsidRDefault="006E6FCB" w:rsidP="006E6FCB">
            <w:pPr>
              <w:rPr>
                <w:i/>
                <w:iCs/>
                <w:szCs w:val="22"/>
              </w:rPr>
            </w:pPr>
            <w:proofErr w:type="spellStart"/>
            <w:r w:rsidRPr="006E6FCB">
              <w:rPr>
                <w:i/>
                <w:iCs/>
                <w:szCs w:val="22"/>
              </w:rPr>
              <w:t>Rybrevant</w:t>
            </w:r>
            <w:proofErr w:type="spellEnd"/>
            <w:r w:rsidRPr="006E6FCB">
              <w:rPr>
                <w:i/>
                <w:iCs/>
                <w:szCs w:val="22"/>
              </w:rPr>
              <w:t xml:space="preserve"> has </w:t>
            </w:r>
            <w:r w:rsidRPr="006E6FCB">
              <w:rPr>
                <w:b/>
                <w:bCs/>
                <w:i/>
                <w:iCs/>
                <w:szCs w:val="22"/>
              </w:rPr>
              <w:t>provisional approval</w:t>
            </w:r>
            <w:r w:rsidRPr="006E6FCB">
              <w:rPr>
                <w:i/>
                <w:iCs/>
                <w:szCs w:val="22"/>
              </w:rPr>
              <w:t xml:space="preserve"> for the treatment of patients with locally advanced or metastatic non-small cell lung cancer (NSCLC) that has an activating epidermal-growth factor receptor (EGFR) exon 20 insertion mutation, whose disease has progressed on or after platinum-based chemotherapy.</w:t>
            </w:r>
          </w:p>
          <w:p w14:paraId="6E143E2E" w14:textId="77E59111" w:rsidR="00324B33" w:rsidRPr="00BD5DBD" w:rsidRDefault="006E6FCB" w:rsidP="006E6FCB">
            <w:pPr>
              <w:rPr>
                <w:szCs w:val="22"/>
              </w:rPr>
            </w:pPr>
            <w:r w:rsidRPr="006E6FCB">
              <w:rPr>
                <w:i/>
                <w:iCs/>
                <w:szCs w:val="22"/>
              </w:rPr>
              <w:t xml:space="preserve">The decision to approve this indication has been made </w:t>
            </w:r>
            <w:proofErr w:type="gramStart"/>
            <w:r w:rsidRPr="006E6FCB">
              <w:rPr>
                <w:i/>
                <w:iCs/>
                <w:szCs w:val="22"/>
              </w:rPr>
              <w:t>on the basis of</w:t>
            </w:r>
            <w:proofErr w:type="gramEnd"/>
            <w:r w:rsidRPr="006E6FCB">
              <w:rPr>
                <w:i/>
                <w:iCs/>
                <w:szCs w:val="22"/>
              </w:rPr>
              <w:t xml:space="preserve"> objective response rate and duration of response in a single arm study. Continued approval of this indication depends on verification and description of benefit in a confirmatory study.</w:t>
            </w:r>
          </w:p>
        </w:tc>
      </w:tr>
      <w:tr w:rsidR="00324B33" w:rsidRPr="00BD5DBD" w14:paraId="5AFDEED3" w14:textId="77777777" w:rsidTr="00F865A7">
        <w:tc>
          <w:tcPr>
            <w:tcW w:w="1577" w:type="pct"/>
          </w:tcPr>
          <w:p w14:paraId="03884BD1" w14:textId="0B497E16" w:rsidR="00324B33" w:rsidRPr="00BD5DBD" w:rsidRDefault="00324B33" w:rsidP="007452E8">
            <w:pPr>
              <w:rPr>
                <w:i/>
                <w:szCs w:val="22"/>
              </w:rPr>
            </w:pPr>
            <w:r w:rsidRPr="00BD5DBD">
              <w:rPr>
                <w:i/>
                <w:szCs w:val="22"/>
              </w:rPr>
              <w:t>Route of administration:</w:t>
            </w:r>
          </w:p>
        </w:tc>
        <w:tc>
          <w:tcPr>
            <w:tcW w:w="3423" w:type="pct"/>
          </w:tcPr>
          <w:p w14:paraId="1ED1357E" w14:textId="2643E0C6" w:rsidR="00324B33" w:rsidRPr="00BD5DBD" w:rsidRDefault="006E6FCB" w:rsidP="007452E8">
            <w:pPr>
              <w:rPr>
                <w:szCs w:val="22"/>
              </w:rPr>
            </w:pPr>
            <w:r>
              <w:rPr>
                <w:szCs w:val="22"/>
              </w:rPr>
              <w:t>Intravenous injection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1766176A" w14:textId="1AF64B47" w:rsidR="006E6FCB" w:rsidRPr="00FE3EFA" w:rsidRDefault="006E6FCB" w:rsidP="006E6FCB">
            <w:proofErr w:type="spellStart"/>
            <w:r w:rsidRPr="00FE3EFA">
              <w:t>R</w:t>
            </w:r>
            <w:r>
              <w:t>ybrevant</w:t>
            </w:r>
            <w:proofErr w:type="spellEnd"/>
            <w:r w:rsidRPr="00FE3EFA">
              <w:t xml:space="preserve"> should be administered by a healthcare professional in a setting with appropriate medical support for the management of infusion-related reactions (IRRs), including equipment for cardiorespiratory resuscitation. See Section 4.4</w:t>
            </w:r>
            <w:r>
              <w:t xml:space="preserve"> </w:t>
            </w:r>
            <w:r w:rsidRPr="00FE3EFA">
              <w:t>Special warnings and precautions for use</w:t>
            </w:r>
            <w:r>
              <w:t>.</w:t>
            </w:r>
          </w:p>
          <w:p w14:paraId="429CFE65" w14:textId="0EB9AF99" w:rsidR="006E6FCB" w:rsidRPr="00FE3EFA" w:rsidRDefault="006E6FCB" w:rsidP="006E6FCB">
            <w:r w:rsidRPr="00FE3EFA">
              <w:t>Administer pre-infusion medications (see Section 4.2 Pre-infusion medications).</w:t>
            </w:r>
          </w:p>
          <w:p w14:paraId="1BD84E12" w14:textId="76688630" w:rsidR="006E6FCB" w:rsidRDefault="006E6FCB" w:rsidP="006E6FCB">
            <w:r w:rsidRPr="00FE3EFA">
              <w:t xml:space="preserve">When considering the use of </w:t>
            </w:r>
            <w:proofErr w:type="spellStart"/>
            <w:r w:rsidRPr="00FE3EFA">
              <w:t>R</w:t>
            </w:r>
            <w:r>
              <w:t>ybrevant</w:t>
            </w:r>
            <w:proofErr w:type="spellEnd"/>
            <w:r w:rsidRPr="00FE3EFA">
              <w:t>, the presence of an EGFR</w:t>
            </w:r>
            <w:r>
              <w:t xml:space="preserve"> </w:t>
            </w:r>
            <w:r w:rsidRPr="00FE3EFA">
              <w:t xml:space="preserve">exon 20 insertion mutation should be established using a </w:t>
            </w:r>
            <w:r w:rsidRPr="00FE3EFA">
              <w:lastRenderedPageBreak/>
              <w:t xml:space="preserve">validated test (see Section 5.1 </w:t>
            </w:r>
            <w:r>
              <w:t xml:space="preserve">[of Product Information] </w:t>
            </w:r>
            <w:r w:rsidRPr="00FE3EFA">
              <w:t>Clinical trials).</w:t>
            </w:r>
          </w:p>
          <w:p w14:paraId="1246B144" w14:textId="41AF1522" w:rsidR="00324B33" w:rsidRPr="006E6FCB" w:rsidRDefault="006E6FCB" w:rsidP="007452E8">
            <w:r>
              <w:t xml:space="preserve">The recommended dose of </w:t>
            </w:r>
            <w:proofErr w:type="spellStart"/>
            <w:r>
              <w:t>Rybrevant</w:t>
            </w:r>
            <w:proofErr w:type="spellEnd"/>
            <w:r>
              <w:t xml:space="preserve"> is according to the body weight of patient. See section 4.2 for the recommended dose, dosing schedule and infusion rates of </w:t>
            </w:r>
            <w:proofErr w:type="spellStart"/>
            <w:r>
              <w:t>Rybrevant</w:t>
            </w:r>
            <w:proofErr w:type="spellEnd"/>
            <w:r>
              <w:t xml:space="preserve">. Administer </w:t>
            </w:r>
            <w:proofErr w:type="spellStart"/>
            <w:r>
              <w:t>Rybrevant</w:t>
            </w:r>
            <w:proofErr w:type="spellEnd"/>
            <w:r>
              <w:t xml:space="preserve"> until disease progression or unacceptable toxicity.</w:t>
            </w:r>
          </w:p>
          <w:p w14:paraId="3D0B2D5C" w14:textId="77777777" w:rsidR="00324B33" w:rsidRPr="00BD5DBD" w:rsidRDefault="00324B33" w:rsidP="007452E8">
            <w:pPr>
              <w:rPr>
                <w:szCs w:val="22"/>
              </w:rPr>
            </w:pPr>
            <w:r w:rsidRPr="00BD5DBD">
              <w:rPr>
                <w:szCs w:val="22"/>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58FA7F40" w14:textId="77777777" w:rsidR="006E6FCB" w:rsidRDefault="006E6FCB" w:rsidP="006E6FCB">
            <w:r>
              <w:t>D</w:t>
            </w:r>
          </w:p>
          <w:p w14:paraId="1CF0A27A" w14:textId="77777777" w:rsidR="006E6FCB" w:rsidRDefault="006E6FCB" w:rsidP="006E6FCB">
            <w:r w:rsidRPr="000006CC">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30D43B7A" w:rsidR="00324B33" w:rsidRPr="00BD5DBD" w:rsidRDefault="00324B33" w:rsidP="007452E8">
            <w:pPr>
              <w:rPr>
                <w:szCs w:val="22"/>
              </w:rPr>
            </w:pPr>
            <w:r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44288297"/>
      <w:r>
        <w:t>Product background</w:t>
      </w:r>
      <w:bookmarkEnd w:id="11"/>
      <w:bookmarkEnd w:id="12"/>
      <w:bookmarkEnd w:id="13"/>
      <w:bookmarkEnd w:id="14"/>
    </w:p>
    <w:p w14:paraId="56B27CF2" w14:textId="65618BF3" w:rsidR="00324B33" w:rsidRDefault="00324B33" w:rsidP="00324B33">
      <w:pPr>
        <w:rPr>
          <w:szCs w:val="22"/>
        </w:rPr>
      </w:pPr>
      <w:r w:rsidRPr="00BD5DBD">
        <w:rPr>
          <w:szCs w:val="22"/>
        </w:rPr>
        <w:t xml:space="preserve">This AusPAR describes the submission by </w:t>
      </w:r>
      <w:r w:rsidR="006E6FCB">
        <w:rPr>
          <w:szCs w:val="22"/>
        </w:rPr>
        <w:t>Janssen-</w:t>
      </w:r>
      <w:proofErr w:type="spellStart"/>
      <w:r w:rsidR="006E6FCB">
        <w:rPr>
          <w:szCs w:val="22"/>
        </w:rPr>
        <w:t>Cilag</w:t>
      </w:r>
      <w:proofErr w:type="spellEnd"/>
      <w:r w:rsidR="006E6FCB">
        <w:rPr>
          <w:szCs w:val="22"/>
        </w:rPr>
        <w:t xml:space="preserve"> Pty Ltd</w:t>
      </w:r>
      <w:r w:rsidRPr="00BD5DBD">
        <w:rPr>
          <w:szCs w:val="22"/>
        </w:rPr>
        <w:t xml:space="preserve"> (the sponsor) to register </w:t>
      </w:r>
      <w:proofErr w:type="spellStart"/>
      <w:r w:rsidR="006E6FCB" w:rsidRPr="000E6D21">
        <w:t>R</w:t>
      </w:r>
      <w:r w:rsidR="006E6FCB">
        <w:t>ybrevant</w:t>
      </w:r>
      <w:proofErr w:type="spellEnd"/>
      <w:r w:rsidR="006E6FCB" w:rsidRPr="000E6D21">
        <w:t xml:space="preserve"> </w:t>
      </w:r>
      <w:r w:rsidR="006E6FCB">
        <w:t>(</w:t>
      </w:r>
      <w:proofErr w:type="spellStart"/>
      <w:r w:rsidR="006E6FCB" w:rsidRPr="000E6D21">
        <w:t>amivantamab</w:t>
      </w:r>
      <w:proofErr w:type="spellEnd"/>
      <w:r w:rsidRPr="00BD5DBD">
        <w:rPr>
          <w:szCs w:val="22"/>
        </w:rPr>
        <w:t xml:space="preserve">) </w:t>
      </w:r>
      <w:r w:rsidR="006E6FCB">
        <w:rPr>
          <w:szCs w:val="22"/>
        </w:rPr>
        <w:t>350 mg/7 mL</w:t>
      </w:r>
      <w:r w:rsidRPr="00BD5DBD">
        <w:rPr>
          <w:szCs w:val="22"/>
        </w:rPr>
        <w:t xml:space="preserve">, </w:t>
      </w:r>
      <w:r w:rsidR="000241BD">
        <w:rPr>
          <w:szCs w:val="22"/>
        </w:rPr>
        <w:t>concentrated injection</w:t>
      </w:r>
      <w:r w:rsidR="00D62877" w:rsidRPr="00BD5DBD">
        <w:rPr>
          <w:szCs w:val="22"/>
        </w:rPr>
        <w:t xml:space="preserve">, </w:t>
      </w:r>
      <w:r w:rsidR="000241BD">
        <w:rPr>
          <w:szCs w:val="22"/>
        </w:rPr>
        <w:t>vial</w:t>
      </w:r>
      <w:r w:rsidRPr="00BD5DBD">
        <w:rPr>
          <w:szCs w:val="22"/>
        </w:rPr>
        <w:t xml:space="preserve"> for the following proposed indication:</w:t>
      </w:r>
      <w:r w:rsidR="00D63760" w:rsidRPr="00BD5DBD">
        <w:rPr>
          <w:rStyle w:val="FootnoteReference"/>
          <w:szCs w:val="22"/>
        </w:rPr>
        <w:footnoteReference w:id="1"/>
      </w:r>
    </w:p>
    <w:p w14:paraId="1998CE83" w14:textId="554B26B8" w:rsidR="001D71B5" w:rsidRPr="00E73547" w:rsidRDefault="001D71B5" w:rsidP="00E73547">
      <w:pPr>
        <w:ind w:left="720"/>
        <w:rPr>
          <w:i/>
          <w:iCs/>
          <w:szCs w:val="22"/>
        </w:rPr>
      </w:pPr>
      <w:proofErr w:type="spellStart"/>
      <w:r w:rsidRPr="00E73547">
        <w:rPr>
          <w:i/>
          <w:iCs/>
          <w:szCs w:val="22"/>
        </w:rPr>
        <w:t>Rybrevant</w:t>
      </w:r>
      <w:proofErr w:type="spellEnd"/>
      <w:r w:rsidRPr="00E73547">
        <w:rPr>
          <w:i/>
          <w:iCs/>
          <w:szCs w:val="22"/>
        </w:rPr>
        <w:t xml:space="preserve"> has provisional approval for the indication:</w:t>
      </w:r>
    </w:p>
    <w:p w14:paraId="3DE45C3D" w14:textId="2C853D85" w:rsidR="001D71B5" w:rsidRPr="00E73547" w:rsidRDefault="001D71B5" w:rsidP="00E73547">
      <w:pPr>
        <w:ind w:left="720"/>
        <w:rPr>
          <w:i/>
          <w:iCs/>
          <w:szCs w:val="22"/>
        </w:rPr>
      </w:pPr>
      <w:proofErr w:type="spellStart"/>
      <w:r w:rsidRPr="00E73547">
        <w:rPr>
          <w:i/>
          <w:iCs/>
          <w:szCs w:val="22"/>
        </w:rPr>
        <w:t>Rybrevant</w:t>
      </w:r>
      <w:proofErr w:type="spellEnd"/>
      <w:r w:rsidRPr="00E73547">
        <w:rPr>
          <w:i/>
          <w:iCs/>
          <w:szCs w:val="22"/>
        </w:rPr>
        <w:t xml:space="preserve"> as monotherapy is indicated for the treatment of patients with locally advanced or metastatic non-small cell lung cancer (NSCLC) with activating epidermal growth factor receptor (EGFR) Exon 20 insertion mutations as determined by a validated</w:t>
      </w:r>
      <w:r w:rsidR="00E73547" w:rsidRPr="00E73547">
        <w:rPr>
          <w:i/>
          <w:iCs/>
          <w:szCs w:val="22"/>
        </w:rPr>
        <w:t xml:space="preserve"> </w:t>
      </w:r>
      <w:r w:rsidRPr="00E73547">
        <w:rPr>
          <w:i/>
          <w:iCs/>
          <w:szCs w:val="22"/>
        </w:rPr>
        <w:t>test, whose disease has progressed on or after platinum-based chemotherapy.</w:t>
      </w:r>
    </w:p>
    <w:p w14:paraId="6A42E6B4" w14:textId="7473A22D" w:rsidR="001D71B5" w:rsidRDefault="001D71B5" w:rsidP="00E73547">
      <w:pPr>
        <w:ind w:left="720"/>
        <w:rPr>
          <w:i/>
          <w:iCs/>
          <w:szCs w:val="22"/>
        </w:rPr>
      </w:pPr>
      <w:r w:rsidRPr="00E73547">
        <w:rPr>
          <w:i/>
          <w:iCs/>
          <w:szCs w:val="22"/>
        </w:rPr>
        <w:t xml:space="preserve">The decision has been made on the basis of </w:t>
      </w:r>
      <w:proofErr w:type="gramStart"/>
      <w:r w:rsidRPr="00E73547">
        <w:rPr>
          <w:i/>
          <w:iCs/>
          <w:szCs w:val="22"/>
        </w:rPr>
        <w:t>short term</w:t>
      </w:r>
      <w:proofErr w:type="gramEnd"/>
      <w:r w:rsidRPr="00E73547">
        <w:rPr>
          <w:i/>
          <w:iCs/>
          <w:szCs w:val="22"/>
        </w:rPr>
        <w:t xml:space="preserve"> efficacy and safety data. Continued</w:t>
      </w:r>
      <w:r w:rsidR="00E73547" w:rsidRPr="00E73547">
        <w:rPr>
          <w:i/>
          <w:iCs/>
          <w:szCs w:val="22"/>
        </w:rPr>
        <w:t xml:space="preserve"> </w:t>
      </w:r>
      <w:r w:rsidRPr="00E73547">
        <w:rPr>
          <w:i/>
          <w:iCs/>
          <w:szCs w:val="22"/>
        </w:rPr>
        <w:t>approval is dependent upon the evidence of longer-term efficacy and safety from ongoing</w:t>
      </w:r>
      <w:r w:rsidR="00E73547" w:rsidRPr="00E73547">
        <w:rPr>
          <w:i/>
          <w:iCs/>
          <w:szCs w:val="22"/>
        </w:rPr>
        <w:t xml:space="preserve"> </w:t>
      </w:r>
      <w:r w:rsidRPr="00E73547">
        <w:rPr>
          <w:i/>
          <w:iCs/>
          <w:szCs w:val="22"/>
        </w:rPr>
        <w:t>clinical trials and post-market assessment.</w:t>
      </w:r>
    </w:p>
    <w:p w14:paraId="00BA021F" w14:textId="63F69FEE" w:rsidR="00651AD4" w:rsidRDefault="00651AD4" w:rsidP="00651AD4">
      <w:proofErr w:type="spellStart"/>
      <w:r>
        <w:t>Amivantamab</w:t>
      </w:r>
      <w:proofErr w:type="spellEnd"/>
      <w:r>
        <w:t xml:space="preserve"> (also known as </w:t>
      </w:r>
      <w:proofErr w:type="spellStart"/>
      <w:r>
        <w:t>amivantamab-vmjw</w:t>
      </w:r>
      <w:proofErr w:type="spellEnd"/>
      <w:r>
        <w:t>) is a fully human, IgG1-based, bispecific, low fucose antibody that is directed against epidermal growth factor receptor (EGFR) and mesenchymal epithelial transition (MET) tyrosine kinase receptors (</w:t>
      </w:r>
      <w:r>
        <w:fldChar w:fldCharType="begin"/>
      </w:r>
      <w:r>
        <w:instrText xml:space="preserve"> REF _Ref139019615 \h </w:instrText>
      </w:r>
      <w:r>
        <w:fldChar w:fldCharType="separate"/>
      </w:r>
      <w:r w:rsidR="0006496E" w:rsidRPr="00651AD4">
        <w:t xml:space="preserve">Figure </w:t>
      </w:r>
      <w:r w:rsidR="0006496E">
        <w:rPr>
          <w:noProof/>
        </w:rPr>
        <w:t>1</w:t>
      </w:r>
      <w:r>
        <w:fldChar w:fldCharType="end"/>
      </w:r>
      <w:r>
        <w:t>).</w:t>
      </w:r>
    </w:p>
    <w:p w14:paraId="001A749D" w14:textId="77777777" w:rsidR="006B471E" w:rsidRDefault="006B471E" w:rsidP="006B471E">
      <w:pPr>
        <w:pStyle w:val="FigureTitle"/>
        <w:keepNext/>
      </w:pPr>
      <w:bookmarkStart w:id="15" w:name="_Ref139019615"/>
      <w:r w:rsidRPr="00651AD4">
        <w:lastRenderedPageBreak/>
        <w:t xml:space="preserve">Figure </w:t>
      </w:r>
      <w:r>
        <w:fldChar w:fldCharType="begin"/>
      </w:r>
      <w:r>
        <w:instrText xml:space="preserve"> SEQ Figure \* ARABIC </w:instrText>
      </w:r>
      <w:r>
        <w:fldChar w:fldCharType="separate"/>
      </w:r>
      <w:r>
        <w:rPr>
          <w:noProof/>
        </w:rPr>
        <w:t>1</w:t>
      </w:r>
      <w:r>
        <w:rPr>
          <w:noProof/>
        </w:rPr>
        <w:fldChar w:fldCharType="end"/>
      </w:r>
      <w:bookmarkEnd w:id="15"/>
      <w:r w:rsidRPr="00651AD4">
        <w:t>:</w:t>
      </w:r>
      <w:r>
        <w:t xml:space="preserve"> </w:t>
      </w:r>
      <w:r w:rsidRPr="00651AD4">
        <w:t xml:space="preserve">High level schematic of </w:t>
      </w:r>
      <w:proofErr w:type="spellStart"/>
      <w:r w:rsidRPr="00651AD4">
        <w:t>amivantamab</w:t>
      </w:r>
      <w:proofErr w:type="spellEnd"/>
      <w:r w:rsidRPr="00651AD4">
        <w:t xml:space="preserve"> structure</w:t>
      </w:r>
    </w:p>
    <w:p w14:paraId="338028F4" w14:textId="01E89249" w:rsidR="00651AD4" w:rsidRDefault="00651AD4" w:rsidP="00F41E50">
      <w:pPr>
        <w:pStyle w:val="FigureDescription"/>
      </w:pPr>
      <w:r>
        <w:rPr>
          <w:noProof/>
        </w:rPr>
        <w:drawing>
          <wp:inline distT="0" distB="0" distL="0" distR="0" wp14:anchorId="3310B73C" wp14:editId="35791753">
            <wp:extent cx="4364966" cy="1609050"/>
            <wp:effectExtent l="0" t="0" r="0" b="0"/>
            <wp:docPr id="20" name="Picture 20" descr="Figure 1: High level schematic of amivantamab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 High level schematic of amivantamab stru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9590" cy="1614441"/>
                    </a:xfrm>
                    <a:prstGeom prst="rect">
                      <a:avLst/>
                    </a:prstGeom>
                    <a:noFill/>
                    <a:ln>
                      <a:noFill/>
                    </a:ln>
                  </pic:spPr>
                </pic:pic>
              </a:graphicData>
            </a:graphic>
          </wp:inline>
        </w:drawing>
      </w:r>
    </w:p>
    <w:p w14:paraId="5240A035" w14:textId="62CE8A31" w:rsidR="00F41E50" w:rsidRPr="000A4A42" w:rsidRDefault="00F41E50" w:rsidP="00F41E50">
      <w:pPr>
        <w:pStyle w:val="FigureDescription"/>
      </w:pPr>
      <w:r>
        <w:t xml:space="preserve">Source: Adapted from </w:t>
      </w:r>
      <w:hyperlink r:id="rId17" w:history="1">
        <w:r w:rsidRPr="00490263">
          <w:rPr>
            <w:rStyle w:val="Hyperlink"/>
          </w:rPr>
          <w:t>https://oncotribune.com/storage/report/asco-2021/abstract9006/abstract9006_01.png</w:t>
        </w:r>
      </w:hyperlink>
    </w:p>
    <w:p w14:paraId="61F243D6" w14:textId="77777777" w:rsidR="009C683A" w:rsidRPr="00B64CFE" w:rsidRDefault="009C683A" w:rsidP="009C683A">
      <w:pPr>
        <w:pStyle w:val="Heading4"/>
      </w:pPr>
      <w:bookmarkStart w:id="16" w:name="_Toc144288298"/>
      <w:bookmarkStart w:id="17" w:name="_Toc314842485"/>
      <w:bookmarkStart w:id="18" w:name="_Toc247691504"/>
      <w:r w:rsidRPr="00B64CFE">
        <w:t>Condition</w:t>
      </w:r>
      <w:bookmarkEnd w:id="16"/>
    </w:p>
    <w:p w14:paraId="2621443B" w14:textId="34BD7DE2" w:rsidR="009C683A" w:rsidRPr="009C683A" w:rsidRDefault="009C683A" w:rsidP="009C683A">
      <w:r w:rsidRPr="009C683A">
        <w:t xml:space="preserve">This application proposes the registration of </w:t>
      </w:r>
      <w:proofErr w:type="spellStart"/>
      <w:r w:rsidRPr="009C683A">
        <w:t>amivantamab</w:t>
      </w:r>
      <w:proofErr w:type="spellEnd"/>
      <w:r w:rsidRPr="009C683A">
        <w:t xml:space="preserve"> for the treatment of adult patients who have received prior platinum-based chemotherapy for locally advanced or metastatic NSCLC harbouring an exon 20 insertion (ex20ins) mutation in the </w:t>
      </w:r>
      <w:r w:rsidR="00A00613" w:rsidRPr="00A00613">
        <w:rPr>
          <w:i/>
          <w:iCs/>
        </w:rPr>
        <w:t>EGFR</w:t>
      </w:r>
      <w:r w:rsidRPr="009C683A">
        <w:t xml:space="preserve"> gene.</w:t>
      </w:r>
    </w:p>
    <w:p w14:paraId="65435CF4" w14:textId="4DB169E4" w:rsidR="009C683A" w:rsidRPr="009C683A" w:rsidRDefault="009C683A" w:rsidP="009C683A">
      <w:r w:rsidRPr="009C683A">
        <w:t>Lung cancer is the deadliest type of cancer, with an annual worldwide mortality of 1.8 million (18% of global cancer deaths) and the second most common (after female breast cancer), with an incidence of 2.2 million (11% of global cancers) in 2020.</w:t>
      </w:r>
      <w:r w:rsidR="00DE01D1">
        <w:rPr>
          <w:rStyle w:val="FootnoteReference"/>
        </w:rPr>
        <w:footnoteReference w:id="2"/>
      </w:r>
      <w:r w:rsidRPr="009C683A">
        <w:t xml:space="preserve"> In Australia, lung cancer is the most deadly and fifth most commonly diagnosed cancer, with an estimated age-standardised mortality rate of 26.5 per 100,000 (8,693 deaths), and an age</w:t>
      </w:r>
      <w:r w:rsidR="00557B80">
        <w:t>-</w:t>
      </w:r>
      <w:r w:rsidRPr="009C683A">
        <w:t>standardised incidence of 42 per 100,000.</w:t>
      </w:r>
      <w:r w:rsidR="00DE01D1">
        <w:rPr>
          <w:rStyle w:val="FootnoteReference"/>
        </w:rPr>
        <w:footnoteReference w:id="3"/>
      </w:r>
    </w:p>
    <w:p w14:paraId="6451EE74" w14:textId="78D8B4B6" w:rsidR="009C683A" w:rsidRPr="009C683A" w:rsidRDefault="00A00613" w:rsidP="009C683A">
      <w:r>
        <w:rPr>
          <w:szCs w:val="22"/>
        </w:rPr>
        <w:t>N</w:t>
      </w:r>
      <w:r w:rsidRPr="004638AC">
        <w:rPr>
          <w:szCs w:val="22"/>
        </w:rPr>
        <w:t>on-small cell lung cancer</w:t>
      </w:r>
      <w:r w:rsidRPr="009C683A">
        <w:t xml:space="preserve"> </w:t>
      </w:r>
      <w:r w:rsidR="009C683A" w:rsidRPr="009C683A">
        <w:t>is the most common type of lung cancer (around 85%).</w:t>
      </w:r>
      <w:bookmarkStart w:id="19" w:name="_Ref139276249"/>
      <w:r w:rsidR="00DE01D1">
        <w:rPr>
          <w:rStyle w:val="FootnoteReference"/>
        </w:rPr>
        <w:footnoteReference w:id="4"/>
      </w:r>
      <w:bookmarkEnd w:id="19"/>
      <w:r w:rsidR="009C683A" w:rsidRPr="009C683A">
        <w:t xml:space="preserve"> The two predominant histological types of NSCLC are adenocarcinoma (around half) and squamous cell carcinoma (around 40%), while other less common types include large cell carcinoma.</w:t>
      </w:r>
      <w:r w:rsidR="00DE01D1">
        <w:fldChar w:fldCharType="begin"/>
      </w:r>
      <w:r w:rsidR="00DE01D1">
        <w:instrText xml:space="preserve"> NOTEREF _Ref139276249 \f \h </w:instrText>
      </w:r>
      <w:r w:rsidR="00DE01D1">
        <w:fldChar w:fldCharType="separate"/>
      </w:r>
      <w:r w:rsidR="0006496E" w:rsidRPr="0006496E">
        <w:rPr>
          <w:rStyle w:val="FootnoteReference"/>
        </w:rPr>
        <w:t>4</w:t>
      </w:r>
      <w:r w:rsidR="00DE01D1">
        <w:fldChar w:fldCharType="end"/>
      </w:r>
    </w:p>
    <w:p w14:paraId="3635D4F9" w14:textId="5689B5F4" w:rsidR="009C683A" w:rsidRPr="009C683A" w:rsidRDefault="009C683A" w:rsidP="009C683A">
      <w:r w:rsidRPr="009C683A">
        <w:t xml:space="preserve">The mean age of diagnosis of NSCLC in Australia is around 70 years, and almost half of patients present with </w:t>
      </w:r>
      <w:r w:rsidRPr="00A823D4">
        <w:rPr>
          <w:i/>
          <w:iCs/>
        </w:rPr>
        <w:t>de novo</w:t>
      </w:r>
      <w:r w:rsidRPr="009C683A">
        <w:t xml:space="preserve"> metastatic disease.</w:t>
      </w:r>
      <w:r w:rsidR="00DE01D1">
        <w:rPr>
          <w:rStyle w:val="FootnoteReference"/>
        </w:rPr>
        <w:footnoteReference w:id="5"/>
      </w:r>
      <w:r w:rsidRPr="009C683A">
        <w:t xml:space="preserve"> Although survival has improved over past decades, the five-year relative overall survival (OS) rate remains very poor, at around 20% overall, and less than 5% for patients with distant metastases.</w:t>
      </w:r>
      <w:r w:rsidR="00DE01D1">
        <w:rPr>
          <w:rStyle w:val="FootnoteReference"/>
        </w:rPr>
        <w:footnoteReference w:id="6"/>
      </w:r>
    </w:p>
    <w:p w14:paraId="4A381F76" w14:textId="4304AF36" w:rsidR="009C683A" w:rsidRPr="009C683A" w:rsidRDefault="009C683A" w:rsidP="006B471E">
      <w:pPr>
        <w:pageBreakBefore/>
      </w:pPr>
      <w:r w:rsidRPr="009C683A">
        <w:lastRenderedPageBreak/>
        <w:t xml:space="preserve">Activating mutations of the </w:t>
      </w:r>
      <w:r w:rsidRPr="00A00613">
        <w:rPr>
          <w:i/>
          <w:iCs/>
        </w:rPr>
        <w:t>EGFR</w:t>
      </w:r>
      <w:r w:rsidRPr="009C683A">
        <w:t xml:space="preserve"> oncogene (</w:t>
      </w:r>
      <w:r w:rsidRPr="00A00613">
        <w:rPr>
          <w:i/>
          <w:iCs/>
        </w:rPr>
        <w:t>EGFR</w:t>
      </w:r>
      <w:r w:rsidRPr="009C683A">
        <w:t>m) occur in a subset of NSCLC, and are associated with female sex, non-smoker status, and adenocarcinoma histology.</w:t>
      </w:r>
      <w:r w:rsidR="00DE01D1">
        <w:rPr>
          <w:rStyle w:val="FootnoteReference"/>
        </w:rPr>
        <w:footnoteReference w:id="7"/>
      </w:r>
      <w:r w:rsidR="00DE01D1" w:rsidRPr="009C683A">
        <w:t xml:space="preserve"> </w:t>
      </w:r>
      <w:r w:rsidRPr="009C683A">
        <w:t xml:space="preserve">There is a higher incidence of </w:t>
      </w:r>
      <w:r w:rsidRPr="00A00613">
        <w:rPr>
          <w:i/>
          <w:iCs/>
        </w:rPr>
        <w:t>EGFR</w:t>
      </w:r>
      <w:r w:rsidRPr="009C683A">
        <w:t xml:space="preserve">m in Asian patient populations: the proportion of lung adenocarcinomas found to harbour an </w:t>
      </w:r>
      <w:r w:rsidRPr="00A00613">
        <w:rPr>
          <w:i/>
          <w:iCs/>
        </w:rPr>
        <w:t>EGFR</w:t>
      </w:r>
      <w:r w:rsidRPr="009C683A">
        <w:t>m was 46% in Southern Asia and 30% in Northern Asia, compared to 9% in North America and 13% in Europe.</w:t>
      </w:r>
      <w:bookmarkStart w:id="20" w:name="_Ref139276614"/>
      <w:r w:rsidR="00DE01D1">
        <w:rPr>
          <w:rStyle w:val="FootnoteReference"/>
        </w:rPr>
        <w:footnoteReference w:id="8"/>
      </w:r>
      <w:bookmarkEnd w:id="20"/>
      <w:r w:rsidR="00DE01D1" w:rsidRPr="009C683A">
        <w:t xml:space="preserve"> </w:t>
      </w:r>
      <w:r w:rsidRPr="009C683A">
        <w:t xml:space="preserve">In squamous tumours, </w:t>
      </w:r>
      <w:r w:rsidRPr="00A00613">
        <w:rPr>
          <w:i/>
          <w:iCs/>
        </w:rPr>
        <w:t>EGFR</w:t>
      </w:r>
      <w:r w:rsidRPr="009C683A">
        <w:t>m are much less common (2%-10%) and their clinical significance (including predictiveness of response to targeted therapy) is less clear.</w:t>
      </w:r>
      <w:r w:rsidR="00DE01D1">
        <w:rPr>
          <w:rStyle w:val="FootnoteReference"/>
        </w:rPr>
        <w:footnoteReference w:id="9"/>
      </w:r>
      <w:r w:rsidR="00DE01D1">
        <w:t>,</w:t>
      </w:r>
      <w:r w:rsidR="00DE01D1">
        <w:rPr>
          <w:rStyle w:val="FootnoteReference"/>
        </w:rPr>
        <w:footnoteReference w:id="10"/>
      </w:r>
    </w:p>
    <w:p w14:paraId="661BC4E3" w14:textId="0B242973" w:rsidR="009C683A" w:rsidRPr="009C683A" w:rsidRDefault="009C683A" w:rsidP="009C683A">
      <w:r w:rsidRPr="009C683A">
        <w:t xml:space="preserve">Ex20ins mutations are a rare subset of </w:t>
      </w:r>
      <w:r w:rsidRPr="00A00613">
        <w:rPr>
          <w:i/>
          <w:iCs/>
        </w:rPr>
        <w:t>EGFR</w:t>
      </w:r>
      <w:r w:rsidRPr="009C683A">
        <w:t>m, comprising 3%</w:t>
      </w:r>
      <w:r w:rsidR="00DE01D1">
        <w:t xml:space="preserve"> to </w:t>
      </w:r>
      <w:r w:rsidRPr="009C683A">
        <w:t xml:space="preserve">12% of identified </w:t>
      </w:r>
      <w:r w:rsidRPr="00A00613">
        <w:rPr>
          <w:i/>
          <w:iCs/>
        </w:rPr>
        <w:t>EGFR</w:t>
      </w:r>
      <w:r w:rsidRPr="009C683A">
        <w:t>m</w:t>
      </w:r>
      <w:bookmarkStart w:id="21" w:name="_Ref97024839"/>
      <w:r w:rsidRPr="009C683A">
        <w:t>.</w:t>
      </w:r>
      <w:r w:rsidR="00DE01D1">
        <w:rPr>
          <w:rStyle w:val="FootnoteReference"/>
        </w:rPr>
        <w:footnoteReference w:id="11"/>
      </w:r>
      <w:r w:rsidR="00DE01D1">
        <w:t>,</w:t>
      </w:r>
      <w:bookmarkStart w:id="22" w:name="_Ref139276925"/>
      <w:r w:rsidR="00DE01D1">
        <w:rPr>
          <w:rStyle w:val="FootnoteReference"/>
        </w:rPr>
        <w:footnoteReference w:id="12"/>
      </w:r>
      <w:bookmarkEnd w:id="22"/>
      <w:r w:rsidR="00DE01D1">
        <w:t>,</w:t>
      </w:r>
      <w:r w:rsidR="00DE01D1">
        <w:rPr>
          <w:rStyle w:val="FootnoteReference"/>
        </w:rPr>
        <w:footnoteReference w:id="13"/>
      </w:r>
      <w:bookmarkEnd w:id="21"/>
      <w:r w:rsidR="00DE01D1">
        <w:t xml:space="preserve"> </w:t>
      </w:r>
      <w:r w:rsidRPr="009C683A">
        <w:t xml:space="preserve">The most common, ‘classical’ </w:t>
      </w:r>
      <w:r w:rsidRPr="00A00613">
        <w:rPr>
          <w:i/>
          <w:iCs/>
        </w:rPr>
        <w:t>EGFR</w:t>
      </w:r>
      <w:r w:rsidRPr="009C683A">
        <w:t>m are in-frame deletions in exon 19 (Del19) and L858R substitutions in exon 21. In an approximate 1:1 ratio, Del19 and L858R mutations comprise around 85</w:t>
      </w:r>
      <w:r w:rsidR="00DE01D1">
        <w:t xml:space="preserve"> to </w:t>
      </w:r>
      <w:r w:rsidRPr="009C683A">
        <w:t xml:space="preserve">90% of </w:t>
      </w:r>
      <w:r w:rsidRPr="00A00613">
        <w:rPr>
          <w:i/>
          <w:iCs/>
        </w:rPr>
        <w:t>EGFR</w:t>
      </w:r>
      <w:r w:rsidRPr="009C683A">
        <w:t>m.</w:t>
      </w:r>
      <w:r w:rsidR="00DE01D1">
        <w:fldChar w:fldCharType="begin"/>
      </w:r>
      <w:r w:rsidR="00DE01D1">
        <w:instrText xml:space="preserve"> NOTEREF _Ref139276614 \f \h </w:instrText>
      </w:r>
      <w:r w:rsidR="00DE01D1">
        <w:fldChar w:fldCharType="separate"/>
      </w:r>
      <w:r w:rsidR="0006496E" w:rsidRPr="0006496E">
        <w:rPr>
          <w:rStyle w:val="FootnoteReference"/>
        </w:rPr>
        <w:t>8</w:t>
      </w:r>
      <w:r w:rsidR="00DE01D1">
        <w:fldChar w:fldCharType="end"/>
      </w:r>
      <w:r w:rsidR="00DE01D1">
        <w:t>,</w:t>
      </w:r>
      <w:r w:rsidR="00DE01D1">
        <w:rPr>
          <w:rStyle w:val="FootnoteReference"/>
        </w:rPr>
        <w:footnoteReference w:id="14"/>
      </w:r>
      <w:r w:rsidR="00DE01D1">
        <w:t>,</w:t>
      </w:r>
      <w:r w:rsidR="00DE01D1">
        <w:rPr>
          <w:rStyle w:val="FootnoteReference"/>
        </w:rPr>
        <w:footnoteReference w:id="15"/>
      </w:r>
      <w:r w:rsidRPr="009C683A">
        <w:t xml:space="preserve"> The remainder of </w:t>
      </w:r>
      <w:r w:rsidRPr="00A00613">
        <w:rPr>
          <w:i/>
          <w:iCs/>
        </w:rPr>
        <w:t>EGFR</w:t>
      </w:r>
      <w:r w:rsidRPr="009C683A">
        <w:t>m are a highly heterogeneous group of molecular alterations but tend to occur within exons 18 to 21 (se</w:t>
      </w:r>
      <w:r w:rsidR="00A00613">
        <w:t xml:space="preserve">e </w:t>
      </w:r>
      <w:r w:rsidR="00A00613">
        <w:fldChar w:fldCharType="begin"/>
      </w:r>
      <w:r w:rsidR="00A00613">
        <w:instrText xml:space="preserve"> REF _Ref141087221 \h </w:instrText>
      </w:r>
      <w:r w:rsidR="00A00613">
        <w:fldChar w:fldCharType="separate"/>
      </w:r>
      <w:r w:rsidR="0006496E" w:rsidRPr="00695F09">
        <w:t xml:space="preserve">Figure </w:t>
      </w:r>
      <w:r w:rsidR="0006496E">
        <w:rPr>
          <w:noProof/>
        </w:rPr>
        <w:t>2</w:t>
      </w:r>
      <w:r w:rsidR="00A00613">
        <w:fldChar w:fldCharType="end"/>
      </w:r>
      <w:r w:rsidRPr="009C683A">
        <w:t>).</w:t>
      </w:r>
      <w:bookmarkStart w:id="23" w:name="_Ref139276816"/>
      <w:r w:rsidR="00695F09">
        <w:rPr>
          <w:rStyle w:val="FootnoteReference"/>
        </w:rPr>
        <w:footnoteReference w:id="16"/>
      </w:r>
      <w:bookmarkEnd w:id="23"/>
      <w:r w:rsidR="00695F09">
        <w:t>,</w:t>
      </w:r>
      <w:r w:rsidR="00695F09">
        <w:rPr>
          <w:rStyle w:val="FootnoteReference"/>
        </w:rPr>
        <w:footnoteReference w:id="17"/>
      </w:r>
      <w:r w:rsidR="00557B80">
        <w:t xml:space="preserve"> </w:t>
      </w:r>
      <w:r w:rsidRPr="009C683A">
        <w:t>In addition to ex20ins mutations, they include point mutations at G719X (</w:t>
      </w:r>
      <w:r w:rsidR="00695F09">
        <w:t>that is</w:t>
      </w:r>
      <w:r w:rsidRPr="009C683A">
        <w:t>, G719A, G719C, or G719S; exon 18; 3</w:t>
      </w:r>
      <w:r w:rsidR="00695F09">
        <w:t xml:space="preserve"> to </w:t>
      </w:r>
      <w:r w:rsidRPr="009C683A">
        <w:t xml:space="preserve">5% of all </w:t>
      </w:r>
      <w:r w:rsidRPr="00A00613">
        <w:rPr>
          <w:i/>
          <w:iCs/>
        </w:rPr>
        <w:t>EGFR</w:t>
      </w:r>
      <w:r w:rsidRPr="009C683A">
        <w:t>m),</w:t>
      </w:r>
      <w:r w:rsidR="00695F09">
        <w:fldChar w:fldCharType="begin"/>
      </w:r>
      <w:r w:rsidR="00695F09">
        <w:instrText xml:space="preserve"> NOTEREF _Ref139276816 \f \h </w:instrText>
      </w:r>
      <w:r w:rsidR="00695F09">
        <w:fldChar w:fldCharType="separate"/>
      </w:r>
      <w:r w:rsidR="0006496E" w:rsidRPr="0006496E">
        <w:rPr>
          <w:rStyle w:val="FootnoteReference"/>
        </w:rPr>
        <w:t>16</w:t>
      </w:r>
      <w:r w:rsidR="00695F09">
        <w:fldChar w:fldCharType="end"/>
      </w:r>
      <w:r w:rsidR="00695F09">
        <w:t>,</w:t>
      </w:r>
      <w:r w:rsidR="00695F09">
        <w:rPr>
          <w:rStyle w:val="FootnoteReference"/>
        </w:rPr>
        <w:footnoteReference w:id="18"/>
      </w:r>
      <w:r w:rsidR="00557B80">
        <w:t xml:space="preserve"> </w:t>
      </w:r>
      <w:r w:rsidRPr="009C683A">
        <w:t>at L861Q/L861R (exon 21; 2</w:t>
      </w:r>
      <w:r w:rsidR="00695F09">
        <w:t xml:space="preserve"> to </w:t>
      </w:r>
      <w:r w:rsidRPr="009C683A">
        <w:t xml:space="preserve">3% of all </w:t>
      </w:r>
      <w:r w:rsidRPr="00A00613">
        <w:rPr>
          <w:i/>
          <w:iCs/>
        </w:rPr>
        <w:t>EGFR</w:t>
      </w:r>
      <w:r w:rsidRPr="009C683A">
        <w:t xml:space="preserve">m) and at S768I (exon 20; 1% of all </w:t>
      </w:r>
      <w:r w:rsidRPr="00A00613">
        <w:rPr>
          <w:i/>
          <w:iCs/>
        </w:rPr>
        <w:t>EGFR</w:t>
      </w:r>
      <w:r w:rsidRPr="009C683A">
        <w:t>m)</w:t>
      </w:r>
      <w:bookmarkStart w:id="24" w:name="_Ref96960731"/>
      <w:r w:rsidRPr="009C683A">
        <w:t>.</w:t>
      </w:r>
      <w:bookmarkEnd w:id="24"/>
      <w:r w:rsidR="00695F09">
        <w:rPr>
          <w:rStyle w:val="FootnoteReference"/>
        </w:rPr>
        <w:footnoteReference w:id="19"/>
      </w:r>
    </w:p>
    <w:p w14:paraId="525D1C32" w14:textId="6D75E62A" w:rsidR="009C683A" w:rsidRDefault="009C683A" w:rsidP="009C683A">
      <w:r w:rsidRPr="009C683A">
        <w:t xml:space="preserve">Unlike other </w:t>
      </w:r>
      <w:r w:rsidRPr="00A00613">
        <w:rPr>
          <w:i/>
          <w:iCs/>
        </w:rPr>
        <w:t>EGFR</w:t>
      </w:r>
      <w:r w:rsidRPr="009C683A">
        <w:t>m, there does not appear to be a clear difference in frequency of ex20ins mutations in NSCLC based on ethnicity.</w:t>
      </w:r>
      <w:bookmarkStart w:id="25" w:name="_Ref139619451"/>
      <w:r w:rsidR="00695F09">
        <w:rPr>
          <w:rStyle w:val="FootnoteReference"/>
        </w:rPr>
        <w:footnoteReference w:id="20"/>
      </w:r>
      <w:bookmarkEnd w:id="25"/>
      <w:r w:rsidRPr="009C683A">
        <w:t xml:space="preserve"> They otherwise show similar demographic associations to other </w:t>
      </w:r>
      <w:r w:rsidRPr="00A00613">
        <w:rPr>
          <w:i/>
          <w:iCs/>
        </w:rPr>
        <w:t>EGFR</w:t>
      </w:r>
      <w:r w:rsidRPr="009C683A">
        <w:t xml:space="preserve">m, including the extreme rarity of co-occurrence with other oncogenic drivers (such as </w:t>
      </w:r>
      <w:r w:rsidRPr="00A00613">
        <w:rPr>
          <w:i/>
          <w:iCs/>
        </w:rPr>
        <w:t>KRAS</w:t>
      </w:r>
      <w:r w:rsidRPr="009C683A">
        <w:t>).</w:t>
      </w:r>
      <w:r w:rsidR="00695F09">
        <w:fldChar w:fldCharType="begin"/>
      </w:r>
      <w:r w:rsidR="00695F09">
        <w:instrText xml:space="preserve"> NOTEREF _Ref139276925 \f \h </w:instrText>
      </w:r>
      <w:r w:rsidR="00695F09">
        <w:fldChar w:fldCharType="separate"/>
      </w:r>
      <w:r w:rsidR="0006496E" w:rsidRPr="0006496E">
        <w:rPr>
          <w:rStyle w:val="FootnoteReference"/>
        </w:rPr>
        <w:t>12</w:t>
      </w:r>
      <w:r w:rsidR="00695F09">
        <w:fldChar w:fldCharType="end"/>
      </w:r>
    </w:p>
    <w:p w14:paraId="06A357F8" w14:textId="2A074D1B" w:rsidR="00695F09" w:rsidRDefault="00695F09" w:rsidP="00695F09">
      <w:pPr>
        <w:pStyle w:val="FigureTitle"/>
        <w:keepNext/>
      </w:pPr>
      <w:bookmarkStart w:id="26" w:name="_Ref141087221"/>
      <w:r w:rsidRPr="00695F09">
        <w:lastRenderedPageBreak/>
        <w:t xml:space="preserve">Figure </w:t>
      </w:r>
      <w:r w:rsidR="00C3481D">
        <w:fldChar w:fldCharType="begin"/>
      </w:r>
      <w:r w:rsidR="00C3481D">
        <w:instrText xml:space="preserve"> SEQ Figure \* ARABIC </w:instrText>
      </w:r>
      <w:r w:rsidR="00C3481D">
        <w:fldChar w:fldCharType="separate"/>
      </w:r>
      <w:r w:rsidR="0006496E">
        <w:rPr>
          <w:noProof/>
        </w:rPr>
        <w:t>2</w:t>
      </w:r>
      <w:r w:rsidR="00C3481D">
        <w:rPr>
          <w:noProof/>
        </w:rPr>
        <w:fldChar w:fldCharType="end"/>
      </w:r>
      <w:bookmarkEnd w:id="26"/>
      <w:r w:rsidRPr="00695F09">
        <w:t>:</w:t>
      </w:r>
      <w:r>
        <w:t xml:space="preserve"> </w:t>
      </w:r>
      <w:r w:rsidRPr="00695F09">
        <w:t>The spectrum of described mutations in codons 18-21 of the EGFR gene (on chromosome 7), and their association with responsiveness to first generation EGFR tyrosine kinase inhibitors</w:t>
      </w:r>
    </w:p>
    <w:p w14:paraId="413F8E0E" w14:textId="374C78BC" w:rsidR="00695F09" w:rsidRDefault="00695F09" w:rsidP="00695F09">
      <w:r>
        <w:rPr>
          <w:noProof/>
        </w:rPr>
        <w:drawing>
          <wp:inline distT="0" distB="0" distL="0" distR="0" wp14:anchorId="2AC4BA4E" wp14:editId="69C41998">
            <wp:extent cx="5532699" cy="4654308"/>
            <wp:effectExtent l="0" t="0" r="0" b="0"/>
            <wp:docPr id="10" name="Picture 10" descr="The spectrum of described mutations in codons 18-21 of the EGFR gene (on chromosome 7), and their association with responsiveness to first generation EGFR tyrosine kinase inhib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spectrum of described mutations in codons 18-21 of the EGFR gene (on chromosome 7), and their association with responsiveness to first generation EGFR tyrosine kinase inhibito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8512" cy="4659198"/>
                    </a:xfrm>
                    <a:prstGeom prst="rect">
                      <a:avLst/>
                    </a:prstGeom>
                    <a:noFill/>
                    <a:ln>
                      <a:noFill/>
                    </a:ln>
                  </pic:spPr>
                </pic:pic>
              </a:graphicData>
            </a:graphic>
          </wp:inline>
        </w:drawing>
      </w:r>
    </w:p>
    <w:p w14:paraId="0BC09BD1" w14:textId="62BF6B57" w:rsidR="00A823D4" w:rsidRDefault="00A823D4" w:rsidP="00A823D4">
      <w:pPr>
        <w:pStyle w:val="FigureDescription"/>
      </w:pPr>
      <w:r>
        <w:t xml:space="preserve">Source: </w:t>
      </w:r>
      <w:proofErr w:type="spellStart"/>
      <w:r w:rsidRPr="00A823D4">
        <w:t>Roengvoraphoj</w:t>
      </w:r>
      <w:proofErr w:type="spellEnd"/>
      <w:r w:rsidRPr="00A823D4">
        <w:t xml:space="preserve"> M, et al</w:t>
      </w:r>
      <w:r>
        <w:t>;</w:t>
      </w:r>
      <w:r>
        <w:fldChar w:fldCharType="begin"/>
      </w:r>
      <w:r>
        <w:instrText xml:space="preserve"> NOTEREF _Ref139276816 \f \h </w:instrText>
      </w:r>
      <w:r>
        <w:fldChar w:fldCharType="separate"/>
      </w:r>
      <w:r w:rsidR="0006496E" w:rsidRPr="0006496E">
        <w:rPr>
          <w:rStyle w:val="FootnoteReference"/>
        </w:rPr>
        <w:t>16</w:t>
      </w:r>
      <w:r>
        <w:fldChar w:fldCharType="end"/>
      </w:r>
    </w:p>
    <w:p w14:paraId="6CAE5BD0" w14:textId="77777777" w:rsidR="009836EF" w:rsidRPr="009836EF" w:rsidRDefault="009836EF" w:rsidP="009836EF">
      <w:pPr>
        <w:pStyle w:val="Heading4"/>
      </w:pPr>
      <w:bookmarkStart w:id="27" w:name="_Ref97028943"/>
      <w:bookmarkStart w:id="28" w:name="_Toc144288299"/>
      <w:r w:rsidRPr="009836EF">
        <w:t>Current treatment options</w:t>
      </w:r>
      <w:bookmarkEnd w:id="27"/>
      <w:bookmarkEnd w:id="28"/>
    </w:p>
    <w:p w14:paraId="78052123" w14:textId="77777777" w:rsidR="009836EF" w:rsidRPr="009836EF" w:rsidRDefault="009836EF" w:rsidP="009836EF">
      <w:pPr>
        <w:pStyle w:val="Heading5"/>
      </w:pPr>
      <w:proofErr w:type="gramStart"/>
      <w:r w:rsidRPr="009836EF">
        <w:t>Early stage</w:t>
      </w:r>
      <w:proofErr w:type="gramEnd"/>
      <w:r w:rsidRPr="009836EF">
        <w:t xml:space="preserve"> treatment</w:t>
      </w:r>
    </w:p>
    <w:p w14:paraId="77D52F2D" w14:textId="1940CD28" w:rsidR="009836EF" w:rsidRPr="009836EF" w:rsidRDefault="009836EF" w:rsidP="009836EF">
      <w:r w:rsidRPr="009836EF">
        <w:t xml:space="preserve">Patients with </w:t>
      </w:r>
      <w:proofErr w:type="gramStart"/>
      <w:r w:rsidRPr="009836EF">
        <w:t>early stage</w:t>
      </w:r>
      <w:proofErr w:type="gramEnd"/>
      <w:r w:rsidRPr="009836EF">
        <w:t xml:space="preserve"> NSCLC can be treated with curative intent, however, only a small proportion of patients (30%) present with localised disease amenable to such approaches.</w:t>
      </w:r>
      <w:r w:rsidR="004E32FE">
        <w:rPr>
          <w:rStyle w:val="FootnoteReference"/>
        </w:rPr>
        <w:footnoteReference w:id="21"/>
      </w:r>
      <w:r w:rsidRPr="009836EF">
        <w:t xml:space="preserve"> Five-year recurrence rates after resection are approximately 45% for Stage IB, 62% for Stage II and 76% for Stage III patients.</w:t>
      </w:r>
      <w:r w:rsidR="004E32FE">
        <w:rPr>
          <w:rStyle w:val="FootnoteReference"/>
        </w:rPr>
        <w:footnoteReference w:id="22"/>
      </w:r>
      <w:r w:rsidRPr="009836EF">
        <w:t xml:space="preserve"> Systemic therapy is indicated for patients with advanced (locally advanced or metastatic) disease, including patients with recurrence following initial definitive treatment.</w:t>
      </w:r>
      <w:r w:rsidR="004E32FE">
        <w:rPr>
          <w:rStyle w:val="FootnoteReference"/>
        </w:rPr>
        <w:footnoteReference w:id="23"/>
      </w:r>
    </w:p>
    <w:p w14:paraId="487FCE1A" w14:textId="77777777" w:rsidR="009836EF" w:rsidRPr="004E32FE" w:rsidRDefault="009836EF" w:rsidP="004E32FE">
      <w:pPr>
        <w:pStyle w:val="Heading6"/>
      </w:pPr>
      <w:r w:rsidRPr="004E32FE">
        <w:lastRenderedPageBreak/>
        <w:t>Systemic treatments registered in Australia</w:t>
      </w:r>
    </w:p>
    <w:p w14:paraId="6A12A5EB" w14:textId="6653A19C" w:rsidR="009836EF" w:rsidRPr="004E32FE" w:rsidRDefault="009836EF" w:rsidP="004E32FE">
      <w:r w:rsidRPr="004E32FE">
        <w:t xml:space="preserve">There are no therapeutic goods with full registration in Australia specifically for the treatment of patients with NSCLC whose tumours harbor </w:t>
      </w:r>
      <w:r w:rsidRPr="004E32FE">
        <w:rPr>
          <w:i/>
          <w:iCs/>
        </w:rPr>
        <w:t>EGFR</w:t>
      </w:r>
      <w:r w:rsidRPr="004E32FE">
        <w:t xml:space="preserve"> ex20ins mutations. For such patients, standard</w:t>
      </w:r>
      <w:r w:rsidR="00557B80">
        <w:t>-</w:t>
      </w:r>
      <w:r w:rsidRPr="004E32FE">
        <w:t>of</w:t>
      </w:r>
      <w:r w:rsidR="00557B80">
        <w:t>-</w:t>
      </w:r>
      <w:r w:rsidRPr="004E32FE">
        <w:t>care first</w:t>
      </w:r>
      <w:r w:rsidR="00557B80">
        <w:t>-</w:t>
      </w:r>
      <w:r w:rsidRPr="004E32FE">
        <w:t>line therapy is the same as for non-</w:t>
      </w:r>
      <w:r w:rsidRPr="00E17E47">
        <w:rPr>
          <w:i/>
          <w:iCs/>
        </w:rPr>
        <w:t>EGFR</w:t>
      </w:r>
      <w:r w:rsidRPr="004E32FE">
        <w:t xml:space="preserve"> mutated NSCLC, </w:t>
      </w:r>
      <w:r w:rsidR="004E32FE">
        <w:t>that is</w:t>
      </w:r>
      <w:r w:rsidR="00557B80">
        <w:t>,</w:t>
      </w:r>
      <w:r w:rsidRPr="004E32FE">
        <w:t xml:space="preserve"> platinum</w:t>
      </w:r>
      <w:r w:rsidR="00557B80">
        <w:t>-</w:t>
      </w:r>
      <w:r w:rsidRPr="004E32FE">
        <w:t>based chemotherapy plus checkpoint inhibition.</w:t>
      </w:r>
      <w:bookmarkStart w:id="29" w:name="_Ref139283800"/>
      <w:r w:rsidR="004E32FE">
        <w:rPr>
          <w:rStyle w:val="FootnoteReference"/>
        </w:rPr>
        <w:footnoteReference w:id="24"/>
      </w:r>
      <w:bookmarkEnd w:id="29"/>
      <w:r w:rsidR="004E32FE" w:rsidRPr="004E32FE">
        <w:t xml:space="preserve"> </w:t>
      </w:r>
      <w:r w:rsidRPr="004E32FE">
        <w:t xml:space="preserve">In the </w:t>
      </w:r>
      <w:proofErr w:type="gramStart"/>
      <w:r w:rsidRPr="004E32FE">
        <w:t>second</w:t>
      </w:r>
      <w:r w:rsidR="00557B80">
        <w:t>-</w:t>
      </w:r>
      <w:r w:rsidRPr="004E32FE">
        <w:t>line</w:t>
      </w:r>
      <w:proofErr w:type="gramEnd"/>
      <w:r w:rsidRPr="004E32FE">
        <w:t xml:space="preserve"> (or later) setting, </w:t>
      </w:r>
      <w:proofErr w:type="spellStart"/>
      <w:r w:rsidRPr="004E32FE">
        <w:t>mobocertinib</w:t>
      </w:r>
      <w:proofErr w:type="spellEnd"/>
      <w:r w:rsidRPr="004E32FE">
        <w:t xml:space="preserve"> recently received provisional registration based on single</w:t>
      </w:r>
      <w:r w:rsidR="00557B80">
        <w:t>-</w:t>
      </w:r>
      <w:r w:rsidRPr="004E32FE">
        <w:t>arm data:</w:t>
      </w:r>
      <w:bookmarkStart w:id="30" w:name="_Ref139619886"/>
      <w:r w:rsidR="004E32FE">
        <w:rPr>
          <w:rStyle w:val="FootnoteReference"/>
        </w:rPr>
        <w:footnoteReference w:id="25"/>
      </w:r>
      <w:bookmarkEnd w:id="30"/>
    </w:p>
    <w:p w14:paraId="6874067B" w14:textId="77777777" w:rsidR="009836EF" w:rsidRPr="004E32FE" w:rsidRDefault="009836EF" w:rsidP="004E32FE">
      <w:pPr>
        <w:ind w:left="720"/>
        <w:rPr>
          <w:i/>
          <w:iCs/>
        </w:rPr>
      </w:pPr>
      <w:proofErr w:type="spellStart"/>
      <w:r w:rsidRPr="004E32FE">
        <w:rPr>
          <w:i/>
          <w:iCs/>
        </w:rPr>
        <w:t>Exkivity</w:t>
      </w:r>
      <w:proofErr w:type="spellEnd"/>
      <w:r w:rsidRPr="004E32FE">
        <w:rPr>
          <w:i/>
          <w:iCs/>
        </w:rPr>
        <w:t xml:space="preserve"> has provisional approval in Australia for the treatment of patients with locally advanced or metastatic non-small cell lung cancer (NSCLC) that has an exon 20 insertion mutation of the epidermal growth factor receptor (EGFR), who have received prior platinum-based chemotherapy.</w:t>
      </w:r>
    </w:p>
    <w:p w14:paraId="46297BEB" w14:textId="77777777" w:rsidR="009836EF" w:rsidRPr="004E32FE" w:rsidRDefault="009836EF" w:rsidP="004E32FE">
      <w:pPr>
        <w:ind w:left="720"/>
      </w:pPr>
      <w:r w:rsidRPr="004E32FE">
        <w:rPr>
          <w:i/>
          <w:iCs/>
        </w:rPr>
        <w:t xml:space="preserve">The decision to approve this indication has been made </w:t>
      </w:r>
      <w:proofErr w:type="gramStart"/>
      <w:r w:rsidRPr="004E32FE">
        <w:rPr>
          <w:i/>
          <w:iCs/>
        </w:rPr>
        <w:t>on the basis of</w:t>
      </w:r>
      <w:proofErr w:type="gramEnd"/>
      <w:r w:rsidRPr="004E32FE">
        <w:rPr>
          <w:i/>
          <w:iCs/>
        </w:rPr>
        <w:t xml:space="preserve"> objective response rate and duration of response in a single arm study. Continued approval of this indication depends on verification and description of benefit in a confirmatory study.</w:t>
      </w:r>
    </w:p>
    <w:p w14:paraId="4083BB0A" w14:textId="77777777" w:rsidR="009836EF" w:rsidRPr="004E32FE" w:rsidRDefault="009836EF" w:rsidP="004E32FE">
      <w:pPr>
        <w:pStyle w:val="Heading6"/>
      </w:pPr>
      <w:r w:rsidRPr="004E32FE">
        <w:t>First line of systemic therapy in the advanced setting</w:t>
      </w:r>
    </w:p>
    <w:p w14:paraId="18AB5237" w14:textId="7B7025E9" w:rsidR="00A823D4" w:rsidRDefault="009836EF" w:rsidP="004E32FE">
      <w:r w:rsidRPr="004E32FE">
        <w:t>Systemic treatment of metastatic NSCLC is guided by molecular testing</w:t>
      </w:r>
      <w:r w:rsidR="004E32FE">
        <w:t>.</w:t>
      </w:r>
      <w:r w:rsidR="004E32FE">
        <w:fldChar w:fldCharType="begin"/>
      </w:r>
      <w:r w:rsidR="004E32FE">
        <w:instrText xml:space="preserve"> NOTEREF _Ref139283800 \f \h </w:instrText>
      </w:r>
      <w:r w:rsidR="004E32FE">
        <w:fldChar w:fldCharType="separate"/>
      </w:r>
      <w:r w:rsidR="0006496E" w:rsidRPr="0006496E">
        <w:rPr>
          <w:rStyle w:val="FootnoteReference"/>
        </w:rPr>
        <w:t>24</w:t>
      </w:r>
      <w:r w:rsidR="004E32FE">
        <w:fldChar w:fldCharType="end"/>
      </w:r>
      <w:r w:rsidR="004E32FE">
        <w:t>,</w:t>
      </w:r>
      <w:r w:rsidR="004E32FE">
        <w:rPr>
          <w:rStyle w:val="FootnoteReference"/>
        </w:rPr>
        <w:footnoteReference w:id="26"/>
      </w:r>
      <w:r w:rsidR="004E32FE" w:rsidRPr="004E32FE">
        <w:t xml:space="preserve"> </w:t>
      </w:r>
      <w:r w:rsidRPr="004E32FE">
        <w:t xml:space="preserve">In the absence of a ‘driver’ mutation for which a targeted therapy is available (such as activating mutations in </w:t>
      </w:r>
      <w:r w:rsidRPr="00E17E47">
        <w:rPr>
          <w:i/>
          <w:iCs/>
        </w:rPr>
        <w:t>EGFR</w:t>
      </w:r>
      <w:r w:rsidRPr="004E32FE">
        <w:t xml:space="preserve">, </w:t>
      </w:r>
      <w:r w:rsidRPr="00E17E47">
        <w:rPr>
          <w:i/>
          <w:iCs/>
        </w:rPr>
        <w:t>ALK</w:t>
      </w:r>
      <w:r w:rsidRPr="004E32FE">
        <w:t xml:space="preserve">, </w:t>
      </w:r>
      <w:r w:rsidRPr="00E17E47">
        <w:rPr>
          <w:i/>
          <w:iCs/>
        </w:rPr>
        <w:t>ROS1</w:t>
      </w:r>
      <w:r w:rsidRPr="004E32FE">
        <w:t xml:space="preserve"> or </w:t>
      </w:r>
      <w:r w:rsidRPr="00E17E47">
        <w:rPr>
          <w:i/>
          <w:iCs/>
        </w:rPr>
        <w:t>BRAF</w:t>
      </w:r>
      <w:r w:rsidRPr="004E32FE">
        <w:t>), major international clinical guidelines recommend an anti-</w:t>
      </w:r>
      <w:r w:rsidR="00E17E47">
        <w:t xml:space="preserve">programmed cell death ligand </w:t>
      </w:r>
      <w:r w:rsidRPr="004E32FE">
        <w:t>1</w:t>
      </w:r>
      <w:r w:rsidR="00E17E47">
        <w:t>(PD-L1)</w:t>
      </w:r>
      <w:r w:rsidRPr="004E32FE">
        <w:t xml:space="preserve"> antibody, with or without histology</w:t>
      </w:r>
      <w:r w:rsidR="00557B80">
        <w:t>-</w:t>
      </w:r>
      <w:r w:rsidRPr="004E32FE">
        <w:t>directed platinum doublet chemotherapy (depending on tumour PD-L1 expression level)</w:t>
      </w:r>
      <w:r w:rsidR="004E32FE">
        <w:t xml:space="preserve"> </w:t>
      </w:r>
      <w:r w:rsidR="004E32FE">
        <w:rPr>
          <w:rStyle w:val="FootnoteReference"/>
        </w:rPr>
        <w:footnoteReference w:id="27"/>
      </w:r>
      <w:r w:rsidR="004E32FE">
        <w:t>,</w:t>
      </w:r>
      <w:r w:rsidR="004E32FE">
        <w:rPr>
          <w:rStyle w:val="FootnoteReference"/>
        </w:rPr>
        <w:footnoteReference w:id="28"/>
      </w:r>
      <w:r w:rsidR="004E32FE">
        <w:t>,</w:t>
      </w:r>
      <w:r w:rsidR="004E32FE">
        <w:rPr>
          <w:rStyle w:val="FootnoteReference"/>
        </w:rPr>
        <w:footnoteReference w:id="29"/>
      </w:r>
      <w:r w:rsidR="004E32FE">
        <w:t>,</w:t>
      </w:r>
      <w:r w:rsidR="004E32FE">
        <w:rPr>
          <w:rStyle w:val="FootnoteReference"/>
        </w:rPr>
        <w:footnoteReference w:id="30"/>
      </w:r>
      <w:r w:rsidR="00557B80">
        <w:t xml:space="preserve"> </w:t>
      </w:r>
      <w:r w:rsidRPr="004E32FE">
        <w:t>as standard</w:t>
      </w:r>
      <w:r w:rsidR="00557B80">
        <w:t>-</w:t>
      </w:r>
      <w:r w:rsidRPr="004E32FE">
        <w:t>of</w:t>
      </w:r>
      <w:r w:rsidR="00557B80">
        <w:t>-</w:t>
      </w:r>
      <w:r w:rsidRPr="004E32FE">
        <w:t>care first</w:t>
      </w:r>
      <w:r w:rsidR="00557B80">
        <w:t>-</w:t>
      </w:r>
      <w:r w:rsidRPr="004E32FE">
        <w:t>line treatmen</w:t>
      </w:r>
      <w:r w:rsidR="00E17E47">
        <w:t xml:space="preserve">t (see </w:t>
      </w:r>
      <w:r w:rsidR="00E17E47">
        <w:fldChar w:fldCharType="begin"/>
      </w:r>
      <w:r w:rsidR="00E17E47">
        <w:instrText xml:space="preserve"> REF _Ref141088215 \h </w:instrText>
      </w:r>
      <w:r w:rsidR="00E17E47">
        <w:fldChar w:fldCharType="separate"/>
      </w:r>
      <w:r w:rsidR="0006496E" w:rsidRPr="004E32FE">
        <w:t xml:space="preserve">Table </w:t>
      </w:r>
      <w:r w:rsidR="0006496E">
        <w:rPr>
          <w:noProof/>
        </w:rPr>
        <w:t>1</w:t>
      </w:r>
      <w:r w:rsidR="00E17E47">
        <w:fldChar w:fldCharType="end"/>
      </w:r>
      <w:r w:rsidRPr="004E32FE">
        <w:t>).</w:t>
      </w:r>
      <w:r w:rsidR="004E32FE">
        <w:rPr>
          <w:rStyle w:val="FootnoteReference"/>
        </w:rPr>
        <w:footnoteReference w:id="31"/>
      </w:r>
      <w:r w:rsidRPr="004E32FE">
        <w:t xml:space="preserve"> Th</w:t>
      </w:r>
      <w:r w:rsidR="00F603C2">
        <w:t>is</w:t>
      </w:r>
      <w:r w:rsidRPr="004E32FE">
        <w:t xml:space="preserve"> change to standard</w:t>
      </w:r>
      <w:r w:rsidR="00F603C2">
        <w:t xml:space="preserve"> </w:t>
      </w:r>
      <w:r w:rsidRPr="004E32FE">
        <w:t>care in Australia came with the approval of pembrolizumab for such indications in late 2018 and early 2019.</w:t>
      </w:r>
    </w:p>
    <w:p w14:paraId="299A6CF5" w14:textId="77777777" w:rsidR="00A823D4" w:rsidRDefault="00A823D4">
      <w:r>
        <w:br w:type="page"/>
      </w:r>
    </w:p>
    <w:p w14:paraId="28C97C87" w14:textId="27CFB329" w:rsidR="00695F09" w:rsidRDefault="004E32FE" w:rsidP="004E32FE">
      <w:pPr>
        <w:pStyle w:val="TableTitle"/>
      </w:pPr>
      <w:bookmarkStart w:id="31" w:name="_Ref141088215"/>
      <w:r w:rsidRPr="004E32FE">
        <w:lastRenderedPageBreak/>
        <w:t xml:space="preserve">Table </w:t>
      </w:r>
      <w:r w:rsidR="00C3481D">
        <w:fldChar w:fldCharType="begin"/>
      </w:r>
      <w:r w:rsidR="00C3481D">
        <w:instrText xml:space="preserve"> SEQ Table \* ARABIC </w:instrText>
      </w:r>
      <w:r w:rsidR="00C3481D">
        <w:fldChar w:fldCharType="separate"/>
      </w:r>
      <w:r w:rsidR="0006496E">
        <w:rPr>
          <w:noProof/>
        </w:rPr>
        <w:t>1</w:t>
      </w:r>
      <w:r w:rsidR="00C3481D">
        <w:rPr>
          <w:noProof/>
        </w:rPr>
        <w:fldChar w:fldCharType="end"/>
      </w:r>
      <w:bookmarkEnd w:id="31"/>
      <w:r w:rsidRPr="004E32FE">
        <w:t>:</w:t>
      </w:r>
      <w:r>
        <w:t xml:space="preserve"> </w:t>
      </w:r>
      <w:r w:rsidRPr="004E32FE">
        <w:t>Response rates, durations and survival seen in randomised studies of current standard-of-care first-line treatments for NSCLC in patients without driver mutations.</w:t>
      </w:r>
    </w:p>
    <w:tbl>
      <w:tblPr>
        <w:tblStyle w:val="TableTGAblue2023"/>
        <w:tblW w:w="0" w:type="auto"/>
        <w:tblLook w:val="04A0" w:firstRow="1" w:lastRow="0" w:firstColumn="1" w:lastColumn="0" w:noHBand="0" w:noVBand="1"/>
      </w:tblPr>
      <w:tblGrid>
        <w:gridCol w:w="1596"/>
        <w:gridCol w:w="1061"/>
        <w:gridCol w:w="1637"/>
        <w:gridCol w:w="1093"/>
        <w:gridCol w:w="1291"/>
        <w:gridCol w:w="1238"/>
        <w:gridCol w:w="1144"/>
      </w:tblGrid>
      <w:tr w:rsidR="004E32FE" w14:paraId="794F10DC" w14:textId="77777777" w:rsidTr="004E3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1F94B7EE" w14:textId="77777777" w:rsidR="004E32FE" w:rsidRPr="00B53618" w:rsidRDefault="004E32FE" w:rsidP="00AE1ADC">
            <w:pPr>
              <w:pStyle w:val="Tabletext0"/>
              <w:keepNext w:val="0"/>
              <w:keepLines/>
              <w:widowControl w:val="0"/>
              <w:ind w:left="0"/>
              <w:rPr>
                <w:i/>
                <w:iCs/>
              </w:rPr>
            </w:pPr>
            <w:r>
              <w:t>Population</w:t>
            </w:r>
          </w:p>
        </w:tc>
        <w:tc>
          <w:tcPr>
            <w:tcW w:w="1061" w:type="dxa"/>
          </w:tcPr>
          <w:p w14:paraId="2760DA5D" w14:textId="77777777" w:rsidR="004E32FE" w:rsidRPr="00EA7CC6" w:rsidRDefault="004E32FE" w:rsidP="00AE1ADC">
            <w:pPr>
              <w:pStyle w:val="Tabletext0"/>
              <w:keepNext w:val="0"/>
              <w:keepLines/>
              <w:widowControl w:val="0"/>
              <w:ind w:left="0"/>
              <w:cnfStyle w:val="100000000000" w:firstRow="1" w:lastRow="0" w:firstColumn="0" w:lastColumn="0" w:oddVBand="0" w:evenVBand="0" w:oddHBand="0" w:evenHBand="0" w:firstRowFirstColumn="0" w:firstRowLastColumn="0" w:lastRowFirstColumn="0" w:lastRowLastColumn="0"/>
            </w:pPr>
            <w:r w:rsidRPr="00EA7CC6">
              <w:t>Subgroup</w:t>
            </w:r>
          </w:p>
        </w:tc>
        <w:tc>
          <w:tcPr>
            <w:tcW w:w="1637" w:type="dxa"/>
          </w:tcPr>
          <w:p w14:paraId="49A5DE67" w14:textId="77777777" w:rsidR="004E32FE" w:rsidRPr="00EA7CC6" w:rsidRDefault="004E32FE" w:rsidP="00AE1ADC">
            <w:pPr>
              <w:pStyle w:val="Tabletext0"/>
              <w:keepNext w:val="0"/>
              <w:keepLines/>
              <w:widowControl w:val="0"/>
              <w:ind w:left="0"/>
              <w:cnfStyle w:val="100000000000" w:firstRow="1" w:lastRow="0" w:firstColumn="0" w:lastColumn="0" w:oddVBand="0" w:evenVBand="0" w:oddHBand="0" w:evenHBand="0" w:firstRowFirstColumn="0" w:firstRowLastColumn="0" w:lastRowFirstColumn="0" w:lastRowLastColumn="0"/>
            </w:pPr>
            <w:r w:rsidRPr="004E32FE">
              <w:t>Treatment (n)</w:t>
            </w:r>
          </w:p>
        </w:tc>
        <w:tc>
          <w:tcPr>
            <w:tcW w:w="1093" w:type="dxa"/>
          </w:tcPr>
          <w:p w14:paraId="7B51ED3B" w14:textId="77777777" w:rsidR="004E32FE" w:rsidRDefault="004E32FE" w:rsidP="00AE1ADC">
            <w:pPr>
              <w:pStyle w:val="Tabletext0"/>
              <w:keepNext w:val="0"/>
              <w:keepLines/>
              <w:widowControl w:val="0"/>
              <w:ind w:left="0"/>
              <w:jc w:val="center"/>
              <w:cnfStyle w:val="100000000000" w:firstRow="1" w:lastRow="0" w:firstColumn="0" w:lastColumn="0" w:oddVBand="0" w:evenVBand="0" w:oddHBand="0" w:evenHBand="0" w:firstRowFirstColumn="0" w:firstRowLastColumn="0" w:lastRowFirstColumn="0" w:lastRowLastColumn="0"/>
              <w:rPr>
                <w:b w:val="0"/>
              </w:rPr>
            </w:pPr>
            <w:r>
              <w:t xml:space="preserve">ORR </w:t>
            </w:r>
          </w:p>
          <w:p w14:paraId="1106EC25" w14:textId="77777777" w:rsidR="004E32FE" w:rsidRDefault="004E32FE" w:rsidP="00AE1ADC">
            <w:pPr>
              <w:pStyle w:val="Tabletext0"/>
              <w:keepNext w:val="0"/>
              <w:keepLines/>
              <w:widowControl w:val="0"/>
              <w:ind w:left="0"/>
              <w:jc w:val="center"/>
              <w:cnfStyle w:val="100000000000" w:firstRow="1" w:lastRow="0" w:firstColumn="0" w:lastColumn="0" w:oddVBand="0" w:evenVBand="0" w:oddHBand="0" w:evenHBand="0" w:firstRowFirstColumn="0" w:firstRowLastColumn="0" w:lastRowFirstColumn="0" w:lastRowLastColumn="0"/>
              <w:rPr>
                <w:b w:val="0"/>
              </w:rPr>
            </w:pPr>
            <w:r>
              <w:t>%</w:t>
            </w:r>
          </w:p>
          <w:p w14:paraId="519DF6B8" w14:textId="77777777" w:rsidR="004E32FE" w:rsidRDefault="004E32FE" w:rsidP="00AE1ADC">
            <w:pPr>
              <w:pStyle w:val="Tabletext0"/>
              <w:keepNext w:val="0"/>
              <w:keepLines/>
              <w:widowControl w:val="0"/>
              <w:ind w:left="0"/>
              <w:jc w:val="center"/>
              <w:cnfStyle w:val="100000000000" w:firstRow="1" w:lastRow="0" w:firstColumn="0" w:lastColumn="0" w:oddVBand="0" w:evenVBand="0" w:oddHBand="0" w:evenHBand="0" w:firstRowFirstColumn="0" w:firstRowLastColumn="0" w:lastRowFirstColumn="0" w:lastRowLastColumn="0"/>
            </w:pPr>
            <w:r w:rsidRPr="004E32FE">
              <w:t>[95% CI]</w:t>
            </w:r>
          </w:p>
        </w:tc>
        <w:tc>
          <w:tcPr>
            <w:tcW w:w="1291" w:type="dxa"/>
          </w:tcPr>
          <w:p w14:paraId="340EE249" w14:textId="77777777" w:rsidR="004E32FE" w:rsidRDefault="004E32FE" w:rsidP="00AE1ADC">
            <w:pPr>
              <w:pStyle w:val="Tabletext0"/>
              <w:keepNext w:val="0"/>
              <w:keepLines/>
              <w:widowControl w:val="0"/>
              <w:ind w:left="0"/>
              <w:jc w:val="center"/>
              <w:cnfStyle w:val="100000000000" w:firstRow="1" w:lastRow="0" w:firstColumn="0" w:lastColumn="0" w:oddVBand="0" w:evenVBand="0" w:oddHBand="0" w:evenHBand="0" w:firstRowFirstColumn="0" w:firstRowLastColumn="0" w:lastRowFirstColumn="0" w:lastRowLastColumn="0"/>
              <w:rPr>
                <w:b w:val="0"/>
              </w:rPr>
            </w:pPr>
            <w:r>
              <w:t xml:space="preserve">Median DOR </w:t>
            </w:r>
          </w:p>
          <w:p w14:paraId="3A0BE482" w14:textId="77777777" w:rsidR="004E32FE" w:rsidRDefault="004E32FE" w:rsidP="00AE1ADC">
            <w:pPr>
              <w:pStyle w:val="Tabletext0"/>
              <w:keepNext w:val="0"/>
              <w:keepLines/>
              <w:widowControl w:val="0"/>
              <w:ind w:left="0"/>
              <w:jc w:val="center"/>
              <w:cnfStyle w:val="100000000000" w:firstRow="1" w:lastRow="0" w:firstColumn="0" w:lastColumn="0" w:oddVBand="0" w:evenVBand="0" w:oddHBand="0" w:evenHBand="0" w:firstRowFirstColumn="0" w:firstRowLastColumn="0" w:lastRowFirstColumn="0" w:lastRowLastColumn="0"/>
              <w:rPr>
                <w:b w:val="0"/>
              </w:rPr>
            </w:pPr>
            <w:r>
              <w:t xml:space="preserve">months </w:t>
            </w:r>
          </w:p>
          <w:p w14:paraId="754A2ED5" w14:textId="77777777" w:rsidR="004E32FE" w:rsidRDefault="004E32FE" w:rsidP="00AE1ADC">
            <w:pPr>
              <w:pStyle w:val="Tabletext0"/>
              <w:keepNext w:val="0"/>
              <w:keepLines/>
              <w:widowControl w:val="0"/>
              <w:ind w:left="0"/>
              <w:jc w:val="center"/>
              <w:cnfStyle w:val="100000000000" w:firstRow="1" w:lastRow="0" w:firstColumn="0" w:lastColumn="0" w:oddVBand="0" w:evenVBand="0" w:oddHBand="0" w:evenHBand="0" w:firstRowFirstColumn="0" w:firstRowLastColumn="0" w:lastRowFirstColumn="0" w:lastRowLastColumn="0"/>
            </w:pPr>
            <w:r w:rsidRPr="004E32FE">
              <w:t>range</w:t>
            </w:r>
          </w:p>
        </w:tc>
        <w:tc>
          <w:tcPr>
            <w:tcW w:w="1238" w:type="dxa"/>
          </w:tcPr>
          <w:p w14:paraId="39F398E4" w14:textId="77777777" w:rsidR="004E32FE" w:rsidRDefault="004E32FE" w:rsidP="00AE1ADC">
            <w:pPr>
              <w:pStyle w:val="Tabletext0"/>
              <w:keepNext w:val="0"/>
              <w:keepLines/>
              <w:widowControl w:val="0"/>
              <w:ind w:left="0"/>
              <w:jc w:val="center"/>
              <w:cnfStyle w:val="100000000000" w:firstRow="1" w:lastRow="0" w:firstColumn="0" w:lastColumn="0" w:oddVBand="0" w:evenVBand="0" w:oddHBand="0" w:evenHBand="0" w:firstRowFirstColumn="0" w:firstRowLastColumn="0" w:lastRowFirstColumn="0" w:lastRowLastColumn="0"/>
              <w:rPr>
                <w:b w:val="0"/>
              </w:rPr>
            </w:pPr>
            <w:r>
              <w:t xml:space="preserve">Median OS </w:t>
            </w:r>
          </w:p>
          <w:p w14:paraId="513D31E0" w14:textId="77777777" w:rsidR="004E32FE" w:rsidRDefault="004E32FE" w:rsidP="00AE1ADC">
            <w:pPr>
              <w:pStyle w:val="Tabletext0"/>
              <w:keepNext w:val="0"/>
              <w:keepLines/>
              <w:widowControl w:val="0"/>
              <w:ind w:left="0"/>
              <w:jc w:val="center"/>
              <w:cnfStyle w:val="100000000000" w:firstRow="1" w:lastRow="0" w:firstColumn="0" w:lastColumn="0" w:oddVBand="0" w:evenVBand="0" w:oddHBand="0" w:evenHBand="0" w:firstRowFirstColumn="0" w:firstRowLastColumn="0" w:lastRowFirstColumn="0" w:lastRowLastColumn="0"/>
              <w:rPr>
                <w:b w:val="0"/>
              </w:rPr>
            </w:pPr>
            <w:r>
              <w:t>months</w:t>
            </w:r>
          </w:p>
          <w:p w14:paraId="33AF506B" w14:textId="77777777" w:rsidR="004E32FE" w:rsidRDefault="004E32FE" w:rsidP="00AE1ADC">
            <w:pPr>
              <w:pStyle w:val="Tabletext0"/>
              <w:keepNext w:val="0"/>
              <w:keepLines/>
              <w:widowControl w:val="0"/>
              <w:ind w:left="0"/>
              <w:jc w:val="center"/>
              <w:cnfStyle w:val="100000000000" w:firstRow="1" w:lastRow="0" w:firstColumn="0" w:lastColumn="0" w:oddVBand="0" w:evenVBand="0" w:oddHBand="0" w:evenHBand="0" w:firstRowFirstColumn="0" w:firstRowLastColumn="0" w:lastRowFirstColumn="0" w:lastRowLastColumn="0"/>
            </w:pPr>
            <w:r w:rsidRPr="004E32FE">
              <w:t>[95% CI]</w:t>
            </w:r>
          </w:p>
        </w:tc>
        <w:tc>
          <w:tcPr>
            <w:tcW w:w="1144" w:type="dxa"/>
          </w:tcPr>
          <w:p w14:paraId="67ACDDE1" w14:textId="77777777" w:rsidR="004E32FE" w:rsidRDefault="004E32FE" w:rsidP="00AE1ADC">
            <w:pPr>
              <w:pStyle w:val="Tabletext0"/>
              <w:keepNext w:val="0"/>
              <w:keepLines/>
              <w:widowControl w:val="0"/>
              <w:ind w:left="0"/>
              <w:jc w:val="center"/>
              <w:cnfStyle w:val="100000000000" w:firstRow="1" w:lastRow="0" w:firstColumn="0" w:lastColumn="0" w:oddVBand="0" w:evenVBand="0" w:oddHBand="0" w:evenHBand="0" w:firstRowFirstColumn="0" w:firstRowLastColumn="0" w:lastRowFirstColumn="0" w:lastRowLastColumn="0"/>
              <w:rPr>
                <w:b w:val="0"/>
              </w:rPr>
            </w:pPr>
            <w:r>
              <w:t>OS rate</w:t>
            </w:r>
          </w:p>
          <w:p w14:paraId="6DC8E5BD" w14:textId="77777777" w:rsidR="004E32FE" w:rsidRDefault="004E32FE" w:rsidP="00AE1ADC">
            <w:pPr>
              <w:pStyle w:val="Tabletext0"/>
              <w:keepNext w:val="0"/>
              <w:keepLines/>
              <w:widowControl w:val="0"/>
              <w:ind w:left="0"/>
              <w:jc w:val="center"/>
              <w:cnfStyle w:val="100000000000" w:firstRow="1" w:lastRow="0" w:firstColumn="0" w:lastColumn="0" w:oddVBand="0" w:evenVBand="0" w:oddHBand="0" w:evenHBand="0" w:firstRowFirstColumn="0" w:firstRowLastColumn="0" w:lastRowFirstColumn="0" w:lastRowLastColumn="0"/>
              <w:rPr>
                <w:b w:val="0"/>
              </w:rPr>
            </w:pPr>
            <w:r>
              <w:t xml:space="preserve">% </w:t>
            </w:r>
          </w:p>
          <w:p w14:paraId="4F227E2B" w14:textId="77777777" w:rsidR="004E32FE" w:rsidRPr="004E32FE" w:rsidRDefault="004E32FE" w:rsidP="00AE1ADC">
            <w:pPr>
              <w:pStyle w:val="Tabletext0"/>
              <w:keepNext w:val="0"/>
              <w:keepLines/>
              <w:widowControl w:val="0"/>
              <w:ind w:left="0"/>
              <w:jc w:val="center"/>
              <w:cnfStyle w:val="100000000000" w:firstRow="1" w:lastRow="0" w:firstColumn="0" w:lastColumn="0" w:oddVBand="0" w:evenVBand="0" w:oddHBand="0" w:evenHBand="0" w:firstRowFirstColumn="0" w:firstRowLastColumn="0" w:lastRowFirstColumn="0" w:lastRowLastColumn="0"/>
            </w:pPr>
            <w:r w:rsidRPr="004E32FE">
              <w:t>[95% CI]</w:t>
            </w:r>
          </w:p>
        </w:tc>
      </w:tr>
      <w:tr w:rsidR="004E32FE" w14:paraId="71EAE155"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val="restart"/>
          </w:tcPr>
          <w:p w14:paraId="6946AE92" w14:textId="21E342B0" w:rsidR="004E32FE" w:rsidRPr="004E32FE" w:rsidRDefault="004E32FE" w:rsidP="00AE1ADC">
            <w:pPr>
              <w:pStyle w:val="Tabletext0"/>
              <w:keepLines/>
              <w:widowControl w:val="0"/>
              <w:ind w:left="0"/>
              <w:rPr>
                <w:color w:val="auto"/>
              </w:rPr>
            </w:pPr>
            <w:r w:rsidRPr="004E32FE">
              <w:rPr>
                <w:color w:val="auto"/>
              </w:rPr>
              <w:t>PD-L1 positive (TPS≥1%) NSCLC</w:t>
            </w:r>
            <w:r w:rsidR="00A823D4">
              <w:rPr>
                <w:vertAlign w:val="superscript"/>
              </w:rPr>
              <w:t>1</w:t>
            </w:r>
            <w:r w:rsidRPr="004E32FE">
              <w:rPr>
                <w:color w:val="auto"/>
                <w:vertAlign w:val="superscript"/>
              </w:rPr>
              <w:t xml:space="preserve"> </w:t>
            </w:r>
            <w:r w:rsidRPr="004E32FE">
              <w:rPr>
                <w:color w:val="auto"/>
              </w:rPr>
              <w:t>(histology-agnostic)</w:t>
            </w:r>
          </w:p>
        </w:tc>
        <w:tc>
          <w:tcPr>
            <w:tcW w:w="1061" w:type="dxa"/>
            <w:vMerge w:val="restart"/>
          </w:tcPr>
          <w:p w14:paraId="57A4118C" w14:textId="017662E2"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r w:rsidRPr="004E32FE">
              <w:rPr>
                <w:color w:val="auto"/>
              </w:rPr>
              <w:t>PD-L1 ≥50%</w:t>
            </w:r>
            <w:r w:rsidR="00A823D4">
              <w:rPr>
                <w:vertAlign w:val="superscript"/>
              </w:rPr>
              <w:t>5</w:t>
            </w:r>
          </w:p>
        </w:tc>
        <w:tc>
          <w:tcPr>
            <w:tcW w:w="1637" w:type="dxa"/>
            <w:vMerge w:val="restart"/>
          </w:tcPr>
          <w:p w14:paraId="3F282DCE" w14:textId="77777777" w:rsidR="00A823D4" w:rsidRDefault="004E32FE" w:rsidP="00A823D4">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vertAlign w:val="superscript"/>
              </w:rPr>
            </w:pPr>
            <w:r w:rsidRPr="004E32FE">
              <w:rPr>
                <w:color w:val="auto"/>
              </w:rPr>
              <w:t>Pembro</w:t>
            </w:r>
            <w:r w:rsidR="00A823D4">
              <w:rPr>
                <w:vertAlign w:val="superscript"/>
              </w:rPr>
              <w:t>6</w:t>
            </w:r>
          </w:p>
          <w:p w14:paraId="1B2E22DE" w14:textId="07E6DFE6" w:rsidR="004E32FE" w:rsidRPr="004E32FE" w:rsidRDefault="004E32FE" w:rsidP="00A823D4">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(n=299)</w:t>
            </w:r>
          </w:p>
        </w:tc>
        <w:tc>
          <w:tcPr>
            <w:tcW w:w="1093" w:type="dxa"/>
          </w:tcPr>
          <w:p w14:paraId="53FC5066"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39.1</w:t>
            </w:r>
          </w:p>
        </w:tc>
        <w:tc>
          <w:tcPr>
            <w:tcW w:w="1291" w:type="dxa"/>
          </w:tcPr>
          <w:p w14:paraId="11A54A46"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28.1</w:t>
            </w:r>
          </w:p>
        </w:tc>
        <w:tc>
          <w:tcPr>
            <w:tcW w:w="1238" w:type="dxa"/>
          </w:tcPr>
          <w:p w14:paraId="0D1F2484"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20.0</w:t>
            </w:r>
          </w:p>
        </w:tc>
        <w:tc>
          <w:tcPr>
            <w:tcW w:w="1144" w:type="dxa"/>
          </w:tcPr>
          <w:p w14:paraId="7EC8A18F"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22 (5-year)</w:t>
            </w:r>
          </w:p>
        </w:tc>
      </w:tr>
      <w:tr w:rsidR="004E32FE" w14:paraId="538D6754"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tcPr>
          <w:p w14:paraId="5AD379C8" w14:textId="77777777" w:rsidR="004E32FE" w:rsidRPr="004E32FE" w:rsidRDefault="004E32FE" w:rsidP="00AE1ADC">
            <w:pPr>
              <w:pStyle w:val="Tabletext0"/>
              <w:keepLines/>
              <w:widowControl w:val="0"/>
              <w:ind w:left="0"/>
              <w:rPr>
                <w:color w:val="auto"/>
              </w:rPr>
            </w:pPr>
          </w:p>
        </w:tc>
        <w:tc>
          <w:tcPr>
            <w:tcW w:w="1061" w:type="dxa"/>
            <w:vMerge/>
          </w:tcPr>
          <w:p w14:paraId="7DF3C9E4"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rPr>
            </w:pPr>
          </w:p>
        </w:tc>
        <w:tc>
          <w:tcPr>
            <w:tcW w:w="1637" w:type="dxa"/>
            <w:vMerge/>
          </w:tcPr>
          <w:p w14:paraId="0C9520AC"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rPr>
            </w:pPr>
          </w:p>
        </w:tc>
        <w:tc>
          <w:tcPr>
            <w:tcW w:w="1093" w:type="dxa"/>
          </w:tcPr>
          <w:p w14:paraId="50132F3D"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[33.6, 44.9]</w:t>
            </w:r>
          </w:p>
        </w:tc>
        <w:tc>
          <w:tcPr>
            <w:tcW w:w="1291" w:type="dxa"/>
          </w:tcPr>
          <w:p w14:paraId="0B081F50"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2.1+ to 70.0+</w:t>
            </w:r>
          </w:p>
        </w:tc>
        <w:tc>
          <w:tcPr>
            <w:tcW w:w="1238" w:type="dxa"/>
          </w:tcPr>
          <w:p w14:paraId="51A605F8"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[15.9, 24.2]</w:t>
            </w:r>
          </w:p>
        </w:tc>
        <w:tc>
          <w:tcPr>
            <w:tcW w:w="1144" w:type="dxa"/>
          </w:tcPr>
          <w:p w14:paraId="693FE6FD"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[17.3, 26.9]</w:t>
            </w:r>
          </w:p>
        </w:tc>
      </w:tr>
      <w:tr w:rsidR="004E32FE" w14:paraId="48440880"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tcPr>
          <w:p w14:paraId="72C1DF2C" w14:textId="77777777" w:rsidR="004E32FE" w:rsidRPr="004E32FE" w:rsidRDefault="004E32FE" w:rsidP="00AE1ADC">
            <w:pPr>
              <w:pStyle w:val="Tabletext0"/>
              <w:keepLines/>
              <w:widowControl w:val="0"/>
              <w:ind w:left="0"/>
              <w:rPr>
                <w:color w:val="auto"/>
              </w:rPr>
            </w:pPr>
          </w:p>
        </w:tc>
        <w:tc>
          <w:tcPr>
            <w:tcW w:w="1061" w:type="dxa"/>
            <w:vMerge/>
          </w:tcPr>
          <w:p w14:paraId="129B9D23"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p>
        </w:tc>
        <w:tc>
          <w:tcPr>
            <w:tcW w:w="1637" w:type="dxa"/>
            <w:vMerge w:val="restart"/>
          </w:tcPr>
          <w:p w14:paraId="76E80ED2" w14:textId="4B815B7C"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vertAlign w:val="superscript"/>
              </w:rPr>
            </w:pPr>
            <w:r w:rsidRPr="004E32FE">
              <w:rPr>
                <w:color w:val="auto"/>
              </w:rPr>
              <w:t>Chemo</w:t>
            </w:r>
            <w:r w:rsidR="00A823D4">
              <w:rPr>
                <w:vertAlign w:val="superscript"/>
              </w:rPr>
              <w:t>7</w:t>
            </w:r>
          </w:p>
          <w:p w14:paraId="3F8D7697"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(n=300)</w:t>
            </w:r>
          </w:p>
        </w:tc>
        <w:tc>
          <w:tcPr>
            <w:tcW w:w="1093" w:type="dxa"/>
          </w:tcPr>
          <w:p w14:paraId="310B52B4"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32.3</w:t>
            </w:r>
          </w:p>
        </w:tc>
        <w:tc>
          <w:tcPr>
            <w:tcW w:w="1291" w:type="dxa"/>
          </w:tcPr>
          <w:p w14:paraId="1A7080AF"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10.8</w:t>
            </w:r>
          </w:p>
        </w:tc>
        <w:tc>
          <w:tcPr>
            <w:tcW w:w="1238" w:type="dxa"/>
          </w:tcPr>
          <w:p w14:paraId="69058360"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12.2</w:t>
            </w:r>
          </w:p>
        </w:tc>
        <w:tc>
          <w:tcPr>
            <w:tcW w:w="1144" w:type="dxa"/>
          </w:tcPr>
          <w:p w14:paraId="138DF6DC"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10 (5-year)</w:t>
            </w:r>
          </w:p>
        </w:tc>
      </w:tr>
      <w:tr w:rsidR="004E32FE" w14:paraId="0B443AE9"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tcPr>
          <w:p w14:paraId="7506E147" w14:textId="77777777" w:rsidR="004E32FE" w:rsidRPr="004E32FE" w:rsidRDefault="004E32FE" w:rsidP="00AE1ADC">
            <w:pPr>
              <w:pStyle w:val="Tabletext0"/>
              <w:keepLines/>
              <w:widowControl w:val="0"/>
              <w:ind w:left="0"/>
              <w:rPr>
                <w:color w:val="auto"/>
              </w:rPr>
            </w:pPr>
          </w:p>
        </w:tc>
        <w:tc>
          <w:tcPr>
            <w:tcW w:w="1061" w:type="dxa"/>
            <w:vMerge/>
          </w:tcPr>
          <w:p w14:paraId="23FD4546"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p>
        </w:tc>
        <w:tc>
          <w:tcPr>
            <w:tcW w:w="1637" w:type="dxa"/>
            <w:vMerge/>
          </w:tcPr>
          <w:p w14:paraId="4657583C"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rPr>
            </w:pPr>
          </w:p>
        </w:tc>
        <w:tc>
          <w:tcPr>
            <w:tcW w:w="1093" w:type="dxa"/>
          </w:tcPr>
          <w:p w14:paraId="1FE0CC6B"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[27.1, 37.9]</w:t>
            </w:r>
          </w:p>
        </w:tc>
        <w:tc>
          <w:tcPr>
            <w:tcW w:w="1291" w:type="dxa"/>
          </w:tcPr>
          <w:p w14:paraId="0E0ED773"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1.8+ to 63.5+</w:t>
            </w:r>
          </w:p>
        </w:tc>
        <w:tc>
          <w:tcPr>
            <w:tcW w:w="1238" w:type="dxa"/>
          </w:tcPr>
          <w:p w14:paraId="6A6C218E"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[10.4, 14.6]</w:t>
            </w:r>
          </w:p>
        </w:tc>
        <w:tc>
          <w:tcPr>
            <w:tcW w:w="1144" w:type="dxa"/>
          </w:tcPr>
          <w:p w14:paraId="51502910"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[6.6, 13.7]</w:t>
            </w:r>
          </w:p>
        </w:tc>
      </w:tr>
      <w:tr w:rsidR="004E32FE" w14:paraId="2BEEBD4D"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val="restart"/>
          </w:tcPr>
          <w:p w14:paraId="5394A5EE" w14:textId="68CD5035" w:rsidR="004E32FE" w:rsidRPr="004E32FE" w:rsidRDefault="004E32FE" w:rsidP="00AE1ADC">
            <w:pPr>
              <w:pStyle w:val="Tabletext0"/>
              <w:keepLines/>
              <w:widowControl w:val="0"/>
              <w:ind w:left="0"/>
              <w:rPr>
                <w:color w:val="auto"/>
              </w:rPr>
            </w:pPr>
            <w:r w:rsidRPr="004E32FE">
              <w:rPr>
                <w:color w:val="auto"/>
              </w:rPr>
              <w:t>nsNSCLC</w:t>
            </w:r>
            <w:r w:rsidR="00A823D4">
              <w:rPr>
                <w:vertAlign w:val="superscript"/>
              </w:rPr>
              <w:t>2</w:t>
            </w:r>
          </w:p>
        </w:tc>
        <w:tc>
          <w:tcPr>
            <w:tcW w:w="1061" w:type="dxa"/>
            <w:vMerge w:val="restart"/>
          </w:tcPr>
          <w:p w14:paraId="08AE7887"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r w:rsidRPr="004E32FE">
              <w:rPr>
                <w:color w:val="auto"/>
              </w:rPr>
              <w:t>PD-L1 agnostic</w:t>
            </w:r>
          </w:p>
        </w:tc>
        <w:tc>
          <w:tcPr>
            <w:tcW w:w="1637" w:type="dxa"/>
            <w:vMerge w:val="restart"/>
          </w:tcPr>
          <w:p w14:paraId="28527716" w14:textId="4BC4951F"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Pembro+chemo</w:t>
            </w:r>
            <w:r w:rsidR="00A823D4">
              <w:rPr>
                <w:vertAlign w:val="superscript"/>
              </w:rPr>
              <w:t>8</w:t>
            </w:r>
            <w:r w:rsidRPr="004E32FE">
              <w:rPr>
                <w:color w:val="auto"/>
                <w:vertAlign w:val="superscript"/>
              </w:rPr>
              <w:t xml:space="preserve"> </w:t>
            </w:r>
            <w:r w:rsidRPr="004E32FE">
              <w:rPr>
                <w:color w:val="auto"/>
              </w:rPr>
              <w:t>(n=60)</w:t>
            </w:r>
          </w:p>
        </w:tc>
        <w:tc>
          <w:tcPr>
            <w:tcW w:w="1093" w:type="dxa"/>
          </w:tcPr>
          <w:p w14:paraId="7EAF48A0"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58</w:t>
            </w:r>
          </w:p>
        </w:tc>
        <w:tc>
          <w:tcPr>
            <w:tcW w:w="1291" w:type="dxa"/>
          </w:tcPr>
          <w:p w14:paraId="258226D3"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36.3</w:t>
            </w:r>
          </w:p>
        </w:tc>
        <w:tc>
          <w:tcPr>
            <w:tcW w:w="1238" w:type="dxa"/>
          </w:tcPr>
          <w:p w14:paraId="0D183A82"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34.5</w:t>
            </w:r>
          </w:p>
        </w:tc>
        <w:tc>
          <w:tcPr>
            <w:tcW w:w="1144" w:type="dxa"/>
          </w:tcPr>
          <w:p w14:paraId="75893622"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50 (3-year)</w:t>
            </w:r>
          </w:p>
        </w:tc>
      </w:tr>
      <w:tr w:rsidR="004E32FE" w:rsidRPr="009F7ADA" w14:paraId="746D71C8"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tcPr>
          <w:p w14:paraId="00E0EBB3" w14:textId="77777777" w:rsidR="004E32FE" w:rsidRPr="004E32FE" w:rsidRDefault="004E32FE" w:rsidP="00AE1ADC">
            <w:pPr>
              <w:pStyle w:val="Tabletext0"/>
              <w:keepLines/>
              <w:widowControl w:val="0"/>
              <w:ind w:left="0"/>
              <w:rPr>
                <w:color w:val="auto"/>
              </w:rPr>
            </w:pPr>
          </w:p>
        </w:tc>
        <w:tc>
          <w:tcPr>
            <w:tcW w:w="1061" w:type="dxa"/>
            <w:vMerge/>
          </w:tcPr>
          <w:p w14:paraId="4FBED265"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p>
        </w:tc>
        <w:tc>
          <w:tcPr>
            <w:tcW w:w="1637" w:type="dxa"/>
            <w:vMerge/>
          </w:tcPr>
          <w:p w14:paraId="669A5883"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p>
        </w:tc>
        <w:tc>
          <w:tcPr>
            <w:tcW w:w="1093" w:type="dxa"/>
          </w:tcPr>
          <w:p w14:paraId="4A428D81"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[45, 71]</w:t>
            </w:r>
          </w:p>
        </w:tc>
        <w:tc>
          <w:tcPr>
            <w:tcW w:w="1291" w:type="dxa"/>
          </w:tcPr>
          <w:p w14:paraId="763B67A0"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1.4+ to 49.3+</w:t>
            </w:r>
          </w:p>
        </w:tc>
        <w:tc>
          <w:tcPr>
            <w:tcW w:w="1238" w:type="dxa"/>
          </w:tcPr>
          <w:p w14:paraId="60035631"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[24.0, NR]</w:t>
            </w:r>
          </w:p>
        </w:tc>
        <w:tc>
          <w:tcPr>
            <w:tcW w:w="1144" w:type="dxa"/>
          </w:tcPr>
          <w:p w14:paraId="7B0E7362"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NS</w:t>
            </w:r>
          </w:p>
        </w:tc>
      </w:tr>
      <w:tr w:rsidR="004E32FE" w14:paraId="01FED056" w14:textId="77777777" w:rsidTr="004E32FE">
        <w:trPr>
          <w:trHeight w:val="230"/>
        </w:trPr>
        <w:tc>
          <w:tcPr>
            <w:cnfStyle w:val="001000000000" w:firstRow="0" w:lastRow="0" w:firstColumn="1" w:lastColumn="0" w:oddVBand="0" w:evenVBand="0" w:oddHBand="0" w:evenHBand="0" w:firstRowFirstColumn="0" w:firstRowLastColumn="0" w:lastRowFirstColumn="0" w:lastRowLastColumn="0"/>
            <w:tcW w:w="1596" w:type="dxa"/>
            <w:vMerge/>
          </w:tcPr>
          <w:p w14:paraId="25B2F72D" w14:textId="77777777" w:rsidR="004E32FE" w:rsidRPr="004E32FE" w:rsidRDefault="004E32FE" w:rsidP="00AE1ADC">
            <w:pPr>
              <w:pStyle w:val="Tabletext0"/>
              <w:keepLines/>
              <w:widowControl w:val="0"/>
              <w:ind w:left="0"/>
              <w:rPr>
                <w:color w:val="auto"/>
              </w:rPr>
            </w:pPr>
          </w:p>
        </w:tc>
        <w:tc>
          <w:tcPr>
            <w:tcW w:w="1061" w:type="dxa"/>
            <w:vMerge/>
          </w:tcPr>
          <w:p w14:paraId="5DC13404"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p>
        </w:tc>
        <w:tc>
          <w:tcPr>
            <w:tcW w:w="1637" w:type="dxa"/>
            <w:vMerge w:val="restart"/>
          </w:tcPr>
          <w:p w14:paraId="57F55FE8" w14:textId="3CD62928"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vertAlign w:val="superscript"/>
              </w:rPr>
            </w:pPr>
            <w:r w:rsidRPr="004E32FE">
              <w:rPr>
                <w:color w:val="auto"/>
              </w:rPr>
              <w:t>Chemo</w:t>
            </w:r>
            <w:r w:rsidR="00A823D4">
              <w:rPr>
                <w:vertAlign w:val="superscript"/>
              </w:rPr>
              <w:t>9</w:t>
            </w:r>
          </w:p>
          <w:p w14:paraId="7B6D3B0B"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(n=63)</w:t>
            </w:r>
          </w:p>
        </w:tc>
        <w:tc>
          <w:tcPr>
            <w:tcW w:w="1093" w:type="dxa"/>
          </w:tcPr>
          <w:p w14:paraId="287F0730"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33</w:t>
            </w:r>
          </w:p>
        </w:tc>
        <w:tc>
          <w:tcPr>
            <w:tcW w:w="1291" w:type="dxa"/>
          </w:tcPr>
          <w:p w14:paraId="2C438F62"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22.8</w:t>
            </w:r>
          </w:p>
        </w:tc>
        <w:tc>
          <w:tcPr>
            <w:tcW w:w="1238" w:type="dxa"/>
          </w:tcPr>
          <w:p w14:paraId="36E07F5D"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21.1</w:t>
            </w:r>
          </w:p>
        </w:tc>
        <w:tc>
          <w:tcPr>
            <w:tcW w:w="1144" w:type="dxa"/>
          </w:tcPr>
          <w:p w14:paraId="5D82E7AD"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37 (3-year)</w:t>
            </w:r>
          </w:p>
        </w:tc>
      </w:tr>
      <w:tr w:rsidR="004E32FE" w14:paraId="6A6263B3" w14:textId="77777777" w:rsidTr="004E32FE">
        <w:trPr>
          <w:trHeight w:val="60"/>
        </w:trPr>
        <w:tc>
          <w:tcPr>
            <w:cnfStyle w:val="001000000000" w:firstRow="0" w:lastRow="0" w:firstColumn="1" w:lastColumn="0" w:oddVBand="0" w:evenVBand="0" w:oddHBand="0" w:evenHBand="0" w:firstRowFirstColumn="0" w:firstRowLastColumn="0" w:lastRowFirstColumn="0" w:lastRowLastColumn="0"/>
            <w:tcW w:w="1596" w:type="dxa"/>
            <w:vMerge/>
          </w:tcPr>
          <w:p w14:paraId="278B29B8" w14:textId="77777777" w:rsidR="004E32FE" w:rsidRPr="004E32FE" w:rsidRDefault="004E32FE" w:rsidP="00AE1ADC">
            <w:pPr>
              <w:pStyle w:val="Tabletext0"/>
              <w:keepLines/>
              <w:widowControl w:val="0"/>
              <w:ind w:left="0"/>
              <w:rPr>
                <w:color w:val="auto"/>
              </w:rPr>
            </w:pPr>
          </w:p>
        </w:tc>
        <w:tc>
          <w:tcPr>
            <w:tcW w:w="1061" w:type="dxa"/>
            <w:vMerge/>
          </w:tcPr>
          <w:p w14:paraId="20CC2D59"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p>
        </w:tc>
        <w:tc>
          <w:tcPr>
            <w:tcW w:w="1637" w:type="dxa"/>
            <w:vMerge/>
          </w:tcPr>
          <w:p w14:paraId="53F46DF9"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rPr>
            </w:pPr>
          </w:p>
        </w:tc>
        <w:tc>
          <w:tcPr>
            <w:tcW w:w="1093" w:type="dxa"/>
          </w:tcPr>
          <w:p w14:paraId="632BBD9A"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[22, 46]</w:t>
            </w:r>
          </w:p>
        </w:tc>
        <w:tc>
          <w:tcPr>
            <w:tcW w:w="1291" w:type="dxa"/>
          </w:tcPr>
          <w:p w14:paraId="2015961D"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2.8+ to 47.2+</w:t>
            </w:r>
          </w:p>
        </w:tc>
        <w:tc>
          <w:tcPr>
            <w:tcW w:w="1238" w:type="dxa"/>
          </w:tcPr>
          <w:p w14:paraId="772C8FDA"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[14.9, 35.6]</w:t>
            </w:r>
          </w:p>
        </w:tc>
        <w:tc>
          <w:tcPr>
            <w:tcW w:w="1144" w:type="dxa"/>
          </w:tcPr>
          <w:p w14:paraId="03979CAE"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NS</w:t>
            </w:r>
          </w:p>
        </w:tc>
      </w:tr>
      <w:tr w:rsidR="004E32FE" w14:paraId="0D55DD8D"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val="restart"/>
          </w:tcPr>
          <w:p w14:paraId="5B97B579" w14:textId="1A567C18" w:rsidR="004E32FE" w:rsidRPr="004E32FE" w:rsidRDefault="004E32FE" w:rsidP="00AE1ADC">
            <w:pPr>
              <w:pStyle w:val="Tabletext0"/>
              <w:keepLines/>
              <w:widowControl w:val="0"/>
              <w:ind w:left="0"/>
              <w:rPr>
                <w:color w:val="auto"/>
              </w:rPr>
            </w:pPr>
            <w:bookmarkStart w:id="32" w:name="_Hlk97215921"/>
            <w:bookmarkStart w:id="33" w:name="_Hlk97215407"/>
            <w:r w:rsidRPr="004E32FE">
              <w:rPr>
                <w:color w:val="auto"/>
              </w:rPr>
              <w:t>nsNSCLC</w:t>
            </w:r>
            <w:r w:rsidR="00A823D4">
              <w:rPr>
                <w:vertAlign w:val="superscript"/>
              </w:rPr>
              <w:t>3</w:t>
            </w:r>
          </w:p>
        </w:tc>
        <w:tc>
          <w:tcPr>
            <w:tcW w:w="1061" w:type="dxa"/>
            <w:vMerge w:val="restart"/>
          </w:tcPr>
          <w:p w14:paraId="6619CEED"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r w:rsidRPr="004E32FE">
              <w:rPr>
                <w:color w:val="auto"/>
              </w:rPr>
              <w:t>PD-L1 agnostic</w:t>
            </w:r>
          </w:p>
        </w:tc>
        <w:tc>
          <w:tcPr>
            <w:tcW w:w="1637" w:type="dxa"/>
            <w:vMerge w:val="restart"/>
          </w:tcPr>
          <w:p w14:paraId="0724507D" w14:textId="5941654B"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Pembro+chemo</w:t>
            </w:r>
            <w:r w:rsidR="00A823D4">
              <w:rPr>
                <w:vertAlign w:val="superscript"/>
              </w:rPr>
              <w:t>10</w:t>
            </w:r>
            <w:r w:rsidRPr="004E32FE">
              <w:rPr>
                <w:color w:val="auto"/>
                <w:vertAlign w:val="superscript"/>
              </w:rPr>
              <w:t xml:space="preserve"> </w:t>
            </w:r>
            <w:r w:rsidRPr="004E32FE">
              <w:rPr>
                <w:color w:val="auto"/>
              </w:rPr>
              <w:t>(n=410)</w:t>
            </w:r>
          </w:p>
        </w:tc>
        <w:tc>
          <w:tcPr>
            <w:tcW w:w="1093" w:type="dxa"/>
          </w:tcPr>
          <w:p w14:paraId="17307E97"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48.3</w:t>
            </w:r>
          </w:p>
        </w:tc>
        <w:tc>
          <w:tcPr>
            <w:tcW w:w="1291" w:type="dxa"/>
          </w:tcPr>
          <w:p w14:paraId="3A751CA8"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12.5</w:t>
            </w:r>
          </w:p>
        </w:tc>
        <w:tc>
          <w:tcPr>
            <w:tcW w:w="1238" w:type="dxa"/>
          </w:tcPr>
          <w:p w14:paraId="39D91C8B"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22.0</w:t>
            </w:r>
          </w:p>
        </w:tc>
        <w:tc>
          <w:tcPr>
            <w:tcW w:w="1144" w:type="dxa"/>
          </w:tcPr>
          <w:p w14:paraId="5928CD39" w14:textId="12896BAD"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46 (2</w:t>
            </w:r>
            <w:r w:rsidR="00557B80">
              <w:rPr>
                <w:color w:val="auto"/>
              </w:rPr>
              <w:t>-</w:t>
            </w:r>
            <w:r w:rsidRPr="004E32FE">
              <w:rPr>
                <w:color w:val="auto"/>
              </w:rPr>
              <w:t>year)</w:t>
            </w:r>
          </w:p>
        </w:tc>
      </w:tr>
      <w:tr w:rsidR="004E32FE" w:rsidRPr="009F7ADA" w14:paraId="3DA53979"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tcPr>
          <w:p w14:paraId="32211588" w14:textId="77777777" w:rsidR="004E32FE" w:rsidRPr="004E32FE" w:rsidRDefault="004E32FE" w:rsidP="00AE1ADC">
            <w:pPr>
              <w:pStyle w:val="Tabletext0"/>
              <w:keepLines/>
              <w:widowControl w:val="0"/>
              <w:ind w:left="0"/>
              <w:rPr>
                <w:color w:val="auto"/>
              </w:rPr>
            </w:pPr>
          </w:p>
        </w:tc>
        <w:tc>
          <w:tcPr>
            <w:tcW w:w="1061" w:type="dxa"/>
            <w:vMerge/>
          </w:tcPr>
          <w:p w14:paraId="3A43DBCC"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p>
        </w:tc>
        <w:tc>
          <w:tcPr>
            <w:tcW w:w="1637" w:type="dxa"/>
            <w:vMerge/>
          </w:tcPr>
          <w:p w14:paraId="5853EF55"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p>
        </w:tc>
        <w:tc>
          <w:tcPr>
            <w:tcW w:w="1093" w:type="dxa"/>
          </w:tcPr>
          <w:p w14:paraId="271181FF"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[43.4, 53.2]</w:t>
            </w:r>
          </w:p>
        </w:tc>
        <w:tc>
          <w:tcPr>
            <w:tcW w:w="1291" w:type="dxa"/>
          </w:tcPr>
          <w:p w14:paraId="65B4DF9D"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1.1+ to 34.9+</w:t>
            </w:r>
          </w:p>
        </w:tc>
        <w:tc>
          <w:tcPr>
            <w:tcW w:w="1238" w:type="dxa"/>
          </w:tcPr>
          <w:p w14:paraId="66F36AEA"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[19.5, 24.5]</w:t>
            </w:r>
          </w:p>
        </w:tc>
        <w:tc>
          <w:tcPr>
            <w:tcW w:w="1144" w:type="dxa"/>
          </w:tcPr>
          <w:p w14:paraId="23598DE4"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NS</w:t>
            </w:r>
          </w:p>
        </w:tc>
      </w:tr>
      <w:tr w:rsidR="004E32FE" w14:paraId="05EF3E8E"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tcPr>
          <w:p w14:paraId="069AA20A" w14:textId="77777777" w:rsidR="004E32FE" w:rsidRPr="004E32FE" w:rsidRDefault="004E32FE" w:rsidP="00AE1ADC">
            <w:pPr>
              <w:pStyle w:val="Tabletext0"/>
              <w:keepLines/>
              <w:widowControl w:val="0"/>
              <w:ind w:left="0"/>
              <w:rPr>
                <w:color w:val="auto"/>
              </w:rPr>
            </w:pPr>
          </w:p>
        </w:tc>
        <w:tc>
          <w:tcPr>
            <w:tcW w:w="1061" w:type="dxa"/>
            <w:vMerge/>
          </w:tcPr>
          <w:p w14:paraId="75470D41"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p>
        </w:tc>
        <w:tc>
          <w:tcPr>
            <w:tcW w:w="1637" w:type="dxa"/>
            <w:vMerge w:val="restart"/>
          </w:tcPr>
          <w:p w14:paraId="41D47C96" w14:textId="08C8CBC6"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vertAlign w:val="superscript"/>
              </w:rPr>
            </w:pPr>
            <w:r w:rsidRPr="004E32FE">
              <w:rPr>
                <w:color w:val="auto"/>
              </w:rPr>
              <w:t>Chemo</w:t>
            </w:r>
            <w:r w:rsidR="00A823D4">
              <w:rPr>
                <w:vertAlign w:val="superscript"/>
              </w:rPr>
              <w:t>11</w:t>
            </w:r>
          </w:p>
          <w:p w14:paraId="0FBC57A5"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(n=205)</w:t>
            </w:r>
          </w:p>
        </w:tc>
        <w:tc>
          <w:tcPr>
            <w:tcW w:w="1093" w:type="dxa"/>
          </w:tcPr>
          <w:p w14:paraId="477AFD8D"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19.9</w:t>
            </w:r>
          </w:p>
        </w:tc>
        <w:tc>
          <w:tcPr>
            <w:tcW w:w="1291" w:type="dxa"/>
          </w:tcPr>
          <w:p w14:paraId="545DF54B"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7.1</w:t>
            </w:r>
          </w:p>
        </w:tc>
        <w:tc>
          <w:tcPr>
            <w:tcW w:w="1238" w:type="dxa"/>
          </w:tcPr>
          <w:p w14:paraId="33982DBE"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10.6</w:t>
            </w:r>
          </w:p>
        </w:tc>
        <w:tc>
          <w:tcPr>
            <w:tcW w:w="1144" w:type="dxa"/>
          </w:tcPr>
          <w:p w14:paraId="701F9049" w14:textId="02B9F401"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27 (2</w:t>
            </w:r>
            <w:r w:rsidR="00557B80">
              <w:rPr>
                <w:color w:val="auto"/>
              </w:rPr>
              <w:t>-</w:t>
            </w:r>
            <w:r w:rsidRPr="004E32FE">
              <w:rPr>
                <w:color w:val="auto"/>
              </w:rPr>
              <w:t>year)</w:t>
            </w:r>
          </w:p>
        </w:tc>
      </w:tr>
      <w:bookmarkEnd w:id="32"/>
      <w:tr w:rsidR="004E32FE" w:rsidRPr="009F7ADA" w14:paraId="4308E27B"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tcPr>
          <w:p w14:paraId="463F6EC7" w14:textId="77777777" w:rsidR="004E32FE" w:rsidRPr="004E32FE" w:rsidRDefault="004E32FE" w:rsidP="00AE1ADC">
            <w:pPr>
              <w:pStyle w:val="Tabletext0"/>
              <w:keepLines/>
              <w:widowControl w:val="0"/>
              <w:ind w:left="0"/>
              <w:rPr>
                <w:color w:val="auto"/>
              </w:rPr>
            </w:pPr>
          </w:p>
        </w:tc>
        <w:tc>
          <w:tcPr>
            <w:tcW w:w="1061" w:type="dxa"/>
            <w:vMerge/>
          </w:tcPr>
          <w:p w14:paraId="0A89B40B"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p>
        </w:tc>
        <w:tc>
          <w:tcPr>
            <w:tcW w:w="1637" w:type="dxa"/>
            <w:vMerge/>
          </w:tcPr>
          <w:p w14:paraId="5FCCC51D"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p>
        </w:tc>
        <w:tc>
          <w:tcPr>
            <w:tcW w:w="1093" w:type="dxa"/>
          </w:tcPr>
          <w:p w14:paraId="4DB2CF70"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[14.7, 26.0]</w:t>
            </w:r>
          </w:p>
        </w:tc>
        <w:tc>
          <w:tcPr>
            <w:tcW w:w="1291" w:type="dxa"/>
          </w:tcPr>
          <w:p w14:paraId="5FCCD6B9"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2.4 to 27.8+</w:t>
            </w:r>
          </w:p>
        </w:tc>
        <w:tc>
          <w:tcPr>
            <w:tcW w:w="1238" w:type="dxa"/>
          </w:tcPr>
          <w:p w14:paraId="50566BA5"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[8.7, 13.6]</w:t>
            </w:r>
          </w:p>
        </w:tc>
        <w:tc>
          <w:tcPr>
            <w:tcW w:w="1144" w:type="dxa"/>
          </w:tcPr>
          <w:p w14:paraId="1E6C7D1F"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NS</w:t>
            </w:r>
          </w:p>
        </w:tc>
      </w:tr>
      <w:tr w:rsidR="004E32FE" w14:paraId="3C93C3D4"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val="restart"/>
          </w:tcPr>
          <w:p w14:paraId="46E568D1" w14:textId="6722C32E" w:rsidR="004E32FE" w:rsidRPr="004E32FE" w:rsidRDefault="004E32FE" w:rsidP="00AE1ADC">
            <w:pPr>
              <w:pStyle w:val="Tabletext0"/>
              <w:keepLines/>
              <w:widowControl w:val="0"/>
              <w:ind w:left="0"/>
              <w:rPr>
                <w:color w:val="auto"/>
              </w:rPr>
            </w:pPr>
            <w:r w:rsidRPr="004E32FE">
              <w:rPr>
                <w:color w:val="auto"/>
              </w:rPr>
              <w:t>sNSCLC</w:t>
            </w:r>
            <w:r w:rsidR="00A823D4">
              <w:rPr>
                <w:vertAlign w:val="superscript"/>
              </w:rPr>
              <w:t>4</w:t>
            </w:r>
          </w:p>
        </w:tc>
        <w:tc>
          <w:tcPr>
            <w:tcW w:w="1061" w:type="dxa"/>
            <w:vMerge w:val="restart"/>
          </w:tcPr>
          <w:p w14:paraId="69F2F57C"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r w:rsidRPr="004E32FE">
              <w:rPr>
                <w:color w:val="auto"/>
              </w:rPr>
              <w:t>PD-L1 agnostic</w:t>
            </w:r>
          </w:p>
        </w:tc>
        <w:tc>
          <w:tcPr>
            <w:tcW w:w="1637" w:type="dxa"/>
            <w:vMerge w:val="restart"/>
          </w:tcPr>
          <w:p w14:paraId="28C094E7" w14:textId="1807747E"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Pembro+chemo</w:t>
            </w:r>
            <w:r w:rsidR="00A823D4">
              <w:rPr>
                <w:vertAlign w:val="superscript"/>
              </w:rPr>
              <w:t>12</w:t>
            </w:r>
            <w:r w:rsidRPr="004E32FE">
              <w:rPr>
                <w:color w:val="auto"/>
                <w:vertAlign w:val="superscript"/>
              </w:rPr>
              <w:t xml:space="preserve"> </w:t>
            </w:r>
            <w:r w:rsidRPr="004E32FE">
              <w:rPr>
                <w:color w:val="auto"/>
              </w:rPr>
              <w:t>(n=278)</w:t>
            </w:r>
          </w:p>
        </w:tc>
        <w:tc>
          <w:tcPr>
            <w:tcW w:w="1093" w:type="dxa"/>
          </w:tcPr>
          <w:p w14:paraId="7F1D293F"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62.6</w:t>
            </w:r>
          </w:p>
        </w:tc>
        <w:tc>
          <w:tcPr>
            <w:tcW w:w="1291" w:type="dxa"/>
          </w:tcPr>
          <w:p w14:paraId="1CC45318"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9.0</w:t>
            </w:r>
          </w:p>
        </w:tc>
        <w:tc>
          <w:tcPr>
            <w:tcW w:w="1238" w:type="dxa"/>
          </w:tcPr>
          <w:p w14:paraId="32B48747"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17.2</w:t>
            </w:r>
          </w:p>
        </w:tc>
        <w:tc>
          <w:tcPr>
            <w:tcW w:w="1144" w:type="dxa"/>
          </w:tcPr>
          <w:p w14:paraId="52B6742D"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30 (3-year)</w:t>
            </w:r>
          </w:p>
        </w:tc>
      </w:tr>
      <w:tr w:rsidR="004E32FE" w14:paraId="1F702DFE"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tcPr>
          <w:p w14:paraId="0BCC81EC" w14:textId="77777777" w:rsidR="004E32FE" w:rsidRPr="004E32FE" w:rsidRDefault="004E32FE" w:rsidP="00AE1ADC">
            <w:pPr>
              <w:pStyle w:val="Tabletext0"/>
              <w:keepLines/>
              <w:widowControl w:val="0"/>
              <w:ind w:left="0"/>
              <w:rPr>
                <w:color w:val="auto"/>
              </w:rPr>
            </w:pPr>
          </w:p>
        </w:tc>
        <w:tc>
          <w:tcPr>
            <w:tcW w:w="1061" w:type="dxa"/>
            <w:vMerge/>
          </w:tcPr>
          <w:p w14:paraId="3FA0EF69"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p>
        </w:tc>
        <w:tc>
          <w:tcPr>
            <w:tcW w:w="1637" w:type="dxa"/>
            <w:vMerge/>
          </w:tcPr>
          <w:p w14:paraId="1C0D5D39"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p>
        </w:tc>
        <w:tc>
          <w:tcPr>
            <w:tcW w:w="1093" w:type="dxa"/>
          </w:tcPr>
          <w:p w14:paraId="47BE1186"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[56.6, 68.3]</w:t>
            </w:r>
          </w:p>
        </w:tc>
        <w:tc>
          <w:tcPr>
            <w:tcW w:w="1291" w:type="dxa"/>
          </w:tcPr>
          <w:p w14:paraId="61B315E6"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1.3+ to 45.0+</w:t>
            </w:r>
          </w:p>
        </w:tc>
        <w:tc>
          <w:tcPr>
            <w:tcW w:w="1238" w:type="dxa"/>
          </w:tcPr>
          <w:p w14:paraId="2E5BF8B0"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[14.4, 19.7]</w:t>
            </w:r>
          </w:p>
        </w:tc>
        <w:tc>
          <w:tcPr>
            <w:tcW w:w="1144" w:type="dxa"/>
          </w:tcPr>
          <w:p w14:paraId="19605381"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[24.5, 35.2]</w:t>
            </w:r>
          </w:p>
        </w:tc>
      </w:tr>
      <w:tr w:rsidR="004E32FE" w14:paraId="0E2A90F9"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tcPr>
          <w:p w14:paraId="2DA1309B" w14:textId="77777777" w:rsidR="004E32FE" w:rsidRPr="004E32FE" w:rsidRDefault="004E32FE" w:rsidP="00AE1ADC">
            <w:pPr>
              <w:pStyle w:val="Tabletext0"/>
              <w:keepLines/>
              <w:widowControl w:val="0"/>
              <w:ind w:left="0"/>
              <w:rPr>
                <w:color w:val="auto"/>
              </w:rPr>
            </w:pPr>
          </w:p>
        </w:tc>
        <w:tc>
          <w:tcPr>
            <w:tcW w:w="1061" w:type="dxa"/>
            <w:vMerge/>
          </w:tcPr>
          <w:p w14:paraId="1BD28127"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p>
        </w:tc>
        <w:tc>
          <w:tcPr>
            <w:tcW w:w="1637" w:type="dxa"/>
            <w:vMerge w:val="restart"/>
          </w:tcPr>
          <w:p w14:paraId="75B17CA6" w14:textId="03CB9ADA"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vertAlign w:val="superscript"/>
              </w:rPr>
            </w:pPr>
            <w:r w:rsidRPr="004E32FE">
              <w:rPr>
                <w:color w:val="auto"/>
              </w:rPr>
              <w:t>Chemo</w:t>
            </w:r>
            <w:r w:rsidR="00A823D4">
              <w:rPr>
                <w:vertAlign w:val="superscript"/>
              </w:rPr>
              <w:t>13</w:t>
            </w:r>
          </w:p>
          <w:p w14:paraId="3507D116"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(n=281)</w:t>
            </w:r>
          </w:p>
        </w:tc>
        <w:tc>
          <w:tcPr>
            <w:tcW w:w="1093" w:type="dxa"/>
          </w:tcPr>
          <w:p w14:paraId="07ECF84F"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38.8</w:t>
            </w:r>
          </w:p>
        </w:tc>
        <w:tc>
          <w:tcPr>
            <w:tcW w:w="1291" w:type="dxa"/>
          </w:tcPr>
          <w:p w14:paraId="28FEB4D5"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4.9</w:t>
            </w:r>
          </w:p>
        </w:tc>
        <w:tc>
          <w:tcPr>
            <w:tcW w:w="1238" w:type="dxa"/>
          </w:tcPr>
          <w:p w14:paraId="4E6C29D1"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11.6</w:t>
            </w:r>
          </w:p>
        </w:tc>
        <w:tc>
          <w:tcPr>
            <w:tcW w:w="1144" w:type="dxa"/>
          </w:tcPr>
          <w:p w14:paraId="268D19FC"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rPr>
            </w:pPr>
            <w:r w:rsidRPr="004E32FE">
              <w:rPr>
                <w:color w:val="auto"/>
              </w:rPr>
              <w:t>18 (3-year)</w:t>
            </w:r>
          </w:p>
        </w:tc>
      </w:tr>
      <w:tr w:rsidR="004E32FE" w14:paraId="6CFB22DA" w14:textId="77777777" w:rsidTr="004E32FE">
        <w:tc>
          <w:tcPr>
            <w:cnfStyle w:val="001000000000" w:firstRow="0" w:lastRow="0" w:firstColumn="1" w:lastColumn="0" w:oddVBand="0" w:evenVBand="0" w:oddHBand="0" w:evenHBand="0" w:firstRowFirstColumn="0" w:firstRowLastColumn="0" w:lastRowFirstColumn="0" w:lastRowLastColumn="0"/>
            <w:tcW w:w="1596" w:type="dxa"/>
            <w:vMerge/>
          </w:tcPr>
          <w:p w14:paraId="12084B52" w14:textId="77777777" w:rsidR="004E32FE" w:rsidRPr="004E32FE" w:rsidRDefault="004E32FE" w:rsidP="00AE1ADC">
            <w:pPr>
              <w:pStyle w:val="Tabletext0"/>
              <w:keepLines/>
              <w:widowControl w:val="0"/>
              <w:ind w:left="0"/>
              <w:rPr>
                <w:color w:val="auto"/>
              </w:rPr>
            </w:pPr>
          </w:p>
        </w:tc>
        <w:tc>
          <w:tcPr>
            <w:tcW w:w="1061" w:type="dxa"/>
            <w:vMerge/>
          </w:tcPr>
          <w:p w14:paraId="633E385E" w14:textId="77777777" w:rsidR="004E32FE" w:rsidRPr="004E32FE" w:rsidRDefault="004E32FE" w:rsidP="00AE1ADC">
            <w:pPr>
              <w:pStyle w:val="Tabletext0"/>
              <w:keepLines/>
              <w:widowControl w:val="0"/>
              <w:ind w:left="0"/>
              <w:cnfStyle w:val="000000000000" w:firstRow="0" w:lastRow="0" w:firstColumn="0" w:lastColumn="0" w:oddVBand="0" w:evenVBand="0" w:oddHBand="0" w:evenHBand="0" w:firstRowFirstColumn="0" w:firstRowLastColumn="0" w:lastRowFirstColumn="0" w:lastRowLastColumn="0"/>
              <w:rPr>
                <w:color w:val="auto"/>
                <w:sz w:val="21"/>
              </w:rPr>
            </w:pPr>
          </w:p>
        </w:tc>
        <w:tc>
          <w:tcPr>
            <w:tcW w:w="1637" w:type="dxa"/>
            <w:vMerge/>
          </w:tcPr>
          <w:p w14:paraId="65055519"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p>
        </w:tc>
        <w:tc>
          <w:tcPr>
            <w:tcW w:w="1093" w:type="dxa"/>
          </w:tcPr>
          <w:p w14:paraId="189E8FF4"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[33.1, 44.8]</w:t>
            </w:r>
          </w:p>
        </w:tc>
        <w:tc>
          <w:tcPr>
            <w:tcW w:w="1291" w:type="dxa"/>
          </w:tcPr>
          <w:p w14:paraId="16053E63"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1.3+ to 44.8+</w:t>
            </w:r>
          </w:p>
        </w:tc>
        <w:tc>
          <w:tcPr>
            <w:tcW w:w="1238" w:type="dxa"/>
          </w:tcPr>
          <w:p w14:paraId="62371F06"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[10.1, 13.7]</w:t>
            </w:r>
          </w:p>
        </w:tc>
        <w:tc>
          <w:tcPr>
            <w:tcW w:w="1144" w:type="dxa"/>
          </w:tcPr>
          <w:p w14:paraId="77AE18D2" w14:textId="77777777" w:rsidR="004E32FE" w:rsidRPr="004E32FE" w:rsidRDefault="004E32FE" w:rsidP="00AE1ADC">
            <w:pPr>
              <w:pStyle w:val="Tabletext0"/>
              <w:keepLines/>
              <w:widowControl w:val="0"/>
              <w:ind w:left="0"/>
              <w:jc w:val="center"/>
              <w:cnfStyle w:val="000000000000" w:firstRow="0" w:lastRow="0" w:firstColumn="0" w:lastColumn="0" w:oddVBand="0" w:evenVBand="0" w:oddHBand="0" w:evenHBand="0" w:firstRowFirstColumn="0" w:firstRowLastColumn="0" w:lastRowFirstColumn="0" w:lastRowLastColumn="0"/>
              <w:rPr>
                <w:color w:val="auto"/>
                <w:sz w:val="16"/>
                <w:szCs w:val="18"/>
              </w:rPr>
            </w:pPr>
            <w:r w:rsidRPr="004E32FE">
              <w:rPr>
                <w:color w:val="auto"/>
                <w:sz w:val="16"/>
                <w:szCs w:val="18"/>
              </w:rPr>
              <w:t>[13.8, 23.0]</w:t>
            </w:r>
          </w:p>
        </w:tc>
      </w:tr>
    </w:tbl>
    <w:bookmarkEnd w:id="33"/>
    <w:p w14:paraId="418F80DB" w14:textId="77777777" w:rsidR="004E32FE" w:rsidRDefault="004E32FE" w:rsidP="004E32FE">
      <w:pPr>
        <w:pStyle w:val="TableDescription"/>
      </w:pPr>
      <w:r>
        <w:t xml:space="preserve">CI = confidence interval; DOR = duration of response; NR = not reached; NS = not stated; </w:t>
      </w:r>
      <w:proofErr w:type="spellStart"/>
      <w:r>
        <w:t>nsNSCLC</w:t>
      </w:r>
      <w:proofErr w:type="spellEnd"/>
      <w:r>
        <w:t xml:space="preserve"> = non-squamous </w:t>
      </w:r>
      <w:proofErr w:type="spellStart"/>
      <w:r>
        <w:t>non small</w:t>
      </w:r>
      <w:proofErr w:type="spellEnd"/>
      <w:r>
        <w:t xml:space="preserve"> cell lung cancer; ORR = objective response rate; OS = overall survival; </w:t>
      </w:r>
      <w:proofErr w:type="spellStart"/>
      <w:r>
        <w:t>sNSCLC</w:t>
      </w:r>
      <w:proofErr w:type="spellEnd"/>
      <w:r>
        <w:t xml:space="preserve"> = squamous </w:t>
      </w:r>
      <w:proofErr w:type="spellStart"/>
      <w:r>
        <w:t>non small</w:t>
      </w:r>
      <w:proofErr w:type="spellEnd"/>
      <w:r>
        <w:t xml:space="preserve"> cell lung cancer; + = ongoing response</w:t>
      </w:r>
    </w:p>
    <w:p w14:paraId="394F3849" w14:textId="6CA0EA8A" w:rsidR="00C83C50" w:rsidRDefault="004E32FE" w:rsidP="006B471E">
      <w:pPr>
        <w:pStyle w:val="TableDescription"/>
        <w:spacing w:before="0" w:after="0"/>
      </w:pPr>
      <w:bookmarkStart w:id="34" w:name="_Ref97212094"/>
      <w:r>
        <w:t xml:space="preserve">1 Updated </w:t>
      </w:r>
      <w:proofErr w:type="gramStart"/>
      <w:r>
        <w:t>findings</w:t>
      </w:r>
      <w:proofErr w:type="gramEnd"/>
      <w:r>
        <w:t xml:space="preserve"> from KEYNOTE-042</w:t>
      </w:r>
      <w:bookmarkEnd w:id="34"/>
      <w:r w:rsidR="00444E7C">
        <w:t>;</w:t>
      </w:r>
      <w:r w:rsidR="00444E7C">
        <w:rPr>
          <w:rStyle w:val="FootnoteReference"/>
        </w:rPr>
        <w:footnoteReference w:id="32"/>
      </w:r>
    </w:p>
    <w:p w14:paraId="2F2F237C" w14:textId="20160872" w:rsidR="00C83C50" w:rsidRDefault="004E32FE" w:rsidP="006B471E">
      <w:pPr>
        <w:pStyle w:val="TableDescription"/>
        <w:spacing w:before="0" w:after="0"/>
      </w:pPr>
      <w:bookmarkStart w:id="35" w:name="_Ref97216516"/>
      <w:bookmarkStart w:id="36" w:name="_Ref97212259"/>
      <w:r>
        <w:t>2 Updated findings from KEYNOTE-021</w:t>
      </w:r>
      <w:bookmarkEnd w:id="17"/>
      <w:bookmarkEnd w:id="18"/>
      <w:bookmarkEnd w:id="35"/>
      <w:bookmarkEnd w:id="36"/>
      <w:r w:rsidR="00444E7C">
        <w:t>;</w:t>
      </w:r>
      <w:r w:rsidR="00444E7C">
        <w:rPr>
          <w:rStyle w:val="FootnoteReference"/>
        </w:rPr>
        <w:footnoteReference w:id="33"/>
      </w:r>
    </w:p>
    <w:p w14:paraId="3E711327" w14:textId="6A66E3EE" w:rsidR="00C83C50" w:rsidRDefault="00C83C50" w:rsidP="006B471E">
      <w:pPr>
        <w:pStyle w:val="TableDescription"/>
        <w:spacing w:before="0" w:after="0"/>
      </w:pPr>
      <w:bookmarkStart w:id="37" w:name="_Ref97218010"/>
      <w:r>
        <w:t>3 Updated findings from KEYNOTE-189</w:t>
      </w:r>
      <w:bookmarkEnd w:id="37"/>
      <w:r w:rsidR="00444E7C">
        <w:t>;</w:t>
      </w:r>
      <w:r w:rsidR="00444E7C">
        <w:rPr>
          <w:rStyle w:val="FootnoteReference"/>
        </w:rPr>
        <w:footnoteReference w:id="34"/>
      </w:r>
    </w:p>
    <w:p w14:paraId="12F8A779" w14:textId="17E01A7C" w:rsidR="00C83C50" w:rsidRDefault="00C83C50" w:rsidP="006B471E">
      <w:pPr>
        <w:pStyle w:val="TableDescription"/>
        <w:spacing w:before="0" w:after="0"/>
      </w:pPr>
      <w:bookmarkStart w:id="38" w:name="_Ref97220539"/>
      <w:r>
        <w:t>4 Updated findings from KEYNOTE-407</w:t>
      </w:r>
      <w:bookmarkEnd w:id="38"/>
      <w:r w:rsidR="00444E7C">
        <w:t>;</w:t>
      </w:r>
      <w:r w:rsidR="00444E7C">
        <w:rPr>
          <w:rStyle w:val="FootnoteReference"/>
        </w:rPr>
        <w:footnoteReference w:id="35"/>
      </w:r>
    </w:p>
    <w:p w14:paraId="683D7A70" w14:textId="45DCCC61" w:rsidR="00C83C50" w:rsidRDefault="00C83C50" w:rsidP="006B471E">
      <w:pPr>
        <w:pStyle w:val="TableDescription"/>
        <w:spacing w:before="0" w:after="0"/>
      </w:pPr>
      <w:bookmarkStart w:id="39" w:name="_Ref97212119"/>
      <w:r>
        <w:t>5 Subgroup congruent with a randomisation stratum</w:t>
      </w:r>
      <w:bookmarkEnd w:id="39"/>
    </w:p>
    <w:p w14:paraId="198EFE58" w14:textId="14AD1F73" w:rsidR="00C83C50" w:rsidRPr="006B471E" w:rsidRDefault="00C83C50" w:rsidP="006B471E">
      <w:pPr>
        <w:pStyle w:val="TableDescription"/>
        <w:spacing w:before="0" w:after="0"/>
        <w:rPr>
          <w:szCs w:val="18"/>
        </w:rPr>
      </w:pPr>
      <w:bookmarkStart w:id="40" w:name="_Ref97212142"/>
      <w:r w:rsidRPr="006B471E">
        <w:rPr>
          <w:szCs w:val="18"/>
        </w:rPr>
        <w:t>6 Pembrolizumab monotherapy (200 mg every three weeks)</w:t>
      </w:r>
      <w:bookmarkEnd w:id="40"/>
    </w:p>
    <w:p w14:paraId="1DC03FC7" w14:textId="166874F3" w:rsidR="00C83C50" w:rsidRPr="006B471E" w:rsidRDefault="00C83C50" w:rsidP="006B471E">
      <w:pPr>
        <w:pStyle w:val="TableDescription"/>
        <w:spacing w:before="0" w:after="0"/>
        <w:rPr>
          <w:szCs w:val="18"/>
        </w:rPr>
      </w:pPr>
      <w:bookmarkStart w:id="41" w:name="_Ref97212157"/>
      <w:r w:rsidRPr="006B471E">
        <w:rPr>
          <w:szCs w:val="18"/>
        </w:rPr>
        <w:t>7 Investigator's choice of histology-directed, platinum-based chemotherapy for four to six cycles</w:t>
      </w:r>
      <w:bookmarkEnd w:id="41"/>
    </w:p>
    <w:p w14:paraId="735B658B" w14:textId="06D407DA" w:rsidR="00C83C50" w:rsidRPr="006B471E" w:rsidRDefault="00C83C50" w:rsidP="006B471E">
      <w:pPr>
        <w:pStyle w:val="TableDescription"/>
        <w:spacing w:before="0" w:after="0"/>
        <w:rPr>
          <w:szCs w:val="18"/>
        </w:rPr>
      </w:pPr>
      <w:bookmarkStart w:id="42" w:name="_Ref97216195"/>
      <w:bookmarkStart w:id="43" w:name="_Hlk97218285"/>
      <w:bookmarkStart w:id="44" w:name="_Ref97212846"/>
      <w:r w:rsidRPr="006B471E">
        <w:rPr>
          <w:szCs w:val="18"/>
        </w:rPr>
        <w:t>8 Pembrolizumab (200 mg pembrolizumab every three weeks [one cycle]) in combination with chemotherapy (4 cycles of carboplatin plus pemetrexed, then pemetrexed maintenance)</w:t>
      </w:r>
      <w:bookmarkEnd w:id="42"/>
    </w:p>
    <w:p w14:paraId="145384CD" w14:textId="544BA7E4" w:rsidR="00C83C50" w:rsidRPr="006B471E" w:rsidRDefault="00C83C50" w:rsidP="006B471E">
      <w:pPr>
        <w:pStyle w:val="TableDescription"/>
        <w:spacing w:before="0" w:after="0"/>
        <w:rPr>
          <w:szCs w:val="18"/>
        </w:rPr>
      </w:pPr>
      <w:bookmarkStart w:id="45" w:name="_Ref97216200"/>
      <w:bookmarkEnd w:id="43"/>
      <w:r w:rsidRPr="006B471E">
        <w:rPr>
          <w:szCs w:val="18"/>
        </w:rPr>
        <w:t>9 Chemotherapy alone (4 cycles of carboplatin plus pemetrexed, then pemetrexed maintenance)</w:t>
      </w:r>
      <w:bookmarkEnd w:id="45"/>
      <w:r w:rsidRPr="006B471E">
        <w:rPr>
          <w:szCs w:val="18"/>
        </w:rPr>
        <w:t>: 70% of patients in this arm subsequently received anti‒PD-(L)1 therapy</w:t>
      </w:r>
    </w:p>
    <w:p w14:paraId="631A7753" w14:textId="003E7492" w:rsidR="00C83C50" w:rsidRPr="006B471E" w:rsidRDefault="00C83C50" w:rsidP="006B471E">
      <w:pPr>
        <w:pStyle w:val="TableDescription"/>
        <w:spacing w:before="0" w:after="0"/>
        <w:rPr>
          <w:szCs w:val="18"/>
        </w:rPr>
      </w:pPr>
      <w:bookmarkStart w:id="46" w:name="_Ref97218390"/>
      <w:r w:rsidRPr="006B471E">
        <w:rPr>
          <w:szCs w:val="18"/>
        </w:rPr>
        <w:t>10 Pembrolizumab (200 mg pembrolizumab every three weeks [one cycle]) in combination with chemotherapy (4 cycles of cisplatin or carboplatin plus pemetrexed, then pemetrexed maintenance)</w:t>
      </w:r>
      <w:bookmarkEnd w:id="46"/>
    </w:p>
    <w:p w14:paraId="0960969A" w14:textId="4457BA90" w:rsidR="00C83C50" w:rsidRPr="006B471E" w:rsidRDefault="00C83C50" w:rsidP="006B471E">
      <w:pPr>
        <w:pStyle w:val="TableDescription"/>
        <w:spacing w:before="0" w:after="0"/>
        <w:rPr>
          <w:szCs w:val="18"/>
        </w:rPr>
      </w:pPr>
      <w:bookmarkStart w:id="47" w:name="_Ref97218395"/>
      <w:r w:rsidRPr="006B471E">
        <w:rPr>
          <w:szCs w:val="18"/>
        </w:rPr>
        <w:t>11 Chemotherapy alone (4 cycles of cisplatin or carboplatin plus pemetrexed, then pemetrexed maintenance): 56% of patients in this arm subsequently received anti‒PD-(L)1 therapy</w:t>
      </w:r>
      <w:bookmarkEnd w:id="47"/>
    </w:p>
    <w:p w14:paraId="597E578D" w14:textId="44342C34" w:rsidR="00C83C50" w:rsidRPr="006B471E" w:rsidRDefault="00C83C50" w:rsidP="006B471E">
      <w:pPr>
        <w:pStyle w:val="TableDescription"/>
        <w:spacing w:before="0" w:after="0"/>
        <w:rPr>
          <w:szCs w:val="18"/>
        </w:rPr>
      </w:pPr>
      <w:bookmarkStart w:id="48" w:name="_Ref97216228"/>
      <w:r w:rsidRPr="006B471E">
        <w:rPr>
          <w:szCs w:val="18"/>
        </w:rPr>
        <w:t>12 Pembrolizumab (200 mg pembrolizumab every three weeks [one cycle]) in combination with chemotherapy for 4 cycles (carboplatin plus either paclitaxel or nab–paclitaxel</w:t>
      </w:r>
      <w:bookmarkEnd w:id="44"/>
      <w:r w:rsidRPr="006B471E">
        <w:rPr>
          <w:szCs w:val="18"/>
        </w:rPr>
        <w:t>)</w:t>
      </w:r>
      <w:bookmarkEnd w:id="48"/>
    </w:p>
    <w:p w14:paraId="5EF1B29C" w14:textId="368F78DA" w:rsidR="00C83C50" w:rsidRPr="006B471E" w:rsidRDefault="00C83C50" w:rsidP="006B471E">
      <w:pPr>
        <w:pStyle w:val="TableDescription"/>
        <w:spacing w:before="0" w:after="0"/>
        <w:rPr>
          <w:szCs w:val="18"/>
        </w:rPr>
      </w:pPr>
      <w:bookmarkStart w:id="49" w:name="_Ref97216231"/>
      <w:r w:rsidRPr="006B471E">
        <w:rPr>
          <w:szCs w:val="18"/>
        </w:rPr>
        <w:t>13 Chemotherapy alone for 4 cycles (carboplatin plus either paclitaxel or nab–paclitaxel)</w:t>
      </w:r>
      <w:bookmarkEnd w:id="49"/>
    </w:p>
    <w:p w14:paraId="391C0369" w14:textId="77777777" w:rsidR="006B471E" w:rsidRDefault="006B471E" w:rsidP="006B471E">
      <w:pPr>
        <w:pStyle w:val="TableDescription"/>
        <w:spacing w:before="0" w:after="0"/>
      </w:pPr>
    </w:p>
    <w:p w14:paraId="0FB7ABD2" w14:textId="6AA0E880" w:rsidR="00C83C50" w:rsidRPr="004E32FE" w:rsidRDefault="00C83C50" w:rsidP="004E32FE">
      <w:r w:rsidRPr="004E32FE">
        <w:lastRenderedPageBreak/>
        <w:t xml:space="preserve">Where a NSCLC is found to harbour an </w:t>
      </w:r>
      <w:r w:rsidRPr="00E17E47">
        <w:rPr>
          <w:i/>
          <w:iCs/>
        </w:rPr>
        <w:t>EGFR</w:t>
      </w:r>
      <w:r w:rsidRPr="004E32FE">
        <w:t xml:space="preserve">m, choice of systemic treatment depends on the specific </w:t>
      </w:r>
      <w:r w:rsidRPr="00E17E47">
        <w:rPr>
          <w:i/>
          <w:iCs/>
        </w:rPr>
        <w:t>EGFR</w:t>
      </w:r>
      <w:r w:rsidRPr="004E32FE">
        <w:t>m.</w:t>
      </w:r>
      <w:r>
        <w:fldChar w:fldCharType="begin"/>
      </w:r>
      <w:r>
        <w:instrText xml:space="preserve"> NOTEREF _Ref139283800 \f \h </w:instrText>
      </w:r>
      <w:r>
        <w:fldChar w:fldCharType="separate"/>
      </w:r>
      <w:r w:rsidR="0006496E" w:rsidRPr="0006496E">
        <w:rPr>
          <w:rStyle w:val="FootnoteReference"/>
        </w:rPr>
        <w:t>24</w:t>
      </w:r>
      <w:r>
        <w:fldChar w:fldCharType="end"/>
      </w:r>
      <w:r w:rsidRPr="004E32FE">
        <w:t xml:space="preserve"> Four anti-EGFR tyrosine kinase inhibitors (EGFR TKIs) are currently registered in Australia for the treatment of NSCLC that harbours an </w:t>
      </w:r>
      <w:r w:rsidRPr="00E17E47">
        <w:rPr>
          <w:i/>
          <w:iCs/>
        </w:rPr>
        <w:t>EGFR</w:t>
      </w:r>
      <w:r w:rsidRPr="004E32FE">
        <w:t>m. These include ‘first generation,’ ATP-competitive inhibitors erlotinib</w:t>
      </w:r>
      <w:r>
        <w:t>;</w:t>
      </w:r>
      <w:r>
        <w:rPr>
          <w:rStyle w:val="FootnoteReference"/>
        </w:rPr>
        <w:footnoteReference w:id="36"/>
      </w:r>
      <w:r w:rsidRPr="004E32FE">
        <w:t xml:space="preserve"> and gefitinib;</w:t>
      </w:r>
      <w:r>
        <w:rPr>
          <w:rStyle w:val="FootnoteReference"/>
        </w:rPr>
        <w:footnoteReference w:id="37"/>
      </w:r>
      <w:r w:rsidRPr="004E32FE">
        <w:t xml:space="preserve"> the ‘second generation’ covalently-binding irreversible inhibitor, afatinib;</w:t>
      </w:r>
      <w:r>
        <w:rPr>
          <w:rStyle w:val="FootnoteReference"/>
        </w:rPr>
        <w:footnoteReference w:id="38"/>
      </w:r>
      <w:r w:rsidRPr="004E32FE">
        <w:t xml:space="preserve"> and the ‘third generation’ agent, </w:t>
      </w:r>
      <w:proofErr w:type="spellStart"/>
      <w:r w:rsidRPr="004E32FE">
        <w:t>osimertinib</w:t>
      </w:r>
      <w:proofErr w:type="spellEnd"/>
      <w:r w:rsidRPr="004E32FE">
        <w:t>.</w:t>
      </w:r>
      <w:r>
        <w:rPr>
          <w:rStyle w:val="FootnoteReference"/>
        </w:rPr>
        <w:footnoteReference w:id="39"/>
      </w:r>
      <w:r w:rsidRPr="004E32FE">
        <w:t xml:space="preserve"> The latter has activity against tumours expressing a mutation (T790M) that confers resistance to earlier generation EGFR TKIs.</w:t>
      </w:r>
      <w:r>
        <w:rPr>
          <w:rStyle w:val="FootnoteReference"/>
        </w:rPr>
        <w:footnoteReference w:id="40"/>
      </w:r>
      <w:r w:rsidRPr="004E32FE">
        <w:t xml:space="preserve"> There is strong evidence to support these agents in the treatment of classical </w:t>
      </w:r>
      <w:r w:rsidRPr="00E17E47">
        <w:rPr>
          <w:i/>
          <w:iCs/>
        </w:rPr>
        <w:t>EGFR</w:t>
      </w:r>
      <w:r w:rsidRPr="004E32FE">
        <w:t>m, as the pivotal studies predominantly (or entirely) enrolled such patients. Treatment of tumours harbouring some uncommon mutations (particularly S768I, L861Q and/or G719X mutations) is supported by limited published data.</w:t>
      </w:r>
      <w:r>
        <w:rPr>
          <w:rStyle w:val="FootnoteReference"/>
        </w:rPr>
        <w:footnoteReference w:id="41"/>
      </w:r>
      <w:r>
        <w:t>,</w:t>
      </w:r>
      <w:r>
        <w:rPr>
          <w:rStyle w:val="FootnoteReference"/>
        </w:rPr>
        <w:footnoteReference w:id="42"/>
      </w:r>
    </w:p>
    <w:p w14:paraId="14474406" w14:textId="4EDE18E5" w:rsidR="00C83C50" w:rsidRPr="004E32FE" w:rsidRDefault="00C83C50" w:rsidP="004E32FE">
      <w:r w:rsidRPr="004E32FE">
        <w:t xml:space="preserve">By contrast, the available data indicate that ex20ins mutations do not generally confer sensitivity to EGFR TKIs </w:t>
      </w:r>
      <w:r w:rsidRPr="00E17E47">
        <w:rPr>
          <w:i/>
          <w:iCs/>
        </w:rPr>
        <w:t>in vitro</w:t>
      </w:r>
      <w:r w:rsidRPr="004E32FE">
        <w:t xml:space="preserve"> or </w:t>
      </w:r>
      <w:r w:rsidRPr="00E17E47">
        <w:rPr>
          <w:i/>
          <w:iCs/>
        </w:rPr>
        <w:t>in vivo</w:t>
      </w:r>
      <w:bookmarkStart w:id="50" w:name="_Ref97038434"/>
      <w:r w:rsidRPr="004E32FE">
        <w:t>, though there are excep</w:t>
      </w:r>
      <w:bookmarkEnd w:id="50"/>
      <w:r w:rsidRPr="004E32FE">
        <w:t>tions such as p.A763_Y764insFQEA (and possibly p.A763_Y764insLQEA).</w:t>
      </w:r>
      <w:bookmarkStart w:id="51" w:name="_Ref141098305"/>
      <w:r>
        <w:rPr>
          <w:rStyle w:val="FootnoteReference"/>
        </w:rPr>
        <w:footnoteReference w:id="43"/>
      </w:r>
      <w:bookmarkEnd w:id="51"/>
      <w:r>
        <w:t>,</w:t>
      </w:r>
      <w:r>
        <w:rPr>
          <w:rStyle w:val="FootnoteReference"/>
        </w:rPr>
        <w:footnoteReference w:id="44"/>
      </w:r>
      <w:r w:rsidRPr="004E32FE">
        <w:t xml:space="preserve"> Therefore, although the registered indications for erlotinib, gefitinib, afatinib and </w:t>
      </w:r>
      <w:proofErr w:type="spellStart"/>
      <w:r w:rsidRPr="004E32FE">
        <w:t>osimertinib</w:t>
      </w:r>
      <w:proofErr w:type="spellEnd"/>
      <w:r w:rsidRPr="004E32FE">
        <w:t xml:space="preserve"> do not explicitly exclude treatment of ex20ins-positive tumours, such treatment would not generally be undertaken and patients with ex20ins-mutated NSCLC have been generally excluded from clinical trials of drugs targeting the classical </w:t>
      </w:r>
      <w:r w:rsidRPr="00E17E47">
        <w:rPr>
          <w:i/>
          <w:iCs/>
        </w:rPr>
        <w:t>EGFR</w:t>
      </w:r>
      <w:r w:rsidRPr="004E32FE">
        <w:t>m.</w:t>
      </w:r>
    </w:p>
    <w:p w14:paraId="0D095E85" w14:textId="627AF04D" w:rsidR="00C83C50" w:rsidRPr="004E32FE" w:rsidRDefault="00C83C50" w:rsidP="004E32FE">
      <w:r w:rsidRPr="004E32FE">
        <w:t>For patients with ex20ins-positive NSCLC, major clinical guidelines recommend the same standard-of-care first line treatment that is recommended for tumours without a targetable mutation, although this effectiveness of these treatments have not been specifically studied in this subpopulation.</w:t>
      </w:r>
      <w:r>
        <w:fldChar w:fldCharType="begin"/>
      </w:r>
      <w:r>
        <w:instrText xml:space="preserve"> NOTEREF _Ref139283800 \f \h </w:instrText>
      </w:r>
      <w:r>
        <w:fldChar w:fldCharType="separate"/>
      </w:r>
      <w:r w:rsidR="0006496E" w:rsidRPr="0006496E">
        <w:rPr>
          <w:rStyle w:val="FootnoteReference"/>
        </w:rPr>
        <w:t>24</w:t>
      </w:r>
      <w:r>
        <w:fldChar w:fldCharType="end"/>
      </w:r>
      <w:r w:rsidRPr="004E32FE">
        <w:t xml:space="preserve"> Whilst data are limited, first</w:t>
      </w:r>
      <w:r w:rsidR="00557B80">
        <w:t>-</w:t>
      </w:r>
      <w:r w:rsidRPr="004E32FE">
        <w:t xml:space="preserve">line studies of </w:t>
      </w:r>
      <w:r w:rsidR="00D5155A">
        <w:t xml:space="preserve">treatment with </w:t>
      </w:r>
      <w:r w:rsidRPr="004E32FE">
        <w:t>checkpoint</w:t>
      </w:r>
      <w:r w:rsidR="00D5155A">
        <w:t xml:space="preserve"> inhibitors </w:t>
      </w:r>
      <w:r w:rsidRPr="004E32FE">
        <w:t>plus</w:t>
      </w:r>
      <w:r w:rsidR="00D5155A">
        <w:t xml:space="preserve"> </w:t>
      </w:r>
      <w:r w:rsidRPr="004E32FE">
        <w:t xml:space="preserve">chemotherapy generally didn’t exclude ex20ins </w:t>
      </w:r>
      <w:r w:rsidRPr="00E17E47">
        <w:rPr>
          <w:i/>
          <w:iCs/>
        </w:rPr>
        <w:t>EGFR</w:t>
      </w:r>
      <w:r w:rsidRPr="004E32FE">
        <w:t xml:space="preserve"> mutated NSCLC (though they may have excluded common/sensitive mutations)</w:t>
      </w:r>
      <w:r>
        <w:t>.</w:t>
      </w:r>
      <w:r>
        <w:fldChar w:fldCharType="begin"/>
      </w:r>
      <w:r>
        <w:instrText xml:space="preserve"> NOTEREF _Ref139030832 \f \h </w:instrText>
      </w:r>
      <w:r>
        <w:fldChar w:fldCharType="separate"/>
      </w:r>
      <w:r w:rsidR="0006496E" w:rsidRPr="0006496E">
        <w:rPr>
          <w:rStyle w:val="FootnoteReference"/>
        </w:rPr>
        <w:t>76</w:t>
      </w:r>
      <w:r>
        <w:fldChar w:fldCharType="end"/>
      </w:r>
    </w:p>
    <w:p w14:paraId="3B7BBA9B" w14:textId="3CBA4753" w:rsidR="00C83C50" w:rsidRPr="004E32FE" w:rsidRDefault="00C83C50" w:rsidP="00C3481D">
      <w:pPr>
        <w:pageBreakBefore/>
      </w:pPr>
      <w:r w:rsidRPr="004E32FE">
        <w:lastRenderedPageBreak/>
        <w:t xml:space="preserve">Two small retrospective studies suggest that patients with NSCLC with </w:t>
      </w:r>
      <w:r w:rsidRPr="00E17E47">
        <w:rPr>
          <w:i/>
          <w:iCs/>
        </w:rPr>
        <w:t>EGFR</w:t>
      </w:r>
      <w:r w:rsidRPr="004E32FE">
        <w:t xml:space="preserve"> ex20ins mutations treated with immune checkpoint inhibitors have outcomes </w:t>
      </w:r>
      <w:proofErr w:type="gramStart"/>
      <w:r w:rsidRPr="004E32FE">
        <w:t>similar to</w:t>
      </w:r>
      <w:proofErr w:type="gramEnd"/>
      <w:r w:rsidRPr="004E32FE">
        <w:t xml:space="preserve"> wild</w:t>
      </w:r>
      <w:r w:rsidR="00557B80">
        <w:t>-</w:t>
      </w:r>
      <w:r w:rsidRPr="004E32FE">
        <w:t>type historical controls and superior to those reported for patients with NSCLC harbouring the more common EGFR mutations.</w:t>
      </w:r>
      <w:r>
        <w:fldChar w:fldCharType="begin"/>
      </w:r>
      <w:r>
        <w:instrText xml:space="preserve"> NOTEREF _Ref139030832 \f \h </w:instrText>
      </w:r>
      <w:r>
        <w:fldChar w:fldCharType="separate"/>
      </w:r>
      <w:r w:rsidR="0006496E" w:rsidRPr="0006496E">
        <w:rPr>
          <w:rStyle w:val="FootnoteReference"/>
        </w:rPr>
        <w:t>76</w:t>
      </w:r>
      <w:r>
        <w:fldChar w:fldCharType="end"/>
      </w:r>
      <w:r>
        <w:t>,</w:t>
      </w:r>
      <w:r>
        <w:rPr>
          <w:rStyle w:val="FootnoteReference"/>
        </w:rPr>
        <w:footnoteReference w:id="45"/>
      </w:r>
      <w:r>
        <w:t>,</w:t>
      </w:r>
      <w:r>
        <w:rPr>
          <w:rStyle w:val="FootnoteReference"/>
        </w:rPr>
        <w:footnoteReference w:id="46"/>
      </w:r>
    </w:p>
    <w:p w14:paraId="14B29F2F" w14:textId="77777777" w:rsidR="00C83C50" w:rsidRPr="008B3A54" w:rsidRDefault="00C83C50" w:rsidP="008B3A54">
      <w:pPr>
        <w:pStyle w:val="Heading6"/>
      </w:pPr>
      <w:r w:rsidRPr="008B3A54">
        <w:t>Second line of therapy</w:t>
      </w:r>
    </w:p>
    <w:p w14:paraId="23917D82" w14:textId="4E597726" w:rsidR="00C83C50" w:rsidRPr="008B3A54" w:rsidRDefault="00C83C50" w:rsidP="008B3A54">
      <w:r w:rsidRPr="008B3A54">
        <w:t xml:space="preserve">Until very recently, for patients with ex20ins-positive NSCLC with progression of disease following platinum-based chemotherapy, treatment options in Australia reflected </w:t>
      </w:r>
      <w:bookmarkStart w:id="52" w:name="_Ref102395430"/>
      <w:r w:rsidRPr="008B3A54">
        <w:t>options in the USA:</w:t>
      </w:r>
      <w:bookmarkStart w:id="53" w:name="_Ref139375286"/>
      <w:bookmarkEnd w:id="52"/>
      <w:r>
        <w:rPr>
          <w:rStyle w:val="FootnoteReference"/>
        </w:rPr>
        <w:footnoteReference w:id="47"/>
      </w:r>
      <w:bookmarkEnd w:id="53"/>
    </w:p>
    <w:p w14:paraId="1F8896E1" w14:textId="43ED887C" w:rsidR="00C83C50" w:rsidRPr="008E1D53" w:rsidRDefault="00C83C50" w:rsidP="008B3A54">
      <w:pPr>
        <w:ind w:left="720"/>
      </w:pPr>
      <w:r>
        <w:t>‘</w:t>
      </w:r>
      <w:r w:rsidRPr="008E1D53">
        <w:t xml:space="preserve">…treatment options include chemotherapy (single agent or docetaxel in combination with ramucirumab) associated with ORRs of 6-23% with median DORs in the range of 4-9 months, or single agent anti-PD-(L)1 antibodies if not received in the </w:t>
      </w:r>
      <w:proofErr w:type="gramStart"/>
      <w:r w:rsidRPr="008E1D53">
        <w:t>first-line</w:t>
      </w:r>
      <w:proofErr w:type="gramEnd"/>
      <w:r w:rsidRPr="008E1D53">
        <w:t xml:space="preserve"> setting, associated with ORRs of 14-20% and median DORs in the range of 16-17 months.</w:t>
      </w:r>
      <w:r>
        <w:t>’</w:t>
      </w:r>
    </w:p>
    <w:p w14:paraId="5611077C" w14:textId="5E672E2A" w:rsidR="00C83C50" w:rsidRPr="008B3A54" w:rsidRDefault="00C83C50" w:rsidP="008B3A54">
      <w:r w:rsidRPr="008B3A54">
        <w:t>Detailed tables summarising these standard</w:t>
      </w:r>
      <w:r w:rsidR="002715E6">
        <w:t>-</w:t>
      </w:r>
      <w:r w:rsidRPr="008B3A54">
        <w:t>of</w:t>
      </w:r>
      <w:r w:rsidR="002715E6">
        <w:t>-</w:t>
      </w:r>
      <w:r w:rsidRPr="008B3A54">
        <w:t xml:space="preserve">care options, including references, are contained in the publicly available </w:t>
      </w:r>
      <w:r w:rsidR="00557B80">
        <w:t>multidisciplinary review (</w:t>
      </w:r>
      <w:r w:rsidRPr="008B3A54">
        <w:t>MDR</w:t>
      </w:r>
      <w:r w:rsidR="00557B80">
        <w:t>)</w:t>
      </w:r>
      <w:r w:rsidRPr="008B3A54">
        <w:t xml:space="preserve"> for </w:t>
      </w:r>
      <w:proofErr w:type="spellStart"/>
      <w:r w:rsidRPr="008B3A54">
        <w:t>mobocertinib</w:t>
      </w:r>
      <w:proofErr w:type="spellEnd"/>
      <w:r w:rsidR="002C33D7" w:rsidRPr="002C33D7">
        <w:t xml:space="preserve"> </w:t>
      </w:r>
      <w:r w:rsidR="002C33D7">
        <w:t>published by the United Stated of America</w:t>
      </w:r>
      <w:r w:rsidR="00E945AB">
        <w:t xml:space="preserve"> (USA) Food and Drug Administration (</w:t>
      </w:r>
      <w:r w:rsidR="002C33D7" w:rsidRPr="008B3A54">
        <w:t>FDA</w:t>
      </w:r>
      <w:r w:rsidR="00E945AB">
        <w:t>)</w:t>
      </w:r>
      <w:r w:rsidRPr="008B3A54">
        <w:t>.</w:t>
      </w:r>
      <w:r>
        <w:fldChar w:fldCharType="begin"/>
      </w:r>
      <w:r>
        <w:instrText xml:space="preserve"> NOTEREF _Ref139375286 \f \h </w:instrText>
      </w:r>
      <w:r>
        <w:fldChar w:fldCharType="separate"/>
      </w:r>
      <w:r w:rsidR="0006496E" w:rsidRPr="0006496E">
        <w:rPr>
          <w:rStyle w:val="FootnoteReference"/>
        </w:rPr>
        <w:t>47</w:t>
      </w:r>
      <w:r>
        <w:fldChar w:fldCharType="end"/>
      </w:r>
    </w:p>
    <w:p w14:paraId="66590067" w14:textId="68C3A580" w:rsidR="00C83C50" w:rsidRPr="008B3A54" w:rsidRDefault="00C83C50" w:rsidP="008B3A54">
      <w:r w:rsidRPr="008B3A54">
        <w:t xml:space="preserve">For patients with ex20ins-positive NSCLC, the current </w:t>
      </w:r>
      <w:r w:rsidRPr="0050783A">
        <w:t xml:space="preserve">National Comprehensive Cancer Network </w:t>
      </w:r>
      <w:r>
        <w:t>(</w:t>
      </w:r>
      <w:r w:rsidRPr="008B3A54">
        <w:t>NCCN</w:t>
      </w:r>
      <w:r>
        <w:t>)</w:t>
      </w:r>
      <w:r w:rsidRPr="008B3A54">
        <w:t xml:space="preserve"> guideline</w:t>
      </w:r>
      <w:r>
        <w:t>;</w:t>
      </w:r>
      <w:r>
        <w:fldChar w:fldCharType="begin"/>
      </w:r>
      <w:r>
        <w:instrText xml:space="preserve"> NOTEREF _Ref139283800 \f \h </w:instrText>
      </w:r>
      <w:r>
        <w:fldChar w:fldCharType="separate"/>
      </w:r>
      <w:r w:rsidR="0006496E" w:rsidRPr="0006496E">
        <w:rPr>
          <w:rStyle w:val="FootnoteReference"/>
        </w:rPr>
        <w:t>24</w:t>
      </w:r>
      <w:r>
        <w:fldChar w:fldCharType="end"/>
      </w:r>
      <w:r>
        <w:t xml:space="preserve"> </w:t>
      </w:r>
      <w:r w:rsidRPr="008B3A54">
        <w:t>recommends consideration of an ex20ins</w:t>
      </w:r>
      <w:r>
        <w:t xml:space="preserve"> </w:t>
      </w:r>
      <w:r w:rsidRPr="008B3A54">
        <w:t>specific molecule (</w:t>
      </w:r>
      <w:proofErr w:type="spellStart"/>
      <w:r w:rsidRPr="008B3A54">
        <w:t>amivantamab</w:t>
      </w:r>
      <w:proofErr w:type="spellEnd"/>
      <w:r w:rsidRPr="008B3A54">
        <w:t xml:space="preserve"> or </w:t>
      </w:r>
      <w:proofErr w:type="spellStart"/>
      <w:r w:rsidRPr="008B3A54">
        <w:t>mobocertinib</w:t>
      </w:r>
      <w:proofErr w:type="spellEnd"/>
      <w:r w:rsidRPr="008B3A54">
        <w:t>) on progression, based on durable responses in early phase studies.</w:t>
      </w:r>
      <w:r>
        <w:rPr>
          <w:rStyle w:val="FootnoteReference"/>
        </w:rPr>
        <w:footnoteReference w:id="48"/>
      </w:r>
      <w:r>
        <w:t>,</w:t>
      </w:r>
      <w:r>
        <w:rPr>
          <w:rStyle w:val="FootnoteReference"/>
        </w:rPr>
        <w:footnoteReference w:id="49"/>
      </w:r>
      <w:r w:rsidRPr="008B3A54">
        <w:t xml:space="preserve"> </w:t>
      </w:r>
      <w:proofErr w:type="spellStart"/>
      <w:r w:rsidRPr="008B3A54">
        <w:t>Amivantamab</w:t>
      </w:r>
      <w:proofErr w:type="spellEnd"/>
      <w:r w:rsidRPr="008B3A54">
        <w:t xml:space="preserve"> registration is the subject of the current application.</w:t>
      </w:r>
    </w:p>
    <w:p w14:paraId="7F715FE2" w14:textId="7F915DA1" w:rsidR="00C83C50" w:rsidRPr="0059317A" w:rsidRDefault="00C83C50" w:rsidP="0059317A">
      <w:r w:rsidRPr="0059317A">
        <w:t>The primary efficacy population from the pivotal study (see</w:t>
      </w:r>
      <w:r>
        <w:t xml:space="preserve"> </w:t>
      </w:r>
      <w:r>
        <w:rPr>
          <w:highlight w:val="yellow"/>
        </w:rPr>
        <w:fldChar w:fldCharType="begin"/>
      </w:r>
      <w:r>
        <w:instrText xml:space="preserve"> REF _Ref141089608 \h </w:instrText>
      </w:r>
      <w:r>
        <w:rPr>
          <w:highlight w:val="yellow"/>
        </w:rPr>
      </w:r>
      <w:r>
        <w:rPr>
          <w:highlight w:val="yellow"/>
        </w:rPr>
        <w:fldChar w:fldCharType="separate"/>
      </w:r>
      <w:r w:rsidR="0006496E">
        <w:t>Pivotal study – CHRYSALIS trial</w:t>
      </w:r>
      <w:r>
        <w:rPr>
          <w:highlight w:val="yellow"/>
        </w:rPr>
        <w:fldChar w:fldCharType="end"/>
      </w:r>
      <w:r w:rsidRPr="0059317A">
        <w:t>) comprised patients who had all received prior platinum-based chemotherapy for advanced NSCLC. During the course of the study, the standard</w:t>
      </w:r>
      <w:r w:rsidR="002715E6">
        <w:t>-</w:t>
      </w:r>
      <w:r w:rsidRPr="0059317A">
        <w:t>of</w:t>
      </w:r>
      <w:r w:rsidR="002715E6">
        <w:t>-</w:t>
      </w:r>
      <w:r w:rsidRPr="0059317A">
        <w:t>care</w:t>
      </w:r>
      <w:r w:rsidR="002715E6">
        <w:t>,</w:t>
      </w:r>
      <w:r w:rsidRPr="0059317A">
        <w:t xml:space="preserve"> first</w:t>
      </w:r>
      <w:r w:rsidR="002715E6">
        <w:t>-</w:t>
      </w:r>
      <w:r w:rsidRPr="0059317A">
        <w:t>line</w:t>
      </w:r>
      <w:r w:rsidR="002715E6">
        <w:t>,</w:t>
      </w:r>
      <w:r w:rsidRPr="0059317A">
        <w:t xml:space="preserve"> non-targeted treatment for NSCLC changed from (histology</w:t>
      </w:r>
      <w:r w:rsidR="002715E6">
        <w:t>-</w:t>
      </w:r>
      <w:r w:rsidRPr="0059317A">
        <w:t>directed) platinum</w:t>
      </w:r>
      <w:r w:rsidR="002715E6">
        <w:t>-</w:t>
      </w:r>
      <w:r w:rsidRPr="0059317A">
        <w:t xml:space="preserve">based chemotherapy alone to </w:t>
      </w:r>
      <w:proofErr w:type="gramStart"/>
      <w:r w:rsidRPr="0059317A">
        <w:t>platinum</w:t>
      </w:r>
      <w:r>
        <w:t xml:space="preserve"> </w:t>
      </w:r>
      <w:r w:rsidRPr="0059317A">
        <w:t>based</w:t>
      </w:r>
      <w:proofErr w:type="gramEnd"/>
      <w:r w:rsidRPr="0059317A">
        <w:t xml:space="preserve"> chemotherapy plus immunotherapy. A considerable proportion of patients (46%) in CHRYSALIS</w:t>
      </w:r>
      <w:r>
        <w:t xml:space="preserve"> trial</w:t>
      </w:r>
      <w:r w:rsidRPr="0059317A">
        <w:t xml:space="preserve"> had received prior immunotherapy, though it was not reported for how many patients this was in the context of a first-line immunotherapy/chemotherapy combination. Results in this subgroup were consistent with the primary analysis </w:t>
      </w:r>
      <w:r>
        <w:t xml:space="preserve">(see </w:t>
      </w:r>
      <w:r>
        <w:fldChar w:fldCharType="begin"/>
      </w:r>
      <w:r>
        <w:instrText xml:space="preserve"> REF _Ref140750177 \h </w:instrText>
      </w:r>
      <w:r>
        <w:fldChar w:fldCharType="separate"/>
      </w:r>
      <w:r w:rsidR="0006496E" w:rsidRPr="007F05C8">
        <w:t xml:space="preserve">Figure </w:t>
      </w:r>
      <w:r w:rsidR="0006496E">
        <w:rPr>
          <w:noProof/>
        </w:rPr>
        <w:t>9</w:t>
      </w:r>
      <w:r>
        <w:fldChar w:fldCharType="end"/>
      </w:r>
      <w:r w:rsidRPr="0059317A">
        <w:t>).</w:t>
      </w:r>
    </w:p>
    <w:p w14:paraId="23CB89F3" w14:textId="6B8A3AEE" w:rsidR="00C83C50" w:rsidRPr="0059317A" w:rsidRDefault="00C83C50" w:rsidP="0059317A">
      <w:pPr>
        <w:pStyle w:val="Heading6"/>
      </w:pPr>
      <w:r w:rsidRPr="0059317A">
        <w:t xml:space="preserve">Resistance of ex20ins mutations to </w:t>
      </w:r>
      <w:r>
        <w:t>first to third</w:t>
      </w:r>
      <w:r w:rsidRPr="0059317A">
        <w:t xml:space="preserve"> generation anti-EGFR </w:t>
      </w:r>
      <w:r>
        <w:t>tyrosine kinase inhibitors</w:t>
      </w:r>
    </w:p>
    <w:p w14:paraId="5277E23A" w14:textId="07D41C82" w:rsidR="00C83C50" w:rsidRPr="0059317A" w:rsidRDefault="00C83C50" w:rsidP="0059317A">
      <w:r w:rsidRPr="0059317A">
        <w:t>Structural differences between the mutant versions of the expressed EGFR protein underpin their differing responses to small molecule inhibitors (</w:t>
      </w:r>
      <w:r>
        <w:t xml:space="preserve">see </w:t>
      </w:r>
      <w:r w:rsidR="00FB294F">
        <w:t>“</w:t>
      </w:r>
      <w:r>
        <w:rPr>
          <w:highlight w:val="yellow"/>
        </w:rPr>
        <w:fldChar w:fldCharType="begin"/>
      </w:r>
      <w:r>
        <w:instrText xml:space="preserve"> REF _Ref97028943 \h </w:instrText>
      </w:r>
      <w:r>
        <w:rPr>
          <w:highlight w:val="yellow"/>
        </w:rPr>
      </w:r>
      <w:r>
        <w:rPr>
          <w:highlight w:val="yellow"/>
        </w:rPr>
        <w:fldChar w:fldCharType="separate"/>
      </w:r>
      <w:r w:rsidR="0006496E" w:rsidRPr="009836EF">
        <w:t>Current treatment options</w:t>
      </w:r>
      <w:r>
        <w:rPr>
          <w:highlight w:val="yellow"/>
        </w:rPr>
        <w:fldChar w:fldCharType="end"/>
      </w:r>
      <w:r w:rsidR="00FB294F">
        <w:t>”</w:t>
      </w:r>
      <w:r>
        <w:t>)</w:t>
      </w:r>
      <w:r w:rsidRPr="0059317A">
        <w:t>.</w:t>
      </w:r>
      <w:r>
        <w:rPr>
          <w:rStyle w:val="FootnoteReference"/>
        </w:rPr>
        <w:footnoteReference w:id="50"/>
      </w:r>
    </w:p>
    <w:p w14:paraId="5C2EB8B0" w14:textId="42F6FD95" w:rsidR="00C83C50" w:rsidRPr="0059317A" w:rsidRDefault="00C83C50" w:rsidP="0059317A">
      <w:r w:rsidRPr="0059317A">
        <w:lastRenderedPageBreak/>
        <w:t>In the wild</w:t>
      </w:r>
      <w:r w:rsidR="00D5155A">
        <w:t>-</w:t>
      </w:r>
      <w:r w:rsidRPr="0059317A">
        <w:t xml:space="preserve">type receptor, a key structural element called the C-helix regulates receptor activity. When rotated from an outward to an inward position, the C-helix </w:t>
      </w:r>
      <w:proofErr w:type="gramStart"/>
      <w:r w:rsidRPr="0059317A">
        <w:t>opens up</w:t>
      </w:r>
      <w:proofErr w:type="gramEnd"/>
      <w:r w:rsidRPr="0059317A">
        <w:t xml:space="preserve"> the active site and allows stable </w:t>
      </w:r>
      <w:proofErr w:type="spellStart"/>
      <w:r w:rsidRPr="0059317A">
        <w:t>dimerisation</w:t>
      </w:r>
      <w:proofErr w:type="spellEnd"/>
      <w:r w:rsidRPr="0059317A">
        <w:t xml:space="preserve"> to occur (</w:t>
      </w:r>
      <w:r>
        <w:t xml:space="preserve">see </w:t>
      </w:r>
      <w:r>
        <w:fldChar w:fldCharType="begin"/>
      </w:r>
      <w:r>
        <w:instrText xml:space="preserve"> REF _Ref139623533 \h </w:instrText>
      </w:r>
      <w:r>
        <w:fldChar w:fldCharType="separate"/>
      </w:r>
      <w:r w:rsidR="0006496E" w:rsidRPr="0059317A">
        <w:t xml:space="preserve">Figure </w:t>
      </w:r>
      <w:r w:rsidR="0006496E">
        <w:rPr>
          <w:noProof/>
        </w:rPr>
        <w:t>3</w:t>
      </w:r>
      <w:r>
        <w:fldChar w:fldCharType="end"/>
      </w:r>
      <w:r>
        <w:t>)</w:t>
      </w:r>
      <w:r w:rsidRPr="0059317A">
        <w:t>.</w:t>
      </w:r>
      <w:r>
        <w:rPr>
          <w:rStyle w:val="FootnoteReference"/>
        </w:rPr>
        <w:footnoteReference w:id="51"/>
      </w:r>
    </w:p>
    <w:p w14:paraId="266638FF" w14:textId="250AE157" w:rsidR="00C83C50" w:rsidRDefault="00C83C50" w:rsidP="0059317A">
      <w:pPr>
        <w:pStyle w:val="FigureTitle"/>
      </w:pPr>
      <w:bookmarkStart w:id="54" w:name="_Ref139623533"/>
      <w:r w:rsidRPr="0059317A">
        <w:t xml:space="preserve">Figure </w:t>
      </w:r>
      <w:r w:rsidR="00C3481D">
        <w:fldChar w:fldCharType="begin"/>
      </w:r>
      <w:r w:rsidR="00C3481D">
        <w:instrText xml:space="preserve"> SEQ Figure \* ARABIC </w:instrText>
      </w:r>
      <w:r w:rsidR="00C3481D">
        <w:fldChar w:fldCharType="separate"/>
      </w:r>
      <w:r w:rsidR="0006496E">
        <w:rPr>
          <w:noProof/>
        </w:rPr>
        <w:t>3</w:t>
      </w:r>
      <w:r w:rsidR="00C3481D">
        <w:rPr>
          <w:noProof/>
        </w:rPr>
        <w:fldChar w:fldCharType="end"/>
      </w:r>
      <w:bookmarkEnd w:id="54"/>
      <w:r w:rsidRPr="0059317A">
        <w:t>:</w:t>
      </w:r>
      <w:r>
        <w:t xml:space="preserve"> </w:t>
      </w:r>
      <w:r w:rsidRPr="0059317A">
        <w:t>Illustration of the conformational change that occurs in wild</w:t>
      </w:r>
      <w:r>
        <w:t xml:space="preserve"> </w:t>
      </w:r>
      <w:r w:rsidRPr="0059317A">
        <w:t xml:space="preserve">type </w:t>
      </w:r>
      <w:r>
        <w:rPr>
          <w:szCs w:val="22"/>
        </w:rPr>
        <w:t>e</w:t>
      </w:r>
      <w:r w:rsidRPr="004638AC">
        <w:rPr>
          <w:szCs w:val="22"/>
        </w:rPr>
        <w:t>pidermal-growth factor receptor</w:t>
      </w:r>
      <w:r w:rsidRPr="0059317A">
        <w:t xml:space="preserve"> between the active and inactive receptor state, and the effects of deletion mutations in exon 19 or insertion mutations in exon 20</w:t>
      </w:r>
    </w:p>
    <w:p w14:paraId="11316A10" w14:textId="6322BA76" w:rsidR="00C83C50" w:rsidRDefault="00C83C50" w:rsidP="0059317A">
      <w:r>
        <w:rPr>
          <w:noProof/>
        </w:rPr>
        <w:drawing>
          <wp:inline distT="0" distB="0" distL="0" distR="0" wp14:anchorId="45600BA3" wp14:editId="44F545CF">
            <wp:extent cx="5731510" cy="1742440"/>
            <wp:effectExtent l="0" t="0" r="2540" b="0"/>
            <wp:docPr id="21" name="Picture 21" descr="Illustration of the conformational change that occurs in wild type epidermal-growth factor receptor between the active and inactive receptor state, and the effects of deletion mutations in exon 19 or insertion mutations in exo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llustration of the conformational change that occurs in wild type epidermal-growth factor receptor between the active and inactive receptor state, and the effects of deletion mutations in exon 19 or insertion mutations in exon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76"/>
                    <a:stretch/>
                  </pic:blipFill>
                  <pic:spPr bwMode="auto">
                    <a:xfrm>
                      <a:off x="0" y="0"/>
                      <a:ext cx="5731510" cy="1742440"/>
                    </a:xfrm>
                    <a:prstGeom prst="rect">
                      <a:avLst/>
                    </a:prstGeom>
                    <a:noFill/>
                    <a:ln>
                      <a:noFill/>
                    </a:ln>
                    <a:extLst>
                      <a:ext uri="{53640926-AAD7-44D8-BBD7-CCE9431645EC}">
                        <a14:shadowObscured xmlns:a14="http://schemas.microsoft.com/office/drawing/2010/main"/>
                      </a:ext>
                    </a:extLst>
                  </pic:spPr>
                </pic:pic>
              </a:graphicData>
            </a:graphic>
          </wp:inline>
        </w:drawing>
      </w:r>
    </w:p>
    <w:p w14:paraId="46583215" w14:textId="1294BDC5" w:rsidR="00C83C50" w:rsidRDefault="00C83C50" w:rsidP="0059317A">
      <w:pPr>
        <w:pStyle w:val="FigureDescription"/>
      </w:pPr>
      <w:r>
        <w:t xml:space="preserve">Source: </w:t>
      </w:r>
      <w:proofErr w:type="spellStart"/>
      <w:r w:rsidRPr="0059317A">
        <w:t>Vyse</w:t>
      </w:r>
      <w:proofErr w:type="spellEnd"/>
      <w:r w:rsidRPr="0059317A">
        <w:t>, S</w:t>
      </w:r>
      <w:r>
        <w:t>, et al</w:t>
      </w:r>
      <w:r w:rsidRPr="0059317A">
        <w:t>.</w:t>
      </w:r>
      <w:r>
        <w:t xml:space="preserve"> </w:t>
      </w:r>
      <w:r w:rsidRPr="0059317A">
        <w:t>(2019)</w:t>
      </w:r>
      <w:bookmarkStart w:id="55" w:name="_Ref139618781"/>
      <w:r>
        <w:rPr>
          <w:rStyle w:val="FootnoteReference"/>
        </w:rPr>
        <w:footnoteReference w:id="52"/>
      </w:r>
      <w:bookmarkEnd w:id="55"/>
    </w:p>
    <w:p w14:paraId="31B847E5" w14:textId="09353BE3" w:rsidR="00C83C50" w:rsidRDefault="00C83C50" w:rsidP="0059317A">
      <w:r>
        <w:t xml:space="preserve">The classical </w:t>
      </w:r>
      <w:r w:rsidRPr="0050783A">
        <w:rPr>
          <w:i/>
          <w:iCs/>
        </w:rPr>
        <w:t>EGFR</w:t>
      </w:r>
      <w:r>
        <w:t xml:space="preserve">m cause destabilising conformational changes in the EGFR that allow ligand-independent </w:t>
      </w:r>
      <w:proofErr w:type="spellStart"/>
      <w:r>
        <w:t>dimerisation</w:t>
      </w:r>
      <w:proofErr w:type="spellEnd"/>
      <w:r>
        <w:t>, and constitutive activation of downstream signalling pathways.</w:t>
      </w:r>
      <w:r>
        <w:rPr>
          <w:vertAlign w:val="superscript"/>
        </w:rPr>
        <w:fldChar w:fldCharType="begin"/>
      </w:r>
      <w:r>
        <w:instrText xml:space="preserve"> NOTEREF _Ref139618781 \f \h </w:instrText>
      </w:r>
      <w:r>
        <w:rPr>
          <w:vertAlign w:val="superscript"/>
        </w:rPr>
      </w:r>
      <w:r>
        <w:rPr>
          <w:vertAlign w:val="superscript"/>
        </w:rPr>
        <w:fldChar w:fldCharType="separate"/>
      </w:r>
      <w:r w:rsidR="0006496E" w:rsidRPr="0006496E">
        <w:rPr>
          <w:rStyle w:val="FootnoteReference"/>
        </w:rPr>
        <w:t>52</w:t>
      </w:r>
      <w:r>
        <w:rPr>
          <w:vertAlign w:val="superscript"/>
        </w:rPr>
        <w:fldChar w:fldCharType="end"/>
      </w:r>
      <w:r>
        <w:t xml:space="preserve"> Affected cells display sensitivity to EGFR inhibition consistent with an ‘oncogene addiction’ type dependency on such signalling for survival.</w:t>
      </w:r>
      <w:r>
        <w:rPr>
          <w:rStyle w:val="FootnoteReference"/>
        </w:rPr>
        <w:footnoteReference w:id="53"/>
      </w:r>
      <w:r>
        <w:t xml:space="preserve"> Deletions in exon 19, for example, shorten the N-terminal loop leading to the C-helix, and are hypothesised to ‘pull’ on it, restricting its ability to rotate outward, and </w:t>
      </w:r>
      <w:r w:rsidRPr="002A7BFD">
        <w:t xml:space="preserve">promoting constitutive </w:t>
      </w:r>
      <w:r>
        <w:t>EGFR</w:t>
      </w:r>
      <w:r w:rsidRPr="002A7BFD">
        <w:t xml:space="preserve"> activation</w:t>
      </w:r>
      <w:r>
        <w:t>.</w:t>
      </w:r>
      <w:r>
        <w:fldChar w:fldCharType="begin"/>
      </w:r>
      <w:r>
        <w:instrText xml:space="preserve"> NOTEREF _Ref139618781 \f \h </w:instrText>
      </w:r>
      <w:r>
        <w:fldChar w:fldCharType="separate"/>
      </w:r>
      <w:r w:rsidR="0006496E" w:rsidRPr="0006496E">
        <w:rPr>
          <w:rStyle w:val="FootnoteReference"/>
        </w:rPr>
        <w:t>52</w:t>
      </w:r>
      <w:r>
        <w:fldChar w:fldCharType="end"/>
      </w:r>
      <w:r>
        <w:t xml:space="preserve"> The classical </w:t>
      </w:r>
      <w:r w:rsidRPr="00500206">
        <w:rPr>
          <w:i/>
          <w:iCs/>
        </w:rPr>
        <w:t>EGFR</w:t>
      </w:r>
      <w:r>
        <w:t>m also cause reduced affinity for ATP at its binding site, where it would otherwise compete with the first-generation EGFR TKIs.</w:t>
      </w:r>
      <w:r>
        <w:rPr>
          <w:rStyle w:val="FootnoteReference"/>
        </w:rPr>
        <w:footnoteReference w:id="54"/>
      </w:r>
      <w:r>
        <w:t xml:space="preserve"> A combination of these two effects is likely responsible for the sensitivity of classical </w:t>
      </w:r>
      <w:r w:rsidRPr="00500206">
        <w:rPr>
          <w:i/>
          <w:iCs/>
        </w:rPr>
        <w:t>EGFR</w:t>
      </w:r>
      <w:r>
        <w:t>m NSCLC to first</w:t>
      </w:r>
      <w:r w:rsidR="00D5155A">
        <w:t>-</w:t>
      </w:r>
      <w:r>
        <w:t>generation EGFR TKIs.</w:t>
      </w:r>
      <w:r>
        <w:fldChar w:fldCharType="begin"/>
      </w:r>
      <w:r>
        <w:instrText xml:space="preserve"> NOTEREF _Ref139618781 \f \h </w:instrText>
      </w:r>
      <w:r>
        <w:fldChar w:fldCharType="separate"/>
      </w:r>
      <w:r w:rsidR="0006496E" w:rsidRPr="0006496E">
        <w:rPr>
          <w:rStyle w:val="FootnoteReference"/>
        </w:rPr>
        <w:t>52</w:t>
      </w:r>
      <w:r>
        <w:fldChar w:fldCharType="end"/>
      </w:r>
    </w:p>
    <w:p w14:paraId="05AAF5F6" w14:textId="781DACAA" w:rsidR="00C83C50" w:rsidRDefault="00C83C50" w:rsidP="0059317A">
      <w:r>
        <w:t xml:space="preserve">When T790M mutations occur in clones previously only expressing the classical </w:t>
      </w:r>
      <w:r w:rsidRPr="00500206">
        <w:rPr>
          <w:i/>
          <w:iCs/>
        </w:rPr>
        <w:t>EGFR</w:t>
      </w:r>
      <w:r>
        <w:t xml:space="preserve">m, they restore </w:t>
      </w:r>
      <w:r w:rsidRPr="008F6DC5">
        <w:t>the ATP</w:t>
      </w:r>
      <w:r w:rsidR="00BB575B">
        <w:t xml:space="preserve"> </w:t>
      </w:r>
      <w:r w:rsidRPr="008F6DC5">
        <w:t>binding affinity of the mutant EGFR to almost wild-type receptor levels.</w:t>
      </w:r>
      <w:r>
        <w:rPr>
          <w:rStyle w:val="FootnoteReference"/>
        </w:rPr>
        <w:footnoteReference w:id="55"/>
      </w:r>
      <w:r>
        <w:t xml:space="preserve"> The restored binding site competition</w:t>
      </w:r>
      <w:r w:rsidRPr="008F6DC5">
        <w:t xml:space="preserve"> </w:t>
      </w:r>
      <w:r>
        <w:t>reduces</w:t>
      </w:r>
      <w:r w:rsidRPr="008F6DC5">
        <w:t xml:space="preserve"> the efficacy of reversible ATP-competitive </w:t>
      </w:r>
      <w:r>
        <w:t>first</w:t>
      </w:r>
      <w:r w:rsidR="00D5155A">
        <w:t>-</w:t>
      </w:r>
      <w:r>
        <w:t xml:space="preserve">generation EGFR </w:t>
      </w:r>
      <w:r w:rsidRPr="008F6DC5">
        <w:t>inhibitors, and removes the</w:t>
      </w:r>
      <w:r>
        <w:t>ir</w:t>
      </w:r>
      <w:r w:rsidRPr="008F6DC5">
        <w:t xml:space="preserve"> </w:t>
      </w:r>
      <w:r>
        <w:t>specificity</w:t>
      </w:r>
      <w:r w:rsidRPr="008F6DC5">
        <w:t xml:space="preserve"> </w:t>
      </w:r>
      <w:r>
        <w:t xml:space="preserve">for </w:t>
      </w:r>
      <w:r w:rsidRPr="008F6DC5">
        <w:t>mutant EGFR</w:t>
      </w:r>
      <w:r>
        <w:t xml:space="preserve"> (over wild</w:t>
      </w:r>
      <w:r w:rsidR="00D5155A">
        <w:t>-</w:t>
      </w:r>
      <w:r>
        <w:t>type)</w:t>
      </w:r>
      <w:r w:rsidRPr="008F6DC5">
        <w:t>.</w:t>
      </w:r>
      <w:r>
        <w:fldChar w:fldCharType="begin"/>
      </w:r>
      <w:r>
        <w:instrText xml:space="preserve"> NOTEREF _Ref139618781 \f \h </w:instrText>
      </w:r>
      <w:r>
        <w:fldChar w:fldCharType="separate"/>
      </w:r>
      <w:r w:rsidR="0006496E" w:rsidRPr="0006496E">
        <w:rPr>
          <w:rStyle w:val="FootnoteReference"/>
        </w:rPr>
        <w:t>52</w:t>
      </w:r>
      <w:r>
        <w:fldChar w:fldCharType="end"/>
      </w:r>
    </w:p>
    <w:p w14:paraId="1D5B6CC8" w14:textId="36B5AC21" w:rsidR="00C83C50" w:rsidRDefault="00C83C50" w:rsidP="00F46333">
      <w:r>
        <w:t>Exon 20 translates to the tyrosine kinase domain of the EGFR (</w:t>
      </w:r>
      <w:r>
        <w:fldChar w:fldCharType="begin"/>
      </w:r>
      <w:r>
        <w:instrText xml:space="preserve"> REF _Ref139619263 \h </w:instrText>
      </w:r>
      <w:r>
        <w:fldChar w:fldCharType="separate"/>
      </w:r>
      <w:r w:rsidR="0006496E" w:rsidRPr="00F46333">
        <w:t xml:space="preserve">Figure </w:t>
      </w:r>
      <w:r w:rsidR="0006496E">
        <w:rPr>
          <w:noProof/>
        </w:rPr>
        <w:t>4</w:t>
      </w:r>
      <w:r>
        <w:fldChar w:fldCharType="end"/>
      </w:r>
      <w:r>
        <w:t xml:space="preserve">). Ex20ins mutations are a heterogeneous group of in frame insertions or duplications, clustered between residues 762 and 774, that is within the C-terminal of the C-helix or in the following loop. Studies of ex20ins mutation variant </w:t>
      </w:r>
      <w:r w:rsidRPr="008A1703">
        <w:t>D770_N771insNPG</w:t>
      </w:r>
      <w:r>
        <w:t xml:space="preserve"> revealed that, in contrast to Del19 mutations, ex20ins mutations ‘</w:t>
      </w:r>
      <w:r w:rsidRPr="002A7BFD">
        <w:t>push</w:t>
      </w:r>
      <w:r>
        <w:t>’</w:t>
      </w:r>
      <w:r w:rsidRPr="002A7BFD">
        <w:t xml:space="preserve"> the C-helix from the other direction</w:t>
      </w:r>
      <w:r>
        <w:t xml:space="preserve">, forcing it </w:t>
      </w:r>
      <w:r w:rsidRPr="002A7BFD">
        <w:t>into an active conformation</w:t>
      </w:r>
      <w:r>
        <w:t>.</w:t>
      </w:r>
      <w:bookmarkStart w:id="56" w:name="_Ref139618974"/>
      <w:r>
        <w:rPr>
          <w:rStyle w:val="FootnoteReference"/>
        </w:rPr>
        <w:footnoteReference w:id="56"/>
      </w:r>
      <w:bookmarkEnd w:id="56"/>
      <w:r>
        <w:t xml:space="preserve"> Unlike the classical EGFRm</w:t>
      </w:r>
      <w:r w:rsidRPr="008A1703">
        <w:t xml:space="preserve">, D770_N771insNPG </w:t>
      </w:r>
      <w:r>
        <w:t>does not show reduced ATP affinity.</w:t>
      </w:r>
      <w:r>
        <w:fldChar w:fldCharType="begin"/>
      </w:r>
      <w:r>
        <w:instrText xml:space="preserve"> NOTEREF _Ref139618974 \f \h </w:instrText>
      </w:r>
      <w:r>
        <w:fldChar w:fldCharType="separate"/>
      </w:r>
      <w:r w:rsidR="0006496E" w:rsidRPr="0006496E">
        <w:rPr>
          <w:rStyle w:val="FootnoteReference"/>
        </w:rPr>
        <w:t>56</w:t>
      </w:r>
      <w:r>
        <w:fldChar w:fldCharType="end"/>
      </w:r>
      <w:r>
        <w:t xml:space="preserve"> Further, it shows poor affinity for first-generation EGFR TKIs, attributed to steric hindrance by a prominent </w:t>
      </w:r>
      <w:r>
        <w:lastRenderedPageBreak/>
        <w:t>shift of the C-helix into the drug</w:t>
      </w:r>
      <w:r w:rsidR="00B25759">
        <w:t xml:space="preserve"> </w:t>
      </w:r>
      <w:r>
        <w:t>binding pocket.</w:t>
      </w:r>
      <w:r>
        <w:rPr>
          <w:rStyle w:val="FootnoteReference"/>
        </w:rPr>
        <w:footnoteReference w:id="57"/>
      </w:r>
      <w:r>
        <w:t xml:space="preserve"> It is postulated that these are the reasons that ex20ins-positive NSCLC is not responsive to registered EGFR TKIs.</w:t>
      </w:r>
    </w:p>
    <w:p w14:paraId="6750287D" w14:textId="4DD798AE" w:rsidR="00C83C50" w:rsidRDefault="00C83C50" w:rsidP="00F46333">
      <w:r>
        <w:t>Whilst most ex20ins mutant NSCLC is not responsive to registered EGFR TKIs, there are some exceptions, and it is postulated that the location of an ex20ins mutation is related to its sensitivity to registered EGFR TKIs (</w:t>
      </w:r>
      <w:r>
        <w:fldChar w:fldCharType="begin"/>
      </w:r>
      <w:r>
        <w:instrText xml:space="preserve"> REF _Ref139619728 \h </w:instrText>
      </w:r>
      <w:r>
        <w:fldChar w:fldCharType="separate"/>
      </w:r>
      <w:r w:rsidR="0006496E" w:rsidRPr="00F46333">
        <w:t xml:space="preserve">Figure </w:t>
      </w:r>
      <w:r w:rsidR="0006496E">
        <w:rPr>
          <w:noProof/>
        </w:rPr>
        <w:t>5</w:t>
      </w:r>
      <w:r>
        <w:fldChar w:fldCharType="end"/>
      </w:r>
      <w:r>
        <w:t>).</w:t>
      </w:r>
      <w:r>
        <w:fldChar w:fldCharType="begin"/>
      </w:r>
      <w:r>
        <w:instrText xml:space="preserve"> NOTEREF _Ref139618781 \f \h </w:instrText>
      </w:r>
      <w:r>
        <w:fldChar w:fldCharType="separate"/>
      </w:r>
      <w:r w:rsidR="0006496E" w:rsidRPr="0006496E">
        <w:rPr>
          <w:rStyle w:val="FootnoteReference"/>
        </w:rPr>
        <w:t>52</w:t>
      </w:r>
      <w:r>
        <w:fldChar w:fldCharType="end"/>
      </w:r>
      <w:r>
        <w:t xml:space="preserve"> In the case of the ex20ins variant A763_Y764insFQEA, the insertion occurs before residue 764, so it is located within the region that codes for the C-helix itself. Structural modelling suggests that this may confer an activation mechanism and structure that more closely resemble the classical EGFRm than other ex20ins mutations. This is congruent with multiple reports of partial responses to erlotinib in patients with tumours harbouring A763_Y764insFQEA insertions.</w:t>
      </w:r>
      <w:r>
        <w:fldChar w:fldCharType="begin"/>
      </w:r>
      <w:r>
        <w:instrText xml:space="preserve"> NOTEREF _Ref139618974 \f \h </w:instrText>
      </w:r>
      <w:r>
        <w:fldChar w:fldCharType="separate"/>
      </w:r>
      <w:r w:rsidR="0006496E" w:rsidRPr="0006496E">
        <w:rPr>
          <w:rStyle w:val="FootnoteReference"/>
        </w:rPr>
        <w:t>56</w:t>
      </w:r>
      <w:r>
        <w:fldChar w:fldCharType="end"/>
      </w:r>
      <w:r>
        <w:t>,</w:t>
      </w:r>
      <w:r>
        <w:rPr>
          <w:rStyle w:val="FootnoteReference"/>
        </w:rPr>
        <w:footnoteReference w:id="58"/>
      </w:r>
      <w:r>
        <w:t>,</w:t>
      </w:r>
      <w:r>
        <w:rPr>
          <w:rStyle w:val="FootnoteReference"/>
        </w:rPr>
        <w:footnoteReference w:id="59"/>
      </w:r>
      <w:r>
        <w:t>,</w:t>
      </w:r>
      <w:r>
        <w:rPr>
          <w:rStyle w:val="FootnoteReference"/>
        </w:rPr>
        <w:footnoteReference w:id="60"/>
      </w:r>
    </w:p>
    <w:p w14:paraId="1B4F286E" w14:textId="7C09DC08" w:rsidR="00C83C50" w:rsidRDefault="00C83C50" w:rsidP="00F46333">
      <w:pPr>
        <w:pStyle w:val="FigureTitle"/>
      </w:pPr>
      <w:bookmarkStart w:id="57" w:name="_Ref139619263"/>
      <w:r w:rsidRPr="00F46333">
        <w:t xml:space="preserve">Figure </w:t>
      </w:r>
      <w:r w:rsidR="00C3481D">
        <w:fldChar w:fldCharType="begin"/>
      </w:r>
      <w:r w:rsidR="00C3481D">
        <w:instrText xml:space="preserve"> SEQ Figure \* ARABIC </w:instrText>
      </w:r>
      <w:r w:rsidR="00C3481D">
        <w:fldChar w:fldCharType="separate"/>
      </w:r>
      <w:r w:rsidR="0006496E">
        <w:rPr>
          <w:noProof/>
        </w:rPr>
        <w:t>4</w:t>
      </w:r>
      <w:r w:rsidR="00C3481D">
        <w:rPr>
          <w:noProof/>
        </w:rPr>
        <w:fldChar w:fldCharType="end"/>
      </w:r>
      <w:bookmarkEnd w:id="57"/>
      <w:r w:rsidRPr="00F46333">
        <w:t>:</w:t>
      </w:r>
      <w:r>
        <w:t xml:space="preserve"> </w:t>
      </w:r>
      <w:r w:rsidRPr="00F46333">
        <w:t xml:space="preserve">The spectrum of described insertion mutations in exon 20 of the </w:t>
      </w:r>
      <w:r w:rsidR="004B5AD4" w:rsidRPr="00A823D4">
        <w:rPr>
          <w:i/>
          <w:iCs/>
          <w:szCs w:val="22"/>
        </w:rPr>
        <w:t>EGFR</w:t>
      </w:r>
      <w:r w:rsidRPr="00F46333">
        <w:t xml:space="preserve"> gene, and their location with respect to the C-helix (in the C-helix itself, light blue; or in the loop following the C-helix, dark grey)</w:t>
      </w:r>
    </w:p>
    <w:p w14:paraId="00E77B9F" w14:textId="0D9F2264" w:rsidR="00C83C50" w:rsidRDefault="00C83C50" w:rsidP="00F46333">
      <w:pPr>
        <w:pStyle w:val="FigureTitle"/>
      </w:pPr>
      <w:r>
        <w:rPr>
          <w:noProof/>
        </w:rPr>
        <w:drawing>
          <wp:inline distT="0" distB="0" distL="0" distR="0" wp14:anchorId="056F7066" wp14:editId="48B0C4BC">
            <wp:extent cx="4811967" cy="5447448"/>
            <wp:effectExtent l="6033" t="0" r="0" b="0"/>
            <wp:docPr id="16" name="Picture 16" descr="The spectrum of described insertion mutations in exon 20 of the EGFR gene, and their location with respect to the C-helix (in the C-helix itself, light blue; or in the loop following the C-helix, dark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spectrum of described insertion mutations in exon 20 of the EGFR gene, and their location with respect to the C-helix (in the C-helix itself, light blue; or in the loop following the C-helix, dark gr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4826707" cy="5464134"/>
                    </a:xfrm>
                    <a:prstGeom prst="rect">
                      <a:avLst/>
                    </a:prstGeom>
                    <a:noFill/>
                    <a:ln>
                      <a:noFill/>
                    </a:ln>
                  </pic:spPr>
                </pic:pic>
              </a:graphicData>
            </a:graphic>
          </wp:inline>
        </w:drawing>
      </w:r>
    </w:p>
    <w:p w14:paraId="2CF6FEA4" w14:textId="6F134A16" w:rsidR="00C83C50" w:rsidRPr="0059317A" w:rsidRDefault="00C83C50" w:rsidP="00F46333">
      <w:pPr>
        <w:pStyle w:val="FigureDescription"/>
      </w:pPr>
      <w:r>
        <w:t xml:space="preserve">Source: </w:t>
      </w:r>
      <w:proofErr w:type="spellStart"/>
      <w:r w:rsidRPr="00F46333">
        <w:t>Vyse</w:t>
      </w:r>
      <w:proofErr w:type="spellEnd"/>
      <w:r w:rsidRPr="00F46333">
        <w:t>, S.</w:t>
      </w:r>
      <w:r>
        <w:t>, et al (2019)</w:t>
      </w:r>
      <w:r>
        <w:fldChar w:fldCharType="begin"/>
      </w:r>
      <w:r>
        <w:instrText xml:space="preserve"> NOTEREF _Ref139618781 \f \h </w:instrText>
      </w:r>
      <w:r>
        <w:fldChar w:fldCharType="separate"/>
      </w:r>
      <w:r w:rsidR="0006496E" w:rsidRPr="0006496E">
        <w:rPr>
          <w:rStyle w:val="FootnoteReference"/>
        </w:rPr>
        <w:t>52</w:t>
      </w:r>
      <w:r>
        <w:fldChar w:fldCharType="end"/>
      </w:r>
    </w:p>
    <w:p w14:paraId="0AB221D0" w14:textId="30F73DFD" w:rsidR="00C83C50" w:rsidRDefault="00C83C50" w:rsidP="00F46333">
      <w:pPr>
        <w:pStyle w:val="FigureTitle"/>
      </w:pPr>
      <w:bookmarkStart w:id="58" w:name="_Ref139619728"/>
      <w:r w:rsidRPr="00F46333">
        <w:lastRenderedPageBreak/>
        <w:t xml:space="preserve">Figure </w:t>
      </w:r>
      <w:r w:rsidR="00C3481D">
        <w:fldChar w:fldCharType="begin"/>
      </w:r>
      <w:r w:rsidR="00C3481D">
        <w:instrText xml:space="preserve"> SEQ Figure \* ARABIC </w:instrText>
      </w:r>
      <w:r w:rsidR="00C3481D">
        <w:fldChar w:fldCharType="separate"/>
      </w:r>
      <w:r w:rsidR="0006496E">
        <w:rPr>
          <w:noProof/>
        </w:rPr>
        <w:t>5</w:t>
      </w:r>
      <w:r w:rsidR="00C3481D">
        <w:rPr>
          <w:noProof/>
        </w:rPr>
        <w:fldChar w:fldCharType="end"/>
      </w:r>
      <w:bookmarkEnd w:id="58"/>
      <w:r>
        <w:t xml:space="preserve">: A putative general association between the location of described insertion mutations in exon 20 of the </w:t>
      </w:r>
      <w:r w:rsidR="004B5AD4">
        <w:rPr>
          <w:i/>
          <w:iCs/>
        </w:rPr>
        <w:t xml:space="preserve">EGFR </w:t>
      </w:r>
      <w:r w:rsidRPr="00A823D4">
        <w:t>gene</w:t>
      </w:r>
      <w:r>
        <w:t>, and responsiveness to first generation EGFR tyrosine kinase inhibitors</w:t>
      </w:r>
    </w:p>
    <w:p w14:paraId="1C6D83B4" w14:textId="12B05778" w:rsidR="00C83C50" w:rsidRDefault="00C83C50" w:rsidP="00F46333">
      <w:pPr>
        <w:pStyle w:val="FigureTitle"/>
        <w:rPr>
          <w:szCs w:val="22"/>
        </w:rPr>
      </w:pPr>
      <w:r>
        <w:rPr>
          <w:noProof/>
        </w:rPr>
        <w:drawing>
          <wp:inline distT="0" distB="0" distL="0" distR="0" wp14:anchorId="36C31429" wp14:editId="66988487">
            <wp:extent cx="5560026" cy="4829175"/>
            <wp:effectExtent l="0" t="0" r="3175" b="0"/>
            <wp:docPr id="22" name="Picture 22" descr="A putative general association between the location of described insertion mutations in exon 20 of the epidermal-growth factor receptor gene, and responsiveness to first generation EGFR tyrosine kinase inhib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utative general association between the location of described insertion mutations in exon 20 of the epidermal-growth factor receptor gene, and responsiveness to first generation EGFR tyrosine kinase inhibito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8790" cy="4845473"/>
                    </a:xfrm>
                    <a:prstGeom prst="rect">
                      <a:avLst/>
                    </a:prstGeom>
                    <a:noFill/>
                    <a:ln>
                      <a:noFill/>
                    </a:ln>
                  </pic:spPr>
                </pic:pic>
              </a:graphicData>
            </a:graphic>
          </wp:inline>
        </w:drawing>
      </w:r>
    </w:p>
    <w:p w14:paraId="1218522A" w14:textId="0051FC7E" w:rsidR="00C83C50" w:rsidRDefault="00C83C50" w:rsidP="00F46333">
      <w:pPr>
        <w:pStyle w:val="FigureDescription"/>
      </w:pPr>
      <w:r>
        <w:t xml:space="preserve">Source: </w:t>
      </w:r>
      <w:proofErr w:type="spellStart"/>
      <w:r>
        <w:t>Remon</w:t>
      </w:r>
      <w:proofErr w:type="spellEnd"/>
      <w:r>
        <w:t xml:space="preserve"> et al, (2020)</w:t>
      </w:r>
      <w:r>
        <w:fldChar w:fldCharType="begin"/>
      </w:r>
      <w:r>
        <w:instrText xml:space="preserve"> NOTEREF _Ref139619451 \f \h </w:instrText>
      </w:r>
      <w:r>
        <w:fldChar w:fldCharType="separate"/>
      </w:r>
      <w:r w:rsidR="0006496E" w:rsidRPr="0006496E">
        <w:rPr>
          <w:rStyle w:val="FootnoteReference"/>
        </w:rPr>
        <w:t>20</w:t>
      </w:r>
      <w:r>
        <w:fldChar w:fldCharType="end"/>
      </w:r>
    </w:p>
    <w:p w14:paraId="21557B0B" w14:textId="2564F2B3" w:rsidR="00C83C50" w:rsidRDefault="00C83C50" w:rsidP="001C5974">
      <w:r>
        <w:t xml:space="preserve">Whilst generalisations such as these may be of some use, the structural heterogeneity among ex20ins mutations suggests variable biology, and the specific sequence of ex20ins variant must be considered when assessing treatment options. For example, there are published reports of EGFR TKI response with the rare exon 20 insertion variant D770delinsGY, noting that this is in the loop region that would be assumed resistant according to the theory outlined in </w:t>
      </w:r>
      <w:r>
        <w:fldChar w:fldCharType="begin"/>
      </w:r>
      <w:r>
        <w:instrText xml:space="preserve"> REF _Ref139619728 \h </w:instrText>
      </w:r>
      <w:r>
        <w:fldChar w:fldCharType="separate"/>
      </w:r>
      <w:r w:rsidR="0006496E" w:rsidRPr="00F46333">
        <w:t xml:space="preserve">Figure </w:t>
      </w:r>
      <w:r w:rsidR="0006496E">
        <w:rPr>
          <w:noProof/>
        </w:rPr>
        <w:t>5</w:t>
      </w:r>
      <w:r>
        <w:fldChar w:fldCharType="end"/>
      </w:r>
      <w:r>
        <w:t>.</w:t>
      </w:r>
      <w:r>
        <w:rPr>
          <w:rStyle w:val="FootnoteReference"/>
        </w:rPr>
        <w:footnoteReference w:id="61"/>
      </w:r>
    </w:p>
    <w:p w14:paraId="675E1D4D" w14:textId="36FD5B4B" w:rsidR="00C83C50" w:rsidRDefault="00C83C50" w:rsidP="001C5974">
      <w:r>
        <w:t>To complicate matters further, u</w:t>
      </w:r>
      <w:r w:rsidRPr="008646F0">
        <w:t xml:space="preserve">ncommon mutations </w:t>
      </w:r>
      <w:r>
        <w:t>are often identified as</w:t>
      </w:r>
      <w:r w:rsidRPr="008646F0">
        <w:t xml:space="preserve"> compound mutations</w:t>
      </w:r>
      <w:r>
        <w:t xml:space="preserve">, with further heterogeneity of sensitivity to EGFR </w:t>
      </w:r>
      <w:r w:rsidRPr="008646F0">
        <w:t>TKIs</w:t>
      </w:r>
      <w:r>
        <w:t>, making effects on survival very difficult to understand due to rarity.</w:t>
      </w:r>
      <w:r>
        <w:rPr>
          <w:rStyle w:val="FootnoteReference"/>
        </w:rPr>
        <w:footnoteReference w:id="62"/>
      </w:r>
    </w:p>
    <w:p w14:paraId="2096F7AE" w14:textId="4768953E" w:rsidR="00C83C50" w:rsidRDefault="00C83C50" w:rsidP="001C5974">
      <w:r>
        <w:t>As ex20ins mutations generally do not sensitise NSCLC to treatment with the available EGFR TKIs, they are mostly treated with therapies for NSCLC without a targetable mutation, and the prognosis for these patients is in line with that of</w:t>
      </w:r>
      <w:r w:rsidRPr="0029553D">
        <w:t xml:space="preserve"> the EGFR wild</w:t>
      </w:r>
      <w:r w:rsidR="00A704EF">
        <w:t>-</w:t>
      </w:r>
      <w:r w:rsidRPr="0029553D">
        <w:t>type population</w:t>
      </w:r>
      <w:r>
        <w:t>.</w:t>
      </w:r>
      <w:r>
        <w:fldChar w:fldCharType="begin"/>
      </w:r>
      <w:r>
        <w:instrText xml:space="preserve"> NOTEREF _Ref139619451 \h  \* MERGEFORMAT </w:instrText>
      </w:r>
      <w:r>
        <w:fldChar w:fldCharType="separate"/>
      </w:r>
      <w:r w:rsidR="0006496E" w:rsidRPr="0006496E">
        <w:rPr>
          <w:vertAlign w:val="superscript"/>
        </w:rPr>
        <w:t>20</w:t>
      </w:r>
      <w:r>
        <w:fldChar w:fldCharType="end"/>
      </w:r>
    </w:p>
    <w:p w14:paraId="1943F6F8" w14:textId="2D1D5826" w:rsidR="00C83C50" w:rsidRDefault="00C83C50" w:rsidP="00566529">
      <w:r>
        <w:lastRenderedPageBreak/>
        <w:t xml:space="preserve">There is therefore unmet medical need for targeted therapies for NSCLC with this type of molecular alteration. The recent approval of </w:t>
      </w:r>
      <w:proofErr w:type="spellStart"/>
      <w:r>
        <w:t>mobocertinib</w:t>
      </w:r>
      <w:proofErr w:type="spellEnd"/>
      <w:r>
        <w:t xml:space="preserve"> in Australia provides a new option, however, data to confirm the clinical benefit is pending and the indication remains provisional.</w:t>
      </w:r>
      <w:r w:rsidRPr="001C5974">
        <w:rPr>
          <w:vertAlign w:val="superscript"/>
        </w:rPr>
        <w:fldChar w:fldCharType="begin"/>
      </w:r>
      <w:r w:rsidRPr="001C5974">
        <w:rPr>
          <w:vertAlign w:val="superscript"/>
        </w:rPr>
        <w:instrText xml:space="preserve"> NOTEREF _Ref139619886 \h </w:instrText>
      </w:r>
      <w:r>
        <w:rPr>
          <w:vertAlign w:val="superscript"/>
        </w:rPr>
        <w:instrText xml:space="preserve"> \* MERGEFORMAT </w:instrText>
      </w:r>
      <w:r w:rsidRPr="001C5974">
        <w:rPr>
          <w:vertAlign w:val="superscript"/>
        </w:rPr>
      </w:r>
      <w:r w:rsidRPr="001C5974">
        <w:rPr>
          <w:vertAlign w:val="superscript"/>
        </w:rPr>
        <w:fldChar w:fldCharType="separate"/>
      </w:r>
      <w:r w:rsidR="0006496E">
        <w:rPr>
          <w:vertAlign w:val="superscript"/>
        </w:rPr>
        <w:t>25</w:t>
      </w:r>
      <w:r w:rsidRPr="001C5974">
        <w:rPr>
          <w:vertAlign w:val="superscript"/>
        </w:rPr>
        <w:fldChar w:fldCharType="end"/>
      </w:r>
    </w:p>
    <w:p w14:paraId="714FD6C1" w14:textId="77777777" w:rsidR="00C83C50" w:rsidRDefault="00C83C50" w:rsidP="00EF2BDD">
      <w:pPr>
        <w:pStyle w:val="Heading4"/>
      </w:pPr>
      <w:bookmarkStart w:id="59" w:name="_Toc144288300"/>
      <w:r>
        <w:t>Mechanism of action</w:t>
      </w:r>
      <w:r w:rsidRPr="00AF0D26">
        <w:t xml:space="preserve"> </w:t>
      </w:r>
      <w:r>
        <w:t xml:space="preserve">of </w:t>
      </w:r>
      <w:proofErr w:type="spellStart"/>
      <w:r>
        <w:t>amivantamab</w:t>
      </w:r>
      <w:bookmarkEnd w:id="59"/>
      <w:proofErr w:type="spellEnd"/>
    </w:p>
    <w:p w14:paraId="1EEEADB1" w14:textId="768C4275" w:rsidR="00C83C50" w:rsidRDefault="00C83C50" w:rsidP="00EF2BDD">
      <w:r>
        <w:t xml:space="preserve">Like other </w:t>
      </w:r>
      <w:r w:rsidRPr="00500206">
        <w:rPr>
          <w:i/>
          <w:iCs/>
        </w:rPr>
        <w:t>EGFR</w:t>
      </w:r>
      <w:r>
        <w:t xml:space="preserve">-mutated NSCLC, tumours with ex20ins </w:t>
      </w:r>
      <w:r w:rsidRPr="00500206">
        <w:rPr>
          <w:i/>
          <w:iCs/>
        </w:rPr>
        <w:t xml:space="preserve">EGFR </w:t>
      </w:r>
      <w:r>
        <w:t xml:space="preserve">mutations are considered ‘oncogene addicted:’ reliant on aberrant signalling of the constitutively active, mutated </w:t>
      </w:r>
      <w:r w:rsidRPr="00500206">
        <w:rPr>
          <w:i/>
          <w:iCs/>
        </w:rPr>
        <w:t>EGFR</w:t>
      </w:r>
      <w:r>
        <w:t xml:space="preserve"> (see </w:t>
      </w:r>
      <w:r>
        <w:fldChar w:fldCharType="begin"/>
      </w:r>
      <w:r>
        <w:instrText xml:space="preserve"> REF _Ref139623533 \h </w:instrText>
      </w:r>
      <w:r>
        <w:fldChar w:fldCharType="separate"/>
      </w:r>
      <w:r w:rsidR="0006496E" w:rsidRPr="0059317A">
        <w:t xml:space="preserve">Figure </w:t>
      </w:r>
      <w:r w:rsidR="0006496E">
        <w:rPr>
          <w:noProof/>
        </w:rPr>
        <w:t>3</w:t>
      </w:r>
      <w:r>
        <w:fldChar w:fldCharType="end"/>
      </w:r>
      <w:r>
        <w:t>) leading to downstream activation of cellular proliferation and survival pathways including MAPK and PI3K.</w:t>
      </w:r>
      <w:bookmarkStart w:id="60" w:name="_Ref139623603"/>
      <w:r>
        <w:rPr>
          <w:rStyle w:val="FootnoteReference"/>
        </w:rPr>
        <w:footnoteReference w:id="63"/>
      </w:r>
      <w:bookmarkEnd w:id="60"/>
    </w:p>
    <w:p w14:paraId="458A1147" w14:textId="5FC0D793" w:rsidR="00C83C50" w:rsidRDefault="00C83C50" w:rsidP="00EF2BDD">
      <w:r w:rsidRPr="00500206">
        <w:rPr>
          <w:i/>
          <w:iCs/>
        </w:rPr>
        <w:t>Mesenchymal epithelial transition</w:t>
      </w:r>
      <w:r>
        <w:t xml:space="preserve"> (also known as c-MET) is another proto-oncogene encoding a </w:t>
      </w:r>
      <w:r w:rsidRPr="00A43973">
        <w:t>transmembrane tyrosine kinase</w:t>
      </w:r>
      <w:r>
        <w:t xml:space="preserve"> receptor which</w:t>
      </w:r>
      <w:r w:rsidR="000828D0">
        <w:t>,</w:t>
      </w:r>
      <w:r>
        <w:t xml:space="preserve"> when activated, leads to pro-growth downstream signalling through convergence on a similar set of pathways.</w:t>
      </w:r>
      <w:r>
        <w:rPr>
          <w:rStyle w:val="FootnoteReference"/>
        </w:rPr>
        <w:footnoteReference w:id="64"/>
      </w:r>
      <w:r>
        <w:t xml:space="preserve"> </w:t>
      </w:r>
      <w:r w:rsidRPr="00500206">
        <w:t>MET</w:t>
      </w:r>
      <w:r>
        <w:t xml:space="preserve"> is overexpressed in some NSCLCs at </w:t>
      </w:r>
      <w:r w:rsidR="000828D0">
        <w:t>b</w:t>
      </w:r>
      <w:r>
        <w:t xml:space="preserve">aseline, and is amplified in </w:t>
      </w:r>
      <w:r w:rsidRPr="00A50E75">
        <w:t>approximately 5</w:t>
      </w:r>
      <w:r>
        <w:t xml:space="preserve"> to </w:t>
      </w:r>
      <w:r w:rsidRPr="00A50E75">
        <w:t>22% of NSCLC patients with acquired resistance to first</w:t>
      </w:r>
      <w:r w:rsidR="000828D0">
        <w:t>-</w:t>
      </w:r>
      <w:r w:rsidRPr="00A50E75">
        <w:t>generation EGFR</w:t>
      </w:r>
      <w:r>
        <w:t xml:space="preserve"> </w:t>
      </w:r>
      <w:r w:rsidRPr="00A50E75">
        <w:t>TKIs</w:t>
      </w:r>
      <w:r>
        <w:t>.</w:t>
      </w:r>
      <w:r>
        <w:rPr>
          <w:rStyle w:val="FootnoteReference"/>
        </w:rPr>
        <w:footnoteReference w:id="65"/>
      </w:r>
      <w:r>
        <w:t xml:space="preserve"> </w:t>
      </w:r>
      <w:r w:rsidRPr="00A50E75">
        <w:t xml:space="preserve">MET amplification </w:t>
      </w:r>
      <w:r>
        <w:t>drives</w:t>
      </w:r>
      <w:r w:rsidRPr="00A50E75">
        <w:t xml:space="preserve"> EGFR-independent phosphorylation of </w:t>
      </w:r>
      <w:r>
        <w:t>ErbB3</w:t>
      </w:r>
      <w:r w:rsidRPr="00A50E75">
        <w:t xml:space="preserve"> and downstream activation of the </w:t>
      </w:r>
      <w:r w:rsidRPr="00500206">
        <w:rPr>
          <w:i/>
          <w:iCs/>
        </w:rPr>
        <w:t>PI3K/AKT</w:t>
      </w:r>
      <w:r w:rsidRPr="00A50E75">
        <w:t xml:space="preserve"> pathway, providing a bypass pathway</w:t>
      </w:r>
      <w:r>
        <w:t xml:space="preserve"> and causing resistance to EGFR TKIs</w:t>
      </w:r>
      <w:r w:rsidRPr="00A50E75">
        <w:t>.</w:t>
      </w:r>
      <w:r>
        <w:rPr>
          <w:rStyle w:val="FootnoteReference"/>
        </w:rPr>
        <w:footnoteReference w:id="66"/>
      </w:r>
    </w:p>
    <w:p w14:paraId="5CC5B08D" w14:textId="6F0A1960" w:rsidR="00C83C50" w:rsidRDefault="00C83C50" w:rsidP="00EF2BDD">
      <w:proofErr w:type="spellStart"/>
      <w:r>
        <w:t>Amivantamab</w:t>
      </w:r>
      <w:proofErr w:type="spellEnd"/>
      <w:r>
        <w:t xml:space="preserve"> was developed with a view to overcoming MET-related EGFR TKI resistance. With a binding site for each of EGFR and MET, </w:t>
      </w:r>
      <w:proofErr w:type="spellStart"/>
      <w:r>
        <w:t>amivantamab</w:t>
      </w:r>
      <w:proofErr w:type="spellEnd"/>
      <w:r>
        <w:t xml:space="preserve"> is able to simultaneously bind the extracellular domains of the</w:t>
      </w:r>
      <w:r w:rsidR="00325187">
        <w:t>se</w:t>
      </w:r>
      <w:r>
        <w:t xml:space="preserve"> kinases, blocking ligand binding with similar potency to monospecific bivalent antibodies </w:t>
      </w:r>
      <w:r w:rsidRPr="00635D08">
        <w:rPr>
          <w:i/>
          <w:iCs/>
        </w:rPr>
        <w:t>in vitro</w:t>
      </w:r>
      <w:r>
        <w:t>.</w:t>
      </w:r>
      <w:bookmarkStart w:id="61" w:name="_Ref139623371"/>
      <w:r>
        <w:rPr>
          <w:rStyle w:val="FootnoteReference"/>
        </w:rPr>
        <w:footnoteReference w:id="67"/>
      </w:r>
      <w:bookmarkEnd w:id="61"/>
      <w:r>
        <w:t xml:space="preserve"> Whilst EGFR:MET heterodimers with the capacity to trans-phosphorylate may occur in lung and breast cancer,</w:t>
      </w:r>
      <w:r>
        <w:rPr>
          <w:rStyle w:val="FootnoteReference"/>
        </w:rPr>
        <w:footnoteReference w:id="68"/>
      </w:r>
      <w:r>
        <w:t>,</w:t>
      </w:r>
      <w:r>
        <w:rPr>
          <w:rStyle w:val="FootnoteReference"/>
        </w:rPr>
        <w:footnoteReference w:id="69"/>
      </w:r>
      <w:proofErr w:type="spellStart"/>
      <w:r>
        <w:t>amivantamab</w:t>
      </w:r>
      <w:proofErr w:type="spellEnd"/>
      <w:r>
        <w:t xml:space="preserve">-sequestered EGFR:MET heterodimers should not do so, as neither kinase can bind their ligand. Indeed, </w:t>
      </w:r>
      <w:r w:rsidRPr="00635D08">
        <w:rPr>
          <w:i/>
          <w:iCs/>
        </w:rPr>
        <w:t>in vitro</w:t>
      </w:r>
      <w:r>
        <w:t xml:space="preserve"> studies also demonstrated </w:t>
      </w:r>
      <w:proofErr w:type="spellStart"/>
      <w:r>
        <w:t>amivantamab</w:t>
      </w:r>
      <w:proofErr w:type="spellEnd"/>
      <w:r>
        <w:t xml:space="preserve"> inhibited the production of both</w:t>
      </w:r>
      <w:r w:rsidRPr="00635D08">
        <w:t xml:space="preserve"> phospho-ERK and phospho-AKT</w:t>
      </w:r>
      <w:r>
        <w:t>.</w:t>
      </w:r>
      <w:r>
        <w:fldChar w:fldCharType="begin"/>
      </w:r>
      <w:r>
        <w:instrText xml:space="preserve"> NOTEREF _Ref139623371 \f \h </w:instrText>
      </w:r>
      <w:r>
        <w:fldChar w:fldCharType="separate"/>
      </w:r>
      <w:r w:rsidR="0006496E" w:rsidRPr="0006496E">
        <w:rPr>
          <w:rStyle w:val="FootnoteReference"/>
        </w:rPr>
        <w:t>67</w:t>
      </w:r>
      <w:r>
        <w:fldChar w:fldCharType="end"/>
      </w:r>
      <w:r>
        <w:t xml:space="preserve"> Interestingly, the bivalent anti-EGFR/anti-MET antibody (</w:t>
      </w:r>
      <w:proofErr w:type="spellStart"/>
      <w:r>
        <w:t>amivantamab</w:t>
      </w:r>
      <w:proofErr w:type="spellEnd"/>
      <w:r>
        <w:t>) inhibited phosphorylation of ERK and AKT more potently than a combination of parent, monovalent anti-EGFR and ant-MET antibodies.</w:t>
      </w:r>
      <w:r>
        <w:fldChar w:fldCharType="begin"/>
      </w:r>
      <w:r>
        <w:instrText xml:space="preserve"> NOTEREF _Ref139623371 \f \h </w:instrText>
      </w:r>
      <w:r>
        <w:fldChar w:fldCharType="separate"/>
      </w:r>
      <w:r w:rsidR="0006496E" w:rsidRPr="0006496E">
        <w:rPr>
          <w:rStyle w:val="FootnoteReference"/>
        </w:rPr>
        <w:t>67</w:t>
      </w:r>
      <w:r>
        <w:fldChar w:fldCharType="end"/>
      </w:r>
      <w:r>
        <w:t xml:space="preserve"> </w:t>
      </w:r>
    </w:p>
    <w:p w14:paraId="2712F04F" w14:textId="5465ECDD" w:rsidR="00C83C50" w:rsidRDefault="00C83C50" w:rsidP="00EF2BDD">
      <w:r>
        <w:t xml:space="preserve">In addition to inhibition of oncogenic signalling, </w:t>
      </w:r>
      <w:proofErr w:type="spellStart"/>
      <w:r>
        <w:t>amivantamab</w:t>
      </w:r>
      <w:proofErr w:type="spellEnd"/>
      <w:r>
        <w:t xml:space="preserve"> was engineered with low core </w:t>
      </w:r>
      <w:proofErr w:type="spellStart"/>
      <w:r>
        <w:t>fucosylation</w:t>
      </w:r>
      <w:proofErr w:type="spellEnd"/>
      <w:r>
        <w:t xml:space="preserve">, which increases </w:t>
      </w:r>
      <w:proofErr w:type="spellStart"/>
      <w:r>
        <w:t>FcgammaRIII</w:t>
      </w:r>
      <w:proofErr w:type="spellEnd"/>
      <w:r>
        <w:t xml:space="preserve"> binding and may augment Fc-dependent immunity.</w:t>
      </w:r>
      <w:r>
        <w:rPr>
          <w:rStyle w:val="FootnoteReference"/>
        </w:rPr>
        <w:footnoteReference w:id="70"/>
      </w:r>
      <w:r>
        <w:t>,</w:t>
      </w:r>
      <w:r>
        <w:rPr>
          <w:rStyle w:val="FootnoteReference"/>
        </w:rPr>
        <w:footnoteReference w:id="71"/>
      </w:r>
    </w:p>
    <w:p w14:paraId="1C83F349" w14:textId="72EEE3C2" w:rsidR="00C83C50" w:rsidRPr="00500206" w:rsidRDefault="00C83C50" w:rsidP="00500206">
      <w:pPr>
        <w:pStyle w:val="FigureTitle"/>
        <w:keepNext/>
      </w:pPr>
      <w:r w:rsidRPr="00500206">
        <w:lastRenderedPageBreak/>
        <w:t xml:space="preserve">Figure </w:t>
      </w:r>
      <w:r w:rsidR="00C3481D">
        <w:fldChar w:fldCharType="begin"/>
      </w:r>
      <w:r w:rsidR="00C3481D">
        <w:instrText xml:space="preserve"> SEQ Figure \* ARABIC </w:instrText>
      </w:r>
      <w:r w:rsidR="00C3481D">
        <w:fldChar w:fldCharType="separate"/>
      </w:r>
      <w:r w:rsidR="0006496E">
        <w:rPr>
          <w:noProof/>
        </w:rPr>
        <w:t>6</w:t>
      </w:r>
      <w:r w:rsidR="00C3481D">
        <w:rPr>
          <w:noProof/>
        </w:rPr>
        <w:fldChar w:fldCharType="end"/>
      </w:r>
      <w:r w:rsidRPr="00500206">
        <w:t xml:space="preserve">: Proposed mechanisms of </w:t>
      </w:r>
      <w:proofErr w:type="spellStart"/>
      <w:r w:rsidRPr="00500206">
        <w:t>amivantamab</w:t>
      </w:r>
      <w:proofErr w:type="spellEnd"/>
      <w:r w:rsidRPr="00500206">
        <w:t xml:space="preserve"> action</w:t>
      </w:r>
    </w:p>
    <w:p w14:paraId="0E3357A3" w14:textId="2CA38B01" w:rsidR="00C83C50" w:rsidRDefault="00C83C50" w:rsidP="00EF2BDD">
      <w:r>
        <w:rPr>
          <w:noProof/>
        </w:rPr>
        <w:drawing>
          <wp:inline distT="0" distB="0" distL="0" distR="0" wp14:anchorId="062F4CD6" wp14:editId="584D29F5">
            <wp:extent cx="5533870" cy="2520176"/>
            <wp:effectExtent l="0" t="0" r="0" b="0"/>
            <wp:docPr id="17" name="Picture 17" descr="Proposed mechanisms of amivantamab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oposed mechanisms of amivantamab action"/>
                    <pic:cNvPicPr>
                      <a:picLocks noChangeAspect="1" noChangeArrowheads="1"/>
                    </pic:cNvPicPr>
                  </pic:nvPicPr>
                  <pic:blipFill rotWithShape="1">
                    <a:blip r:embed="rId22">
                      <a:extLst>
                        <a:ext uri="{28A0092B-C50C-407E-A947-70E740481C1C}">
                          <a14:useLocalDpi xmlns:a14="http://schemas.microsoft.com/office/drawing/2010/main" val="0"/>
                        </a:ext>
                      </a:extLst>
                    </a:blip>
                    <a:srcRect l="5579" t="11524" r="1533" b="14780"/>
                    <a:stretch/>
                  </pic:blipFill>
                  <pic:spPr bwMode="auto">
                    <a:xfrm>
                      <a:off x="0" y="0"/>
                      <a:ext cx="5542778" cy="2524233"/>
                    </a:xfrm>
                    <a:prstGeom prst="rect">
                      <a:avLst/>
                    </a:prstGeom>
                    <a:noFill/>
                    <a:ln>
                      <a:noFill/>
                    </a:ln>
                    <a:extLst>
                      <a:ext uri="{53640926-AAD7-44D8-BBD7-CCE9431645EC}">
                        <a14:shadowObscured xmlns:a14="http://schemas.microsoft.com/office/drawing/2010/main"/>
                      </a:ext>
                    </a:extLst>
                  </pic:spPr>
                </pic:pic>
              </a:graphicData>
            </a:graphic>
          </wp:inline>
        </w:drawing>
      </w:r>
    </w:p>
    <w:p w14:paraId="19187251" w14:textId="2F0C37ED" w:rsidR="00C83C50" w:rsidRPr="00EF2BDD" w:rsidRDefault="00C83C50" w:rsidP="00EF2BDD">
      <w:pPr>
        <w:pStyle w:val="FigureDescription"/>
      </w:pPr>
      <w:r>
        <w:t>Source: Guo, et al. (2021)</w:t>
      </w:r>
      <w:r>
        <w:fldChar w:fldCharType="begin"/>
      </w:r>
      <w:r>
        <w:instrText xml:space="preserve"> NOTEREF _Ref139623603 \f \h </w:instrText>
      </w:r>
      <w:r>
        <w:fldChar w:fldCharType="separate"/>
      </w:r>
      <w:r w:rsidR="0006496E" w:rsidRPr="0006496E">
        <w:rPr>
          <w:rStyle w:val="FootnoteReference"/>
        </w:rPr>
        <w:t>63</w:t>
      </w:r>
      <w:r>
        <w:fldChar w:fldCharType="end"/>
      </w:r>
    </w:p>
    <w:p w14:paraId="0745C3CA" w14:textId="234F7B17" w:rsidR="00C83C50" w:rsidRDefault="00C83C50" w:rsidP="00EF2BDD">
      <w:r>
        <w:t xml:space="preserve">The proposed mechanism of action of </w:t>
      </w:r>
      <w:proofErr w:type="spellStart"/>
      <w:r>
        <w:t>amivantamab</w:t>
      </w:r>
      <w:proofErr w:type="spellEnd"/>
      <w:r>
        <w:t xml:space="preserve"> is not specific to ex20ins </w:t>
      </w:r>
      <w:r w:rsidRPr="00500206">
        <w:rPr>
          <w:i/>
          <w:iCs/>
        </w:rPr>
        <w:t>EGFR</w:t>
      </w:r>
      <w:r>
        <w:t xml:space="preserve"> mutations. However, because it binds to the extracellular domain of the EGFR, rather than the intracellular TKI domain (like the EGFR TKIs), its efficacy may not be affected by mutations such as ex20ins (as the EGFR TKIs are).</w:t>
      </w:r>
    </w:p>
    <w:p w14:paraId="1A74CA17" w14:textId="26726FFE" w:rsidR="00C83C50" w:rsidRDefault="00C83C50" w:rsidP="00EF2BDD">
      <w:r>
        <w:t>Cetuximab is a</w:t>
      </w:r>
      <w:r w:rsidRPr="005978EF">
        <w:t xml:space="preserve"> monoclonal anti-EGFR antibod</w:t>
      </w:r>
      <w:r>
        <w:t>y, and has been shown to have</w:t>
      </w:r>
      <w:r w:rsidRPr="005978EF">
        <w:t xml:space="preserve"> limited efficacy in </w:t>
      </w:r>
      <w:r>
        <w:t xml:space="preserve">ex20ins </w:t>
      </w:r>
      <w:r w:rsidRPr="00500206">
        <w:rPr>
          <w:i/>
          <w:iCs/>
        </w:rPr>
        <w:t>EGFR</w:t>
      </w:r>
      <w:r>
        <w:t xml:space="preserve"> mutated </w:t>
      </w:r>
      <w:r w:rsidRPr="005978EF">
        <w:t>NSCLC</w:t>
      </w:r>
      <w:r w:rsidR="0015614F">
        <w:t>,</w:t>
      </w:r>
      <w:r w:rsidRPr="005978EF">
        <w:t xml:space="preserve"> </w:t>
      </w:r>
      <w:r>
        <w:t xml:space="preserve">with </w:t>
      </w:r>
      <w:r w:rsidRPr="005978EF">
        <w:t>substantial toxicity.</w:t>
      </w:r>
      <w:r>
        <w:rPr>
          <w:rStyle w:val="FootnoteReference"/>
        </w:rPr>
        <w:footnoteReference w:id="72"/>
      </w:r>
      <w:r w:rsidRPr="005978EF">
        <w:t xml:space="preserve"> The </w:t>
      </w:r>
      <w:r>
        <w:t>bivalency</w:t>
      </w:r>
      <w:r w:rsidRPr="005978EF">
        <w:t xml:space="preserve"> of </w:t>
      </w:r>
      <w:proofErr w:type="spellStart"/>
      <w:r w:rsidRPr="005978EF">
        <w:t>amivantamab</w:t>
      </w:r>
      <w:proofErr w:type="spellEnd"/>
      <w:r w:rsidRPr="005978EF">
        <w:t xml:space="preserve"> is hypothesi</w:t>
      </w:r>
      <w:r>
        <w:t>s</w:t>
      </w:r>
      <w:r w:rsidRPr="005978EF">
        <w:t xml:space="preserve">ed to increase avidity </w:t>
      </w:r>
      <w:r>
        <w:t>and specificity for</w:t>
      </w:r>
      <w:r w:rsidRPr="005978EF">
        <w:t xml:space="preserve"> tumour cells</w:t>
      </w:r>
      <w:r>
        <w:t xml:space="preserve"> co-overexpressing both EGFR and MET, thereby</w:t>
      </w:r>
      <w:r w:rsidRPr="005978EF">
        <w:t xml:space="preserve"> </w:t>
      </w:r>
      <w:r>
        <w:t xml:space="preserve">increasing anti-growth activity and </w:t>
      </w:r>
      <w:r w:rsidRPr="005978EF">
        <w:t>decreasing off</w:t>
      </w:r>
      <w:r w:rsidR="0051489C">
        <w:t>-</w:t>
      </w:r>
      <w:r w:rsidRPr="005978EF">
        <w:t xml:space="preserve">target effects, </w:t>
      </w:r>
      <w:r>
        <w:t>by comparison to</w:t>
      </w:r>
      <w:r w:rsidRPr="005978EF">
        <w:t xml:space="preserve"> monospecific anti-EGFR antibodies like cetuximab.</w:t>
      </w:r>
      <w:r>
        <w:fldChar w:fldCharType="begin"/>
      </w:r>
      <w:r>
        <w:instrText xml:space="preserve"> NOTEREF _Ref139623603 \f \h </w:instrText>
      </w:r>
      <w:r>
        <w:fldChar w:fldCharType="separate"/>
      </w:r>
      <w:r w:rsidR="0006496E" w:rsidRPr="0006496E">
        <w:rPr>
          <w:rStyle w:val="FootnoteReference"/>
        </w:rPr>
        <w:t>63</w:t>
      </w:r>
      <w:r>
        <w:fldChar w:fldCharType="end"/>
      </w:r>
    </w:p>
    <w:p w14:paraId="0D615854" w14:textId="77777777" w:rsidR="00C83C50" w:rsidRPr="003F31A2" w:rsidRDefault="00C83C50" w:rsidP="00324B33">
      <w:pPr>
        <w:pStyle w:val="Heading3"/>
      </w:pPr>
      <w:bookmarkStart w:id="62" w:name="_Toc103679291"/>
      <w:bookmarkStart w:id="63" w:name="_Toc144288301"/>
      <w:r>
        <w:t>Regulatory status</w:t>
      </w:r>
      <w:bookmarkEnd w:id="62"/>
      <w:bookmarkEnd w:id="63"/>
    </w:p>
    <w:p w14:paraId="6A8633FA" w14:textId="37BB7125" w:rsidR="00C83C50" w:rsidRPr="00BD5DBD" w:rsidRDefault="00C83C50" w:rsidP="00324B33">
      <w:pPr>
        <w:rPr>
          <w:szCs w:val="22"/>
        </w:rPr>
      </w:pPr>
      <w:r w:rsidRPr="00BD5DBD">
        <w:rPr>
          <w:szCs w:val="22"/>
        </w:rPr>
        <w:t>This product is considered a new biological entity for Australian regulatory purposes.</w:t>
      </w:r>
    </w:p>
    <w:p w14:paraId="0CC47DD2" w14:textId="058BE792" w:rsidR="0005737D" w:rsidRDefault="0005737D" w:rsidP="0005737D">
      <w:pPr>
        <w:rPr>
          <w:szCs w:val="22"/>
        </w:rPr>
      </w:pPr>
      <w:r w:rsidRPr="00BD5DBD">
        <w:rPr>
          <w:szCs w:val="22"/>
        </w:rPr>
        <w:t>Th</w:t>
      </w:r>
      <w:r w:rsidR="007F2693">
        <w:rPr>
          <w:szCs w:val="22"/>
        </w:rPr>
        <w:t>e</w:t>
      </w:r>
      <w:r w:rsidRPr="00BD5DBD">
        <w:rPr>
          <w:szCs w:val="22"/>
        </w:rPr>
        <w:t xml:space="preserve"> evaluation </w:t>
      </w:r>
      <w:r w:rsidR="007F2693">
        <w:rPr>
          <w:szCs w:val="22"/>
        </w:rPr>
        <w:t xml:space="preserve">of this product </w:t>
      </w:r>
      <w:r w:rsidRPr="00BD5DBD">
        <w:rPr>
          <w:szCs w:val="22"/>
        </w:rPr>
        <w:t xml:space="preserve">was facilitated through </w:t>
      </w:r>
      <w:hyperlink r:id="rId23" w:history="1">
        <w:r w:rsidRPr="00BD5DBD">
          <w:rPr>
            <w:rStyle w:val="Hyperlink"/>
            <w:szCs w:val="22"/>
          </w:rPr>
          <w:t>Project Orbis</w:t>
        </w:r>
      </w:hyperlink>
      <w:r w:rsidRPr="00BD5DBD">
        <w:rPr>
          <w:szCs w:val="22"/>
        </w:rPr>
        <w:t xml:space="preserve">, an initiative of the FDA Oncology </w:t>
      </w:r>
      <w:proofErr w:type="spellStart"/>
      <w:r w:rsidRPr="00BD5DBD">
        <w:rPr>
          <w:szCs w:val="22"/>
        </w:rPr>
        <w:t>Center</w:t>
      </w:r>
      <w:proofErr w:type="spellEnd"/>
      <w:r w:rsidRPr="00BD5DBD">
        <w:rPr>
          <w:szCs w:val="22"/>
        </w:rPr>
        <w:t xml:space="preserve"> of Excellence. Under this project, </w:t>
      </w:r>
      <w:r w:rsidR="00EB4135">
        <w:rPr>
          <w:szCs w:val="22"/>
        </w:rPr>
        <w:t xml:space="preserve">regulators including </w:t>
      </w:r>
      <w:r w:rsidRPr="00E73547">
        <w:rPr>
          <w:szCs w:val="22"/>
        </w:rPr>
        <w:t xml:space="preserve">the FDA and </w:t>
      </w:r>
      <w:r w:rsidRPr="00BD5DBD">
        <w:rPr>
          <w:szCs w:val="22"/>
        </w:rPr>
        <w:t>the TGA collaboratively review submission</w:t>
      </w:r>
      <w:r w:rsidR="00EB4135">
        <w:rPr>
          <w:szCs w:val="22"/>
        </w:rPr>
        <w:t>s</w:t>
      </w:r>
      <w:r w:rsidRPr="00BD5DBD">
        <w:rPr>
          <w:szCs w:val="22"/>
        </w:rPr>
        <w:t>. This evaluation process provide</w:t>
      </w:r>
      <w:r w:rsidR="00EB4135">
        <w:rPr>
          <w:szCs w:val="22"/>
        </w:rPr>
        <w:t>s</w:t>
      </w:r>
      <w:r w:rsidRPr="00BD5DBD">
        <w:rPr>
          <w:szCs w:val="22"/>
        </w:rPr>
        <w:t xml:space="preserve"> a framework for process alignment and management of evaluation issues in real-time across jurisdictions. Each regulator ma</w:t>
      </w:r>
      <w:r w:rsidR="00EB4135">
        <w:rPr>
          <w:szCs w:val="22"/>
        </w:rPr>
        <w:t>kes</w:t>
      </w:r>
      <w:r w:rsidRPr="00BD5DBD">
        <w:rPr>
          <w:szCs w:val="22"/>
        </w:rPr>
        <w:t xml:space="preserve"> independent decisions regarding approval (market authorisation) of the new medicine</w:t>
      </w:r>
      <w:r w:rsidR="00EB4135">
        <w:rPr>
          <w:szCs w:val="22"/>
        </w:rPr>
        <w:t xml:space="preserve"> or indication</w:t>
      </w:r>
      <w:r w:rsidRPr="00BD5DBD">
        <w:rPr>
          <w:szCs w:val="22"/>
        </w:rPr>
        <w:t>.</w:t>
      </w:r>
    </w:p>
    <w:p w14:paraId="691B8A33" w14:textId="16D4F393" w:rsidR="0005737D" w:rsidRDefault="0005737D" w:rsidP="0005737D">
      <w:pPr>
        <w:rPr>
          <w:lang w:val="en-US"/>
        </w:rPr>
      </w:pPr>
      <w:r>
        <w:t>As a bispecific EGFR and MET-directed antibody, this is a first</w:t>
      </w:r>
      <w:r w:rsidR="00EB4135">
        <w:t>-</w:t>
      </w:r>
      <w:r>
        <w:t>in</w:t>
      </w:r>
      <w:r w:rsidR="00EB4135">
        <w:t>-</w:t>
      </w:r>
      <w:r>
        <w:t xml:space="preserve">class new biological entity in Australia. </w:t>
      </w:r>
      <w:r>
        <w:rPr>
          <w:lang w:val="en-US"/>
        </w:rPr>
        <w:t>Whilst t</w:t>
      </w:r>
      <w:r w:rsidRPr="00BA2A1E">
        <w:rPr>
          <w:lang w:val="en-US"/>
        </w:rPr>
        <w:t xml:space="preserve">he submission was </w:t>
      </w:r>
      <w:r>
        <w:rPr>
          <w:lang w:val="en-US"/>
        </w:rPr>
        <w:t xml:space="preserve">reviewed </w:t>
      </w:r>
      <w:r w:rsidRPr="00BA2A1E">
        <w:rPr>
          <w:lang w:val="en-US"/>
        </w:rPr>
        <w:t>under Project Orbis</w:t>
      </w:r>
      <w:r>
        <w:rPr>
          <w:lang w:val="en-US"/>
        </w:rPr>
        <w:t>,</w:t>
      </w:r>
      <w:r>
        <w:rPr>
          <w:rStyle w:val="FootnoteReference"/>
          <w:lang w:val="en-US"/>
        </w:rPr>
        <w:footnoteReference w:id="73"/>
      </w:r>
      <w:r>
        <w:rPr>
          <w:lang w:val="en-US"/>
        </w:rPr>
        <w:t xml:space="preserve"> TGA did not receive an application until October 2021, and was not </w:t>
      </w:r>
      <w:r w:rsidR="00EB4135">
        <w:rPr>
          <w:lang w:val="en-US"/>
        </w:rPr>
        <w:t xml:space="preserve">actively </w:t>
      </w:r>
      <w:r>
        <w:rPr>
          <w:lang w:val="en-US"/>
        </w:rPr>
        <w:t>part of the review, which FDA completed in May 2021.</w:t>
      </w:r>
      <w:r>
        <w:rPr>
          <w:lang w:val="en-US"/>
        </w:rPr>
        <w:fldChar w:fldCharType="begin"/>
      </w:r>
      <w:r>
        <w:rPr>
          <w:lang w:val="en-US"/>
        </w:rPr>
        <w:instrText xml:space="preserve"> NOTEREF _Ref139030832 \f \h </w:instrText>
      </w:r>
      <w:r>
        <w:rPr>
          <w:lang w:val="en-US"/>
        </w:rPr>
      </w:r>
      <w:r>
        <w:rPr>
          <w:lang w:val="en-US"/>
        </w:rPr>
        <w:fldChar w:fldCharType="separate"/>
      </w:r>
      <w:r w:rsidR="0006496E" w:rsidRPr="0006496E">
        <w:rPr>
          <w:rStyle w:val="FootnoteReference"/>
        </w:rPr>
        <w:t>76</w:t>
      </w:r>
      <w:r>
        <w:rPr>
          <w:lang w:val="en-US"/>
        </w:rPr>
        <w:fldChar w:fldCharType="end"/>
      </w:r>
      <w:r>
        <w:rPr>
          <w:lang w:val="en-US"/>
        </w:rPr>
        <w:t xml:space="preserve"> </w:t>
      </w:r>
    </w:p>
    <w:p w14:paraId="6091A71C" w14:textId="12B3C760" w:rsidR="0005737D" w:rsidRPr="00CE54C5" w:rsidRDefault="0005737D" w:rsidP="0005737D">
      <w:pPr>
        <w:rPr>
          <w:lang w:val="en-US"/>
        </w:rPr>
      </w:pPr>
      <w:r w:rsidRPr="00CE54C5">
        <w:rPr>
          <w:lang w:val="en-US"/>
        </w:rPr>
        <w:t xml:space="preserve">The </w:t>
      </w:r>
      <w:r>
        <w:rPr>
          <w:lang w:val="en-US"/>
        </w:rPr>
        <w:t xml:space="preserve">Australian </w:t>
      </w:r>
      <w:proofErr w:type="spellStart"/>
      <w:r w:rsidRPr="00CE54C5">
        <w:rPr>
          <w:lang w:val="en-US"/>
        </w:rPr>
        <w:t>amivantamab</w:t>
      </w:r>
      <w:proofErr w:type="spellEnd"/>
      <w:r w:rsidRPr="00CE54C5">
        <w:rPr>
          <w:lang w:val="en-US"/>
        </w:rPr>
        <w:t xml:space="preserve"> application </w:t>
      </w:r>
      <w:r>
        <w:rPr>
          <w:lang w:val="en-US"/>
        </w:rPr>
        <w:t xml:space="preserve">is based on the same clinical study that was reviewed under Project Orbis, and which is </w:t>
      </w:r>
      <w:proofErr w:type="spellStart"/>
      <w:r>
        <w:rPr>
          <w:lang w:val="en-US"/>
        </w:rPr>
        <w:t>summarised</w:t>
      </w:r>
      <w:proofErr w:type="spellEnd"/>
      <w:r>
        <w:rPr>
          <w:lang w:val="en-US"/>
        </w:rPr>
        <w:t xml:space="preserve"> in the FDA MDR document for </w:t>
      </w:r>
      <w:proofErr w:type="spellStart"/>
      <w:r>
        <w:rPr>
          <w:lang w:val="en-US"/>
        </w:rPr>
        <w:t>amivantamab</w:t>
      </w:r>
      <w:proofErr w:type="spellEnd"/>
      <w:r>
        <w:rPr>
          <w:lang w:val="en-US"/>
        </w:rPr>
        <w:t>.</w:t>
      </w:r>
      <w:r>
        <w:rPr>
          <w:lang w:val="en-US"/>
        </w:rPr>
        <w:fldChar w:fldCharType="begin"/>
      </w:r>
      <w:r>
        <w:rPr>
          <w:lang w:val="en-US"/>
        </w:rPr>
        <w:instrText xml:space="preserve"> NOTEREF _Ref139030832 \f \h </w:instrText>
      </w:r>
      <w:r>
        <w:rPr>
          <w:lang w:val="en-US"/>
        </w:rPr>
      </w:r>
      <w:r>
        <w:rPr>
          <w:lang w:val="en-US"/>
        </w:rPr>
        <w:fldChar w:fldCharType="separate"/>
      </w:r>
      <w:r w:rsidR="0006496E" w:rsidRPr="0006496E">
        <w:rPr>
          <w:rStyle w:val="FootnoteReference"/>
        </w:rPr>
        <w:t>76</w:t>
      </w:r>
      <w:r>
        <w:rPr>
          <w:lang w:val="en-US"/>
        </w:rPr>
        <w:fldChar w:fldCharType="end"/>
      </w:r>
      <w:r>
        <w:rPr>
          <w:lang w:val="en-US"/>
        </w:rPr>
        <w:t xml:space="preserve"> </w:t>
      </w:r>
      <w:r w:rsidR="00EB4135">
        <w:rPr>
          <w:lang w:val="en-US"/>
        </w:rPr>
        <w:t>T</w:t>
      </w:r>
      <w:r w:rsidRPr="00CE54C5">
        <w:rPr>
          <w:lang w:val="en-US"/>
        </w:rPr>
        <w:t xml:space="preserve">he FDA approval for </w:t>
      </w:r>
      <w:proofErr w:type="spellStart"/>
      <w:r w:rsidRPr="00CE54C5">
        <w:rPr>
          <w:lang w:val="en-US"/>
        </w:rPr>
        <w:t>amivantamab</w:t>
      </w:r>
      <w:proofErr w:type="spellEnd"/>
      <w:r w:rsidRPr="00CE54C5">
        <w:rPr>
          <w:lang w:val="en-US"/>
        </w:rPr>
        <w:t xml:space="preserve"> was based on </w:t>
      </w:r>
      <w:r>
        <w:rPr>
          <w:lang w:val="en-US"/>
        </w:rPr>
        <w:t xml:space="preserve">data from a clinical cut-off (CCO) date of </w:t>
      </w:r>
      <w:r w:rsidRPr="00CE54C5">
        <w:rPr>
          <w:lang w:val="en-US"/>
        </w:rPr>
        <w:t xml:space="preserve">8 </w:t>
      </w:r>
      <w:r w:rsidRPr="00CE54C5">
        <w:rPr>
          <w:lang w:val="en-US"/>
        </w:rPr>
        <w:lastRenderedPageBreak/>
        <w:t>Jun</w:t>
      </w:r>
      <w:r>
        <w:rPr>
          <w:lang w:val="en-US"/>
        </w:rPr>
        <w:t>e</w:t>
      </w:r>
      <w:r w:rsidRPr="00CE54C5">
        <w:rPr>
          <w:lang w:val="en-US"/>
        </w:rPr>
        <w:t xml:space="preserve"> 2020</w:t>
      </w:r>
      <w:r>
        <w:rPr>
          <w:lang w:val="en-US"/>
        </w:rPr>
        <w:t>,</w:t>
      </w:r>
      <w:r w:rsidRPr="00CE54C5">
        <w:rPr>
          <w:lang w:val="en-US"/>
        </w:rPr>
        <w:t xml:space="preserve"> </w:t>
      </w:r>
      <w:r>
        <w:rPr>
          <w:lang w:val="en-US"/>
        </w:rPr>
        <w:t xml:space="preserve">with an update from </w:t>
      </w:r>
      <w:r w:rsidRPr="00CE54C5">
        <w:rPr>
          <w:lang w:val="en-US"/>
        </w:rPr>
        <w:t xml:space="preserve">8 </w:t>
      </w:r>
      <w:r>
        <w:rPr>
          <w:lang w:val="en-US"/>
        </w:rPr>
        <w:t>October</w:t>
      </w:r>
      <w:r w:rsidRPr="00CE54C5">
        <w:rPr>
          <w:lang w:val="en-US"/>
        </w:rPr>
        <w:t xml:space="preserve"> 2020</w:t>
      </w:r>
      <w:r w:rsidR="00EB4135">
        <w:rPr>
          <w:lang w:val="en-US"/>
        </w:rPr>
        <w:t>.</w:t>
      </w:r>
      <w:r w:rsidRPr="00CE54C5">
        <w:rPr>
          <w:lang w:val="en-US"/>
        </w:rPr>
        <w:t xml:space="preserve"> </w:t>
      </w:r>
      <w:r w:rsidR="00EB4135">
        <w:rPr>
          <w:lang w:val="en-US"/>
        </w:rPr>
        <w:t>T</w:t>
      </w:r>
      <w:r w:rsidRPr="00CE54C5">
        <w:rPr>
          <w:lang w:val="en-US"/>
        </w:rPr>
        <w:t xml:space="preserve">he Australian </w:t>
      </w:r>
      <w:r>
        <w:rPr>
          <w:lang w:val="en-US"/>
        </w:rPr>
        <w:t>submission</w:t>
      </w:r>
      <w:r w:rsidRPr="00CE54C5">
        <w:rPr>
          <w:lang w:val="en-US"/>
        </w:rPr>
        <w:t xml:space="preserve"> </w:t>
      </w:r>
      <w:r w:rsidR="00EB4135">
        <w:rPr>
          <w:lang w:val="en-US"/>
        </w:rPr>
        <w:t>additionally</w:t>
      </w:r>
      <w:r w:rsidRPr="00CE54C5">
        <w:rPr>
          <w:lang w:val="en-US"/>
        </w:rPr>
        <w:t xml:space="preserve"> include</w:t>
      </w:r>
      <w:r w:rsidR="00EB4135">
        <w:rPr>
          <w:lang w:val="en-US"/>
        </w:rPr>
        <w:t>d</w:t>
      </w:r>
      <w:r w:rsidRPr="00CE54C5">
        <w:rPr>
          <w:lang w:val="en-US"/>
        </w:rPr>
        <w:t xml:space="preserve"> </w:t>
      </w:r>
      <w:r>
        <w:rPr>
          <w:lang w:val="en-US"/>
        </w:rPr>
        <w:t>a</w:t>
      </w:r>
      <w:r w:rsidRPr="00CE54C5">
        <w:rPr>
          <w:lang w:val="en-US"/>
        </w:rPr>
        <w:t xml:space="preserve"> </w:t>
      </w:r>
      <w:r>
        <w:rPr>
          <w:lang w:val="en-US"/>
        </w:rPr>
        <w:t>c</w:t>
      </w:r>
      <w:r w:rsidRPr="00CE54C5">
        <w:rPr>
          <w:lang w:val="en-US"/>
        </w:rPr>
        <w:t xml:space="preserve">linical </w:t>
      </w:r>
      <w:r>
        <w:rPr>
          <w:lang w:val="en-US"/>
        </w:rPr>
        <w:t>s</w:t>
      </w:r>
      <w:r w:rsidRPr="00CE54C5">
        <w:rPr>
          <w:lang w:val="en-US"/>
        </w:rPr>
        <w:t xml:space="preserve">tudy </w:t>
      </w:r>
      <w:r>
        <w:rPr>
          <w:lang w:val="en-US"/>
        </w:rPr>
        <w:t>r</w:t>
      </w:r>
      <w:r w:rsidRPr="00CE54C5">
        <w:rPr>
          <w:lang w:val="en-US"/>
        </w:rPr>
        <w:t xml:space="preserve">eport </w:t>
      </w:r>
      <w:r>
        <w:rPr>
          <w:lang w:val="en-US"/>
        </w:rPr>
        <w:t xml:space="preserve">(CSR) </w:t>
      </w:r>
      <w:r w:rsidRPr="00CE54C5">
        <w:rPr>
          <w:lang w:val="en-US"/>
        </w:rPr>
        <w:t>addendum from the more recent 30 Mar</w:t>
      </w:r>
      <w:r>
        <w:rPr>
          <w:lang w:val="en-US"/>
        </w:rPr>
        <w:t>ch</w:t>
      </w:r>
      <w:r w:rsidRPr="00CE54C5">
        <w:rPr>
          <w:lang w:val="en-US"/>
        </w:rPr>
        <w:t xml:space="preserve"> 2021 </w:t>
      </w:r>
      <w:r>
        <w:rPr>
          <w:lang w:val="en-US"/>
        </w:rPr>
        <w:t>CCO.</w:t>
      </w:r>
    </w:p>
    <w:p w14:paraId="4EC4BC2E" w14:textId="73E3392E" w:rsidR="0005737D" w:rsidRPr="00697665" w:rsidRDefault="00CA01CE" w:rsidP="0005737D">
      <w:pPr>
        <w:rPr>
          <w:lang w:val="en-US"/>
        </w:rPr>
      </w:pPr>
      <w:r>
        <w:rPr>
          <w:lang w:val="en-US"/>
        </w:rPr>
        <w:t>Further</w:t>
      </w:r>
      <w:r w:rsidR="0005737D">
        <w:rPr>
          <w:lang w:val="en-US"/>
        </w:rPr>
        <w:t>, a</w:t>
      </w:r>
      <w:r w:rsidR="0005737D" w:rsidRPr="00CE54C5">
        <w:rPr>
          <w:lang w:val="en-US"/>
        </w:rPr>
        <w:t>s supportive information,</w:t>
      </w:r>
      <w:r w:rsidR="0005737D">
        <w:rPr>
          <w:lang w:val="en-US"/>
        </w:rPr>
        <w:t xml:space="preserve"> the sponsor has submitted real world evidence (RWE) in the form of</w:t>
      </w:r>
      <w:r w:rsidR="0005737D" w:rsidRPr="00CE54C5">
        <w:rPr>
          <w:lang w:val="en-US"/>
        </w:rPr>
        <w:t xml:space="preserve"> results from a retrospective cohort study</w:t>
      </w:r>
      <w:r w:rsidR="0005737D">
        <w:rPr>
          <w:lang w:val="en-US"/>
        </w:rPr>
        <w:t xml:space="preserve"> </w:t>
      </w:r>
      <w:r w:rsidR="0005737D" w:rsidRPr="00CE54C5">
        <w:rPr>
          <w:lang w:val="en-US"/>
        </w:rPr>
        <w:t>conducted in the US</w:t>
      </w:r>
      <w:r>
        <w:rPr>
          <w:lang w:val="en-US"/>
        </w:rPr>
        <w:t>A</w:t>
      </w:r>
      <w:r w:rsidR="0005737D" w:rsidRPr="00CE54C5">
        <w:rPr>
          <w:lang w:val="en-US"/>
        </w:rPr>
        <w:t xml:space="preserve"> using the </w:t>
      </w:r>
      <w:r w:rsidR="0005737D">
        <w:rPr>
          <w:lang w:val="en-US"/>
        </w:rPr>
        <w:t>A</w:t>
      </w:r>
      <w:r w:rsidR="0005737D" w:rsidRPr="00CE54C5">
        <w:rPr>
          <w:lang w:val="en-US"/>
        </w:rPr>
        <w:t>dvanced NSCLC Flatiron Core Registry</w:t>
      </w:r>
      <w:r w:rsidR="0005737D">
        <w:rPr>
          <w:lang w:val="en-US"/>
        </w:rPr>
        <w:t xml:space="preserve"> (</w:t>
      </w:r>
      <w:r w:rsidR="0005737D" w:rsidRPr="00CE54C5">
        <w:rPr>
          <w:lang w:val="en-US"/>
        </w:rPr>
        <w:t>Study 61186372NSC1002RWE</w:t>
      </w:r>
      <w:r w:rsidR="0005737D">
        <w:rPr>
          <w:lang w:val="en-US"/>
        </w:rPr>
        <w:t>).</w:t>
      </w:r>
    </w:p>
    <w:p w14:paraId="3E13C204" w14:textId="5800233C" w:rsidR="00C83C50" w:rsidRPr="00F41E50" w:rsidRDefault="00CA01CE" w:rsidP="00F41E50">
      <w:r>
        <w:t>During</w:t>
      </w:r>
      <w:r w:rsidRPr="00F41E50">
        <w:t xml:space="preserve"> </w:t>
      </w:r>
      <w:r w:rsidR="00C83C50" w:rsidRPr="00F41E50">
        <w:t xml:space="preserve">the time the TGA </w:t>
      </w:r>
      <w:r w:rsidR="002C33D7">
        <w:t xml:space="preserve">was </w:t>
      </w:r>
      <w:r w:rsidR="002C33D7" w:rsidRPr="00F41E50">
        <w:t>consider</w:t>
      </w:r>
      <w:r w:rsidR="002C33D7">
        <w:t>ing</w:t>
      </w:r>
      <w:r w:rsidR="002C33D7" w:rsidRPr="00F41E50">
        <w:t xml:space="preserve"> </w:t>
      </w:r>
      <w:r w:rsidR="00C83C50" w:rsidRPr="00F41E50">
        <w:t xml:space="preserve">this submission, </w:t>
      </w:r>
      <w:proofErr w:type="spellStart"/>
      <w:r w:rsidR="00C83C50" w:rsidRPr="00F41E50">
        <w:t>amivantamab</w:t>
      </w:r>
      <w:proofErr w:type="spellEnd"/>
      <w:r w:rsidR="00C83C50" w:rsidRPr="00F41E50">
        <w:t xml:space="preserve"> received accelerated approval from the FDA </w:t>
      </w:r>
      <w:r w:rsidR="00C83C50">
        <w:t>(</w:t>
      </w:r>
      <w:r w:rsidR="008F30AE">
        <w:t xml:space="preserve">on </w:t>
      </w:r>
      <w:r w:rsidR="00C83C50" w:rsidRPr="00F41E50">
        <w:t>21 May 2021</w:t>
      </w:r>
      <w:r w:rsidR="008F30AE">
        <w:t>)</w:t>
      </w:r>
      <w:r w:rsidR="00C83C50" w:rsidRPr="00F41E50">
        <w:t xml:space="preserve">, with the Guardant360 </w:t>
      </w:r>
      <w:proofErr w:type="spellStart"/>
      <w:r w:rsidR="00C83C50" w:rsidRPr="00F41E50">
        <w:t>CDx</w:t>
      </w:r>
      <w:proofErr w:type="spellEnd"/>
      <w:r w:rsidR="00C83C50" w:rsidRPr="00F41E50">
        <w:t xml:space="preserve"> (Guardant Health Inc.) test as a companion diagnostic device to select patients for treatment.</w:t>
      </w:r>
      <w:r w:rsidR="00C83C50">
        <w:rPr>
          <w:rStyle w:val="FootnoteReference"/>
        </w:rPr>
        <w:footnoteReference w:id="74"/>
      </w:r>
      <w:r w:rsidR="00C83C50" w:rsidRPr="00F41E50">
        <w:t xml:space="preserve"> FDA approval was based on data from the multi-cohort CHRYSALIS trial, and the drug approval package is publicly available on the FDA website,</w:t>
      </w:r>
      <w:r w:rsidR="00C83C50">
        <w:rPr>
          <w:rStyle w:val="FootnoteReference"/>
        </w:rPr>
        <w:footnoteReference w:id="75"/>
      </w:r>
      <w:r w:rsidR="00C83C50" w:rsidRPr="00F41E50">
        <w:t xml:space="preserve"> including the MDR which details the clinical review.</w:t>
      </w:r>
      <w:bookmarkStart w:id="64" w:name="_Ref139030832"/>
      <w:r w:rsidR="00C83C50">
        <w:rPr>
          <w:rStyle w:val="FootnoteReference"/>
        </w:rPr>
        <w:footnoteReference w:id="76"/>
      </w:r>
      <w:bookmarkEnd w:id="64"/>
      <w:r w:rsidR="00C83C50" w:rsidRPr="00F41E50">
        <w:t xml:space="preserve"> The approved accelerated indication </w:t>
      </w:r>
      <w:r w:rsidR="008F30AE">
        <w:t>wa</w:t>
      </w:r>
      <w:r w:rsidR="00C83C50" w:rsidRPr="00F41E50">
        <w:t>s:</w:t>
      </w:r>
      <w:bookmarkStart w:id="65" w:name="_Ref139030569"/>
      <w:r w:rsidR="00C83C50">
        <w:rPr>
          <w:rStyle w:val="FootnoteReference"/>
        </w:rPr>
        <w:footnoteReference w:id="77"/>
      </w:r>
      <w:bookmarkEnd w:id="65"/>
    </w:p>
    <w:p w14:paraId="1706F7EF" w14:textId="47A44320" w:rsidR="00C83C50" w:rsidRPr="00A15589" w:rsidRDefault="00C83C50" w:rsidP="00A15589">
      <w:pPr>
        <w:ind w:left="720"/>
        <w:rPr>
          <w:i/>
          <w:iCs/>
        </w:rPr>
      </w:pPr>
      <w:r w:rsidRPr="00A15589">
        <w:rPr>
          <w:i/>
          <w:iCs/>
        </w:rPr>
        <w:t>…indicated for treatment of adult patients with locally advanced or metastatic non-small lung cancer (NSCLC) with epidermal growth factor receptor (EGFR) exon 20 insertion mutations, as detected by an FDA-approved test, whose disease has progressed on or after platinum-based chemotherapy.</w:t>
      </w:r>
    </w:p>
    <w:p w14:paraId="0162558F" w14:textId="5C7854A9" w:rsidR="00C83C50" w:rsidRPr="00F41E50" w:rsidRDefault="00C83C50" w:rsidP="00F41E50">
      <w:r>
        <w:t xml:space="preserve">The </w:t>
      </w:r>
      <w:r w:rsidRPr="00F41E50">
        <w:t xml:space="preserve">FDA </w:t>
      </w:r>
      <w:proofErr w:type="spellStart"/>
      <w:r w:rsidRPr="00F41E50">
        <w:t>postmarketing</w:t>
      </w:r>
      <w:proofErr w:type="spellEnd"/>
      <w:r w:rsidRPr="00F41E50">
        <w:t xml:space="preserve"> requirements and commitments are outlined in the approval letter, and include a final clinical study report from a randomised trial of </w:t>
      </w:r>
      <w:proofErr w:type="spellStart"/>
      <w:r w:rsidRPr="00F41E50">
        <w:t>amivantamab</w:t>
      </w:r>
      <w:proofErr w:type="spellEnd"/>
      <w:r w:rsidRPr="00F41E50">
        <w:t xml:space="preserve"> to confirm the clinical benefit in the approved indication, expected to be available in first quarter of 2023</w:t>
      </w:r>
      <w:r w:rsidRPr="00A15589">
        <w:t>.</w:t>
      </w:r>
      <w:r w:rsidRPr="00A823D4">
        <w:rPr>
          <w:vertAlign w:val="superscript"/>
        </w:rPr>
        <w:fldChar w:fldCharType="begin"/>
      </w:r>
      <w:r w:rsidRPr="00A823D4">
        <w:rPr>
          <w:vertAlign w:val="superscript"/>
        </w:rPr>
        <w:instrText xml:space="preserve"> NOTEREF _Ref139030569 \f \h  \* MERGEFORMAT </w:instrText>
      </w:r>
      <w:r w:rsidRPr="00A823D4">
        <w:rPr>
          <w:vertAlign w:val="superscript"/>
        </w:rPr>
      </w:r>
      <w:r w:rsidRPr="00A823D4">
        <w:rPr>
          <w:vertAlign w:val="superscript"/>
        </w:rPr>
        <w:fldChar w:fldCharType="separate"/>
      </w:r>
      <w:r w:rsidR="0006496E" w:rsidRPr="0006496E">
        <w:t>77</w:t>
      </w:r>
      <w:r w:rsidRPr="00A823D4">
        <w:rPr>
          <w:vertAlign w:val="superscript"/>
        </w:rPr>
        <w:fldChar w:fldCharType="end"/>
      </w:r>
    </w:p>
    <w:p w14:paraId="3478F83C" w14:textId="46F4BDCF" w:rsidR="00C83C50" w:rsidRPr="00F41E50" w:rsidRDefault="00C83C50" w:rsidP="00F41E50">
      <w:proofErr w:type="spellStart"/>
      <w:r w:rsidRPr="00F41E50">
        <w:t>Amivantamab</w:t>
      </w:r>
      <w:proofErr w:type="spellEnd"/>
      <w:r w:rsidRPr="00F41E50">
        <w:t xml:space="preserve"> received conditional marketing authorisation by the European Medicines Agency (EMA) on 9 </w:t>
      </w:r>
      <w:r>
        <w:t>December</w:t>
      </w:r>
      <w:r w:rsidRPr="00F41E50">
        <w:t xml:space="preserve"> 2021.</w:t>
      </w:r>
      <w:r w:rsidRPr="00F41E50">
        <w:rPr>
          <w:vertAlign w:val="superscript"/>
        </w:rPr>
        <w:footnoteReference w:id="78"/>
      </w:r>
      <w:r w:rsidRPr="00F41E50">
        <w:t xml:space="preserve"> The conditionally approved indication </w:t>
      </w:r>
      <w:r w:rsidR="00540166">
        <w:t>wa</w:t>
      </w:r>
      <w:r w:rsidRPr="00F41E50">
        <w:t>s:</w:t>
      </w:r>
      <w:r w:rsidRPr="00F41E50">
        <w:rPr>
          <w:vertAlign w:val="superscript"/>
        </w:rPr>
        <w:footnoteReference w:id="79"/>
      </w:r>
    </w:p>
    <w:p w14:paraId="1FD7F2DC" w14:textId="40304677" w:rsidR="00C83C50" w:rsidRPr="00A15589" w:rsidRDefault="00C83C50" w:rsidP="00A15589">
      <w:pPr>
        <w:ind w:left="720"/>
        <w:rPr>
          <w:i/>
          <w:iCs/>
        </w:rPr>
      </w:pPr>
      <w:proofErr w:type="spellStart"/>
      <w:r w:rsidRPr="00A15589">
        <w:rPr>
          <w:i/>
          <w:iCs/>
        </w:rPr>
        <w:t>Rybrevant</w:t>
      </w:r>
      <w:proofErr w:type="spellEnd"/>
      <w:r w:rsidRPr="00A15589">
        <w:rPr>
          <w:i/>
          <w:iCs/>
        </w:rPr>
        <w:t xml:space="preserve"> as monotherapy is indicated for treatment of adult patients with advanced non-small cell lung cancer (NSCLC) with activating epidermal growth factor receptor (EGFR) Exon 20 insertion mutations, after failure of platinum-based therapy.</w:t>
      </w:r>
    </w:p>
    <w:p w14:paraId="3A8CB7D4" w14:textId="3C474CF2" w:rsidR="00C83C50" w:rsidRPr="00F41E50" w:rsidRDefault="00C83C50" w:rsidP="00F41E50">
      <w:proofErr w:type="spellStart"/>
      <w:r w:rsidRPr="00F41E50">
        <w:t>Amivantamab</w:t>
      </w:r>
      <w:proofErr w:type="spellEnd"/>
      <w:r w:rsidRPr="00F41E50">
        <w:t xml:space="preserve"> received marketing authorisation with conditions from Health Canada on 30 Mar</w:t>
      </w:r>
      <w:r>
        <w:t>ch</w:t>
      </w:r>
      <w:r w:rsidRPr="00F41E50">
        <w:t xml:space="preserve"> 2022.</w:t>
      </w:r>
      <w:r w:rsidRPr="00F41E50">
        <w:rPr>
          <w:vertAlign w:val="superscript"/>
        </w:rPr>
        <w:footnoteReference w:id="80"/>
      </w:r>
      <w:r w:rsidRPr="00F41E50">
        <w:t xml:space="preserve"> The indication, issued a notice of compliance with conditions</w:t>
      </w:r>
      <w:r w:rsidR="00540166">
        <w:t>,</w:t>
      </w:r>
      <w:r w:rsidRPr="00F41E50">
        <w:t xml:space="preserve"> </w:t>
      </w:r>
      <w:r w:rsidR="00540166">
        <w:t>wa</w:t>
      </w:r>
      <w:r w:rsidRPr="00F41E50">
        <w:t>s:</w:t>
      </w:r>
    </w:p>
    <w:p w14:paraId="4375104D" w14:textId="77777777" w:rsidR="00C83C50" w:rsidRPr="00A15589" w:rsidRDefault="00C83C50" w:rsidP="00A15589">
      <w:pPr>
        <w:ind w:left="720"/>
      </w:pPr>
      <w:r w:rsidRPr="00A15589">
        <w:t>The treatment of adult patients with locally advanced or metastatic non-small cell lung cancer (NSCLC) with activating epidermal-growth factor receptor (EGFR) Exon 20 insertion mutations whose disease has progressed on or after platinum-based chemotherapy,</w:t>
      </w:r>
    </w:p>
    <w:p w14:paraId="7CFF38AE" w14:textId="0FA9192C" w:rsidR="00C83C50" w:rsidRPr="00F41E50" w:rsidRDefault="00C83C50" w:rsidP="00F41E50">
      <w:r w:rsidRPr="00F41E50">
        <w:t xml:space="preserve">Approvals have also been made by the United Kingdom (15 </w:t>
      </w:r>
      <w:r>
        <w:t>November</w:t>
      </w:r>
      <w:r w:rsidRPr="00F41E50">
        <w:t xml:space="preserve"> 2021),</w:t>
      </w:r>
      <w:r w:rsidRPr="00F41E50">
        <w:rPr>
          <w:vertAlign w:val="superscript"/>
        </w:rPr>
        <w:footnoteReference w:id="81"/>
      </w:r>
      <w:r w:rsidRPr="00F41E50">
        <w:t xml:space="preserve"> Singapore (13 Jul</w:t>
      </w:r>
      <w:r>
        <w:t>y</w:t>
      </w:r>
      <w:r w:rsidRPr="00F41E50">
        <w:t xml:space="preserve"> 2022), and Switzerland (20 </w:t>
      </w:r>
      <w:r>
        <w:t>January</w:t>
      </w:r>
      <w:r w:rsidRPr="00F41E50">
        <w:t xml:space="preserve"> 2022).</w:t>
      </w:r>
    </w:p>
    <w:p w14:paraId="064CCADF" w14:textId="77777777" w:rsidR="00C83C50" w:rsidRDefault="00C83C50" w:rsidP="00324B33">
      <w:pPr>
        <w:pStyle w:val="Heading3"/>
      </w:pPr>
      <w:bookmarkStart w:id="66" w:name="_Toc103679292"/>
      <w:bookmarkStart w:id="67" w:name="_Toc144288302"/>
      <w:r>
        <w:lastRenderedPageBreak/>
        <w:t>Product Information</w:t>
      </w:r>
      <w:bookmarkEnd w:id="66"/>
      <w:bookmarkEnd w:id="67"/>
    </w:p>
    <w:p w14:paraId="4B0F7D57" w14:textId="4D0A6BD1" w:rsidR="00C83C50" w:rsidRPr="00BD5DBD" w:rsidRDefault="00C83C50" w:rsidP="00324B33">
      <w:pPr>
        <w:rPr>
          <w:szCs w:val="22"/>
        </w:rPr>
      </w:pPr>
      <w:bookmarkStart w:id="68" w:name="_Toc504480011"/>
      <w:r w:rsidRPr="00BD5DBD">
        <w:rPr>
          <w:szCs w:val="22"/>
        </w:rPr>
        <w:t xml:space="preserve">The </w:t>
      </w:r>
      <w:hyperlink r:id="rId24" w:history="1">
        <w:r w:rsidRPr="00BD5DBD">
          <w:rPr>
            <w:rStyle w:val="Hyperlink"/>
            <w:szCs w:val="22"/>
          </w:rPr>
          <w:t>Product Information</w:t>
        </w:r>
      </w:hyperlink>
      <w:r w:rsidRPr="00BD5DBD">
        <w:rPr>
          <w:szCs w:val="22"/>
        </w:rPr>
        <w:t xml:space="preserve"> (</w:t>
      </w:r>
      <w:hyperlink r:id="rId25" w:history="1">
        <w:r w:rsidRPr="00BD5DBD">
          <w:rPr>
            <w:rStyle w:val="Hyperlink"/>
            <w:szCs w:val="22"/>
          </w:rPr>
          <w:t>PI</w:t>
        </w:r>
      </w:hyperlink>
      <w:r w:rsidRPr="00BD5DBD">
        <w:rPr>
          <w:szCs w:val="22"/>
        </w:rPr>
        <w:t xml:space="preserve">) approved with the submission which is described in this AusPAR can be found as Attachment 1. </w:t>
      </w:r>
      <w:r w:rsidR="006F7F2F">
        <w:rPr>
          <w:szCs w:val="22"/>
        </w:rPr>
        <w:t xml:space="preserve">It may have changed since publication of this AusPAR document. </w:t>
      </w:r>
      <w:r w:rsidRPr="00BD5DBD">
        <w:rPr>
          <w:szCs w:val="22"/>
        </w:rPr>
        <w:t xml:space="preserve">For the most recent PI and </w:t>
      </w:r>
      <w:hyperlink r:id="rId26" w:history="1">
        <w:r w:rsidRPr="00BD5DBD">
          <w:rPr>
            <w:rStyle w:val="Hyperlink"/>
            <w:szCs w:val="22"/>
          </w:rPr>
          <w:t>Consumer Medicines Information</w:t>
        </w:r>
      </w:hyperlink>
      <w:r w:rsidRPr="00BD5DBD">
        <w:rPr>
          <w:szCs w:val="22"/>
        </w:rPr>
        <w:t xml:space="preserve"> (CMI), please refer to the TGA </w:t>
      </w:r>
      <w:hyperlink r:id="rId27" w:history="1">
        <w:r w:rsidRPr="00BD5DBD">
          <w:rPr>
            <w:rStyle w:val="Hyperlink"/>
            <w:szCs w:val="22"/>
          </w:rPr>
          <w:t>PI/CMI search facility.</w:t>
        </w:r>
      </w:hyperlink>
    </w:p>
    <w:p w14:paraId="6D92589C" w14:textId="77777777" w:rsidR="00C83C50" w:rsidRDefault="00C83C50" w:rsidP="00324B33">
      <w:pPr>
        <w:pStyle w:val="Heading2"/>
      </w:pPr>
      <w:bookmarkStart w:id="69" w:name="_Toc103679293"/>
      <w:bookmarkStart w:id="70" w:name="_Toc144288303"/>
      <w:r>
        <w:t>Registration timeline</w:t>
      </w:r>
      <w:bookmarkEnd w:id="68"/>
      <w:bookmarkEnd w:id="69"/>
      <w:bookmarkEnd w:id="70"/>
    </w:p>
    <w:p w14:paraId="225E3D87" w14:textId="1F3070CE" w:rsidR="00C83C50" w:rsidRPr="00BD5DBD" w:rsidRDefault="00C83C50" w:rsidP="00324B33">
      <w:pPr>
        <w:rPr>
          <w:szCs w:val="22"/>
        </w:rPr>
      </w:pPr>
      <w:r w:rsidRPr="00BD5DBD">
        <w:rPr>
          <w:szCs w:val="22"/>
        </w:rPr>
        <w:t>The following table captures the key steps and dates for this submission.</w:t>
      </w:r>
    </w:p>
    <w:p w14:paraId="1B885475" w14:textId="0F232C15" w:rsidR="00C83C50" w:rsidRPr="00BD5DBD" w:rsidRDefault="00C83C50" w:rsidP="00324B33">
      <w:pPr>
        <w:rPr>
          <w:szCs w:val="22"/>
        </w:rPr>
      </w:pPr>
      <w:r w:rsidRPr="00BD5DBD">
        <w:rPr>
          <w:szCs w:val="22"/>
        </w:rPr>
        <w:t xml:space="preserve">This submission was evaluated under the </w:t>
      </w:r>
      <w:hyperlink r:id="rId28" w:history="1">
        <w:r w:rsidRPr="00BD5DBD">
          <w:rPr>
            <w:rStyle w:val="Hyperlink"/>
            <w:szCs w:val="22"/>
          </w:rPr>
          <w:t>provisional registration process</w:t>
        </w:r>
      </w:hyperlink>
      <w:r w:rsidRPr="00BD5DBD">
        <w:rPr>
          <w:szCs w:val="22"/>
        </w:rPr>
        <w:t>.</w:t>
      </w:r>
    </w:p>
    <w:p w14:paraId="44628C5F" w14:textId="64674477" w:rsidR="00C83C50" w:rsidRDefault="00C83C50" w:rsidP="0013528C">
      <w:pPr>
        <w:pStyle w:val="TableTitle"/>
      </w:pPr>
      <w:r>
        <w:t xml:space="preserve">Table </w:t>
      </w:r>
      <w:r>
        <w:fldChar w:fldCharType="begin"/>
      </w:r>
      <w:r>
        <w:rPr>
          <w:b w:val="0"/>
        </w:rPr>
        <w:instrText xml:space="preserve"> SEQ Table \* ARABIC </w:instrText>
      </w:r>
      <w:r>
        <w:fldChar w:fldCharType="separate"/>
      </w:r>
      <w:r w:rsidR="0006496E">
        <w:rPr>
          <w:b w:val="0"/>
          <w:noProof/>
        </w:rPr>
        <w:t>2</w:t>
      </w:r>
      <w:r>
        <w:rPr>
          <w:noProof/>
        </w:rPr>
        <w:fldChar w:fldCharType="end"/>
      </w:r>
      <w:r>
        <w:t>:</w:t>
      </w:r>
      <w:r w:rsidRPr="006A58A8">
        <w:t xml:space="preserve"> Timeline for Submission PM-20</w:t>
      </w:r>
      <w:r>
        <w:t>21</w:t>
      </w:r>
      <w:r w:rsidRPr="006A58A8">
        <w:t>-</w:t>
      </w:r>
      <w:r>
        <w:t>04814-1-4</w:t>
      </w:r>
    </w:p>
    <w:tbl>
      <w:tblPr>
        <w:tblStyle w:val="TableTGAblue2023"/>
        <w:tblW w:w="8642" w:type="dxa"/>
        <w:tblLook w:val="04A0" w:firstRow="1" w:lastRow="0" w:firstColumn="1" w:lastColumn="0" w:noHBand="0" w:noVBand="1"/>
      </w:tblPr>
      <w:tblGrid>
        <w:gridCol w:w="6091"/>
        <w:gridCol w:w="2551"/>
      </w:tblGrid>
      <w:tr w:rsidR="00C83C50" w:rsidRPr="00D01DDB" w14:paraId="6C59BE9C" w14:textId="77777777" w:rsidTr="00C34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6D80E78" w14:textId="3EC0CCAF" w:rsidR="00C83C50" w:rsidRPr="00D01DDB" w:rsidRDefault="00C83C50" w:rsidP="00324B33">
            <w:pPr>
              <w:rPr>
                <w:szCs w:val="22"/>
              </w:rPr>
            </w:pPr>
            <w:r w:rsidRPr="00D01DDB">
              <w:rPr>
                <w:szCs w:val="22"/>
              </w:rPr>
              <w:t>Description</w:t>
            </w:r>
          </w:p>
        </w:tc>
        <w:tc>
          <w:tcPr>
            <w:tcW w:w="2551" w:type="dxa"/>
          </w:tcPr>
          <w:p w14:paraId="79AFDC4B" w14:textId="05792035" w:rsidR="00C83C50" w:rsidRPr="00D01DDB" w:rsidRDefault="00C83C50"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C83C50" w:rsidRPr="00D01DDB" w14:paraId="0556FE3C" w14:textId="77777777" w:rsidTr="00C3481D">
        <w:tc>
          <w:tcPr>
            <w:cnfStyle w:val="001000000000" w:firstRow="0" w:lastRow="0" w:firstColumn="1" w:lastColumn="0" w:oddVBand="0" w:evenVBand="0" w:oddHBand="0" w:evenHBand="0" w:firstRowFirstColumn="0" w:firstRowLastColumn="0" w:lastRowFirstColumn="0" w:lastRowLastColumn="0"/>
            <w:tcW w:w="6091" w:type="dxa"/>
          </w:tcPr>
          <w:p w14:paraId="49DFA3AA" w14:textId="52E15D4C" w:rsidR="00C83C50" w:rsidRPr="00D01DDB" w:rsidRDefault="00C83C50" w:rsidP="000241BD">
            <w:r w:rsidRPr="00854D98">
              <w:t>Determination (Provisional)</w:t>
            </w:r>
          </w:p>
        </w:tc>
        <w:tc>
          <w:tcPr>
            <w:tcW w:w="2551" w:type="dxa"/>
          </w:tcPr>
          <w:p w14:paraId="239696E3" w14:textId="37D43240" w:rsidR="00C83C50" w:rsidRPr="00D01DDB" w:rsidRDefault="00C83C5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 October 2021</w:t>
            </w:r>
          </w:p>
        </w:tc>
      </w:tr>
      <w:tr w:rsidR="00C83C50" w:rsidRPr="00D01DDB" w14:paraId="23610C53" w14:textId="77777777" w:rsidTr="00C3481D">
        <w:tc>
          <w:tcPr>
            <w:cnfStyle w:val="001000000000" w:firstRow="0" w:lastRow="0" w:firstColumn="1" w:lastColumn="0" w:oddVBand="0" w:evenVBand="0" w:oddHBand="0" w:evenHBand="0" w:firstRowFirstColumn="0" w:firstRowLastColumn="0" w:lastRowFirstColumn="0" w:lastRowLastColumn="0"/>
            <w:tcW w:w="6091" w:type="dxa"/>
          </w:tcPr>
          <w:p w14:paraId="759D2A12" w14:textId="0D705F83" w:rsidR="00C83C50" w:rsidRPr="00D01DDB" w:rsidRDefault="00C83C50" w:rsidP="00324B33">
            <w:pPr>
              <w:rPr>
                <w:szCs w:val="22"/>
              </w:rPr>
            </w:pPr>
            <w:r w:rsidRPr="00D01DDB">
              <w:rPr>
                <w:szCs w:val="22"/>
              </w:rPr>
              <w:t>Submission dossier accepted and first round evaluation commenced</w:t>
            </w:r>
          </w:p>
        </w:tc>
        <w:tc>
          <w:tcPr>
            <w:tcW w:w="2551" w:type="dxa"/>
          </w:tcPr>
          <w:p w14:paraId="2963D9D8" w14:textId="70391D98" w:rsidR="00C83C50" w:rsidRPr="00D01DDB" w:rsidRDefault="00C83C5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October 2021</w:t>
            </w:r>
          </w:p>
        </w:tc>
      </w:tr>
      <w:tr w:rsidR="00C83C50" w:rsidRPr="00D01DDB" w14:paraId="53437815" w14:textId="77777777" w:rsidTr="00C3481D">
        <w:tc>
          <w:tcPr>
            <w:cnfStyle w:val="001000000000" w:firstRow="0" w:lastRow="0" w:firstColumn="1" w:lastColumn="0" w:oddVBand="0" w:evenVBand="0" w:oddHBand="0" w:evenHBand="0" w:firstRowFirstColumn="0" w:firstRowLastColumn="0" w:lastRowFirstColumn="0" w:lastRowLastColumn="0"/>
            <w:tcW w:w="6091" w:type="dxa"/>
          </w:tcPr>
          <w:p w14:paraId="4C037D4E" w14:textId="2B0CE255" w:rsidR="00C83C50" w:rsidRPr="00D01DDB" w:rsidRDefault="00C83C50" w:rsidP="00324B33">
            <w:pPr>
              <w:rPr>
                <w:szCs w:val="22"/>
              </w:rPr>
            </w:pPr>
            <w:r w:rsidRPr="00D01DDB">
              <w:rPr>
                <w:szCs w:val="22"/>
              </w:rPr>
              <w:t>First round evaluation completed</w:t>
            </w:r>
          </w:p>
        </w:tc>
        <w:tc>
          <w:tcPr>
            <w:tcW w:w="2551" w:type="dxa"/>
          </w:tcPr>
          <w:p w14:paraId="3CEAFAAB" w14:textId="76B18630" w:rsidR="00C83C50" w:rsidRPr="00D01DDB" w:rsidRDefault="00C83C5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May 2022</w:t>
            </w:r>
          </w:p>
        </w:tc>
      </w:tr>
      <w:tr w:rsidR="00C83C50" w:rsidRPr="00D01DDB" w14:paraId="60DA57CC" w14:textId="77777777" w:rsidTr="00C3481D">
        <w:tc>
          <w:tcPr>
            <w:cnfStyle w:val="001000000000" w:firstRow="0" w:lastRow="0" w:firstColumn="1" w:lastColumn="0" w:oddVBand="0" w:evenVBand="0" w:oddHBand="0" w:evenHBand="0" w:firstRowFirstColumn="0" w:firstRowLastColumn="0" w:lastRowFirstColumn="0" w:lastRowLastColumn="0"/>
            <w:tcW w:w="6091" w:type="dxa"/>
          </w:tcPr>
          <w:p w14:paraId="02EA1147" w14:textId="2853A422" w:rsidR="00C83C50" w:rsidRPr="00D01DDB" w:rsidRDefault="00C83C50" w:rsidP="00324B33">
            <w:pPr>
              <w:rPr>
                <w:szCs w:val="22"/>
              </w:rPr>
            </w:pPr>
            <w:r w:rsidRPr="00D01DDB">
              <w:rPr>
                <w:szCs w:val="22"/>
              </w:rPr>
              <w:t>Sponsor provides responses on questions raised in first round evaluation</w:t>
            </w:r>
          </w:p>
        </w:tc>
        <w:tc>
          <w:tcPr>
            <w:tcW w:w="2551" w:type="dxa"/>
          </w:tcPr>
          <w:p w14:paraId="68A577C1" w14:textId="7ADCD928" w:rsidR="00C83C50" w:rsidRPr="00D01DDB" w:rsidRDefault="00C83C5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May 2022</w:t>
            </w:r>
          </w:p>
        </w:tc>
      </w:tr>
      <w:tr w:rsidR="00C83C50" w:rsidRPr="00D01DDB" w14:paraId="767E33A4" w14:textId="77777777" w:rsidTr="00C3481D">
        <w:tc>
          <w:tcPr>
            <w:cnfStyle w:val="001000000000" w:firstRow="0" w:lastRow="0" w:firstColumn="1" w:lastColumn="0" w:oddVBand="0" w:evenVBand="0" w:oddHBand="0" w:evenHBand="0" w:firstRowFirstColumn="0" w:firstRowLastColumn="0" w:lastRowFirstColumn="0" w:lastRowLastColumn="0"/>
            <w:tcW w:w="6091" w:type="dxa"/>
          </w:tcPr>
          <w:p w14:paraId="4AFC5B50" w14:textId="2BCC6A3E" w:rsidR="00C83C50" w:rsidRPr="00D01DDB" w:rsidRDefault="00C83C50" w:rsidP="00324B33">
            <w:pPr>
              <w:rPr>
                <w:szCs w:val="22"/>
              </w:rPr>
            </w:pPr>
            <w:r w:rsidRPr="00D01DDB">
              <w:rPr>
                <w:szCs w:val="22"/>
              </w:rPr>
              <w:t>Second round evaluation completed</w:t>
            </w:r>
          </w:p>
        </w:tc>
        <w:tc>
          <w:tcPr>
            <w:tcW w:w="2551" w:type="dxa"/>
          </w:tcPr>
          <w:p w14:paraId="4E47DF62" w14:textId="72603483" w:rsidR="00C83C50" w:rsidRPr="00D01DDB" w:rsidRDefault="00C83C5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August 2022</w:t>
            </w:r>
          </w:p>
        </w:tc>
      </w:tr>
      <w:tr w:rsidR="00C83C50" w:rsidRPr="00D01DDB" w14:paraId="302FCB45" w14:textId="77777777" w:rsidTr="00C3481D">
        <w:tc>
          <w:tcPr>
            <w:cnfStyle w:val="001000000000" w:firstRow="0" w:lastRow="0" w:firstColumn="1" w:lastColumn="0" w:oddVBand="0" w:evenVBand="0" w:oddHBand="0" w:evenHBand="0" w:firstRowFirstColumn="0" w:firstRowLastColumn="0" w:lastRowFirstColumn="0" w:lastRowLastColumn="0"/>
            <w:tcW w:w="6091" w:type="dxa"/>
          </w:tcPr>
          <w:p w14:paraId="716E9DC1" w14:textId="00C6E2A9" w:rsidR="00C83C50" w:rsidRPr="00D01DDB" w:rsidRDefault="00C83C50" w:rsidP="00324B33">
            <w:pPr>
              <w:rPr>
                <w:szCs w:val="22"/>
              </w:rPr>
            </w:pPr>
            <w:r w:rsidRPr="00D01DDB">
              <w:rPr>
                <w:szCs w:val="22"/>
              </w:rPr>
              <w:t>Delegate’s Overall benefit-risk assessment</w:t>
            </w:r>
          </w:p>
        </w:tc>
        <w:tc>
          <w:tcPr>
            <w:tcW w:w="2551" w:type="dxa"/>
          </w:tcPr>
          <w:p w14:paraId="3BA6EF79" w14:textId="27353251" w:rsidR="00C83C50" w:rsidRPr="00D01DDB" w:rsidRDefault="00C83C5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September 2022</w:t>
            </w:r>
          </w:p>
        </w:tc>
      </w:tr>
      <w:tr w:rsidR="00C83C50" w:rsidRPr="00D01DDB" w14:paraId="5832EBC8" w14:textId="77777777" w:rsidTr="00C3481D">
        <w:tc>
          <w:tcPr>
            <w:cnfStyle w:val="001000000000" w:firstRow="0" w:lastRow="0" w:firstColumn="1" w:lastColumn="0" w:oddVBand="0" w:evenVBand="0" w:oddHBand="0" w:evenHBand="0" w:firstRowFirstColumn="0" w:firstRowLastColumn="0" w:lastRowFirstColumn="0" w:lastRowLastColumn="0"/>
            <w:tcW w:w="6091" w:type="dxa"/>
          </w:tcPr>
          <w:p w14:paraId="720592DE" w14:textId="1F72CD22" w:rsidR="00C83C50" w:rsidRPr="00D01DDB" w:rsidRDefault="00C83C50" w:rsidP="00324B33">
            <w:pPr>
              <w:rPr>
                <w:szCs w:val="22"/>
              </w:rPr>
            </w:pPr>
            <w:r w:rsidRPr="00D01DDB">
              <w:rPr>
                <w:szCs w:val="22"/>
              </w:rPr>
              <w:t>Sponsor’s pre-Advisory Committee response</w:t>
            </w:r>
          </w:p>
        </w:tc>
        <w:tc>
          <w:tcPr>
            <w:tcW w:w="2551" w:type="dxa"/>
          </w:tcPr>
          <w:p w14:paraId="5AE04841" w14:textId="09CF06AE" w:rsidR="00C83C50" w:rsidRPr="00D01DDB" w:rsidRDefault="00C83C5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C83C50" w:rsidRPr="00D01DDB" w14:paraId="5754F7AC" w14:textId="77777777" w:rsidTr="00C3481D">
        <w:tc>
          <w:tcPr>
            <w:cnfStyle w:val="001000000000" w:firstRow="0" w:lastRow="0" w:firstColumn="1" w:lastColumn="0" w:oddVBand="0" w:evenVBand="0" w:oddHBand="0" w:evenHBand="0" w:firstRowFirstColumn="0" w:firstRowLastColumn="0" w:lastRowFirstColumn="0" w:lastRowLastColumn="0"/>
            <w:tcW w:w="6091" w:type="dxa"/>
          </w:tcPr>
          <w:p w14:paraId="789DE187" w14:textId="123446EE" w:rsidR="00C83C50" w:rsidRPr="00D01DDB" w:rsidRDefault="00C83C50" w:rsidP="00324B33">
            <w:pPr>
              <w:rPr>
                <w:szCs w:val="22"/>
              </w:rPr>
            </w:pPr>
            <w:r w:rsidRPr="00D01DDB">
              <w:rPr>
                <w:szCs w:val="22"/>
              </w:rPr>
              <w:t>Advisory Committee meeting</w:t>
            </w:r>
          </w:p>
        </w:tc>
        <w:tc>
          <w:tcPr>
            <w:tcW w:w="2551" w:type="dxa"/>
          </w:tcPr>
          <w:p w14:paraId="5BE1EDE7" w14:textId="65C024C5" w:rsidR="00C83C50" w:rsidRPr="00D01DDB" w:rsidRDefault="00C83C5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Not applicable</w:t>
            </w:r>
          </w:p>
        </w:tc>
      </w:tr>
      <w:tr w:rsidR="00C83C50" w:rsidRPr="00D01DDB" w14:paraId="6E5D32FE" w14:textId="77777777" w:rsidTr="00C3481D">
        <w:tc>
          <w:tcPr>
            <w:cnfStyle w:val="001000000000" w:firstRow="0" w:lastRow="0" w:firstColumn="1" w:lastColumn="0" w:oddVBand="0" w:evenVBand="0" w:oddHBand="0" w:evenHBand="0" w:firstRowFirstColumn="0" w:firstRowLastColumn="0" w:lastRowFirstColumn="0" w:lastRowLastColumn="0"/>
            <w:tcW w:w="6091" w:type="dxa"/>
          </w:tcPr>
          <w:p w14:paraId="4E95C44C" w14:textId="7A91C710" w:rsidR="00C83C50" w:rsidRPr="00D01DDB" w:rsidRDefault="00C83C50" w:rsidP="00324B33">
            <w:pPr>
              <w:rPr>
                <w:szCs w:val="22"/>
              </w:rPr>
            </w:pPr>
            <w:r w:rsidRPr="00D01DDB">
              <w:rPr>
                <w:szCs w:val="22"/>
              </w:rPr>
              <w:t>Registration decision (Outcome)</w:t>
            </w:r>
          </w:p>
        </w:tc>
        <w:tc>
          <w:tcPr>
            <w:tcW w:w="2551" w:type="dxa"/>
          </w:tcPr>
          <w:p w14:paraId="62987ABD" w14:textId="3C0C02AF" w:rsidR="00C83C50" w:rsidRPr="00D01DDB" w:rsidRDefault="00C83C5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November 2022</w:t>
            </w:r>
          </w:p>
        </w:tc>
      </w:tr>
      <w:tr w:rsidR="00C83C50" w:rsidRPr="00D01DDB" w14:paraId="6DDCDDA4" w14:textId="77777777" w:rsidTr="00C3481D">
        <w:tc>
          <w:tcPr>
            <w:cnfStyle w:val="001000000000" w:firstRow="0" w:lastRow="0" w:firstColumn="1" w:lastColumn="0" w:oddVBand="0" w:evenVBand="0" w:oddHBand="0" w:evenHBand="0" w:firstRowFirstColumn="0" w:firstRowLastColumn="0" w:lastRowFirstColumn="0" w:lastRowLastColumn="0"/>
            <w:tcW w:w="6091" w:type="dxa"/>
          </w:tcPr>
          <w:p w14:paraId="192FD19D" w14:textId="7D5F96C5" w:rsidR="00C83C50" w:rsidRPr="00D01DDB" w:rsidRDefault="00C83C50" w:rsidP="00324B33">
            <w:pPr>
              <w:rPr>
                <w:szCs w:val="22"/>
              </w:rPr>
            </w:pPr>
            <w:r>
              <w:t>Administrative activities and registration on the ARTG completed</w:t>
            </w:r>
          </w:p>
        </w:tc>
        <w:tc>
          <w:tcPr>
            <w:tcW w:w="2551" w:type="dxa"/>
          </w:tcPr>
          <w:p w14:paraId="5A8923FD" w14:textId="3B575BA5" w:rsidR="00C83C50" w:rsidRPr="00D01DDB" w:rsidRDefault="00C83C5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 December 2022</w:t>
            </w:r>
          </w:p>
        </w:tc>
      </w:tr>
      <w:tr w:rsidR="00C83C50" w:rsidRPr="00D01DDB" w14:paraId="56D922E2" w14:textId="77777777" w:rsidTr="00C3481D">
        <w:tc>
          <w:tcPr>
            <w:cnfStyle w:val="001000000000" w:firstRow="0" w:lastRow="0" w:firstColumn="1" w:lastColumn="0" w:oddVBand="0" w:evenVBand="0" w:oddHBand="0" w:evenHBand="0" w:firstRowFirstColumn="0" w:firstRowLastColumn="0" w:lastRowFirstColumn="0" w:lastRowLastColumn="0"/>
            <w:tcW w:w="6091" w:type="dxa"/>
          </w:tcPr>
          <w:p w14:paraId="787FD8DD" w14:textId="0E0CF97F" w:rsidR="00C83C50" w:rsidRPr="00D01DDB" w:rsidRDefault="00C83C50" w:rsidP="00324B33">
            <w:pPr>
              <w:rPr>
                <w:szCs w:val="22"/>
              </w:rPr>
            </w:pPr>
            <w:r w:rsidRPr="00D01DDB">
              <w:rPr>
                <w:szCs w:val="22"/>
              </w:rPr>
              <w:t>Number of working days from submission dossier acceptance to registration decision*</w:t>
            </w:r>
          </w:p>
        </w:tc>
        <w:tc>
          <w:tcPr>
            <w:tcW w:w="2551" w:type="dxa"/>
          </w:tcPr>
          <w:p w14:paraId="5BAF9FA1" w14:textId="1D0D4E67" w:rsidR="00C83C50" w:rsidRPr="00D01DDB" w:rsidRDefault="00C83C5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213</w:t>
            </w:r>
          </w:p>
        </w:tc>
      </w:tr>
    </w:tbl>
    <w:p w14:paraId="7B02554C" w14:textId="77777777" w:rsidR="00C83C50" w:rsidRDefault="00C83C50" w:rsidP="00433318">
      <w:pPr>
        <w:pStyle w:val="TableDescription"/>
      </w:pPr>
      <w:r>
        <w:t>*</w:t>
      </w:r>
      <w:r w:rsidRPr="00BF3774">
        <w:t xml:space="preserve">Statutory </w:t>
      </w:r>
      <w:r>
        <w:t>timeframe for standard submissions is 255 working days</w:t>
      </w:r>
    </w:p>
    <w:p w14:paraId="220925F1" w14:textId="77777777" w:rsidR="00C83C50" w:rsidRPr="00792A32" w:rsidRDefault="00C83C50" w:rsidP="00C22214">
      <w:pPr>
        <w:pStyle w:val="Heading2"/>
      </w:pPr>
      <w:bookmarkStart w:id="71" w:name="_Toc196046504"/>
      <w:bookmarkStart w:id="72" w:name="_Toc247691527"/>
      <w:bookmarkStart w:id="73" w:name="_Toc314842510"/>
      <w:bookmarkStart w:id="74" w:name="_Toc103679294"/>
      <w:bookmarkStart w:id="75" w:name="_Toc144288304"/>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71"/>
      <w:bookmarkEnd w:id="72"/>
      <w:bookmarkEnd w:id="73"/>
      <w:bookmarkEnd w:id="74"/>
      <w:bookmarkEnd w:id="75"/>
    </w:p>
    <w:p w14:paraId="5F5FAA14" w14:textId="77777777" w:rsidR="00C83C50" w:rsidRPr="00BD5DBD" w:rsidRDefault="00C83C50" w:rsidP="00C22214">
      <w:pPr>
        <w:rPr>
          <w:szCs w:val="22"/>
        </w:rPr>
      </w:pPr>
      <w:bookmarkStart w:id="76" w:name="_Toc247691528"/>
      <w:bookmarkStart w:id="77" w:name="_Toc314842511"/>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77777777" w:rsidR="00C83C50" w:rsidRDefault="00C83C50" w:rsidP="00C3481D">
      <w:pPr>
        <w:pStyle w:val="Heading3"/>
        <w:pageBreakBefore/>
      </w:pPr>
      <w:bookmarkStart w:id="78" w:name="_Toc103679295"/>
      <w:bookmarkStart w:id="79" w:name="_Toc144288305"/>
      <w:r>
        <w:lastRenderedPageBreak/>
        <w:t>Quality</w:t>
      </w:r>
      <w:bookmarkEnd w:id="76"/>
      <w:bookmarkEnd w:id="77"/>
      <w:bookmarkEnd w:id="78"/>
      <w:bookmarkEnd w:id="79"/>
    </w:p>
    <w:p w14:paraId="39A1AB8C" w14:textId="51D2E184" w:rsidR="00C83C50" w:rsidRDefault="00C83C50" w:rsidP="00E93887">
      <w:pPr>
        <w:rPr>
          <w:szCs w:val="22"/>
        </w:rPr>
      </w:pPr>
      <w:proofErr w:type="spellStart"/>
      <w:r w:rsidRPr="00E93887">
        <w:rPr>
          <w:szCs w:val="22"/>
        </w:rPr>
        <w:t>Amivantamab</w:t>
      </w:r>
      <w:proofErr w:type="spellEnd"/>
      <w:r w:rsidRPr="00E93887">
        <w:rPr>
          <w:szCs w:val="22"/>
        </w:rPr>
        <w:t xml:space="preserve"> is a human</w:t>
      </w:r>
      <w:r w:rsidR="004655E4">
        <w:rPr>
          <w:szCs w:val="22"/>
        </w:rPr>
        <w:t>,</w:t>
      </w:r>
      <w:r w:rsidRPr="00E93887">
        <w:rPr>
          <w:szCs w:val="22"/>
        </w:rPr>
        <w:t xml:space="preserve"> low</w:t>
      </w:r>
      <w:r w:rsidR="004655E4">
        <w:rPr>
          <w:szCs w:val="22"/>
        </w:rPr>
        <w:t>-</w:t>
      </w:r>
      <w:r w:rsidRPr="00E93887">
        <w:rPr>
          <w:szCs w:val="22"/>
        </w:rPr>
        <w:t>fucose</w:t>
      </w:r>
      <w:r w:rsidR="004655E4">
        <w:rPr>
          <w:szCs w:val="22"/>
        </w:rPr>
        <w:t>,</w:t>
      </w:r>
      <w:r w:rsidRPr="00E93887">
        <w:rPr>
          <w:szCs w:val="22"/>
        </w:rPr>
        <w:t xml:space="preserve"> </w:t>
      </w:r>
      <w:r>
        <w:rPr>
          <w:szCs w:val="22"/>
        </w:rPr>
        <w:t>immunoglobin G1 (</w:t>
      </w:r>
      <w:r w:rsidRPr="00E93887">
        <w:rPr>
          <w:szCs w:val="22"/>
        </w:rPr>
        <w:t>IgG1</w:t>
      </w:r>
      <w:r>
        <w:rPr>
          <w:szCs w:val="22"/>
        </w:rPr>
        <w:t>)</w:t>
      </w:r>
      <w:r w:rsidRPr="00E93887">
        <w:rPr>
          <w:szCs w:val="22"/>
        </w:rPr>
        <w:t xml:space="preserve"> bispecific antibody against EGF and </w:t>
      </w:r>
      <w:proofErr w:type="spellStart"/>
      <w:r w:rsidRPr="00E93887">
        <w:rPr>
          <w:szCs w:val="22"/>
        </w:rPr>
        <w:t>cMET</w:t>
      </w:r>
      <w:proofErr w:type="spellEnd"/>
      <w:r>
        <w:rPr>
          <w:szCs w:val="22"/>
        </w:rPr>
        <w:t xml:space="preserve"> </w:t>
      </w:r>
      <w:r w:rsidRPr="00E93887">
        <w:rPr>
          <w:szCs w:val="22"/>
        </w:rPr>
        <w:t xml:space="preserve">receptors. </w:t>
      </w:r>
      <w:proofErr w:type="spellStart"/>
      <w:r w:rsidRPr="00E93887">
        <w:rPr>
          <w:szCs w:val="22"/>
        </w:rPr>
        <w:t>Amivantamab</w:t>
      </w:r>
      <w:proofErr w:type="spellEnd"/>
      <w:r w:rsidRPr="00E93887">
        <w:rPr>
          <w:szCs w:val="22"/>
        </w:rPr>
        <w:t xml:space="preserve"> is produced by cultivation of recombinant </w:t>
      </w:r>
      <w:r w:rsidRPr="00A15589">
        <w:rPr>
          <w:szCs w:val="22"/>
        </w:rPr>
        <w:t xml:space="preserve">Chinese hamster ovary </w:t>
      </w:r>
      <w:r w:rsidRPr="00E93887">
        <w:rPr>
          <w:szCs w:val="22"/>
        </w:rPr>
        <w:t>cells with specificity</w:t>
      </w:r>
      <w:r>
        <w:rPr>
          <w:szCs w:val="22"/>
        </w:rPr>
        <w:t xml:space="preserve"> </w:t>
      </w:r>
      <w:r w:rsidRPr="00E93887">
        <w:rPr>
          <w:szCs w:val="22"/>
        </w:rPr>
        <w:t xml:space="preserve">for EGFR and </w:t>
      </w:r>
      <w:proofErr w:type="spellStart"/>
      <w:r w:rsidRPr="00E93887">
        <w:rPr>
          <w:szCs w:val="22"/>
        </w:rPr>
        <w:t>cMET</w:t>
      </w:r>
      <w:proofErr w:type="spellEnd"/>
      <w:r w:rsidRPr="00E93887">
        <w:rPr>
          <w:szCs w:val="22"/>
        </w:rPr>
        <w:t>.</w:t>
      </w:r>
      <w:r>
        <w:rPr>
          <w:szCs w:val="22"/>
        </w:rPr>
        <w:t xml:space="preserve"> </w:t>
      </w:r>
      <w:proofErr w:type="spellStart"/>
      <w:r w:rsidRPr="00E93887">
        <w:rPr>
          <w:szCs w:val="22"/>
        </w:rPr>
        <w:t>Amivantamab</w:t>
      </w:r>
      <w:proofErr w:type="spellEnd"/>
      <w:r w:rsidRPr="00E93887">
        <w:rPr>
          <w:szCs w:val="22"/>
        </w:rPr>
        <w:t xml:space="preserve"> consists of 2 heavy chains and 2 light chains, joined by </w:t>
      </w:r>
      <w:proofErr w:type="spellStart"/>
      <w:r w:rsidRPr="00E93887">
        <w:rPr>
          <w:szCs w:val="22"/>
        </w:rPr>
        <w:t>disulfide</w:t>
      </w:r>
      <w:proofErr w:type="spellEnd"/>
      <w:r>
        <w:rPr>
          <w:szCs w:val="22"/>
        </w:rPr>
        <w:t xml:space="preserve"> </w:t>
      </w:r>
      <w:r w:rsidRPr="00E93887">
        <w:rPr>
          <w:szCs w:val="22"/>
        </w:rPr>
        <w:t>bonds.</w:t>
      </w:r>
    </w:p>
    <w:p w14:paraId="0A53051D" w14:textId="16236C60" w:rsidR="00C83C50" w:rsidRDefault="00C83C50" w:rsidP="00E93887">
      <w:pPr>
        <w:pStyle w:val="FigureTitle"/>
      </w:pPr>
      <w:r w:rsidRPr="00E93887">
        <w:t xml:space="preserve">Figure </w:t>
      </w:r>
      <w:r w:rsidR="00C3481D">
        <w:fldChar w:fldCharType="begin"/>
      </w:r>
      <w:r w:rsidR="00C3481D">
        <w:instrText xml:space="preserve"> SEQ Figure \* ARABIC </w:instrText>
      </w:r>
      <w:r w:rsidR="00C3481D">
        <w:fldChar w:fldCharType="separate"/>
      </w:r>
      <w:r w:rsidR="0006496E">
        <w:rPr>
          <w:noProof/>
        </w:rPr>
        <w:t>7</w:t>
      </w:r>
      <w:r w:rsidR="00C3481D">
        <w:rPr>
          <w:noProof/>
        </w:rPr>
        <w:fldChar w:fldCharType="end"/>
      </w:r>
      <w:r>
        <w:t xml:space="preserve">: Structure of </w:t>
      </w:r>
      <w:proofErr w:type="spellStart"/>
      <w:r>
        <w:t>amivantamab</w:t>
      </w:r>
      <w:proofErr w:type="spellEnd"/>
    </w:p>
    <w:p w14:paraId="1FEF77D3" w14:textId="59C8257B" w:rsidR="00C83C50" w:rsidRDefault="00C83C50" w:rsidP="00E93887">
      <w:r>
        <w:rPr>
          <w:noProof/>
        </w:rPr>
        <w:drawing>
          <wp:inline distT="0" distB="0" distL="0" distR="0" wp14:anchorId="39C32849" wp14:editId="16EE6F05">
            <wp:extent cx="2083242" cy="1537811"/>
            <wp:effectExtent l="0" t="0" r="0" b="5715"/>
            <wp:docPr id="9" name="Picture 9" descr="Structure of amivanta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ructure of amivantamab"/>
                    <pic:cNvPicPr/>
                  </pic:nvPicPr>
                  <pic:blipFill>
                    <a:blip r:embed="rId29"/>
                    <a:stretch>
                      <a:fillRect/>
                    </a:stretch>
                  </pic:blipFill>
                  <pic:spPr>
                    <a:xfrm>
                      <a:off x="0" y="0"/>
                      <a:ext cx="2107618" cy="1555805"/>
                    </a:xfrm>
                    <a:prstGeom prst="rect">
                      <a:avLst/>
                    </a:prstGeom>
                  </pic:spPr>
                </pic:pic>
              </a:graphicData>
            </a:graphic>
          </wp:inline>
        </w:drawing>
      </w:r>
    </w:p>
    <w:p w14:paraId="6E52D552" w14:textId="7CA08590" w:rsidR="00C83C50" w:rsidRDefault="00C83C50" w:rsidP="00E93887">
      <w:r>
        <w:t xml:space="preserve">The </w:t>
      </w:r>
      <w:r w:rsidRPr="00E93887">
        <w:t xml:space="preserve">finished product is supplied as a sterile, 50 mg/mL liquid concentrate for infusion, packaged in an 8 mL Type </w:t>
      </w:r>
      <w:r>
        <w:t>I</w:t>
      </w:r>
      <w:r w:rsidRPr="00E93887">
        <w:t xml:space="preserve"> glass vial with an elastomeric closure and an aluminium seal with a flip</w:t>
      </w:r>
      <w:r w:rsidR="004655E4">
        <w:t>-</w:t>
      </w:r>
      <w:r w:rsidRPr="00E93887">
        <w:t xml:space="preserve">off cap. Each 8 mL capacity vial contains 350 mg of </w:t>
      </w:r>
      <w:proofErr w:type="spellStart"/>
      <w:r w:rsidRPr="00E93887">
        <w:t>amivantamab</w:t>
      </w:r>
      <w:proofErr w:type="spellEnd"/>
      <w:r w:rsidRPr="00E93887">
        <w:t xml:space="preserve"> in a 7 mL nominal fill volume and an excess volume of 0.5 </w:t>
      </w:r>
      <w:proofErr w:type="spellStart"/>
      <w:r w:rsidRPr="00E93887">
        <w:t>mL.</w:t>
      </w:r>
      <w:proofErr w:type="spellEnd"/>
      <w:r w:rsidRPr="00E93887">
        <w:t xml:space="preserve"> The drug product is intended for administration by the intravenous route after dilution in commercially available 5% dextrose (glucose) or 0.9% </w:t>
      </w:r>
      <w:r>
        <w:t>n</w:t>
      </w:r>
      <w:r w:rsidRPr="00E93887">
        <w:t xml:space="preserve">ormal </w:t>
      </w:r>
      <w:r>
        <w:t>s</w:t>
      </w:r>
      <w:r w:rsidRPr="00E93887">
        <w:t xml:space="preserve">aline. The final formulation intended for marketing was used in the </w:t>
      </w:r>
      <w:r>
        <w:t>P</w:t>
      </w:r>
      <w:r w:rsidRPr="00E93887">
        <w:t>hase III clinical trials.</w:t>
      </w:r>
    </w:p>
    <w:p w14:paraId="3021FEFE" w14:textId="029E0117" w:rsidR="00C83C50" w:rsidRPr="00E93887" w:rsidRDefault="00C83C50" w:rsidP="00E93887">
      <w:r w:rsidRPr="00E93887">
        <w:t xml:space="preserve">At the conclusion of the </w:t>
      </w:r>
      <w:proofErr w:type="spellStart"/>
      <w:r>
        <w:t>qualtiy</w:t>
      </w:r>
      <w:proofErr w:type="spellEnd"/>
      <w:r w:rsidRPr="00E93887">
        <w:t xml:space="preserve"> reviews, there were no outstanding concerns from a pharmaceutical chemistry perspective, and standard quality-related conditions of registration were recommended. With respect to </w:t>
      </w:r>
      <w:r>
        <w:t>quality</w:t>
      </w:r>
      <w:r w:rsidRPr="00E93887">
        <w:t xml:space="preserve"> matters, the </w:t>
      </w:r>
      <w:proofErr w:type="gramStart"/>
      <w:r w:rsidRPr="00E93887">
        <w:t>PI</w:t>
      </w:r>
      <w:proofErr w:type="gramEnd"/>
      <w:r w:rsidRPr="00E93887">
        <w:t xml:space="preserve"> and </w:t>
      </w:r>
      <w:r>
        <w:t>Consumer Medicines Information (</w:t>
      </w:r>
      <w:r w:rsidRPr="00E93887">
        <w:t>CMI</w:t>
      </w:r>
      <w:r>
        <w:t>)</w:t>
      </w:r>
      <w:r w:rsidRPr="00E93887">
        <w:t xml:space="preserve"> and labels were considered acceptable.</w:t>
      </w:r>
    </w:p>
    <w:p w14:paraId="2BE90AAE" w14:textId="77777777" w:rsidR="00C83C50" w:rsidRDefault="00C83C50" w:rsidP="00C22214">
      <w:pPr>
        <w:pStyle w:val="Heading3"/>
      </w:pPr>
      <w:bookmarkStart w:id="80" w:name="_Toc314842512"/>
      <w:bookmarkStart w:id="81" w:name="_Toc103679296"/>
      <w:bookmarkStart w:id="82" w:name="_Toc144288306"/>
      <w:r>
        <w:t>Nonclinical</w:t>
      </w:r>
      <w:bookmarkEnd w:id="80"/>
      <w:bookmarkEnd w:id="81"/>
      <w:bookmarkEnd w:id="82"/>
    </w:p>
    <w:p w14:paraId="03CB540A" w14:textId="0CD47264" w:rsidR="00C83C50" w:rsidRPr="00E93887" w:rsidRDefault="00C83C50" w:rsidP="00E93887">
      <w:bookmarkStart w:id="83" w:name="_Toc247691530"/>
      <w:bookmarkStart w:id="84" w:name="_Toc314842513"/>
      <w:bookmarkStart w:id="85" w:name="_Toc103679297"/>
      <w:r w:rsidRPr="00E93887">
        <w:t xml:space="preserve">In mouse NSCLC tumour xenograft models bearing human exon 20 insertion mutation tumours and </w:t>
      </w:r>
      <w:r w:rsidRPr="00A15589">
        <w:rPr>
          <w:i/>
          <w:iCs/>
        </w:rPr>
        <w:t>EGFR</w:t>
      </w:r>
      <w:r w:rsidRPr="00E93887">
        <w:t xml:space="preserve"> mutation tumours (including exon 19 deletions or mutations), </w:t>
      </w:r>
      <w:proofErr w:type="spellStart"/>
      <w:r w:rsidRPr="00E93887">
        <w:t>amivantamab</w:t>
      </w:r>
      <w:proofErr w:type="spellEnd"/>
      <w:r w:rsidRPr="00E93887">
        <w:t xml:space="preserve"> inhibited tumour growth and increased survival. </w:t>
      </w:r>
      <w:proofErr w:type="spellStart"/>
      <w:r w:rsidRPr="00E93887">
        <w:t>Amivantamab</w:t>
      </w:r>
      <w:proofErr w:type="spellEnd"/>
      <w:r w:rsidRPr="00E93887">
        <w:t xml:space="preserve"> also showed efficacy in tumour xenograft models resistant to anti-EGFR therapeutics due to primary resistance mutations in EGFR (</w:t>
      </w:r>
      <w:r>
        <w:t>for example</w:t>
      </w:r>
      <w:r w:rsidRPr="00E93887">
        <w:t xml:space="preserve">, exon 20 insertions), additional mutations in </w:t>
      </w:r>
      <w:r w:rsidRPr="00A15589">
        <w:rPr>
          <w:i/>
          <w:iCs/>
        </w:rPr>
        <w:t>EGFR</w:t>
      </w:r>
      <w:r w:rsidRPr="00E93887">
        <w:t xml:space="preserve"> acquired during therapy (</w:t>
      </w:r>
      <w:r>
        <w:t>for example</w:t>
      </w:r>
      <w:r w:rsidRPr="00E93887">
        <w:t>, T790M and/or C797S) or MET pathway activation.</w:t>
      </w:r>
    </w:p>
    <w:p w14:paraId="2A63C546" w14:textId="3EA127D5" w:rsidR="00C83C50" w:rsidRPr="00E93887" w:rsidRDefault="00C83C50" w:rsidP="00E93887">
      <w:r w:rsidRPr="00E93887">
        <w:t xml:space="preserve">The </w:t>
      </w:r>
      <w:r>
        <w:t>nonclinical</w:t>
      </w:r>
      <w:r w:rsidRPr="00E93887">
        <w:t xml:space="preserve"> evaluation concluded with no objections to the provisional registration of </w:t>
      </w:r>
      <w:proofErr w:type="spellStart"/>
      <w:r>
        <w:t>Rybrevant</w:t>
      </w:r>
      <w:proofErr w:type="spellEnd"/>
      <w:r w:rsidRPr="00E93887">
        <w:t xml:space="preserve"> for the proposed indication, and with the following comments:</w:t>
      </w:r>
    </w:p>
    <w:p w14:paraId="5093C667" w14:textId="47E3D685" w:rsidR="00C83C50" w:rsidRPr="00E93887" w:rsidRDefault="00C83C50" w:rsidP="00E93887">
      <w:pPr>
        <w:pStyle w:val="ListBullet"/>
      </w:pPr>
      <w:r w:rsidRPr="00E93887">
        <w:t>Primary pharmacology studies adequately demonstrated selectivity for human EGFR/MET receptors, nonclinical efficacy, and are generally supportive of the proposed use.</w:t>
      </w:r>
    </w:p>
    <w:p w14:paraId="502F2B31" w14:textId="2278B621" w:rsidR="00C83C50" w:rsidRPr="00E93887" w:rsidRDefault="00C83C50" w:rsidP="00E93887">
      <w:pPr>
        <w:pStyle w:val="ListBullet"/>
      </w:pPr>
      <w:r w:rsidRPr="00E93887">
        <w:t xml:space="preserve">No clinically relevant hazards related to off-target effects of </w:t>
      </w:r>
      <w:proofErr w:type="spellStart"/>
      <w:r w:rsidRPr="00E93887">
        <w:t>amivantamab</w:t>
      </w:r>
      <w:proofErr w:type="spellEnd"/>
      <w:r w:rsidRPr="00E93887">
        <w:t xml:space="preserve"> or exaggerated pharmacological actions on organ systems was identified.</w:t>
      </w:r>
    </w:p>
    <w:p w14:paraId="3C98E578" w14:textId="0D1E24DF" w:rsidR="00C83C50" w:rsidRPr="00E93887" w:rsidRDefault="00C83C50" w:rsidP="00E93887">
      <w:pPr>
        <w:pStyle w:val="ListBullet"/>
      </w:pPr>
      <w:r w:rsidRPr="00E93887">
        <w:t xml:space="preserve">Treatment-related toxicities associated with </w:t>
      </w:r>
      <w:proofErr w:type="spellStart"/>
      <w:r w:rsidRPr="00E93887">
        <w:t>amivantamab</w:t>
      </w:r>
      <w:proofErr w:type="spellEnd"/>
      <w:r w:rsidRPr="00E93887">
        <w:t xml:space="preserve"> were mostly minimal to mild in severity, with a toxicological profile comparable with other EFGR and MET inhibitors.</w:t>
      </w:r>
    </w:p>
    <w:p w14:paraId="50A8114C" w14:textId="401C2E58" w:rsidR="00C83C50" w:rsidRPr="00E93887" w:rsidRDefault="00C83C50" w:rsidP="00E93887">
      <w:pPr>
        <w:pStyle w:val="ListBullet"/>
      </w:pPr>
      <w:r w:rsidRPr="00E93887">
        <w:t>Detrimental effects on pregnancy, embryofetal development and postnatal development are anticipated in patients based on a weight of evidence assessment. The sponsor has proposed Pregnancy Category D which is appropriate.</w:t>
      </w:r>
    </w:p>
    <w:p w14:paraId="79344BDE" w14:textId="6A6DD241" w:rsidR="00C83C50" w:rsidRPr="00E93887" w:rsidRDefault="00C83C50" w:rsidP="00E93887">
      <w:r w:rsidRPr="00E93887">
        <w:t xml:space="preserve">The PI submitted by the </w:t>
      </w:r>
      <w:r>
        <w:t>s</w:t>
      </w:r>
      <w:r w:rsidRPr="00E93887">
        <w:t xml:space="preserve">ponsor was considered adequate </w:t>
      </w:r>
      <w:proofErr w:type="gramStart"/>
      <w:r w:rsidRPr="00E93887">
        <w:t>with regard to</w:t>
      </w:r>
      <w:proofErr w:type="gramEnd"/>
      <w:r w:rsidRPr="00E93887">
        <w:t xml:space="preserve"> nonclinical content.</w:t>
      </w:r>
    </w:p>
    <w:p w14:paraId="35B580A5" w14:textId="69B9BE44" w:rsidR="00C83C50" w:rsidRDefault="00C83C50" w:rsidP="008804CF">
      <w:pPr>
        <w:pStyle w:val="Heading3"/>
      </w:pPr>
      <w:bookmarkStart w:id="86" w:name="_Toc144288307"/>
      <w:r>
        <w:lastRenderedPageBreak/>
        <w:t>Clinical</w:t>
      </w:r>
      <w:bookmarkEnd w:id="83"/>
      <w:bookmarkEnd w:id="84"/>
      <w:bookmarkEnd w:id="85"/>
      <w:bookmarkEnd w:id="86"/>
    </w:p>
    <w:p w14:paraId="47121AFD" w14:textId="0A2C2729" w:rsidR="00C83C50" w:rsidRPr="00DB25DC" w:rsidRDefault="00C83C50" w:rsidP="00DB25DC">
      <w:pPr>
        <w:pStyle w:val="Heading4"/>
      </w:pPr>
      <w:bookmarkStart w:id="87" w:name="_Toc144288308"/>
      <w:r w:rsidRPr="00DB25DC">
        <w:t>Pharmacology</w:t>
      </w:r>
      <w:bookmarkEnd w:id="87"/>
    </w:p>
    <w:p w14:paraId="1CA22B30" w14:textId="77777777" w:rsidR="00C83C50" w:rsidRPr="00DB25DC" w:rsidRDefault="00C83C50" w:rsidP="00DB25DC">
      <w:pPr>
        <w:pStyle w:val="Heading5"/>
      </w:pPr>
      <w:r w:rsidRPr="00DB25DC">
        <w:t>Formulation</w:t>
      </w:r>
    </w:p>
    <w:p w14:paraId="145F8AA9" w14:textId="7186E68B" w:rsidR="00C83C50" w:rsidRPr="009F54D9" w:rsidRDefault="00C83C50" w:rsidP="009F54D9">
      <w:r w:rsidRPr="009F54D9">
        <w:t>The commercial presentation is identical to the 350 mg vial presentation used in Study EDI1001 (see</w:t>
      </w:r>
      <w:r>
        <w:t xml:space="preserve"> </w:t>
      </w:r>
      <w:r>
        <w:fldChar w:fldCharType="begin"/>
      </w:r>
      <w:r>
        <w:instrText xml:space="preserve"> REF _Ref141089608 \h </w:instrText>
      </w:r>
      <w:r>
        <w:fldChar w:fldCharType="separate"/>
      </w:r>
      <w:r w:rsidR="0006496E">
        <w:t>Pivotal study – CHRYSALIS trial</w:t>
      </w:r>
      <w:r>
        <w:fldChar w:fldCharType="end"/>
      </w:r>
      <w:r>
        <w:t>).</w:t>
      </w:r>
    </w:p>
    <w:p w14:paraId="30572E0B" w14:textId="19D9B9C6" w:rsidR="00C83C50" w:rsidRPr="00DB25DC" w:rsidRDefault="00C83C50" w:rsidP="00DB25DC">
      <w:pPr>
        <w:pStyle w:val="Heading5"/>
      </w:pPr>
      <w:r w:rsidRPr="00DB25DC">
        <w:t>Dose</w:t>
      </w:r>
    </w:p>
    <w:p w14:paraId="1B8E1BC3" w14:textId="097B48C8" w:rsidR="00C83C50" w:rsidRPr="009F54D9" w:rsidRDefault="00C83C50" w:rsidP="009F54D9">
      <w:r w:rsidRPr="009F54D9">
        <w:t xml:space="preserve">The recommended dose of </w:t>
      </w:r>
      <w:proofErr w:type="spellStart"/>
      <w:r w:rsidRPr="009F54D9">
        <w:t>amivantamab</w:t>
      </w:r>
      <w:proofErr w:type="spellEnd"/>
      <w:r w:rsidRPr="009F54D9">
        <w:t xml:space="preserve"> is weight dependent: 1050</w:t>
      </w:r>
      <w:r>
        <w:t xml:space="preserve"> </w:t>
      </w:r>
      <w:r w:rsidRPr="009F54D9">
        <w:t xml:space="preserve">mg (baseline body weight </w:t>
      </w:r>
      <w:r>
        <w:t>less than </w:t>
      </w:r>
      <w:r w:rsidRPr="009F54D9">
        <w:t>80kg) or 1400</w:t>
      </w:r>
      <w:r>
        <w:t xml:space="preserve"> </w:t>
      </w:r>
      <w:r w:rsidRPr="009F54D9">
        <w:t xml:space="preserve">mg (baseline body weight </w:t>
      </w:r>
      <w:r>
        <w:t xml:space="preserve">of at least </w:t>
      </w:r>
      <w:r w:rsidRPr="009F54D9">
        <w:t>80kg), administered intravenously</w:t>
      </w:r>
      <w:r w:rsidR="007D1081">
        <w:t xml:space="preserve"> (IV)</w:t>
      </w:r>
      <w:r w:rsidRPr="009F54D9">
        <w:t xml:space="preserve">, once weekly for the first </w:t>
      </w:r>
      <w:r>
        <w:t>four</w:t>
      </w:r>
      <w:r w:rsidRPr="009F54D9">
        <w:t xml:space="preserve"> weeks (induction phase) and once every </w:t>
      </w:r>
      <w:r>
        <w:t>two</w:t>
      </w:r>
      <w:r w:rsidRPr="009F54D9">
        <w:t xml:space="preserve"> weeks thereafter (maintenance phase). </w:t>
      </w:r>
    </w:p>
    <w:p w14:paraId="35CBD16C" w14:textId="77777777" w:rsidR="00C83C50" w:rsidRPr="009F54D9" w:rsidRDefault="00C83C50" w:rsidP="009F54D9">
      <w:r w:rsidRPr="009F54D9">
        <w:t>Weekly rather than fortnightly dosing during the induction phase is undertaken to reach a therapeutic concentration more quickly.</w:t>
      </w:r>
    </w:p>
    <w:p w14:paraId="672DDDF2" w14:textId="390AA6AD" w:rsidR="00C83C50" w:rsidRPr="009F54D9" w:rsidRDefault="00C83C50" w:rsidP="009F54D9">
      <w:r w:rsidRPr="009F54D9">
        <w:t xml:space="preserve">To minimise the risk of </w:t>
      </w:r>
      <w:r>
        <w:t>IRRS</w:t>
      </w:r>
      <w:r w:rsidRPr="009F54D9">
        <w:t xml:space="preserve">, the first dose of the first cycle (only) is split, with 350 mg on Day 1, and the remaining dose (700 mg for </w:t>
      </w:r>
      <w:r>
        <w:t>body weight less than</w:t>
      </w:r>
      <w:r w:rsidRPr="009F54D9">
        <w:t xml:space="preserve"> 80 kg, and 1050 </w:t>
      </w:r>
      <w:r w:rsidR="007D1081">
        <w:t xml:space="preserve">mg </w:t>
      </w:r>
      <w:r w:rsidRPr="009F54D9">
        <w:t xml:space="preserve">for </w:t>
      </w:r>
      <w:r>
        <w:t xml:space="preserve">body weight of at least </w:t>
      </w:r>
      <w:r w:rsidRPr="009F54D9">
        <w:t>80 kg) on Day 2.</w:t>
      </w:r>
    </w:p>
    <w:p w14:paraId="65A87237" w14:textId="5412A1EF" w:rsidR="00C83C50" w:rsidRPr="009F54D9" w:rsidRDefault="00C83C50" w:rsidP="009F54D9">
      <w:r w:rsidRPr="009F54D9">
        <w:t xml:space="preserve">This was the recommended </w:t>
      </w:r>
      <w:r>
        <w:t>P</w:t>
      </w:r>
      <w:r w:rsidRPr="009F54D9">
        <w:t xml:space="preserve">hase </w:t>
      </w:r>
      <w:r>
        <w:t>II</w:t>
      </w:r>
      <w:r w:rsidRPr="009F54D9">
        <w:t xml:space="preserve"> dose (RP2D), and was chosen based on assessment of </w:t>
      </w:r>
      <w:r>
        <w:t>pharmacokinetics (</w:t>
      </w:r>
      <w:r w:rsidRPr="009F54D9">
        <w:t>PK</w:t>
      </w:r>
      <w:r>
        <w:t>)</w:t>
      </w:r>
      <w:r w:rsidRPr="009F54D9">
        <w:t xml:space="preserve">, </w:t>
      </w:r>
      <w:r>
        <w:t>pharmacodynamics (</w:t>
      </w:r>
      <w:r w:rsidRPr="009F54D9">
        <w:t>PD</w:t>
      </w:r>
      <w:r>
        <w:t>)</w:t>
      </w:r>
      <w:r w:rsidRPr="009F54D9">
        <w:t xml:space="preserve">, safety, and efficacy data from the Phase </w:t>
      </w:r>
      <w:r>
        <w:t>I</w:t>
      </w:r>
      <w:r w:rsidRPr="009F54D9">
        <w:t>, first</w:t>
      </w:r>
      <w:r>
        <w:t>-</w:t>
      </w:r>
      <w:r w:rsidRPr="009F54D9">
        <w:t>in-human study (Study EDI1001/CHRYSALIS</w:t>
      </w:r>
      <w:r>
        <w:t xml:space="preserve"> trial</w:t>
      </w:r>
      <w:r w:rsidRPr="009F54D9">
        <w:t>) in which 83 subjects were treated:</w:t>
      </w:r>
    </w:p>
    <w:p w14:paraId="0A329800" w14:textId="36CE1EE8" w:rsidR="00C83C50" w:rsidRPr="00713A7B" w:rsidRDefault="00C83C50" w:rsidP="009F54D9">
      <w:pPr>
        <w:pStyle w:val="ListBullet"/>
      </w:pPr>
      <w:r w:rsidRPr="00713A7B">
        <w:t>65 subjects from Korea who received</w:t>
      </w:r>
      <w:r w:rsidR="00D679BE">
        <w:t>:</w:t>
      </w:r>
    </w:p>
    <w:p w14:paraId="51FE00AE" w14:textId="2429E1B2" w:rsidR="00C83C50" w:rsidRPr="00713A7B" w:rsidRDefault="00C83C50" w:rsidP="009F54D9">
      <w:pPr>
        <w:pStyle w:val="ListBullet2"/>
      </w:pPr>
      <w:r w:rsidRPr="00713A7B">
        <w:t xml:space="preserve">140 mg </w:t>
      </w:r>
      <w:r>
        <w:t>(</w:t>
      </w:r>
      <w:r w:rsidRPr="00713A7B">
        <w:t>n</w:t>
      </w:r>
      <w:r>
        <w:t xml:space="preserve"> </w:t>
      </w:r>
      <w:r w:rsidRPr="00713A7B">
        <w:t>=</w:t>
      </w:r>
      <w:r>
        <w:t xml:space="preserve"> </w:t>
      </w:r>
      <w:r w:rsidRPr="00713A7B">
        <w:t>2</w:t>
      </w:r>
      <w:r>
        <w:t>)</w:t>
      </w:r>
    </w:p>
    <w:p w14:paraId="186CF465" w14:textId="1177EB01" w:rsidR="00C83C50" w:rsidRPr="00713A7B" w:rsidRDefault="00C83C50" w:rsidP="009F54D9">
      <w:pPr>
        <w:pStyle w:val="ListBullet2"/>
      </w:pPr>
      <w:r w:rsidRPr="00713A7B">
        <w:t xml:space="preserve">350 mg </w:t>
      </w:r>
      <w:r>
        <w:t>(</w:t>
      </w:r>
      <w:r w:rsidRPr="00713A7B">
        <w:t>n</w:t>
      </w:r>
      <w:r>
        <w:t xml:space="preserve"> </w:t>
      </w:r>
      <w:r w:rsidRPr="00713A7B">
        <w:t>=</w:t>
      </w:r>
      <w:r>
        <w:t xml:space="preserve"> </w:t>
      </w:r>
      <w:r w:rsidRPr="00713A7B">
        <w:t>3</w:t>
      </w:r>
      <w:r>
        <w:t>)</w:t>
      </w:r>
    </w:p>
    <w:p w14:paraId="26E890B9" w14:textId="6B7ED90F" w:rsidR="00C83C50" w:rsidRPr="00713A7B" w:rsidRDefault="00C83C50" w:rsidP="009F54D9">
      <w:pPr>
        <w:pStyle w:val="ListBullet2"/>
      </w:pPr>
      <w:r w:rsidRPr="00713A7B">
        <w:t xml:space="preserve">700 mg </w:t>
      </w:r>
      <w:r>
        <w:t>(</w:t>
      </w:r>
      <w:r w:rsidRPr="00713A7B">
        <w:t>n</w:t>
      </w:r>
      <w:r>
        <w:t xml:space="preserve"> </w:t>
      </w:r>
      <w:r w:rsidRPr="00713A7B">
        <w:t>=</w:t>
      </w:r>
      <w:r>
        <w:t xml:space="preserve"> </w:t>
      </w:r>
      <w:r w:rsidRPr="00713A7B">
        <w:t>9</w:t>
      </w:r>
      <w:r>
        <w:t>)</w:t>
      </w:r>
    </w:p>
    <w:p w14:paraId="4304CE5E" w14:textId="534CD454" w:rsidR="00C83C50" w:rsidRPr="00713A7B" w:rsidRDefault="00C83C50" w:rsidP="009F54D9">
      <w:pPr>
        <w:pStyle w:val="ListBullet2"/>
      </w:pPr>
      <w:r w:rsidRPr="00713A7B">
        <w:t xml:space="preserve">1050 mg </w:t>
      </w:r>
      <w:r>
        <w:t>(</w:t>
      </w:r>
      <w:r w:rsidRPr="00713A7B">
        <w:t>n</w:t>
      </w:r>
      <w:r>
        <w:t xml:space="preserve"> </w:t>
      </w:r>
      <w:r w:rsidRPr="00713A7B">
        <w:t>=</w:t>
      </w:r>
      <w:r>
        <w:t xml:space="preserve"> </w:t>
      </w:r>
      <w:r w:rsidRPr="00713A7B">
        <w:t>44, 7 in Part 1 and 37 in Part 2</w:t>
      </w:r>
      <w:r>
        <w:t>)</w:t>
      </w:r>
      <w:r w:rsidRPr="00713A7B">
        <w:t xml:space="preserve"> or</w:t>
      </w:r>
    </w:p>
    <w:p w14:paraId="2A6DB8BA" w14:textId="4371CC01" w:rsidR="00C83C50" w:rsidRPr="00713A7B" w:rsidRDefault="00C83C50" w:rsidP="009F54D9">
      <w:pPr>
        <w:pStyle w:val="ListBullet2"/>
      </w:pPr>
      <w:r w:rsidRPr="00713A7B">
        <w:t xml:space="preserve">1400 mg </w:t>
      </w:r>
      <w:r>
        <w:t>(</w:t>
      </w:r>
      <w:r w:rsidRPr="00713A7B">
        <w:t>n</w:t>
      </w:r>
      <w:r>
        <w:t xml:space="preserve"> </w:t>
      </w:r>
      <w:r w:rsidRPr="00713A7B">
        <w:t>=</w:t>
      </w:r>
      <w:r>
        <w:t xml:space="preserve"> </w:t>
      </w:r>
      <w:r w:rsidRPr="00713A7B">
        <w:t>8</w:t>
      </w:r>
      <w:r>
        <w:t>)</w:t>
      </w:r>
    </w:p>
    <w:p w14:paraId="4E548379" w14:textId="5E635DFB" w:rsidR="00C83C50" w:rsidRPr="00713A7B" w:rsidRDefault="00C83C50" w:rsidP="009F54D9">
      <w:pPr>
        <w:pStyle w:val="ListBullet"/>
      </w:pPr>
      <w:r w:rsidRPr="00713A7B">
        <w:t>18 subjects from the USA who received</w:t>
      </w:r>
      <w:r w:rsidR="00D679BE">
        <w:t>:</w:t>
      </w:r>
    </w:p>
    <w:p w14:paraId="1B4492E0" w14:textId="527CEDE0" w:rsidR="00C83C50" w:rsidRPr="00713A7B" w:rsidRDefault="00C83C50" w:rsidP="009F54D9">
      <w:pPr>
        <w:pStyle w:val="ListBullet2"/>
      </w:pPr>
      <w:r w:rsidRPr="00713A7B">
        <w:t xml:space="preserve">1050 mg </w:t>
      </w:r>
      <w:r>
        <w:t>(</w:t>
      </w:r>
      <w:r w:rsidRPr="00713A7B">
        <w:t>n</w:t>
      </w:r>
      <w:r>
        <w:t xml:space="preserve"> </w:t>
      </w:r>
      <w:r w:rsidRPr="00713A7B">
        <w:t>=</w:t>
      </w:r>
      <w:r>
        <w:t xml:space="preserve"> </w:t>
      </w:r>
      <w:r w:rsidRPr="00713A7B">
        <w:t>10</w:t>
      </w:r>
      <w:r>
        <w:t>)</w:t>
      </w:r>
      <w:r w:rsidRPr="00713A7B">
        <w:t xml:space="preserve"> or</w:t>
      </w:r>
    </w:p>
    <w:p w14:paraId="30C34DA7" w14:textId="64739E29" w:rsidR="00C83C50" w:rsidRPr="00713A7B" w:rsidRDefault="00C83C50" w:rsidP="009F54D9">
      <w:pPr>
        <w:pStyle w:val="ListBullet2"/>
      </w:pPr>
      <w:r w:rsidRPr="00713A7B">
        <w:t xml:space="preserve">1400 mg </w:t>
      </w:r>
      <w:r>
        <w:t>(</w:t>
      </w:r>
      <w:r w:rsidRPr="00713A7B">
        <w:t>n</w:t>
      </w:r>
      <w:r>
        <w:t xml:space="preserve"> </w:t>
      </w:r>
      <w:r w:rsidRPr="00713A7B">
        <w:t>=</w:t>
      </w:r>
      <w:r>
        <w:t xml:space="preserve"> </w:t>
      </w:r>
      <w:r w:rsidRPr="00713A7B">
        <w:t xml:space="preserve">8) </w:t>
      </w:r>
    </w:p>
    <w:p w14:paraId="4F86D4F0" w14:textId="42878554" w:rsidR="00C83C50" w:rsidRPr="00713A7B" w:rsidRDefault="00C83C50" w:rsidP="009F54D9">
      <w:r w:rsidRPr="00713A7B">
        <w:t>There was no identifiable maximum tolerated dose</w:t>
      </w:r>
      <w:r>
        <w:t>, with doses tested up to 1750 mg</w:t>
      </w:r>
      <w:r w:rsidRPr="00713A7B">
        <w:t>, and a single adverse event (AE) met criteria for dose-limiting toxicity (DLT) (1050 mg cohort in US; post-DLT evaluation period).</w:t>
      </w:r>
    </w:p>
    <w:p w14:paraId="02A3C9CB" w14:textId="5E6EBAB3" w:rsidR="00C83C50" w:rsidRPr="00713A7B" w:rsidRDefault="00C83C50" w:rsidP="009F54D9">
      <w:proofErr w:type="spellStart"/>
      <w:r w:rsidRPr="00713A7B">
        <w:t>Amivatamab</w:t>
      </w:r>
      <w:proofErr w:type="spellEnd"/>
      <w:r w:rsidRPr="00713A7B">
        <w:t xml:space="preserve"> exposure was approximately 30</w:t>
      </w:r>
      <w:r>
        <w:t xml:space="preserve"> to </w:t>
      </w:r>
      <w:r w:rsidRPr="00713A7B">
        <w:t xml:space="preserve">40% lower in patients with </w:t>
      </w:r>
      <w:r>
        <w:t>body weight</w:t>
      </w:r>
      <w:r w:rsidRPr="00713A7B">
        <w:t xml:space="preserve"> </w:t>
      </w:r>
      <w:r>
        <w:t xml:space="preserve">of at least </w:t>
      </w:r>
      <w:r w:rsidRPr="00713A7B">
        <w:t xml:space="preserve">80 kg compared to patients with </w:t>
      </w:r>
      <w:r w:rsidR="007D1081">
        <w:t>body</w:t>
      </w:r>
      <w:r>
        <w:t xml:space="preserve"> weight less than </w:t>
      </w:r>
      <w:r w:rsidRPr="00713A7B">
        <w:t>80 kg.</w:t>
      </w:r>
    </w:p>
    <w:p w14:paraId="6081129D" w14:textId="40D2308D" w:rsidR="00C83C50" w:rsidRPr="00713A7B" w:rsidRDefault="00C83C50" w:rsidP="009F54D9">
      <w:r w:rsidRPr="00713A7B">
        <w:t xml:space="preserve">Comparable </w:t>
      </w:r>
      <w:proofErr w:type="spellStart"/>
      <w:r w:rsidRPr="00713A7B">
        <w:t>amivatamab</w:t>
      </w:r>
      <w:proofErr w:type="spellEnd"/>
      <w:r w:rsidRPr="00713A7B">
        <w:t xml:space="preserve"> exposure was observed with a dose of 1050 mg in patients with </w:t>
      </w:r>
      <w:r>
        <w:t xml:space="preserve">body weight less than </w:t>
      </w:r>
      <w:r w:rsidRPr="00713A7B">
        <w:t xml:space="preserve">80 kg and a dose of 1400 mg in patients with </w:t>
      </w:r>
      <w:r>
        <w:t>body weight</w:t>
      </w:r>
      <w:r w:rsidRPr="00713A7B">
        <w:t xml:space="preserve"> </w:t>
      </w:r>
      <w:r>
        <w:t xml:space="preserve">of at least </w:t>
      </w:r>
      <w:r w:rsidRPr="00713A7B">
        <w:t>80 kg.</w:t>
      </w:r>
    </w:p>
    <w:p w14:paraId="52B3EEC6" w14:textId="62F484E3" w:rsidR="00C83C50" w:rsidRDefault="00C83C50" w:rsidP="00C3481D">
      <w:r w:rsidRPr="00713A7B">
        <w:t>Weight</w:t>
      </w:r>
      <w:r w:rsidR="007D1081">
        <w:t>-</w:t>
      </w:r>
      <w:r w:rsidRPr="00713A7B">
        <w:t xml:space="preserve">based dose adjustment for </w:t>
      </w:r>
      <w:proofErr w:type="spellStart"/>
      <w:r w:rsidRPr="00713A7B">
        <w:t>amivantamab</w:t>
      </w:r>
      <w:proofErr w:type="spellEnd"/>
      <w:r w:rsidRPr="00713A7B">
        <w:t xml:space="preserve"> was therefore chosen for the RP2D, supported by population PK modelling and simulation that indicated that tiered</w:t>
      </w:r>
      <w:r w:rsidR="007D1081">
        <w:t>,</w:t>
      </w:r>
      <w:r w:rsidRPr="00713A7B">
        <w:t xml:space="preserve"> weight</w:t>
      </w:r>
      <w:r w:rsidR="007D1081">
        <w:t>-</w:t>
      </w:r>
      <w:r w:rsidRPr="00713A7B">
        <w:t>based dosing resulted in lower variances in PK parameters when compared with flat dosing without weight adjustment.</w:t>
      </w:r>
    </w:p>
    <w:p w14:paraId="5BDBF553" w14:textId="4F8FE296" w:rsidR="00C83C50" w:rsidRPr="00DB25DC" w:rsidRDefault="00C83C50" w:rsidP="00DB25DC">
      <w:pPr>
        <w:pStyle w:val="Heading5"/>
      </w:pPr>
      <w:r w:rsidRPr="00DB25DC">
        <w:lastRenderedPageBreak/>
        <w:t>Pharmacokinetics and population pharmacokinetics</w:t>
      </w:r>
    </w:p>
    <w:p w14:paraId="205F515D" w14:textId="66E03A38" w:rsidR="00C83C50" w:rsidRPr="00346893" w:rsidRDefault="00C83C50" w:rsidP="009F54D9">
      <w:proofErr w:type="spellStart"/>
      <w:r w:rsidRPr="00346893">
        <w:t>Amivantamab</w:t>
      </w:r>
      <w:proofErr w:type="spellEnd"/>
      <w:r w:rsidRPr="00346893">
        <w:t xml:space="preserve"> exhibits linear </w:t>
      </w:r>
      <w:r>
        <w:t>PK</w:t>
      </w:r>
      <w:r w:rsidRPr="00346893">
        <w:t xml:space="preserve"> between doses of 350 mg and 1750 mg, with serum concentration over time described by a two</w:t>
      </w:r>
      <w:r w:rsidR="007D1081">
        <w:t>-</w:t>
      </w:r>
      <w:r w:rsidRPr="00346893">
        <w:t>compartment model. The mean (</w:t>
      </w:r>
      <w:r>
        <w:t>standard deviation</w:t>
      </w:r>
      <w:r w:rsidRPr="00346893">
        <w:t xml:space="preserve">) volume of distribution </w:t>
      </w:r>
      <w:r>
        <w:t xml:space="preserve">was </w:t>
      </w:r>
      <w:r w:rsidRPr="00346893">
        <w:t>5.13 (1.78) L</w:t>
      </w:r>
      <w:r>
        <w:t>, mean (standard deviation)</w:t>
      </w:r>
      <w:r w:rsidRPr="00346893">
        <w:t xml:space="preserve"> non</w:t>
      </w:r>
      <w:r w:rsidR="007D1081">
        <w:t>-</w:t>
      </w:r>
      <w:r w:rsidRPr="00346893">
        <w:t xml:space="preserve">specific linear clearance </w:t>
      </w:r>
      <w:r>
        <w:t>was</w:t>
      </w:r>
      <w:r w:rsidRPr="00346893">
        <w:t xml:space="preserve"> 360 (144) mL/day</w:t>
      </w:r>
      <w:r>
        <w:t xml:space="preserve">, and </w:t>
      </w:r>
      <w:r w:rsidRPr="00346893">
        <w:t>mean (</w:t>
      </w:r>
      <w:r>
        <w:t>standard deviation</w:t>
      </w:r>
      <w:r w:rsidRPr="00346893">
        <w:t>) half-life associated with linear elimination was 11.3 (4.53) days.</w:t>
      </w:r>
    </w:p>
    <w:p w14:paraId="03C118F5" w14:textId="1E434111" w:rsidR="00C83C50" w:rsidRDefault="00C83C50" w:rsidP="009F54D9">
      <w:r>
        <w:t>Volume of distribution and clearance increase with body weight.</w:t>
      </w:r>
    </w:p>
    <w:p w14:paraId="21E71D03" w14:textId="230C8D5A" w:rsidR="00C83C50" w:rsidRDefault="00C83C50" w:rsidP="009F54D9">
      <w:r w:rsidRPr="00EF04B9">
        <w:t>Age (</w:t>
      </w:r>
      <w:r>
        <w:t>32 to 87</w:t>
      </w:r>
      <w:r w:rsidRPr="00EF04B9">
        <w:t xml:space="preserve"> </w:t>
      </w:r>
      <w:proofErr w:type="spellStart"/>
      <w:r w:rsidRPr="00EF04B9">
        <w:t>yrs</w:t>
      </w:r>
      <w:proofErr w:type="spellEnd"/>
      <w:r w:rsidRPr="00EF04B9">
        <w:t xml:space="preserve">), race, </w:t>
      </w:r>
      <w:r>
        <w:t>creatinine clearance (29 to 276 mL/min) and mild hepatic impairment (total bilirubin ≤ upper limit of normal [ULN] and a</w:t>
      </w:r>
      <w:r w:rsidRPr="00DB25DC">
        <w:t xml:space="preserve">spartate </w:t>
      </w:r>
      <w:r>
        <w:t>t</w:t>
      </w:r>
      <w:r w:rsidRPr="00DB25DC">
        <w:t>ransaminas</w:t>
      </w:r>
      <w:r>
        <w:t>e [AST] &gt; ULN, or total bilirubin ≤ 1.5 times ULN and any AST)</w:t>
      </w:r>
      <w:r w:rsidRPr="00EF04B9">
        <w:t xml:space="preserve">) did not demonstrate clinically significant effects on the PK of </w:t>
      </w:r>
      <w:proofErr w:type="spellStart"/>
      <w:r>
        <w:t>amivantamab</w:t>
      </w:r>
      <w:proofErr w:type="spellEnd"/>
      <w:r w:rsidRPr="00EF04B9">
        <w:t>.</w:t>
      </w:r>
      <w:r>
        <w:t xml:space="preserve"> There was a statistically significant effect of sex on exposure, but although lower </w:t>
      </w:r>
      <w:proofErr w:type="spellStart"/>
      <w:r>
        <w:t>amivantamab</w:t>
      </w:r>
      <w:proofErr w:type="spellEnd"/>
      <w:r>
        <w:t xml:space="preserve"> systemic exposures were observed in men, subgroup analyses for the primary efficacy population suggests that the objective respon</w:t>
      </w:r>
      <w:r w:rsidR="00543645">
        <w:t>se</w:t>
      </w:r>
      <w:r>
        <w:t xml:space="preserve"> rate (ORR) in men and women was similar (45.5% in men and 35.4% in women).</w:t>
      </w:r>
    </w:p>
    <w:p w14:paraId="3A50C3CC" w14:textId="77777777" w:rsidR="00C83C50" w:rsidRPr="00DB25DC" w:rsidRDefault="00C83C50" w:rsidP="00DB25DC">
      <w:pPr>
        <w:pStyle w:val="Heading6"/>
      </w:pPr>
      <w:bookmarkStart w:id="88" w:name="_Ref141099797"/>
      <w:r w:rsidRPr="00DB25DC">
        <w:t>Hepatic and renal function</w:t>
      </w:r>
      <w:bookmarkEnd w:id="88"/>
    </w:p>
    <w:p w14:paraId="47743C6E" w14:textId="50C95B8D" w:rsidR="00C83C50" w:rsidRPr="00EE6B6D" w:rsidRDefault="00C83C50" w:rsidP="009F54D9">
      <w:r>
        <w:t xml:space="preserve">No formal studies of </w:t>
      </w:r>
      <w:proofErr w:type="spellStart"/>
      <w:r>
        <w:t>amivantamab</w:t>
      </w:r>
      <w:proofErr w:type="spellEnd"/>
      <w:r>
        <w:t xml:space="preserve"> in subjects with hepatic or renal impairment have been conducted. B</w:t>
      </w:r>
      <w:r w:rsidRPr="00EE6B6D">
        <w:t xml:space="preserve">eing a protein, clearance is presumed to be by proteolytic degradation; interactions based on hepatic enzyme metabolism and changes in PK due to hepatic impairment are not anticipated. </w:t>
      </w:r>
      <w:r>
        <w:t xml:space="preserve">Similarly, the large molecular mass of </w:t>
      </w:r>
      <w:proofErr w:type="spellStart"/>
      <w:r>
        <w:t>amivantamab</w:t>
      </w:r>
      <w:proofErr w:type="spellEnd"/>
      <w:r>
        <w:t>, makes it unlikely that changes in renal function would affect clearance.</w:t>
      </w:r>
    </w:p>
    <w:p w14:paraId="513F2133" w14:textId="044885B8" w:rsidR="00C83C50" w:rsidRPr="005D7DAA" w:rsidRDefault="00C83C50" w:rsidP="009F54D9">
      <w:r>
        <w:t>Based on the population PK analysis, no dose adjustments are necessary for patients with mild hepatic impairment, or patients with mild to moderate renal impairment (creatinine clearance 30 to &lt; 90 mL/min).</w:t>
      </w:r>
    </w:p>
    <w:p w14:paraId="7DE9882D" w14:textId="77777777" w:rsidR="00C83C50" w:rsidRPr="00DB25DC" w:rsidRDefault="00C83C50" w:rsidP="00DB25DC">
      <w:pPr>
        <w:pStyle w:val="Heading6"/>
      </w:pPr>
      <w:r w:rsidRPr="00DB25DC">
        <w:t>Exposure-response relationships</w:t>
      </w:r>
    </w:p>
    <w:p w14:paraId="031A20B6" w14:textId="1A685426" w:rsidR="00C83C50" w:rsidRDefault="00C83C50" w:rsidP="009F54D9">
      <w:r>
        <w:t xml:space="preserve">Over the range of the dose regimen investigated in CHRYSALIS trial (1050 and 1400 mg once weekly for four weeks and every two weeks thereafter for body weights of less than 80 and at least 80 kg, respectively), no apparent exposure response relationships were observed for efficacy (overall response rate, ORR), or for IRRs, nausea, and constipation. There were slightly increased rates of rash, paronychia and </w:t>
      </w:r>
      <w:proofErr w:type="spellStart"/>
      <w:r>
        <w:t>hypoalbuminaemia</w:t>
      </w:r>
      <w:proofErr w:type="spellEnd"/>
      <w:r>
        <w:t xml:space="preserve"> with increased </w:t>
      </w:r>
      <w:proofErr w:type="spellStart"/>
      <w:r>
        <w:t>amivantamab</w:t>
      </w:r>
      <w:proofErr w:type="spellEnd"/>
      <w:r>
        <w:t xml:space="preserve"> exposure, consistent with the proposed mechanism of action.</w:t>
      </w:r>
    </w:p>
    <w:p w14:paraId="1C658B0F" w14:textId="77777777" w:rsidR="00C83C50" w:rsidRPr="00DB25DC" w:rsidRDefault="00C83C50" w:rsidP="00DB25DC">
      <w:pPr>
        <w:pStyle w:val="Heading6"/>
      </w:pPr>
      <w:r w:rsidRPr="00DB25DC">
        <w:t>Immunogenicity</w:t>
      </w:r>
    </w:p>
    <w:p w14:paraId="7E9486FB" w14:textId="1D80B4FD" w:rsidR="00C83C50" w:rsidRDefault="00C83C50" w:rsidP="009F54D9">
      <w:r>
        <w:t xml:space="preserve">The incidence of immunogenicity to </w:t>
      </w:r>
      <w:proofErr w:type="spellStart"/>
      <w:r>
        <w:t>amivantamab</w:t>
      </w:r>
      <w:proofErr w:type="spellEnd"/>
      <w:r>
        <w:t xml:space="preserve"> was 1% (n = 3). There was no evidence of an effect on PK, </w:t>
      </w:r>
      <w:proofErr w:type="gramStart"/>
      <w:r>
        <w:t>safety</w:t>
      </w:r>
      <w:proofErr w:type="gramEnd"/>
      <w:r>
        <w:t xml:space="preserve"> or efficacy, with the rarity of immunogenicity precluding definitive conclusions.</w:t>
      </w:r>
    </w:p>
    <w:p w14:paraId="230B356F" w14:textId="77777777" w:rsidR="00C83C50" w:rsidRPr="005D7DAA" w:rsidRDefault="00C83C50" w:rsidP="00DB25DC">
      <w:pPr>
        <w:pStyle w:val="Heading6"/>
      </w:pPr>
      <w:r w:rsidRPr="005D7DAA">
        <w:t>Interactions</w:t>
      </w:r>
    </w:p>
    <w:p w14:paraId="000DACAF" w14:textId="1D5BECA5" w:rsidR="00C83C50" w:rsidRPr="006C4442" w:rsidRDefault="00C83C50" w:rsidP="009F54D9">
      <w:r w:rsidRPr="005D7DAA">
        <w:t>No formal clinical drug-drug interaction studies were performed</w:t>
      </w:r>
      <w:r>
        <w:t xml:space="preserve">. As above, renal excretion and hepatic enzyme mediated metabolism are unlikely to represent major elimination routes. As </w:t>
      </w:r>
      <w:proofErr w:type="spellStart"/>
      <w:r>
        <w:t>amivantamab</w:t>
      </w:r>
      <w:proofErr w:type="spellEnd"/>
      <w:r>
        <w:t xml:space="preserve"> binds to the extracellular domains of EGFR and MET with high specificity, it is also not anticipated to alter the activity of drug-metabolising enzymes. PK </w:t>
      </w:r>
      <w:r w:rsidRPr="005D7DAA">
        <w:t>interactions with</w:t>
      </w:r>
      <w:r>
        <w:t xml:space="preserve"> </w:t>
      </w:r>
      <w:r w:rsidRPr="005D7DAA">
        <w:t xml:space="preserve">concomitant medications are </w:t>
      </w:r>
      <w:r>
        <w:t xml:space="preserve">therefore not </w:t>
      </w:r>
      <w:r w:rsidRPr="005D7DAA">
        <w:t>expected</w:t>
      </w:r>
      <w:r>
        <w:t xml:space="preserve">. Due to its intravenous route of administration, proximity of dosing to food intake is not expected to affect </w:t>
      </w:r>
      <w:proofErr w:type="spellStart"/>
      <w:r>
        <w:t>amivantamab</w:t>
      </w:r>
      <w:proofErr w:type="spellEnd"/>
      <w:r>
        <w:t xml:space="preserve"> PK.</w:t>
      </w:r>
    </w:p>
    <w:p w14:paraId="27A66262" w14:textId="77777777" w:rsidR="00C83C50" w:rsidRDefault="00C83C50" w:rsidP="00DB25DC">
      <w:pPr>
        <w:pStyle w:val="Heading5"/>
        <w:rPr>
          <w:rFonts w:asciiTheme="minorHAnsi" w:hAnsiTheme="minorHAnsi" w:cs="Calibri"/>
          <w:color w:val="000000"/>
        </w:rPr>
      </w:pPr>
      <w:bookmarkStart w:id="89" w:name="_Ref102465463"/>
      <w:r w:rsidRPr="00713A7B">
        <w:lastRenderedPageBreak/>
        <w:t>Pharmacodynamics</w:t>
      </w:r>
    </w:p>
    <w:p w14:paraId="351914E8" w14:textId="77777777" w:rsidR="00C83C50" w:rsidRPr="00DB25DC" w:rsidRDefault="00C83C50" w:rsidP="00DB25DC">
      <w:r w:rsidRPr="00DB25DC">
        <w:t xml:space="preserve">Exploratory pharmacodynamic analyses (serum levels of free soluble EGFR and MET) were submitted. Depletion of EGFR and MET started to occur after a single dose of 350 mg and 140 mg </w:t>
      </w:r>
      <w:proofErr w:type="spellStart"/>
      <w:r w:rsidRPr="00DB25DC">
        <w:t>amivantamab</w:t>
      </w:r>
      <w:proofErr w:type="spellEnd"/>
      <w:r w:rsidRPr="00DB25DC">
        <w:t>, respectively.</w:t>
      </w:r>
    </w:p>
    <w:p w14:paraId="2C655424" w14:textId="77777777" w:rsidR="00C83C50" w:rsidRDefault="00C83C50" w:rsidP="00DB25DC">
      <w:pPr>
        <w:pStyle w:val="Heading4"/>
      </w:pPr>
      <w:bookmarkStart w:id="90" w:name="_Toc144288309"/>
      <w:bookmarkEnd w:id="89"/>
      <w:r>
        <w:t>Efficacy</w:t>
      </w:r>
      <w:bookmarkEnd w:id="90"/>
    </w:p>
    <w:p w14:paraId="4659BE46" w14:textId="5FC4722A" w:rsidR="00C83C50" w:rsidRDefault="00C83C50" w:rsidP="0041216F">
      <w:pPr>
        <w:pStyle w:val="Heading5"/>
      </w:pPr>
      <w:bookmarkStart w:id="91" w:name="_Ref141089608"/>
      <w:r>
        <w:t>Pivotal study – CHRYSALIS trial</w:t>
      </w:r>
      <w:bookmarkEnd w:id="91"/>
    </w:p>
    <w:p w14:paraId="7BE54B0F" w14:textId="19853F57" w:rsidR="00C83C50" w:rsidRDefault="00C83C50" w:rsidP="00DB25DC">
      <w:r>
        <w:t>The pivotal data supporting efficacy come from a single non-randomised clinical trial, Study EDI1001 (also known as CHRYSALIS trial). Multiple CSRs were submitted:</w:t>
      </w:r>
    </w:p>
    <w:p w14:paraId="267D712B" w14:textId="51AB0BA2" w:rsidR="00C83C50" w:rsidRDefault="00C83C50" w:rsidP="00C3481D">
      <w:pPr>
        <w:pStyle w:val="ListBullet"/>
      </w:pPr>
      <w:r>
        <w:t xml:space="preserve">Clinical study report dated 27 October 2020 (clinical data </w:t>
      </w:r>
      <w:proofErr w:type="spellStart"/>
      <w:r>
        <w:t>cutoff</w:t>
      </w:r>
      <w:proofErr w:type="spellEnd"/>
      <w:r>
        <w:t xml:space="preserve"> [DCO] 8 June 2020)</w:t>
      </w:r>
    </w:p>
    <w:p w14:paraId="356B35B2" w14:textId="16E84E4D" w:rsidR="00C83C50" w:rsidRDefault="00C83C50" w:rsidP="00C3481D">
      <w:pPr>
        <w:pStyle w:val="ListBullet"/>
      </w:pPr>
      <w:r>
        <w:t>Clinical study report dated 24 November 2020 (DCO 8 October 2020)</w:t>
      </w:r>
    </w:p>
    <w:p w14:paraId="6CF7B48B" w14:textId="3E9BD5EE" w:rsidR="00C83C50" w:rsidRDefault="00C83C50" w:rsidP="00C3481D">
      <w:pPr>
        <w:pStyle w:val="ListBullet"/>
      </w:pPr>
      <w:r>
        <w:t>Clinical study report dated 21 October 2021 (DCO 30 March 2021)</w:t>
      </w:r>
    </w:p>
    <w:p w14:paraId="75D63240" w14:textId="165FC331" w:rsidR="00C83C50" w:rsidRDefault="00C83C50" w:rsidP="00DB25DC">
      <w:r>
        <w:t>The main TGA review focussed on the CSR with DCO 8 October 2020 (the report underlined above, and the same data cut off reflected in the FDA MDR).</w:t>
      </w:r>
    </w:p>
    <w:p w14:paraId="3552C7E6" w14:textId="20FE5C15" w:rsidR="00C83C50" w:rsidRDefault="00C83C50" w:rsidP="00DB25DC">
      <w:r>
        <w:t xml:space="preserve">The CSR from the more recent 30 March 2021 DCO was not submitted to FDA during the review reflected in the MDR, as the FDA approval preceded its availability. It was submitted to FDA on 29 October 2021 as part of a </w:t>
      </w:r>
      <w:proofErr w:type="spellStart"/>
      <w:r>
        <w:t>postmarketing</w:t>
      </w:r>
      <w:proofErr w:type="spellEnd"/>
      <w:r>
        <w:t xml:space="preserve"> requirement.</w:t>
      </w:r>
    </w:p>
    <w:p w14:paraId="43CB85C4" w14:textId="77777777" w:rsidR="00C83C50" w:rsidRDefault="00C83C50" w:rsidP="0041216F">
      <w:pPr>
        <w:pStyle w:val="Heading6"/>
      </w:pPr>
      <w:r>
        <w:t>Design</w:t>
      </w:r>
    </w:p>
    <w:p w14:paraId="71D7876B" w14:textId="2DF75AA5" w:rsidR="00C83C50" w:rsidRDefault="00C83C50" w:rsidP="00DB25DC">
      <w:r>
        <w:t xml:space="preserve">Study EDI1001 is an ongoing, global, Phase I/II, single arm, multi cohort study of </w:t>
      </w:r>
      <w:proofErr w:type="spellStart"/>
      <w:r>
        <w:t>amivantamab</w:t>
      </w:r>
      <w:proofErr w:type="spellEnd"/>
      <w:r>
        <w:t xml:space="preserve"> in the treatment of patients with advanced NSCLC. The study design is summarised in Table 3, Figure 7 and in the publicly available FDA label for </w:t>
      </w:r>
      <w:proofErr w:type="spellStart"/>
      <w:r>
        <w:t>amivantamab</w:t>
      </w:r>
      <w:proofErr w:type="spellEnd"/>
      <w:r>
        <w:t xml:space="preserve"> and is described in detail in the MDR.</w:t>
      </w:r>
    </w:p>
    <w:p w14:paraId="7472FE31" w14:textId="055D3A18" w:rsidR="00C83C50" w:rsidRDefault="00C83C50" w:rsidP="00DB25DC">
      <w:r>
        <w:t>The study incorporates a dose escalation phase (Part 1) and a dose expansion phase (Part 2) with six cohorts, two of which (Cohort A &amp; Cohort D) included patients with advanced NSCLC harbouring an EGFR ex20ins mutation (see Figure 7).</w:t>
      </w:r>
    </w:p>
    <w:p w14:paraId="7A8E9469" w14:textId="2FEADA17" w:rsidR="00C83C50" w:rsidRDefault="00C83C50" w:rsidP="00DB25DC">
      <w:r>
        <w:t xml:space="preserve">The primary efficacy population (n = 81) included patients who had been treated on or before 5 February 2020 (corresponding to the clinical DCO of 8 October 2020) with the RP2D of </w:t>
      </w:r>
      <w:proofErr w:type="spellStart"/>
      <w:r>
        <w:t>amivantamab</w:t>
      </w:r>
      <w:proofErr w:type="spellEnd"/>
      <w:r>
        <w:t xml:space="preserve"> and had previously received chemotherapy for advanced NSCLC harbouring an EGFR ex20ins mutation. This included four patients from Part 1, four patients from Part 2 Cohort A, and 73 patients from Part 2 Cohort D of Study EDI1001. The main inclusion and exclusion criteria of Study EDI1001 relevant to the primary efficacy population for this submission are summarised in Table 4.</w:t>
      </w:r>
    </w:p>
    <w:p w14:paraId="4AE06EAA" w14:textId="6F3FF6C8" w:rsidR="00C83C50" w:rsidRDefault="00C83C50" w:rsidP="00DB25DC">
      <w:r>
        <w:t>The primary efficacy outcome was the rate of confirmed ORR according to Response Evaluation Criteria in Solid Tumours version 1.1, by blinded independent central review, to be assessed approximately 12 weeks after the last subject received their first infusion (or at end of study).  Disease status was assessed every 6 weeks or as clinically indicated.</w:t>
      </w:r>
    </w:p>
    <w:p w14:paraId="1F02469A" w14:textId="4DFFE17C" w:rsidR="00C83C50" w:rsidRDefault="00C83C50" w:rsidP="00DB25DC">
      <w:r>
        <w:t xml:space="preserve">Descriptive statistics were used to present results, with two-sided exact 95% binomial confidence intervals (CI) for all binary endpoints. Kaplan Meier </w:t>
      </w:r>
      <w:proofErr w:type="gramStart"/>
      <w:r>
        <w:t>estimates</w:t>
      </w:r>
      <w:proofErr w:type="gramEnd"/>
      <w:r>
        <w:t xml:space="preserve"> and exploratory landmark rates were generated for response duration (DOR). Other outcomes were included in the CSR but are considered exploratory.</w:t>
      </w:r>
    </w:p>
    <w:p w14:paraId="355B496E" w14:textId="05384F6A" w:rsidR="00C83C50" w:rsidRDefault="00C83C50" w:rsidP="00DB25DC">
      <w:r>
        <w:t xml:space="preserve">Protocol amendments and deviations were </w:t>
      </w:r>
      <w:proofErr w:type="gramStart"/>
      <w:r>
        <w:t>reviewed, and</w:t>
      </w:r>
      <w:proofErr w:type="gramEnd"/>
      <w:r>
        <w:t xml:space="preserve"> are unlikely to have altered study conclusions. Compliance with Good Clinical Practice was also </w:t>
      </w:r>
      <w:proofErr w:type="gramStart"/>
      <w:r>
        <w:t>reviewed, and</w:t>
      </w:r>
      <w:proofErr w:type="gramEnd"/>
      <w:r>
        <w:t xml:space="preserve"> was considered adequate.</w:t>
      </w:r>
    </w:p>
    <w:p w14:paraId="596D097E" w14:textId="07BD6258" w:rsidR="00C83C50" w:rsidRDefault="00C83C50" w:rsidP="00DB25DC">
      <w:r>
        <w:lastRenderedPageBreak/>
        <w:t xml:space="preserve">The end of study will occur when all subjects on study treatment have completed therapy with </w:t>
      </w:r>
      <w:proofErr w:type="spellStart"/>
      <w:r>
        <w:t>amivantamab</w:t>
      </w:r>
      <w:proofErr w:type="spellEnd"/>
      <w:r>
        <w:t xml:space="preserve"> and have at least 6 months of follow-up or have discontinued from the study.</w:t>
      </w:r>
    </w:p>
    <w:p w14:paraId="07728671" w14:textId="237D6AFD" w:rsidR="00C83C50" w:rsidRDefault="00C83C50" w:rsidP="00DC56B6">
      <w:pPr>
        <w:pStyle w:val="TableTitle"/>
      </w:pPr>
      <w:r w:rsidRPr="00DC56B6">
        <w:t xml:space="preserve">Table </w:t>
      </w:r>
      <w:r w:rsidR="00C3481D">
        <w:fldChar w:fldCharType="begin"/>
      </w:r>
      <w:r w:rsidR="00C3481D">
        <w:instrText xml:space="preserve"> SEQ Table \* ARABIC </w:instrText>
      </w:r>
      <w:r w:rsidR="00C3481D">
        <w:fldChar w:fldCharType="separate"/>
      </w:r>
      <w:r w:rsidR="0006496E">
        <w:rPr>
          <w:noProof/>
        </w:rPr>
        <w:t>3</w:t>
      </w:r>
      <w:r w:rsidR="00C3481D">
        <w:rPr>
          <w:noProof/>
        </w:rPr>
        <w:fldChar w:fldCharType="end"/>
      </w:r>
      <w:r w:rsidRPr="00DC56B6">
        <w:t>:</w:t>
      </w:r>
      <w:r>
        <w:t xml:space="preserve"> </w:t>
      </w:r>
      <w:r w:rsidRPr="00F55881">
        <w:t>CHRYSALIS</w:t>
      </w:r>
      <w:r>
        <w:t xml:space="preserve"> trial </w:t>
      </w:r>
      <w:r w:rsidRPr="00F55881">
        <w:t>Summary of the two-part design</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93"/>
        <w:gridCol w:w="3402"/>
        <w:gridCol w:w="1134"/>
        <w:gridCol w:w="2409"/>
        <w:gridCol w:w="993"/>
      </w:tblGrid>
      <w:tr w:rsidR="00C83C50" w:rsidRPr="00AF5970" w14:paraId="4E4F2310" w14:textId="77777777" w:rsidTr="003364BB">
        <w:trPr>
          <w:trHeight w:val="454"/>
          <w:tblHeader/>
        </w:trPr>
        <w:tc>
          <w:tcPr>
            <w:tcW w:w="993" w:type="dxa"/>
            <w:tcBorders>
              <w:right w:val="single" w:sz="4" w:space="0" w:color="auto"/>
            </w:tcBorders>
            <w:shd w:val="clear" w:color="auto" w:fill="A5A5A5" w:themeFill="accent3"/>
          </w:tcPr>
          <w:p w14:paraId="08E8A991" w14:textId="77777777" w:rsidR="00C83C50" w:rsidRPr="00EB1B66" w:rsidRDefault="00C83C50" w:rsidP="003364BB">
            <w:pPr>
              <w:pStyle w:val="Tabletext0"/>
              <w:keepNext/>
              <w:rPr>
                <w:rFonts w:asciiTheme="minorHAnsi" w:hAnsiTheme="minorHAnsi"/>
                <w:b/>
                <w:bCs/>
                <w:color w:val="FFFFFF" w:themeColor="background1"/>
                <w:szCs w:val="19"/>
              </w:rPr>
            </w:pPr>
            <w:r w:rsidRPr="00EB1B66">
              <w:rPr>
                <w:rFonts w:asciiTheme="minorHAnsi" w:hAnsiTheme="minorHAnsi"/>
                <w:b/>
                <w:bCs/>
                <w:color w:val="FFFFFF" w:themeColor="background1"/>
                <w:szCs w:val="19"/>
              </w:rPr>
              <w:t>Part</w:t>
            </w:r>
          </w:p>
        </w:tc>
        <w:tc>
          <w:tcPr>
            <w:tcW w:w="3402" w:type="dxa"/>
            <w:tcBorders>
              <w:right w:val="single" w:sz="4" w:space="0" w:color="auto"/>
            </w:tcBorders>
            <w:shd w:val="clear" w:color="auto" w:fill="A5A5A5" w:themeFill="accent3"/>
          </w:tcPr>
          <w:p w14:paraId="60BDE7FB" w14:textId="77777777" w:rsidR="00C83C50" w:rsidRPr="00EB1B66" w:rsidRDefault="00C83C50" w:rsidP="003364BB">
            <w:pPr>
              <w:pStyle w:val="Tabletext0"/>
              <w:keepNext/>
              <w:rPr>
                <w:rFonts w:asciiTheme="minorHAnsi" w:hAnsiTheme="minorHAnsi"/>
                <w:b/>
                <w:bCs/>
                <w:color w:val="FFFFFF" w:themeColor="background1"/>
                <w:szCs w:val="19"/>
              </w:rPr>
            </w:pPr>
            <w:r>
              <w:rPr>
                <w:rFonts w:asciiTheme="minorHAnsi" w:hAnsiTheme="minorHAnsi"/>
                <w:b/>
                <w:bCs/>
                <w:color w:val="FFFFFF" w:themeColor="background1"/>
                <w:szCs w:val="19"/>
              </w:rPr>
              <w:t>O</w:t>
            </w:r>
            <w:r w:rsidRPr="00EB1B66">
              <w:rPr>
                <w:rFonts w:asciiTheme="minorHAnsi" w:hAnsiTheme="minorHAnsi"/>
                <w:b/>
                <w:bCs/>
                <w:color w:val="FFFFFF" w:themeColor="background1"/>
                <w:szCs w:val="19"/>
              </w:rPr>
              <w:t>bjective(s)</w:t>
            </w:r>
          </w:p>
        </w:tc>
        <w:tc>
          <w:tcPr>
            <w:tcW w:w="1134" w:type="dxa"/>
            <w:tcBorders>
              <w:right w:val="single" w:sz="4" w:space="0" w:color="auto"/>
            </w:tcBorders>
            <w:shd w:val="clear" w:color="auto" w:fill="A5A5A5" w:themeFill="accent3"/>
          </w:tcPr>
          <w:p w14:paraId="70796CE2" w14:textId="77777777" w:rsidR="00C83C50" w:rsidRPr="00EB1B66" w:rsidRDefault="00C83C50" w:rsidP="003364BB">
            <w:pPr>
              <w:pStyle w:val="Tabletext0"/>
              <w:keepNext/>
              <w:rPr>
                <w:rFonts w:asciiTheme="minorHAnsi" w:hAnsiTheme="minorHAnsi"/>
                <w:b/>
                <w:bCs/>
                <w:color w:val="FFFFFF" w:themeColor="background1"/>
                <w:szCs w:val="19"/>
              </w:rPr>
            </w:pPr>
            <w:r w:rsidRPr="00EB1B66">
              <w:rPr>
                <w:rFonts w:asciiTheme="minorHAnsi" w:hAnsiTheme="minorHAnsi"/>
                <w:b/>
                <w:bCs/>
                <w:color w:val="FFFFFF" w:themeColor="background1"/>
                <w:szCs w:val="19"/>
              </w:rPr>
              <w:t>Design and population</w:t>
            </w:r>
          </w:p>
        </w:tc>
        <w:tc>
          <w:tcPr>
            <w:tcW w:w="2409" w:type="dxa"/>
            <w:tcBorders>
              <w:right w:val="single" w:sz="4" w:space="0" w:color="auto"/>
            </w:tcBorders>
            <w:shd w:val="clear" w:color="auto" w:fill="A5A5A5" w:themeFill="accent3"/>
          </w:tcPr>
          <w:p w14:paraId="7D531F19" w14:textId="77777777" w:rsidR="00C83C50" w:rsidRPr="00EB1B66" w:rsidRDefault="00C83C50" w:rsidP="003364BB">
            <w:pPr>
              <w:pStyle w:val="Tabletext0"/>
              <w:keepNext/>
              <w:rPr>
                <w:rFonts w:asciiTheme="minorHAnsi" w:hAnsiTheme="minorHAnsi"/>
                <w:b/>
                <w:bCs/>
                <w:color w:val="FFFFFF" w:themeColor="background1"/>
                <w:szCs w:val="19"/>
              </w:rPr>
            </w:pPr>
            <w:proofErr w:type="spellStart"/>
            <w:r>
              <w:rPr>
                <w:rFonts w:asciiTheme="minorHAnsi" w:hAnsiTheme="minorHAnsi"/>
                <w:b/>
                <w:bCs/>
                <w:color w:val="FFFFFF" w:themeColor="background1"/>
                <w:szCs w:val="19"/>
              </w:rPr>
              <w:t>Amivantamab</w:t>
            </w:r>
            <w:proofErr w:type="spellEnd"/>
            <w:r w:rsidRPr="00EB1B66">
              <w:rPr>
                <w:rFonts w:asciiTheme="minorHAnsi" w:hAnsiTheme="minorHAnsi"/>
                <w:b/>
                <w:bCs/>
                <w:color w:val="FFFFFF" w:themeColor="background1"/>
                <w:szCs w:val="19"/>
              </w:rPr>
              <w:t xml:space="preserve"> treatment</w:t>
            </w:r>
            <w:r>
              <w:rPr>
                <w:rFonts w:asciiTheme="minorHAnsi" w:hAnsiTheme="minorHAnsi"/>
                <w:b/>
                <w:bCs/>
                <w:color w:val="FFFFFF" w:themeColor="background1"/>
                <w:szCs w:val="19"/>
              </w:rPr>
              <w:t>*</w:t>
            </w:r>
          </w:p>
        </w:tc>
        <w:tc>
          <w:tcPr>
            <w:tcW w:w="993" w:type="dxa"/>
            <w:tcBorders>
              <w:right w:val="single" w:sz="4" w:space="0" w:color="auto"/>
            </w:tcBorders>
            <w:shd w:val="clear" w:color="auto" w:fill="A5A5A5" w:themeFill="accent3"/>
          </w:tcPr>
          <w:p w14:paraId="78DCEBCD" w14:textId="77777777" w:rsidR="00C83C50" w:rsidRPr="00EB1B66" w:rsidRDefault="00C83C50" w:rsidP="003364BB">
            <w:pPr>
              <w:pStyle w:val="Tabletext0"/>
              <w:keepNext/>
              <w:rPr>
                <w:rFonts w:asciiTheme="minorHAnsi" w:hAnsiTheme="minorHAnsi"/>
                <w:b/>
                <w:bCs/>
                <w:color w:val="FFFFFF" w:themeColor="background1"/>
                <w:szCs w:val="19"/>
              </w:rPr>
            </w:pPr>
            <w:r w:rsidRPr="00EB1B66">
              <w:rPr>
                <w:rFonts w:asciiTheme="minorHAnsi" w:hAnsiTheme="minorHAnsi"/>
                <w:b/>
                <w:bCs/>
                <w:color w:val="FFFFFF" w:themeColor="background1"/>
                <w:szCs w:val="19"/>
              </w:rPr>
              <w:t>Size (treated)</w:t>
            </w:r>
          </w:p>
        </w:tc>
      </w:tr>
      <w:tr w:rsidR="00C83C50" w:rsidRPr="00AF5970" w14:paraId="5A257E29" w14:textId="77777777" w:rsidTr="003364BB">
        <w:trPr>
          <w:trHeight w:val="20"/>
        </w:trPr>
        <w:tc>
          <w:tcPr>
            <w:tcW w:w="993" w:type="dxa"/>
            <w:tcBorders>
              <w:right w:val="single" w:sz="4" w:space="0" w:color="auto"/>
            </w:tcBorders>
          </w:tcPr>
          <w:p w14:paraId="4D0105F0" w14:textId="77777777" w:rsidR="00C83C50" w:rsidRPr="00637E5F" w:rsidRDefault="00C83C50" w:rsidP="003364BB">
            <w:pPr>
              <w:pStyle w:val="Tabletextbulleted"/>
              <w:keepNext/>
              <w:numPr>
                <w:ilvl w:val="0"/>
                <w:numId w:val="0"/>
              </w:numPr>
              <w:ind w:right="0"/>
              <w:rPr>
                <w:color w:val="auto"/>
              </w:rPr>
            </w:pPr>
            <w:r w:rsidRPr="00637E5F">
              <w:rPr>
                <w:color w:val="auto"/>
              </w:rPr>
              <w:t>Part 1: dose escalation</w:t>
            </w:r>
          </w:p>
        </w:tc>
        <w:tc>
          <w:tcPr>
            <w:tcW w:w="3402" w:type="dxa"/>
            <w:tcBorders>
              <w:right w:val="single" w:sz="4" w:space="0" w:color="auto"/>
            </w:tcBorders>
          </w:tcPr>
          <w:p w14:paraId="3B4D9BF5" w14:textId="77777777" w:rsidR="00C83C50" w:rsidRPr="00637E5F" w:rsidRDefault="00C83C50" w:rsidP="003364BB">
            <w:pPr>
              <w:pStyle w:val="Tabletextbulleted"/>
              <w:keepNext/>
              <w:numPr>
                <w:ilvl w:val="0"/>
                <w:numId w:val="0"/>
              </w:numPr>
              <w:ind w:right="0"/>
              <w:rPr>
                <w:color w:val="auto"/>
              </w:rPr>
            </w:pPr>
            <w:r w:rsidRPr="00637E5F">
              <w:rPr>
                <w:color w:val="auto"/>
              </w:rPr>
              <w:t>Primary: RP2D, MTD</w:t>
            </w:r>
          </w:p>
          <w:p w14:paraId="2B64E2B1" w14:textId="77777777" w:rsidR="00C83C50" w:rsidRPr="00637E5F" w:rsidRDefault="00C83C50" w:rsidP="003364BB">
            <w:pPr>
              <w:pStyle w:val="Tabletextbulleted"/>
              <w:keepNext/>
              <w:numPr>
                <w:ilvl w:val="0"/>
                <w:numId w:val="0"/>
              </w:numPr>
              <w:ind w:right="0"/>
              <w:rPr>
                <w:color w:val="auto"/>
              </w:rPr>
            </w:pPr>
            <w:r w:rsidRPr="00637E5F">
              <w:rPr>
                <w:color w:val="auto"/>
              </w:rPr>
              <w:t>Secondary: PK, immunogenicity</w:t>
            </w:r>
          </w:p>
          <w:p w14:paraId="58596E3A" w14:textId="77777777" w:rsidR="00C83C50" w:rsidRPr="00637E5F" w:rsidRDefault="00C83C50" w:rsidP="003364BB">
            <w:pPr>
              <w:pStyle w:val="Tabletextbulleted"/>
              <w:keepNext/>
              <w:numPr>
                <w:ilvl w:val="0"/>
                <w:numId w:val="0"/>
              </w:numPr>
              <w:ind w:right="0"/>
              <w:rPr>
                <w:color w:val="auto"/>
              </w:rPr>
            </w:pPr>
            <w:r w:rsidRPr="00637E5F">
              <w:rPr>
                <w:color w:val="auto"/>
              </w:rPr>
              <w:t>Exploratory: PD and biomarkers</w:t>
            </w:r>
          </w:p>
        </w:tc>
        <w:tc>
          <w:tcPr>
            <w:tcW w:w="1134" w:type="dxa"/>
            <w:tcBorders>
              <w:right w:val="single" w:sz="4" w:space="0" w:color="auto"/>
            </w:tcBorders>
            <w:shd w:val="clear" w:color="auto" w:fill="auto"/>
          </w:tcPr>
          <w:p w14:paraId="79E67D4F" w14:textId="77777777" w:rsidR="00C83C50" w:rsidRPr="00637E5F" w:rsidRDefault="00C83C50" w:rsidP="003364BB">
            <w:pPr>
              <w:pStyle w:val="Tabletextbulleted"/>
              <w:keepNext/>
              <w:numPr>
                <w:ilvl w:val="0"/>
                <w:numId w:val="0"/>
              </w:numPr>
              <w:ind w:right="0"/>
              <w:rPr>
                <w:color w:val="auto"/>
              </w:rPr>
            </w:pPr>
            <w:r w:rsidRPr="00637E5F">
              <w:rPr>
                <w:color w:val="auto"/>
              </w:rPr>
              <w:t>3+3 design, refractory advanced NSCLC</w:t>
            </w:r>
          </w:p>
        </w:tc>
        <w:tc>
          <w:tcPr>
            <w:tcW w:w="2409" w:type="dxa"/>
            <w:tcBorders>
              <w:right w:val="single" w:sz="4" w:space="0" w:color="auto"/>
            </w:tcBorders>
            <w:shd w:val="clear" w:color="auto" w:fill="auto"/>
          </w:tcPr>
          <w:p w14:paraId="1A624287" w14:textId="77777777" w:rsidR="00C83C50" w:rsidRPr="00637E5F" w:rsidRDefault="00C83C50" w:rsidP="003364BB">
            <w:pPr>
              <w:pStyle w:val="Tabletextbulleted"/>
              <w:keepNext/>
              <w:numPr>
                <w:ilvl w:val="0"/>
                <w:numId w:val="0"/>
              </w:numPr>
              <w:ind w:right="0"/>
              <w:rPr>
                <w:color w:val="auto"/>
              </w:rPr>
            </w:pPr>
            <w:proofErr w:type="spellStart"/>
            <w:r w:rsidRPr="00637E5F">
              <w:rPr>
                <w:color w:val="auto"/>
              </w:rPr>
              <w:t>Amivantamab</w:t>
            </w:r>
            <w:proofErr w:type="spellEnd"/>
            <w:r w:rsidRPr="00637E5F">
              <w:rPr>
                <w:color w:val="auto"/>
              </w:rPr>
              <w:t xml:space="preserve"> 140 mg to 1750 mg, given IV weekly for four doses, then fortnightly thereafter </w:t>
            </w:r>
          </w:p>
        </w:tc>
        <w:tc>
          <w:tcPr>
            <w:tcW w:w="993" w:type="dxa"/>
            <w:tcBorders>
              <w:right w:val="single" w:sz="4" w:space="0" w:color="auto"/>
            </w:tcBorders>
            <w:shd w:val="clear" w:color="auto" w:fill="auto"/>
          </w:tcPr>
          <w:p w14:paraId="469EEE37" w14:textId="77777777" w:rsidR="00C83C50" w:rsidRPr="00637E5F" w:rsidRDefault="00C83C50" w:rsidP="003364BB">
            <w:pPr>
              <w:pStyle w:val="Tabletextbulleted"/>
              <w:keepNext/>
              <w:numPr>
                <w:ilvl w:val="0"/>
                <w:numId w:val="0"/>
              </w:numPr>
              <w:ind w:right="0"/>
              <w:rPr>
                <w:color w:val="auto"/>
              </w:rPr>
            </w:pPr>
            <w:r w:rsidRPr="00637E5F">
              <w:rPr>
                <w:color w:val="auto"/>
              </w:rPr>
              <w:t>n=77</w:t>
            </w:r>
          </w:p>
        </w:tc>
      </w:tr>
      <w:tr w:rsidR="00C83C50" w:rsidRPr="00AF5970" w14:paraId="2E1535A8" w14:textId="77777777" w:rsidTr="003364BB">
        <w:trPr>
          <w:trHeight w:val="972"/>
        </w:trPr>
        <w:tc>
          <w:tcPr>
            <w:tcW w:w="993" w:type="dxa"/>
            <w:tcBorders>
              <w:right w:val="single" w:sz="4" w:space="0" w:color="auto"/>
            </w:tcBorders>
          </w:tcPr>
          <w:p w14:paraId="6B65BDFD" w14:textId="77777777" w:rsidR="00C83C50" w:rsidRPr="00637E5F" w:rsidRDefault="00C83C50" w:rsidP="003364BB">
            <w:pPr>
              <w:pStyle w:val="Tabletextbulleted"/>
              <w:keepNext/>
              <w:numPr>
                <w:ilvl w:val="0"/>
                <w:numId w:val="0"/>
              </w:numPr>
              <w:ind w:right="0"/>
              <w:rPr>
                <w:color w:val="auto"/>
              </w:rPr>
            </w:pPr>
            <w:r w:rsidRPr="00637E5F">
              <w:rPr>
                <w:color w:val="auto"/>
              </w:rPr>
              <w:t>Part 2: expansion</w:t>
            </w:r>
          </w:p>
        </w:tc>
        <w:tc>
          <w:tcPr>
            <w:tcW w:w="3402" w:type="dxa"/>
            <w:tcBorders>
              <w:right w:val="single" w:sz="4" w:space="0" w:color="auto"/>
            </w:tcBorders>
          </w:tcPr>
          <w:p w14:paraId="39367D9C" w14:textId="77777777" w:rsidR="00C83C50" w:rsidRPr="00637E5F" w:rsidRDefault="00C83C50" w:rsidP="003364BB">
            <w:pPr>
              <w:pStyle w:val="Tabletextbulleted"/>
              <w:keepNext/>
              <w:numPr>
                <w:ilvl w:val="0"/>
                <w:numId w:val="0"/>
              </w:numPr>
              <w:ind w:right="0"/>
              <w:rPr>
                <w:color w:val="auto"/>
              </w:rPr>
            </w:pPr>
            <w:r w:rsidRPr="00637E5F">
              <w:rPr>
                <w:color w:val="auto"/>
              </w:rPr>
              <w:t>Primary: ORR by BICR (including in patients with EGFR ex20ins-positive NSCLC), safety and tolerability of the RP2D dose.</w:t>
            </w:r>
          </w:p>
          <w:p w14:paraId="7A7D9652" w14:textId="77777777" w:rsidR="00C83C50" w:rsidRPr="00637E5F" w:rsidRDefault="00C83C50" w:rsidP="003364BB">
            <w:pPr>
              <w:pStyle w:val="Tabletextbulleted"/>
              <w:keepNext/>
              <w:numPr>
                <w:ilvl w:val="0"/>
                <w:numId w:val="0"/>
              </w:numPr>
              <w:ind w:right="0"/>
              <w:rPr>
                <w:color w:val="auto"/>
              </w:rPr>
            </w:pPr>
            <w:r w:rsidRPr="00637E5F">
              <w:rPr>
                <w:color w:val="auto"/>
              </w:rPr>
              <w:t>Secondary: PK, immunogenicity</w:t>
            </w:r>
          </w:p>
          <w:p w14:paraId="3EFCC106" w14:textId="77777777" w:rsidR="00C83C50" w:rsidRPr="00637E5F" w:rsidRDefault="00C83C50" w:rsidP="003364BB">
            <w:pPr>
              <w:pStyle w:val="Tabletextbulleted"/>
              <w:keepNext/>
              <w:numPr>
                <w:ilvl w:val="0"/>
                <w:numId w:val="0"/>
              </w:numPr>
              <w:ind w:right="0"/>
              <w:rPr>
                <w:color w:val="auto"/>
              </w:rPr>
            </w:pPr>
            <w:r w:rsidRPr="00637E5F">
              <w:rPr>
                <w:color w:val="auto"/>
              </w:rPr>
              <w:t>Exploratory: PD and biomarkers</w:t>
            </w:r>
          </w:p>
        </w:tc>
        <w:tc>
          <w:tcPr>
            <w:tcW w:w="1134" w:type="dxa"/>
            <w:tcBorders>
              <w:right w:val="single" w:sz="4" w:space="0" w:color="auto"/>
            </w:tcBorders>
            <w:shd w:val="clear" w:color="auto" w:fill="auto"/>
          </w:tcPr>
          <w:p w14:paraId="0185D920" w14:textId="53CE8707" w:rsidR="00C83C50" w:rsidRPr="00637E5F" w:rsidRDefault="00C83C50" w:rsidP="003364BB">
            <w:pPr>
              <w:pStyle w:val="Tabletextbulleted"/>
              <w:keepNext/>
              <w:numPr>
                <w:ilvl w:val="0"/>
                <w:numId w:val="0"/>
              </w:numPr>
              <w:ind w:right="0"/>
              <w:rPr>
                <w:color w:val="auto"/>
              </w:rPr>
            </w:pPr>
            <w:r w:rsidRPr="00637E5F">
              <w:rPr>
                <w:color w:val="auto"/>
              </w:rPr>
              <w:t>6 cohorts, refractory advanced NSCLC</w:t>
            </w:r>
          </w:p>
        </w:tc>
        <w:tc>
          <w:tcPr>
            <w:tcW w:w="2409" w:type="dxa"/>
            <w:tcBorders>
              <w:right w:val="single" w:sz="4" w:space="0" w:color="auto"/>
            </w:tcBorders>
            <w:shd w:val="clear" w:color="auto" w:fill="auto"/>
          </w:tcPr>
          <w:p w14:paraId="06E76138" w14:textId="77777777" w:rsidR="00C83C50" w:rsidRPr="00637E5F" w:rsidRDefault="00C83C50" w:rsidP="003364BB">
            <w:pPr>
              <w:pStyle w:val="Tabletextbulleted"/>
              <w:keepNext/>
              <w:numPr>
                <w:ilvl w:val="0"/>
                <w:numId w:val="0"/>
              </w:numPr>
              <w:ind w:right="0"/>
              <w:rPr>
                <w:color w:val="auto"/>
              </w:rPr>
            </w:pPr>
            <w:proofErr w:type="spellStart"/>
            <w:r w:rsidRPr="00637E5F">
              <w:rPr>
                <w:color w:val="auto"/>
              </w:rPr>
              <w:t>Amivantamab</w:t>
            </w:r>
            <w:proofErr w:type="spellEnd"/>
            <w:r w:rsidRPr="00637E5F">
              <w:rPr>
                <w:color w:val="auto"/>
              </w:rPr>
              <w:t xml:space="preserve"> 1050 mg for baseline body weight &lt;80 kg, or 1400 mg for baseline body weight ≥80 kg, given IV weekly** for four doses, then fortnightly thereafter</w:t>
            </w:r>
          </w:p>
        </w:tc>
        <w:tc>
          <w:tcPr>
            <w:tcW w:w="993" w:type="dxa"/>
            <w:tcBorders>
              <w:right w:val="single" w:sz="4" w:space="0" w:color="auto"/>
            </w:tcBorders>
            <w:shd w:val="clear" w:color="auto" w:fill="auto"/>
          </w:tcPr>
          <w:p w14:paraId="7589447C" w14:textId="77777777" w:rsidR="00C83C50" w:rsidRPr="00637E5F" w:rsidRDefault="00C83C50" w:rsidP="003364BB">
            <w:pPr>
              <w:pStyle w:val="Tabletextbulleted"/>
              <w:keepNext/>
              <w:numPr>
                <w:ilvl w:val="0"/>
                <w:numId w:val="0"/>
              </w:numPr>
              <w:ind w:right="0"/>
              <w:rPr>
                <w:color w:val="auto"/>
              </w:rPr>
            </w:pPr>
            <w:r w:rsidRPr="00637E5F">
              <w:rPr>
                <w:color w:val="auto"/>
              </w:rPr>
              <w:t>n=285***</w:t>
            </w:r>
          </w:p>
        </w:tc>
      </w:tr>
    </w:tbl>
    <w:p w14:paraId="4477EBAD" w14:textId="77777777" w:rsidR="00C83C50" w:rsidRPr="00F55881" w:rsidRDefault="00C83C50" w:rsidP="00F55881">
      <w:pPr>
        <w:pStyle w:val="TableDescription"/>
      </w:pPr>
      <w:r w:rsidRPr="00F55881">
        <w:t xml:space="preserve">* Treatment was continued until disease progression or unacceptable </w:t>
      </w:r>
      <w:proofErr w:type="gramStart"/>
      <w:r w:rsidRPr="00F55881">
        <w:t>toxicity, unless</w:t>
      </w:r>
      <w:proofErr w:type="gramEnd"/>
      <w:r w:rsidRPr="00F55881">
        <w:t xml:space="preserve"> patients completed/discontinued/withdrew.</w:t>
      </w:r>
    </w:p>
    <w:p w14:paraId="4799150D" w14:textId="77777777" w:rsidR="00C83C50" w:rsidRPr="00F55881" w:rsidRDefault="00C83C50" w:rsidP="00F55881">
      <w:pPr>
        <w:pStyle w:val="TableDescription"/>
      </w:pPr>
      <w:r w:rsidRPr="00F55881">
        <w:t xml:space="preserve">** Starting with Protocol Amendment 4 (dated March 9, 2018), the protocol was modified to administer the initial dose as a split infusion on Week 1 Days 1 and 2 and to require infusion of </w:t>
      </w:r>
      <w:proofErr w:type="spellStart"/>
      <w:r w:rsidRPr="00F55881">
        <w:t>amivantamab</w:t>
      </w:r>
      <w:proofErr w:type="spellEnd"/>
      <w:r w:rsidRPr="00F55881">
        <w:t xml:space="preserve"> via a peripheral vein for all Cycle 1 doses, with infusion via central line allowed for subsequent dosing starting with the Cycle 2 Day 1 dose. Protocol amendment 4 was instituted after 31 patients had received </w:t>
      </w:r>
      <w:proofErr w:type="spellStart"/>
      <w:r w:rsidRPr="00F55881">
        <w:t>amivantamab</w:t>
      </w:r>
      <w:proofErr w:type="spellEnd"/>
      <w:r w:rsidRPr="00F55881">
        <w:t xml:space="preserve"> on study.</w:t>
      </w:r>
    </w:p>
    <w:p w14:paraId="56C97F52" w14:textId="77777777" w:rsidR="00C83C50" w:rsidRPr="00F55881" w:rsidRDefault="00C83C50" w:rsidP="00F55881">
      <w:pPr>
        <w:pStyle w:val="TableDescription"/>
      </w:pPr>
      <w:r w:rsidRPr="00F55881">
        <w:t xml:space="preserve">*** As </w:t>
      </w:r>
      <w:proofErr w:type="gramStart"/>
      <w:r w:rsidRPr="00F55881">
        <w:t>at</w:t>
      </w:r>
      <w:proofErr w:type="gramEnd"/>
      <w:r w:rsidRPr="00F55881">
        <w:t xml:space="preserve"> 08 June 2020.</w:t>
      </w:r>
    </w:p>
    <w:p w14:paraId="2003A043" w14:textId="77777777" w:rsidR="00C83C50" w:rsidRDefault="00C83C50" w:rsidP="00F55881">
      <w:pPr>
        <w:pStyle w:val="TableDescription"/>
      </w:pPr>
      <w:r w:rsidRPr="00F55881">
        <w:t>EGFR = epidermal growth factor receptor; ex20ins = exon 20 insertion mutation; BICR = blinded independent radiological review committee; IV = intravenously; MTD = maximum tolerated dose; NSCLC = non-small cell lung cancer; ORR = objective response rate; PK = pharmacokinetics; RP2D = recommended Phase 2 dose.</w:t>
      </w:r>
    </w:p>
    <w:p w14:paraId="20D7F316" w14:textId="35219373" w:rsidR="00C83C50" w:rsidRDefault="00C83C50" w:rsidP="00DC56B6">
      <w:pPr>
        <w:pStyle w:val="FigureTitle"/>
        <w:keepNext/>
      </w:pPr>
      <w:r>
        <w:t xml:space="preserve">Figure </w:t>
      </w:r>
      <w:r w:rsidR="00C3481D">
        <w:fldChar w:fldCharType="begin"/>
      </w:r>
      <w:r w:rsidR="00C3481D">
        <w:instrText xml:space="preserve"> SEQ Figure \* ARABIC </w:instrText>
      </w:r>
      <w:r w:rsidR="00C3481D">
        <w:fldChar w:fldCharType="separate"/>
      </w:r>
      <w:r w:rsidR="0006496E">
        <w:rPr>
          <w:noProof/>
        </w:rPr>
        <w:t>8</w:t>
      </w:r>
      <w:r w:rsidR="00C3481D">
        <w:rPr>
          <w:noProof/>
        </w:rPr>
        <w:fldChar w:fldCharType="end"/>
      </w:r>
      <w:r>
        <w:t>: Design of CHRYSALIS (monotherapy cohorts)</w:t>
      </w:r>
    </w:p>
    <w:p w14:paraId="601235DE" w14:textId="6A385939" w:rsidR="00C83C50" w:rsidRDefault="00C83C50" w:rsidP="00F55881">
      <w:pPr>
        <w:pStyle w:val="FigureTitle"/>
      </w:pPr>
      <w:r>
        <w:rPr>
          <w:noProof/>
          <w:lang w:eastAsia="en-AU"/>
        </w:rPr>
        <w:drawing>
          <wp:inline distT="0" distB="0" distL="0" distR="0" wp14:anchorId="10298F6E" wp14:editId="1732CB6B">
            <wp:extent cx="5232625" cy="3085652"/>
            <wp:effectExtent l="0" t="0" r="6350" b="635"/>
            <wp:docPr id="3" name="Picture 3" descr="Design of CHRYSALIS (monotherapy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ign of CHRYSALIS (monotherapy cohorts)"/>
                    <pic:cNvPicPr/>
                  </pic:nvPicPr>
                  <pic:blipFill rotWithShape="1">
                    <a:blip r:embed="rId30"/>
                    <a:srcRect l="4379" t="8580"/>
                    <a:stretch/>
                  </pic:blipFill>
                  <pic:spPr bwMode="auto">
                    <a:xfrm>
                      <a:off x="0" y="0"/>
                      <a:ext cx="5282394" cy="3115001"/>
                    </a:xfrm>
                    <a:prstGeom prst="rect">
                      <a:avLst/>
                    </a:prstGeom>
                    <a:ln>
                      <a:noFill/>
                    </a:ln>
                    <a:extLst>
                      <a:ext uri="{53640926-AAD7-44D8-BBD7-CCE9431645EC}">
                        <a14:shadowObscured xmlns:a14="http://schemas.microsoft.com/office/drawing/2010/main"/>
                      </a:ext>
                    </a:extLst>
                  </pic:spPr>
                </pic:pic>
              </a:graphicData>
            </a:graphic>
          </wp:inline>
        </w:drawing>
      </w:r>
    </w:p>
    <w:p w14:paraId="0EC3D606" w14:textId="7FAD3626" w:rsidR="00C83C50" w:rsidRDefault="00C83C50" w:rsidP="00C3481D">
      <w:pPr>
        <w:pStyle w:val="TableTitle"/>
        <w:pageBreakBefore/>
      </w:pPr>
      <w:r w:rsidRPr="00F55881">
        <w:lastRenderedPageBreak/>
        <w:t xml:space="preserve">Table </w:t>
      </w:r>
      <w:r w:rsidR="00C3481D">
        <w:fldChar w:fldCharType="begin"/>
      </w:r>
      <w:r w:rsidR="00C3481D">
        <w:instrText xml:space="preserve"> SEQ Table \* ARABIC </w:instrText>
      </w:r>
      <w:r w:rsidR="00C3481D">
        <w:fldChar w:fldCharType="separate"/>
      </w:r>
      <w:r w:rsidR="0006496E">
        <w:rPr>
          <w:noProof/>
        </w:rPr>
        <w:t>4</w:t>
      </w:r>
      <w:r w:rsidR="00C3481D">
        <w:rPr>
          <w:noProof/>
        </w:rPr>
        <w:fldChar w:fldCharType="end"/>
      </w:r>
      <w:r>
        <w:t xml:space="preserve">: </w:t>
      </w:r>
      <w:r w:rsidRPr="00F55881">
        <w:t xml:space="preserve">CHRYSALIS </w:t>
      </w:r>
      <w:r>
        <w:t xml:space="preserve">trial </w:t>
      </w:r>
      <w:r w:rsidRPr="00F55881">
        <w:t>Key eligibility criteria relevant to the primary efficacy population</w:t>
      </w:r>
    </w:p>
    <w:tbl>
      <w:tblPr>
        <w:tblStyle w:val="TableTGAblue"/>
        <w:tblW w:w="9067" w:type="dxa"/>
        <w:tblLook w:val="04A0" w:firstRow="1" w:lastRow="0" w:firstColumn="1" w:lastColumn="0" w:noHBand="0" w:noVBand="1"/>
      </w:tblPr>
      <w:tblGrid>
        <w:gridCol w:w="4810"/>
        <w:gridCol w:w="4257"/>
      </w:tblGrid>
      <w:tr w:rsidR="00C83C50" w:rsidRPr="00AF5970" w14:paraId="409EDEAF" w14:textId="77777777" w:rsidTr="003364BB">
        <w:trPr>
          <w:cnfStyle w:val="100000000000" w:firstRow="1" w:lastRow="0" w:firstColumn="0" w:lastColumn="0" w:oddVBand="0" w:evenVBand="0" w:oddHBand="0" w:evenHBand="0" w:firstRowFirstColumn="0" w:firstRowLastColumn="0" w:lastRowFirstColumn="0" w:lastRowLastColumn="0"/>
        </w:trPr>
        <w:tc>
          <w:tcPr>
            <w:tcW w:w="4810" w:type="dxa"/>
          </w:tcPr>
          <w:p w14:paraId="7ADA165A" w14:textId="77777777" w:rsidR="00C83C50" w:rsidRPr="006C3663" w:rsidRDefault="00C83C50" w:rsidP="003364BB">
            <w:pPr>
              <w:pStyle w:val="Tabletext0"/>
            </w:pPr>
            <w:r w:rsidRPr="006C3663">
              <w:t>Included</w:t>
            </w:r>
          </w:p>
        </w:tc>
        <w:tc>
          <w:tcPr>
            <w:tcW w:w="4257" w:type="dxa"/>
          </w:tcPr>
          <w:p w14:paraId="1B986672" w14:textId="77777777" w:rsidR="00C83C50" w:rsidRPr="006C3663" w:rsidRDefault="00C83C50" w:rsidP="003364BB">
            <w:pPr>
              <w:pStyle w:val="Tabletext0"/>
            </w:pPr>
            <w:r w:rsidRPr="006C3663">
              <w:t>Excluded</w:t>
            </w:r>
          </w:p>
        </w:tc>
      </w:tr>
      <w:tr w:rsidR="00C83C50" w:rsidRPr="00AF5970" w14:paraId="4CDC3452" w14:textId="77777777" w:rsidTr="003364BB">
        <w:tc>
          <w:tcPr>
            <w:tcW w:w="4810" w:type="dxa"/>
          </w:tcPr>
          <w:p w14:paraId="29D1AD0D" w14:textId="77777777" w:rsidR="00C83C50" w:rsidRPr="006E6296" w:rsidRDefault="00C83C50" w:rsidP="003364BB">
            <w:pPr>
              <w:pStyle w:val="Tabletextbulleted"/>
              <w:rPr>
                <w:color w:val="auto"/>
              </w:rPr>
            </w:pPr>
            <w:r w:rsidRPr="006E6296">
              <w:rPr>
                <w:color w:val="auto"/>
              </w:rPr>
              <w:t>Consenting, non-reproductive</w:t>
            </w:r>
            <w:r>
              <w:rPr>
                <w:color w:val="auto"/>
              </w:rPr>
              <w:t>, non-breastfeeding</w:t>
            </w:r>
            <w:r w:rsidRPr="006E6296">
              <w:rPr>
                <w:color w:val="auto"/>
              </w:rPr>
              <w:t xml:space="preserve"> adults with advanced (unresectable or metastatic) NSCLC (histology or cytology-confirmed)</w:t>
            </w:r>
          </w:p>
          <w:p w14:paraId="6BE89E84" w14:textId="77777777" w:rsidR="00C83C50" w:rsidRPr="00107D46" w:rsidRDefault="00C83C50" w:rsidP="00F55881">
            <w:pPr>
              <w:pStyle w:val="Tabletext0"/>
              <w:numPr>
                <w:ilvl w:val="0"/>
                <w:numId w:val="10"/>
              </w:numPr>
              <w:rPr>
                <w:color w:val="auto"/>
              </w:rPr>
            </w:pPr>
            <w:r w:rsidRPr="00107D46">
              <w:rPr>
                <w:color w:val="auto"/>
              </w:rPr>
              <w:t xml:space="preserve">ECOG performance status score &lt;2 </w:t>
            </w:r>
          </w:p>
          <w:p w14:paraId="56162324" w14:textId="77777777" w:rsidR="00C83C50" w:rsidRDefault="00C83C50" w:rsidP="00F55881">
            <w:pPr>
              <w:pStyle w:val="Tabletext0"/>
              <w:numPr>
                <w:ilvl w:val="0"/>
                <w:numId w:val="10"/>
              </w:numPr>
              <w:rPr>
                <w:color w:val="auto"/>
              </w:rPr>
            </w:pPr>
            <w:r w:rsidRPr="00107D46">
              <w:rPr>
                <w:color w:val="auto"/>
              </w:rPr>
              <w:t>Adequate organ function</w:t>
            </w:r>
          </w:p>
          <w:p w14:paraId="2A4EF937" w14:textId="77777777" w:rsidR="00C83C50" w:rsidRPr="00107D46" w:rsidRDefault="00C83C50" w:rsidP="00F55881">
            <w:pPr>
              <w:pStyle w:val="Tabletext0"/>
              <w:numPr>
                <w:ilvl w:val="0"/>
                <w:numId w:val="10"/>
              </w:numPr>
              <w:rPr>
                <w:color w:val="auto"/>
              </w:rPr>
            </w:pPr>
            <w:r w:rsidRPr="00107D46">
              <w:rPr>
                <w:color w:val="auto"/>
              </w:rPr>
              <w:t>Evaluable (Part 1) or measurable (Part 2) disease by RECIST v1.1</w:t>
            </w:r>
          </w:p>
          <w:p w14:paraId="32BB845B" w14:textId="3AA9DC81" w:rsidR="00C83C50" w:rsidRPr="00633F91" w:rsidRDefault="00C83C50" w:rsidP="00F55881">
            <w:pPr>
              <w:pStyle w:val="Tabletext0"/>
              <w:numPr>
                <w:ilvl w:val="0"/>
                <w:numId w:val="10"/>
              </w:numPr>
              <w:rPr>
                <w:color w:val="auto"/>
              </w:rPr>
            </w:pPr>
            <w:r>
              <w:t xml:space="preserve">(Part 2 only) </w:t>
            </w:r>
            <w:r w:rsidRPr="00E06815">
              <w:t xml:space="preserve">EGFR ex20ins mutation according to local </w:t>
            </w:r>
            <w:r>
              <w:t xml:space="preserve">testing </w:t>
            </w:r>
            <w:bookmarkStart w:id="92" w:name="_Hlk113962801"/>
            <w:r>
              <w:t>(see also “</w:t>
            </w:r>
            <w:r>
              <w:fldChar w:fldCharType="begin"/>
            </w:r>
            <w:r>
              <w:instrText xml:space="preserve"> REF _Ref113962155 \h </w:instrText>
            </w:r>
            <w:r>
              <w:fldChar w:fldCharType="separate"/>
            </w:r>
            <w:r w:rsidR="0006496E" w:rsidRPr="00C104AA">
              <w:t>Ex20ins variant subgroups</w:t>
            </w:r>
            <w:r>
              <w:fldChar w:fldCharType="end"/>
            </w:r>
            <w:r>
              <w:t xml:space="preserve">,” page </w:t>
            </w:r>
            <w:r>
              <w:fldChar w:fldCharType="begin"/>
            </w:r>
            <w:r>
              <w:instrText xml:space="preserve"> PAGEREF _Ref113962155 \h </w:instrText>
            </w:r>
            <w:r>
              <w:fldChar w:fldCharType="separate"/>
            </w:r>
            <w:r w:rsidR="0006496E">
              <w:rPr>
                <w:noProof/>
              </w:rPr>
              <w:t>30</w:t>
            </w:r>
            <w:r>
              <w:fldChar w:fldCharType="end"/>
            </w:r>
            <w:r>
              <w:t>)</w:t>
            </w:r>
          </w:p>
          <w:bookmarkEnd w:id="92"/>
          <w:p w14:paraId="5ED15493" w14:textId="77777777" w:rsidR="00C83C50" w:rsidRPr="00812D99" w:rsidRDefault="00C83C50" w:rsidP="003364BB">
            <w:pPr>
              <w:pStyle w:val="Tabletextbulleted"/>
              <w:rPr>
                <w:color w:val="auto"/>
              </w:rPr>
            </w:pPr>
            <w:r>
              <w:t xml:space="preserve">Must have received prior treatment with (or been ineligible for or refused) standard of care therapy, </w:t>
            </w:r>
            <w:proofErr w:type="gramStart"/>
            <w:r>
              <w:t>i.e.</w:t>
            </w:r>
            <w:proofErr w:type="gramEnd"/>
            <w:r>
              <w:t xml:space="preserve"> </w:t>
            </w:r>
            <w:r w:rsidRPr="00812D99">
              <w:rPr>
                <w:color w:val="auto"/>
              </w:rPr>
              <w:t>platinum-based chemotherapy</w:t>
            </w:r>
          </w:p>
        </w:tc>
        <w:tc>
          <w:tcPr>
            <w:tcW w:w="4257" w:type="dxa"/>
          </w:tcPr>
          <w:p w14:paraId="1FA66A1D" w14:textId="77777777" w:rsidR="00C83C50" w:rsidRPr="00107D46" w:rsidRDefault="00C83C50" w:rsidP="003364BB">
            <w:pPr>
              <w:pStyle w:val="Tabletextbulleted"/>
              <w:rPr>
                <w:color w:val="auto"/>
              </w:rPr>
            </w:pPr>
            <w:r w:rsidRPr="00107D46">
              <w:rPr>
                <w:color w:val="auto"/>
              </w:rPr>
              <w:t xml:space="preserve">Leptomeningeal disease, </w:t>
            </w:r>
            <w:r>
              <w:rPr>
                <w:color w:val="auto"/>
              </w:rPr>
              <w:t>untreated</w:t>
            </w:r>
            <w:r w:rsidRPr="00107D46">
              <w:rPr>
                <w:color w:val="auto"/>
              </w:rPr>
              <w:t xml:space="preserve"> CNS metastases</w:t>
            </w:r>
          </w:p>
          <w:p w14:paraId="4E41A4CA" w14:textId="77777777" w:rsidR="00C83C50" w:rsidRPr="00107D46" w:rsidRDefault="00C83C50" w:rsidP="003364BB">
            <w:pPr>
              <w:pStyle w:val="Tabletextbulleted"/>
              <w:rPr>
                <w:color w:val="auto"/>
              </w:rPr>
            </w:pPr>
            <w:r>
              <w:rPr>
                <w:color w:val="auto"/>
              </w:rPr>
              <w:t>C</w:t>
            </w:r>
            <w:r w:rsidRPr="00107D46">
              <w:rPr>
                <w:color w:val="auto"/>
              </w:rPr>
              <w:t>linically significant cardiovascular disease (DVT, QT prolongation, uncontrolled hypertension, CHF, pericarditis, myocarditis)</w:t>
            </w:r>
          </w:p>
          <w:p w14:paraId="475BB372" w14:textId="77777777" w:rsidR="00C83C50" w:rsidRPr="00812D99" w:rsidRDefault="00C83C50" w:rsidP="003364BB">
            <w:pPr>
              <w:pStyle w:val="Tabletextbulleted"/>
              <w:rPr>
                <w:color w:val="auto"/>
              </w:rPr>
            </w:pPr>
            <w:r w:rsidRPr="00812D99">
              <w:rPr>
                <w:color w:val="auto"/>
              </w:rPr>
              <w:t xml:space="preserve">Interstitial lung disease (including radiation induced) requiring immunosuppression within 2 years </w:t>
            </w:r>
          </w:p>
          <w:p w14:paraId="240002FE" w14:textId="77777777" w:rsidR="00C83C50" w:rsidRDefault="00C83C50" w:rsidP="003364BB">
            <w:pPr>
              <w:pStyle w:val="Tabletextbulleted"/>
              <w:rPr>
                <w:color w:val="auto"/>
              </w:rPr>
            </w:pPr>
            <w:r w:rsidRPr="00812D99">
              <w:rPr>
                <w:color w:val="auto"/>
              </w:rPr>
              <w:t>Significant surgery, injury or medical illness including infection</w:t>
            </w:r>
          </w:p>
          <w:p w14:paraId="2F7F974D" w14:textId="77777777" w:rsidR="00C83C50" w:rsidRPr="00E06815" w:rsidRDefault="00C83C50" w:rsidP="003364BB">
            <w:pPr>
              <w:pStyle w:val="Tabletextbulleted"/>
            </w:pPr>
            <w:r w:rsidRPr="00E06815">
              <w:t>Part 2 Cohort D</w:t>
            </w:r>
            <w:r>
              <w:t xml:space="preserve"> only</w:t>
            </w:r>
            <w:r w:rsidRPr="00E06815">
              <w:t xml:space="preserve">: </w:t>
            </w:r>
            <w:r w:rsidRPr="00812D99">
              <w:t xml:space="preserve">prior TKI with known activity in </w:t>
            </w:r>
            <w:r>
              <w:t>ex20ins</w:t>
            </w:r>
            <w:r w:rsidRPr="00812D99">
              <w:t xml:space="preserve"> disease (</w:t>
            </w:r>
            <w:proofErr w:type="gramStart"/>
            <w:r w:rsidRPr="00812D99">
              <w:t>e.g.</w:t>
            </w:r>
            <w:proofErr w:type="gramEnd"/>
            <w:r w:rsidRPr="00812D99">
              <w:t xml:space="preserve"> </w:t>
            </w:r>
            <w:proofErr w:type="spellStart"/>
            <w:r w:rsidRPr="00812D99">
              <w:t>poz</w:t>
            </w:r>
            <w:r>
              <w:t>i</w:t>
            </w:r>
            <w:r w:rsidRPr="00812D99">
              <w:t>otinib</w:t>
            </w:r>
            <w:proofErr w:type="spellEnd"/>
            <w:r w:rsidRPr="00812D99">
              <w:t>)</w:t>
            </w:r>
          </w:p>
        </w:tc>
      </w:tr>
    </w:tbl>
    <w:p w14:paraId="331514EF" w14:textId="77777777" w:rsidR="00C83C50" w:rsidRDefault="00C83C50" w:rsidP="00F55881">
      <w:pPr>
        <w:pStyle w:val="TableDescription"/>
      </w:pPr>
      <w:r>
        <w:t xml:space="preserve">CHF = congestive heart failure; DVT = deep vein thrombosis; ECOG = Eastern Cooperative Oncology Group; Ex20ins = exon 20 insertion mutation; RECIST = </w:t>
      </w:r>
      <w:r w:rsidRPr="00A42E80">
        <w:t>Response Evaluation Criteria in Solid Tumours</w:t>
      </w:r>
      <w:r>
        <w:t>; TKI = tyrosine kinase inhibitor</w:t>
      </w:r>
    </w:p>
    <w:p w14:paraId="75B8F43C" w14:textId="77777777" w:rsidR="00C83C50" w:rsidRPr="00F55881" w:rsidRDefault="00C83C50" w:rsidP="00F55881">
      <w:pPr>
        <w:pStyle w:val="Heading6"/>
      </w:pPr>
      <w:r w:rsidRPr="00F55881">
        <w:t>Population</w:t>
      </w:r>
    </w:p>
    <w:p w14:paraId="537E8E24" w14:textId="62A2A041" w:rsidR="00C83C50" w:rsidRPr="00F55881" w:rsidRDefault="00C83C50" w:rsidP="00F55881">
      <w:r w:rsidRPr="00F55881">
        <w:t xml:space="preserve">Patients were enrolled from 53 sites across </w:t>
      </w:r>
      <w:r>
        <w:t>ten</w:t>
      </w:r>
      <w:r w:rsidRPr="00F55881">
        <w:t xml:space="preserve"> countries (Australia, Canada, China, France, Japan, Republic of Korea, Spain, Taiwan, US, and the United Kingdom), including </w:t>
      </w:r>
      <w:r>
        <w:t>seven</w:t>
      </w:r>
      <w:r w:rsidRPr="00F55881">
        <w:t xml:space="preserve"> Australian patients across two sites. The primary efficacy population (n</w:t>
      </w:r>
      <w:r>
        <w:t xml:space="preserve"> </w:t>
      </w:r>
      <w:r w:rsidRPr="00F55881">
        <w:t>=</w:t>
      </w:r>
      <w:r>
        <w:t xml:space="preserve"> </w:t>
      </w:r>
      <w:r w:rsidRPr="00F55881">
        <w:t xml:space="preserve">81) received their first doses of </w:t>
      </w:r>
      <w:proofErr w:type="spellStart"/>
      <w:r w:rsidRPr="00F55881">
        <w:t>amivantamab</w:t>
      </w:r>
      <w:proofErr w:type="spellEnd"/>
      <w:r w:rsidRPr="00F55881">
        <w:t xml:space="preserve"> between 27 M</w:t>
      </w:r>
      <w:r>
        <w:t>ay</w:t>
      </w:r>
      <w:r w:rsidRPr="00F55881">
        <w:t xml:space="preserve"> 2016 (date first subject signed informed consent) and 5 </w:t>
      </w:r>
      <w:r>
        <w:t>February</w:t>
      </w:r>
      <w:r w:rsidRPr="00F55881">
        <w:t xml:space="preserve"> 2020 (</w:t>
      </w:r>
      <w:proofErr w:type="spellStart"/>
      <w:r w:rsidRPr="00F55881">
        <w:t>cutoff</w:t>
      </w:r>
      <w:proofErr w:type="spellEnd"/>
      <w:r w:rsidRPr="00F55881">
        <w:t xml:space="preserve"> date for eligibility for inclusion in that population).</w:t>
      </w:r>
    </w:p>
    <w:p w14:paraId="391FEE18" w14:textId="59EA9F1E" w:rsidR="00C83C50" w:rsidRPr="00F55881" w:rsidRDefault="00C83C50" w:rsidP="00F55881">
      <w:r w:rsidRPr="00DC56B6">
        <w:rPr>
          <w:i/>
          <w:iCs/>
        </w:rPr>
        <w:t>Epidermal</w:t>
      </w:r>
      <w:r>
        <w:rPr>
          <w:i/>
          <w:iCs/>
        </w:rPr>
        <w:t xml:space="preserve"> </w:t>
      </w:r>
      <w:r w:rsidRPr="00DC56B6">
        <w:rPr>
          <w:i/>
          <w:iCs/>
        </w:rPr>
        <w:t>growth factor receptor</w:t>
      </w:r>
      <w:r w:rsidRPr="00F55881">
        <w:t xml:space="preserve"> ex20ins mutation testing results for the primary efficacy population are summarised i</w:t>
      </w:r>
      <w:r>
        <w:t xml:space="preserve">n </w:t>
      </w:r>
      <w:r>
        <w:fldChar w:fldCharType="begin"/>
      </w:r>
      <w:r>
        <w:instrText xml:space="preserve"> REF _Ref140749221 \h </w:instrText>
      </w:r>
      <w:r>
        <w:fldChar w:fldCharType="separate"/>
      </w:r>
      <w:r w:rsidR="0006496E" w:rsidRPr="003D5BAE">
        <w:t xml:space="preserve">Table </w:t>
      </w:r>
      <w:r w:rsidR="0006496E">
        <w:rPr>
          <w:noProof/>
        </w:rPr>
        <w:t>5</w:t>
      </w:r>
      <w:r>
        <w:fldChar w:fldCharType="end"/>
      </w:r>
      <w:r w:rsidRPr="00F55881">
        <w:t>.</w:t>
      </w:r>
    </w:p>
    <w:p w14:paraId="18FDE198" w14:textId="25518118" w:rsidR="00C83C50" w:rsidRPr="00F55881" w:rsidRDefault="00C83C50" w:rsidP="00F55881">
      <w:r w:rsidRPr="00F55881">
        <w:t xml:space="preserve">Demographics and baseline disease characteristics were generally in keeping with what would be expected for the intended recipient patient population in Australia, </w:t>
      </w:r>
      <w:r>
        <w:t>that is</w:t>
      </w:r>
      <w:r w:rsidRPr="00F55881">
        <w:t xml:space="preserve"> patients with locally advanced or metastatic NSCLC with </w:t>
      </w:r>
      <w:r w:rsidRPr="00DC56B6">
        <w:rPr>
          <w:i/>
          <w:iCs/>
        </w:rPr>
        <w:t>EGFR</w:t>
      </w:r>
      <w:r w:rsidRPr="00F55881">
        <w:t xml:space="preserve"> ex20ins mutations whose disease has progressed on or after platinum-based chemotherapy.</w:t>
      </w:r>
      <w:r>
        <w:fldChar w:fldCharType="begin"/>
      </w:r>
      <w:r>
        <w:instrText xml:space="preserve"> NOTEREF _Ref141098305 \f \h </w:instrText>
      </w:r>
      <w:r>
        <w:fldChar w:fldCharType="separate"/>
      </w:r>
      <w:r w:rsidR="0006496E" w:rsidRPr="0006496E">
        <w:rPr>
          <w:rStyle w:val="FootnoteReference"/>
        </w:rPr>
        <w:t>43</w:t>
      </w:r>
      <w:r>
        <w:fldChar w:fldCharType="end"/>
      </w:r>
      <w:r w:rsidRPr="00F55881">
        <w:t xml:space="preserve"> Characteristics of the primary efficacy population were also consistent with those of 181 American patients with ex20ins mutations who were included in a retrospective cohort study of real</w:t>
      </w:r>
      <w:r>
        <w:t xml:space="preserve"> </w:t>
      </w:r>
      <w:r w:rsidRPr="00F55881">
        <w:t xml:space="preserve">world data from the Flatiron database </w:t>
      </w:r>
      <w:r>
        <w:t xml:space="preserve">(see </w:t>
      </w:r>
      <w:r>
        <w:fldChar w:fldCharType="begin"/>
      </w:r>
      <w:r>
        <w:instrText xml:space="preserve"> REF _Ref113975618 \h </w:instrText>
      </w:r>
      <w:r>
        <w:fldChar w:fldCharType="separate"/>
      </w:r>
      <w:r w:rsidR="0006496E" w:rsidRPr="0018456E">
        <w:t>Supporting study NSC1002</w:t>
      </w:r>
      <w:r>
        <w:fldChar w:fldCharType="end"/>
      </w:r>
      <w:r>
        <w:t>)</w:t>
      </w:r>
      <w:r w:rsidRPr="00F55881">
        <w:t>.</w:t>
      </w:r>
    </w:p>
    <w:p w14:paraId="5EC433A6" w14:textId="276B80DD" w:rsidR="00C83C50" w:rsidRPr="00F55881" w:rsidRDefault="00C83C50" w:rsidP="00F55881">
      <w:r w:rsidRPr="00F55881">
        <w:t xml:space="preserve">Amongst the primary efficacy population, the median age was 62 years (range 42 to 84); 41% were at least 65 years old and 9% were at least 75 years old; 59% were female; 53% had never smoked; 49% were Asian and 37% were White; baseline </w:t>
      </w:r>
      <w:r>
        <w:t>Eastern Cooperative Oncology Group</w:t>
      </w:r>
      <w:r w:rsidRPr="00F55881">
        <w:t xml:space="preserve"> </w:t>
      </w:r>
      <w:r>
        <w:t>(</w:t>
      </w:r>
      <w:r w:rsidRPr="00F55881">
        <w:t>ECOG</w:t>
      </w:r>
      <w:r>
        <w:t xml:space="preserve">) performance status </w:t>
      </w:r>
      <w:r w:rsidRPr="00F55881">
        <w:t xml:space="preserve">was 0 in 32%, 1 in 67%, and 2 in 1%; 74% had baseline body weight </w:t>
      </w:r>
      <w:r>
        <w:t xml:space="preserve">less than </w:t>
      </w:r>
      <w:r w:rsidRPr="00F55881">
        <w:t xml:space="preserve">80 kg; 95% had adenocarcinoma; 75% had metastatic disease at initial diagnosis, 100% had metastatic disease at study entry, 22% had a history of brain metastases. The median time from diagnosis of metastatic disease to the first dose of </w:t>
      </w:r>
      <w:proofErr w:type="spellStart"/>
      <w:r w:rsidRPr="00F55881">
        <w:t>amivantamab</w:t>
      </w:r>
      <w:proofErr w:type="spellEnd"/>
      <w:r w:rsidRPr="00F55881">
        <w:t xml:space="preserve"> was 14.2 months (range: 0.69</w:t>
      </w:r>
      <w:r>
        <w:t xml:space="preserve"> to </w:t>
      </w:r>
      <w:r w:rsidRPr="00F55881">
        <w:t>116.4). Patients had received a median of 2 (mean 2.3) and a range of 1 to 7 prior lines of therapy in the advanced setting. All patients had received prior platinum-based chemotherapy, 46% had received prior immunotherapy, and 23% (n</w:t>
      </w:r>
      <w:r>
        <w:t xml:space="preserve"> </w:t>
      </w:r>
      <w:r w:rsidRPr="00F55881">
        <w:t>=</w:t>
      </w:r>
      <w:r>
        <w:t xml:space="preserve"> </w:t>
      </w:r>
      <w:r w:rsidRPr="00F55881">
        <w:t>19) had received prior TKI therapy (9% had received a first-generation EGFR TKI, 7% had received a second-generation EGFR TKI, 7% had received a third-generation EGFR TKI, and 1.2% had received both first and third generation EGFR TKIs).</w:t>
      </w:r>
    </w:p>
    <w:p w14:paraId="2A2A5C46" w14:textId="2ACB80BB" w:rsidR="00C83C50" w:rsidRPr="003D5BAE" w:rsidRDefault="00C83C50" w:rsidP="003D5BAE">
      <w:pPr>
        <w:pStyle w:val="TableTitle"/>
      </w:pPr>
      <w:bookmarkStart w:id="93" w:name="_Ref140749221"/>
      <w:r w:rsidRPr="003D5BAE">
        <w:lastRenderedPageBreak/>
        <w:t xml:space="preserve">Table </w:t>
      </w:r>
      <w:r w:rsidR="00C3481D">
        <w:fldChar w:fldCharType="begin"/>
      </w:r>
      <w:r w:rsidR="00C3481D">
        <w:instrText xml:space="preserve"> SEQ Table \* ARABIC </w:instrText>
      </w:r>
      <w:r w:rsidR="00C3481D">
        <w:fldChar w:fldCharType="separate"/>
      </w:r>
      <w:r w:rsidR="0006496E">
        <w:rPr>
          <w:noProof/>
        </w:rPr>
        <w:t>5</w:t>
      </w:r>
      <w:r w:rsidR="00C3481D">
        <w:rPr>
          <w:noProof/>
        </w:rPr>
        <w:fldChar w:fldCharType="end"/>
      </w:r>
      <w:bookmarkEnd w:id="93"/>
      <w:r w:rsidRPr="003D5BAE">
        <w:t>:</w:t>
      </w:r>
      <w:r>
        <w:t xml:space="preserve"> </w:t>
      </w:r>
      <w:r w:rsidRPr="009F0D29">
        <w:t xml:space="preserve">EGFR mutation status in </w:t>
      </w:r>
      <w:r>
        <w:t>CHRYSALIS</w:t>
      </w:r>
      <w:r w:rsidRPr="009F0D29">
        <w:t xml:space="preserve"> (primary efficacy population)</w:t>
      </w:r>
      <w:r>
        <w:t xml:space="preserve"> [DCO 8 OCT 2020]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3417"/>
        <w:gridCol w:w="2376"/>
        <w:gridCol w:w="3267"/>
      </w:tblGrid>
      <w:tr w:rsidR="00C83C50" w:rsidRPr="00AF5970" w14:paraId="0129B233" w14:textId="77777777" w:rsidTr="003D5BAE">
        <w:trPr>
          <w:trHeight w:val="227"/>
          <w:tblHeader/>
        </w:trPr>
        <w:tc>
          <w:tcPr>
            <w:tcW w:w="3197" w:type="pct"/>
            <w:gridSpan w:val="2"/>
            <w:tcBorders>
              <w:bottom w:val="single" w:sz="12" w:space="0" w:color="auto"/>
              <w:right w:val="single" w:sz="4" w:space="0" w:color="auto"/>
            </w:tcBorders>
            <w:shd w:val="clear" w:color="auto" w:fill="A5A5A5" w:themeFill="accent3"/>
          </w:tcPr>
          <w:p w14:paraId="2724AD66" w14:textId="77777777" w:rsidR="00C83C50" w:rsidRPr="009F0D29" w:rsidRDefault="00C83C50" w:rsidP="003364BB">
            <w:pPr>
              <w:pStyle w:val="Tabletext0"/>
              <w:keepNext/>
              <w:rPr>
                <w:b/>
                <w:bCs/>
                <w:color w:val="FFFFFF" w:themeColor="background1"/>
              </w:rPr>
            </w:pPr>
          </w:p>
        </w:tc>
        <w:tc>
          <w:tcPr>
            <w:tcW w:w="1803" w:type="pct"/>
            <w:tcBorders>
              <w:bottom w:val="single" w:sz="12" w:space="0" w:color="auto"/>
              <w:right w:val="single" w:sz="4" w:space="0" w:color="auto"/>
            </w:tcBorders>
            <w:shd w:val="clear" w:color="auto" w:fill="A5A5A5" w:themeFill="accent3"/>
            <w:vAlign w:val="center"/>
          </w:tcPr>
          <w:p w14:paraId="451CE929" w14:textId="77777777" w:rsidR="00C83C50" w:rsidRPr="009F0D29" w:rsidRDefault="00C83C50" w:rsidP="003364BB">
            <w:pPr>
              <w:pStyle w:val="Tabletext0"/>
              <w:keepNext/>
              <w:jc w:val="center"/>
              <w:rPr>
                <w:b/>
                <w:bCs/>
                <w:color w:val="FFFFFF" w:themeColor="background1"/>
              </w:rPr>
            </w:pPr>
            <w:proofErr w:type="spellStart"/>
            <w:r>
              <w:rPr>
                <w:b/>
                <w:bCs/>
                <w:color w:val="FFFFFF" w:themeColor="background1"/>
              </w:rPr>
              <w:t>Amivantamab</w:t>
            </w:r>
            <w:proofErr w:type="spellEnd"/>
            <w:r>
              <w:rPr>
                <w:b/>
                <w:bCs/>
                <w:color w:val="FFFFFF" w:themeColor="background1"/>
              </w:rPr>
              <w:t xml:space="preserve"> </w:t>
            </w:r>
            <w:r w:rsidRPr="0086060F">
              <w:rPr>
                <w:b/>
                <w:bCs/>
                <w:color w:val="FFFFFF" w:themeColor="background1"/>
              </w:rPr>
              <w:t>(n=</w:t>
            </w:r>
            <w:r>
              <w:rPr>
                <w:b/>
                <w:bCs/>
                <w:color w:val="FFFFFF" w:themeColor="background1"/>
              </w:rPr>
              <w:t>81</w:t>
            </w:r>
            <w:r w:rsidRPr="0086060F">
              <w:rPr>
                <w:b/>
                <w:bCs/>
                <w:color w:val="FFFFFF" w:themeColor="background1"/>
              </w:rPr>
              <w:t>)</w:t>
            </w:r>
          </w:p>
        </w:tc>
      </w:tr>
      <w:tr w:rsidR="00C83C50" w:rsidRPr="00AF5970" w14:paraId="4AADC9C3" w14:textId="77777777" w:rsidTr="003D5BAE">
        <w:trPr>
          <w:trHeight w:val="227"/>
        </w:trPr>
        <w:tc>
          <w:tcPr>
            <w:tcW w:w="1886" w:type="pct"/>
            <w:vMerge w:val="restart"/>
            <w:tcBorders>
              <w:top w:val="single" w:sz="4" w:space="0" w:color="auto"/>
              <w:right w:val="nil"/>
            </w:tcBorders>
            <w:shd w:val="clear" w:color="auto" w:fill="auto"/>
          </w:tcPr>
          <w:p w14:paraId="37A5FC02" w14:textId="77777777" w:rsidR="00C83C50" w:rsidRPr="009F0D29" w:rsidRDefault="00C83C50" w:rsidP="003364BB">
            <w:pPr>
              <w:pStyle w:val="Tabletext0"/>
              <w:keepNext/>
            </w:pPr>
            <w:r w:rsidRPr="009F0D29">
              <w:t>Ex20ins mutation present</w:t>
            </w:r>
            <w:r>
              <w:t xml:space="preserve"> according to central </w:t>
            </w:r>
            <w:proofErr w:type="spellStart"/>
            <w:r>
              <w:t>ctDNA</w:t>
            </w:r>
            <w:proofErr w:type="spellEnd"/>
            <w:r>
              <w:t xml:space="preserve"> (Guardant data) analysis*</w:t>
            </w:r>
          </w:p>
        </w:tc>
        <w:tc>
          <w:tcPr>
            <w:tcW w:w="1311" w:type="pct"/>
            <w:tcBorders>
              <w:top w:val="single" w:sz="4" w:space="0" w:color="auto"/>
              <w:left w:val="nil"/>
              <w:right w:val="single" w:sz="4" w:space="0" w:color="auto"/>
            </w:tcBorders>
            <w:shd w:val="clear" w:color="auto" w:fill="auto"/>
            <w:vAlign w:val="center"/>
          </w:tcPr>
          <w:p w14:paraId="75C1BC61" w14:textId="77777777" w:rsidR="00C83C50" w:rsidRPr="009F0D29" w:rsidRDefault="00C83C50" w:rsidP="003364BB">
            <w:pPr>
              <w:pStyle w:val="Tabletext0"/>
              <w:keepNext/>
              <w:jc w:val="right"/>
            </w:pPr>
            <w:r>
              <w:t>A763</w:t>
            </w:r>
            <w:r w:rsidRPr="009F0D29">
              <w:t>, n (%)</w:t>
            </w:r>
          </w:p>
        </w:tc>
        <w:tc>
          <w:tcPr>
            <w:tcW w:w="1803" w:type="pct"/>
            <w:tcBorders>
              <w:top w:val="single" w:sz="4" w:space="0" w:color="auto"/>
              <w:right w:val="single" w:sz="4" w:space="0" w:color="auto"/>
            </w:tcBorders>
            <w:shd w:val="clear" w:color="auto" w:fill="auto"/>
            <w:vAlign w:val="center"/>
          </w:tcPr>
          <w:p w14:paraId="2464D0DF" w14:textId="77777777" w:rsidR="00C83C50" w:rsidRPr="009F0D29" w:rsidRDefault="00C83C50" w:rsidP="003364BB">
            <w:pPr>
              <w:pStyle w:val="Tabletext0"/>
              <w:keepNext/>
              <w:jc w:val="center"/>
            </w:pPr>
            <w:r>
              <w:t>1 (1)</w:t>
            </w:r>
          </w:p>
        </w:tc>
      </w:tr>
      <w:tr w:rsidR="00C83C50" w:rsidRPr="00AF5970" w14:paraId="2C264811" w14:textId="77777777" w:rsidTr="003D5BAE">
        <w:trPr>
          <w:trHeight w:val="227"/>
        </w:trPr>
        <w:tc>
          <w:tcPr>
            <w:tcW w:w="1886" w:type="pct"/>
            <w:vMerge/>
            <w:tcBorders>
              <w:right w:val="nil"/>
            </w:tcBorders>
            <w:shd w:val="clear" w:color="auto" w:fill="auto"/>
          </w:tcPr>
          <w:p w14:paraId="08221403" w14:textId="77777777" w:rsidR="00C83C50" w:rsidRPr="009F0D29" w:rsidRDefault="00C83C50" w:rsidP="003364BB">
            <w:pPr>
              <w:pStyle w:val="Tabletext0"/>
              <w:keepNext/>
            </w:pPr>
          </w:p>
        </w:tc>
        <w:tc>
          <w:tcPr>
            <w:tcW w:w="1311" w:type="pct"/>
            <w:tcBorders>
              <w:left w:val="nil"/>
              <w:right w:val="single" w:sz="4" w:space="0" w:color="auto"/>
            </w:tcBorders>
            <w:shd w:val="clear" w:color="auto" w:fill="auto"/>
            <w:vAlign w:val="center"/>
          </w:tcPr>
          <w:p w14:paraId="1E666639" w14:textId="77777777" w:rsidR="00C83C50" w:rsidRPr="009F0D29" w:rsidRDefault="00C83C50" w:rsidP="003364BB">
            <w:pPr>
              <w:pStyle w:val="Tabletext0"/>
              <w:keepNext/>
              <w:jc w:val="right"/>
            </w:pPr>
            <w:r>
              <w:t>A767</w:t>
            </w:r>
            <w:r w:rsidRPr="009F0D29">
              <w:t>, n (%)</w:t>
            </w:r>
          </w:p>
        </w:tc>
        <w:tc>
          <w:tcPr>
            <w:tcW w:w="1803" w:type="pct"/>
            <w:tcBorders>
              <w:right w:val="single" w:sz="4" w:space="0" w:color="auto"/>
            </w:tcBorders>
            <w:shd w:val="clear" w:color="auto" w:fill="auto"/>
            <w:vAlign w:val="center"/>
          </w:tcPr>
          <w:p w14:paraId="596C55D9" w14:textId="77777777" w:rsidR="00C83C50" w:rsidRPr="009F0D29" w:rsidRDefault="00C83C50" w:rsidP="003364BB">
            <w:pPr>
              <w:pStyle w:val="Tabletext0"/>
              <w:keepNext/>
              <w:jc w:val="center"/>
            </w:pPr>
            <w:r>
              <w:t>19 (23)</w:t>
            </w:r>
          </w:p>
        </w:tc>
      </w:tr>
      <w:tr w:rsidR="00C83C50" w:rsidRPr="00AF5970" w14:paraId="610AB772" w14:textId="77777777" w:rsidTr="003D5BAE">
        <w:trPr>
          <w:trHeight w:val="227"/>
        </w:trPr>
        <w:tc>
          <w:tcPr>
            <w:tcW w:w="1886" w:type="pct"/>
            <w:vMerge/>
            <w:tcBorders>
              <w:right w:val="nil"/>
            </w:tcBorders>
            <w:shd w:val="clear" w:color="auto" w:fill="auto"/>
          </w:tcPr>
          <w:p w14:paraId="53A76CAC" w14:textId="77777777" w:rsidR="00C83C50" w:rsidRPr="009F0D29" w:rsidRDefault="00C83C50" w:rsidP="003364BB">
            <w:pPr>
              <w:pStyle w:val="Tabletext0"/>
              <w:keepNext/>
            </w:pPr>
          </w:p>
        </w:tc>
        <w:tc>
          <w:tcPr>
            <w:tcW w:w="1311" w:type="pct"/>
            <w:tcBorders>
              <w:left w:val="nil"/>
              <w:right w:val="single" w:sz="4" w:space="0" w:color="auto"/>
            </w:tcBorders>
            <w:shd w:val="clear" w:color="auto" w:fill="auto"/>
            <w:vAlign w:val="center"/>
          </w:tcPr>
          <w:p w14:paraId="5900DAAC" w14:textId="77777777" w:rsidR="00C83C50" w:rsidRPr="009F0D29" w:rsidRDefault="00C83C50" w:rsidP="003364BB">
            <w:pPr>
              <w:pStyle w:val="Tabletext0"/>
              <w:keepNext/>
              <w:jc w:val="right"/>
            </w:pPr>
            <w:r>
              <w:t>S768</w:t>
            </w:r>
            <w:r w:rsidRPr="009F0D29">
              <w:t>, n (%)</w:t>
            </w:r>
          </w:p>
        </w:tc>
        <w:tc>
          <w:tcPr>
            <w:tcW w:w="1803" w:type="pct"/>
            <w:tcBorders>
              <w:right w:val="single" w:sz="4" w:space="0" w:color="auto"/>
            </w:tcBorders>
            <w:shd w:val="clear" w:color="auto" w:fill="auto"/>
            <w:vAlign w:val="center"/>
          </w:tcPr>
          <w:p w14:paraId="10D1F0AC" w14:textId="77777777" w:rsidR="00C83C50" w:rsidRPr="009F0D29" w:rsidRDefault="00C83C50" w:rsidP="003364BB">
            <w:pPr>
              <w:pStyle w:val="Tabletext0"/>
              <w:keepNext/>
              <w:jc w:val="center"/>
            </w:pPr>
            <w:r>
              <w:t>13 (16)</w:t>
            </w:r>
          </w:p>
        </w:tc>
      </w:tr>
      <w:tr w:rsidR="00C83C50" w:rsidRPr="00AF5970" w14:paraId="174558D4" w14:textId="77777777" w:rsidTr="003D5BAE">
        <w:trPr>
          <w:trHeight w:val="227"/>
        </w:trPr>
        <w:tc>
          <w:tcPr>
            <w:tcW w:w="1886" w:type="pct"/>
            <w:vMerge/>
            <w:tcBorders>
              <w:right w:val="nil"/>
            </w:tcBorders>
            <w:shd w:val="clear" w:color="auto" w:fill="auto"/>
          </w:tcPr>
          <w:p w14:paraId="732C7CC2" w14:textId="77777777" w:rsidR="00C83C50" w:rsidRPr="009F0D29" w:rsidRDefault="00C83C50" w:rsidP="003364BB">
            <w:pPr>
              <w:pStyle w:val="Tabletext0"/>
              <w:keepNext/>
            </w:pPr>
          </w:p>
        </w:tc>
        <w:tc>
          <w:tcPr>
            <w:tcW w:w="1311" w:type="pct"/>
            <w:tcBorders>
              <w:left w:val="nil"/>
              <w:right w:val="single" w:sz="4" w:space="0" w:color="auto"/>
            </w:tcBorders>
            <w:shd w:val="clear" w:color="auto" w:fill="auto"/>
            <w:vAlign w:val="center"/>
          </w:tcPr>
          <w:p w14:paraId="0CBB1158" w14:textId="77777777" w:rsidR="00C83C50" w:rsidRDefault="00C83C50" w:rsidP="003364BB">
            <w:pPr>
              <w:pStyle w:val="Tabletext0"/>
              <w:keepNext/>
              <w:jc w:val="right"/>
            </w:pPr>
            <w:r>
              <w:t>V769</w:t>
            </w:r>
            <w:r w:rsidRPr="009F0D29">
              <w:t>, n (%)</w:t>
            </w:r>
          </w:p>
        </w:tc>
        <w:tc>
          <w:tcPr>
            <w:tcW w:w="1803" w:type="pct"/>
            <w:tcBorders>
              <w:right w:val="single" w:sz="4" w:space="0" w:color="auto"/>
            </w:tcBorders>
            <w:shd w:val="clear" w:color="auto" w:fill="auto"/>
            <w:vAlign w:val="center"/>
          </w:tcPr>
          <w:p w14:paraId="7F9521F9" w14:textId="77777777" w:rsidR="00C83C50" w:rsidRPr="009F0D29" w:rsidRDefault="00C83C50" w:rsidP="003364BB">
            <w:pPr>
              <w:pStyle w:val="Tabletext0"/>
              <w:keepNext/>
              <w:jc w:val="center"/>
            </w:pPr>
            <w:r>
              <w:t>1 (1)</w:t>
            </w:r>
          </w:p>
        </w:tc>
      </w:tr>
      <w:tr w:rsidR="00C83C50" w:rsidRPr="00AF5970" w14:paraId="3F650EA7" w14:textId="77777777" w:rsidTr="003D5BAE">
        <w:trPr>
          <w:trHeight w:val="227"/>
        </w:trPr>
        <w:tc>
          <w:tcPr>
            <w:tcW w:w="1886" w:type="pct"/>
            <w:vMerge/>
            <w:tcBorders>
              <w:right w:val="nil"/>
            </w:tcBorders>
            <w:shd w:val="clear" w:color="auto" w:fill="auto"/>
          </w:tcPr>
          <w:p w14:paraId="5A6D6ACC" w14:textId="77777777" w:rsidR="00C83C50" w:rsidRPr="009F0D29" w:rsidRDefault="00C83C50" w:rsidP="003364BB">
            <w:pPr>
              <w:pStyle w:val="Tabletext0"/>
              <w:keepNext/>
            </w:pPr>
          </w:p>
        </w:tc>
        <w:tc>
          <w:tcPr>
            <w:tcW w:w="1311" w:type="pct"/>
            <w:tcBorders>
              <w:left w:val="nil"/>
              <w:right w:val="single" w:sz="4" w:space="0" w:color="auto"/>
            </w:tcBorders>
            <w:shd w:val="clear" w:color="auto" w:fill="auto"/>
            <w:vAlign w:val="center"/>
          </w:tcPr>
          <w:p w14:paraId="32A6ED46" w14:textId="77777777" w:rsidR="00C83C50" w:rsidRDefault="00C83C50" w:rsidP="003364BB">
            <w:pPr>
              <w:pStyle w:val="Tabletext0"/>
              <w:keepNext/>
              <w:jc w:val="right"/>
            </w:pPr>
            <w:r>
              <w:t>D770</w:t>
            </w:r>
            <w:r w:rsidRPr="009F0D29">
              <w:t>, n (%)</w:t>
            </w:r>
          </w:p>
        </w:tc>
        <w:tc>
          <w:tcPr>
            <w:tcW w:w="1803" w:type="pct"/>
            <w:tcBorders>
              <w:right w:val="single" w:sz="4" w:space="0" w:color="auto"/>
            </w:tcBorders>
            <w:shd w:val="clear" w:color="auto" w:fill="auto"/>
            <w:vAlign w:val="center"/>
          </w:tcPr>
          <w:p w14:paraId="48E9761D" w14:textId="77777777" w:rsidR="00C83C50" w:rsidRPr="009F0D29" w:rsidRDefault="00C83C50" w:rsidP="003364BB">
            <w:pPr>
              <w:pStyle w:val="Tabletext0"/>
              <w:keepNext/>
              <w:jc w:val="center"/>
            </w:pPr>
            <w:r>
              <w:t>9 (11)</w:t>
            </w:r>
          </w:p>
        </w:tc>
      </w:tr>
      <w:tr w:rsidR="00C83C50" w:rsidRPr="00AF5970" w14:paraId="2EF9F396" w14:textId="77777777" w:rsidTr="003D5BAE">
        <w:trPr>
          <w:trHeight w:val="227"/>
        </w:trPr>
        <w:tc>
          <w:tcPr>
            <w:tcW w:w="1886" w:type="pct"/>
            <w:vMerge/>
            <w:tcBorders>
              <w:right w:val="nil"/>
            </w:tcBorders>
            <w:shd w:val="clear" w:color="auto" w:fill="auto"/>
          </w:tcPr>
          <w:p w14:paraId="22EFE786" w14:textId="77777777" w:rsidR="00C83C50" w:rsidRPr="009F0D29" w:rsidRDefault="00C83C50" w:rsidP="003364BB">
            <w:pPr>
              <w:pStyle w:val="Tabletext0"/>
              <w:keepNext/>
            </w:pPr>
          </w:p>
        </w:tc>
        <w:tc>
          <w:tcPr>
            <w:tcW w:w="1311" w:type="pct"/>
            <w:tcBorders>
              <w:left w:val="nil"/>
              <w:right w:val="single" w:sz="4" w:space="0" w:color="auto"/>
            </w:tcBorders>
            <w:shd w:val="clear" w:color="auto" w:fill="auto"/>
            <w:vAlign w:val="center"/>
          </w:tcPr>
          <w:p w14:paraId="6891C4C3" w14:textId="77777777" w:rsidR="00C83C50" w:rsidRDefault="00C83C50" w:rsidP="003364BB">
            <w:pPr>
              <w:pStyle w:val="Tabletext0"/>
              <w:keepNext/>
              <w:jc w:val="right"/>
            </w:pPr>
            <w:r>
              <w:t>N771</w:t>
            </w:r>
            <w:r w:rsidRPr="009F0D29">
              <w:t>, n (%)</w:t>
            </w:r>
          </w:p>
        </w:tc>
        <w:tc>
          <w:tcPr>
            <w:tcW w:w="1803" w:type="pct"/>
            <w:tcBorders>
              <w:right w:val="single" w:sz="4" w:space="0" w:color="auto"/>
            </w:tcBorders>
            <w:shd w:val="clear" w:color="auto" w:fill="auto"/>
            <w:vAlign w:val="center"/>
          </w:tcPr>
          <w:p w14:paraId="3B3658D0" w14:textId="77777777" w:rsidR="00C83C50" w:rsidRPr="009F0D29" w:rsidRDefault="00C83C50" w:rsidP="003364BB">
            <w:pPr>
              <w:pStyle w:val="Tabletext0"/>
              <w:keepNext/>
              <w:jc w:val="center"/>
            </w:pPr>
            <w:r>
              <w:t>9 (11)</w:t>
            </w:r>
          </w:p>
        </w:tc>
      </w:tr>
      <w:tr w:rsidR="00C83C50" w:rsidRPr="00AF5970" w14:paraId="33726B86" w14:textId="77777777" w:rsidTr="003D5BAE">
        <w:trPr>
          <w:trHeight w:val="227"/>
        </w:trPr>
        <w:tc>
          <w:tcPr>
            <w:tcW w:w="1886" w:type="pct"/>
            <w:vMerge/>
            <w:tcBorders>
              <w:right w:val="nil"/>
            </w:tcBorders>
            <w:shd w:val="clear" w:color="auto" w:fill="auto"/>
          </w:tcPr>
          <w:p w14:paraId="46029B08" w14:textId="77777777" w:rsidR="00C83C50" w:rsidRPr="009F0D29" w:rsidRDefault="00C83C50" w:rsidP="003364BB">
            <w:pPr>
              <w:pStyle w:val="Tabletext0"/>
              <w:keepNext/>
            </w:pPr>
          </w:p>
        </w:tc>
        <w:tc>
          <w:tcPr>
            <w:tcW w:w="1311" w:type="pct"/>
            <w:tcBorders>
              <w:left w:val="nil"/>
              <w:right w:val="single" w:sz="4" w:space="0" w:color="auto"/>
            </w:tcBorders>
            <w:shd w:val="clear" w:color="auto" w:fill="auto"/>
            <w:vAlign w:val="center"/>
          </w:tcPr>
          <w:p w14:paraId="6D025E11" w14:textId="77777777" w:rsidR="00C83C50" w:rsidRDefault="00C83C50" w:rsidP="003364BB">
            <w:pPr>
              <w:pStyle w:val="Tabletext0"/>
              <w:keepNext/>
              <w:jc w:val="right"/>
            </w:pPr>
            <w:r>
              <w:t>P772</w:t>
            </w:r>
            <w:r w:rsidRPr="009F0D29">
              <w:t>, n (%)</w:t>
            </w:r>
          </w:p>
        </w:tc>
        <w:tc>
          <w:tcPr>
            <w:tcW w:w="1803" w:type="pct"/>
            <w:tcBorders>
              <w:right w:val="single" w:sz="4" w:space="0" w:color="auto"/>
            </w:tcBorders>
            <w:shd w:val="clear" w:color="auto" w:fill="auto"/>
            <w:vAlign w:val="center"/>
          </w:tcPr>
          <w:p w14:paraId="0EDF9C0E" w14:textId="77777777" w:rsidR="00C83C50" w:rsidRPr="009F0D29" w:rsidRDefault="00C83C50" w:rsidP="003364BB">
            <w:pPr>
              <w:pStyle w:val="Tabletext0"/>
              <w:keepNext/>
              <w:jc w:val="center"/>
            </w:pPr>
            <w:r>
              <w:t>3(3)</w:t>
            </w:r>
          </w:p>
        </w:tc>
      </w:tr>
      <w:tr w:rsidR="00C83C50" w:rsidRPr="00AF5970" w14:paraId="07F84A0F" w14:textId="77777777" w:rsidTr="003D5BAE">
        <w:trPr>
          <w:trHeight w:val="227"/>
        </w:trPr>
        <w:tc>
          <w:tcPr>
            <w:tcW w:w="1886" w:type="pct"/>
            <w:vMerge/>
            <w:tcBorders>
              <w:right w:val="nil"/>
            </w:tcBorders>
            <w:shd w:val="clear" w:color="auto" w:fill="auto"/>
          </w:tcPr>
          <w:p w14:paraId="4793D47D" w14:textId="77777777" w:rsidR="00C83C50" w:rsidRPr="009F0D29" w:rsidRDefault="00C83C50" w:rsidP="003364BB">
            <w:pPr>
              <w:pStyle w:val="Tabletext0"/>
              <w:keepNext/>
            </w:pPr>
          </w:p>
        </w:tc>
        <w:tc>
          <w:tcPr>
            <w:tcW w:w="1311" w:type="pct"/>
            <w:tcBorders>
              <w:left w:val="nil"/>
              <w:right w:val="single" w:sz="4" w:space="0" w:color="auto"/>
            </w:tcBorders>
            <w:shd w:val="clear" w:color="auto" w:fill="auto"/>
            <w:vAlign w:val="center"/>
          </w:tcPr>
          <w:p w14:paraId="0D4B8CF7" w14:textId="77777777" w:rsidR="00C83C50" w:rsidRPr="009F0D29" w:rsidRDefault="00C83C50" w:rsidP="003364BB">
            <w:pPr>
              <w:pStyle w:val="Tabletext0"/>
              <w:keepNext/>
              <w:jc w:val="right"/>
            </w:pPr>
            <w:r>
              <w:t>H773</w:t>
            </w:r>
            <w:r w:rsidRPr="009F0D29">
              <w:t>, n (%)</w:t>
            </w:r>
          </w:p>
        </w:tc>
        <w:tc>
          <w:tcPr>
            <w:tcW w:w="1803" w:type="pct"/>
            <w:tcBorders>
              <w:right w:val="single" w:sz="4" w:space="0" w:color="auto"/>
            </w:tcBorders>
            <w:shd w:val="clear" w:color="auto" w:fill="auto"/>
            <w:vAlign w:val="center"/>
          </w:tcPr>
          <w:p w14:paraId="266B9322" w14:textId="77777777" w:rsidR="00C83C50" w:rsidRPr="009F0D29" w:rsidRDefault="00C83C50" w:rsidP="003364BB">
            <w:pPr>
              <w:pStyle w:val="Tabletext0"/>
              <w:keepNext/>
              <w:jc w:val="center"/>
            </w:pPr>
            <w:r>
              <w:t>8 (9)</w:t>
            </w:r>
          </w:p>
        </w:tc>
      </w:tr>
      <w:tr w:rsidR="00C83C50" w:rsidRPr="00AF5970" w14:paraId="29ADE651" w14:textId="77777777" w:rsidTr="003D5BAE">
        <w:trPr>
          <w:trHeight w:val="227"/>
        </w:trPr>
        <w:tc>
          <w:tcPr>
            <w:tcW w:w="1886" w:type="pct"/>
            <w:vMerge/>
            <w:tcBorders>
              <w:bottom w:val="single" w:sz="4" w:space="0" w:color="auto"/>
              <w:right w:val="nil"/>
            </w:tcBorders>
            <w:shd w:val="clear" w:color="auto" w:fill="auto"/>
          </w:tcPr>
          <w:p w14:paraId="5B3DD898" w14:textId="77777777" w:rsidR="00C83C50" w:rsidRPr="009F0D29" w:rsidRDefault="00C83C50" w:rsidP="003364BB">
            <w:pPr>
              <w:pStyle w:val="Tabletext0"/>
              <w:keepNext/>
            </w:pPr>
          </w:p>
        </w:tc>
        <w:tc>
          <w:tcPr>
            <w:tcW w:w="1311" w:type="pct"/>
            <w:tcBorders>
              <w:left w:val="nil"/>
              <w:bottom w:val="single" w:sz="4" w:space="0" w:color="auto"/>
              <w:right w:val="single" w:sz="4" w:space="0" w:color="auto"/>
            </w:tcBorders>
            <w:shd w:val="clear" w:color="auto" w:fill="auto"/>
            <w:vAlign w:val="center"/>
          </w:tcPr>
          <w:p w14:paraId="6EAB336E" w14:textId="77777777" w:rsidR="00C83C50" w:rsidRPr="009F0D29" w:rsidRDefault="00C83C50" w:rsidP="003364BB">
            <w:pPr>
              <w:pStyle w:val="Tabletext0"/>
              <w:keepNext/>
              <w:jc w:val="right"/>
            </w:pPr>
            <w:proofErr w:type="gramStart"/>
            <w:r>
              <w:t>U</w:t>
            </w:r>
            <w:r w:rsidRPr="009F0D29">
              <w:t>nknown,</w:t>
            </w:r>
            <w:r>
              <w:t>*</w:t>
            </w:r>
            <w:proofErr w:type="gramEnd"/>
            <w:r w:rsidRPr="009F0D29">
              <w:t xml:space="preserve"> n (%)</w:t>
            </w:r>
          </w:p>
        </w:tc>
        <w:tc>
          <w:tcPr>
            <w:tcW w:w="1803" w:type="pct"/>
            <w:tcBorders>
              <w:bottom w:val="single" w:sz="4" w:space="0" w:color="auto"/>
              <w:right w:val="single" w:sz="4" w:space="0" w:color="auto"/>
            </w:tcBorders>
            <w:shd w:val="clear" w:color="auto" w:fill="auto"/>
            <w:vAlign w:val="center"/>
          </w:tcPr>
          <w:p w14:paraId="38E0F899" w14:textId="77777777" w:rsidR="00C83C50" w:rsidRPr="009F0D29" w:rsidRDefault="00C83C50" w:rsidP="003364BB">
            <w:pPr>
              <w:pStyle w:val="Tabletext0"/>
              <w:keepNext/>
              <w:jc w:val="center"/>
            </w:pPr>
            <w:r>
              <w:t>18 (22)</w:t>
            </w:r>
          </w:p>
        </w:tc>
      </w:tr>
    </w:tbl>
    <w:p w14:paraId="1FD2D564" w14:textId="77777777" w:rsidR="00C83C50" w:rsidRDefault="00C83C50" w:rsidP="003D5BAE">
      <w:pPr>
        <w:pStyle w:val="TableDescription"/>
      </w:pPr>
      <w:r w:rsidRPr="009F0D29">
        <w:t>DCO = data cut-off date</w:t>
      </w:r>
    </w:p>
    <w:p w14:paraId="76510DE1" w14:textId="6A70AC9D" w:rsidR="00C83C50" w:rsidRPr="009F0D29" w:rsidRDefault="00C83C50" w:rsidP="003D5BAE">
      <w:pPr>
        <w:pStyle w:val="TableDescription"/>
      </w:pPr>
      <w:r w:rsidRPr="004257FD">
        <w:t>*</w:t>
      </w:r>
      <w:r>
        <w:t xml:space="preserve"> Locally identified ex20ins mutation not confirmed on central Guardant analysis. See also </w:t>
      </w:r>
      <w:r w:rsidRPr="007C4256">
        <w:t>“</w:t>
      </w:r>
      <w:r w:rsidRPr="007C4256">
        <w:fldChar w:fldCharType="begin"/>
      </w:r>
      <w:r w:rsidRPr="007C4256">
        <w:instrText xml:space="preserve"> REF _Ref113962155 \h </w:instrText>
      </w:r>
      <w:r>
        <w:instrText xml:space="preserve"> \* MERGEFORMAT </w:instrText>
      </w:r>
      <w:r w:rsidRPr="007C4256">
        <w:fldChar w:fldCharType="separate"/>
      </w:r>
      <w:r w:rsidR="0006496E" w:rsidRPr="00C104AA">
        <w:t>Ex20ins variant subgroups</w:t>
      </w:r>
      <w:r w:rsidRPr="007C4256">
        <w:fldChar w:fldCharType="end"/>
      </w:r>
      <w:r w:rsidRPr="007C4256">
        <w:t xml:space="preserve">,” page </w:t>
      </w:r>
      <w:r w:rsidRPr="007C4256">
        <w:fldChar w:fldCharType="begin"/>
      </w:r>
      <w:r w:rsidRPr="007C4256">
        <w:instrText xml:space="preserve"> PAGEREF _Ref113962155 \h </w:instrText>
      </w:r>
      <w:r w:rsidRPr="007C4256">
        <w:fldChar w:fldCharType="separate"/>
      </w:r>
      <w:r w:rsidR="0006496E">
        <w:rPr>
          <w:noProof/>
        </w:rPr>
        <w:t>30</w:t>
      </w:r>
      <w:r w:rsidRPr="007C4256">
        <w:fldChar w:fldCharType="end"/>
      </w:r>
      <w:r>
        <w:t>.</w:t>
      </w:r>
    </w:p>
    <w:p w14:paraId="3F9E9A1D" w14:textId="77777777" w:rsidR="00C83C50" w:rsidRPr="003D5BAE" w:rsidRDefault="00C83C50" w:rsidP="003D5BAE">
      <w:pPr>
        <w:pStyle w:val="Heading6"/>
      </w:pPr>
      <w:r w:rsidRPr="003D5BAE">
        <w:t>Disposition</w:t>
      </w:r>
    </w:p>
    <w:p w14:paraId="01B9EF3F" w14:textId="16E2E40A" w:rsidR="00C83C50" w:rsidRDefault="00C83C50" w:rsidP="003D5BAE">
      <w:r w:rsidRPr="009F0D29">
        <w:t xml:space="preserve">As of the 8 </w:t>
      </w:r>
      <w:r>
        <w:t>October</w:t>
      </w:r>
      <w:r w:rsidRPr="00AB01A6">
        <w:t xml:space="preserve"> 2020 clinical </w:t>
      </w:r>
      <w:proofErr w:type="spellStart"/>
      <w:r w:rsidRPr="00AB01A6">
        <w:t>cutoff</w:t>
      </w:r>
      <w:proofErr w:type="spellEnd"/>
      <w:r w:rsidRPr="00AB01A6">
        <w:t xml:space="preserve"> date, the median </w:t>
      </w:r>
      <w:proofErr w:type="gramStart"/>
      <w:r w:rsidRPr="00AB01A6">
        <w:t>follow</w:t>
      </w:r>
      <w:proofErr w:type="gramEnd"/>
      <w:r>
        <w:t xml:space="preserve"> </w:t>
      </w:r>
      <w:r w:rsidRPr="00AB01A6">
        <w:t>up for the primary efficacy population was 9.7 months (range: 1.08</w:t>
      </w:r>
      <w:r>
        <w:t xml:space="preserve"> to </w:t>
      </w:r>
      <w:r w:rsidRPr="00AB01A6">
        <w:t>29.27).</w:t>
      </w:r>
      <w:r>
        <w:t xml:space="preserve"> </w:t>
      </w:r>
      <w:r w:rsidRPr="00AB01A6">
        <w:t xml:space="preserve">Some key patient disposition information for the </w:t>
      </w:r>
      <w:r>
        <w:t>primary efficacy</w:t>
      </w:r>
      <w:r w:rsidRPr="00AB01A6">
        <w:t xml:space="preserve"> population is summarised in</w:t>
      </w:r>
      <w:r>
        <w:t xml:space="preserve"> </w:t>
      </w:r>
      <w:r>
        <w:fldChar w:fldCharType="begin"/>
      </w:r>
      <w:r>
        <w:instrText xml:space="preserve"> REF _Ref140749310 \h </w:instrText>
      </w:r>
      <w:r>
        <w:fldChar w:fldCharType="separate"/>
      </w:r>
      <w:r w:rsidR="0006496E" w:rsidRPr="003D5BAE">
        <w:t xml:space="preserve">Table </w:t>
      </w:r>
      <w:r w:rsidR="0006496E">
        <w:rPr>
          <w:noProof/>
        </w:rPr>
        <w:t>6</w:t>
      </w:r>
      <w:r>
        <w:fldChar w:fldCharType="end"/>
      </w:r>
    </w:p>
    <w:p w14:paraId="5583BED4" w14:textId="6E2FA362" w:rsidR="00C83C50" w:rsidRDefault="00C83C50" w:rsidP="003D5BAE">
      <w:pPr>
        <w:pStyle w:val="TableTitle"/>
      </w:pPr>
      <w:bookmarkStart w:id="94" w:name="_Ref140749310"/>
      <w:r w:rsidRPr="003D5BAE">
        <w:t xml:space="preserve">Table </w:t>
      </w:r>
      <w:r w:rsidR="00C3481D">
        <w:fldChar w:fldCharType="begin"/>
      </w:r>
      <w:r w:rsidR="00C3481D">
        <w:instrText xml:space="preserve"> SEQ Table \* ARABIC </w:instrText>
      </w:r>
      <w:r w:rsidR="00C3481D">
        <w:fldChar w:fldCharType="separate"/>
      </w:r>
      <w:r w:rsidR="0006496E">
        <w:rPr>
          <w:noProof/>
        </w:rPr>
        <w:t>6</w:t>
      </w:r>
      <w:r w:rsidR="00C3481D">
        <w:rPr>
          <w:noProof/>
        </w:rPr>
        <w:fldChar w:fldCharType="end"/>
      </w:r>
      <w:bookmarkEnd w:id="94"/>
      <w:r>
        <w:t xml:space="preserve">: </w:t>
      </w:r>
      <w:r w:rsidRPr="003D5BAE">
        <w:t>Patient disposition in CHRYSALIS (primary efficacy population) [DCO 8 OCT 2020]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1841"/>
        <w:gridCol w:w="3682"/>
        <w:gridCol w:w="3537"/>
      </w:tblGrid>
      <w:tr w:rsidR="00C83C50" w:rsidRPr="00AF5970" w14:paraId="50723A22" w14:textId="77777777" w:rsidTr="003D5BAE">
        <w:trPr>
          <w:trHeight w:val="227"/>
          <w:tblHeader/>
        </w:trPr>
        <w:tc>
          <w:tcPr>
            <w:tcW w:w="3048" w:type="pct"/>
            <w:gridSpan w:val="2"/>
            <w:tcBorders>
              <w:right w:val="single" w:sz="4" w:space="0" w:color="auto"/>
            </w:tcBorders>
            <w:shd w:val="clear" w:color="auto" w:fill="A5A5A5" w:themeFill="accent3"/>
          </w:tcPr>
          <w:p w14:paraId="080146F7" w14:textId="77777777" w:rsidR="00C83C50" w:rsidRPr="0086060F" w:rsidRDefault="00C83C50" w:rsidP="003364BB">
            <w:pPr>
              <w:pStyle w:val="Tabletext0"/>
              <w:keepNext/>
              <w:rPr>
                <w:b/>
                <w:bCs/>
                <w:color w:val="FFFFFF" w:themeColor="background1"/>
              </w:rPr>
            </w:pPr>
          </w:p>
        </w:tc>
        <w:tc>
          <w:tcPr>
            <w:tcW w:w="1952" w:type="pct"/>
            <w:tcBorders>
              <w:right w:val="single" w:sz="4" w:space="0" w:color="auto"/>
            </w:tcBorders>
            <w:shd w:val="clear" w:color="auto" w:fill="A5A5A5" w:themeFill="accent3"/>
            <w:vAlign w:val="center"/>
          </w:tcPr>
          <w:p w14:paraId="340C219C" w14:textId="77777777" w:rsidR="00C83C50" w:rsidRPr="0086060F" w:rsidRDefault="00C83C50" w:rsidP="003364BB">
            <w:pPr>
              <w:pStyle w:val="Tabletext0"/>
              <w:keepNext/>
              <w:jc w:val="center"/>
              <w:rPr>
                <w:b/>
                <w:bCs/>
                <w:color w:val="FFFFFF" w:themeColor="background1"/>
              </w:rPr>
            </w:pPr>
            <w:proofErr w:type="spellStart"/>
            <w:r>
              <w:rPr>
                <w:b/>
                <w:bCs/>
                <w:color w:val="FFFFFF" w:themeColor="background1"/>
              </w:rPr>
              <w:t>Amivantamab</w:t>
            </w:r>
            <w:proofErr w:type="spellEnd"/>
            <w:r>
              <w:rPr>
                <w:b/>
                <w:bCs/>
                <w:color w:val="FFFFFF" w:themeColor="background1"/>
              </w:rPr>
              <w:t xml:space="preserve"> </w:t>
            </w:r>
            <w:r w:rsidRPr="0086060F">
              <w:rPr>
                <w:b/>
                <w:bCs/>
                <w:color w:val="FFFFFF" w:themeColor="background1"/>
              </w:rPr>
              <w:t>(n=</w:t>
            </w:r>
            <w:r>
              <w:rPr>
                <w:b/>
                <w:bCs/>
                <w:color w:val="FFFFFF" w:themeColor="background1"/>
              </w:rPr>
              <w:t>81</w:t>
            </w:r>
            <w:r w:rsidRPr="0086060F">
              <w:rPr>
                <w:b/>
                <w:bCs/>
                <w:color w:val="FFFFFF" w:themeColor="background1"/>
              </w:rPr>
              <w:t>)</w:t>
            </w:r>
          </w:p>
        </w:tc>
      </w:tr>
      <w:tr w:rsidR="00C83C50" w:rsidRPr="00AF5970" w14:paraId="7C2EA041" w14:textId="77777777" w:rsidTr="003D5BAE">
        <w:trPr>
          <w:trHeight w:val="227"/>
        </w:trPr>
        <w:tc>
          <w:tcPr>
            <w:tcW w:w="3048" w:type="pct"/>
            <w:gridSpan w:val="2"/>
            <w:tcBorders>
              <w:right w:val="single" w:sz="4" w:space="0" w:color="auto"/>
            </w:tcBorders>
            <w:shd w:val="clear" w:color="auto" w:fill="F2F2F2" w:themeFill="background1" w:themeFillShade="F2"/>
          </w:tcPr>
          <w:p w14:paraId="492D09BC" w14:textId="77777777" w:rsidR="00C83C50" w:rsidRPr="0086060F" w:rsidRDefault="00C83C50" w:rsidP="003364BB">
            <w:pPr>
              <w:pStyle w:val="Tabletext0"/>
              <w:keepNext/>
            </w:pPr>
            <w:bookmarkStart w:id="95" w:name="_Hlk97635279"/>
            <w:r w:rsidRPr="0086060F">
              <w:t>Ongoing on study, n (%)</w:t>
            </w:r>
          </w:p>
        </w:tc>
        <w:tc>
          <w:tcPr>
            <w:tcW w:w="1952" w:type="pct"/>
            <w:tcBorders>
              <w:right w:val="single" w:sz="4" w:space="0" w:color="auto"/>
            </w:tcBorders>
            <w:shd w:val="clear" w:color="auto" w:fill="F2F2F2" w:themeFill="background1" w:themeFillShade="F2"/>
            <w:vAlign w:val="center"/>
          </w:tcPr>
          <w:p w14:paraId="5FDB53E7" w14:textId="77777777" w:rsidR="00C83C50" w:rsidRPr="0086060F" w:rsidRDefault="00C83C50" w:rsidP="003364BB">
            <w:pPr>
              <w:pStyle w:val="Tabletext0"/>
              <w:keepNext/>
              <w:jc w:val="center"/>
            </w:pPr>
            <w:r>
              <w:t>61 (75)</w:t>
            </w:r>
          </w:p>
        </w:tc>
      </w:tr>
      <w:bookmarkEnd w:id="95"/>
      <w:tr w:rsidR="00C83C50" w:rsidRPr="00AF5970" w14:paraId="62FFE92F" w14:textId="77777777" w:rsidTr="003D5BAE">
        <w:trPr>
          <w:trHeight w:val="227"/>
        </w:trPr>
        <w:tc>
          <w:tcPr>
            <w:tcW w:w="3048" w:type="pct"/>
            <w:gridSpan w:val="2"/>
            <w:tcBorders>
              <w:right w:val="single" w:sz="4" w:space="0" w:color="auto"/>
            </w:tcBorders>
            <w:shd w:val="clear" w:color="auto" w:fill="F2F2F2" w:themeFill="background1" w:themeFillShade="F2"/>
          </w:tcPr>
          <w:p w14:paraId="23C6C790" w14:textId="77777777" w:rsidR="00C83C50" w:rsidRPr="0086060F" w:rsidRDefault="00C83C50" w:rsidP="003364BB">
            <w:pPr>
              <w:pStyle w:val="Tabletext0"/>
              <w:keepNext/>
            </w:pPr>
            <w:r>
              <w:t>Not ongoing on</w:t>
            </w:r>
            <w:r w:rsidRPr="0086060F">
              <w:t xml:space="preserve"> study</w:t>
            </w:r>
            <w:r>
              <w:t>, n (%)</w:t>
            </w:r>
          </w:p>
        </w:tc>
        <w:tc>
          <w:tcPr>
            <w:tcW w:w="1952" w:type="pct"/>
            <w:tcBorders>
              <w:right w:val="single" w:sz="4" w:space="0" w:color="auto"/>
            </w:tcBorders>
            <w:shd w:val="clear" w:color="auto" w:fill="F2F2F2" w:themeFill="background1" w:themeFillShade="F2"/>
            <w:vAlign w:val="center"/>
          </w:tcPr>
          <w:p w14:paraId="1BE2B329" w14:textId="77777777" w:rsidR="00C83C50" w:rsidRPr="0086060F" w:rsidRDefault="00C83C50" w:rsidP="003364BB">
            <w:pPr>
              <w:pStyle w:val="Tabletext0"/>
              <w:keepNext/>
              <w:jc w:val="center"/>
            </w:pPr>
            <w:r>
              <w:t>20 (25)</w:t>
            </w:r>
          </w:p>
        </w:tc>
      </w:tr>
      <w:tr w:rsidR="00C83C50" w:rsidRPr="00AF5970" w14:paraId="4DC71998" w14:textId="77777777" w:rsidTr="003D5BAE">
        <w:trPr>
          <w:trHeight w:val="227"/>
        </w:trPr>
        <w:tc>
          <w:tcPr>
            <w:tcW w:w="1016" w:type="pct"/>
            <w:vMerge w:val="restart"/>
            <w:tcBorders>
              <w:right w:val="nil"/>
            </w:tcBorders>
            <w:vAlign w:val="center"/>
          </w:tcPr>
          <w:p w14:paraId="0EA1A03F" w14:textId="77777777" w:rsidR="00C83C50" w:rsidRPr="0086060F" w:rsidRDefault="00C83C50" w:rsidP="003364BB">
            <w:pPr>
              <w:pStyle w:val="Tabletext0"/>
              <w:keepNext/>
              <w:rPr>
                <w:i/>
                <w:iCs/>
              </w:rPr>
            </w:pPr>
            <w:r w:rsidRPr="0086060F">
              <w:rPr>
                <w:i/>
                <w:iCs/>
              </w:rPr>
              <w:t>Reason for study discontinuation</w:t>
            </w:r>
          </w:p>
        </w:tc>
        <w:tc>
          <w:tcPr>
            <w:tcW w:w="2032" w:type="pct"/>
            <w:tcBorders>
              <w:left w:val="nil"/>
              <w:right w:val="single" w:sz="4" w:space="0" w:color="auto"/>
            </w:tcBorders>
            <w:shd w:val="clear" w:color="auto" w:fill="auto"/>
            <w:vAlign w:val="center"/>
          </w:tcPr>
          <w:p w14:paraId="698D4123" w14:textId="77777777" w:rsidR="00C83C50" w:rsidRPr="0086060F" w:rsidRDefault="00C83C50" w:rsidP="003364BB">
            <w:pPr>
              <w:pStyle w:val="Tabletext0"/>
              <w:keepNext/>
              <w:jc w:val="right"/>
              <w:rPr>
                <w:i/>
                <w:iCs/>
              </w:rPr>
            </w:pPr>
            <w:r>
              <w:rPr>
                <w:i/>
                <w:iCs/>
              </w:rPr>
              <w:t>Died</w:t>
            </w:r>
            <w:r w:rsidRPr="0086060F">
              <w:rPr>
                <w:i/>
                <w:iCs/>
              </w:rPr>
              <w:t>, n (%)</w:t>
            </w:r>
          </w:p>
        </w:tc>
        <w:tc>
          <w:tcPr>
            <w:tcW w:w="1952" w:type="pct"/>
            <w:tcBorders>
              <w:right w:val="single" w:sz="4" w:space="0" w:color="auto"/>
            </w:tcBorders>
            <w:shd w:val="clear" w:color="auto" w:fill="auto"/>
            <w:vAlign w:val="center"/>
          </w:tcPr>
          <w:p w14:paraId="6B08DB04" w14:textId="77777777" w:rsidR="00C83C50" w:rsidRPr="0086060F" w:rsidRDefault="00C83C50" w:rsidP="003364BB">
            <w:pPr>
              <w:pStyle w:val="Tabletext0"/>
              <w:keepNext/>
              <w:jc w:val="center"/>
              <w:rPr>
                <w:i/>
                <w:iCs/>
              </w:rPr>
            </w:pPr>
            <w:r>
              <w:rPr>
                <w:i/>
                <w:iCs/>
              </w:rPr>
              <w:t>15 (19)</w:t>
            </w:r>
          </w:p>
        </w:tc>
      </w:tr>
      <w:tr w:rsidR="00C83C50" w:rsidRPr="00AF5970" w14:paraId="3C979F2B" w14:textId="77777777" w:rsidTr="003D5BAE">
        <w:trPr>
          <w:trHeight w:val="227"/>
        </w:trPr>
        <w:tc>
          <w:tcPr>
            <w:tcW w:w="1016" w:type="pct"/>
            <w:vMerge/>
            <w:tcBorders>
              <w:right w:val="nil"/>
            </w:tcBorders>
          </w:tcPr>
          <w:p w14:paraId="6A2DC0D8" w14:textId="77777777" w:rsidR="00C83C50" w:rsidRPr="0086060F" w:rsidRDefault="00C83C50" w:rsidP="003364BB">
            <w:pPr>
              <w:pStyle w:val="Tabletext0"/>
              <w:keepNext/>
              <w:rPr>
                <w:i/>
                <w:iCs/>
              </w:rPr>
            </w:pPr>
          </w:p>
        </w:tc>
        <w:tc>
          <w:tcPr>
            <w:tcW w:w="2032" w:type="pct"/>
            <w:tcBorders>
              <w:left w:val="nil"/>
              <w:right w:val="single" w:sz="4" w:space="0" w:color="auto"/>
            </w:tcBorders>
            <w:shd w:val="clear" w:color="auto" w:fill="auto"/>
            <w:vAlign w:val="center"/>
          </w:tcPr>
          <w:p w14:paraId="784C1C7F" w14:textId="77777777" w:rsidR="00C83C50" w:rsidRPr="0086060F" w:rsidRDefault="00C83C50" w:rsidP="003364BB">
            <w:pPr>
              <w:pStyle w:val="Tabletext0"/>
              <w:keepNext/>
              <w:jc w:val="right"/>
              <w:rPr>
                <w:i/>
                <w:iCs/>
              </w:rPr>
            </w:pPr>
            <w:r w:rsidRPr="0086060F">
              <w:rPr>
                <w:i/>
                <w:iCs/>
              </w:rPr>
              <w:t>Lost to follow-up, n (%)</w:t>
            </w:r>
          </w:p>
        </w:tc>
        <w:tc>
          <w:tcPr>
            <w:tcW w:w="1952" w:type="pct"/>
            <w:tcBorders>
              <w:right w:val="single" w:sz="4" w:space="0" w:color="auto"/>
            </w:tcBorders>
            <w:shd w:val="clear" w:color="auto" w:fill="auto"/>
            <w:vAlign w:val="center"/>
          </w:tcPr>
          <w:p w14:paraId="1AEE21E9" w14:textId="77777777" w:rsidR="00C83C50" w:rsidRPr="0086060F" w:rsidRDefault="00C83C50" w:rsidP="003364BB">
            <w:pPr>
              <w:pStyle w:val="Tabletext0"/>
              <w:keepNext/>
              <w:jc w:val="center"/>
              <w:rPr>
                <w:i/>
                <w:iCs/>
              </w:rPr>
            </w:pPr>
            <w:r>
              <w:rPr>
                <w:i/>
                <w:iCs/>
              </w:rPr>
              <w:t>1 (1.2)</w:t>
            </w:r>
          </w:p>
        </w:tc>
      </w:tr>
      <w:tr w:rsidR="00C83C50" w:rsidRPr="00AF5970" w14:paraId="58D0DA15" w14:textId="77777777" w:rsidTr="003D5BAE">
        <w:trPr>
          <w:trHeight w:val="227"/>
        </w:trPr>
        <w:tc>
          <w:tcPr>
            <w:tcW w:w="1016" w:type="pct"/>
            <w:vMerge/>
            <w:tcBorders>
              <w:right w:val="nil"/>
            </w:tcBorders>
          </w:tcPr>
          <w:p w14:paraId="1FC1FEF4" w14:textId="77777777" w:rsidR="00C83C50" w:rsidRPr="0086060F" w:rsidRDefault="00C83C50" w:rsidP="003364BB">
            <w:pPr>
              <w:pStyle w:val="Tabletext0"/>
              <w:keepNext/>
              <w:rPr>
                <w:i/>
                <w:iCs/>
              </w:rPr>
            </w:pPr>
          </w:p>
        </w:tc>
        <w:tc>
          <w:tcPr>
            <w:tcW w:w="2032" w:type="pct"/>
            <w:tcBorders>
              <w:left w:val="nil"/>
              <w:right w:val="single" w:sz="4" w:space="0" w:color="auto"/>
            </w:tcBorders>
            <w:shd w:val="clear" w:color="auto" w:fill="auto"/>
            <w:vAlign w:val="center"/>
          </w:tcPr>
          <w:p w14:paraId="705E914F" w14:textId="77777777" w:rsidR="00C83C50" w:rsidRPr="0086060F" w:rsidRDefault="00C83C50" w:rsidP="003364BB">
            <w:pPr>
              <w:pStyle w:val="Tabletext0"/>
              <w:keepNext/>
              <w:jc w:val="right"/>
              <w:rPr>
                <w:i/>
                <w:iCs/>
              </w:rPr>
            </w:pPr>
            <w:r w:rsidRPr="0086060F">
              <w:rPr>
                <w:i/>
                <w:iCs/>
              </w:rPr>
              <w:t>Withdrawal by patient, n (%)</w:t>
            </w:r>
          </w:p>
        </w:tc>
        <w:tc>
          <w:tcPr>
            <w:tcW w:w="1952" w:type="pct"/>
            <w:tcBorders>
              <w:right w:val="single" w:sz="4" w:space="0" w:color="auto"/>
            </w:tcBorders>
            <w:shd w:val="clear" w:color="auto" w:fill="auto"/>
            <w:vAlign w:val="center"/>
          </w:tcPr>
          <w:p w14:paraId="76F96627" w14:textId="77777777" w:rsidR="00C83C50" w:rsidRPr="0086060F" w:rsidRDefault="00C83C50" w:rsidP="003364BB">
            <w:pPr>
              <w:pStyle w:val="Tabletext0"/>
              <w:keepNext/>
              <w:jc w:val="center"/>
              <w:rPr>
                <w:i/>
                <w:iCs/>
              </w:rPr>
            </w:pPr>
            <w:r>
              <w:rPr>
                <w:i/>
                <w:iCs/>
              </w:rPr>
              <w:t>4 (4.9)</w:t>
            </w:r>
          </w:p>
        </w:tc>
      </w:tr>
      <w:tr w:rsidR="00C83C50" w:rsidRPr="00AF5970" w14:paraId="6BEBFC17" w14:textId="77777777" w:rsidTr="003D5BAE">
        <w:trPr>
          <w:trHeight w:val="227"/>
        </w:trPr>
        <w:tc>
          <w:tcPr>
            <w:tcW w:w="3048" w:type="pct"/>
            <w:gridSpan w:val="2"/>
            <w:tcBorders>
              <w:right w:val="single" w:sz="4" w:space="0" w:color="auto"/>
            </w:tcBorders>
            <w:shd w:val="clear" w:color="auto" w:fill="F2F2F2" w:themeFill="background1" w:themeFillShade="F2"/>
          </w:tcPr>
          <w:p w14:paraId="5F4B3177" w14:textId="77777777" w:rsidR="00C83C50" w:rsidRPr="0086060F" w:rsidRDefault="00C83C50" w:rsidP="003364BB">
            <w:pPr>
              <w:pStyle w:val="Tabletext0"/>
              <w:keepNext/>
              <w:rPr>
                <w:i/>
                <w:iCs/>
              </w:rPr>
            </w:pPr>
            <w:r w:rsidRPr="0086060F">
              <w:t>Ongoing on treatment, n (%)</w:t>
            </w:r>
          </w:p>
        </w:tc>
        <w:tc>
          <w:tcPr>
            <w:tcW w:w="1952" w:type="pct"/>
            <w:tcBorders>
              <w:right w:val="single" w:sz="4" w:space="0" w:color="auto"/>
            </w:tcBorders>
            <w:shd w:val="clear" w:color="auto" w:fill="F2F2F2" w:themeFill="background1" w:themeFillShade="F2"/>
            <w:vAlign w:val="center"/>
          </w:tcPr>
          <w:p w14:paraId="62B59A44" w14:textId="77777777" w:rsidR="00C83C50" w:rsidRPr="0086060F" w:rsidRDefault="00C83C50" w:rsidP="003364BB">
            <w:pPr>
              <w:pStyle w:val="Tabletext0"/>
              <w:keepNext/>
              <w:jc w:val="center"/>
              <w:rPr>
                <w:i/>
                <w:iCs/>
              </w:rPr>
            </w:pPr>
            <w:r w:rsidRPr="0086060F">
              <w:t>34 (42)</w:t>
            </w:r>
          </w:p>
        </w:tc>
      </w:tr>
      <w:tr w:rsidR="00C83C50" w:rsidRPr="00AF5970" w14:paraId="65DCE119" w14:textId="77777777" w:rsidTr="003D5BAE">
        <w:trPr>
          <w:trHeight w:val="227"/>
        </w:trPr>
        <w:tc>
          <w:tcPr>
            <w:tcW w:w="3048" w:type="pct"/>
            <w:gridSpan w:val="2"/>
            <w:tcBorders>
              <w:right w:val="single" w:sz="4" w:space="0" w:color="auto"/>
            </w:tcBorders>
            <w:shd w:val="clear" w:color="auto" w:fill="F2F2F2" w:themeFill="background1" w:themeFillShade="F2"/>
          </w:tcPr>
          <w:p w14:paraId="5732F2F1" w14:textId="77777777" w:rsidR="00C83C50" w:rsidRPr="0086060F" w:rsidRDefault="00C83C50" w:rsidP="003364BB">
            <w:pPr>
              <w:pStyle w:val="Tabletext0"/>
              <w:keepNext/>
            </w:pPr>
            <w:r w:rsidRPr="0086060F">
              <w:t>Discontinued treatment, n (%)</w:t>
            </w:r>
          </w:p>
        </w:tc>
        <w:tc>
          <w:tcPr>
            <w:tcW w:w="1952" w:type="pct"/>
            <w:tcBorders>
              <w:right w:val="single" w:sz="4" w:space="0" w:color="auto"/>
            </w:tcBorders>
            <w:shd w:val="clear" w:color="auto" w:fill="F2F2F2" w:themeFill="background1" w:themeFillShade="F2"/>
            <w:vAlign w:val="center"/>
          </w:tcPr>
          <w:p w14:paraId="589EF9AA" w14:textId="77777777" w:rsidR="00C83C50" w:rsidRPr="0086060F" w:rsidRDefault="00C83C50" w:rsidP="003364BB">
            <w:pPr>
              <w:pStyle w:val="Tabletext0"/>
              <w:keepNext/>
              <w:jc w:val="center"/>
            </w:pPr>
            <w:r w:rsidRPr="0086060F">
              <w:t>47 (58)</w:t>
            </w:r>
          </w:p>
        </w:tc>
      </w:tr>
      <w:tr w:rsidR="00C83C50" w:rsidRPr="00AF5970" w14:paraId="4D5CBC45" w14:textId="77777777" w:rsidTr="003D5BAE">
        <w:trPr>
          <w:trHeight w:val="227"/>
        </w:trPr>
        <w:tc>
          <w:tcPr>
            <w:tcW w:w="1016" w:type="pct"/>
            <w:vMerge w:val="restart"/>
            <w:tcBorders>
              <w:right w:val="nil"/>
            </w:tcBorders>
            <w:shd w:val="clear" w:color="auto" w:fill="auto"/>
            <w:vAlign w:val="center"/>
          </w:tcPr>
          <w:p w14:paraId="65B45CF6" w14:textId="77777777" w:rsidR="00C83C50" w:rsidRPr="0086060F" w:rsidRDefault="00C83C50" w:rsidP="003364BB">
            <w:pPr>
              <w:pStyle w:val="Tabletext0"/>
              <w:keepNext/>
              <w:rPr>
                <w:i/>
                <w:iCs/>
              </w:rPr>
            </w:pPr>
            <w:r w:rsidRPr="0086060F">
              <w:rPr>
                <w:i/>
                <w:iCs/>
              </w:rPr>
              <w:t>Reason for treatment discontinuation</w:t>
            </w:r>
          </w:p>
        </w:tc>
        <w:tc>
          <w:tcPr>
            <w:tcW w:w="2032" w:type="pct"/>
            <w:tcBorders>
              <w:left w:val="nil"/>
              <w:right w:val="single" w:sz="4" w:space="0" w:color="auto"/>
            </w:tcBorders>
            <w:shd w:val="clear" w:color="auto" w:fill="auto"/>
            <w:vAlign w:val="center"/>
          </w:tcPr>
          <w:p w14:paraId="535F4440" w14:textId="77777777" w:rsidR="00C83C50" w:rsidRPr="0086060F" w:rsidRDefault="00C83C50" w:rsidP="003364BB">
            <w:pPr>
              <w:pStyle w:val="Tabletext0"/>
              <w:keepNext/>
              <w:jc w:val="right"/>
              <w:rPr>
                <w:i/>
                <w:iCs/>
              </w:rPr>
            </w:pPr>
            <w:r w:rsidRPr="0086060F">
              <w:rPr>
                <w:i/>
                <w:iCs/>
              </w:rPr>
              <w:t>Adverse event, n (%)</w:t>
            </w:r>
          </w:p>
        </w:tc>
        <w:tc>
          <w:tcPr>
            <w:tcW w:w="1952" w:type="pct"/>
            <w:tcBorders>
              <w:right w:val="single" w:sz="4" w:space="0" w:color="auto"/>
            </w:tcBorders>
            <w:shd w:val="clear" w:color="auto" w:fill="auto"/>
            <w:vAlign w:val="center"/>
          </w:tcPr>
          <w:p w14:paraId="08CA20E6" w14:textId="77777777" w:rsidR="00C83C50" w:rsidRPr="0086060F" w:rsidRDefault="00C83C50" w:rsidP="003364BB">
            <w:pPr>
              <w:pStyle w:val="Tabletext0"/>
              <w:keepNext/>
              <w:jc w:val="center"/>
              <w:rPr>
                <w:i/>
                <w:iCs/>
              </w:rPr>
            </w:pPr>
            <w:r w:rsidRPr="0086060F">
              <w:rPr>
                <w:i/>
                <w:iCs/>
              </w:rPr>
              <w:t>6 (7</w:t>
            </w:r>
            <w:r>
              <w:rPr>
                <w:i/>
                <w:iCs/>
              </w:rPr>
              <w:t>.4</w:t>
            </w:r>
            <w:r w:rsidRPr="0086060F">
              <w:rPr>
                <w:i/>
                <w:iCs/>
              </w:rPr>
              <w:t>)</w:t>
            </w:r>
          </w:p>
        </w:tc>
      </w:tr>
      <w:tr w:rsidR="00C83C50" w:rsidRPr="00AF5970" w14:paraId="2A008C8A" w14:textId="77777777" w:rsidTr="003D5BAE">
        <w:trPr>
          <w:trHeight w:val="227"/>
        </w:trPr>
        <w:tc>
          <w:tcPr>
            <w:tcW w:w="1016" w:type="pct"/>
            <w:vMerge/>
            <w:tcBorders>
              <w:right w:val="nil"/>
            </w:tcBorders>
            <w:shd w:val="clear" w:color="auto" w:fill="auto"/>
            <w:vAlign w:val="center"/>
          </w:tcPr>
          <w:p w14:paraId="79AF7D0D" w14:textId="77777777" w:rsidR="00C83C50" w:rsidRPr="0086060F" w:rsidRDefault="00C83C50" w:rsidP="003364BB">
            <w:pPr>
              <w:pStyle w:val="Tabletext0"/>
              <w:keepNext/>
              <w:rPr>
                <w:i/>
                <w:iCs/>
              </w:rPr>
            </w:pPr>
          </w:p>
        </w:tc>
        <w:tc>
          <w:tcPr>
            <w:tcW w:w="2032" w:type="pct"/>
            <w:tcBorders>
              <w:left w:val="nil"/>
              <w:right w:val="single" w:sz="4" w:space="0" w:color="auto"/>
            </w:tcBorders>
            <w:shd w:val="clear" w:color="auto" w:fill="auto"/>
          </w:tcPr>
          <w:p w14:paraId="5C5D61B1" w14:textId="77777777" w:rsidR="00C83C50" w:rsidRPr="0086060F" w:rsidRDefault="00C83C50" w:rsidP="003364BB">
            <w:pPr>
              <w:pStyle w:val="Tabletext0"/>
              <w:keepNext/>
              <w:jc w:val="right"/>
              <w:rPr>
                <w:i/>
                <w:iCs/>
              </w:rPr>
            </w:pPr>
            <w:r w:rsidRPr="0086060F">
              <w:rPr>
                <w:i/>
                <w:iCs/>
              </w:rPr>
              <w:t>Death, n (%)</w:t>
            </w:r>
          </w:p>
        </w:tc>
        <w:tc>
          <w:tcPr>
            <w:tcW w:w="1952" w:type="pct"/>
            <w:tcBorders>
              <w:right w:val="single" w:sz="4" w:space="0" w:color="auto"/>
            </w:tcBorders>
            <w:shd w:val="clear" w:color="auto" w:fill="auto"/>
          </w:tcPr>
          <w:p w14:paraId="0579BAD1" w14:textId="77777777" w:rsidR="00C83C50" w:rsidRPr="0086060F" w:rsidRDefault="00C83C50" w:rsidP="003364BB">
            <w:pPr>
              <w:pStyle w:val="Tabletext0"/>
              <w:keepNext/>
              <w:jc w:val="center"/>
              <w:rPr>
                <w:i/>
                <w:iCs/>
              </w:rPr>
            </w:pPr>
            <w:r w:rsidRPr="0086060F">
              <w:rPr>
                <w:i/>
                <w:iCs/>
              </w:rPr>
              <w:t>2 (2</w:t>
            </w:r>
            <w:r>
              <w:rPr>
                <w:i/>
                <w:iCs/>
              </w:rPr>
              <w:t>.5</w:t>
            </w:r>
            <w:r w:rsidRPr="0086060F">
              <w:rPr>
                <w:i/>
                <w:iCs/>
              </w:rPr>
              <w:t>)</w:t>
            </w:r>
          </w:p>
        </w:tc>
      </w:tr>
      <w:tr w:rsidR="00C83C50" w:rsidRPr="00AF5970" w14:paraId="2F005E49" w14:textId="77777777" w:rsidTr="003D5BAE">
        <w:trPr>
          <w:trHeight w:val="227"/>
        </w:trPr>
        <w:tc>
          <w:tcPr>
            <w:tcW w:w="1016" w:type="pct"/>
            <w:vMerge/>
            <w:tcBorders>
              <w:right w:val="nil"/>
            </w:tcBorders>
            <w:shd w:val="clear" w:color="auto" w:fill="auto"/>
          </w:tcPr>
          <w:p w14:paraId="721C4ED7" w14:textId="77777777" w:rsidR="00C83C50" w:rsidRPr="0086060F" w:rsidRDefault="00C83C50" w:rsidP="003364BB">
            <w:pPr>
              <w:pStyle w:val="Tabletext0"/>
              <w:keepNext/>
              <w:rPr>
                <w:i/>
                <w:iCs/>
              </w:rPr>
            </w:pPr>
          </w:p>
        </w:tc>
        <w:tc>
          <w:tcPr>
            <w:tcW w:w="2032" w:type="pct"/>
            <w:tcBorders>
              <w:left w:val="nil"/>
              <w:right w:val="single" w:sz="4" w:space="0" w:color="auto"/>
            </w:tcBorders>
            <w:shd w:val="clear" w:color="auto" w:fill="auto"/>
            <w:vAlign w:val="center"/>
          </w:tcPr>
          <w:p w14:paraId="43097D99" w14:textId="77777777" w:rsidR="00C83C50" w:rsidRPr="0086060F" w:rsidRDefault="00C83C50" w:rsidP="003364BB">
            <w:pPr>
              <w:pStyle w:val="Tabletext0"/>
              <w:keepNext/>
              <w:jc w:val="right"/>
              <w:rPr>
                <w:i/>
                <w:iCs/>
              </w:rPr>
            </w:pPr>
            <w:r w:rsidRPr="0086060F">
              <w:rPr>
                <w:i/>
                <w:iCs/>
              </w:rPr>
              <w:t>Withdrawal by patient, n (%)</w:t>
            </w:r>
          </w:p>
        </w:tc>
        <w:tc>
          <w:tcPr>
            <w:tcW w:w="1952" w:type="pct"/>
            <w:tcBorders>
              <w:right w:val="single" w:sz="4" w:space="0" w:color="auto"/>
            </w:tcBorders>
            <w:shd w:val="clear" w:color="auto" w:fill="auto"/>
            <w:vAlign w:val="center"/>
          </w:tcPr>
          <w:p w14:paraId="5E243B36" w14:textId="77777777" w:rsidR="00C83C50" w:rsidRPr="0086060F" w:rsidRDefault="00C83C50" w:rsidP="003364BB">
            <w:pPr>
              <w:pStyle w:val="Tabletext0"/>
              <w:keepNext/>
              <w:jc w:val="center"/>
              <w:rPr>
                <w:i/>
                <w:iCs/>
              </w:rPr>
            </w:pPr>
            <w:r w:rsidRPr="0086060F">
              <w:rPr>
                <w:i/>
                <w:iCs/>
              </w:rPr>
              <w:t>3 (</w:t>
            </w:r>
            <w:r>
              <w:rPr>
                <w:i/>
                <w:iCs/>
              </w:rPr>
              <w:t>3.7</w:t>
            </w:r>
            <w:r w:rsidRPr="0086060F">
              <w:rPr>
                <w:i/>
                <w:iCs/>
              </w:rPr>
              <w:t>)</w:t>
            </w:r>
          </w:p>
        </w:tc>
      </w:tr>
      <w:tr w:rsidR="00C83C50" w:rsidRPr="00AF5970" w14:paraId="2759BB85" w14:textId="77777777" w:rsidTr="003D5BAE">
        <w:trPr>
          <w:trHeight w:val="227"/>
        </w:trPr>
        <w:tc>
          <w:tcPr>
            <w:tcW w:w="1016" w:type="pct"/>
            <w:vMerge/>
            <w:tcBorders>
              <w:right w:val="nil"/>
            </w:tcBorders>
            <w:shd w:val="clear" w:color="auto" w:fill="auto"/>
          </w:tcPr>
          <w:p w14:paraId="3C2DDDED" w14:textId="77777777" w:rsidR="00C83C50" w:rsidRPr="0086060F" w:rsidRDefault="00C83C50" w:rsidP="003364BB">
            <w:pPr>
              <w:pStyle w:val="Tabletext0"/>
              <w:keepNext/>
              <w:rPr>
                <w:i/>
                <w:iCs/>
              </w:rPr>
            </w:pPr>
          </w:p>
        </w:tc>
        <w:tc>
          <w:tcPr>
            <w:tcW w:w="2032" w:type="pct"/>
            <w:tcBorders>
              <w:left w:val="nil"/>
              <w:right w:val="single" w:sz="4" w:space="0" w:color="auto"/>
            </w:tcBorders>
            <w:shd w:val="clear" w:color="auto" w:fill="auto"/>
            <w:vAlign w:val="center"/>
          </w:tcPr>
          <w:p w14:paraId="46A7AAE8" w14:textId="77777777" w:rsidR="00C83C50" w:rsidRPr="0086060F" w:rsidRDefault="00C83C50" w:rsidP="003364BB">
            <w:pPr>
              <w:pStyle w:val="Tabletext0"/>
              <w:keepNext/>
              <w:jc w:val="right"/>
              <w:rPr>
                <w:i/>
                <w:iCs/>
              </w:rPr>
            </w:pPr>
            <w:r w:rsidRPr="0086060F">
              <w:rPr>
                <w:i/>
                <w:iCs/>
              </w:rPr>
              <w:t>Progressive disease, n (%)</w:t>
            </w:r>
          </w:p>
        </w:tc>
        <w:tc>
          <w:tcPr>
            <w:tcW w:w="1952" w:type="pct"/>
            <w:tcBorders>
              <w:right w:val="single" w:sz="4" w:space="0" w:color="auto"/>
            </w:tcBorders>
            <w:shd w:val="clear" w:color="auto" w:fill="auto"/>
            <w:vAlign w:val="center"/>
          </w:tcPr>
          <w:p w14:paraId="29547002" w14:textId="77777777" w:rsidR="00C83C50" w:rsidRPr="0086060F" w:rsidRDefault="00C83C50" w:rsidP="003364BB">
            <w:pPr>
              <w:pStyle w:val="Tabletext0"/>
              <w:keepNext/>
              <w:jc w:val="center"/>
              <w:rPr>
                <w:i/>
                <w:iCs/>
              </w:rPr>
            </w:pPr>
            <w:r w:rsidRPr="0086060F">
              <w:rPr>
                <w:i/>
                <w:iCs/>
              </w:rPr>
              <w:t>35 (43)</w:t>
            </w:r>
          </w:p>
        </w:tc>
      </w:tr>
      <w:tr w:rsidR="00C83C50" w:rsidRPr="00AF5970" w14:paraId="3FD11DF2" w14:textId="77777777" w:rsidTr="003D5BAE">
        <w:trPr>
          <w:trHeight w:val="227"/>
        </w:trPr>
        <w:tc>
          <w:tcPr>
            <w:tcW w:w="1016" w:type="pct"/>
            <w:vMerge/>
            <w:tcBorders>
              <w:right w:val="nil"/>
            </w:tcBorders>
            <w:shd w:val="clear" w:color="auto" w:fill="auto"/>
          </w:tcPr>
          <w:p w14:paraId="387B9909" w14:textId="77777777" w:rsidR="00C83C50" w:rsidRPr="00AF5970" w:rsidRDefault="00C83C50" w:rsidP="003364BB">
            <w:pPr>
              <w:pStyle w:val="Tabletext0"/>
              <w:keepNext/>
              <w:rPr>
                <w:i/>
                <w:iCs/>
                <w:color w:val="FF0000"/>
              </w:rPr>
            </w:pPr>
          </w:p>
        </w:tc>
        <w:tc>
          <w:tcPr>
            <w:tcW w:w="2032" w:type="pct"/>
            <w:tcBorders>
              <w:left w:val="nil"/>
              <w:right w:val="single" w:sz="4" w:space="0" w:color="auto"/>
            </w:tcBorders>
            <w:shd w:val="clear" w:color="auto" w:fill="auto"/>
            <w:vAlign w:val="center"/>
          </w:tcPr>
          <w:p w14:paraId="78AABF30" w14:textId="77777777" w:rsidR="00C83C50" w:rsidRPr="0086060F" w:rsidRDefault="00C83C50" w:rsidP="003364BB">
            <w:pPr>
              <w:pStyle w:val="Tabletext0"/>
              <w:keepNext/>
              <w:jc w:val="right"/>
              <w:rPr>
                <w:i/>
                <w:iCs/>
              </w:rPr>
            </w:pPr>
            <w:r w:rsidRPr="0086060F">
              <w:rPr>
                <w:i/>
                <w:iCs/>
              </w:rPr>
              <w:t>Physician decision, n (%)</w:t>
            </w:r>
          </w:p>
        </w:tc>
        <w:tc>
          <w:tcPr>
            <w:tcW w:w="1952" w:type="pct"/>
            <w:tcBorders>
              <w:right w:val="single" w:sz="4" w:space="0" w:color="auto"/>
            </w:tcBorders>
            <w:shd w:val="clear" w:color="auto" w:fill="auto"/>
            <w:vAlign w:val="center"/>
          </w:tcPr>
          <w:p w14:paraId="49759B3C" w14:textId="77777777" w:rsidR="00C83C50" w:rsidRPr="0086060F" w:rsidRDefault="00C83C50" w:rsidP="003364BB">
            <w:pPr>
              <w:pStyle w:val="Tabletext0"/>
              <w:keepNext/>
              <w:jc w:val="center"/>
              <w:rPr>
                <w:i/>
                <w:iCs/>
              </w:rPr>
            </w:pPr>
            <w:r w:rsidRPr="0086060F">
              <w:rPr>
                <w:i/>
                <w:iCs/>
              </w:rPr>
              <w:t>1 (1</w:t>
            </w:r>
            <w:r>
              <w:rPr>
                <w:i/>
                <w:iCs/>
              </w:rPr>
              <w:t>.2</w:t>
            </w:r>
            <w:r w:rsidRPr="0086060F">
              <w:rPr>
                <w:i/>
                <w:iCs/>
              </w:rPr>
              <w:t>)</w:t>
            </w:r>
          </w:p>
        </w:tc>
      </w:tr>
    </w:tbl>
    <w:p w14:paraId="61A5A4E9" w14:textId="77777777" w:rsidR="00C83C50" w:rsidRPr="00AF56E7" w:rsidRDefault="00C83C50" w:rsidP="003D5BAE">
      <w:pPr>
        <w:pStyle w:val="TableDescription"/>
      </w:pPr>
      <w:r w:rsidRPr="00AF56E7">
        <w:t xml:space="preserve">Percentages </w:t>
      </w:r>
      <w:r>
        <w:t xml:space="preserve">are </w:t>
      </w:r>
      <w:r w:rsidRPr="00AF56E7">
        <w:t>rounded to nearest integer unless below 10%.</w:t>
      </w:r>
    </w:p>
    <w:p w14:paraId="2AB45749" w14:textId="77777777" w:rsidR="00C83C50" w:rsidRPr="003D5BAE" w:rsidRDefault="00C83C50" w:rsidP="003D5BAE">
      <w:pPr>
        <w:pStyle w:val="Heading6"/>
      </w:pPr>
      <w:r w:rsidRPr="003D5BAE">
        <w:t>Outcomes</w:t>
      </w:r>
    </w:p>
    <w:p w14:paraId="638560C9" w14:textId="3CA90BF9" w:rsidR="00C83C50" w:rsidRPr="004F0051" w:rsidRDefault="00C83C50" w:rsidP="003D5BAE">
      <w:pPr>
        <w:spacing w:after="0" w:line="276" w:lineRule="auto"/>
        <w:rPr>
          <w:rFonts w:asciiTheme="minorHAnsi" w:hAnsiTheme="minorHAnsi"/>
        </w:rPr>
      </w:pPr>
      <w:r w:rsidRPr="000E5A5D">
        <w:t xml:space="preserve">Key results for the </w:t>
      </w:r>
      <w:r>
        <w:t>primary efficacy</w:t>
      </w:r>
      <w:r w:rsidRPr="000E5A5D">
        <w:t xml:space="preserve"> population in </w:t>
      </w:r>
      <w:r>
        <w:t>CHRYSALIS</w:t>
      </w:r>
      <w:r w:rsidRPr="000E5A5D">
        <w:t xml:space="preserve"> are summarised </w:t>
      </w:r>
      <w:r>
        <w:t xml:space="preserve">in </w:t>
      </w:r>
      <w:r>
        <w:fldChar w:fldCharType="begin"/>
      </w:r>
      <w:r>
        <w:instrText xml:space="preserve"> REF _Ref140749361 \h </w:instrText>
      </w:r>
      <w:r>
        <w:fldChar w:fldCharType="separate"/>
      </w:r>
      <w:r w:rsidR="0006496E" w:rsidRPr="003D5BAE">
        <w:t xml:space="preserve">Table </w:t>
      </w:r>
      <w:r w:rsidR="0006496E">
        <w:rPr>
          <w:noProof/>
        </w:rPr>
        <w:t>7</w:t>
      </w:r>
      <w:r>
        <w:fldChar w:fldCharType="end"/>
      </w:r>
      <w:r w:rsidRPr="000E5A5D">
        <w:t>. At the DCO</w:t>
      </w:r>
      <w:r>
        <w:t xml:space="preserve"> of 8 October 2020</w:t>
      </w:r>
      <w:r w:rsidRPr="000E5A5D">
        <w:t xml:space="preserve">, the response was ongoing </w:t>
      </w:r>
      <w:r w:rsidRPr="007D31C1">
        <w:t>for 13 responders.</w:t>
      </w:r>
    </w:p>
    <w:p w14:paraId="69C3810A" w14:textId="3BDC3BFA" w:rsidR="00C83C50" w:rsidRDefault="00C83C50" w:rsidP="003D5BAE">
      <w:pPr>
        <w:pStyle w:val="TableTitle"/>
      </w:pPr>
      <w:bookmarkStart w:id="96" w:name="_Ref140749361"/>
      <w:r w:rsidRPr="003D5BAE">
        <w:lastRenderedPageBreak/>
        <w:t xml:space="preserve">Table </w:t>
      </w:r>
      <w:r w:rsidR="00C3481D">
        <w:fldChar w:fldCharType="begin"/>
      </w:r>
      <w:r w:rsidR="00C3481D">
        <w:instrText xml:space="preserve"> SEQ Table \* ARABIC </w:instrText>
      </w:r>
      <w:r w:rsidR="00C3481D">
        <w:fldChar w:fldCharType="separate"/>
      </w:r>
      <w:r w:rsidR="0006496E">
        <w:rPr>
          <w:noProof/>
        </w:rPr>
        <w:t>7</w:t>
      </w:r>
      <w:r w:rsidR="00C3481D">
        <w:rPr>
          <w:noProof/>
        </w:rPr>
        <w:fldChar w:fldCharType="end"/>
      </w:r>
      <w:bookmarkEnd w:id="96"/>
      <w:r w:rsidRPr="003D5BAE">
        <w:t xml:space="preserve">: </w:t>
      </w:r>
      <w:r w:rsidRPr="007D31C1">
        <w:t>Results</w:t>
      </w:r>
      <w:r>
        <w:t xml:space="preserve"> of CHRYSALIS</w:t>
      </w:r>
      <w:r w:rsidRPr="007D31C1">
        <w:t xml:space="preserve"> per </w:t>
      </w:r>
      <w:r>
        <w:t>blinded independent central review</w:t>
      </w:r>
      <w:r w:rsidRPr="007D31C1">
        <w:t xml:space="preserve"> </w:t>
      </w:r>
      <w:r>
        <w:t xml:space="preserve">in the </w:t>
      </w:r>
      <w:r w:rsidRPr="009F0D29">
        <w:t>primary efficacy population</w:t>
      </w:r>
      <w:r>
        <w:t xml:space="preserve"> [DCO 8 OCT 2020]</w:t>
      </w:r>
    </w:p>
    <w:tbl>
      <w:tblPr>
        <w:tblStyle w:val="TableTGAblue"/>
        <w:tblW w:w="9062" w:type="dxa"/>
        <w:tblLook w:val="04A0" w:firstRow="1" w:lastRow="0" w:firstColumn="1" w:lastColumn="0" w:noHBand="0" w:noVBand="1"/>
      </w:tblPr>
      <w:tblGrid>
        <w:gridCol w:w="5519"/>
        <w:gridCol w:w="3543"/>
      </w:tblGrid>
      <w:tr w:rsidR="00C83C50" w:rsidRPr="00AF5970" w14:paraId="2DA179AF" w14:textId="77777777" w:rsidTr="003364BB">
        <w:trPr>
          <w:cnfStyle w:val="100000000000" w:firstRow="1" w:lastRow="0" w:firstColumn="0" w:lastColumn="0" w:oddVBand="0" w:evenVBand="0" w:oddHBand="0" w:evenHBand="0" w:firstRowFirstColumn="0" w:firstRowLastColumn="0" w:lastRowFirstColumn="0" w:lastRowLastColumn="0"/>
          <w:cantSplit/>
        </w:trPr>
        <w:tc>
          <w:tcPr>
            <w:tcW w:w="5519" w:type="dxa"/>
          </w:tcPr>
          <w:p w14:paraId="7A7C84FB" w14:textId="77777777" w:rsidR="00C83C50" w:rsidRPr="00481295" w:rsidRDefault="00C83C50" w:rsidP="003364BB">
            <w:pPr>
              <w:pStyle w:val="Tabletext0"/>
              <w:ind w:left="0" w:right="0"/>
              <w:rPr>
                <w:rFonts w:asciiTheme="minorHAnsi" w:hAnsiTheme="minorHAnsi"/>
                <w:szCs w:val="19"/>
              </w:rPr>
            </w:pPr>
          </w:p>
        </w:tc>
        <w:tc>
          <w:tcPr>
            <w:tcW w:w="3543" w:type="dxa"/>
          </w:tcPr>
          <w:p w14:paraId="16067943" w14:textId="77777777" w:rsidR="00C83C50" w:rsidRPr="00481295" w:rsidRDefault="00C83C50" w:rsidP="003364BB">
            <w:pPr>
              <w:pStyle w:val="Tabletext0"/>
              <w:ind w:left="0" w:right="0"/>
              <w:jc w:val="center"/>
              <w:rPr>
                <w:b w:val="0"/>
              </w:rPr>
            </w:pPr>
            <w:proofErr w:type="spellStart"/>
            <w:r w:rsidRPr="00481295">
              <w:t>Amivantamab</w:t>
            </w:r>
            <w:proofErr w:type="spellEnd"/>
            <w:r w:rsidRPr="00481295">
              <w:t xml:space="preserve"> </w:t>
            </w:r>
          </w:p>
          <w:p w14:paraId="1166BE5C" w14:textId="77777777" w:rsidR="00C83C50" w:rsidRPr="00481295" w:rsidRDefault="00C83C50" w:rsidP="003364BB">
            <w:pPr>
              <w:pStyle w:val="Tabletext0"/>
              <w:ind w:left="0" w:right="0"/>
              <w:jc w:val="center"/>
              <w:rPr>
                <w:rFonts w:asciiTheme="minorHAnsi" w:hAnsiTheme="minorHAnsi"/>
                <w:szCs w:val="19"/>
              </w:rPr>
            </w:pPr>
            <w:r w:rsidRPr="00481295">
              <w:t>(n=81)</w:t>
            </w:r>
          </w:p>
        </w:tc>
      </w:tr>
      <w:tr w:rsidR="00C83C50" w:rsidRPr="00AF5970" w14:paraId="130D40E9" w14:textId="77777777" w:rsidTr="003364BB">
        <w:trPr>
          <w:cantSplit/>
          <w:trHeight w:val="227"/>
        </w:trPr>
        <w:tc>
          <w:tcPr>
            <w:tcW w:w="9062" w:type="dxa"/>
            <w:gridSpan w:val="2"/>
            <w:shd w:val="clear" w:color="auto" w:fill="D9D9D9" w:themeFill="background1" w:themeFillShade="D9"/>
          </w:tcPr>
          <w:p w14:paraId="26C5F323" w14:textId="77777777" w:rsidR="00C83C50" w:rsidRPr="00481295" w:rsidRDefault="00C83C50" w:rsidP="003364BB">
            <w:pPr>
              <w:pStyle w:val="Tabletext0"/>
              <w:keepNext/>
              <w:ind w:left="0" w:right="0"/>
              <w:rPr>
                <w:rFonts w:asciiTheme="minorHAnsi" w:hAnsiTheme="minorHAnsi"/>
                <w:color w:val="auto"/>
                <w:szCs w:val="19"/>
              </w:rPr>
            </w:pPr>
            <w:r w:rsidRPr="00481295">
              <w:rPr>
                <w:rFonts w:asciiTheme="minorHAnsi" w:hAnsiTheme="minorHAnsi"/>
                <w:color w:val="auto"/>
                <w:szCs w:val="19"/>
              </w:rPr>
              <w:t>ORR</w:t>
            </w:r>
            <w:r>
              <w:rPr>
                <w:rFonts w:asciiTheme="minorHAnsi" w:hAnsiTheme="minorHAnsi"/>
                <w:color w:val="auto"/>
                <w:szCs w:val="19"/>
              </w:rPr>
              <w:t>*</w:t>
            </w:r>
          </w:p>
        </w:tc>
      </w:tr>
      <w:tr w:rsidR="00C83C50" w:rsidRPr="00AF5970" w14:paraId="4D34E671" w14:textId="77777777" w:rsidTr="003364BB">
        <w:trPr>
          <w:cantSplit/>
          <w:trHeight w:val="227"/>
        </w:trPr>
        <w:tc>
          <w:tcPr>
            <w:tcW w:w="5519" w:type="dxa"/>
          </w:tcPr>
          <w:p w14:paraId="7E7FF126" w14:textId="77777777" w:rsidR="00C83C50" w:rsidRPr="00481295" w:rsidRDefault="00C83C50" w:rsidP="003364BB">
            <w:pPr>
              <w:pStyle w:val="Tabletext0"/>
              <w:keepNext/>
              <w:ind w:left="0" w:right="0"/>
              <w:rPr>
                <w:rFonts w:asciiTheme="minorHAnsi" w:hAnsiTheme="minorHAnsi"/>
                <w:color w:val="auto"/>
                <w:szCs w:val="19"/>
              </w:rPr>
            </w:pPr>
            <w:r w:rsidRPr="00481295">
              <w:rPr>
                <w:rFonts w:asciiTheme="minorHAnsi" w:hAnsiTheme="minorHAnsi"/>
                <w:color w:val="auto"/>
                <w:szCs w:val="19"/>
              </w:rPr>
              <w:t>ORR, % (95% CI)</w:t>
            </w:r>
          </w:p>
        </w:tc>
        <w:tc>
          <w:tcPr>
            <w:tcW w:w="3543" w:type="dxa"/>
          </w:tcPr>
          <w:p w14:paraId="0D533C17" w14:textId="77777777" w:rsidR="00C83C50" w:rsidRPr="00481295" w:rsidRDefault="00C83C50" w:rsidP="003364BB">
            <w:pPr>
              <w:pStyle w:val="Tabletext0"/>
              <w:keepNext/>
              <w:ind w:left="0" w:right="0"/>
              <w:jc w:val="center"/>
              <w:rPr>
                <w:rFonts w:asciiTheme="minorHAnsi" w:hAnsiTheme="minorHAnsi"/>
                <w:color w:val="auto"/>
                <w:szCs w:val="19"/>
              </w:rPr>
            </w:pPr>
            <w:r>
              <w:rPr>
                <w:rFonts w:asciiTheme="minorHAnsi" w:hAnsiTheme="minorHAnsi"/>
                <w:color w:val="auto"/>
                <w:szCs w:val="19"/>
              </w:rPr>
              <w:t>40</w:t>
            </w:r>
            <w:r w:rsidRPr="00481295">
              <w:rPr>
                <w:rFonts w:asciiTheme="minorHAnsi" w:hAnsiTheme="minorHAnsi"/>
                <w:color w:val="auto"/>
                <w:szCs w:val="19"/>
              </w:rPr>
              <w:t xml:space="preserve"> </w:t>
            </w:r>
            <w:r>
              <w:rPr>
                <w:rFonts w:asciiTheme="minorHAnsi" w:hAnsiTheme="minorHAnsi"/>
                <w:color w:val="auto"/>
                <w:szCs w:val="19"/>
              </w:rPr>
              <w:t>(29, 51)</w:t>
            </w:r>
          </w:p>
        </w:tc>
      </w:tr>
      <w:tr w:rsidR="00C83C50" w:rsidRPr="00AF5970" w14:paraId="0E63BDF2" w14:textId="77777777" w:rsidTr="003364BB">
        <w:trPr>
          <w:cantSplit/>
          <w:trHeight w:val="227"/>
        </w:trPr>
        <w:tc>
          <w:tcPr>
            <w:tcW w:w="5519" w:type="dxa"/>
          </w:tcPr>
          <w:p w14:paraId="01795DB6" w14:textId="77777777" w:rsidR="00C83C50" w:rsidRPr="00481295" w:rsidRDefault="00C83C50" w:rsidP="003364BB">
            <w:pPr>
              <w:pStyle w:val="Tabletext0"/>
              <w:keepNext/>
              <w:ind w:left="0" w:right="0"/>
              <w:jc w:val="right"/>
              <w:rPr>
                <w:rFonts w:asciiTheme="minorHAnsi" w:hAnsiTheme="minorHAnsi"/>
                <w:i/>
                <w:iCs/>
                <w:color w:val="auto"/>
                <w:szCs w:val="19"/>
              </w:rPr>
            </w:pPr>
            <w:r w:rsidRPr="00481295">
              <w:rPr>
                <w:rFonts w:asciiTheme="minorHAnsi" w:hAnsiTheme="minorHAnsi"/>
                <w:i/>
                <w:iCs/>
                <w:color w:val="auto"/>
                <w:szCs w:val="19"/>
              </w:rPr>
              <w:t>Complete response (CR), n (%)</w:t>
            </w:r>
          </w:p>
        </w:tc>
        <w:tc>
          <w:tcPr>
            <w:tcW w:w="3543" w:type="dxa"/>
          </w:tcPr>
          <w:p w14:paraId="280CCEBC" w14:textId="77777777" w:rsidR="00C83C50" w:rsidRPr="00481295" w:rsidRDefault="00C83C50" w:rsidP="003364BB">
            <w:pPr>
              <w:pStyle w:val="Tabletext0"/>
              <w:keepNext/>
              <w:ind w:left="0" w:right="0"/>
              <w:jc w:val="center"/>
              <w:rPr>
                <w:rFonts w:asciiTheme="minorHAnsi" w:hAnsiTheme="minorHAnsi"/>
                <w:i/>
                <w:iCs/>
                <w:color w:val="auto"/>
                <w:szCs w:val="19"/>
              </w:rPr>
            </w:pPr>
            <w:r>
              <w:rPr>
                <w:rFonts w:asciiTheme="minorHAnsi" w:hAnsiTheme="minorHAnsi"/>
                <w:i/>
                <w:iCs/>
                <w:color w:val="auto"/>
                <w:szCs w:val="19"/>
              </w:rPr>
              <w:t>3 (3.7)</w:t>
            </w:r>
          </w:p>
        </w:tc>
      </w:tr>
      <w:tr w:rsidR="00C83C50" w:rsidRPr="00AF5970" w14:paraId="250B1CCA" w14:textId="77777777" w:rsidTr="003364BB">
        <w:trPr>
          <w:cantSplit/>
          <w:trHeight w:val="227"/>
        </w:trPr>
        <w:tc>
          <w:tcPr>
            <w:tcW w:w="5519" w:type="dxa"/>
          </w:tcPr>
          <w:p w14:paraId="237A9C02" w14:textId="77777777" w:rsidR="00C83C50" w:rsidRPr="00481295" w:rsidRDefault="00C83C50" w:rsidP="003364BB">
            <w:pPr>
              <w:pStyle w:val="Tabletext0"/>
              <w:keepNext/>
              <w:ind w:left="0" w:right="0"/>
              <w:jc w:val="right"/>
              <w:rPr>
                <w:rFonts w:asciiTheme="minorHAnsi" w:hAnsiTheme="minorHAnsi"/>
                <w:i/>
                <w:iCs/>
                <w:color w:val="auto"/>
                <w:szCs w:val="19"/>
              </w:rPr>
            </w:pPr>
            <w:r w:rsidRPr="00481295">
              <w:rPr>
                <w:rFonts w:asciiTheme="minorHAnsi" w:hAnsiTheme="minorHAnsi"/>
                <w:i/>
                <w:iCs/>
                <w:color w:val="auto"/>
                <w:szCs w:val="19"/>
              </w:rPr>
              <w:t>Partial response (PR), n (%)</w:t>
            </w:r>
          </w:p>
        </w:tc>
        <w:tc>
          <w:tcPr>
            <w:tcW w:w="3543" w:type="dxa"/>
          </w:tcPr>
          <w:p w14:paraId="31BFC591" w14:textId="77777777" w:rsidR="00C83C50" w:rsidRPr="00481295" w:rsidRDefault="00C83C50" w:rsidP="003364BB">
            <w:pPr>
              <w:pStyle w:val="Tabletext0"/>
              <w:keepNext/>
              <w:ind w:left="0" w:right="0"/>
              <w:jc w:val="center"/>
              <w:rPr>
                <w:rFonts w:asciiTheme="minorHAnsi" w:hAnsiTheme="minorHAnsi"/>
                <w:i/>
                <w:iCs/>
                <w:color w:val="auto"/>
                <w:szCs w:val="19"/>
              </w:rPr>
            </w:pPr>
            <w:r>
              <w:rPr>
                <w:rFonts w:asciiTheme="minorHAnsi" w:hAnsiTheme="minorHAnsi"/>
                <w:i/>
                <w:iCs/>
                <w:color w:val="auto"/>
                <w:szCs w:val="19"/>
              </w:rPr>
              <w:t>29</w:t>
            </w:r>
            <w:r w:rsidRPr="00481295">
              <w:rPr>
                <w:rFonts w:asciiTheme="minorHAnsi" w:hAnsiTheme="minorHAnsi"/>
                <w:i/>
                <w:iCs/>
                <w:color w:val="auto"/>
                <w:szCs w:val="19"/>
              </w:rPr>
              <w:t xml:space="preserve"> (</w:t>
            </w:r>
            <w:r>
              <w:rPr>
                <w:rFonts w:asciiTheme="minorHAnsi" w:hAnsiTheme="minorHAnsi"/>
                <w:i/>
                <w:iCs/>
                <w:color w:val="auto"/>
                <w:szCs w:val="19"/>
              </w:rPr>
              <w:t>36</w:t>
            </w:r>
            <w:r w:rsidRPr="00481295">
              <w:rPr>
                <w:rFonts w:asciiTheme="minorHAnsi" w:hAnsiTheme="minorHAnsi"/>
                <w:i/>
                <w:iCs/>
                <w:color w:val="auto"/>
                <w:szCs w:val="19"/>
              </w:rPr>
              <w:t>)</w:t>
            </w:r>
          </w:p>
        </w:tc>
      </w:tr>
      <w:tr w:rsidR="00C83C50" w:rsidRPr="00AF5970" w14:paraId="20459798" w14:textId="77777777" w:rsidTr="003364BB">
        <w:trPr>
          <w:cantSplit/>
          <w:trHeight w:val="227"/>
        </w:trPr>
        <w:tc>
          <w:tcPr>
            <w:tcW w:w="5519" w:type="dxa"/>
          </w:tcPr>
          <w:p w14:paraId="365C29B1" w14:textId="77777777" w:rsidR="00C83C50" w:rsidRPr="00481295" w:rsidRDefault="00C83C50" w:rsidP="003364BB">
            <w:pPr>
              <w:pStyle w:val="Tabletext0"/>
              <w:keepNext/>
              <w:ind w:left="0" w:right="0"/>
              <w:jc w:val="right"/>
              <w:rPr>
                <w:rFonts w:asciiTheme="minorHAnsi" w:hAnsiTheme="minorHAnsi"/>
                <w:i/>
                <w:iCs/>
                <w:color w:val="auto"/>
                <w:szCs w:val="19"/>
              </w:rPr>
            </w:pPr>
            <w:r w:rsidRPr="00481295">
              <w:rPr>
                <w:rFonts w:asciiTheme="minorHAnsi" w:hAnsiTheme="minorHAnsi"/>
                <w:i/>
                <w:iCs/>
                <w:color w:val="auto"/>
                <w:szCs w:val="19"/>
              </w:rPr>
              <w:t>Stable disease (SD), n (%)</w:t>
            </w:r>
          </w:p>
        </w:tc>
        <w:tc>
          <w:tcPr>
            <w:tcW w:w="3543" w:type="dxa"/>
          </w:tcPr>
          <w:p w14:paraId="08B84542" w14:textId="77777777" w:rsidR="00C83C50" w:rsidRPr="00481295" w:rsidRDefault="00C83C50" w:rsidP="003364BB">
            <w:pPr>
              <w:pStyle w:val="Tabletext0"/>
              <w:keepNext/>
              <w:ind w:left="0" w:right="0"/>
              <w:jc w:val="center"/>
              <w:rPr>
                <w:rFonts w:asciiTheme="minorHAnsi" w:hAnsiTheme="minorHAnsi"/>
                <w:i/>
                <w:iCs/>
                <w:color w:val="auto"/>
                <w:szCs w:val="19"/>
              </w:rPr>
            </w:pPr>
            <w:r>
              <w:rPr>
                <w:rFonts w:asciiTheme="minorHAnsi" w:hAnsiTheme="minorHAnsi"/>
                <w:i/>
                <w:iCs/>
                <w:color w:val="auto"/>
                <w:szCs w:val="19"/>
              </w:rPr>
              <w:t>39 (48)</w:t>
            </w:r>
          </w:p>
        </w:tc>
      </w:tr>
      <w:tr w:rsidR="00C83C50" w:rsidRPr="00AF5970" w14:paraId="44ADA83E" w14:textId="77777777" w:rsidTr="003364BB">
        <w:trPr>
          <w:cantSplit/>
          <w:trHeight w:val="227"/>
        </w:trPr>
        <w:tc>
          <w:tcPr>
            <w:tcW w:w="5519" w:type="dxa"/>
          </w:tcPr>
          <w:p w14:paraId="28D578EA" w14:textId="77777777" w:rsidR="00C83C50" w:rsidRPr="00481295" w:rsidRDefault="00C83C50" w:rsidP="003364BB">
            <w:pPr>
              <w:pStyle w:val="Tabletext0"/>
              <w:keepNext/>
              <w:ind w:left="0" w:right="0"/>
              <w:jc w:val="right"/>
              <w:rPr>
                <w:rFonts w:asciiTheme="minorHAnsi" w:hAnsiTheme="minorHAnsi"/>
                <w:i/>
                <w:iCs/>
                <w:color w:val="auto"/>
                <w:szCs w:val="19"/>
              </w:rPr>
            </w:pPr>
            <w:r w:rsidRPr="00481295">
              <w:rPr>
                <w:rFonts w:asciiTheme="minorHAnsi" w:hAnsiTheme="minorHAnsi"/>
                <w:i/>
                <w:iCs/>
                <w:color w:val="auto"/>
                <w:szCs w:val="19"/>
              </w:rPr>
              <w:t>Progressive disease (PD), n (%)</w:t>
            </w:r>
          </w:p>
        </w:tc>
        <w:tc>
          <w:tcPr>
            <w:tcW w:w="3543" w:type="dxa"/>
          </w:tcPr>
          <w:p w14:paraId="208C628E" w14:textId="77777777" w:rsidR="00C83C50" w:rsidRPr="00481295" w:rsidRDefault="00C83C50" w:rsidP="003364BB">
            <w:pPr>
              <w:pStyle w:val="Tabletext0"/>
              <w:keepNext/>
              <w:ind w:left="0" w:right="0"/>
              <w:jc w:val="center"/>
              <w:rPr>
                <w:rFonts w:asciiTheme="minorHAnsi" w:hAnsiTheme="minorHAnsi"/>
                <w:i/>
                <w:iCs/>
                <w:color w:val="auto"/>
                <w:szCs w:val="19"/>
              </w:rPr>
            </w:pPr>
            <w:r>
              <w:rPr>
                <w:rFonts w:asciiTheme="minorHAnsi" w:hAnsiTheme="minorHAnsi"/>
                <w:i/>
                <w:iCs/>
                <w:color w:val="auto"/>
                <w:szCs w:val="19"/>
              </w:rPr>
              <w:t>8 (9.9)</w:t>
            </w:r>
          </w:p>
        </w:tc>
      </w:tr>
      <w:tr w:rsidR="00C83C50" w:rsidRPr="00AF5970" w14:paraId="3285D8D2" w14:textId="77777777" w:rsidTr="003364BB">
        <w:trPr>
          <w:cantSplit/>
          <w:trHeight w:val="227"/>
        </w:trPr>
        <w:tc>
          <w:tcPr>
            <w:tcW w:w="5519" w:type="dxa"/>
          </w:tcPr>
          <w:p w14:paraId="551C3760" w14:textId="77777777" w:rsidR="00C83C50" w:rsidRPr="00481295" w:rsidRDefault="00C83C50" w:rsidP="003364BB">
            <w:pPr>
              <w:pStyle w:val="Tabletext0"/>
              <w:keepNext/>
              <w:ind w:left="0" w:right="0"/>
              <w:jc w:val="right"/>
              <w:rPr>
                <w:rFonts w:asciiTheme="minorHAnsi" w:hAnsiTheme="minorHAnsi"/>
                <w:i/>
                <w:iCs/>
                <w:color w:val="auto"/>
                <w:szCs w:val="19"/>
              </w:rPr>
            </w:pPr>
            <w:r w:rsidRPr="00481295">
              <w:rPr>
                <w:rFonts w:asciiTheme="minorHAnsi" w:hAnsiTheme="minorHAnsi"/>
                <w:i/>
                <w:iCs/>
                <w:color w:val="auto"/>
                <w:szCs w:val="19"/>
              </w:rPr>
              <w:t>Not evaluable (NE), n (%)</w:t>
            </w:r>
          </w:p>
        </w:tc>
        <w:tc>
          <w:tcPr>
            <w:tcW w:w="3543" w:type="dxa"/>
          </w:tcPr>
          <w:p w14:paraId="36854A72" w14:textId="77777777" w:rsidR="00C83C50" w:rsidRPr="00481295" w:rsidRDefault="00C83C50" w:rsidP="003364BB">
            <w:pPr>
              <w:pStyle w:val="Tabletext0"/>
              <w:keepNext/>
              <w:ind w:left="0" w:right="0"/>
              <w:jc w:val="center"/>
              <w:rPr>
                <w:rFonts w:asciiTheme="minorHAnsi" w:hAnsiTheme="minorHAnsi"/>
                <w:i/>
                <w:iCs/>
                <w:color w:val="auto"/>
                <w:szCs w:val="19"/>
              </w:rPr>
            </w:pPr>
            <w:r>
              <w:rPr>
                <w:rFonts w:asciiTheme="minorHAnsi" w:hAnsiTheme="minorHAnsi"/>
                <w:i/>
                <w:iCs/>
                <w:color w:val="auto"/>
                <w:szCs w:val="19"/>
              </w:rPr>
              <w:t>2 (2.5)</w:t>
            </w:r>
          </w:p>
        </w:tc>
      </w:tr>
      <w:tr w:rsidR="00C83C50" w:rsidRPr="00AF5970" w14:paraId="32A99CDE" w14:textId="77777777" w:rsidTr="003364BB">
        <w:trPr>
          <w:cantSplit/>
          <w:trHeight w:val="227"/>
        </w:trPr>
        <w:tc>
          <w:tcPr>
            <w:tcW w:w="9062" w:type="dxa"/>
            <w:gridSpan w:val="2"/>
            <w:shd w:val="clear" w:color="auto" w:fill="D9D9D9" w:themeFill="background1" w:themeFillShade="D9"/>
          </w:tcPr>
          <w:p w14:paraId="53DBCF39" w14:textId="77777777" w:rsidR="00C83C50" w:rsidRPr="00AF5970" w:rsidRDefault="00C83C50" w:rsidP="003364BB">
            <w:pPr>
              <w:pStyle w:val="Tabletext0"/>
              <w:keepNext/>
              <w:ind w:left="0" w:right="0"/>
              <w:rPr>
                <w:rFonts w:asciiTheme="minorHAnsi" w:hAnsiTheme="minorHAnsi"/>
                <w:color w:val="FF0000"/>
                <w:szCs w:val="19"/>
              </w:rPr>
            </w:pPr>
            <w:r w:rsidRPr="007D31C1">
              <w:rPr>
                <w:rFonts w:asciiTheme="minorHAnsi" w:hAnsiTheme="minorHAnsi"/>
                <w:color w:val="auto"/>
                <w:szCs w:val="19"/>
              </w:rPr>
              <w:t>DOR</w:t>
            </w:r>
            <w:r>
              <w:rPr>
                <w:rFonts w:asciiTheme="minorHAnsi" w:hAnsiTheme="minorHAnsi"/>
                <w:color w:val="auto"/>
                <w:szCs w:val="19"/>
              </w:rPr>
              <w:t>*</w:t>
            </w:r>
          </w:p>
        </w:tc>
      </w:tr>
      <w:tr w:rsidR="00C83C50" w:rsidRPr="00AF5970" w14:paraId="3470CFBB" w14:textId="77777777" w:rsidTr="003364BB">
        <w:trPr>
          <w:cantSplit/>
          <w:trHeight w:val="227"/>
        </w:trPr>
        <w:tc>
          <w:tcPr>
            <w:tcW w:w="5519" w:type="dxa"/>
          </w:tcPr>
          <w:p w14:paraId="2FF3BE5A" w14:textId="77777777" w:rsidR="00C83C50" w:rsidRPr="007D31C1" w:rsidRDefault="00C83C50" w:rsidP="003364BB">
            <w:pPr>
              <w:pStyle w:val="Tabletext0"/>
              <w:keepNext/>
              <w:ind w:left="0" w:right="0"/>
              <w:rPr>
                <w:rFonts w:asciiTheme="minorHAnsi" w:hAnsiTheme="minorHAnsi"/>
                <w:color w:val="auto"/>
                <w:szCs w:val="19"/>
              </w:rPr>
            </w:pPr>
            <w:r w:rsidRPr="007D31C1">
              <w:rPr>
                <w:rFonts w:asciiTheme="minorHAnsi" w:hAnsiTheme="minorHAnsi"/>
                <w:color w:val="auto"/>
                <w:szCs w:val="19"/>
              </w:rPr>
              <w:t>Median duration of responses, months [95% CI]</w:t>
            </w:r>
          </w:p>
        </w:tc>
        <w:tc>
          <w:tcPr>
            <w:tcW w:w="3543" w:type="dxa"/>
          </w:tcPr>
          <w:p w14:paraId="34DA4409" w14:textId="77777777" w:rsidR="00C83C50" w:rsidRPr="007D31C1" w:rsidRDefault="00C83C50" w:rsidP="003364BB">
            <w:pPr>
              <w:pStyle w:val="Tabletext0"/>
              <w:keepNext/>
              <w:ind w:left="0" w:right="0"/>
              <w:jc w:val="center"/>
              <w:rPr>
                <w:rFonts w:asciiTheme="minorHAnsi" w:hAnsiTheme="minorHAnsi"/>
                <w:color w:val="auto"/>
                <w:szCs w:val="19"/>
              </w:rPr>
            </w:pPr>
            <w:r>
              <w:rPr>
                <w:rFonts w:asciiTheme="minorHAnsi" w:hAnsiTheme="minorHAnsi"/>
                <w:color w:val="auto"/>
                <w:szCs w:val="19"/>
              </w:rPr>
              <w:t>11.1 (6.9</w:t>
            </w:r>
            <w:r w:rsidRPr="007D31C1">
              <w:rPr>
                <w:rFonts w:asciiTheme="minorHAnsi" w:hAnsiTheme="minorHAnsi"/>
                <w:color w:val="auto"/>
                <w:szCs w:val="19"/>
              </w:rPr>
              <w:t xml:space="preserve">, </w:t>
            </w:r>
            <w:r>
              <w:rPr>
                <w:rFonts w:asciiTheme="minorHAnsi" w:hAnsiTheme="minorHAnsi"/>
                <w:color w:val="auto"/>
                <w:szCs w:val="19"/>
              </w:rPr>
              <w:t>NE)</w:t>
            </w:r>
          </w:p>
        </w:tc>
      </w:tr>
      <w:tr w:rsidR="00C83C50" w:rsidRPr="00AF5970" w14:paraId="5801DFE2" w14:textId="77777777" w:rsidTr="003364BB">
        <w:trPr>
          <w:cantSplit/>
          <w:trHeight w:val="227"/>
        </w:trPr>
        <w:tc>
          <w:tcPr>
            <w:tcW w:w="5519" w:type="dxa"/>
          </w:tcPr>
          <w:p w14:paraId="66DE1731" w14:textId="77777777" w:rsidR="00C83C50" w:rsidRPr="007D31C1" w:rsidRDefault="00C83C50" w:rsidP="003364BB">
            <w:pPr>
              <w:pStyle w:val="Tabletext0"/>
              <w:keepNext/>
              <w:ind w:left="0" w:right="0"/>
              <w:jc w:val="right"/>
              <w:rPr>
                <w:rFonts w:asciiTheme="minorHAnsi" w:hAnsiTheme="minorHAnsi"/>
                <w:i/>
                <w:iCs/>
                <w:color w:val="auto"/>
                <w:szCs w:val="19"/>
              </w:rPr>
            </w:pPr>
            <w:r w:rsidRPr="007D31C1">
              <w:rPr>
                <w:rFonts w:asciiTheme="minorHAnsi" w:hAnsiTheme="minorHAnsi"/>
                <w:i/>
                <w:iCs/>
                <w:color w:val="auto"/>
                <w:szCs w:val="19"/>
              </w:rPr>
              <w:t xml:space="preserve">Responses </w:t>
            </w:r>
            <w:r w:rsidRPr="007D31C1">
              <w:rPr>
                <w:i/>
                <w:iCs/>
                <w:color w:val="auto"/>
                <w:szCs w:val="19"/>
              </w:rPr>
              <w:t>≥</w:t>
            </w:r>
            <w:r w:rsidRPr="007D31C1">
              <w:rPr>
                <w:rFonts w:asciiTheme="minorHAnsi" w:hAnsiTheme="minorHAnsi"/>
                <w:i/>
                <w:iCs/>
                <w:color w:val="auto"/>
                <w:szCs w:val="19"/>
              </w:rPr>
              <w:t>6 months, n (%)</w:t>
            </w:r>
          </w:p>
        </w:tc>
        <w:tc>
          <w:tcPr>
            <w:tcW w:w="3543" w:type="dxa"/>
          </w:tcPr>
          <w:p w14:paraId="712C9FF8" w14:textId="77777777" w:rsidR="00C83C50" w:rsidRPr="007D31C1" w:rsidRDefault="00C83C50" w:rsidP="003364BB">
            <w:pPr>
              <w:pStyle w:val="Tabletext0"/>
              <w:keepNext/>
              <w:ind w:left="0" w:right="0"/>
              <w:jc w:val="center"/>
              <w:rPr>
                <w:rFonts w:asciiTheme="minorHAnsi" w:hAnsiTheme="minorHAnsi"/>
                <w:i/>
                <w:iCs/>
                <w:color w:val="auto"/>
                <w:szCs w:val="19"/>
              </w:rPr>
            </w:pPr>
            <w:r>
              <w:rPr>
                <w:rFonts w:asciiTheme="minorHAnsi" w:hAnsiTheme="minorHAnsi"/>
                <w:i/>
                <w:iCs/>
                <w:color w:val="auto"/>
                <w:szCs w:val="19"/>
              </w:rPr>
              <w:t>20 (63</w:t>
            </w:r>
            <w:r w:rsidRPr="007D31C1">
              <w:rPr>
                <w:rFonts w:asciiTheme="minorHAnsi" w:hAnsiTheme="minorHAnsi"/>
                <w:i/>
                <w:iCs/>
                <w:color w:val="auto"/>
                <w:szCs w:val="19"/>
              </w:rPr>
              <w:t>)</w:t>
            </w:r>
          </w:p>
        </w:tc>
      </w:tr>
    </w:tbl>
    <w:p w14:paraId="2C4BEE38" w14:textId="77777777" w:rsidR="00C83C50" w:rsidRDefault="00C83C50" w:rsidP="003D5BAE">
      <w:pPr>
        <w:pStyle w:val="TableDescription"/>
      </w:pPr>
      <w:r>
        <w:t>Based on Kaplan-Meier estimates.</w:t>
      </w:r>
      <w:r w:rsidRPr="00AF56E7">
        <w:t xml:space="preserve"> Percentages </w:t>
      </w:r>
      <w:r>
        <w:t xml:space="preserve">are </w:t>
      </w:r>
      <w:r w:rsidRPr="00AF56E7">
        <w:t>rounded to nearest integer unless below 10%.</w:t>
      </w:r>
      <w:r w:rsidRPr="008A649C">
        <w:t xml:space="preserve"> </w:t>
      </w:r>
    </w:p>
    <w:p w14:paraId="77FE93F6" w14:textId="77777777" w:rsidR="00C83C50" w:rsidRDefault="00C83C50" w:rsidP="003D5BAE">
      <w:pPr>
        <w:pStyle w:val="TableDescription"/>
      </w:pPr>
      <w:r w:rsidRPr="007D31C1">
        <w:t>CI = confidence interval; DCO = data cut-off date; DOR = duration of confirmed responses</w:t>
      </w:r>
      <w:r>
        <w:t xml:space="preserve"> </w:t>
      </w:r>
      <w:r w:rsidRPr="00481295">
        <w:t>per RECIST v1.1</w:t>
      </w:r>
      <w:r>
        <w:t xml:space="preserve"> by</w:t>
      </w:r>
      <w:r w:rsidRPr="007D31C1">
        <w:t xml:space="preserve"> blinded independent</w:t>
      </w:r>
      <w:r>
        <w:t xml:space="preserve"> central</w:t>
      </w:r>
      <w:r w:rsidRPr="007D31C1">
        <w:t xml:space="preserve"> review; </w:t>
      </w:r>
      <w:r w:rsidRPr="00481295">
        <w:t xml:space="preserve">ORR = </w:t>
      </w:r>
      <w:r>
        <w:t xml:space="preserve">confirmed </w:t>
      </w:r>
      <w:r w:rsidRPr="00481295">
        <w:t>objective response rate per RECIST v1.1</w:t>
      </w:r>
      <w:r>
        <w:t xml:space="preserve"> by</w:t>
      </w:r>
      <w:r w:rsidRPr="007D31C1">
        <w:t xml:space="preserve"> blinded independent</w:t>
      </w:r>
      <w:r>
        <w:t xml:space="preserve"> central</w:t>
      </w:r>
      <w:r w:rsidRPr="007D31C1">
        <w:t xml:space="preserve"> review</w:t>
      </w:r>
    </w:p>
    <w:p w14:paraId="677CD2EA" w14:textId="77777777" w:rsidR="00C83C50" w:rsidRPr="003D5BAE" w:rsidRDefault="00C83C50" w:rsidP="003D5BAE">
      <w:pPr>
        <w:pStyle w:val="Heading7"/>
      </w:pPr>
      <w:r w:rsidRPr="003D5BAE">
        <w:t xml:space="preserve">Sensitivity and subgroup analyses </w:t>
      </w:r>
    </w:p>
    <w:p w14:paraId="3AB43D2A" w14:textId="77777777" w:rsidR="00C83C50" w:rsidRPr="003D5BAE" w:rsidRDefault="00C83C50" w:rsidP="003D5BAE">
      <w:pPr>
        <w:pStyle w:val="Heading8"/>
      </w:pPr>
      <w:r w:rsidRPr="003D5BAE">
        <w:t>Alternative efficacy cut-offs</w:t>
      </w:r>
    </w:p>
    <w:p w14:paraId="2F9B4C26" w14:textId="37987000" w:rsidR="00C83C50" w:rsidRDefault="00C83C50" w:rsidP="003D5BAE">
      <w:r>
        <w:t xml:space="preserve">At the DCO of 8 October 2020, in an efficacy population that was the same as the primary efficacy population except it included patients who received a first dose of </w:t>
      </w:r>
      <w:proofErr w:type="spellStart"/>
      <w:r>
        <w:t>amivantamab</w:t>
      </w:r>
      <w:proofErr w:type="spellEnd"/>
      <w:r>
        <w:t xml:space="preserve"> </w:t>
      </w:r>
      <w:r w:rsidRPr="003252A2">
        <w:t xml:space="preserve">on or before </w:t>
      </w:r>
      <w:r>
        <w:t>a later date of 4 June</w:t>
      </w:r>
      <w:r w:rsidRPr="003252A2">
        <w:t xml:space="preserve"> 2020</w:t>
      </w:r>
      <w:r>
        <w:t xml:space="preserve"> (an additional 33 patients, for a total n = 114), similar results ORR and DOR results to the primary efficacy analysis were demonstrated. The</w:t>
      </w:r>
      <w:r w:rsidRPr="003252A2">
        <w:t xml:space="preserve"> median duration of follow</w:t>
      </w:r>
      <w:r>
        <w:t xml:space="preserve"> </w:t>
      </w:r>
      <w:r w:rsidRPr="003252A2">
        <w:t xml:space="preserve">up </w:t>
      </w:r>
      <w:r>
        <w:t>was</w:t>
      </w:r>
      <w:r w:rsidRPr="003252A2">
        <w:t xml:space="preserve"> 8.3 months</w:t>
      </w:r>
      <w:r>
        <w:t xml:space="preserve"> for this group.</w:t>
      </w:r>
    </w:p>
    <w:p w14:paraId="73C52A1D" w14:textId="5ABE1707" w:rsidR="00C83C50" w:rsidRDefault="00C83C50" w:rsidP="003D5BAE">
      <w:r>
        <w:t>The ORR and DOR</w:t>
      </w:r>
      <w:r w:rsidRPr="003252A2">
        <w:t xml:space="preserve"> results </w:t>
      </w:r>
      <w:r>
        <w:t>were similar when assessed in the original primary efficacy population at a later DCO (30 March 2021). The median duration of follow up was 14.5 months, ORR was 43% (95% CI: 32, 55), and median DOR was 11 months (95% CI: 6.9, not estimable).</w:t>
      </w:r>
    </w:p>
    <w:p w14:paraId="6DED9258" w14:textId="425D82BD" w:rsidR="00C83C50" w:rsidRPr="00481295" w:rsidRDefault="00C83C50" w:rsidP="003D5BAE">
      <w:r>
        <w:t xml:space="preserve">At the DCO of 30 March 2021, in an efficacy population that was the same as the primary efficacy population except it included patients who received </w:t>
      </w:r>
      <w:proofErr w:type="spellStart"/>
      <w:r>
        <w:t>amivantamab</w:t>
      </w:r>
      <w:proofErr w:type="spellEnd"/>
      <w:r>
        <w:t xml:space="preserve"> at the RP2D and had at least six months </w:t>
      </w:r>
      <w:proofErr w:type="gramStart"/>
      <w:r>
        <w:t>follow</w:t>
      </w:r>
      <w:proofErr w:type="gramEnd"/>
      <w:r>
        <w:t xml:space="preserve"> up available (an additional 43 patients, for a total n = 124), similar results ORR and DOR results to the primary efficacy analysis were demonstrated. The</w:t>
      </w:r>
      <w:r w:rsidRPr="003252A2">
        <w:t xml:space="preserve"> median duration of follow</w:t>
      </w:r>
      <w:r>
        <w:t xml:space="preserve"> </w:t>
      </w:r>
      <w:r w:rsidRPr="003252A2">
        <w:t xml:space="preserve">up </w:t>
      </w:r>
      <w:r>
        <w:t>was</w:t>
      </w:r>
      <w:r w:rsidRPr="003252A2">
        <w:t xml:space="preserve"> </w:t>
      </w:r>
      <w:r>
        <w:t>11.9</w:t>
      </w:r>
      <w:r w:rsidRPr="003252A2">
        <w:t xml:space="preserve"> months</w:t>
      </w:r>
      <w:r>
        <w:t xml:space="preserve">, ORR was 43% (34, 52) and median DOR was </w:t>
      </w:r>
      <w:r w:rsidRPr="00F25F40">
        <w:t>8.7</w:t>
      </w:r>
      <w:r>
        <w:t xml:space="preserve"> months</w:t>
      </w:r>
      <w:r w:rsidRPr="00F25F40">
        <w:t xml:space="preserve"> (95% CI: 5.5, 11.1)</w:t>
      </w:r>
      <w:r>
        <w:t>.</w:t>
      </w:r>
    </w:p>
    <w:p w14:paraId="4E1424E4" w14:textId="77777777" w:rsidR="00C83C50" w:rsidRPr="003D5BAE" w:rsidRDefault="00C83C50" w:rsidP="003D5BAE">
      <w:pPr>
        <w:pStyle w:val="Heading8"/>
      </w:pPr>
      <w:r w:rsidRPr="003D5BAE">
        <w:t>Prespecified subgroups</w:t>
      </w:r>
    </w:p>
    <w:p w14:paraId="75D82075" w14:textId="794BC101" w:rsidR="00C83C50" w:rsidRDefault="00C83C50" w:rsidP="003D5BAE">
      <w:r>
        <w:t xml:space="preserve">Results were consistent across pre-specified subgroups, including age (younger than 65 versus at least 65 years; younger than 75 versus a t least 75 years), sex (male versus female), race (Asian versus </w:t>
      </w:r>
      <w:proofErr w:type="spellStart"/>
      <w:r>
        <w:t>non-Asian</w:t>
      </w:r>
      <w:proofErr w:type="spellEnd"/>
      <w:r>
        <w:t xml:space="preserve">), baseline ECOG (0 versus 1 to 2), history of smoking (yes versus no), and prior immunotherapy (yes versus no). See </w:t>
      </w:r>
      <w:r>
        <w:fldChar w:fldCharType="begin"/>
      </w:r>
      <w:r>
        <w:instrText xml:space="preserve"> REF _Ref140750177 \h </w:instrText>
      </w:r>
      <w:r>
        <w:fldChar w:fldCharType="separate"/>
      </w:r>
      <w:r w:rsidR="0006496E" w:rsidRPr="007F05C8">
        <w:t xml:space="preserve">Figure </w:t>
      </w:r>
      <w:r w:rsidR="0006496E">
        <w:rPr>
          <w:noProof/>
        </w:rPr>
        <w:t>9</w:t>
      </w:r>
      <w:r>
        <w:fldChar w:fldCharType="end"/>
      </w:r>
      <w:r>
        <w:t>.</w:t>
      </w:r>
    </w:p>
    <w:p w14:paraId="2E75F771" w14:textId="28984C8B" w:rsidR="00C83C50" w:rsidRDefault="00C83C50" w:rsidP="007F05C8">
      <w:pPr>
        <w:pStyle w:val="FigureTitle"/>
        <w:keepNext/>
      </w:pPr>
      <w:bookmarkStart w:id="97" w:name="_Ref140750177"/>
      <w:r w:rsidRPr="007F05C8">
        <w:lastRenderedPageBreak/>
        <w:t xml:space="preserve">Figure </w:t>
      </w:r>
      <w:r w:rsidR="00C3481D">
        <w:fldChar w:fldCharType="begin"/>
      </w:r>
      <w:r w:rsidR="00C3481D">
        <w:instrText xml:space="preserve"> SEQ Figure \* ARABIC </w:instrText>
      </w:r>
      <w:r w:rsidR="00C3481D">
        <w:fldChar w:fldCharType="separate"/>
      </w:r>
      <w:r w:rsidR="0006496E">
        <w:rPr>
          <w:noProof/>
        </w:rPr>
        <w:t>9</w:t>
      </w:r>
      <w:r w:rsidR="00C3481D">
        <w:rPr>
          <w:noProof/>
        </w:rPr>
        <w:fldChar w:fldCharType="end"/>
      </w:r>
      <w:bookmarkEnd w:id="97"/>
      <w:r>
        <w:t xml:space="preserve">: Forest plot of objective response rate in the primary efficacy population in CHRYSALIS trial by pre-specified subgroups (Data </w:t>
      </w:r>
      <w:proofErr w:type="spellStart"/>
      <w:r>
        <w:t>cutoff</w:t>
      </w:r>
      <w:proofErr w:type="spellEnd"/>
      <w:r>
        <w:t xml:space="preserve"> 8 October 2020)</w:t>
      </w:r>
    </w:p>
    <w:p w14:paraId="49E089FF" w14:textId="77777777" w:rsidR="00C3481D" w:rsidRDefault="00C83C50" w:rsidP="00C3481D">
      <w:r>
        <w:rPr>
          <w:noProof/>
        </w:rPr>
        <w:drawing>
          <wp:inline distT="0" distB="0" distL="0" distR="0" wp14:anchorId="18FBE2D8" wp14:editId="53E3A5B5">
            <wp:extent cx="4769828" cy="4826442"/>
            <wp:effectExtent l="0" t="0" r="0" b="0"/>
            <wp:docPr id="23" name="Picture 23" descr="Forest plot of objective response rate in the primary efficacy population in CHRYSALIS trial by pre-specified subgroups (Data cutoff 8 Octo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orest plot of objective response rate in the primary efficacy population in CHRYSALIS trial by pre-specified subgroups (Data cutoff 8 October 2020)"/>
                    <pic:cNvPicPr/>
                  </pic:nvPicPr>
                  <pic:blipFill rotWithShape="1">
                    <a:blip r:embed="rId31"/>
                    <a:srcRect l="9148" t="12954" r="2342" b="11300"/>
                    <a:stretch/>
                  </pic:blipFill>
                  <pic:spPr bwMode="auto">
                    <a:xfrm>
                      <a:off x="0" y="0"/>
                      <a:ext cx="4774864" cy="4831537"/>
                    </a:xfrm>
                    <a:prstGeom prst="rect">
                      <a:avLst/>
                    </a:prstGeom>
                    <a:ln>
                      <a:noFill/>
                    </a:ln>
                    <a:extLst>
                      <a:ext uri="{53640926-AAD7-44D8-BBD7-CCE9431645EC}">
                        <a14:shadowObscured xmlns:a14="http://schemas.microsoft.com/office/drawing/2010/main"/>
                      </a:ext>
                    </a:extLst>
                  </pic:spPr>
                </pic:pic>
              </a:graphicData>
            </a:graphic>
          </wp:inline>
        </w:drawing>
      </w:r>
      <w:r w:rsidRPr="007F05C8">
        <w:t xml:space="preserve"> </w:t>
      </w:r>
    </w:p>
    <w:p w14:paraId="2BFDF4DB" w14:textId="6A8D4D6F" w:rsidR="00C83C50" w:rsidRDefault="00C83C50" w:rsidP="00C3481D">
      <w:r>
        <w:t xml:space="preserve">N = number of patients in subgroup; n = number </w:t>
      </w:r>
      <w:proofErr w:type="gramStart"/>
      <w:r>
        <w:t>of  patients</w:t>
      </w:r>
      <w:proofErr w:type="gramEnd"/>
      <w:r>
        <w:t xml:space="preserve"> in that subgroup with a confirmed complete response (CR) or partial response (PR) per RECIST v1.1; ORR = objective response rate</w:t>
      </w:r>
    </w:p>
    <w:p w14:paraId="48A742CF" w14:textId="0FFE38AB" w:rsidR="00C83C50" w:rsidRPr="007F05C8" w:rsidRDefault="00C83C50" w:rsidP="007F05C8">
      <w:r w:rsidRPr="007F05C8">
        <w:t xml:space="preserve">A lower ORR was seen in patients with body weight </w:t>
      </w:r>
      <w:r>
        <w:t xml:space="preserve">less than </w:t>
      </w:r>
      <w:r w:rsidRPr="007F05C8">
        <w:t xml:space="preserve">80 kg than those weighing 80 kg or more, but more of the heavier patients had a better ECOG performance status of zero, confounding interpretation. For patients with body weight </w:t>
      </w:r>
      <w:r>
        <w:t xml:space="preserve">less than </w:t>
      </w:r>
      <w:r w:rsidRPr="007F05C8">
        <w:t>80 kg, there was a numerically higher ORR with the 1400 mg dose (43% [95%CI: 28, 59]) than the 1050 mg dose (34% [95%CI: 25, 45]), but interpretation is inconclusive due to the limited number of patients who received the 1400 mg dose.</w:t>
      </w:r>
    </w:p>
    <w:p w14:paraId="41C0F58A" w14:textId="77777777" w:rsidR="00C83C50" w:rsidRPr="00C104AA" w:rsidRDefault="00C83C50" w:rsidP="00C104AA">
      <w:pPr>
        <w:pStyle w:val="Heading9"/>
      </w:pPr>
      <w:bookmarkStart w:id="98" w:name="_Ref113962155"/>
      <w:r w:rsidRPr="00C104AA">
        <w:t>Ex20</w:t>
      </w:r>
      <w:bookmarkStart w:id="99" w:name="_Hlk112857561"/>
      <w:r w:rsidRPr="00C104AA">
        <w:t>ins variant subgroups</w:t>
      </w:r>
      <w:bookmarkEnd w:id="98"/>
      <w:bookmarkEnd w:id="99"/>
    </w:p>
    <w:p w14:paraId="2298799D" w14:textId="4F44C939" w:rsidR="00C83C50" w:rsidRPr="00C104AA" w:rsidRDefault="00C83C50" w:rsidP="00C104AA">
      <w:r w:rsidRPr="00C104AA">
        <w:t xml:space="preserve">The presence of </w:t>
      </w:r>
      <w:r w:rsidRPr="00DC56B6">
        <w:rPr>
          <w:i/>
          <w:iCs/>
        </w:rPr>
        <w:t>EGFR</w:t>
      </w:r>
      <w:r w:rsidRPr="00C104AA">
        <w:t xml:space="preserve"> exon 20 insertion mutation was determined by local testing </w:t>
      </w:r>
      <w:r>
        <w:t>either by polymerase chain reaction (PCR) or next generation sequencing (</w:t>
      </w:r>
      <w:r w:rsidRPr="00C104AA">
        <w:t xml:space="preserve">NGS) either of tissue or blood samples, and was centrally tested following enrolment using a central, </w:t>
      </w:r>
      <w:proofErr w:type="gramStart"/>
      <w:r w:rsidRPr="00C104AA">
        <w:t>plasma-based</w:t>
      </w:r>
      <w:proofErr w:type="gramEnd"/>
      <w:r w:rsidRPr="00C104AA">
        <w:t xml:space="preserve"> NGS assay of circulating tumour DNA (</w:t>
      </w:r>
      <w:proofErr w:type="spellStart"/>
      <w:r w:rsidRPr="00C104AA">
        <w:t>ctDNA</w:t>
      </w:r>
      <w:proofErr w:type="spellEnd"/>
      <w:r w:rsidRPr="00C104AA">
        <w:t xml:space="preserve">): the Guardant360 </w:t>
      </w:r>
      <w:proofErr w:type="spellStart"/>
      <w:r w:rsidRPr="00C104AA">
        <w:t>CDx</w:t>
      </w:r>
      <w:proofErr w:type="spellEnd"/>
      <w:r w:rsidRPr="00C104AA">
        <w:t xml:space="preserve"> diagnostic assay. A total of 25 unique </w:t>
      </w:r>
      <w:r w:rsidRPr="00165D19">
        <w:rPr>
          <w:i/>
          <w:iCs/>
        </w:rPr>
        <w:t>EGFR</w:t>
      </w:r>
      <w:r w:rsidRPr="00C104AA">
        <w:t xml:space="preserve"> exon 20 insertion variants occurring at </w:t>
      </w:r>
      <w:r>
        <w:t>eight</w:t>
      </w:r>
      <w:r w:rsidRPr="00C104AA">
        <w:t xml:space="preserve"> different amino acid positions (referred as subtypes) were centrally confirmed in 63 of 81 patients (78%). The remaining 18 patients (22%) had central </w:t>
      </w:r>
      <w:proofErr w:type="spellStart"/>
      <w:r w:rsidRPr="00C104AA">
        <w:t>ctDNA</w:t>
      </w:r>
      <w:proofErr w:type="spellEnd"/>
      <w:r w:rsidRPr="00C104AA">
        <w:t xml:space="preserve"> analyses in which exon 20 insertions were not detected. Local test results for these 18 patients are described under </w:t>
      </w:r>
      <w:r>
        <w:fldChar w:fldCharType="begin"/>
      </w:r>
      <w:r>
        <w:instrText xml:space="preserve"> REF _Ref140750771 \h </w:instrText>
      </w:r>
      <w:r>
        <w:fldChar w:fldCharType="separate"/>
      </w:r>
      <w:r w:rsidR="0006496E" w:rsidRPr="00C104AA">
        <w:t xml:space="preserve">Table </w:t>
      </w:r>
      <w:r w:rsidR="0006496E">
        <w:rPr>
          <w:noProof/>
        </w:rPr>
        <w:t>8</w:t>
      </w:r>
      <w:r>
        <w:fldChar w:fldCharType="end"/>
      </w:r>
      <w:r>
        <w:t xml:space="preserve"> footnote.</w:t>
      </w:r>
    </w:p>
    <w:p w14:paraId="4E7E44A4" w14:textId="22E9D5CA" w:rsidR="00C83C50" w:rsidRPr="00C104AA" w:rsidRDefault="00C83C50" w:rsidP="00C104AA">
      <w:r w:rsidRPr="00C104AA">
        <w:t>Results of an FDA exploratory analysis of ORR by EGFR exon 20 insertion subtype are presented in</w:t>
      </w:r>
      <w:r>
        <w:t xml:space="preserve"> </w:t>
      </w:r>
      <w:r>
        <w:fldChar w:fldCharType="begin"/>
      </w:r>
      <w:r>
        <w:instrText xml:space="preserve"> REF _Ref140750771 \h </w:instrText>
      </w:r>
      <w:r>
        <w:fldChar w:fldCharType="separate"/>
      </w:r>
      <w:r w:rsidR="0006496E" w:rsidRPr="00C104AA">
        <w:t xml:space="preserve">Table </w:t>
      </w:r>
      <w:r w:rsidR="0006496E">
        <w:rPr>
          <w:noProof/>
        </w:rPr>
        <w:t>8</w:t>
      </w:r>
      <w:r>
        <w:fldChar w:fldCharType="end"/>
      </w:r>
      <w:r>
        <w:t>,</w:t>
      </w:r>
      <w:r w:rsidRPr="00C104AA">
        <w:t xml:space="preserve"> adapted from </w:t>
      </w:r>
      <w:r>
        <w:t>‘</w:t>
      </w:r>
      <w:r w:rsidRPr="00C104AA">
        <w:t>Table 11</w:t>
      </w:r>
      <w:r>
        <w:t>’</w:t>
      </w:r>
      <w:r w:rsidRPr="00C104AA">
        <w:t xml:space="preserve"> of the FDA MDR for amivantamab.</w:t>
      </w:r>
      <w:r>
        <w:fldChar w:fldCharType="begin"/>
      </w:r>
      <w:r>
        <w:instrText xml:space="preserve"> NOTEREF _Ref139030832 \f \h </w:instrText>
      </w:r>
      <w:r>
        <w:fldChar w:fldCharType="separate"/>
      </w:r>
      <w:r w:rsidR="0006496E" w:rsidRPr="0006496E">
        <w:rPr>
          <w:rStyle w:val="FootnoteReference"/>
        </w:rPr>
        <w:t>76</w:t>
      </w:r>
      <w:r>
        <w:fldChar w:fldCharType="end"/>
      </w:r>
      <w:r w:rsidRPr="00C104AA">
        <w:t xml:space="preserve"> Responses (</w:t>
      </w:r>
      <w:r>
        <w:t>complete response or partial response)</w:t>
      </w:r>
      <w:r w:rsidRPr="00C104AA">
        <w:t xml:space="preserve"> were observed across all </w:t>
      </w:r>
      <w:r w:rsidRPr="00165D19">
        <w:rPr>
          <w:i/>
          <w:iCs/>
        </w:rPr>
        <w:t>EGFR</w:t>
      </w:r>
      <w:r w:rsidRPr="00C104AA">
        <w:t xml:space="preserve"> exon 20 insertion subtypes except </w:t>
      </w:r>
      <w:r w:rsidRPr="00C104AA">
        <w:lastRenderedPageBreak/>
        <w:t xml:space="preserve">for V769, which only occurred in one patient based on </w:t>
      </w:r>
      <w:proofErr w:type="spellStart"/>
      <w:r w:rsidRPr="00C104AA">
        <w:t>ctDNA</w:t>
      </w:r>
      <w:proofErr w:type="spellEnd"/>
      <w:r w:rsidRPr="00C104AA">
        <w:t xml:space="preserve"> results. However, a patient with a V769 insertion subtype based on local test results (</w:t>
      </w:r>
      <w:proofErr w:type="spellStart"/>
      <w:r w:rsidRPr="00C104AA">
        <w:t>unkown</w:t>
      </w:r>
      <w:proofErr w:type="spellEnd"/>
      <w:r w:rsidRPr="00C104AA">
        <w:t xml:space="preserve"> status based on central </w:t>
      </w:r>
      <w:proofErr w:type="spellStart"/>
      <w:r w:rsidRPr="00C104AA">
        <w:t>ctDNA</w:t>
      </w:r>
      <w:proofErr w:type="spellEnd"/>
      <w:r w:rsidRPr="00C104AA">
        <w:t xml:space="preserve">) achieved a </w:t>
      </w:r>
      <w:r>
        <w:t>complete response</w:t>
      </w:r>
      <w:r w:rsidRPr="00C104AA">
        <w:t>. Although treatment responses were observed across subtypes, small sample sizes preclude a definitive conclusion regarding variability in treatment response by insertion subtype.</w:t>
      </w:r>
    </w:p>
    <w:p w14:paraId="3A089456" w14:textId="1C43BDA1" w:rsidR="00C83C50" w:rsidRDefault="00C83C50" w:rsidP="00C104AA">
      <w:pPr>
        <w:pStyle w:val="TableTitle"/>
      </w:pPr>
      <w:bookmarkStart w:id="100" w:name="_Ref140750771"/>
      <w:r w:rsidRPr="00C104AA">
        <w:t xml:space="preserve">Table </w:t>
      </w:r>
      <w:r w:rsidR="00C3481D">
        <w:fldChar w:fldCharType="begin"/>
      </w:r>
      <w:r w:rsidR="00C3481D">
        <w:instrText xml:space="preserve"> SEQ Table \* ARABIC </w:instrText>
      </w:r>
      <w:r w:rsidR="00C3481D">
        <w:fldChar w:fldCharType="separate"/>
      </w:r>
      <w:r w:rsidR="0006496E">
        <w:rPr>
          <w:noProof/>
        </w:rPr>
        <w:t>8</w:t>
      </w:r>
      <w:r w:rsidR="00C3481D">
        <w:rPr>
          <w:noProof/>
        </w:rPr>
        <w:fldChar w:fldCharType="end"/>
      </w:r>
      <w:bookmarkEnd w:id="100"/>
      <w:r>
        <w:t>: Objective respon</w:t>
      </w:r>
      <w:r w:rsidR="00543645">
        <w:t>se</w:t>
      </w:r>
      <w:r>
        <w:t xml:space="preserve"> rate</w:t>
      </w:r>
      <w:r w:rsidRPr="00C104AA">
        <w:t xml:space="preserve"> by </w:t>
      </w:r>
      <w:r w:rsidRPr="00165D19">
        <w:rPr>
          <w:i/>
          <w:iCs/>
        </w:rPr>
        <w:t>epidermal growth factor receptor</w:t>
      </w:r>
      <w:r w:rsidRPr="00C104AA">
        <w:t xml:space="preserve"> ex20ins mutation subtype in the primary efficacy population in CHRYSALIS</w:t>
      </w:r>
      <w:r>
        <w:t xml:space="preserve"> trial</w:t>
      </w:r>
      <w:r w:rsidRPr="00C104AA">
        <w:t xml:space="preserve"> (n</w:t>
      </w:r>
      <w:r>
        <w:t xml:space="preserve"> </w:t>
      </w:r>
      <w:r w:rsidRPr="00C104AA">
        <w:t>=</w:t>
      </w:r>
      <w:r>
        <w:t xml:space="preserve"> </w:t>
      </w:r>
      <w:r w:rsidRPr="00C104AA">
        <w:t xml:space="preserve">81) at </w:t>
      </w:r>
      <w:r>
        <w:t xml:space="preserve">data </w:t>
      </w:r>
      <w:proofErr w:type="spellStart"/>
      <w:r>
        <w:t>cutoff</w:t>
      </w:r>
      <w:proofErr w:type="spellEnd"/>
      <w:r w:rsidRPr="00C104AA">
        <w:t xml:space="preserve"> 8 </w:t>
      </w:r>
      <w:r>
        <w:t>October</w:t>
      </w:r>
      <w:r w:rsidRPr="00C104AA">
        <w:t xml:space="preserve"> 2020.</w:t>
      </w:r>
    </w:p>
    <w:tbl>
      <w:tblPr>
        <w:tblStyle w:val="TableTGAblue"/>
        <w:tblW w:w="9351" w:type="dxa"/>
        <w:tblLayout w:type="fixed"/>
        <w:tblCellMar>
          <w:left w:w="57" w:type="dxa"/>
          <w:right w:w="57" w:type="dxa"/>
        </w:tblCellMar>
        <w:tblLook w:val="01E0" w:firstRow="1" w:lastRow="1" w:firstColumn="1" w:lastColumn="1" w:noHBand="0" w:noVBand="0"/>
      </w:tblPr>
      <w:tblGrid>
        <w:gridCol w:w="1975"/>
        <w:gridCol w:w="2722"/>
        <w:gridCol w:w="1105"/>
        <w:gridCol w:w="3549"/>
      </w:tblGrid>
      <w:tr w:rsidR="00C83C50" w14:paraId="0749F755" w14:textId="77777777" w:rsidTr="003364BB">
        <w:trPr>
          <w:cnfStyle w:val="100000000000" w:firstRow="1" w:lastRow="0" w:firstColumn="0" w:lastColumn="0" w:oddVBand="0" w:evenVBand="0" w:oddHBand="0" w:evenHBand="0" w:firstRowFirstColumn="0" w:firstRowLastColumn="0" w:lastRowFirstColumn="0" w:lastRowLastColumn="0"/>
          <w:trHeight w:val="20"/>
        </w:trPr>
        <w:tc>
          <w:tcPr>
            <w:tcW w:w="1975" w:type="dxa"/>
          </w:tcPr>
          <w:p w14:paraId="6D5E9160" w14:textId="77777777" w:rsidR="00C83C50" w:rsidRDefault="00C83C50" w:rsidP="003364BB">
            <w:pPr>
              <w:pStyle w:val="Tabletext0"/>
              <w:ind w:left="57" w:right="57"/>
            </w:pPr>
            <w:r>
              <w:t>Exon</w:t>
            </w:r>
            <w:r>
              <w:rPr>
                <w:spacing w:val="-4"/>
              </w:rPr>
              <w:t xml:space="preserve"> </w:t>
            </w:r>
            <w:r>
              <w:t>20</w:t>
            </w:r>
            <w:r>
              <w:rPr>
                <w:spacing w:val="-1"/>
              </w:rPr>
              <w:t xml:space="preserve"> </w:t>
            </w:r>
            <w:r>
              <w:t>insertion subtype</w:t>
            </w:r>
          </w:p>
        </w:tc>
        <w:tc>
          <w:tcPr>
            <w:tcW w:w="2722" w:type="dxa"/>
          </w:tcPr>
          <w:p w14:paraId="5FFC0E5A" w14:textId="77777777" w:rsidR="00C83C50" w:rsidRDefault="00C83C50" w:rsidP="003364BB">
            <w:pPr>
              <w:pStyle w:val="Tabletext0"/>
              <w:ind w:left="57" w:right="57"/>
            </w:pPr>
            <w:r>
              <w:t>Exon</w:t>
            </w:r>
            <w:r>
              <w:rPr>
                <w:spacing w:val="-4"/>
              </w:rPr>
              <w:t xml:space="preserve"> </w:t>
            </w:r>
            <w:r>
              <w:t>20</w:t>
            </w:r>
            <w:r>
              <w:rPr>
                <w:spacing w:val="-1"/>
              </w:rPr>
              <w:t xml:space="preserve"> </w:t>
            </w:r>
            <w:r>
              <w:t>insertion variant</w:t>
            </w:r>
          </w:p>
        </w:tc>
        <w:tc>
          <w:tcPr>
            <w:tcW w:w="1105" w:type="dxa"/>
          </w:tcPr>
          <w:p w14:paraId="63BF83E9" w14:textId="77777777" w:rsidR="00C83C50" w:rsidRDefault="00C83C50" w:rsidP="003364BB">
            <w:pPr>
              <w:pStyle w:val="Tabletext0"/>
              <w:ind w:left="57" w:right="57"/>
            </w:pPr>
            <w:r>
              <w:t>Subgroup size</w:t>
            </w:r>
          </w:p>
        </w:tc>
        <w:tc>
          <w:tcPr>
            <w:tcW w:w="3549" w:type="dxa"/>
          </w:tcPr>
          <w:p w14:paraId="45346D17" w14:textId="77777777" w:rsidR="00C83C50" w:rsidRDefault="00C83C50" w:rsidP="003364BB">
            <w:pPr>
              <w:pStyle w:val="Tabletext0"/>
              <w:ind w:left="57" w:right="57"/>
            </w:pPr>
            <w:r>
              <w:t>Number of patients with a tumour response</w:t>
            </w:r>
            <w:r>
              <w:rPr>
                <w:spacing w:val="-1"/>
              </w:rPr>
              <w:t xml:space="preserve"> </w:t>
            </w:r>
            <w:r>
              <w:rPr>
                <w:spacing w:val="-4"/>
              </w:rPr>
              <w:t>(ORR)</w:t>
            </w:r>
          </w:p>
        </w:tc>
      </w:tr>
      <w:tr w:rsidR="00C83C50" w14:paraId="4BBD1BA7" w14:textId="77777777" w:rsidTr="003364BB">
        <w:trPr>
          <w:trHeight w:val="20"/>
        </w:trPr>
        <w:tc>
          <w:tcPr>
            <w:tcW w:w="1975" w:type="dxa"/>
          </w:tcPr>
          <w:p w14:paraId="3BA2218A" w14:textId="77777777" w:rsidR="00C83C50" w:rsidRDefault="00C83C50" w:rsidP="003364BB">
            <w:pPr>
              <w:pStyle w:val="Tabletext0"/>
              <w:ind w:left="57" w:right="57"/>
            </w:pPr>
            <w:r>
              <w:rPr>
                <w:spacing w:val="-4"/>
              </w:rPr>
              <w:t>A763</w:t>
            </w:r>
          </w:p>
        </w:tc>
        <w:tc>
          <w:tcPr>
            <w:tcW w:w="2722" w:type="dxa"/>
          </w:tcPr>
          <w:p w14:paraId="55ED84AC" w14:textId="77777777" w:rsidR="00C83C50" w:rsidRDefault="00C83C50" w:rsidP="003364BB">
            <w:pPr>
              <w:pStyle w:val="Tabletext0"/>
              <w:ind w:left="57" w:right="57"/>
            </w:pPr>
            <w:r>
              <w:t>A763_Y764insFQEA*</w:t>
            </w:r>
          </w:p>
        </w:tc>
        <w:tc>
          <w:tcPr>
            <w:tcW w:w="1105" w:type="dxa"/>
          </w:tcPr>
          <w:p w14:paraId="140796A6" w14:textId="77777777" w:rsidR="00C83C50" w:rsidRDefault="00C83C50" w:rsidP="003364BB">
            <w:pPr>
              <w:pStyle w:val="Tabletext0"/>
              <w:ind w:left="57" w:right="57"/>
            </w:pPr>
            <w:r>
              <w:t>1</w:t>
            </w:r>
          </w:p>
        </w:tc>
        <w:tc>
          <w:tcPr>
            <w:tcW w:w="3549" w:type="dxa"/>
          </w:tcPr>
          <w:p w14:paraId="022B21D2" w14:textId="77777777" w:rsidR="00C83C50" w:rsidRDefault="00C83C50" w:rsidP="003364BB">
            <w:pPr>
              <w:pStyle w:val="Tabletext0"/>
              <w:ind w:left="57" w:right="57"/>
            </w:pPr>
            <w:r>
              <w:t>1</w:t>
            </w:r>
            <w:r>
              <w:rPr>
                <w:spacing w:val="-1"/>
              </w:rPr>
              <w:t xml:space="preserve"> </w:t>
            </w:r>
            <w:r>
              <w:t>(100%)</w:t>
            </w:r>
          </w:p>
        </w:tc>
      </w:tr>
      <w:tr w:rsidR="00C83C50" w14:paraId="553F1414" w14:textId="77777777" w:rsidTr="003364BB">
        <w:trPr>
          <w:trHeight w:val="20"/>
        </w:trPr>
        <w:tc>
          <w:tcPr>
            <w:tcW w:w="1975" w:type="dxa"/>
          </w:tcPr>
          <w:p w14:paraId="30DAAF83" w14:textId="77777777" w:rsidR="00C83C50" w:rsidRDefault="00C83C50" w:rsidP="003364BB">
            <w:pPr>
              <w:pStyle w:val="Tabletext0"/>
              <w:ind w:left="57" w:right="57"/>
            </w:pPr>
            <w:r>
              <w:rPr>
                <w:spacing w:val="-4"/>
              </w:rPr>
              <w:t>A767</w:t>
            </w:r>
          </w:p>
        </w:tc>
        <w:tc>
          <w:tcPr>
            <w:tcW w:w="2722" w:type="dxa"/>
          </w:tcPr>
          <w:p w14:paraId="508BF6E7" w14:textId="77777777" w:rsidR="00C83C50" w:rsidRDefault="00C83C50" w:rsidP="003364BB">
            <w:pPr>
              <w:pStyle w:val="Tabletext0"/>
              <w:ind w:left="57" w:right="57"/>
            </w:pPr>
            <w:r>
              <w:t>A767_V769dup</w:t>
            </w:r>
          </w:p>
        </w:tc>
        <w:tc>
          <w:tcPr>
            <w:tcW w:w="1105" w:type="dxa"/>
          </w:tcPr>
          <w:p w14:paraId="248BCC3E" w14:textId="77777777" w:rsidR="00C83C50" w:rsidRDefault="00C83C50" w:rsidP="003364BB">
            <w:pPr>
              <w:pStyle w:val="Tabletext0"/>
              <w:ind w:left="57" w:right="57"/>
            </w:pPr>
            <w:r>
              <w:rPr>
                <w:spacing w:val="-5"/>
              </w:rPr>
              <w:t>19</w:t>
            </w:r>
          </w:p>
        </w:tc>
        <w:tc>
          <w:tcPr>
            <w:tcW w:w="3549" w:type="dxa"/>
          </w:tcPr>
          <w:p w14:paraId="22273593" w14:textId="77777777" w:rsidR="00C83C50" w:rsidRDefault="00C83C50" w:rsidP="003364BB">
            <w:pPr>
              <w:pStyle w:val="Tabletext0"/>
              <w:ind w:left="57" w:right="57"/>
            </w:pPr>
            <w:r>
              <w:t>11 (57.9%)</w:t>
            </w:r>
          </w:p>
        </w:tc>
      </w:tr>
      <w:tr w:rsidR="00C83C50" w14:paraId="3698CB16" w14:textId="77777777" w:rsidTr="003364BB">
        <w:trPr>
          <w:trHeight w:val="20"/>
        </w:trPr>
        <w:tc>
          <w:tcPr>
            <w:tcW w:w="1975" w:type="dxa"/>
          </w:tcPr>
          <w:p w14:paraId="6FF22EA3" w14:textId="77777777" w:rsidR="00C83C50" w:rsidRDefault="00C83C50" w:rsidP="003364BB">
            <w:pPr>
              <w:pStyle w:val="Tabletext0"/>
              <w:ind w:left="57" w:right="57"/>
            </w:pPr>
            <w:r>
              <w:rPr>
                <w:spacing w:val="-4"/>
              </w:rPr>
              <w:t>S768</w:t>
            </w:r>
          </w:p>
        </w:tc>
        <w:tc>
          <w:tcPr>
            <w:tcW w:w="2722" w:type="dxa"/>
          </w:tcPr>
          <w:p w14:paraId="38F40838" w14:textId="77777777" w:rsidR="00C83C50" w:rsidRDefault="00C83C50" w:rsidP="003364BB">
            <w:pPr>
              <w:pStyle w:val="Tabletext0"/>
              <w:ind w:left="57" w:right="57"/>
            </w:pPr>
            <w:r>
              <w:t>S768_D770dup</w:t>
            </w:r>
          </w:p>
        </w:tc>
        <w:tc>
          <w:tcPr>
            <w:tcW w:w="1105" w:type="dxa"/>
          </w:tcPr>
          <w:p w14:paraId="04EC207E" w14:textId="77777777" w:rsidR="00C83C50" w:rsidRDefault="00C83C50" w:rsidP="003364BB">
            <w:pPr>
              <w:pStyle w:val="Tabletext0"/>
              <w:ind w:left="57" w:right="57"/>
            </w:pPr>
            <w:r>
              <w:rPr>
                <w:spacing w:val="-5"/>
              </w:rPr>
              <w:t>13</w:t>
            </w:r>
          </w:p>
        </w:tc>
        <w:tc>
          <w:tcPr>
            <w:tcW w:w="3549" w:type="dxa"/>
          </w:tcPr>
          <w:p w14:paraId="71A73492" w14:textId="77777777" w:rsidR="00C83C50" w:rsidRDefault="00C83C50" w:rsidP="003364BB">
            <w:pPr>
              <w:pStyle w:val="Tabletext0"/>
              <w:ind w:left="57" w:right="57"/>
            </w:pPr>
            <w:r>
              <w:t>6</w:t>
            </w:r>
            <w:r>
              <w:rPr>
                <w:spacing w:val="-1"/>
              </w:rPr>
              <w:t xml:space="preserve"> </w:t>
            </w:r>
            <w:r>
              <w:t>(46.2%)</w:t>
            </w:r>
          </w:p>
        </w:tc>
      </w:tr>
      <w:tr w:rsidR="00C83C50" w14:paraId="7D943157" w14:textId="77777777" w:rsidTr="003364BB">
        <w:trPr>
          <w:trHeight w:val="20"/>
        </w:trPr>
        <w:tc>
          <w:tcPr>
            <w:tcW w:w="1975" w:type="dxa"/>
          </w:tcPr>
          <w:p w14:paraId="1EB3E32F" w14:textId="77777777" w:rsidR="00C83C50" w:rsidRDefault="00C83C50" w:rsidP="003364BB">
            <w:pPr>
              <w:pStyle w:val="Tabletext0"/>
              <w:ind w:left="57" w:right="57"/>
            </w:pPr>
            <w:r>
              <w:rPr>
                <w:spacing w:val="-4"/>
              </w:rPr>
              <w:t>V769</w:t>
            </w:r>
          </w:p>
        </w:tc>
        <w:tc>
          <w:tcPr>
            <w:tcW w:w="2722" w:type="dxa"/>
          </w:tcPr>
          <w:p w14:paraId="761F53E5" w14:textId="77777777" w:rsidR="00C83C50" w:rsidRDefault="00C83C50" w:rsidP="003364BB">
            <w:pPr>
              <w:pStyle w:val="Tabletext0"/>
              <w:ind w:left="57" w:right="57"/>
            </w:pPr>
            <w:r>
              <w:t>V769_P772dup</w:t>
            </w:r>
          </w:p>
        </w:tc>
        <w:tc>
          <w:tcPr>
            <w:tcW w:w="1105" w:type="dxa"/>
          </w:tcPr>
          <w:p w14:paraId="2AE25F85" w14:textId="77777777" w:rsidR="00C83C50" w:rsidRDefault="00C83C50" w:rsidP="003364BB">
            <w:pPr>
              <w:pStyle w:val="Tabletext0"/>
              <w:ind w:left="57" w:right="57"/>
            </w:pPr>
            <w:r>
              <w:t>1</w:t>
            </w:r>
          </w:p>
        </w:tc>
        <w:tc>
          <w:tcPr>
            <w:tcW w:w="3549" w:type="dxa"/>
          </w:tcPr>
          <w:p w14:paraId="49773760" w14:textId="77777777" w:rsidR="00C83C50" w:rsidRDefault="00C83C50" w:rsidP="003364BB">
            <w:pPr>
              <w:pStyle w:val="Tabletext0"/>
              <w:ind w:left="57" w:right="57"/>
            </w:pPr>
            <w:r>
              <w:t>0</w:t>
            </w:r>
            <w:r>
              <w:rPr>
                <w:spacing w:val="-1"/>
              </w:rPr>
              <w:t xml:space="preserve"> </w:t>
            </w:r>
            <w:r>
              <w:rPr>
                <w:spacing w:val="-4"/>
              </w:rPr>
              <w:t>(0%)</w:t>
            </w:r>
          </w:p>
        </w:tc>
      </w:tr>
      <w:tr w:rsidR="00C83C50" w14:paraId="473806A7" w14:textId="77777777" w:rsidTr="003364BB">
        <w:trPr>
          <w:trHeight w:val="20"/>
        </w:trPr>
        <w:tc>
          <w:tcPr>
            <w:tcW w:w="1975" w:type="dxa"/>
            <w:vMerge w:val="restart"/>
          </w:tcPr>
          <w:p w14:paraId="3935E425" w14:textId="77777777" w:rsidR="00C83C50" w:rsidRDefault="00C83C50" w:rsidP="003364BB">
            <w:pPr>
              <w:pStyle w:val="Tabletext0"/>
              <w:ind w:left="57" w:right="57"/>
            </w:pPr>
            <w:r>
              <w:rPr>
                <w:spacing w:val="-4"/>
              </w:rPr>
              <w:t>D770</w:t>
            </w:r>
          </w:p>
        </w:tc>
        <w:tc>
          <w:tcPr>
            <w:tcW w:w="2722" w:type="dxa"/>
          </w:tcPr>
          <w:p w14:paraId="637E3DED" w14:textId="77777777" w:rsidR="00C83C50" w:rsidRDefault="00C83C50" w:rsidP="003364BB">
            <w:pPr>
              <w:pStyle w:val="Tabletext0"/>
              <w:ind w:left="57" w:right="57"/>
            </w:pPr>
            <w:r>
              <w:t>D770_N771insG</w:t>
            </w:r>
          </w:p>
        </w:tc>
        <w:tc>
          <w:tcPr>
            <w:tcW w:w="1105" w:type="dxa"/>
          </w:tcPr>
          <w:p w14:paraId="7D1A88CE" w14:textId="77777777" w:rsidR="00C83C50" w:rsidRDefault="00C83C50" w:rsidP="003364BB">
            <w:pPr>
              <w:pStyle w:val="Tabletext0"/>
              <w:ind w:left="57" w:right="57"/>
            </w:pPr>
            <w:r>
              <w:t>1</w:t>
            </w:r>
          </w:p>
        </w:tc>
        <w:tc>
          <w:tcPr>
            <w:tcW w:w="3549" w:type="dxa"/>
            <w:vMerge w:val="restart"/>
          </w:tcPr>
          <w:p w14:paraId="7DFF539F" w14:textId="77777777" w:rsidR="00C83C50" w:rsidRDefault="00C83C50" w:rsidP="003364BB">
            <w:pPr>
              <w:pStyle w:val="Tabletext0"/>
              <w:ind w:left="57" w:right="57"/>
            </w:pPr>
            <w:r>
              <w:t>2</w:t>
            </w:r>
            <w:r>
              <w:rPr>
                <w:spacing w:val="-1"/>
              </w:rPr>
              <w:t xml:space="preserve"> </w:t>
            </w:r>
            <w:r>
              <w:t>(22.2%)</w:t>
            </w:r>
          </w:p>
        </w:tc>
      </w:tr>
      <w:tr w:rsidR="00C83C50" w14:paraId="58504C72" w14:textId="77777777" w:rsidTr="003364BB">
        <w:trPr>
          <w:trHeight w:val="20"/>
        </w:trPr>
        <w:tc>
          <w:tcPr>
            <w:tcW w:w="1975" w:type="dxa"/>
            <w:vMerge/>
          </w:tcPr>
          <w:p w14:paraId="4B64134D" w14:textId="77777777" w:rsidR="00C83C50" w:rsidRDefault="00C83C50" w:rsidP="003364BB">
            <w:pPr>
              <w:pStyle w:val="Tabletext0"/>
              <w:ind w:left="57" w:right="57"/>
              <w:rPr>
                <w:rFonts w:ascii="Times New Roman"/>
                <w:sz w:val="20"/>
              </w:rPr>
            </w:pPr>
          </w:p>
        </w:tc>
        <w:tc>
          <w:tcPr>
            <w:tcW w:w="2722" w:type="dxa"/>
          </w:tcPr>
          <w:p w14:paraId="59455A9F" w14:textId="77777777" w:rsidR="00C83C50" w:rsidRDefault="00C83C50" w:rsidP="003364BB">
            <w:pPr>
              <w:pStyle w:val="Tabletext0"/>
              <w:ind w:left="57" w:right="57"/>
            </w:pPr>
            <w:r>
              <w:t>D770_N771insGF</w:t>
            </w:r>
          </w:p>
        </w:tc>
        <w:tc>
          <w:tcPr>
            <w:tcW w:w="1105" w:type="dxa"/>
          </w:tcPr>
          <w:p w14:paraId="54B263F2" w14:textId="77777777" w:rsidR="00C83C50" w:rsidRDefault="00C83C50" w:rsidP="003364BB">
            <w:pPr>
              <w:pStyle w:val="Tabletext0"/>
              <w:ind w:left="57" w:right="57"/>
            </w:pPr>
            <w:r>
              <w:t>2</w:t>
            </w:r>
          </w:p>
        </w:tc>
        <w:tc>
          <w:tcPr>
            <w:tcW w:w="3549" w:type="dxa"/>
            <w:vMerge/>
          </w:tcPr>
          <w:p w14:paraId="5AB1211D" w14:textId="77777777" w:rsidR="00C83C50" w:rsidRDefault="00C83C50" w:rsidP="003364BB">
            <w:pPr>
              <w:pStyle w:val="Tabletext0"/>
              <w:ind w:left="57" w:right="57"/>
              <w:rPr>
                <w:sz w:val="2"/>
                <w:szCs w:val="2"/>
              </w:rPr>
            </w:pPr>
          </w:p>
        </w:tc>
      </w:tr>
      <w:tr w:rsidR="00C83C50" w14:paraId="509FB894" w14:textId="77777777" w:rsidTr="003364BB">
        <w:trPr>
          <w:trHeight w:val="20"/>
        </w:trPr>
        <w:tc>
          <w:tcPr>
            <w:tcW w:w="1975" w:type="dxa"/>
            <w:vMerge/>
          </w:tcPr>
          <w:p w14:paraId="1B91955F" w14:textId="77777777" w:rsidR="00C83C50" w:rsidRDefault="00C83C50" w:rsidP="003364BB">
            <w:pPr>
              <w:pStyle w:val="Tabletext0"/>
              <w:ind w:left="57" w:right="57"/>
              <w:rPr>
                <w:rFonts w:ascii="Times New Roman"/>
                <w:sz w:val="20"/>
              </w:rPr>
            </w:pPr>
          </w:p>
        </w:tc>
        <w:tc>
          <w:tcPr>
            <w:tcW w:w="2722" w:type="dxa"/>
          </w:tcPr>
          <w:p w14:paraId="3B1C1CD4" w14:textId="77777777" w:rsidR="00C83C50" w:rsidRDefault="00C83C50" w:rsidP="003364BB">
            <w:pPr>
              <w:pStyle w:val="Tabletext0"/>
              <w:ind w:left="57" w:right="57"/>
            </w:pPr>
            <w:r>
              <w:t>D770_N771insKD</w:t>
            </w:r>
          </w:p>
        </w:tc>
        <w:tc>
          <w:tcPr>
            <w:tcW w:w="1105" w:type="dxa"/>
          </w:tcPr>
          <w:p w14:paraId="408AB726" w14:textId="77777777" w:rsidR="00C83C50" w:rsidRDefault="00C83C50" w:rsidP="003364BB">
            <w:pPr>
              <w:pStyle w:val="Tabletext0"/>
              <w:ind w:left="57" w:right="57"/>
            </w:pPr>
            <w:r>
              <w:t>1</w:t>
            </w:r>
          </w:p>
        </w:tc>
        <w:tc>
          <w:tcPr>
            <w:tcW w:w="3549" w:type="dxa"/>
            <w:vMerge/>
          </w:tcPr>
          <w:p w14:paraId="24A1073F" w14:textId="77777777" w:rsidR="00C83C50" w:rsidRDefault="00C83C50" w:rsidP="003364BB">
            <w:pPr>
              <w:pStyle w:val="Tabletext0"/>
              <w:ind w:left="57" w:right="57"/>
              <w:rPr>
                <w:sz w:val="2"/>
                <w:szCs w:val="2"/>
              </w:rPr>
            </w:pPr>
          </w:p>
        </w:tc>
      </w:tr>
      <w:tr w:rsidR="00C83C50" w14:paraId="5D51BF98" w14:textId="77777777" w:rsidTr="003364BB">
        <w:trPr>
          <w:trHeight w:val="20"/>
        </w:trPr>
        <w:tc>
          <w:tcPr>
            <w:tcW w:w="1975" w:type="dxa"/>
            <w:vMerge/>
          </w:tcPr>
          <w:p w14:paraId="1A78E48D" w14:textId="77777777" w:rsidR="00C83C50" w:rsidRDefault="00C83C50" w:rsidP="003364BB">
            <w:pPr>
              <w:pStyle w:val="Tabletext0"/>
              <w:ind w:left="57" w:right="57"/>
              <w:rPr>
                <w:rFonts w:ascii="Times New Roman"/>
              </w:rPr>
            </w:pPr>
          </w:p>
        </w:tc>
        <w:tc>
          <w:tcPr>
            <w:tcW w:w="2722" w:type="dxa"/>
          </w:tcPr>
          <w:p w14:paraId="2AE4C672" w14:textId="77777777" w:rsidR="00C83C50" w:rsidRDefault="00C83C50" w:rsidP="003364BB">
            <w:pPr>
              <w:pStyle w:val="Tabletext0"/>
              <w:ind w:left="57" w:right="57"/>
            </w:pPr>
            <w:r>
              <w:t>D770_N771insY</w:t>
            </w:r>
          </w:p>
        </w:tc>
        <w:tc>
          <w:tcPr>
            <w:tcW w:w="1105" w:type="dxa"/>
          </w:tcPr>
          <w:p w14:paraId="259DD95C" w14:textId="77777777" w:rsidR="00C83C50" w:rsidRDefault="00C83C50" w:rsidP="003364BB">
            <w:pPr>
              <w:pStyle w:val="Tabletext0"/>
              <w:ind w:left="57" w:right="57"/>
            </w:pPr>
            <w:r>
              <w:t>1</w:t>
            </w:r>
          </w:p>
        </w:tc>
        <w:tc>
          <w:tcPr>
            <w:tcW w:w="3549" w:type="dxa"/>
            <w:vMerge/>
          </w:tcPr>
          <w:p w14:paraId="33A85F03" w14:textId="77777777" w:rsidR="00C83C50" w:rsidRDefault="00C83C50" w:rsidP="003364BB">
            <w:pPr>
              <w:pStyle w:val="Tabletext0"/>
              <w:ind w:left="57" w:right="57"/>
              <w:rPr>
                <w:sz w:val="2"/>
                <w:szCs w:val="2"/>
              </w:rPr>
            </w:pPr>
          </w:p>
        </w:tc>
      </w:tr>
      <w:tr w:rsidR="00C83C50" w14:paraId="717B42BC" w14:textId="77777777" w:rsidTr="003364BB">
        <w:trPr>
          <w:trHeight w:val="20"/>
        </w:trPr>
        <w:tc>
          <w:tcPr>
            <w:tcW w:w="1975" w:type="dxa"/>
            <w:vMerge/>
          </w:tcPr>
          <w:p w14:paraId="24300B54" w14:textId="77777777" w:rsidR="00C83C50" w:rsidRDefault="00C83C50" w:rsidP="003364BB">
            <w:pPr>
              <w:pStyle w:val="Tabletext0"/>
              <w:ind w:left="57" w:right="57"/>
              <w:rPr>
                <w:rFonts w:ascii="Times New Roman"/>
                <w:sz w:val="20"/>
              </w:rPr>
            </w:pPr>
          </w:p>
        </w:tc>
        <w:tc>
          <w:tcPr>
            <w:tcW w:w="2722" w:type="dxa"/>
          </w:tcPr>
          <w:p w14:paraId="622F5893" w14:textId="77777777" w:rsidR="00C83C50" w:rsidRDefault="00C83C50" w:rsidP="003364BB">
            <w:pPr>
              <w:pStyle w:val="Tabletext0"/>
              <w:ind w:left="57" w:right="57"/>
            </w:pPr>
            <w:r>
              <w:t>D770_P772dup</w:t>
            </w:r>
          </w:p>
        </w:tc>
        <w:tc>
          <w:tcPr>
            <w:tcW w:w="1105" w:type="dxa"/>
          </w:tcPr>
          <w:p w14:paraId="4D65EF0C" w14:textId="77777777" w:rsidR="00C83C50" w:rsidRDefault="00C83C50" w:rsidP="003364BB">
            <w:pPr>
              <w:pStyle w:val="Tabletext0"/>
              <w:ind w:left="57" w:right="57"/>
            </w:pPr>
            <w:r>
              <w:t>1</w:t>
            </w:r>
          </w:p>
        </w:tc>
        <w:tc>
          <w:tcPr>
            <w:tcW w:w="3549" w:type="dxa"/>
            <w:vMerge/>
          </w:tcPr>
          <w:p w14:paraId="5A906B8F" w14:textId="77777777" w:rsidR="00C83C50" w:rsidRDefault="00C83C50" w:rsidP="003364BB">
            <w:pPr>
              <w:pStyle w:val="Tabletext0"/>
              <w:ind w:left="57" w:right="57"/>
              <w:rPr>
                <w:sz w:val="2"/>
                <w:szCs w:val="2"/>
              </w:rPr>
            </w:pPr>
          </w:p>
        </w:tc>
      </w:tr>
      <w:tr w:rsidR="00C83C50" w14:paraId="04730253" w14:textId="77777777" w:rsidTr="003364BB">
        <w:trPr>
          <w:trHeight w:val="20"/>
        </w:trPr>
        <w:tc>
          <w:tcPr>
            <w:tcW w:w="1975" w:type="dxa"/>
            <w:vMerge/>
          </w:tcPr>
          <w:p w14:paraId="20BC14D1" w14:textId="77777777" w:rsidR="00C83C50" w:rsidRDefault="00C83C50" w:rsidP="003364BB">
            <w:pPr>
              <w:pStyle w:val="Tabletext0"/>
              <w:ind w:left="57" w:right="57"/>
              <w:rPr>
                <w:rFonts w:ascii="Times New Roman"/>
              </w:rPr>
            </w:pPr>
          </w:p>
        </w:tc>
        <w:tc>
          <w:tcPr>
            <w:tcW w:w="2722" w:type="dxa"/>
          </w:tcPr>
          <w:p w14:paraId="6A776CC4" w14:textId="77777777" w:rsidR="00C83C50" w:rsidRDefault="00C83C50" w:rsidP="003364BB">
            <w:pPr>
              <w:pStyle w:val="Tabletext0"/>
              <w:ind w:left="57" w:right="57"/>
            </w:pPr>
            <w:r>
              <w:t>D770delinsGY</w:t>
            </w:r>
          </w:p>
        </w:tc>
        <w:tc>
          <w:tcPr>
            <w:tcW w:w="1105" w:type="dxa"/>
          </w:tcPr>
          <w:p w14:paraId="0294890D" w14:textId="77777777" w:rsidR="00C83C50" w:rsidRDefault="00C83C50" w:rsidP="003364BB">
            <w:pPr>
              <w:pStyle w:val="Tabletext0"/>
              <w:ind w:left="57" w:right="57"/>
            </w:pPr>
            <w:r>
              <w:t>3</w:t>
            </w:r>
          </w:p>
        </w:tc>
        <w:tc>
          <w:tcPr>
            <w:tcW w:w="3549" w:type="dxa"/>
            <w:vMerge/>
          </w:tcPr>
          <w:p w14:paraId="175A7624" w14:textId="77777777" w:rsidR="00C83C50" w:rsidRDefault="00C83C50" w:rsidP="003364BB">
            <w:pPr>
              <w:pStyle w:val="Tabletext0"/>
              <w:ind w:left="57" w:right="57"/>
              <w:rPr>
                <w:sz w:val="2"/>
                <w:szCs w:val="2"/>
              </w:rPr>
            </w:pPr>
          </w:p>
        </w:tc>
      </w:tr>
      <w:tr w:rsidR="00C83C50" w14:paraId="64F7CD0E" w14:textId="77777777" w:rsidTr="003364BB">
        <w:trPr>
          <w:trHeight w:val="20"/>
        </w:trPr>
        <w:tc>
          <w:tcPr>
            <w:tcW w:w="1975" w:type="dxa"/>
            <w:vMerge w:val="restart"/>
          </w:tcPr>
          <w:p w14:paraId="4B2CD9F5" w14:textId="77777777" w:rsidR="00C83C50" w:rsidRDefault="00C83C50" w:rsidP="003364BB">
            <w:pPr>
              <w:pStyle w:val="Tabletext0"/>
              <w:ind w:left="57" w:right="57"/>
            </w:pPr>
            <w:r>
              <w:rPr>
                <w:spacing w:val="-4"/>
              </w:rPr>
              <w:t>N771</w:t>
            </w:r>
          </w:p>
        </w:tc>
        <w:tc>
          <w:tcPr>
            <w:tcW w:w="2722" w:type="dxa"/>
          </w:tcPr>
          <w:p w14:paraId="12B26180" w14:textId="77777777" w:rsidR="00C83C50" w:rsidRDefault="00C83C50" w:rsidP="003364BB">
            <w:pPr>
              <w:pStyle w:val="Tabletext0"/>
              <w:ind w:left="57" w:right="57"/>
            </w:pPr>
            <w:r>
              <w:t>N771_H773dup</w:t>
            </w:r>
          </w:p>
        </w:tc>
        <w:tc>
          <w:tcPr>
            <w:tcW w:w="1105" w:type="dxa"/>
          </w:tcPr>
          <w:p w14:paraId="605328A4" w14:textId="77777777" w:rsidR="00C83C50" w:rsidRDefault="00C83C50" w:rsidP="003364BB">
            <w:pPr>
              <w:pStyle w:val="Tabletext0"/>
              <w:ind w:left="57" w:right="57"/>
            </w:pPr>
            <w:r>
              <w:t>3</w:t>
            </w:r>
          </w:p>
        </w:tc>
        <w:tc>
          <w:tcPr>
            <w:tcW w:w="3549" w:type="dxa"/>
            <w:vMerge w:val="restart"/>
          </w:tcPr>
          <w:p w14:paraId="714AFDCE" w14:textId="77777777" w:rsidR="00C83C50" w:rsidRDefault="00C83C50" w:rsidP="003364BB">
            <w:pPr>
              <w:pStyle w:val="Tabletext0"/>
              <w:ind w:left="57" w:right="57"/>
            </w:pPr>
            <w:r>
              <w:t>2</w:t>
            </w:r>
            <w:r>
              <w:rPr>
                <w:spacing w:val="-1"/>
              </w:rPr>
              <w:t xml:space="preserve"> </w:t>
            </w:r>
            <w:r>
              <w:t>(22.2%)</w:t>
            </w:r>
          </w:p>
        </w:tc>
      </w:tr>
      <w:tr w:rsidR="00C83C50" w14:paraId="4E78AFBB" w14:textId="77777777" w:rsidTr="003364BB">
        <w:trPr>
          <w:trHeight w:val="20"/>
        </w:trPr>
        <w:tc>
          <w:tcPr>
            <w:tcW w:w="1975" w:type="dxa"/>
            <w:vMerge/>
          </w:tcPr>
          <w:p w14:paraId="118290CB" w14:textId="77777777" w:rsidR="00C83C50" w:rsidRDefault="00C83C50" w:rsidP="003364BB">
            <w:pPr>
              <w:pStyle w:val="Tabletext0"/>
              <w:ind w:left="57" w:right="57"/>
              <w:rPr>
                <w:rFonts w:ascii="Times New Roman"/>
              </w:rPr>
            </w:pPr>
          </w:p>
        </w:tc>
        <w:tc>
          <w:tcPr>
            <w:tcW w:w="2722" w:type="dxa"/>
          </w:tcPr>
          <w:p w14:paraId="58F97524" w14:textId="77777777" w:rsidR="00C83C50" w:rsidRDefault="00C83C50" w:rsidP="003364BB">
            <w:pPr>
              <w:pStyle w:val="Tabletext0"/>
              <w:ind w:left="57" w:right="57"/>
            </w:pPr>
            <w:r>
              <w:t>N771_P772insH</w:t>
            </w:r>
          </w:p>
        </w:tc>
        <w:tc>
          <w:tcPr>
            <w:tcW w:w="1105" w:type="dxa"/>
          </w:tcPr>
          <w:p w14:paraId="750FC529" w14:textId="77777777" w:rsidR="00C83C50" w:rsidRDefault="00C83C50" w:rsidP="003364BB">
            <w:pPr>
              <w:pStyle w:val="Tabletext0"/>
              <w:ind w:left="57" w:right="57"/>
            </w:pPr>
            <w:r>
              <w:t>1</w:t>
            </w:r>
          </w:p>
        </w:tc>
        <w:tc>
          <w:tcPr>
            <w:tcW w:w="3549" w:type="dxa"/>
            <w:vMerge/>
          </w:tcPr>
          <w:p w14:paraId="790BA2FD" w14:textId="77777777" w:rsidR="00C83C50" w:rsidRDefault="00C83C50" w:rsidP="003364BB">
            <w:pPr>
              <w:pStyle w:val="Tabletext0"/>
              <w:ind w:left="57" w:right="57"/>
              <w:rPr>
                <w:sz w:val="2"/>
                <w:szCs w:val="2"/>
              </w:rPr>
            </w:pPr>
          </w:p>
        </w:tc>
      </w:tr>
      <w:tr w:rsidR="00C83C50" w14:paraId="75DE90AB" w14:textId="77777777" w:rsidTr="003364BB">
        <w:trPr>
          <w:trHeight w:val="20"/>
        </w:trPr>
        <w:tc>
          <w:tcPr>
            <w:tcW w:w="1975" w:type="dxa"/>
            <w:vMerge/>
          </w:tcPr>
          <w:p w14:paraId="06FA8176" w14:textId="77777777" w:rsidR="00C83C50" w:rsidRDefault="00C83C50" w:rsidP="003364BB">
            <w:pPr>
              <w:pStyle w:val="Tabletext0"/>
              <w:ind w:left="57" w:right="57"/>
              <w:rPr>
                <w:rFonts w:ascii="Times New Roman"/>
                <w:sz w:val="20"/>
              </w:rPr>
            </w:pPr>
          </w:p>
        </w:tc>
        <w:tc>
          <w:tcPr>
            <w:tcW w:w="2722" w:type="dxa"/>
          </w:tcPr>
          <w:p w14:paraId="53454E41" w14:textId="77777777" w:rsidR="00C83C50" w:rsidRDefault="00C83C50" w:rsidP="003364BB">
            <w:pPr>
              <w:pStyle w:val="Tabletext0"/>
              <w:ind w:left="57" w:right="57"/>
            </w:pPr>
            <w:r>
              <w:t>N771_P772insT</w:t>
            </w:r>
          </w:p>
        </w:tc>
        <w:tc>
          <w:tcPr>
            <w:tcW w:w="1105" w:type="dxa"/>
          </w:tcPr>
          <w:p w14:paraId="24D7EAE8" w14:textId="77777777" w:rsidR="00C83C50" w:rsidRDefault="00C83C50" w:rsidP="003364BB">
            <w:pPr>
              <w:pStyle w:val="Tabletext0"/>
              <w:ind w:left="57" w:right="57"/>
            </w:pPr>
            <w:r>
              <w:t>1</w:t>
            </w:r>
          </w:p>
        </w:tc>
        <w:tc>
          <w:tcPr>
            <w:tcW w:w="3549" w:type="dxa"/>
            <w:vMerge/>
          </w:tcPr>
          <w:p w14:paraId="0A5B9137" w14:textId="77777777" w:rsidR="00C83C50" w:rsidRDefault="00C83C50" w:rsidP="003364BB">
            <w:pPr>
              <w:pStyle w:val="Tabletext0"/>
              <w:ind w:left="57" w:right="57"/>
              <w:rPr>
                <w:sz w:val="2"/>
                <w:szCs w:val="2"/>
              </w:rPr>
            </w:pPr>
          </w:p>
        </w:tc>
      </w:tr>
      <w:tr w:rsidR="00C83C50" w14:paraId="4CBA66B4" w14:textId="77777777" w:rsidTr="003364BB">
        <w:trPr>
          <w:trHeight w:val="20"/>
        </w:trPr>
        <w:tc>
          <w:tcPr>
            <w:tcW w:w="1975" w:type="dxa"/>
            <w:vMerge/>
          </w:tcPr>
          <w:p w14:paraId="7660D7F8" w14:textId="77777777" w:rsidR="00C83C50" w:rsidRDefault="00C83C50" w:rsidP="003364BB">
            <w:pPr>
              <w:pStyle w:val="Tabletext0"/>
              <w:ind w:left="57" w:right="57"/>
              <w:rPr>
                <w:rFonts w:ascii="Times New Roman"/>
              </w:rPr>
            </w:pPr>
          </w:p>
        </w:tc>
        <w:tc>
          <w:tcPr>
            <w:tcW w:w="2722" w:type="dxa"/>
          </w:tcPr>
          <w:p w14:paraId="7C4A3C00" w14:textId="77777777" w:rsidR="00C83C50" w:rsidRDefault="00C83C50" w:rsidP="003364BB">
            <w:pPr>
              <w:pStyle w:val="Tabletext0"/>
              <w:ind w:left="57" w:right="57"/>
            </w:pPr>
            <w:r>
              <w:t>N771_P772insV</w:t>
            </w:r>
          </w:p>
        </w:tc>
        <w:tc>
          <w:tcPr>
            <w:tcW w:w="1105" w:type="dxa"/>
          </w:tcPr>
          <w:p w14:paraId="46ECD664" w14:textId="77777777" w:rsidR="00C83C50" w:rsidRDefault="00C83C50" w:rsidP="003364BB">
            <w:pPr>
              <w:pStyle w:val="Tabletext0"/>
              <w:ind w:left="57" w:right="57"/>
            </w:pPr>
            <w:r>
              <w:t>1</w:t>
            </w:r>
          </w:p>
        </w:tc>
        <w:tc>
          <w:tcPr>
            <w:tcW w:w="3549" w:type="dxa"/>
            <w:vMerge/>
          </w:tcPr>
          <w:p w14:paraId="06E9A70E" w14:textId="77777777" w:rsidR="00C83C50" w:rsidRDefault="00C83C50" w:rsidP="003364BB">
            <w:pPr>
              <w:pStyle w:val="Tabletext0"/>
              <w:ind w:left="57" w:right="57"/>
              <w:rPr>
                <w:sz w:val="2"/>
                <w:szCs w:val="2"/>
              </w:rPr>
            </w:pPr>
          </w:p>
        </w:tc>
      </w:tr>
      <w:tr w:rsidR="00C83C50" w14:paraId="07C9975F" w14:textId="77777777" w:rsidTr="003364BB">
        <w:trPr>
          <w:trHeight w:val="20"/>
        </w:trPr>
        <w:tc>
          <w:tcPr>
            <w:tcW w:w="1975" w:type="dxa"/>
            <w:vMerge/>
          </w:tcPr>
          <w:p w14:paraId="2602DE16" w14:textId="77777777" w:rsidR="00C83C50" w:rsidRDefault="00C83C50" w:rsidP="003364BB">
            <w:pPr>
              <w:pStyle w:val="Tabletext0"/>
              <w:ind w:left="57" w:right="57"/>
              <w:rPr>
                <w:rFonts w:ascii="Times New Roman"/>
                <w:sz w:val="20"/>
              </w:rPr>
            </w:pPr>
          </w:p>
        </w:tc>
        <w:tc>
          <w:tcPr>
            <w:tcW w:w="2722" w:type="dxa"/>
          </w:tcPr>
          <w:p w14:paraId="570EAB89" w14:textId="77777777" w:rsidR="00C83C50" w:rsidRDefault="00C83C50" w:rsidP="003364BB">
            <w:pPr>
              <w:pStyle w:val="Tabletext0"/>
              <w:ind w:left="57" w:right="57"/>
            </w:pPr>
            <w:r>
              <w:t>N771delinsGF</w:t>
            </w:r>
          </w:p>
        </w:tc>
        <w:tc>
          <w:tcPr>
            <w:tcW w:w="1105" w:type="dxa"/>
          </w:tcPr>
          <w:p w14:paraId="68D793CA" w14:textId="77777777" w:rsidR="00C83C50" w:rsidRDefault="00C83C50" w:rsidP="003364BB">
            <w:pPr>
              <w:pStyle w:val="Tabletext0"/>
              <w:ind w:left="57" w:right="57"/>
            </w:pPr>
            <w:r>
              <w:t>1</w:t>
            </w:r>
          </w:p>
        </w:tc>
        <w:tc>
          <w:tcPr>
            <w:tcW w:w="3549" w:type="dxa"/>
            <w:vMerge/>
          </w:tcPr>
          <w:p w14:paraId="314D913D" w14:textId="77777777" w:rsidR="00C83C50" w:rsidRDefault="00C83C50" w:rsidP="003364BB">
            <w:pPr>
              <w:pStyle w:val="Tabletext0"/>
              <w:ind w:left="57" w:right="57"/>
              <w:rPr>
                <w:sz w:val="2"/>
                <w:szCs w:val="2"/>
              </w:rPr>
            </w:pPr>
          </w:p>
        </w:tc>
      </w:tr>
      <w:tr w:rsidR="00C83C50" w14:paraId="4DFACA84" w14:textId="77777777" w:rsidTr="003364BB">
        <w:trPr>
          <w:trHeight w:val="20"/>
        </w:trPr>
        <w:tc>
          <w:tcPr>
            <w:tcW w:w="1975" w:type="dxa"/>
            <w:vMerge/>
          </w:tcPr>
          <w:p w14:paraId="5BC0D28E" w14:textId="77777777" w:rsidR="00C83C50" w:rsidRDefault="00C83C50" w:rsidP="003364BB">
            <w:pPr>
              <w:pStyle w:val="Tabletext0"/>
              <w:ind w:left="57" w:right="57"/>
              <w:rPr>
                <w:rFonts w:ascii="Times New Roman"/>
              </w:rPr>
            </w:pPr>
          </w:p>
        </w:tc>
        <w:tc>
          <w:tcPr>
            <w:tcW w:w="2722" w:type="dxa"/>
          </w:tcPr>
          <w:p w14:paraId="0F5A7086" w14:textId="77777777" w:rsidR="00C83C50" w:rsidRDefault="00C83C50" w:rsidP="003364BB">
            <w:pPr>
              <w:pStyle w:val="Tabletext0"/>
              <w:ind w:left="57" w:right="57"/>
            </w:pPr>
            <w:r>
              <w:t>N771delinsGY</w:t>
            </w:r>
          </w:p>
        </w:tc>
        <w:tc>
          <w:tcPr>
            <w:tcW w:w="1105" w:type="dxa"/>
          </w:tcPr>
          <w:p w14:paraId="1B9B7D7A" w14:textId="77777777" w:rsidR="00C83C50" w:rsidRDefault="00C83C50" w:rsidP="003364BB">
            <w:pPr>
              <w:pStyle w:val="Tabletext0"/>
              <w:ind w:left="57" w:right="57"/>
            </w:pPr>
            <w:r>
              <w:t>1</w:t>
            </w:r>
          </w:p>
        </w:tc>
        <w:tc>
          <w:tcPr>
            <w:tcW w:w="3549" w:type="dxa"/>
            <w:vMerge/>
          </w:tcPr>
          <w:p w14:paraId="37297F06" w14:textId="77777777" w:rsidR="00C83C50" w:rsidRDefault="00C83C50" w:rsidP="003364BB">
            <w:pPr>
              <w:pStyle w:val="Tabletext0"/>
              <w:ind w:left="57" w:right="57"/>
              <w:rPr>
                <w:sz w:val="2"/>
                <w:szCs w:val="2"/>
              </w:rPr>
            </w:pPr>
          </w:p>
        </w:tc>
      </w:tr>
      <w:tr w:rsidR="00C83C50" w14:paraId="651E563A" w14:textId="77777777" w:rsidTr="003364BB">
        <w:trPr>
          <w:trHeight w:val="20"/>
        </w:trPr>
        <w:tc>
          <w:tcPr>
            <w:tcW w:w="1975" w:type="dxa"/>
            <w:vMerge/>
          </w:tcPr>
          <w:p w14:paraId="293812C8" w14:textId="77777777" w:rsidR="00C83C50" w:rsidRDefault="00C83C50" w:rsidP="003364BB">
            <w:pPr>
              <w:pStyle w:val="Tabletext0"/>
              <w:ind w:left="57" w:right="57"/>
              <w:rPr>
                <w:rFonts w:ascii="Times New Roman"/>
                <w:sz w:val="20"/>
              </w:rPr>
            </w:pPr>
          </w:p>
        </w:tc>
        <w:tc>
          <w:tcPr>
            <w:tcW w:w="2722" w:type="dxa"/>
          </w:tcPr>
          <w:p w14:paraId="67353A8D" w14:textId="77777777" w:rsidR="00C83C50" w:rsidRDefault="00C83C50" w:rsidP="003364BB">
            <w:pPr>
              <w:pStyle w:val="Tabletext0"/>
              <w:ind w:left="57" w:right="57"/>
            </w:pPr>
            <w:r>
              <w:t>N771delinsKG</w:t>
            </w:r>
          </w:p>
        </w:tc>
        <w:tc>
          <w:tcPr>
            <w:tcW w:w="1105" w:type="dxa"/>
          </w:tcPr>
          <w:p w14:paraId="00142066" w14:textId="77777777" w:rsidR="00C83C50" w:rsidRDefault="00C83C50" w:rsidP="003364BB">
            <w:pPr>
              <w:pStyle w:val="Tabletext0"/>
              <w:ind w:left="57" w:right="57"/>
            </w:pPr>
            <w:r>
              <w:t>1</w:t>
            </w:r>
          </w:p>
        </w:tc>
        <w:tc>
          <w:tcPr>
            <w:tcW w:w="3549" w:type="dxa"/>
            <w:vMerge/>
          </w:tcPr>
          <w:p w14:paraId="1F2B8F1F" w14:textId="77777777" w:rsidR="00C83C50" w:rsidRDefault="00C83C50" w:rsidP="003364BB">
            <w:pPr>
              <w:pStyle w:val="Tabletext0"/>
              <w:ind w:left="57" w:right="57"/>
              <w:rPr>
                <w:sz w:val="2"/>
                <w:szCs w:val="2"/>
              </w:rPr>
            </w:pPr>
          </w:p>
        </w:tc>
      </w:tr>
      <w:tr w:rsidR="00C83C50" w14:paraId="7FC2931C" w14:textId="77777777" w:rsidTr="003364BB">
        <w:trPr>
          <w:trHeight w:val="20"/>
        </w:trPr>
        <w:tc>
          <w:tcPr>
            <w:tcW w:w="1975" w:type="dxa"/>
            <w:vMerge w:val="restart"/>
          </w:tcPr>
          <w:p w14:paraId="57DEDEDD" w14:textId="77777777" w:rsidR="00C83C50" w:rsidRDefault="00C83C50" w:rsidP="003364BB">
            <w:pPr>
              <w:pStyle w:val="Tabletext0"/>
              <w:ind w:left="57" w:right="57"/>
            </w:pPr>
            <w:r>
              <w:rPr>
                <w:spacing w:val="-4"/>
              </w:rPr>
              <w:t>P772</w:t>
            </w:r>
          </w:p>
        </w:tc>
        <w:tc>
          <w:tcPr>
            <w:tcW w:w="2722" w:type="dxa"/>
          </w:tcPr>
          <w:p w14:paraId="1C189E6D" w14:textId="77777777" w:rsidR="00C83C50" w:rsidRDefault="00C83C50" w:rsidP="003364BB">
            <w:pPr>
              <w:pStyle w:val="Tabletext0"/>
              <w:ind w:left="57" w:right="57"/>
            </w:pPr>
            <w:r>
              <w:t>P772_H773dup</w:t>
            </w:r>
          </w:p>
        </w:tc>
        <w:tc>
          <w:tcPr>
            <w:tcW w:w="1105" w:type="dxa"/>
          </w:tcPr>
          <w:p w14:paraId="778282C7" w14:textId="77777777" w:rsidR="00C83C50" w:rsidRDefault="00C83C50" w:rsidP="003364BB">
            <w:pPr>
              <w:pStyle w:val="Tabletext0"/>
              <w:ind w:left="57" w:right="57"/>
            </w:pPr>
            <w:r>
              <w:t>1</w:t>
            </w:r>
          </w:p>
        </w:tc>
        <w:tc>
          <w:tcPr>
            <w:tcW w:w="3549" w:type="dxa"/>
            <w:vMerge w:val="restart"/>
          </w:tcPr>
          <w:p w14:paraId="64DFFB8F" w14:textId="77777777" w:rsidR="00C83C50" w:rsidRDefault="00C83C50" w:rsidP="003364BB">
            <w:pPr>
              <w:pStyle w:val="Tabletext0"/>
              <w:ind w:left="57" w:right="57"/>
            </w:pPr>
            <w:r>
              <w:t>1</w:t>
            </w:r>
            <w:r>
              <w:rPr>
                <w:spacing w:val="-1"/>
              </w:rPr>
              <w:t xml:space="preserve"> </w:t>
            </w:r>
            <w:r>
              <w:t>(33.3%)</w:t>
            </w:r>
          </w:p>
        </w:tc>
      </w:tr>
      <w:tr w:rsidR="00C83C50" w14:paraId="61EB10A5" w14:textId="77777777" w:rsidTr="003364BB">
        <w:trPr>
          <w:trHeight w:val="20"/>
        </w:trPr>
        <w:tc>
          <w:tcPr>
            <w:tcW w:w="1975" w:type="dxa"/>
            <w:vMerge/>
          </w:tcPr>
          <w:p w14:paraId="6692842B" w14:textId="77777777" w:rsidR="00C83C50" w:rsidRDefault="00C83C50" w:rsidP="003364BB">
            <w:pPr>
              <w:pStyle w:val="Tabletext0"/>
              <w:ind w:left="57" w:right="57"/>
              <w:rPr>
                <w:rFonts w:ascii="Times New Roman"/>
                <w:sz w:val="20"/>
              </w:rPr>
            </w:pPr>
          </w:p>
        </w:tc>
        <w:tc>
          <w:tcPr>
            <w:tcW w:w="2722" w:type="dxa"/>
          </w:tcPr>
          <w:p w14:paraId="1DE54E26" w14:textId="77777777" w:rsidR="00C83C50" w:rsidRDefault="00C83C50" w:rsidP="003364BB">
            <w:pPr>
              <w:pStyle w:val="Tabletext0"/>
              <w:ind w:left="57" w:right="57"/>
            </w:pPr>
            <w:r>
              <w:t>P772_H773insDNP</w:t>
            </w:r>
          </w:p>
        </w:tc>
        <w:tc>
          <w:tcPr>
            <w:tcW w:w="1105" w:type="dxa"/>
          </w:tcPr>
          <w:p w14:paraId="00F3CA32" w14:textId="77777777" w:rsidR="00C83C50" w:rsidRDefault="00C83C50" w:rsidP="003364BB">
            <w:pPr>
              <w:pStyle w:val="Tabletext0"/>
              <w:ind w:left="57" w:right="57"/>
            </w:pPr>
            <w:r>
              <w:t>1</w:t>
            </w:r>
          </w:p>
        </w:tc>
        <w:tc>
          <w:tcPr>
            <w:tcW w:w="3549" w:type="dxa"/>
            <w:vMerge/>
          </w:tcPr>
          <w:p w14:paraId="23A09118" w14:textId="77777777" w:rsidR="00C83C50" w:rsidRDefault="00C83C50" w:rsidP="003364BB">
            <w:pPr>
              <w:pStyle w:val="Tabletext0"/>
              <w:ind w:left="57" w:right="57"/>
              <w:rPr>
                <w:sz w:val="2"/>
                <w:szCs w:val="2"/>
              </w:rPr>
            </w:pPr>
          </w:p>
        </w:tc>
      </w:tr>
      <w:tr w:rsidR="00C83C50" w14:paraId="6503591F" w14:textId="77777777" w:rsidTr="003364BB">
        <w:trPr>
          <w:trHeight w:val="20"/>
        </w:trPr>
        <w:tc>
          <w:tcPr>
            <w:tcW w:w="1975" w:type="dxa"/>
            <w:vMerge/>
          </w:tcPr>
          <w:p w14:paraId="11EA87DD" w14:textId="77777777" w:rsidR="00C83C50" w:rsidRDefault="00C83C50" w:rsidP="003364BB">
            <w:pPr>
              <w:pStyle w:val="Tabletext0"/>
              <w:ind w:left="57" w:right="57"/>
              <w:rPr>
                <w:rFonts w:ascii="Times New Roman"/>
              </w:rPr>
            </w:pPr>
          </w:p>
        </w:tc>
        <w:tc>
          <w:tcPr>
            <w:tcW w:w="2722" w:type="dxa"/>
          </w:tcPr>
          <w:p w14:paraId="6D6AD318" w14:textId="77777777" w:rsidR="00C83C50" w:rsidRDefault="00C83C50" w:rsidP="003364BB">
            <w:pPr>
              <w:pStyle w:val="Tabletext0"/>
              <w:ind w:left="57" w:right="57"/>
            </w:pPr>
            <w:r>
              <w:t>P772_H773insPNP</w:t>
            </w:r>
          </w:p>
        </w:tc>
        <w:tc>
          <w:tcPr>
            <w:tcW w:w="1105" w:type="dxa"/>
          </w:tcPr>
          <w:p w14:paraId="36312732" w14:textId="77777777" w:rsidR="00C83C50" w:rsidRDefault="00C83C50" w:rsidP="003364BB">
            <w:pPr>
              <w:pStyle w:val="Tabletext0"/>
              <w:ind w:left="57" w:right="57"/>
            </w:pPr>
            <w:r>
              <w:t>1</w:t>
            </w:r>
          </w:p>
        </w:tc>
        <w:tc>
          <w:tcPr>
            <w:tcW w:w="3549" w:type="dxa"/>
            <w:vMerge/>
          </w:tcPr>
          <w:p w14:paraId="16B97D29" w14:textId="77777777" w:rsidR="00C83C50" w:rsidRDefault="00C83C50" w:rsidP="003364BB">
            <w:pPr>
              <w:pStyle w:val="Tabletext0"/>
              <w:ind w:left="57" w:right="57"/>
              <w:rPr>
                <w:sz w:val="2"/>
                <w:szCs w:val="2"/>
              </w:rPr>
            </w:pPr>
          </w:p>
        </w:tc>
      </w:tr>
      <w:tr w:rsidR="00C83C50" w14:paraId="7994174B" w14:textId="77777777" w:rsidTr="003364BB">
        <w:trPr>
          <w:trHeight w:val="20"/>
        </w:trPr>
        <w:tc>
          <w:tcPr>
            <w:tcW w:w="1975" w:type="dxa"/>
            <w:vMerge w:val="restart"/>
          </w:tcPr>
          <w:p w14:paraId="4C7EE230" w14:textId="77777777" w:rsidR="00C83C50" w:rsidRDefault="00C83C50" w:rsidP="003364BB">
            <w:pPr>
              <w:pStyle w:val="Tabletext0"/>
              <w:ind w:left="57" w:right="57"/>
            </w:pPr>
            <w:r>
              <w:rPr>
                <w:spacing w:val="-4"/>
              </w:rPr>
              <w:t>H773</w:t>
            </w:r>
          </w:p>
        </w:tc>
        <w:tc>
          <w:tcPr>
            <w:tcW w:w="2722" w:type="dxa"/>
          </w:tcPr>
          <w:p w14:paraId="3AB822CE" w14:textId="77777777" w:rsidR="00C83C50" w:rsidRDefault="00C83C50" w:rsidP="003364BB">
            <w:pPr>
              <w:pStyle w:val="Tabletext0"/>
              <w:ind w:left="57" w:right="57"/>
            </w:pPr>
            <w:r>
              <w:t>H773_V774dup</w:t>
            </w:r>
          </w:p>
        </w:tc>
        <w:tc>
          <w:tcPr>
            <w:tcW w:w="1105" w:type="dxa"/>
          </w:tcPr>
          <w:p w14:paraId="451C0ABC" w14:textId="77777777" w:rsidR="00C83C50" w:rsidRDefault="00C83C50" w:rsidP="003364BB">
            <w:pPr>
              <w:pStyle w:val="Tabletext0"/>
              <w:ind w:left="57" w:right="57"/>
            </w:pPr>
            <w:r>
              <w:t>1</w:t>
            </w:r>
          </w:p>
        </w:tc>
        <w:tc>
          <w:tcPr>
            <w:tcW w:w="3549" w:type="dxa"/>
            <w:vMerge w:val="restart"/>
          </w:tcPr>
          <w:p w14:paraId="5FD4963A" w14:textId="77777777" w:rsidR="00C83C50" w:rsidRDefault="00C83C50" w:rsidP="003364BB">
            <w:pPr>
              <w:pStyle w:val="Tabletext0"/>
              <w:ind w:left="57" w:right="57"/>
            </w:pPr>
            <w:r>
              <w:t>2</w:t>
            </w:r>
            <w:r>
              <w:rPr>
                <w:spacing w:val="-1"/>
              </w:rPr>
              <w:t xml:space="preserve"> </w:t>
            </w:r>
            <w:r>
              <w:t>(25.0%)</w:t>
            </w:r>
          </w:p>
        </w:tc>
      </w:tr>
      <w:tr w:rsidR="00C83C50" w14:paraId="2CA1DEE6" w14:textId="77777777" w:rsidTr="003364BB">
        <w:trPr>
          <w:trHeight w:val="20"/>
        </w:trPr>
        <w:tc>
          <w:tcPr>
            <w:tcW w:w="1975" w:type="dxa"/>
            <w:vMerge/>
          </w:tcPr>
          <w:p w14:paraId="414E8B7C" w14:textId="77777777" w:rsidR="00C83C50" w:rsidRDefault="00C83C50" w:rsidP="003364BB">
            <w:pPr>
              <w:pStyle w:val="Tabletext0"/>
              <w:ind w:left="57" w:right="57"/>
              <w:rPr>
                <w:rFonts w:ascii="Times New Roman"/>
              </w:rPr>
            </w:pPr>
          </w:p>
        </w:tc>
        <w:tc>
          <w:tcPr>
            <w:tcW w:w="2722" w:type="dxa"/>
          </w:tcPr>
          <w:p w14:paraId="7D49FBF8" w14:textId="77777777" w:rsidR="00C83C50" w:rsidRDefault="00C83C50" w:rsidP="003364BB">
            <w:pPr>
              <w:pStyle w:val="Tabletext0"/>
              <w:ind w:left="57" w:right="57"/>
            </w:pPr>
            <w:r>
              <w:t>H773_V774insAH</w:t>
            </w:r>
          </w:p>
        </w:tc>
        <w:tc>
          <w:tcPr>
            <w:tcW w:w="1105" w:type="dxa"/>
          </w:tcPr>
          <w:p w14:paraId="1A5456D3" w14:textId="77777777" w:rsidR="00C83C50" w:rsidRDefault="00C83C50" w:rsidP="003364BB">
            <w:pPr>
              <w:pStyle w:val="Tabletext0"/>
              <w:ind w:left="57" w:right="57"/>
            </w:pPr>
            <w:r>
              <w:t>2</w:t>
            </w:r>
          </w:p>
        </w:tc>
        <w:tc>
          <w:tcPr>
            <w:tcW w:w="3549" w:type="dxa"/>
            <w:vMerge/>
          </w:tcPr>
          <w:p w14:paraId="3093AEB3" w14:textId="77777777" w:rsidR="00C83C50" w:rsidRDefault="00C83C50" w:rsidP="003364BB">
            <w:pPr>
              <w:pStyle w:val="Tabletext0"/>
              <w:ind w:left="57" w:right="57"/>
              <w:rPr>
                <w:sz w:val="2"/>
                <w:szCs w:val="2"/>
              </w:rPr>
            </w:pPr>
          </w:p>
        </w:tc>
      </w:tr>
      <w:tr w:rsidR="00C83C50" w14:paraId="258E2A7D" w14:textId="77777777" w:rsidTr="003364BB">
        <w:trPr>
          <w:trHeight w:val="20"/>
        </w:trPr>
        <w:tc>
          <w:tcPr>
            <w:tcW w:w="1975" w:type="dxa"/>
            <w:vMerge/>
          </w:tcPr>
          <w:p w14:paraId="58F0D72C" w14:textId="77777777" w:rsidR="00C83C50" w:rsidRDefault="00C83C50" w:rsidP="003364BB">
            <w:pPr>
              <w:pStyle w:val="Tabletext0"/>
              <w:ind w:left="57" w:right="57"/>
              <w:rPr>
                <w:rFonts w:ascii="Times New Roman"/>
                <w:sz w:val="20"/>
              </w:rPr>
            </w:pPr>
          </w:p>
        </w:tc>
        <w:tc>
          <w:tcPr>
            <w:tcW w:w="2722" w:type="dxa"/>
          </w:tcPr>
          <w:p w14:paraId="2A7BA6FA" w14:textId="77777777" w:rsidR="00C83C50" w:rsidRDefault="00C83C50" w:rsidP="003364BB">
            <w:pPr>
              <w:pStyle w:val="Tabletext0"/>
              <w:ind w:left="57" w:right="57"/>
            </w:pPr>
            <w:r>
              <w:t>H773_V774insNPH</w:t>
            </w:r>
          </w:p>
        </w:tc>
        <w:tc>
          <w:tcPr>
            <w:tcW w:w="1105" w:type="dxa"/>
          </w:tcPr>
          <w:p w14:paraId="64C17F30" w14:textId="77777777" w:rsidR="00C83C50" w:rsidRDefault="00C83C50" w:rsidP="003364BB">
            <w:pPr>
              <w:pStyle w:val="Tabletext0"/>
              <w:ind w:left="57" w:right="57"/>
            </w:pPr>
            <w:r>
              <w:t>1</w:t>
            </w:r>
          </w:p>
        </w:tc>
        <w:tc>
          <w:tcPr>
            <w:tcW w:w="3549" w:type="dxa"/>
            <w:vMerge/>
          </w:tcPr>
          <w:p w14:paraId="6E394161" w14:textId="77777777" w:rsidR="00C83C50" w:rsidRDefault="00C83C50" w:rsidP="003364BB">
            <w:pPr>
              <w:pStyle w:val="Tabletext0"/>
              <w:ind w:left="57" w:right="57"/>
              <w:rPr>
                <w:sz w:val="2"/>
                <w:szCs w:val="2"/>
              </w:rPr>
            </w:pPr>
          </w:p>
        </w:tc>
      </w:tr>
      <w:tr w:rsidR="00C83C50" w14:paraId="24345BCF" w14:textId="77777777" w:rsidTr="003364BB">
        <w:trPr>
          <w:trHeight w:val="20"/>
        </w:trPr>
        <w:tc>
          <w:tcPr>
            <w:tcW w:w="1975" w:type="dxa"/>
            <w:vMerge/>
          </w:tcPr>
          <w:p w14:paraId="5A00C7D0" w14:textId="77777777" w:rsidR="00C83C50" w:rsidRDefault="00C83C50" w:rsidP="003364BB">
            <w:pPr>
              <w:pStyle w:val="Tabletext0"/>
              <w:ind w:left="57" w:right="57"/>
              <w:rPr>
                <w:rFonts w:ascii="Times New Roman"/>
              </w:rPr>
            </w:pPr>
          </w:p>
        </w:tc>
        <w:tc>
          <w:tcPr>
            <w:tcW w:w="2722" w:type="dxa"/>
          </w:tcPr>
          <w:p w14:paraId="6AFE5E90" w14:textId="77777777" w:rsidR="00C83C50" w:rsidRDefault="00C83C50" w:rsidP="003364BB">
            <w:pPr>
              <w:pStyle w:val="Tabletext0"/>
              <w:ind w:left="57" w:right="57"/>
            </w:pPr>
            <w:r>
              <w:t>H773dup</w:t>
            </w:r>
          </w:p>
        </w:tc>
        <w:tc>
          <w:tcPr>
            <w:tcW w:w="1105" w:type="dxa"/>
          </w:tcPr>
          <w:p w14:paraId="3B7E98A6" w14:textId="77777777" w:rsidR="00C83C50" w:rsidRDefault="00C83C50" w:rsidP="003364BB">
            <w:pPr>
              <w:pStyle w:val="Tabletext0"/>
              <w:ind w:left="57" w:right="57"/>
            </w:pPr>
            <w:r>
              <w:t>3</w:t>
            </w:r>
          </w:p>
        </w:tc>
        <w:tc>
          <w:tcPr>
            <w:tcW w:w="3549" w:type="dxa"/>
            <w:vMerge/>
          </w:tcPr>
          <w:p w14:paraId="02B2E629" w14:textId="77777777" w:rsidR="00C83C50" w:rsidRDefault="00C83C50" w:rsidP="003364BB">
            <w:pPr>
              <w:pStyle w:val="Tabletext0"/>
              <w:ind w:left="57" w:right="57"/>
              <w:rPr>
                <w:sz w:val="2"/>
                <w:szCs w:val="2"/>
              </w:rPr>
            </w:pPr>
          </w:p>
        </w:tc>
      </w:tr>
      <w:tr w:rsidR="00C83C50" w14:paraId="24D59324" w14:textId="77777777" w:rsidTr="003364BB">
        <w:trPr>
          <w:trHeight w:val="20"/>
        </w:trPr>
        <w:tc>
          <w:tcPr>
            <w:tcW w:w="1975" w:type="dxa"/>
            <w:vMerge/>
          </w:tcPr>
          <w:p w14:paraId="07B2CE6D" w14:textId="77777777" w:rsidR="00C83C50" w:rsidRDefault="00C83C50" w:rsidP="003364BB">
            <w:pPr>
              <w:pStyle w:val="Tabletext0"/>
              <w:ind w:left="57" w:right="57"/>
              <w:rPr>
                <w:rFonts w:ascii="Times New Roman"/>
                <w:sz w:val="20"/>
              </w:rPr>
            </w:pPr>
          </w:p>
        </w:tc>
        <w:tc>
          <w:tcPr>
            <w:tcW w:w="2722" w:type="dxa"/>
          </w:tcPr>
          <w:p w14:paraId="71A5D4E1" w14:textId="77777777" w:rsidR="00C83C50" w:rsidRDefault="00C83C50" w:rsidP="003364BB">
            <w:pPr>
              <w:pStyle w:val="Tabletext0"/>
              <w:ind w:left="57" w:right="57"/>
            </w:pPr>
            <w:r>
              <w:t>H773delinsNPT</w:t>
            </w:r>
          </w:p>
        </w:tc>
        <w:tc>
          <w:tcPr>
            <w:tcW w:w="1105" w:type="dxa"/>
          </w:tcPr>
          <w:p w14:paraId="01E4BF2B" w14:textId="77777777" w:rsidR="00C83C50" w:rsidRDefault="00C83C50" w:rsidP="003364BB">
            <w:pPr>
              <w:pStyle w:val="Tabletext0"/>
              <w:ind w:left="57" w:right="57"/>
            </w:pPr>
            <w:r>
              <w:t>1</w:t>
            </w:r>
          </w:p>
        </w:tc>
        <w:tc>
          <w:tcPr>
            <w:tcW w:w="3549" w:type="dxa"/>
            <w:vMerge/>
          </w:tcPr>
          <w:p w14:paraId="3F8678D0" w14:textId="77777777" w:rsidR="00C83C50" w:rsidRDefault="00C83C50" w:rsidP="003364BB">
            <w:pPr>
              <w:pStyle w:val="Tabletext0"/>
              <w:ind w:left="57" w:right="57"/>
              <w:rPr>
                <w:sz w:val="2"/>
                <w:szCs w:val="2"/>
              </w:rPr>
            </w:pPr>
          </w:p>
        </w:tc>
      </w:tr>
      <w:tr w:rsidR="00C83C50" w14:paraId="2DE0C989" w14:textId="77777777" w:rsidTr="003364BB">
        <w:trPr>
          <w:trHeight w:val="20"/>
        </w:trPr>
        <w:tc>
          <w:tcPr>
            <w:tcW w:w="1975" w:type="dxa"/>
          </w:tcPr>
          <w:p w14:paraId="307A92D0" w14:textId="77777777" w:rsidR="00C83C50" w:rsidRDefault="00C83C50" w:rsidP="003364BB">
            <w:pPr>
              <w:pStyle w:val="Tabletext0"/>
              <w:ind w:left="57" w:right="57"/>
            </w:pPr>
            <w:r>
              <w:t>Unknown**</w:t>
            </w:r>
          </w:p>
        </w:tc>
        <w:tc>
          <w:tcPr>
            <w:tcW w:w="2722" w:type="dxa"/>
          </w:tcPr>
          <w:p w14:paraId="695EFB05" w14:textId="77777777" w:rsidR="00C83C50" w:rsidRDefault="00C83C50" w:rsidP="003364BB">
            <w:pPr>
              <w:pStyle w:val="Tabletext0"/>
              <w:ind w:left="57" w:right="57"/>
            </w:pPr>
            <w:r>
              <w:t>not available</w:t>
            </w:r>
          </w:p>
        </w:tc>
        <w:tc>
          <w:tcPr>
            <w:tcW w:w="1105" w:type="dxa"/>
          </w:tcPr>
          <w:p w14:paraId="7BD0D743" w14:textId="77777777" w:rsidR="00C83C50" w:rsidRDefault="00C83C50" w:rsidP="003364BB">
            <w:pPr>
              <w:pStyle w:val="Tabletext0"/>
              <w:ind w:left="57" w:right="57"/>
            </w:pPr>
            <w:r>
              <w:rPr>
                <w:spacing w:val="-5"/>
              </w:rPr>
              <w:t>18</w:t>
            </w:r>
          </w:p>
        </w:tc>
        <w:tc>
          <w:tcPr>
            <w:tcW w:w="3549" w:type="dxa"/>
          </w:tcPr>
          <w:p w14:paraId="15DF2D7D" w14:textId="77777777" w:rsidR="00C83C50" w:rsidRDefault="00C83C50" w:rsidP="003364BB">
            <w:pPr>
              <w:pStyle w:val="Tabletext0"/>
              <w:ind w:left="57" w:right="57"/>
            </w:pPr>
            <w:r>
              <w:t>7</w:t>
            </w:r>
            <w:r>
              <w:rPr>
                <w:spacing w:val="-1"/>
              </w:rPr>
              <w:t xml:space="preserve"> </w:t>
            </w:r>
            <w:r>
              <w:t>(38.9%)</w:t>
            </w:r>
          </w:p>
        </w:tc>
      </w:tr>
      <w:tr w:rsidR="00C83C50" w14:paraId="2153761A" w14:textId="77777777" w:rsidTr="003364BB">
        <w:trPr>
          <w:trHeight w:val="20"/>
        </w:trPr>
        <w:tc>
          <w:tcPr>
            <w:tcW w:w="1975" w:type="dxa"/>
          </w:tcPr>
          <w:p w14:paraId="23A05E4B" w14:textId="77777777" w:rsidR="00C83C50" w:rsidRDefault="00C83C50" w:rsidP="003364BB">
            <w:pPr>
              <w:pStyle w:val="Tabletext0"/>
              <w:ind w:left="57" w:right="57"/>
            </w:pPr>
            <w:r>
              <w:t>Total</w:t>
            </w:r>
          </w:p>
        </w:tc>
        <w:tc>
          <w:tcPr>
            <w:tcW w:w="2722" w:type="dxa"/>
          </w:tcPr>
          <w:p w14:paraId="5A4E2EB3" w14:textId="77777777" w:rsidR="00C83C50" w:rsidRDefault="00C83C50" w:rsidP="003364BB">
            <w:pPr>
              <w:pStyle w:val="Tabletext0"/>
              <w:ind w:left="57" w:right="57"/>
              <w:rPr>
                <w:rFonts w:ascii="Times New Roman"/>
              </w:rPr>
            </w:pPr>
          </w:p>
        </w:tc>
        <w:tc>
          <w:tcPr>
            <w:tcW w:w="1105" w:type="dxa"/>
          </w:tcPr>
          <w:p w14:paraId="04625F80" w14:textId="77777777" w:rsidR="00C83C50" w:rsidRDefault="00C83C50" w:rsidP="003364BB">
            <w:pPr>
              <w:pStyle w:val="Tabletext0"/>
              <w:ind w:left="57" w:right="57"/>
            </w:pPr>
            <w:r>
              <w:rPr>
                <w:spacing w:val="-5"/>
              </w:rPr>
              <w:t>81</w:t>
            </w:r>
          </w:p>
        </w:tc>
        <w:tc>
          <w:tcPr>
            <w:tcW w:w="3549" w:type="dxa"/>
          </w:tcPr>
          <w:p w14:paraId="4CF65624" w14:textId="77777777" w:rsidR="00C83C50" w:rsidRDefault="00C83C50" w:rsidP="003364BB">
            <w:pPr>
              <w:pStyle w:val="Tabletext0"/>
              <w:ind w:left="57" w:right="57"/>
            </w:pPr>
            <w:r>
              <w:t>32 (39.5%)</w:t>
            </w:r>
          </w:p>
        </w:tc>
      </w:tr>
    </w:tbl>
    <w:p w14:paraId="435DB510" w14:textId="77777777" w:rsidR="00C83C50" w:rsidRDefault="00C83C50" w:rsidP="00C104AA">
      <w:pPr>
        <w:pStyle w:val="TableDescription"/>
      </w:pPr>
      <w:r>
        <w:t>ORR = overall response rate by blinded independent central review (DCO 8 OCT 2020</w:t>
      </w:r>
      <w:proofErr w:type="gramStart"/>
      <w:r>
        <w:t>);</w:t>
      </w:r>
      <w:proofErr w:type="gramEnd"/>
    </w:p>
    <w:p w14:paraId="7CF7ED9E" w14:textId="77777777" w:rsidR="00C83C50" w:rsidRDefault="00C83C50" w:rsidP="00C104AA">
      <w:pPr>
        <w:pStyle w:val="TableDescription"/>
      </w:pPr>
      <w:r>
        <w:t xml:space="preserve">* Occurs in the C-helix. Reported to be sensitive to EGFR TKIs.65, 67, 68, 69 </w:t>
      </w:r>
    </w:p>
    <w:p w14:paraId="4C2D577E" w14:textId="4E63B930" w:rsidR="00C83C50" w:rsidRDefault="00C83C50" w:rsidP="00C104AA">
      <w:pPr>
        <w:pStyle w:val="TableDescription"/>
      </w:pPr>
      <w:r>
        <w:t xml:space="preserve">** Unknown status (n=18): no insertion detected by central </w:t>
      </w:r>
      <w:proofErr w:type="spellStart"/>
      <w:r>
        <w:t>ctDNA</w:t>
      </w:r>
      <w:proofErr w:type="spellEnd"/>
      <w:r>
        <w:t xml:space="preserve"> analysis. Of these, the exon 20 insertion variant was identified by local NGS for 11 patients, as follows: A767_V769dup (N=3), S768_V769delinsIL (N=1), V769_D770insGVV (N=1), D770_N771insGD (N=1), N771_H773dup (N=1), P772_H773dup (N=1), H773_V774insNPH (N=1), H773_V774insPH (N=1), H773dup (N=1). For the remaining 7 patients, local PCR tests detected exon 20 insertions but did not identify the specific variants or additional mutations. Responses (CR or PR) were observed in patients with the following local test results: A767_V769dup (N=1), H773_V774insPH (N=1), V769_D770insGVV (N=1), S768_V769delinsIL (N=1), and not identified (N=3). Co- occurring EGFR mutations included T790M (in one patient with A767 subtype) and S768I (in one patient with unknown insertion based on central test, S768_V769delinsIL based on local test). Other uncommon or uncharacterised EGFR mutations are not listed.</w:t>
      </w:r>
    </w:p>
    <w:p w14:paraId="55DAAF86" w14:textId="5247D506" w:rsidR="00C83C50" w:rsidRDefault="00C83C50" w:rsidP="00C104AA">
      <w:pPr>
        <w:pStyle w:val="TableDescription"/>
      </w:pPr>
      <w:r>
        <w:t>Source: From ‘</w:t>
      </w:r>
      <w:r w:rsidRPr="00C104AA">
        <w:t>Table 11</w:t>
      </w:r>
      <w:r>
        <w:t>’</w:t>
      </w:r>
      <w:r w:rsidRPr="00C104AA">
        <w:t xml:space="preserve"> of the FDA MDR</w:t>
      </w:r>
      <w:r>
        <w:t>;</w:t>
      </w:r>
      <w:r>
        <w:fldChar w:fldCharType="begin"/>
      </w:r>
      <w:r>
        <w:instrText xml:space="preserve"> NOTEREF _Ref139030832 \f \h  \* MERGEFORMAT </w:instrText>
      </w:r>
      <w:r>
        <w:fldChar w:fldCharType="separate"/>
      </w:r>
      <w:r w:rsidR="0006496E" w:rsidRPr="0006496E">
        <w:rPr>
          <w:rStyle w:val="FootnoteReference"/>
        </w:rPr>
        <w:t>76</w:t>
      </w:r>
      <w:r>
        <w:fldChar w:fldCharType="end"/>
      </w:r>
    </w:p>
    <w:p w14:paraId="70E5BEEA" w14:textId="77777777" w:rsidR="00C83C50" w:rsidRPr="0018456E" w:rsidRDefault="00C83C50" w:rsidP="0018456E">
      <w:pPr>
        <w:pStyle w:val="Heading5"/>
      </w:pPr>
      <w:bookmarkStart w:id="101" w:name="_Ref113975618"/>
      <w:r w:rsidRPr="0018456E">
        <w:t>Supporting study NSC1002</w:t>
      </w:r>
      <w:bookmarkEnd w:id="101"/>
    </w:p>
    <w:p w14:paraId="38DA11F7" w14:textId="152DC680" w:rsidR="00C83C50" w:rsidRPr="005B715B" w:rsidRDefault="00C83C50" w:rsidP="00C104AA">
      <w:r w:rsidRPr="005B715B">
        <w:t xml:space="preserve">Due to the rarity of ex20ins mutation-positive NSCLC, a paucity of previous clinical trial data and lack of a specific standard of care for patients with this disease, </w:t>
      </w:r>
      <w:r>
        <w:t xml:space="preserve">analyses of </w:t>
      </w:r>
      <w:proofErr w:type="gramStart"/>
      <w:r>
        <w:t>real world</w:t>
      </w:r>
      <w:proofErr w:type="gramEnd"/>
      <w:r>
        <w:t xml:space="preserve"> data</w:t>
      </w:r>
      <w:r w:rsidRPr="005B715B">
        <w:t xml:space="preserve"> </w:t>
      </w:r>
      <w:r>
        <w:t>were</w:t>
      </w:r>
      <w:r w:rsidRPr="005B715B">
        <w:t xml:space="preserve"> submitted by the Sponsor to provide clinical context to the pivotal evidence.</w:t>
      </w:r>
    </w:p>
    <w:p w14:paraId="20F00D6B" w14:textId="77777777" w:rsidR="00C83C50" w:rsidRDefault="00C83C50" w:rsidP="00C104AA">
      <w:r>
        <w:lastRenderedPageBreak/>
        <w:t>Study 61186372NSC1002RWE (hereafter referred to as Study NSC1002) incorporated two parts:</w:t>
      </w:r>
    </w:p>
    <w:p w14:paraId="343F8FCC" w14:textId="77777777" w:rsidR="00C83C50" w:rsidRDefault="00C83C50" w:rsidP="00C104AA">
      <w:pPr>
        <w:pStyle w:val="Bulletlist"/>
      </w:pPr>
      <w:r>
        <w:t xml:space="preserve">Part 1: a retrospective cohort study </w:t>
      </w:r>
      <w:r w:rsidRPr="00CE54C5">
        <w:rPr>
          <w:lang w:val="en-US"/>
        </w:rPr>
        <w:t xml:space="preserve">conducted in the US using </w:t>
      </w:r>
      <w:r>
        <w:rPr>
          <w:lang w:val="en-US"/>
        </w:rPr>
        <w:t xml:space="preserve">longitudinal data from </w:t>
      </w:r>
      <w:r w:rsidRPr="00CE54C5">
        <w:rPr>
          <w:lang w:val="en-US"/>
        </w:rPr>
        <w:t>the Advanced NSCLC Flatiron Core Registry</w:t>
      </w:r>
    </w:p>
    <w:p w14:paraId="057C5B5B" w14:textId="1824D838" w:rsidR="00C83C50" w:rsidRDefault="00C83C50" w:rsidP="00C104AA">
      <w:pPr>
        <w:pStyle w:val="Bulletlist"/>
      </w:pPr>
      <w:r>
        <w:t>Part 2: an analysis of five electronic health record (</w:t>
      </w:r>
      <w:proofErr w:type="spellStart"/>
      <w:r>
        <w:t>eHR</w:t>
      </w:r>
      <w:proofErr w:type="spellEnd"/>
      <w:r>
        <w:t xml:space="preserve">) and claim reimbursement datasets regarding </w:t>
      </w:r>
      <w:proofErr w:type="gramStart"/>
      <w:r>
        <w:t>commonly-used</w:t>
      </w:r>
      <w:proofErr w:type="gramEnd"/>
      <w:r>
        <w:t xml:space="preserve"> second-line regimens for </w:t>
      </w:r>
      <w:r w:rsidRPr="00165D19">
        <w:rPr>
          <w:i/>
          <w:iCs/>
        </w:rPr>
        <w:t>EGFR</w:t>
      </w:r>
      <w:r>
        <w:t xml:space="preserve"> ex20ins-positive NSCLC (including combination therapy with ramucirumab and docetaxel).</w:t>
      </w:r>
    </w:p>
    <w:p w14:paraId="0EC96829" w14:textId="77777777" w:rsidR="00C83C50" w:rsidRPr="0018456E" w:rsidRDefault="00C83C50" w:rsidP="0018456E">
      <w:pPr>
        <w:pStyle w:val="Heading6"/>
      </w:pPr>
      <w:r w:rsidRPr="0018456E">
        <w:t>Design</w:t>
      </w:r>
    </w:p>
    <w:p w14:paraId="5FADA5EA" w14:textId="77777777" w:rsidR="00C83C50" w:rsidRPr="0018456E" w:rsidRDefault="00C83C50" w:rsidP="0018456E">
      <w:pPr>
        <w:pStyle w:val="Heading7"/>
      </w:pPr>
      <w:r w:rsidRPr="0018456E">
        <w:t>Part 1</w:t>
      </w:r>
    </w:p>
    <w:p w14:paraId="23C2E49E" w14:textId="3FAA04EC" w:rsidR="00C83C50" w:rsidRPr="00431141" w:rsidRDefault="00C83C50" w:rsidP="00C104AA">
      <w:r>
        <w:t xml:space="preserve">The study included 181 adults with advanced, </w:t>
      </w:r>
      <w:r w:rsidRPr="00165D19">
        <w:rPr>
          <w:i/>
          <w:iCs/>
        </w:rPr>
        <w:t>EGFR</w:t>
      </w:r>
      <w:r>
        <w:rPr>
          <w:i/>
          <w:iCs/>
        </w:rPr>
        <w:t xml:space="preserve"> </w:t>
      </w:r>
      <w:r>
        <w:t xml:space="preserve">positive NSCLC diagnosed between 1 January 2011 and 31 May 2020 who were included in the Advanced NSCLC Flatiron Registry (a de-identified database of </w:t>
      </w:r>
      <w:proofErr w:type="spellStart"/>
      <w:r>
        <w:t>eHR</w:t>
      </w:r>
      <w:proofErr w:type="spellEnd"/>
      <w:r>
        <w:t xml:space="preserve"> data from over 280 cancer clinics across the USA) and had started first-line therapy within 90 days of diagnosis.</w:t>
      </w:r>
    </w:p>
    <w:p w14:paraId="06C93660" w14:textId="39ADC486" w:rsidR="00C83C50" w:rsidRPr="00165D19" w:rsidRDefault="00C83C50" w:rsidP="00C104AA">
      <w:pPr>
        <w:rPr>
          <w:lang w:eastAsia="zh-TW"/>
        </w:rPr>
      </w:pPr>
      <w:r w:rsidRPr="00FF508E">
        <w:rPr>
          <w:lang w:eastAsia="zh-TW"/>
        </w:rPr>
        <w:t xml:space="preserve">The </w:t>
      </w:r>
      <w:r>
        <w:rPr>
          <w:lang w:eastAsia="zh-TW"/>
        </w:rPr>
        <w:t xml:space="preserve">dual </w:t>
      </w:r>
      <w:r w:rsidRPr="00FF508E">
        <w:rPr>
          <w:lang w:eastAsia="zh-TW"/>
        </w:rPr>
        <w:t>primary endpoint</w:t>
      </w:r>
      <w:r>
        <w:rPr>
          <w:lang w:eastAsia="zh-TW"/>
        </w:rPr>
        <w:t>s</w:t>
      </w:r>
      <w:r w:rsidRPr="00FF508E">
        <w:rPr>
          <w:lang w:eastAsia="zh-TW"/>
        </w:rPr>
        <w:t xml:space="preserve"> </w:t>
      </w:r>
      <w:r>
        <w:rPr>
          <w:lang w:eastAsia="zh-TW"/>
        </w:rPr>
        <w:t>were</w:t>
      </w:r>
      <w:r w:rsidRPr="00FF508E">
        <w:rPr>
          <w:lang w:eastAsia="zh-TW"/>
        </w:rPr>
        <w:t xml:space="preserve"> real-world </w:t>
      </w:r>
      <w:r>
        <w:rPr>
          <w:lang w:eastAsia="zh-TW"/>
        </w:rPr>
        <w:t>overall survival</w:t>
      </w:r>
      <w:r w:rsidRPr="00FF508E">
        <w:rPr>
          <w:lang w:eastAsia="zh-TW"/>
        </w:rPr>
        <w:t xml:space="preserve">, defined as the time from start of first line therapy to death, </w:t>
      </w:r>
      <w:r>
        <w:rPr>
          <w:lang w:eastAsia="zh-TW"/>
        </w:rPr>
        <w:t xml:space="preserve">and real-world progression free survival on first EGFR TKI treatment, </w:t>
      </w:r>
      <w:r w:rsidRPr="00FF508E">
        <w:rPr>
          <w:lang w:eastAsia="zh-TW"/>
        </w:rPr>
        <w:t xml:space="preserve">in patients with ex20ins versus common </w:t>
      </w:r>
      <w:r w:rsidRPr="00165D19">
        <w:rPr>
          <w:i/>
          <w:iCs/>
          <w:lang w:eastAsia="zh-TW"/>
        </w:rPr>
        <w:t>EGF</w:t>
      </w:r>
      <w:r>
        <w:rPr>
          <w:i/>
          <w:iCs/>
          <w:lang w:eastAsia="zh-TW"/>
        </w:rPr>
        <w:t>R</w:t>
      </w:r>
      <w:r w:rsidRPr="00FF508E">
        <w:rPr>
          <w:lang w:eastAsia="zh-TW"/>
        </w:rPr>
        <w:t xml:space="preserve"> mutations.</w:t>
      </w:r>
    </w:p>
    <w:p w14:paraId="7037C475" w14:textId="77777777" w:rsidR="00C83C50" w:rsidRPr="0018456E" w:rsidRDefault="00C83C50" w:rsidP="0018456E">
      <w:pPr>
        <w:pStyle w:val="Heading7"/>
      </w:pPr>
      <w:r w:rsidRPr="0018456E">
        <w:t>Part 2</w:t>
      </w:r>
    </w:p>
    <w:p w14:paraId="2678B690" w14:textId="7D212A93" w:rsidR="00C83C50" w:rsidRDefault="00C83C50" w:rsidP="00C104AA">
      <w:pPr>
        <w:rPr>
          <w:lang w:eastAsia="zh-TW"/>
        </w:rPr>
      </w:pPr>
      <w:r>
        <w:rPr>
          <w:lang w:eastAsia="zh-TW"/>
        </w:rPr>
        <w:t>Real world data was compiled from the following sources:</w:t>
      </w:r>
    </w:p>
    <w:p w14:paraId="0000881C" w14:textId="0B507B23" w:rsidR="00C83C50" w:rsidRDefault="00C83C50" w:rsidP="0018456E">
      <w:pPr>
        <w:pStyle w:val="ListBullet"/>
        <w:rPr>
          <w:lang w:eastAsia="zh-TW"/>
        </w:rPr>
      </w:pPr>
      <w:proofErr w:type="spellStart"/>
      <w:r>
        <w:rPr>
          <w:lang w:eastAsia="zh-TW"/>
        </w:rPr>
        <w:t>MarketScan</w:t>
      </w:r>
      <w:proofErr w:type="spellEnd"/>
      <w:r>
        <w:rPr>
          <w:lang w:eastAsia="zh-TW"/>
        </w:rPr>
        <w:t xml:space="preserve">: A longitudinal database including inpatient and outpatient health care claims from over 100 large employers, health plans, and government and public organizations representing approximately 75 million covered individuals. This database does not include biomarker data, preventing subgroup analysis of </w:t>
      </w:r>
      <w:r w:rsidRPr="00165D19">
        <w:rPr>
          <w:i/>
          <w:iCs/>
          <w:lang w:eastAsia="zh-TW"/>
        </w:rPr>
        <w:t>EGFR</w:t>
      </w:r>
      <w:r>
        <w:rPr>
          <w:lang w:eastAsia="zh-TW"/>
        </w:rPr>
        <w:t xml:space="preserve"> mutated disease.</w:t>
      </w:r>
    </w:p>
    <w:p w14:paraId="2F724CD3" w14:textId="2BFAACAF" w:rsidR="00C83C50" w:rsidRDefault="00C83C50" w:rsidP="0018456E">
      <w:pPr>
        <w:pStyle w:val="ListBullet"/>
        <w:rPr>
          <w:lang w:eastAsia="zh-TW"/>
        </w:rPr>
      </w:pPr>
      <w:r>
        <w:rPr>
          <w:lang w:eastAsia="zh-TW"/>
        </w:rPr>
        <w:t xml:space="preserve">Flatiron Health: An </w:t>
      </w:r>
      <w:proofErr w:type="spellStart"/>
      <w:r>
        <w:rPr>
          <w:lang w:eastAsia="zh-TW"/>
        </w:rPr>
        <w:t>eHR</w:t>
      </w:r>
      <w:proofErr w:type="spellEnd"/>
      <w:r>
        <w:rPr>
          <w:lang w:eastAsia="zh-TW"/>
        </w:rPr>
        <w:t>-derived database with data from over 265 cancer clinics representing more than 2 million active US cancer patients. The database includes longitudinal patient-level data including variables such as biomarker status and treatment regimens curated via technology-enabled abstraction</w:t>
      </w:r>
    </w:p>
    <w:p w14:paraId="4EFA0C66" w14:textId="77777777" w:rsidR="00C83C50" w:rsidRDefault="00C83C50" w:rsidP="0018456E">
      <w:pPr>
        <w:pStyle w:val="ListBullet"/>
        <w:rPr>
          <w:lang w:eastAsia="zh-TW"/>
        </w:rPr>
      </w:pPr>
      <w:r>
        <w:rPr>
          <w:lang w:eastAsia="zh-TW"/>
        </w:rPr>
        <w:t xml:space="preserve">TEMPUS: A provider of next generation sequencing with an integrated clinical and genomic cancer database aggregated from National Cancer Institute designated </w:t>
      </w:r>
      <w:proofErr w:type="spellStart"/>
      <w:r>
        <w:rPr>
          <w:lang w:eastAsia="zh-TW"/>
        </w:rPr>
        <w:t>centers</w:t>
      </w:r>
      <w:proofErr w:type="spellEnd"/>
      <w:r>
        <w:rPr>
          <w:lang w:eastAsia="zh-TW"/>
        </w:rPr>
        <w:t xml:space="preserve">, academic medical </w:t>
      </w:r>
      <w:proofErr w:type="spellStart"/>
      <w:r>
        <w:rPr>
          <w:lang w:eastAsia="zh-TW"/>
        </w:rPr>
        <w:t>centers</w:t>
      </w:r>
      <w:proofErr w:type="spellEnd"/>
      <w:r>
        <w:rPr>
          <w:lang w:eastAsia="zh-TW"/>
        </w:rPr>
        <w:t xml:space="preserve">, and community-based hospitals comprised of over 2000 medical oncologists and 1 million patient records. </w:t>
      </w:r>
    </w:p>
    <w:p w14:paraId="69BA9332" w14:textId="2D029FD3" w:rsidR="00C83C50" w:rsidRDefault="00C83C50" w:rsidP="0018456E">
      <w:pPr>
        <w:pStyle w:val="ListBullet"/>
        <w:rPr>
          <w:lang w:eastAsia="zh-TW"/>
        </w:rPr>
      </w:pPr>
      <w:proofErr w:type="spellStart"/>
      <w:r>
        <w:rPr>
          <w:lang w:eastAsia="zh-TW"/>
        </w:rPr>
        <w:t>IntrinsiQ</w:t>
      </w:r>
      <w:proofErr w:type="spellEnd"/>
      <w:r>
        <w:rPr>
          <w:lang w:eastAsia="zh-TW"/>
        </w:rPr>
        <w:t xml:space="preserve">: An </w:t>
      </w:r>
      <w:proofErr w:type="spellStart"/>
      <w:r>
        <w:rPr>
          <w:lang w:eastAsia="zh-TW"/>
        </w:rPr>
        <w:t>eHR</w:t>
      </w:r>
      <w:proofErr w:type="spellEnd"/>
      <w:r>
        <w:rPr>
          <w:lang w:eastAsia="zh-TW"/>
        </w:rPr>
        <w:t xml:space="preserve">-derived database including longitudinal, patient-level data in approximately 69,400 oncology patients treated by over 650 academic and community hospitals and clinics. In addition to demographics and drug administration data, the database also captures staging, pathology, biomarkers, and reason for regimen changes. </w:t>
      </w:r>
    </w:p>
    <w:p w14:paraId="35ADE5D1" w14:textId="7BC29FDB" w:rsidR="00C83C50" w:rsidRDefault="00C83C50" w:rsidP="0018456E">
      <w:pPr>
        <w:pStyle w:val="ListBullet"/>
        <w:rPr>
          <w:lang w:eastAsia="zh-TW"/>
        </w:rPr>
      </w:pPr>
      <w:r>
        <w:rPr>
          <w:lang w:eastAsia="zh-TW"/>
        </w:rPr>
        <w:t xml:space="preserve">Ipsos Health: An </w:t>
      </w:r>
      <w:proofErr w:type="spellStart"/>
      <w:r>
        <w:rPr>
          <w:lang w:eastAsia="zh-TW"/>
        </w:rPr>
        <w:t>eHR</w:t>
      </w:r>
      <w:proofErr w:type="spellEnd"/>
      <w:r>
        <w:rPr>
          <w:lang w:eastAsia="zh-TW"/>
        </w:rPr>
        <w:t xml:space="preserve">-derived database which captures longitudinal patient-level data, including biomarker status, and details usage of anti-cancer agents, utilizing 280,000 patient records from approximately 4,000 physicians. The EU sample includes data from outpatient </w:t>
      </w:r>
      <w:proofErr w:type="spellStart"/>
      <w:r>
        <w:rPr>
          <w:lang w:eastAsia="zh-TW"/>
        </w:rPr>
        <w:t>centers</w:t>
      </w:r>
      <w:proofErr w:type="spellEnd"/>
      <w:r>
        <w:rPr>
          <w:lang w:eastAsia="zh-TW"/>
        </w:rPr>
        <w:t xml:space="preserve">, </w:t>
      </w:r>
      <w:proofErr w:type="gramStart"/>
      <w:r>
        <w:rPr>
          <w:lang w:eastAsia="zh-TW"/>
        </w:rPr>
        <w:t>community</w:t>
      </w:r>
      <w:proofErr w:type="gramEnd"/>
      <w:r>
        <w:rPr>
          <w:lang w:eastAsia="zh-TW"/>
        </w:rPr>
        <w:t xml:space="preserve"> and academic hospitals, as well as comprehensive cancer </w:t>
      </w:r>
      <w:proofErr w:type="spellStart"/>
      <w:r>
        <w:rPr>
          <w:lang w:eastAsia="zh-TW"/>
        </w:rPr>
        <w:t>centers</w:t>
      </w:r>
      <w:proofErr w:type="spellEnd"/>
      <w:r>
        <w:rPr>
          <w:lang w:eastAsia="zh-TW"/>
        </w:rPr>
        <w:t xml:space="preserve"> in France, Germany, Italy, Spain, and the United Kingdom.</w:t>
      </w:r>
    </w:p>
    <w:p w14:paraId="6B56580B" w14:textId="0BF0E46A" w:rsidR="00C83C50" w:rsidRPr="0018456E" w:rsidRDefault="00C83C50" w:rsidP="0018456E">
      <w:r w:rsidRPr="0018456E">
        <w:t xml:space="preserve">The main aim of Part 2 was to address the </w:t>
      </w:r>
      <w:proofErr w:type="gramStart"/>
      <w:r w:rsidRPr="0018456E">
        <w:t>real world</w:t>
      </w:r>
      <w:proofErr w:type="gramEnd"/>
      <w:r w:rsidRPr="0018456E">
        <w:t xml:space="preserve"> usage of combination therapy with ramucirumab-docetaxel, as this been approved for use in the second-line setting in the USA, based on an absolute improvement in OS, </w:t>
      </w:r>
      <w:r>
        <w:t>progression free survival (</w:t>
      </w:r>
      <w:r w:rsidRPr="0018456E">
        <w:t>PFS</w:t>
      </w:r>
      <w:r>
        <w:t>)</w:t>
      </w:r>
      <w:r w:rsidRPr="0018456E">
        <w:t xml:space="preserve"> and ORR over docetaxel +placebo at the cost of increased toxicity.</w:t>
      </w:r>
    </w:p>
    <w:p w14:paraId="6A7C8505" w14:textId="77777777" w:rsidR="00C83C50" w:rsidRPr="0018456E" w:rsidRDefault="00C83C50" w:rsidP="0018456E">
      <w:pPr>
        <w:pStyle w:val="Heading6"/>
      </w:pPr>
      <w:r w:rsidRPr="0018456E">
        <w:lastRenderedPageBreak/>
        <w:t>Results</w:t>
      </w:r>
    </w:p>
    <w:p w14:paraId="460807BA" w14:textId="77777777" w:rsidR="00C83C50" w:rsidRPr="0018456E" w:rsidRDefault="00C83C50" w:rsidP="0018456E">
      <w:r w:rsidRPr="0018456E">
        <w:t xml:space="preserve">The limitations of the data prevent firm conclusions, however, Study NSC1002 supports that </w:t>
      </w:r>
    </w:p>
    <w:p w14:paraId="3D1D4E86" w14:textId="3110EF7E" w:rsidR="00C83C50" w:rsidRDefault="00C83C50" w:rsidP="0018456E">
      <w:pPr>
        <w:pStyle w:val="ListBullet"/>
        <w:rPr>
          <w:lang w:eastAsia="zh-TW"/>
        </w:rPr>
      </w:pPr>
      <w:r>
        <w:rPr>
          <w:lang w:eastAsia="zh-TW"/>
        </w:rPr>
        <w:t>There was n</w:t>
      </w:r>
      <w:r w:rsidRPr="00DD51EC">
        <w:rPr>
          <w:lang w:eastAsia="zh-TW"/>
        </w:rPr>
        <w:t xml:space="preserve">o clear standard of care for </w:t>
      </w:r>
      <w:r>
        <w:rPr>
          <w:lang w:eastAsia="zh-TW"/>
        </w:rPr>
        <w:t xml:space="preserve">advanced </w:t>
      </w:r>
      <w:r w:rsidRPr="00165D19">
        <w:rPr>
          <w:i/>
          <w:iCs/>
          <w:lang w:eastAsia="zh-TW"/>
        </w:rPr>
        <w:t>EGFR</w:t>
      </w:r>
      <w:r>
        <w:rPr>
          <w:lang w:eastAsia="zh-TW"/>
        </w:rPr>
        <w:t xml:space="preserve"> </w:t>
      </w:r>
      <w:r w:rsidRPr="00DD51EC">
        <w:rPr>
          <w:lang w:eastAsia="zh-TW"/>
        </w:rPr>
        <w:t>ex20ins</w:t>
      </w:r>
      <w:r>
        <w:rPr>
          <w:lang w:eastAsia="zh-TW"/>
        </w:rPr>
        <w:t>-positive</w:t>
      </w:r>
      <w:r w:rsidRPr="00DD51EC">
        <w:rPr>
          <w:lang w:eastAsia="zh-TW"/>
        </w:rPr>
        <w:t xml:space="preserve"> NSCLC after failure of first</w:t>
      </w:r>
      <w:r>
        <w:rPr>
          <w:lang w:eastAsia="zh-TW"/>
        </w:rPr>
        <w:t xml:space="preserve"> </w:t>
      </w:r>
      <w:r w:rsidRPr="00DD51EC">
        <w:rPr>
          <w:lang w:eastAsia="zh-TW"/>
        </w:rPr>
        <w:t>line therapy</w:t>
      </w:r>
      <w:r>
        <w:rPr>
          <w:lang w:eastAsia="zh-TW"/>
        </w:rPr>
        <w:t xml:space="preserve"> during the study period</w:t>
      </w:r>
    </w:p>
    <w:p w14:paraId="285A505C" w14:textId="26959B50" w:rsidR="00C83C50" w:rsidRDefault="00C83C50" w:rsidP="0018456E">
      <w:pPr>
        <w:pStyle w:val="ListBullet"/>
      </w:pPr>
      <w:r>
        <w:t>Outcomes</w:t>
      </w:r>
      <w:r w:rsidRPr="002F342A">
        <w:t xml:space="preserve"> </w:t>
      </w:r>
      <w:r>
        <w:t>were generally</w:t>
      </w:r>
      <w:r w:rsidRPr="002F342A">
        <w:t xml:space="preserve"> poor</w:t>
      </w:r>
      <w:r>
        <w:t xml:space="preserve"> for patients treated in this setting</w:t>
      </w:r>
    </w:p>
    <w:p w14:paraId="2BC99F8E" w14:textId="710AD9E1" w:rsidR="00C83C50" w:rsidRPr="002F342A" w:rsidRDefault="00C83C50" w:rsidP="0018456E">
      <w:pPr>
        <w:pStyle w:val="ListBullet"/>
      </w:pPr>
      <w:r>
        <w:t xml:space="preserve">Real world response rates of </w:t>
      </w:r>
      <w:r w:rsidRPr="00165D19">
        <w:rPr>
          <w:i/>
          <w:iCs/>
        </w:rPr>
        <w:t>EGFR</w:t>
      </w:r>
      <w:r>
        <w:t xml:space="preserve"> ex20ins mutation positive NSCLC to second line treatment options were in keeping with published literature reports of 10 to 15% generally, and up to 20% for second-line treatment with ramucirumab and docetaxel</w:t>
      </w:r>
    </w:p>
    <w:p w14:paraId="70FAE506" w14:textId="06C7E1A1" w:rsidR="00C83C50" w:rsidRDefault="00C83C50" w:rsidP="0018456E">
      <w:pPr>
        <w:pStyle w:val="ListBullet"/>
      </w:pPr>
      <w:r>
        <w:t>R</w:t>
      </w:r>
      <w:r w:rsidRPr="002F342A">
        <w:t xml:space="preserve">amucirumab and docetaxel </w:t>
      </w:r>
      <w:r>
        <w:t xml:space="preserve">in </w:t>
      </w:r>
      <w:r w:rsidRPr="002F342A">
        <w:t xml:space="preserve">combination </w:t>
      </w:r>
      <w:r>
        <w:t>were</w:t>
      </w:r>
      <w:r w:rsidRPr="002F342A">
        <w:t xml:space="preserve"> not widely </w:t>
      </w:r>
      <w:r>
        <w:t>used</w:t>
      </w:r>
      <w:r w:rsidRPr="002F342A">
        <w:t xml:space="preserve"> in the second-line treatment of </w:t>
      </w:r>
      <w:r w:rsidRPr="00165D19">
        <w:rPr>
          <w:i/>
          <w:iCs/>
        </w:rPr>
        <w:t>EGFR</w:t>
      </w:r>
      <w:r w:rsidRPr="002F342A">
        <w:t xml:space="preserve"> mutated NSCLC</w:t>
      </w:r>
      <w:r>
        <w:t xml:space="preserve"> during the study period</w:t>
      </w:r>
    </w:p>
    <w:p w14:paraId="6430FA3C" w14:textId="229DA94C" w:rsidR="00C83C50" w:rsidRPr="0018456E" w:rsidRDefault="00C83C50" w:rsidP="0018456E">
      <w:r w:rsidRPr="0018456E">
        <w:t xml:space="preserve">The submitted </w:t>
      </w:r>
      <w:r>
        <w:t>real world evidence</w:t>
      </w:r>
      <w:r w:rsidRPr="0018456E">
        <w:t xml:space="preserve"> provide context for interpretation of the pivotal data and support the validity of a provisional registration approach to </w:t>
      </w:r>
      <w:proofErr w:type="spellStart"/>
      <w:r w:rsidRPr="0018456E">
        <w:t>amivantamab</w:t>
      </w:r>
      <w:proofErr w:type="spellEnd"/>
      <w:r w:rsidRPr="0018456E">
        <w:t xml:space="preserve"> based on single</w:t>
      </w:r>
      <w:r>
        <w:t xml:space="preserve"> </w:t>
      </w:r>
      <w:r w:rsidRPr="0018456E">
        <w:t>arm data, due to the poor outcomes with standard-of-care treatments in this setting that have randomised data to support their usage.</w:t>
      </w:r>
    </w:p>
    <w:p w14:paraId="45ABC150" w14:textId="77777777" w:rsidR="00C83C50" w:rsidRPr="00C5708D" w:rsidRDefault="00C83C50" w:rsidP="00C5708D">
      <w:pPr>
        <w:pStyle w:val="Heading4"/>
      </w:pPr>
      <w:bookmarkStart w:id="102" w:name="_Toc144288310"/>
      <w:r w:rsidRPr="00C5708D">
        <w:t>Safety</w:t>
      </w:r>
      <w:bookmarkEnd w:id="102"/>
    </w:p>
    <w:p w14:paraId="6924050F" w14:textId="77777777" w:rsidR="00C83C50" w:rsidRPr="00C5708D" w:rsidRDefault="00C83C50" w:rsidP="00C5708D">
      <w:pPr>
        <w:pStyle w:val="Heading5"/>
      </w:pPr>
      <w:bookmarkStart w:id="103" w:name="_Ref101451010"/>
      <w:r w:rsidRPr="00C5708D">
        <w:t>Safety database</w:t>
      </w:r>
      <w:bookmarkEnd w:id="103"/>
    </w:p>
    <w:p w14:paraId="25E2F8FA" w14:textId="0B9A0C26" w:rsidR="00C83C50" w:rsidRPr="00C5708D" w:rsidRDefault="00C83C50" w:rsidP="00C5708D">
      <w:r w:rsidRPr="00C5708D">
        <w:t xml:space="preserve">The safety database for </w:t>
      </w:r>
      <w:proofErr w:type="spellStart"/>
      <w:r w:rsidRPr="00C5708D">
        <w:t>amivantamab</w:t>
      </w:r>
      <w:proofErr w:type="spellEnd"/>
      <w:r w:rsidRPr="00C5708D">
        <w:t xml:space="preserve"> consists entirely of data from CHRYSALIS</w:t>
      </w:r>
      <w:r>
        <w:t xml:space="preserve"> trial</w:t>
      </w:r>
      <w:r w:rsidRPr="00C5708D">
        <w:t xml:space="preserve"> (Study 61186372EDI1001). FDA’s analyses of safety are described in detail in the MDR, including a list of clinically rational MedDRA term groupings, and were based on data from a DCO of 8 </w:t>
      </w:r>
      <w:r>
        <w:t>October</w:t>
      </w:r>
      <w:r w:rsidRPr="00C5708D">
        <w:t xml:space="preserve"> 2020 for the following safety analysis populations (abbreviations added for the purposes of this TGA overview):</w:t>
      </w:r>
    </w:p>
    <w:p w14:paraId="0F765136" w14:textId="3E228EFC" w:rsidR="00C83C50" w:rsidRDefault="00C83C50" w:rsidP="00C5708D">
      <w:pPr>
        <w:pStyle w:val="ListBullet"/>
      </w:pPr>
      <w:r>
        <w:t>T</w:t>
      </w:r>
      <w:r w:rsidRPr="003252A2">
        <w:t xml:space="preserve">he primary safety population </w:t>
      </w:r>
      <w:r>
        <w:t xml:space="preserve">[PS-p] (n = 129): patients with </w:t>
      </w:r>
      <w:r w:rsidRPr="00165D19">
        <w:rPr>
          <w:i/>
          <w:iCs/>
        </w:rPr>
        <w:t>EGFR</w:t>
      </w:r>
      <w:r w:rsidRPr="003252A2">
        <w:t xml:space="preserve"> ex</w:t>
      </w:r>
      <w:r>
        <w:t xml:space="preserve">20ins-mutation positive NSCLC previously </w:t>
      </w:r>
      <w:r w:rsidRPr="003252A2">
        <w:t>treated with platinum-based chemotherapy who received at</w:t>
      </w:r>
      <w:r>
        <w:t xml:space="preserve"> </w:t>
      </w:r>
      <w:r w:rsidRPr="003252A2">
        <w:t xml:space="preserve">least one dose of </w:t>
      </w:r>
      <w:proofErr w:type="spellStart"/>
      <w:r w:rsidRPr="003252A2">
        <w:t>amivantamab</w:t>
      </w:r>
      <w:proofErr w:type="spellEnd"/>
      <w:r w:rsidRPr="003252A2">
        <w:t xml:space="preserve"> at the </w:t>
      </w:r>
      <w:r>
        <w:t>RP2D</w:t>
      </w:r>
    </w:p>
    <w:p w14:paraId="4916358C" w14:textId="3ACA70E9" w:rsidR="00C83C50" w:rsidRDefault="00C83C50" w:rsidP="00C5708D">
      <w:pPr>
        <w:pStyle w:val="ListBullet"/>
      </w:pPr>
      <w:r>
        <w:t xml:space="preserve">The RP2D safety population [R2PD-p] (n = 302): patients with advanced NSCLC </w:t>
      </w:r>
      <w:r w:rsidRPr="003252A2">
        <w:t>who received at</w:t>
      </w:r>
      <w:r>
        <w:t xml:space="preserve"> </w:t>
      </w:r>
      <w:r w:rsidRPr="003252A2">
        <w:t xml:space="preserve">least one dose of </w:t>
      </w:r>
      <w:proofErr w:type="spellStart"/>
      <w:r w:rsidRPr="003252A2">
        <w:t>amivantamab</w:t>
      </w:r>
      <w:proofErr w:type="spellEnd"/>
      <w:r w:rsidRPr="003252A2">
        <w:t xml:space="preserve"> at the </w:t>
      </w:r>
      <w:r>
        <w:t>RP2D, regardless of mutation status or prior therapy</w:t>
      </w:r>
    </w:p>
    <w:p w14:paraId="741106C9" w14:textId="3D118ECD" w:rsidR="00C83C50" w:rsidRDefault="00C83C50" w:rsidP="00C5708D">
      <w:pPr>
        <w:pStyle w:val="ListBullet"/>
      </w:pPr>
      <w:r>
        <w:t xml:space="preserve">The all-treated safety population [AT-p] (n = 411): patients who received any dose of </w:t>
      </w:r>
      <w:proofErr w:type="spellStart"/>
      <w:r>
        <w:t>amivantamab</w:t>
      </w:r>
      <w:proofErr w:type="spellEnd"/>
      <w:r>
        <w:t xml:space="preserve"> as a single agent</w:t>
      </w:r>
    </w:p>
    <w:p w14:paraId="4C3E3F6F" w14:textId="4EBC99A6" w:rsidR="00C83C50" w:rsidRDefault="00C83C50" w:rsidP="0018456E">
      <w:r>
        <w:t>In the approved FDA label, the safety dataset used to inform the Warnings and Precautions section (Section 5) was the RP2D safety population described above, whilst the adverse reaction tables in Section 6 of the FDA label reflect the primary safety population, both at DCO 8 October 2020.</w:t>
      </w:r>
    </w:p>
    <w:p w14:paraId="0B146D41" w14:textId="02EAADCA" w:rsidR="00C83C50" w:rsidRDefault="00C83C50" w:rsidP="0018456E">
      <w:r>
        <w:t>The dossier submitted to TGA included an additional CSR with the later DCO of 30 March 2021, reflecting additional follow up to CHRYSALIS trial. At this data cut, the population sizes were n = 153 (PS-p), n = 380 (RP2D-p) and n = 489 (AT-p), respectively. Amongst the AT-p are 17 subjects across three Australian sites.</w:t>
      </w:r>
    </w:p>
    <w:p w14:paraId="29B0079E" w14:textId="7C15166D" w:rsidR="00C83C50" w:rsidRDefault="00C83C50" w:rsidP="0018456E">
      <w:r>
        <w:t>The clinical study report with DCO 30 March 2021 did not identify</w:t>
      </w:r>
      <w:r w:rsidRPr="00D866E8">
        <w:t xml:space="preserve"> new or worsening safety </w:t>
      </w:r>
      <w:proofErr w:type="gramStart"/>
      <w:r w:rsidRPr="00D866E8">
        <w:t>signals</w:t>
      </w:r>
      <w:r>
        <w:t>, and</w:t>
      </w:r>
      <w:proofErr w:type="gramEnd"/>
      <w:r>
        <w:t xml:space="preserve"> concluded that the overall safety profile was similar between the three populations at both the DCOs.</w:t>
      </w:r>
    </w:p>
    <w:p w14:paraId="61210A4B" w14:textId="77777777" w:rsidR="00C83C50" w:rsidRPr="00C5708D" w:rsidRDefault="00C83C50" w:rsidP="00C5708D">
      <w:pPr>
        <w:pStyle w:val="Heading5"/>
      </w:pPr>
      <w:r w:rsidRPr="00C5708D">
        <w:lastRenderedPageBreak/>
        <w:t>Patient characteristics</w:t>
      </w:r>
    </w:p>
    <w:p w14:paraId="4B94CD8A" w14:textId="345F49AD" w:rsidR="00C83C50" w:rsidRPr="00C5708D" w:rsidRDefault="00C83C50" w:rsidP="00C5708D">
      <w:r w:rsidRPr="00C5708D">
        <w:t>Among patients in the PS-p at the DCO of 30 M</w:t>
      </w:r>
      <w:r>
        <w:t>arch</w:t>
      </w:r>
      <w:r w:rsidRPr="00C5708D">
        <w:t xml:space="preserve"> 2021, the median age was 61 years (range: 35 to 84 years); 61% were female; 62% were Asian and 29% were Caucasian; and median baseline body weight was 60 kg.</w:t>
      </w:r>
    </w:p>
    <w:p w14:paraId="269E0F5C" w14:textId="77777777" w:rsidR="00C83C50" w:rsidRPr="00C5708D" w:rsidRDefault="00C83C50" w:rsidP="00C5708D">
      <w:pPr>
        <w:pStyle w:val="Heading6"/>
      </w:pPr>
      <w:r w:rsidRPr="00C5708D">
        <w:t>Exposure</w:t>
      </w:r>
    </w:p>
    <w:p w14:paraId="18C0094D" w14:textId="076D0BE8" w:rsidR="00C83C50" w:rsidRDefault="00C83C50" w:rsidP="0018456E">
      <w:r w:rsidRPr="00F25F40">
        <w:t xml:space="preserve">Exposure at the 8 </w:t>
      </w:r>
      <w:r>
        <w:t>October</w:t>
      </w:r>
      <w:r w:rsidRPr="00F25F40">
        <w:t xml:space="preserve"> 2020 DCO is described in the FDA MDR</w:t>
      </w:r>
      <w:r>
        <w:t>;</w:t>
      </w:r>
      <w:r>
        <w:fldChar w:fldCharType="begin"/>
      </w:r>
      <w:r>
        <w:instrText xml:space="preserve"> NOTEREF _Ref139030832 \f \h </w:instrText>
      </w:r>
      <w:r>
        <w:fldChar w:fldCharType="separate"/>
      </w:r>
      <w:r w:rsidR="0006496E" w:rsidRPr="0006496E">
        <w:rPr>
          <w:rStyle w:val="FootnoteReference"/>
        </w:rPr>
        <w:t>76</w:t>
      </w:r>
      <w:r>
        <w:fldChar w:fldCharType="end"/>
      </w:r>
      <w:r>
        <w:t xml:space="preserve"> and label.</w:t>
      </w:r>
      <w:bookmarkStart w:id="104" w:name="_Ref140752900"/>
      <w:r>
        <w:rPr>
          <w:rStyle w:val="FootnoteReference"/>
        </w:rPr>
        <w:footnoteReference w:id="82"/>
      </w:r>
      <w:bookmarkEnd w:id="104"/>
      <w:r>
        <w:t xml:space="preserve"> </w:t>
      </w:r>
    </w:p>
    <w:p w14:paraId="1A319063" w14:textId="608199DC" w:rsidR="00C83C50" w:rsidRDefault="00C83C50" w:rsidP="0018456E">
      <w:r>
        <w:t>At DCO 30 March</w:t>
      </w:r>
      <w:r w:rsidRPr="00AF1EB7">
        <w:t xml:space="preserve"> 2021, the median duration of study treatment for the 153 subjects in the PS-p was 5.6 months and the median number of treatment cycles per subject was 7 (</w:t>
      </w:r>
      <w:r>
        <w:t>range 1 to 27</w:t>
      </w:r>
      <w:r w:rsidRPr="00AF1EB7">
        <w:t xml:space="preserve">). The maximum duration of treatment was 23.9 months, and 71 subjects (46%) were exposed to </w:t>
      </w:r>
      <w:proofErr w:type="spellStart"/>
      <w:r w:rsidRPr="00AF1EB7">
        <w:t>amivantamab</w:t>
      </w:r>
      <w:proofErr w:type="spellEnd"/>
      <w:r w:rsidRPr="00AF1EB7">
        <w:t xml:space="preserve"> for at least </w:t>
      </w:r>
      <w:r>
        <w:t>six</w:t>
      </w:r>
      <w:r w:rsidRPr="00AF1EB7">
        <w:t xml:space="preserve"> months. </w:t>
      </w:r>
      <w:r>
        <w:t>The mean relative dose intensity was 99% (range 20 to 100).</w:t>
      </w:r>
    </w:p>
    <w:p w14:paraId="7A7CEF64" w14:textId="10E30CC2" w:rsidR="00C83C50" w:rsidRPr="00E44C10" w:rsidRDefault="00C83C50" w:rsidP="0018456E">
      <w:r>
        <w:t xml:space="preserve">The percentage of patients in the PS-p with baseline body weight less than 80 kg was not reported in the 30 March 2021 DCO clinical study report, so it is unknown the proportion of patients in the PS-p at the 30 March 2021 DCO who had received the 1050 mg versus the 1400 mg dose. For the FDA’s PS-p dataset (DCO 8 October 2020), around one fifth of patients were 80 kg or more, and </w:t>
      </w:r>
      <w:r w:rsidRPr="00E44C10">
        <w:t xml:space="preserve">therefore received the 1400 mg dose. The FDA analysis found that the overall tolerability profile of </w:t>
      </w:r>
      <w:proofErr w:type="spellStart"/>
      <w:r w:rsidRPr="00E44C10">
        <w:t>amivantamab</w:t>
      </w:r>
      <w:proofErr w:type="spellEnd"/>
      <w:r w:rsidRPr="00E44C10">
        <w:t xml:space="preserve"> was generally consistent for subjects with a baseline body weight of </w:t>
      </w:r>
      <w:r>
        <w:t xml:space="preserve">less than </w:t>
      </w:r>
      <w:r w:rsidRPr="00E44C10">
        <w:t xml:space="preserve">80 kg (treated with 1050 mg dose) and those weighing </w:t>
      </w:r>
      <w:r>
        <w:t xml:space="preserve">at least </w:t>
      </w:r>
      <w:r w:rsidRPr="00E44C10">
        <w:t xml:space="preserve">80 kg (treated with 1400 mg dose), with the possible exception of higher rates (difference </w:t>
      </w:r>
      <w:r>
        <w:t xml:space="preserve">of greater than </w:t>
      </w:r>
      <w:r w:rsidRPr="00E44C10">
        <w:t xml:space="preserve">10%) of </w:t>
      </w:r>
      <w:r>
        <w:t>t</w:t>
      </w:r>
      <w:r w:rsidRPr="003017A7">
        <w:t>reatment emergent adverse event</w:t>
      </w:r>
      <w:r>
        <w:t>s</w:t>
      </w:r>
      <w:r w:rsidRPr="00E44C10">
        <w:t xml:space="preserve"> </w:t>
      </w:r>
      <w:r>
        <w:t>(</w:t>
      </w:r>
      <w:r w:rsidRPr="00E44C10">
        <w:t>TEAE</w:t>
      </w:r>
      <w:r>
        <w:t>)</w:t>
      </w:r>
      <w:r w:rsidRPr="00E44C10">
        <w:t xml:space="preserve"> leading to dose reduction or infusion modification in the</w:t>
      </w:r>
      <w:r>
        <w:t xml:space="preserve"> at least </w:t>
      </w:r>
      <w:r w:rsidRPr="00E44C10">
        <w:t xml:space="preserve">80 kg subgroup, and higher rates of TEAEs leading to dose interruption in the </w:t>
      </w:r>
      <w:r>
        <w:t xml:space="preserve">less than </w:t>
      </w:r>
      <w:r w:rsidRPr="00E44C10">
        <w:t>80 kg subgrou</w:t>
      </w:r>
      <w:r>
        <w:t>p.</w:t>
      </w:r>
      <w:r>
        <w:fldChar w:fldCharType="begin"/>
      </w:r>
      <w:r>
        <w:instrText xml:space="preserve"> NOTEREF _Ref139030832 \f \h </w:instrText>
      </w:r>
      <w:r>
        <w:fldChar w:fldCharType="separate"/>
      </w:r>
      <w:r w:rsidR="0006496E" w:rsidRPr="0006496E">
        <w:rPr>
          <w:rStyle w:val="FootnoteReference"/>
        </w:rPr>
        <w:t>76</w:t>
      </w:r>
      <w:r>
        <w:fldChar w:fldCharType="end"/>
      </w:r>
    </w:p>
    <w:p w14:paraId="25F8CFD5" w14:textId="77777777" w:rsidR="00C83C50" w:rsidRPr="00E44C10" w:rsidRDefault="00C83C50" w:rsidP="00C5708D">
      <w:pPr>
        <w:pStyle w:val="Heading6"/>
      </w:pPr>
      <w:r w:rsidRPr="00E44C10">
        <w:t>Deaths</w:t>
      </w:r>
    </w:p>
    <w:p w14:paraId="5549E5A2" w14:textId="041147B2" w:rsidR="00C83C50" w:rsidRDefault="00C83C50" w:rsidP="0018456E">
      <w:r>
        <w:t xml:space="preserve">At the 30 March 2021 DCO, in the PS-p, 45 out of 153 patients (29%) had died at any time during the study, with the most frequent reason for death being progressive disease (n = 31, 20%). Five deaths (3%) were categorised as ‘other’: one patient suicided (201 days after the last dose of </w:t>
      </w:r>
      <w:proofErr w:type="spellStart"/>
      <w:r>
        <w:t>amivantamab</w:t>
      </w:r>
      <w:proofErr w:type="spellEnd"/>
      <w:r>
        <w:t xml:space="preserve">), one died of ‘clinical decline’ (subject went into hospice care following hospital discharge; 55 days after the last dose of </w:t>
      </w:r>
      <w:proofErr w:type="spellStart"/>
      <w:r>
        <w:t>amivantamab</w:t>
      </w:r>
      <w:proofErr w:type="spellEnd"/>
      <w:r>
        <w:t xml:space="preserve">), one died of ‘natural causes’ (subject’s family called the investigator; 32 days after the last dose of </w:t>
      </w:r>
      <w:proofErr w:type="spellStart"/>
      <w:r>
        <w:t>amivantamab</w:t>
      </w:r>
      <w:proofErr w:type="spellEnd"/>
      <w:r>
        <w:t xml:space="preserve">), and the causes were unknown for two deaths, which occurred 222 and 333 days after the last dose of </w:t>
      </w:r>
      <w:proofErr w:type="spellStart"/>
      <w:r>
        <w:t>amivantamab</w:t>
      </w:r>
      <w:proofErr w:type="spellEnd"/>
      <w:r>
        <w:t>, respectively.</w:t>
      </w:r>
    </w:p>
    <w:p w14:paraId="0EFB6E17" w14:textId="01916CC4" w:rsidR="00C83C50" w:rsidRDefault="00C83C50" w:rsidP="0018456E">
      <w:r>
        <w:t xml:space="preserve">There were 12 (8%) patients who died on treatment or within 30 days of the last dose of </w:t>
      </w:r>
      <w:proofErr w:type="spellStart"/>
      <w:r>
        <w:t>amivantamab</w:t>
      </w:r>
      <w:proofErr w:type="spellEnd"/>
      <w:r>
        <w:t xml:space="preserve">. Based on the FDA analysis to the DCO of 8 OCT 2020, causality attribution to </w:t>
      </w:r>
      <w:proofErr w:type="spellStart"/>
      <w:r>
        <w:t>amivantamab</w:t>
      </w:r>
      <w:proofErr w:type="spellEnd"/>
      <w:r>
        <w:t xml:space="preserve"> could not be ruled out two of these (one death [</w:t>
      </w:r>
      <w:r w:rsidRPr="00E44C10">
        <w:t>1.5%</w:t>
      </w:r>
      <w:r>
        <w:t>]</w:t>
      </w:r>
      <w:r w:rsidRPr="00E44C10">
        <w:t xml:space="preserve"> due to pneumonia and </w:t>
      </w:r>
      <w:r>
        <w:t>one death</w:t>
      </w:r>
      <w:r w:rsidRPr="00E44C10">
        <w:t xml:space="preserve"> </w:t>
      </w:r>
      <w:r>
        <w:t>[</w:t>
      </w:r>
      <w:r w:rsidRPr="00E44C10">
        <w:t>0.8%</w:t>
      </w:r>
      <w:r>
        <w:t>] reported as</w:t>
      </w:r>
      <w:r w:rsidRPr="00E44C10">
        <w:t xml:space="preserve"> </w:t>
      </w:r>
      <w:r>
        <w:t>‘</w:t>
      </w:r>
      <w:r w:rsidRPr="00E44C10">
        <w:t>sudden death</w:t>
      </w:r>
      <w:r>
        <w:t>’), and these are reflected in the approved FDA label. Case narratives are located on page 136-143 of the MDR.</w:t>
      </w:r>
      <w:r>
        <w:fldChar w:fldCharType="begin"/>
      </w:r>
      <w:r>
        <w:instrText xml:space="preserve"> NOTEREF _Ref139030832 \f \h </w:instrText>
      </w:r>
      <w:r>
        <w:fldChar w:fldCharType="separate"/>
      </w:r>
      <w:r w:rsidR="0006496E" w:rsidRPr="0006496E">
        <w:rPr>
          <w:rStyle w:val="FootnoteReference"/>
        </w:rPr>
        <w:t>76</w:t>
      </w:r>
      <w:r>
        <w:fldChar w:fldCharType="end"/>
      </w:r>
      <w:r>
        <w:t xml:space="preserve"> Two additional deaths on treatment or within 30 days of the last dose of </w:t>
      </w:r>
      <w:proofErr w:type="spellStart"/>
      <w:r>
        <w:t>amivantamab</w:t>
      </w:r>
      <w:proofErr w:type="spellEnd"/>
      <w:r>
        <w:t xml:space="preserve"> occurred in the PS-p up to the later DCO of 30 March 2021. Neither are considered likely to have a causal relationship to </w:t>
      </w:r>
      <w:proofErr w:type="spellStart"/>
      <w:r>
        <w:t>amivantamab</w:t>
      </w:r>
      <w:proofErr w:type="spellEnd"/>
      <w:r>
        <w:t>.</w:t>
      </w:r>
    </w:p>
    <w:p w14:paraId="5EBB33F5" w14:textId="77777777" w:rsidR="00C83C50" w:rsidRPr="003D6EA9" w:rsidRDefault="00C83C50" w:rsidP="003D6EA9">
      <w:pPr>
        <w:pStyle w:val="Heading5"/>
      </w:pPr>
      <w:r w:rsidRPr="003D6EA9">
        <w:t>Dose modifications and permanent discontinuations</w:t>
      </w:r>
    </w:p>
    <w:p w14:paraId="4EC52268" w14:textId="64F6B005" w:rsidR="00C83C50" w:rsidRPr="009C3612" w:rsidRDefault="00C83C50" w:rsidP="0018456E">
      <w:r w:rsidRPr="003D6EA9">
        <w:t xml:space="preserve">The approved FDA label contains the following description of </w:t>
      </w:r>
      <w:proofErr w:type="spellStart"/>
      <w:r w:rsidRPr="003D6EA9">
        <w:t>amivantamab</w:t>
      </w:r>
      <w:proofErr w:type="spellEnd"/>
      <w:r w:rsidRPr="003D6EA9">
        <w:t xml:space="preserve"> dose modification and discontinuation in the PS-p at DCO 8 </w:t>
      </w:r>
      <w:r>
        <w:t>October</w:t>
      </w:r>
      <w:r w:rsidRPr="003D6EA9">
        <w:t xml:space="preserve"> 2020 (n</w:t>
      </w:r>
      <w:r>
        <w:t xml:space="preserve"> </w:t>
      </w:r>
      <w:r w:rsidRPr="003D6EA9">
        <w:t>=</w:t>
      </w:r>
      <w:r>
        <w:t xml:space="preserve"> </w:t>
      </w:r>
      <w:r w:rsidRPr="003D6EA9">
        <w:t>129):</w:t>
      </w:r>
      <w:r>
        <w:fldChar w:fldCharType="begin"/>
      </w:r>
      <w:r>
        <w:instrText xml:space="preserve"> NOTEREF _Ref140752900 \f \h </w:instrText>
      </w:r>
      <w:r>
        <w:fldChar w:fldCharType="separate"/>
      </w:r>
      <w:r w:rsidR="0006496E" w:rsidRPr="0006496E">
        <w:rPr>
          <w:rStyle w:val="FootnoteReference"/>
        </w:rPr>
        <w:t>82</w:t>
      </w:r>
      <w:r>
        <w:fldChar w:fldCharType="end"/>
      </w:r>
    </w:p>
    <w:p w14:paraId="7BC5D8E7" w14:textId="1641F464" w:rsidR="00C83C50" w:rsidRPr="003D6EA9" w:rsidRDefault="00C83C50" w:rsidP="003D6EA9">
      <w:pPr>
        <w:ind w:left="720"/>
      </w:pPr>
      <w:r>
        <w:lastRenderedPageBreak/>
        <w:t>‘</w:t>
      </w:r>
      <w:r w:rsidRPr="003D6EA9">
        <w:t xml:space="preserve">Permanent discontinuation of </w:t>
      </w:r>
      <w:proofErr w:type="spellStart"/>
      <w:r w:rsidRPr="003D6EA9">
        <w:t>R</w:t>
      </w:r>
      <w:r>
        <w:t>ybrevant</w:t>
      </w:r>
      <w:proofErr w:type="spellEnd"/>
      <w:r w:rsidRPr="003D6EA9">
        <w:t xml:space="preserve"> due to an adverse reaction occurred in 11% of patients. Adverse reactions resulting in permanent discontinuation of </w:t>
      </w:r>
      <w:proofErr w:type="spellStart"/>
      <w:r w:rsidRPr="003D6EA9">
        <w:t>R</w:t>
      </w:r>
      <w:r>
        <w:t>ybrevant</w:t>
      </w:r>
      <w:proofErr w:type="spellEnd"/>
      <w:r w:rsidRPr="003D6EA9">
        <w:t xml:space="preserve"> in ≥1% of patients were pneumonia, IRR, pneumonitis/ILD, </w:t>
      </w:r>
      <w:proofErr w:type="spellStart"/>
      <w:r w:rsidRPr="003D6EA9">
        <w:t>dyspnea</w:t>
      </w:r>
      <w:proofErr w:type="spellEnd"/>
      <w:r w:rsidRPr="003D6EA9">
        <w:t xml:space="preserve">, pleural effusion, and rash. Dose interruptions of </w:t>
      </w:r>
      <w:proofErr w:type="spellStart"/>
      <w:r w:rsidRPr="003D6EA9">
        <w:t>R</w:t>
      </w:r>
      <w:r>
        <w:t>ybrevant</w:t>
      </w:r>
      <w:proofErr w:type="spellEnd"/>
      <w:r w:rsidRPr="003D6EA9">
        <w:t xml:space="preserve"> due to an adverse reaction occurred in 78% of patients. Infusion-related reactions (IRR) requiring infusion interruptions occurred in 59% of patients.</w:t>
      </w:r>
    </w:p>
    <w:p w14:paraId="701F100C" w14:textId="77777777" w:rsidR="00C83C50" w:rsidRPr="003D6EA9" w:rsidRDefault="00C83C50" w:rsidP="003D6EA9">
      <w:pPr>
        <w:ind w:left="720"/>
      </w:pPr>
      <w:r w:rsidRPr="003D6EA9">
        <w:t xml:space="preserve">Adverse reactions requiring dose interruption in ≥5% of patients included </w:t>
      </w:r>
      <w:proofErr w:type="spellStart"/>
      <w:r w:rsidRPr="003D6EA9">
        <w:t>dyspnea</w:t>
      </w:r>
      <w:proofErr w:type="spellEnd"/>
      <w:r w:rsidRPr="003D6EA9">
        <w:t>, nausea, rash, vomiting, fatigue, and diarrhea.</w:t>
      </w:r>
    </w:p>
    <w:p w14:paraId="72B79F8E" w14:textId="2CE0B43B" w:rsidR="00C83C50" w:rsidRPr="003D6EA9" w:rsidRDefault="00C83C50" w:rsidP="003D6EA9">
      <w:pPr>
        <w:ind w:left="720"/>
      </w:pPr>
      <w:r w:rsidRPr="003D6EA9">
        <w:t xml:space="preserve">Dose reductions of </w:t>
      </w:r>
      <w:proofErr w:type="spellStart"/>
      <w:r w:rsidRPr="003D6EA9">
        <w:t>R</w:t>
      </w:r>
      <w:r>
        <w:t>ybrevant</w:t>
      </w:r>
      <w:proofErr w:type="spellEnd"/>
      <w:r w:rsidRPr="003D6EA9">
        <w:t xml:space="preserve"> due to an adverse reaction occurred in 15% of patients. Adverse reactions requiring dose reductions in ≥ 2% of patients included rash and paronychia.</w:t>
      </w:r>
      <w:r>
        <w:t>’</w:t>
      </w:r>
    </w:p>
    <w:p w14:paraId="09710CE4" w14:textId="42299590" w:rsidR="00C83C50" w:rsidRPr="00642CFF" w:rsidRDefault="00C83C50" w:rsidP="0018456E">
      <w:r>
        <w:t xml:space="preserve">The </w:t>
      </w:r>
      <w:r w:rsidRPr="00642CFF">
        <w:t xml:space="preserve">rates of dose modification and permanent discontinuations </w:t>
      </w:r>
      <w:r>
        <w:t xml:space="preserve">were similar </w:t>
      </w:r>
      <w:r w:rsidRPr="00642CFF">
        <w:t xml:space="preserve">between the first interim CSR, dated 27 </w:t>
      </w:r>
      <w:r>
        <w:t>October</w:t>
      </w:r>
      <w:r w:rsidRPr="00642CFF">
        <w:t xml:space="preserve"> 2020, and the later interim CSR, dated DCO of 21 </w:t>
      </w:r>
      <w:r>
        <w:t>October</w:t>
      </w:r>
      <w:r w:rsidRPr="00642CFF">
        <w:t xml:space="preserve"> 2021.</w:t>
      </w:r>
    </w:p>
    <w:p w14:paraId="51083582" w14:textId="77777777" w:rsidR="00C83C50" w:rsidRPr="003D6EA9" w:rsidRDefault="00C83C50" w:rsidP="003D6EA9">
      <w:pPr>
        <w:pStyle w:val="Heading5"/>
      </w:pPr>
      <w:r w:rsidRPr="003D6EA9">
        <w:t xml:space="preserve">Common and most common high-grade adverse events </w:t>
      </w:r>
    </w:p>
    <w:p w14:paraId="42F99C49" w14:textId="2AF0D23F" w:rsidR="00C83C50" w:rsidRPr="00F97977" w:rsidRDefault="00C83C50" w:rsidP="0018456E">
      <w:r w:rsidRPr="003D6EA9">
        <w:t xml:space="preserve">The approved FDA label contains the following description of common adverse events and laboratory abnormalities with </w:t>
      </w:r>
      <w:proofErr w:type="spellStart"/>
      <w:r w:rsidRPr="003D6EA9">
        <w:t>amivantamab</w:t>
      </w:r>
      <w:proofErr w:type="spellEnd"/>
      <w:r w:rsidRPr="003D6EA9">
        <w:t xml:space="preserve"> in the PS-p at DCO 8 </w:t>
      </w:r>
      <w:r>
        <w:t>October</w:t>
      </w:r>
      <w:r w:rsidRPr="003D6EA9">
        <w:t xml:space="preserve"> 2020 (n=129):</w:t>
      </w:r>
      <w:r>
        <w:fldChar w:fldCharType="begin"/>
      </w:r>
      <w:r>
        <w:instrText xml:space="preserve"> NOTEREF _Ref140752900 \f \h </w:instrText>
      </w:r>
      <w:r>
        <w:fldChar w:fldCharType="separate"/>
      </w:r>
      <w:r w:rsidR="0006496E" w:rsidRPr="0006496E">
        <w:rPr>
          <w:rStyle w:val="FootnoteReference"/>
        </w:rPr>
        <w:t>82</w:t>
      </w:r>
      <w:r>
        <w:fldChar w:fldCharType="end"/>
      </w:r>
    </w:p>
    <w:p w14:paraId="7CED711C" w14:textId="2EB2EFCF" w:rsidR="00C83C50" w:rsidRPr="003D6EA9" w:rsidRDefault="00C83C50" w:rsidP="003D6EA9">
      <w:pPr>
        <w:ind w:left="720"/>
      </w:pPr>
      <w:r>
        <w:t>‘</w:t>
      </w:r>
      <w:r w:rsidRPr="003D6EA9">
        <w:t xml:space="preserve">In the safety population, the most common (≥ 20%) adverse reactions were rash, infusion-related reaction, paronychia, musculoskeletal pain, </w:t>
      </w:r>
      <w:proofErr w:type="spellStart"/>
      <w:r w:rsidRPr="003D6EA9">
        <w:t>dyspnea</w:t>
      </w:r>
      <w:proofErr w:type="spellEnd"/>
      <w:r w:rsidRPr="003D6EA9">
        <w:t xml:space="preserve">, nausea, </w:t>
      </w:r>
      <w:proofErr w:type="spellStart"/>
      <w:r w:rsidRPr="003D6EA9">
        <w:t>edema</w:t>
      </w:r>
      <w:proofErr w:type="spellEnd"/>
      <w:r w:rsidRPr="003D6EA9">
        <w:t>, cough, fatigue, stomatitis, constipation, vomiting and pruritus. The most common Grade 3 to 4 laboratory abnormalities (≥ 2%) were decreased lymphocytes, decreased phosphate, decreased albumin, increased glucose, increased gamma glutamyl transferase, decreased sodium, decreased potassium, and increased alkaline phosphatase.</w:t>
      </w:r>
      <w:r>
        <w:t>’</w:t>
      </w:r>
    </w:p>
    <w:p w14:paraId="3C194226" w14:textId="7D6349FF" w:rsidR="00C83C50" w:rsidRPr="003D6EA9" w:rsidRDefault="00C83C50" w:rsidP="003D6EA9">
      <w:r w:rsidRPr="003D6EA9">
        <w:t xml:space="preserve">Tables of adverse events – using clinically rational term groupings – and of laboratory abnormalities are also included in the FDA label and reflect the 8 </w:t>
      </w:r>
      <w:r>
        <w:t>October</w:t>
      </w:r>
      <w:r w:rsidRPr="003D6EA9">
        <w:t xml:space="preserve"> 2020 DCO.</w:t>
      </w:r>
    </w:p>
    <w:p w14:paraId="300B72C3" w14:textId="77777777" w:rsidR="00C83C50" w:rsidRPr="003D6EA9" w:rsidRDefault="00C83C50" w:rsidP="003D6EA9">
      <w:pPr>
        <w:pStyle w:val="Heading5"/>
      </w:pPr>
      <w:bookmarkStart w:id="105" w:name="_Ref96441858"/>
      <w:r w:rsidRPr="003D6EA9">
        <w:t>Most common serious adverse events</w:t>
      </w:r>
      <w:bookmarkEnd w:id="105"/>
    </w:p>
    <w:p w14:paraId="423E7D34" w14:textId="6E687741" w:rsidR="00C83C50" w:rsidRDefault="00C83C50" w:rsidP="0018456E">
      <w:r w:rsidRPr="003D6EA9">
        <w:t xml:space="preserve">The approved FDA label contains the following description of common adverse events and laboratory abnormalities with </w:t>
      </w:r>
      <w:proofErr w:type="spellStart"/>
      <w:r w:rsidRPr="003D6EA9">
        <w:t>amivantamab</w:t>
      </w:r>
      <w:proofErr w:type="spellEnd"/>
      <w:r w:rsidRPr="003D6EA9">
        <w:t xml:space="preserve"> in the PS-p at DCO 8 </w:t>
      </w:r>
      <w:r>
        <w:t>October</w:t>
      </w:r>
      <w:r w:rsidRPr="003D6EA9">
        <w:t xml:space="preserve"> 2020 (n</w:t>
      </w:r>
      <w:r>
        <w:t xml:space="preserve"> </w:t>
      </w:r>
      <w:r w:rsidRPr="003D6EA9">
        <w:t>=</w:t>
      </w:r>
      <w:r>
        <w:t xml:space="preserve"> </w:t>
      </w:r>
      <w:r w:rsidRPr="003D6EA9">
        <w:t>129):</w:t>
      </w:r>
      <w:r>
        <w:fldChar w:fldCharType="begin"/>
      </w:r>
      <w:r>
        <w:instrText xml:space="preserve"> NOTEREF _Ref140752900 \f \h </w:instrText>
      </w:r>
      <w:r>
        <w:fldChar w:fldCharType="separate"/>
      </w:r>
      <w:r w:rsidR="0006496E" w:rsidRPr="0006496E">
        <w:rPr>
          <w:rStyle w:val="FootnoteReference"/>
        </w:rPr>
        <w:t>82</w:t>
      </w:r>
      <w:r>
        <w:fldChar w:fldCharType="end"/>
      </w:r>
    </w:p>
    <w:p w14:paraId="72560FFA" w14:textId="5DC15356" w:rsidR="00C83C50" w:rsidRPr="003D6EA9" w:rsidRDefault="00C83C50" w:rsidP="003D6EA9">
      <w:pPr>
        <w:ind w:left="720"/>
      </w:pPr>
      <w:r>
        <w:t>‘</w:t>
      </w:r>
      <w:r w:rsidRPr="003D6EA9">
        <w:t xml:space="preserve">Serious adverse reactions occurred in 30% of patients who received </w:t>
      </w:r>
      <w:proofErr w:type="spellStart"/>
      <w:r>
        <w:t>Rybrevant</w:t>
      </w:r>
      <w:proofErr w:type="spellEnd"/>
      <w:r w:rsidRPr="003D6EA9">
        <w:t xml:space="preserve">. Serious adverse reactions in ≥ 2% of patients included pulmonary embolism, pneumonitis/ILD, </w:t>
      </w:r>
      <w:proofErr w:type="spellStart"/>
      <w:r w:rsidRPr="003D6EA9">
        <w:t>dyspnea</w:t>
      </w:r>
      <w:proofErr w:type="spellEnd"/>
      <w:r w:rsidRPr="003D6EA9">
        <w:t>, musculoskeletal pain, pneumonia, and muscular weakness.</w:t>
      </w:r>
      <w:r>
        <w:t>’</w:t>
      </w:r>
    </w:p>
    <w:p w14:paraId="6AAFCCB9" w14:textId="77777777" w:rsidR="00C83C50" w:rsidRPr="003D6EA9" w:rsidRDefault="00C83C50" w:rsidP="003D6EA9">
      <w:pPr>
        <w:pStyle w:val="Heading5"/>
      </w:pPr>
      <w:r w:rsidRPr="003D6EA9">
        <w:t>Laboratory abnormalities</w:t>
      </w:r>
    </w:p>
    <w:p w14:paraId="754DCC6A" w14:textId="516E7405" w:rsidR="00C83C50" w:rsidRPr="003D6EA9" w:rsidRDefault="00C83C50" w:rsidP="003D6EA9">
      <w:r w:rsidRPr="003D6EA9">
        <w:t>Laboratory result data was analysed by FDA and summarised based on change from baseline in the MDR. This analysis is presented in</w:t>
      </w:r>
      <w:r>
        <w:t xml:space="preserve"> </w:t>
      </w:r>
      <w:r>
        <w:fldChar w:fldCharType="begin"/>
      </w:r>
      <w:r>
        <w:instrText xml:space="preserve"> REF _Ref140753151 \h </w:instrText>
      </w:r>
      <w:r>
        <w:fldChar w:fldCharType="separate"/>
      </w:r>
      <w:r w:rsidR="0006496E" w:rsidRPr="003D6EA9">
        <w:t xml:space="preserve">Table </w:t>
      </w:r>
      <w:r w:rsidR="0006496E">
        <w:rPr>
          <w:noProof/>
        </w:rPr>
        <w:t>9</w:t>
      </w:r>
      <w:r>
        <w:fldChar w:fldCharType="end"/>
      </w:r>
      <w:r>
        <w:t>.</w:t>
      </w:r>
    </w:p>
    <w:p w14:paraId="47FA8BA3" w14:textId="7B51E5E4" w:rsidR="00C83C50" w:rsidRDefault="00C83C50" w:rsidP="003D6EA9">
      <w:pPr>
        <w:pStyle w:val="TableTitle"/>
      </w:pPr>
      <w:bookmarkStart w:id="106" w:name="_Ref140753151"/>
      <w:r w:rsidRPr="003D6EA9">
        <w:lastRenderedPageBreak/>
        <w:t xml:space="preserve">Table </w:t>
      </w:r>
      <w:r w:rsidR="00C3481D">
        <w:fldChar w:fldCharType="begin"/>
      </w:r>
      <w:r w:rsidR="00C3481D">
        <w:instrText xml:space="preserve"> SEQ Table \* ARABIC </w:instrText>
      </w:r>
      <w:r w:rsidR="00C3481D">
        <w:fldChar w:fldCharType="separate"/>
      </w:r>
      <w:r w:rsidR="0006496E">
        <w:rPr>
          <w:noProof/>
        </w:rPr>
        <w:t>9</w:t>
      </w:r>
      <w:r w:rsidR="00C3481D">
        <w:rPr>
          <w:noProof/>
        </w:rPr>
        <w:fldChar w:fldCharType="end"/>
      </w:r>
      <w:bookmarkEnd w:id="106"/>
      <w:r>
        <w:t>:</w:t>
      </w:r>
      <w:r w:rsidRPr="003D6EA9">
        <w:t xml:space="preserve"> FDA analysis of select laboratory abnormalities that worsened from baseline in at least 20% of patients in the PS-p (E20 ins mutations prior chemotherapy) and RP2D-p (RP2D) at DCO 8 </w:t>
      </w:r>
      <w:r>
        <w:t>October</w:t>
      </w:r>
      <w:r w:rsidRPr="003D6EA9">
        <w:t>2020 (from page 169 of the MDR)</w:t>
      </w:r>
      <w:r>
        <w:t>;</w:t>
      </w:r>
      <w:r w:rsidRPr="003D6EA9">
        <w:rPr>
          <w:vertAlign w:val="superscript"/>
        </w:rPr>
        <w:fldChar w:fldCharType="begin"/>
      </w:r>
      <w:r w:rsidRPr="003D6EA9">
        <w:rPr>
          <w:vertAlign w:val="superscript"/>
        </w:rPr>
        <w:instrText xml:space="preserve"> NOTEREF _Ref139030832 \h </w:instrText>
      </w:r>
      <w:r>
        <w:rPr>
          <w:vertAlign w:val="superscript"/>
        </w:rPr>
        <w:instrText xml:space="preserve"> \* MERGEFORMAT </w:instrText>
      </w:r>
      <w:r w:rsidRPr="003D6EA9">
        <w:rPr>
          <w:vertAlign w:val="superscript"/>
        </w:rPr>
      </w:r>
      <w:r w:rsidRPr="003D6EA9">
        <w:rPr>
          <w:vertAlign w:val="superscript"/>
        </w:rPr>
        <w:fldChar w:fldCharType="separate"/>
      </w:r>
      <w:r w:rsidR="0006496E">
        <w:rPr>
          <w:vertAlign w:val="superscript"/>
        </w:rPr>
        <w:t>76</w:t>
      </w:r>
      <w:r w:rsidRPr="003D6EA9">
        <w:rPr>
          <w:vertAlign w:val="superscript"/>
        </w:rPr>
        <w:fldChar w:fldCharType="end"/>
      </w:r>
    </w:p>
    <w:p w14:paraId="70AFE7C1" w14:textId="632FAD3F" w:rsidR="00C83C50" w:rsidRDefault="00C83C50" w:rsidP="003D6EA9">
      <w:r>
        <w:rPr>
          <w:noProof/>
        </w:rPr>
        <w:drawing>
          <wp:inline distT="0" distB="0" distL="0" distR="0" wp14:anchorId="63538C8D" wp14:editId="740B9B9F">
            <wp:extent cx="5670219" cy="3327654"/>
            <wp:effectExtent l="0" t="0" r="6985" b="6350"/>
            <wp:docPr id="25" name="Picture 25" descr="FDA analysis of select laboratory abnormalities that worsened from baseline in at least 20% of patients in the PS-p (E20 ins mutations prior chemotherapy) and RP2D-p (RP2D) at DCO 8 OCT 2020 (from page 169 of the M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DA analysis of select laboratory abnormalities that worsened from baseline in at least 20% of patients in the PS-p (E20 ins mutations prior chemotherapy) and RP2D-p (RP2D) at DCO 8 OCT 2020 (from page 169 of the MDR);"/>
                    <pic:cNvPicPr/>
                  </pic:nvPicPr>
                  <pic:blipFill rotWithShape="1">
                    <a:blip r:embed="rId32"/>
                    <a:srcRect t="9302"/>
                    <a:stretch/>
                  </pic:blipFill>
                  <pic:spPr bwMode="auto">
                    <a:xfrm>
                      <a:off x="0" y="0"/>
                      <a:ext cx="5676011" cy="3331053"/>
                    </a:xfrm>
                    <a:prstGeom prst="rect">
                      <a:avLst/>
                    </a:prstGeom>
                    <a:ln>
                      <a:noFill/>
                    </a:ln>
                    <a:extLst>
                      <a:ext uri="{53640926-AAD7-44D8-BBD7-CCE9431645EC}">
                        <a14:shadowObscured xmlns:a14="http://schemas.microsoft.com/office/drawing/2010/main"/>
                      </a:ext>
                    </a:extLst>
                  </pic:spPr>
                </pic:pic>
              </a:graphicData>
            </a:graphic>
          </wp:inline>
        </w:drawing>
      </w:r>
    </w:p>
    <w:p w14:paraId="6658C43A" w14:textId="77777777" w:rsidR="00C83C50" w:rsidRPr="003D6EA9" w:rsidRDefault="00C83C50" w:rsidP="003D6EA9">
      <w:pPr>
        <w:pStyle w:val="Heading5"/>
      </w:pPr>
      <w:r w:rsidRPr="003D6EA9">
        <w:t>Immunogenicity</w:t>
      </w:r>
    </w:p>
    <w:p w14:paraId="766CE2DF" w14:textId="1CF992CC" w:rsidR="00C83C50" w:rsidRPr="003D6EA9" w:rsidRDefault="00C83C50" w:rsidP="003D6EA9">
      <w:r w:rsidRPr="003D6EA9">
        <w:t xml:space="preserve">The approved FDA label contains the following description of immunogenicity with </w:t>
      </w:r>
      <w:proofErr w:type="spellStart"/>
      <w:r w:rsidRPr="003D6EA9">
        <w:t>amivantamab</w:t>
      </w:r>
      <w:proofErr w:type="spellEnd"/>
      <w:r w:rsidRPr="003D6EA9">
        <w:t xml:space="preserve"> at the PK and immunogenicity DCO of 31 M</w:t>
      </w:r>
      <w:r>
        <w:t>arch</w:t>
      </w:r>
      <w:r w:rsidRPr="003D6EA9">
        <w:t xml:space="preserve"> 2020:</w:t>
      </w:r>
      <w:r>
        <w:fldChar w:fldCharType="begin"/>
      </w:r>
      <w:r>
        <w:instrText xml:space="preserve"> NOTEREF _Ref139030832 \f \h </w:instrText>
      </w:r>
      <w:r>
        <w:fldChar w:fldCharType="separate"/>
      </w:r>
      <w:r w:rsidR="0006496E" w:rsidRPr="0006496E">
        <w:rPr>
          <w:rStyle w:val="FootnoteReference"/>
        </w:rPr>
        <w:t>76</w:t>
      </w:r>
      <w:r>
        <w:fldChar w:fldCharType="end"/>
      </w:r>
    </w:p>
    <w:p w14:paraId="4A48843D" w14:textId="59FB8D7C" w:rsidR="00C83C50" w:rsidRPr="003D6EA9" w:rsidRDefault="00C83C50" w:rsidP="003D6EA9">
      <w:pPr>
        <w:ind w:left="720"/>
      </w:pPr>
      <w:r w:rsidRPr="003D6EA9">
        <w:t xml:space="preserve">‘In CHRYSALIS, 3 of the 286 (1%) patients who were treated with </w:t>
      </w:r>
      <w:proofErr w:type="spellStart"/>
      <w:r>
        <w:t>Rybrevant</w:t>
      </w:r>
      <w:proofErr w:type="spellEnd"/>
      <w:r w:rsidRPr="003D6EA9">
        <w:t xml:space="preserve"> and evaluable for the presence of anti-drug antibodies (ADA), tested positive for treatment-emergent anti-</w:t>
      </w:r>
      <w:proofErr w:type="spellStart"/>
      <w:r w:rsidRPr="003D6EA9">
        <w:t>amivantamab</w:t>
      </w:r>
      <w:proofErr w:type="spellEnd"/>
      <w:r w:rsidRPr="003D6EA9">
        <w:t>-</w:t>
      </w:r>
      <w:proofErr w:type="spellStart"/>
      <w:r w:rsidRPr="003D6EA9">
        <w:t>vmjw</w:t>
      </w:r>
      <w:proofErr w:type="spellEnd"/>
      <w:r w:rsidRPr="003D6EA9">
        <w:t xml:space="preserve"> antibodies (one at 27 days, one at 59 days and one at 168 days after the first dose) with </w:t>
      </w:r>
      <w:proofErr w:type="spellStart"/>
      <w:r w:rsidRPr="003D6EA9">
        <w:t>titers</w:t>
      </w:r>
      <w:proofErr w:type="spellEnd"/>
      <w:r w:rsidRPr="003D6EA9">
        <w:t xml:space="preserve"> of 1:40 or less. There are insufficient data to evaluate the effect of ADA on the pharmacokinetics, safety, or efficacy of </w:t>
      </w:r>
      <w:proofErr w:type="spellStart"/>
      <w:r>
        <w:t>Rybrevant</w:t>
      </w:r>
      <w:proofErr w:type="spellEnd"/>
      <w:r w:rsidRPr="003D6EA9">
        <w:t>.’</w:t>
      </w:r>
    </w:p>
    <w:p w14:paraId="5B06027B" w14:textId="5F983894" w:rsidR="00C83C50" w:rsidRPr="003D6EA9" w:rsidRDefault="00C83C50" w:rsidP="003D6EA9">
      <w:r w:rsidRPr="003D6EA9">
        <w:t xml:space="preserve">The CSR with DCO 30 MAR 2021 contains an updated immunogenicity assessment, including data from 347 patients with evaluable samples. No additional </w:t>
      </w:r>
      <w:r>
        <w:t>anti-drug antibodies (</w:t>
      </w:r>
      <w:r w:rsidRPr="003D6EA9">
        <w:t>ADA</w:t>
      </w:r>
      <w:r>
        <w:t>)</w:t>
      </w:r>
      <w:r w:rsidRPr="003D6EA9">
        <w:t>-positive results were seen, and the total remained 3 (0.9%), however, 25 subjects were classified as ADA-inconclusive as all the serum samples contained drug concentration levels above the tolerance of the assay (&gt;</w:t>
      </w:r>
      <w:r>
        <w:t xml:space="preserve"> </w:t>
      </w:r>
      <w:r w:rsidRPr="003D6EA9">
        <w:t xml:space="preserve">400 </w:t>
      </w:r>
      <w:proofErr w:type="spellStart"/>
      <w:r w:rsidRPr="003D6EA9">
        <w:t>μg</w:t>
      </w:r>
      <w:proofErr w:type="spellEnd"/>
      <w:r w:rsidRPr="003D6EA9">
        <w:t>/mL).</w:t>
      </w:r>
    </w:p>
    <w:p w14:paraId="371627C6" w14:textId="5E4BE07A" w:rsidR="00C83C50" w:rsidRDefault="00C83C50" w:rsidP="003D6EA9">
      <w:pPr>
        <w:pStyle w:val="TableTitle"/>
      </w:pPr>
      <w:r w:rsidRPr="003D6EA9">
        <w:lastRenderedPageBreak/>
        <w:t xml:space="preserve">Table </w:t>
      </w:r>
      <w:r w:rsidR="00C3481D">
        <w:fldChar w:fldCharType="begin"/>
      </w:r>
      <w:r w:rsidR="00C3481D">
        <w:instrText xml:space="preserve"> SEQ Table \* ARABIC </w:instrText>
      </w:r>
      <w:r w:rsidR="00C3481D">
        <w:fldChar w:fldCharType="separate"/>
      </w:r>
      <w:r w:rsidR="0006496E">
        <w:rPr>
          <w:noProof/>
        </w:rPr>
        <w:t>10</w:t>
      </w:r>
      <w:r w:rsidR="00C3481D">
        <w:rPr>
          <w:noProof/>
        </w:rPr>
        <w:fldChar w:fldCharType="end"/>
      </w:r>
      <w:r>
        <w:t xml:space="preserve">: </w:t>
      </w:r>
      <w:r w:rsidRPr="003D6EA9">
        <w:t xml:space="preserve">Summary of </w:t>
      </w:r>
      <w:r>
        <w:t>anti-drug antibody</w:t>
      </w:r>
      <w:r w:rsidRPr="003D6EA9">
        <w:t xml:space="preserve"> status and </w:t>
      </w:r>
      <w:proofErr w:type="spellStart"/>
      <w:r w:rsidRPr="003D6EA9">
        <w:t>titers</w:t>
      </w:r>
      <w:proofErr w:type="spellEnd"/>
      <w:r w:rsidRPr="003D6EA9">
        <w:t xml:space="preserve"> by </w:t>
      </w:r>
      <w:proofErr w:type="spellStart"/>
      <w:r w:rsidRPr="003D6EA9">
        <w:t>amivantamab</w:t>
      </w:r>
      <w:proofErr w:type="spellEnd"/>
      <w:r w:rsidRPr="003D6EA9">
        <w:t xml:space="preserve"> dose (excluding inconclusive ADA status) for Part 1 and Part 2 combined of CHRYSALIS</w:t>
      </w:r>
      <w:r>
        <w:t xml:space="preserve"> trial</w:t>
      </w:r>
    </w:p>
    <w:p w14:paraId="28C11C1A" w14:textId="0958A37D" w:rsidR="00C83C50" w:rsidRDefault="00C83C50" w:rsidP="003D6EA9">
      <w:r>
        <w:rPr>
          <w:noProof/>
        </w:rPr>
        <w:drawing>
          <wp:inline distT="0" distB="0" distL="0" distR="0" wp14:anchorId="4CD58555" wp14:editId="0A2A7877">
            <wp:extent cx="5759450" cy="2416212"/>
            <wp:effectExtent l="0" t="0" r="0" b="3175"/>
            <wp:docPr id="14" name="Picture 14" descr="Summary of anti-drug antibody status and titers by amivantamab dose (excluding inconclusive ADA status) for Part 1 and Part 2 combined of CHRYSALI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mmary of anti-drug antibody status and titers by amivantamab dose (excluding inconclusive ADA status) for Part 1 and Part 2 combined of CHRYSALIS trial"/>
                    <pic:cNvPicPr/>
                  </pic:nvPicPr>
                  <pic:blipFill rotWithShape="1">
                    <a:blip r:embed="rId33"/>
                    <a:srcRect t="12199"/>
                    <a:stretch/>
                  </pic:blipFill>
                  <pic:spPr bwMode="auto">
                    <a:xfrm>
                      <a:off x="0" y="0"/>
                      <a:ext cx="5759450" cy="2416212"/>
                    </a:xfrm>
                    <a:prstGeom prst="rect">
                      <a:avLst/>
                    </a:prstGeom>
                    <a:ln>
                      <a:noFill/>
                    </a:ln>
                    <a:extLst>
                      <a:ext uri="{53640926-AAD7-44D8-BBD7-CCE9431645EC}">
                        <a14:shadowObscured xmlns:a14="http://schemas.microsoft.com/office/drawing/2010/main"/>
                      </a:ext>
                    </a:extLst>
                  </pic:spPr>
                </pic:pic>
              </a:graphicData>
            </a:graphic>
          </wp:inline>
        </w:drawing>
      </w:r>
    </w:p>
    <w:p w14:paraId="2884B0D4" w14:textId="749BF272" w:rsidR="00C83C50" w:rsidRDefault="00C83C50" w:rsidP="009C3612">
      <w:pPr>
        <w:pStyle w:val="TableDescription"/>
      </w:pPr>
      <w:r>
        <w:t>Source: ‘</w:t>
      </w:r>
      <w:r w:rsidRPr="009C3612">
        <w:t>Table 8</w:t>
      </w:r>
      <w:r>
        <w:t>’</w:t>
      </w:r>
      <w:r w:rsidRPr="009C3612">
        <w:t xml:space="preserve"> of the CSR dated 21 October 2021</w:t>
      </w:r>
    </w:p>
    <w:p w14:paraId="7B1BD1B7" w14:textId="77777777" w:rsidR="00C83C50" w:rsidRPr="002D7043" w:rsidRDefault="00C83C50" w:rsidP="003D6EA9">
      <w:pPr>
        <w:pStyle w:val="Heading5"/>
      </w:pPr>
      <w:r>
        <w:t xml:space="preserve">QT </w:t>
      </w:r>
      <w:r w:rsidRPr="003D6EA9">
        <w:t>prolongation</w:t>
      </w:r>
    </w:p>
    <w:p w14:paraId="75496106" w14:textId="30766309" w:rsidR="00C83C50" w:rsidRPr="003D6EA9" w:rsidRDefault="00C83C50" w:rsidP="003D6EA9">
      <w:r w:rsidRPr="003D6EA9">
        <w:t xml:space="preserve">As a monoclonal antibody, </w:t>
      </w:r>
      <w:proofErr w:type="spellStart"/>
      <w:r w:rsidRPr="003D6EA9">
        <w:t>amivantamab</w:t>
      </w:r>
      <w:proofErr w:type="spellEnd"/>
      <w:r w:rsidRPr="003D6EA9">
        <w:t xml:space="preserve"> is too large to directly inhibit the human Ether-à-go-go-Related Gene channel and is highly specific to the extracellular epitope of the transmembrane EGFR and MET proteins. As such, </w:t>
      </w:r>
      <w:proofErr w:type="spellStart"/>
      <w:r w:rsidRPr="003D6EA9">
        <w:t>amivantamab</w:t>
      </w:r>
      <w:proofErr w:type="spellEnd"/>
      <w:r w:rsidRPr="003D6EA9">
        <w:t xml:space="preserve"> is unlikely to directly impact cardiac repolarisation and result in </w:t>
      </w:r>
      <w:proofErr w:type="spellStart"/>
      <w:r w:rsidRPr="003D6EA9">
        <w:t>QTcF</w:t>
      </w:r>
      <w:proofErr w:type="spellEnd"/>
      <w:r w:rsidRPr="003D6EA9">
        <w:t xml:space="preserve"> prolongation.</w:t>
      </w:r>
    </w:p>
    <w:p w14:paraId="1B1C13A6" w14:textId="2F7ADA8D" w:rsidR="00C83C50" w:rsidRPr="003D6EA9" w:rsidRDefault="00C83C50" w:rsidP="003D6EA9">
      <w:r>
        <w:t xml:space="preserve">The </w:t>
      </w:r>
      <w:r w:rsidRPr="003D6EA9">
        <w:t>CHRYSALIS</w:t>
      </w:r>
      <w:r>
        <w:t xml:space="preserve"> trial</w:t>
      </w:r>
      <w:r w:rsidRPr="003D6EA9">
        <w:t xml:space="preserve"> excluded patients with a history of QT prolongation. In the PS-p described in the CSR dated 21 </w:t>
      </w:r>
      <w:r>
        <w:t>October</w:t>
      </w:r>
      <w:r w:rsidRPr="003D6EA9">
        <w:t>2021 (n</w:t>
      </w:r>
      <w:r>
        <w:t xml:space="preserve"> </w:t>
      </w:r>
      <w:r w:rsidRPr="003D6EA9">
        <w:t>=</w:t>
      </w:r>
      <w:r>
        <w:t xml:space="preserve"> </w:t>
      </w:r>
      <w:r w:rsidRPr="003D6EA9">
        <w:t>153), post-baseline QTc (Fridericia corrected) was &gt;</w:t>
      </w:r>
      <w:r>
        <w:t> </w:t>
      </w:r>
      <w:r w:rsidRPr="003D6EA9">
        <w:t xml:space="preserve">480 to 500 msec in 1.4% of </w:t>
      </w:r>
      <w:proofErr w:type="gramStart"/>
      <w:r w:rsidRPr="003D6EA9">
        <w:t>patients, and</w:t>
      </w:r>
      <w:proofErr w:type="gramEnd"/>
      <w:r w:rsidRPr="003D6EA9">
        <w:t xml:space="preserve"> was &gt;</w:t>
      </w:r>
      <w:r>
        <w:t> </w:t>
      </w:r>
      <w:r w:rsidRPr="003D6EA9">
        <w:t xml:space="preserve">500 msec in 0.7% of patients. Six of out 153 (4%) subjects had a maximum change from baseline in the </w:t>
      </w:r>
      <w:proofErr w:type="spellStart"/>
      <w:r w:rsidRPr="003D6EA9">
        <w:t>QTcF</w:t>
      </w:r>
      <w:proofErr w:type="spellEnd"/>
      <w:r w:rsidRPr="003D6EA9">
        <w:t xml:space="preserve"> interval that exceeded 60 msec.</w:t>
      </w:r>
    </w:p>
    <w:p w14:paraId="3F69B1A7" w14:textId="71AF2EF6" w:rsidR="00C83C50" w:rsidRPr="003D6EA9" w:rsidRDefault="00C83C50" w:rsidP="003D6EA9">
      <w:pPr>
        <w:pStyle w:val="Heading5"/>
      </w:pPr>
      <w:r w:rsidRPr="003D6EA9">
        <w:t>Adverse events of special interes</w:t>
      </w:r>
      <w:r>
        <w:t>t</w:t>
      </w:r>
    </w:p>
    <w:p w14:paraId="54D11BD3" w14:textId="47CDD746" w:rsidR="00C83C50" w:rsidRDefault="00C83C50" w:rsidP="003D6EA9">
      <w:r>
        <w:t xml:space="preserve">In the PS-p at the 30 March 2021 DCO, the most frequent (at least 20%) </w:t>
      </w:r>
      <w:proofErr w:type="spellStart"/>
      <w:r>
        <w:t>amivantamab</w:t>
      </w:r>
      <w:proofErr w:type="spellEnd"/>
      <w:r>
        <w:t xml:space="preserve"> treatment-related (per investigator assessment) adverse events (TRAEs) were:</w:t>
      </w:r>
    </w:p>
    <w:p w14:paraId="7525446B" w14:textId="61E4E1C8" w:rsidR="00C83C50" w:rsidRDefault="00C83C50" w:rsidP="00B84082">
      <w:pPr>
        <w:pStyle w:val="ListBullet"/>
      </w:pPr>
      <w:r>
        <w:t>Infusion related reactions (97 out of 153 patients [63%])</w:t>
      </w:r>
    </w:p>
    <w:p w14:paraId="31BEA3C0" w14:textId="39ADEA95" w:rsidR="00C83C50" w:rsidRDefault="00C83C50" w:rsidP="00B84082">
      <w:pPr>
        <w:pStyle w:val="ListBullet"/>
      </w:pPr>
      <w:r>
        <w:t>Paronychia (77 out of 153</w:t>
      </w:r>
      <w:r w:rsidRPr="00CF0B98">
        <w:t xml:space="preserve"> </w:t>
      </w:r>
      <w:r>
        <w:t>patients [50%])</w:t>
      </w:r>
    </w:p>
    <w:p w14:paraId="799CBF5C" w14:textId="3E14268E" w:rsidR="00C83C50" w:rsidRDefault="00C83C50" w:rsidP="00B84082">
      <w:pPr>
        <w:pStyle w:val="ListBullet"/>
      </w:pPr>
      <w:r>
        <w:t>Rash (61 out of 153</w:t>
      </w:r>
      <w:r w:rsidRPr="00CF0B98">
        <w:t xml:space="preserve"> </w:t>
      </w:r>
      <w:r>
        <w:t>patients [40%])</w:t>
      </w:r>
    </w:p>
    <w:p w14:paraId="0D66189F" w14:textId="252908F8" w:rsidR="00C83C50" w:rsidRDefault="00C83C50" w:rsidP="00B84082">
      <w:pPr>
        <w:pStyle w:val="ListBullet"/>
      </w:pPr>
      <w:r>
        <w:t>Dermatitis acneiform (60 out of 153 [39%])</w:t>
      </w:r>
    </w:p>
    <w:p w14:paraId="20CB4A54" w14:textId="23F365BF" w:rsidR="00C83C50" w:rsidRDefault="00C83C50" w:rsidP="00B84082">
      <w:pPr>
        <w:pStyle w:val="ListBullet"/>
      </w:pPr>
      <w:r>
        <w:t>Hypoalbuminemia (39 out of 153 patients [25%])</w:t>
      </w:r>
    </w:p>
    <w:p w14:paraId="31EF45B1" w14:textId="7C48F51C" w:rsidR="00C83C50" w:rsidRDefault="00C83C50" w:rsidP="00B84082">
      <w:pPr>
        <w:pStyle w:val="ListBullet"/>
      </w:pPr>
      <w:r>
        <w:t>Stomatitis (31 out of 153 patients [20%])</w:t>
      </w:r>
    </w:p>
    <w:p w14:paraId="43517496" w14:textId="43B30CDF" w:rsidR="00C83C50" w:rsidRPr="00B84082" w:rsidRDefault="00C83C50" w:rsidP="003D6EA9">
      <w:r w:rsidRPr="00A7462C">
        <w:t xml:space="preserve">Pages 171-192 of the MDR contain a detailed analysis of submission-specific safety </w:t>
      </w:r>
      <w:r>
        <w:t>issues</w:t>
      </w:r>
      <w:r w:rsidRPr="00A7462C">
        <w:t>.</w:t>
      </w:r>
      <w:r>
        <w:fldChar w:fldCharType="begin"/>
      </w:r>
      <w:r>
        <w:instrText xml:space="preserve"> NOTEREF _Ref139030832 \f \h </w:instrText>
      </w:r>
      <w:r>
        <w:fldChar w:fldCharType="separate"/>
      </w:r>
      <w:r w:rsidR="0006496E" w:rsidRPr="0006496E">
        <w:rPr>
          <w:rStyle w:val="FootnoteReference"/>
        </w:rPr>
        <w:t>76</w:t>
      </w:r>
      <w:r>
        <w:fldChar w:fldCharType="end"/>
      </w:r>
      <w:r>
        <w:t xml:space="preserve"> The following events are included in the warnings and precautions section o</w:t>
      </w:r>
      <w:r w:rsidRPr="00A7462C">
        <w:t xml:space="preserve">f </w:t>
      </w:r>
      <w:r>
        <w:t xml:space="preserve">the </w:t>
      </w:r>
      <w:r w:rsidRPr="00A7462C">
        <w:t>approved FDA label,</w:t>
      </w:r>
      <w:r>
        <w:fldChar w:fldCharType="begin"/>
      </w:r>
      <w:r>
        <w:instrText xml:space="preserve"> NOTEREF _Ref140752900 \f \h </w:instrText>
      </w:r>
      <w:r>
        <w:fldChar w:fldCharType="separate"/>
      </w:r>
      <w:r w:rsidR="0006496E" w:rsidRPr="0006496E">
        <w:rPr>
          <w:rStyle w:val="FootnoteReference"/>
        </w:rPr>
        <w:t>82</w:t>
      </w:r>
      <w:r>
        <w:fldChar w:fldCharType="end"/>
      </w:r>
      <w:r w:rsidRPr="00A7462C">
        <w:t xml:space="preserve"> with statistics referring to the RP2D-p (n</w:t>
      </w:r>
      <w:r>
        <w:t xml:space="preserve"> </w:t>
      </w:r>
      <w:r w:rsidRPr="00A7462C">
        <w:t>=</w:t>
      </w:r>
      <w:r>
        <w:t xml:space="preserve"> </w:t>
      </w:r>
      <w:r w:rsidRPr="00A7462C">
        <w:t>302) at the 8 O</w:t>
      </w:r>
      <w:r>
        <w:t>ctober</w:t>
      </w:r>
      <w:r w:rsidRPr="00A7462C">
        <w:t xml:space="preserve"> 2020 DCO. </w:t>
      </w:r>
      <w:r>
        <w:t>Section 4.4 of t</w:t>
      </w:r>
      <w:r w:rsidRPr="00A7462C">
        <w:t xml:space="preserve">he Australian PI should contain </w:t>
      </w:r>
      <w:r>
        <w:t>similar text.</w:t>
      </w:r>
    </w:p>
    <w:p w14:paraId="26F27DCE" w14:textId="77777777" w:rsidR="00C83C50" w:rsidRPr="00B84082" w:rsidRDefault="00C83C50" w:rsidP="00B84082">
      <w:pPr>
        <w:pStyle w:val="Heading6"/>
      </w:pPr>
      <w:r w:rsidRPr="00B84082">
        <w:t>Infusion reactions</w:t>
      </w:r>
    </w:p>
    <w:p w14:paraId="3FD0FD1C" w14:textId="77777777" w:rsidR="00C83C50" w:rsidRPr="00B84082" w:rsidRDefault="00C83C50" w:rsidP="00B84082">
      <w:r w:rsidRPr="00B84082">
        <w:t>The FDA label warning/precaution text is as follows:</w:t>
      </w:r>
    </w:p>
    <w:p w14:paraId="4F8AFAA1" w14:textId="316BA263" w:rsidR="00C83C50" w:rsidRPr="00B84082" w:rsidRDefault="00C83C50" w:rsidP="00B84082">
      <w:pPr>
        <w:ind w:left="720"/>
      </w:pPr>
      <w:r>
        <w:lastRenderedPageBreak/>
        <w:t>‘</w:t>
      </w:r>
      <w:proofErr w:type="spellStart"/>
      <w:r>
        <w:t>Rybrevant</w:t>
      </w:r>
      <w:proofErr w:type="spellEnd"/>
      <w:r w:rsidRPr="00B84082">
        <w:t xml:space="preserve"> can cause infusion-related reactions (IRR); signs and symptoms of IRR include </w:t>
      </w:r>
      <w:proofErr w:type="spellStart"/>
      <w:r w:rsidRPr="00B84082">
        <w:t>dyspnea</w:t>
      </w:r>
      <w:proofErr w:type="spellEnd"/>
      <w:r w:rsidRPr="00B84082">
        <w:t xml:space="preserve">, flushing, fever, chills, nausea, chest discomfort, hypotension, and vomiting. </w:t>
      </w:r>
    </w:p>
    <w:p w14:paraId="21BDDC10" w14:textId="4AFE7339" w:rsidR="00C83C50" w:rsidRPr="00B84082" w:rsidRDefault="00C83C50" w:rsidP="00B84082">
      <w:pPr>
        <w:ind w:left="720"/>
      </w:pPr>
      <w:r w:rsidRPr="00B84082">
        <w:t xml:space="preserve">Based on the safety population [see Adverse Reactions (6.1)], IRR occurred in 66% of patients treated with </w:t>
      </w:r>
      <w:proofErr w:type="spellStart"/>
      <w:r>
        <w:t>Rybrevant</w:t>
      </w:r>
      <w:proofErr w:type="spellEnd"/>
      <w:r w:rsidRPr="00B84082">
        <w:t xml:space="preserve">. Among patients receiving treatment on Week 1 Day 1, 65% experienced an IRR, while the incidence of IRR was 3.4% with the Day 2 infusion, 0.4% with the Week 2 infusion, and cumulatively 1.1% with subsequent infusions. Of the reported IRRs, 97% were Grade 1-2, 2.2% were Grade 3, and 0.4% were Grade 4. The median time to onset was 1 hour (range 0.1 to 18 hours) after start of infusion. The incidence of infusion modifications due to IRR was 62% and 1.3% of patients permanently discontinued </w:t>
      </w:r>
      <w:proofErr w:type="spellStart"/>
      <w:r>
        <w:t>Rybrevant</w:t>
      </w:r>
      <w:proofErr w:type="spellEnd"/>
      <w:r w:rsidRPr="00B84082">
        <w:t xml:space="preserve"> due to IRR. </w:t>
      </w:r>
    </w:p>
    <w:p w14:paraId="0BB02908" w14:textId="16AC8725" w:rsidR="00C83C50" w:rsidRPr="00B84082" w:rsidRDefault="00C83C50" w:rsidP="00B84082">
      <w:pPr>
        <w:ind w:left="720"/>
      </w:pPr>
      <w:r w:rsidRPr="00B84082">
        <w:t xml:space="preserve">Premedicate with antihistamines, antipyretics, and glucocorticoids and infuse </w:t>
      </w:r>
      <w:proofErr w:type="spellStart"/>
      <w:r>
        <w:t>Rybrevant</w:t>
      </w:r>
      <w:proofErr w:type="spellEnd"/>
      <w:r w:rsidRPr="00B84082">
        <w:t xml:space="preserve"> as recommended [see Dosage and Administration (2.3)]. Administer </w:t>
      </w:r>
      <w:proofErr w:type="spellStart"/>
      <w:r>
        <w:t>Rybrevant</w:t>
      </w:r>
      <w:proofErr w:type="spellEnd"/>
      <w:r w:rsidRPr="00B84082">
        <w:t xml:space="preserve"> via a peripheral line on Week 1 and Week 2 [see Dosage and Administration (2.6)].  </w:t>
      </w:r>
    </w:p>
    <w:p w14:paraId="0022DBDF" w14:textId="2E7DAB46" w:rsidR="00C83C50" w:rsidRPr="00B84082" w:rsidRDefault="00C83C50" w:rsidP="00B84082">
      <w:pPr>
        <w:ind w:left="720"/>
      </w:pPr>
      <w:r w:rsidRPr="00B84082">
        <w:t xml:space="preserve">Monitor patients for any signs and symptoms of infusion reactions during </w:t>
      </w:r>
      <w:proofErr w:type="spellStart"/>
      <w:r>
        <w:t>Rybrevant</w:t>
      </w:r>
      <w:proofErr w:type="spellEnd"/>
      <w:r w:rsidRPr="00B84082">
        <w:t xml:space="preserve"> infusion in a setting where cardiopulmonary resuscitation medication and equipment are available. Interrupt infusion if IRR is suspected. Reduce the infusion rate or permanently discontinue </w:t>
      </w:r>
      <w:proofErr w:type="spellStart"/>
      <w:r>
        <w:t>Rybrevant</w:t>
      </w:r>
      <w:proofErr w:type="spellEnd"/>
      <w:r w:rsidRPr="00B84082">
        <w:t xml:space="preserve"> based on severity [see Dosage and Administration (2.4)].</w:t>
      </w:r>
      <w:r>
        <w:t>’</w:t>
      </w:r>
    </w:p>
    <w:p w14:paraId="5459A3D2" w14:textId="660522C8" w:rsidR="00C83C50" w:rsidRPr="00B84082" w:rsidRDefault="00C83C50" w:rsidP="00B84082">
      <w:r w:rsidRPr="00B84082">
        <w:t>The CSR dated 21 O</w:t>
      </w:r>
      <w:r>
        <w:t>ctober</w:t>
      </w:r>
      <w:r w:rsidRPr="00B84082">
        <w:t xml:space="preserve"> 2021 reports the rate of IRRs in the RP2D-p to be 67%, and the rate of grade 3 or higher IRRs in the same population to be 2%.</w:t>
      </w:r>
    </w:p>
    <w:p w14:paraId="0DEE96C5" w14:textId="77777777" w:rsidR="00C83C50" w:rsidRPr="00B84082" w:rsidRDefault="00C83C50" w:rsidP="00B84082">
      <w:pPr>
        <w:pStyle w:val="Heading6"/>
      </w:pPr>
      <w:r w:rsidRPr="00B84082">
        <w:t>Interstitial lung disease (ILD)/pneumonitis</w:t>
      </w:r>
    </w:p>
    <w:p w14:paraId="151ABF83" w14:textId="77777777" w:rsidR="00C83C50" w:rsidRPr="00B84082" w:rsidRDefault="00C83C50" w:rsidP="00B84082">
      <w:r w:rsidRPr="00B84082">
        <w:t>The FDA label warning/precaution text is as follows:</w:t>
      </w:r>
    </w:p>
    <w:p w14:paraId="3E31C40E" w14:textId="5F65EAAF" w:rsidR="00C83C50" w:rsidRPr="00B84082" w:rsidRDefault="00C83C50" w:rsidP="00B84082">
      <w:pPr>
        <w:ind w:left="720"/>
      </w:pPr>
      <w:r>
        <w:t>‘</w:t>
      </w:r>
      <w:proofErr w:type="spellStart"/>
      <w:r>
        <w:t>Rybrevant</w:t>
      </w:r>
      <w:proofErr w:type="spellEnd"/>
      <w:r w:rsidRPr="00B84082">
        <w:t xml:space="preserve"> can cause interstitial lung disease (ILD)/pneumonitis. Based on the safety population [see Adverse Reactions (6.1)], ILD/pneumonitis occurred in 3.3% of patients treated with </w:t>
      </w:r>
      <w:proofErr w:type="spellStart"/>
      <w:r>
        <w:t>Rybrevant</w:t>
      </w:r>
      <w:proofErr w:type="spellEnd"/>
      <w:r w:rsidRPr="00B84082">
        <w:t xml:space="preserve">, with 0.7% of patients experiencing Grade 3 ILD/pneumonitis. Three patients (1%) discontinued </w:t>
      </w:r>
      <w:proofErr w:type="spellStart"/>
      <w:r>
        <w:t>Rybrevant</w:t>
      </w:r>
      <w:proofErr w:type="spellEnd"/>
      <w:r w:rsidRPr="00B84082">
        <w:t xml:space="preserve"> due to ILD/pneumonitis. </w:t>
      </w:r>
    </w:p>
    <w:p w14:paraId="163B2129" w14:textId="00CD4AD6" w:rsidR="00C83C50" w:rsidRPr="00B84082" w:rsidRDefault="00C83C50" w:rsidP="00B84082">
      <w:pPr>
        <w:ind w:left="720"/>
      </w:pPr>
      <w:r w:rsidRPr="00B84082">
        <w:t xml:space="preserve">Monitor patients for new or worsening symptoms indicative of ILD/pneumonitis (e.g., </w:t>
      </w:r>
      <w:proofErr w:type="spellStart"/>
      <w:r w:rsidRPr="00B84082">
        <w:t>dyspnea</w:t>
      </w:r>
      <w:proofErr w:type="spellEnd"/>
      <w:r w:rsidRPr="00B84082">
        <w:t xml:space="preserve">, cough, fever). Immediately withhold </w:t>
      </w:r>
      <w:proofErr w:type="spellStart"/>
      <w:r>
        <w:t>Rybrevant</w:t>
      </w:r>
      <w:proofErr w:type="spellEnd"/>
      <w:r w:rsidRPr="00B84082">
        <w:t xml:space="preserve"> in patients with suspected ILD/pneumonitis and permanently discontinue if ILD/pneumonitis is confirmed [see Dosage and Administration (2.4)].</w:t>
      </w:r>
      <w:r>
        <w:t>’</w:t>
      </w:r>
    </w:p>
    <w:p w14:paraId="7573CDBA" w14:textId="77777777" w:rsidR="00C83C50" w:rsidRPr="00B84082" w:rsidRDefault="00C83C50" w:rsidP="00B84082">
      <w:pPr>
        <w:pStyle w:val="Heading6"/>
      </w:pPr>
      <w:r w:rsidRPr="00B84082">
        <w:t>Skin toxicities</w:t>
      </w:r>
    </w:p>
    <w:p w14:paraId="76A83C5F" w14:textId="77777777" w:rsidR="00C83C50" w:rsidRPr="00B84082" w:rsidRDefault="00C83C50" w:rsidP="00B84082">
      <w:r w:rsidRPr="00B84082">
        <w:t>The FDA label warning/precaution text is as follows:</w:t>
      </w:r>
    </w:p>
    <w:p w14:paraId="2F21069E" w14:textId="162C9DFA" w:rsidR="00C83C50" w:rsidRPr="00B84082" w:rsidRDefault="00C83C50" w:rsidP="00B84082">
      <w:pPr>
        <w:ind w:left="720"/>
      </w:pPr>
      <w:r w:rsidRPr="00B84082">
        <w:t>‘</w:t>
      </w:r>
      <w:proofErr w:type="spellStart"/>
      <w:r>
        <w:t>Rybrevant</w:t>
      </w:r>
      <w:proofErr w:type="spellEnd"/>
      <w:r w:rsidRPr="00B84082">
        <w:t xml:space="preserve"> can cause rash (including dermatitis acneiform), pruritus and dry skin. Based on the safety population [see Adverse Reactions (6.1)], rash occurred in 74% of patients treated with </w:t>
      </w:r>
      <w:proofErr w:type="spellStart"/>
      <w:r>
        <w:t>Rybrevant</w:t>
      </w:r>
      <w:proofErr w:type="spellEnd"/>
      <w:r w:rsidRPr="00B84082">
        <w:t xml:space="preserve">, including Grade 3 rash in 3.3% of patients. The median time to onset of rash was 14 days (range: 1 to 276 days). Rash leading to dose reduction occurred in 5% of patients, and </w:t>
      </w:r>
      <w:proofErr w:type="spellStart"/>
      <w:r>
        <w:t>Rybrevant</w:t>
      </w:r>
      <w:proofErr w:type="spellEnd"/>
      <w:r w:rsidRPr="00B84082">
        <w:t xml:space="preserve"> was permanently discontinued due to rash in 0.7% of patients [see Adverse Reactions (6.1)]. </w:t>
      </w:r>
    </w:p>
    <w:p w14:paraId="2107A9DA" w14:textId="6A809C26" w:rsidR="00C83C50" w:rsidRPr="00B84082" w:rsidRDefault="00C83C50" w:rsidP="00B84082">
      <w:pPr>
        <w:ind w:left="720"/>
      </w:pPr>
      <w:r w:rsidRPr="00B84082">
        <w:t xml:space="preserve">Toxic epidermal necrolysis (TEN) occurred in one patient (0.3%) treated with </w:t>
      </w:r>
      <w:proofErr w:type="spellStart"/>
      <w:r>
        <w:t>Rybrevant</w:t>
      </w:r>
      <w:proofErr w:type="spellEnd"/>
      <w:r w:rsidRPr="00B84082">
        <w:t xml:space="preserve">. </w:t>
      </w:r>
    </w:p>
    <w:p w14:paraId="3E0BCA7D" w14:textId="2CBAEC4A" w:rsidR="00C83C50" w:rsidRPr="00B84082" w:rsidRDefault="00C83C50" w:rsidP="00B84082">
      <w:pPr>
        <w:ind w:left="720"/>
      </w:pPr>
      <w:r w:rsidRPr="00B84082">
        <w:t xml:space="preserve">Instruct patients to limit sun exposure during and for 2 months after treatment with </w:t>
      </w:r>
      <w:proofErr w:type="spellStart"/>
      <w:r>
        <w:t>Rybrevant</w:t>
      </w:r>
      <w:proofErr w:type="spellEnd"/>
      <w:r w:rsidRPr="00B84082">
        <w:t xml:space="preserve">. Advise patients to wear protective clothing and use broad-spectrum UVA/UVB sunscreen. Alcohol-free emollient cream is recommended for dry skin. </w:t>
      </w:r>
    </w:p>
    <w:p w14:paraId="65640363" w14:textId="30D68546" w:rsidR="00C83C50" w:rsidRPr="00B84082" w:rsidRDefault="00C83C50" w:rsidP="00B84082">
      <w:pPr>
        <w:ind w:left="720"/>
      </w:pPr>
      <w:r w:rsidRPr="00B84082">
        <w:lastRenderedPageBreak/>
        <w:t xml:space="preserve">If skin reactions develop, start topical corticosteroids and topical and/or oral antibiotics. For Grade 3 reactions, add oral steroids and consider dermatologic consultation. Promptly refer patients presenting with severe rash, atypical appearance or distribution, or lack of improvement within 2 weeks to a dermatologist. Withhold, dose reduce or permanently discontinue </w:t>
      </w:r>
      <w:proofErr w:type="spellStart"/>
      <w:r>
        <w:t>Rybrevant</w:t>
      </w:r>
      <w:proofErr w:type="spellEnd"/>
      <w:r w:rsidRPr="00B84082">
        <w:t xml:space="preserve"> based on severity [see Dosage and Administration (2.4)].’</w:t>
      </w:r>
    </w:p>
    <w:p w14:paraId="48E2CEF9" w14:textId="77777777" w:rsidR="00C83C50" w:rsidRDefault="00C83C50" w:rsidP="003D6EA9">
      <w:r w:rsidRPr="008007D6">
        <w:t xml:space="preserve">The event of TEN is of </w:t>
      </w:r>
      <w:proofErr w:type="gramStart"/>
      <w:r w:rsidRPr="008007D6">
        <w:t>particular note</w:t>
      </w:r>
      <w:proofErr w:type="gramEnd"/>
      <w:r w:rsidRPr="008007D6">
        <w:t>.</w:t>
      </w:r>
      <w:r>
        <w:t xml:space="preserve"> The case narrative is as follows:</w:t>
      </w:r>
    </w:p>
    <w:p w14:paraId="402AF069" w14:textId="2E99C883" w:rsidR="00C83C50" w:rsidRPr="009C3612" w:rsidRDefault="00C83C50" w:rsidP="009C3612">
      <w:pPr>
        <w:ind w:left="720"/>
      </w:pPr>
      <w:r>
        <w:t>‘</w:t>
      </w:r>
      <w:r w:rsidRPr="009C3612">
        <w:t xml:space="preserve">This subject, with a medical history of a Grade 3 rash on nivolumab, started the study with an ongoing Grade 1 rash AE (verbatim: </w:t>
      </w:r>
      <w:proofErr w:type="spellStart"/>
      <w:r w:rsidRPr="009C3612">
        <w:t>papulo</w:t>
      </w:r>
      <w:proofErr w:type="spellEnd"/>
      <w:r w:rsidRPr="009C3612">
        <w:t xml:space="preserve">-erythematous lesions under nivolumab). This pre-existing rash worsened to Grade 3 on Day 29 and required hospitalization on Day 37 (2 weeks after the last dose of </w:t>
      </w:r>
      <w:proofErr w:type="spellStart"/>
      <w:r w:rsidRPr="009C3612">
        <w:t>amivantamab</w:t>
      </w:r>
      <w:proofErr w:type="spellEnd"/>
      <w:r w:rsidRPr="009C3612">
        <w:t xml:space="preserve">). On the same day (Day 37), a nonserious AE of Grade 2 cheilitis was also reported. </w:t>
      </w:r>
      <w:proofErr w:type="spellStart"/>
      <w:r w:rsidRPr="009C3612">
        <w:t>Amivantamab</w:t>
      </w:r>
      <w:proofErr w:type="spellEnd"/>
      <w:r w:rsidRPr="009C3612">
        <w:t xml:space="preserve"> therapy (1050 mg) was interrupted. On Day 48, the subject was hospitalized a second time, and a skin biopsy on Day 49 revealed epidermal necrolysis (Grade 3), with involvement of approximately 50% of body surface area. </w:t>
      </w:r>
      <w:proofErr w:type="spellStart"/>
      <w:r w:rsidRPr="009C3612">
        <w:t>Amivantamab</w:t>
      </w:r>
      <w:proofErr w:type="spellEnd"/>
      <w:r w:rsidRPr="009C3612">
        <w:t xml:space="preserve"> was discontinued for this TEAE (last dose on Day 23). An autoimmunity evaluation on an unknown day demonstrated an elevated anti-nuclear speckle-type antibody, positive Sjogren syndrome A and B, and scleroderma (systemic sclerosis) antibodies, and a positive Coombs test for anti-immunoglobulin G. The subject also had positive serologies for cytomegalovirus, Epstein-Barr virus, and human herpesvirus 8. The subject was treated with oral antibiotics, subcutaneous filgrastim, methylprednisolone taper, and topical agents. On Day 60, cloxacillin and hydroxychloroquine were started, and valacyclovir was initiated on Day 79. The subject did not require intensive care unit admission. The toxic epidermal necrolysis resolved on Day 107. The TEAE of toxic epidermal necrolysis was considered serious and probably related to </w:t>
      </w:r>
      <w:proofErr w:type="spellStart"/>
      <w:r w:rsidRPr="009C3612">
        <w:t>amivantamab</w:t>
      </w:r>
      <w:proofErr w:type="spellEnd"/>
      <w:r w:rsidRPr="009C3612">
        <w:t xml:space="preserve"> (Mod5.3.5.2/61186372EDI1001/Study Report/</w:t>
      </w:r>
      <w:proofErr w:type="spellStart"/>
      <w:r w:rsidRPr="009C3612">
        <w:t>AttNarratives</w:t>
      </w:r>
      <w:proofErr w:type="spellEnd"/>
      <w:r w:rsidRPr="009C3612">
        <w:t>).</w:t>
      </w:r>
      <w:r>
        <w:t>’</w:t>
      </w:r>
    </w:p>
    <w:p w14:paraId="4A55D0B3" w14:textId="77777777" w:rsidR="00C83C50" w:rsidRPr="00B84082" w:rsidRDefault="00C83C50" w:rsidP="00B84082">
      <w:r w:rsidRPr="00B84082">
        <w:t>The CSR dated 21 OCT 2021 reports the rate of TRAEs in the system organ class of skin disorders in the RP2D-p to be 76%. No additional events of TEN were reported as at the later DCO.</w:t>
      </w:r>
    </w:p>
    <w:p w14:paraId="593433B9" w14:textId="77777777" w:rsidR="00C83C50" w:rsidRPr="00B84082" w:rsidRDefault="00C83C50" w:rsidP="00B84082">
      <w:pPr>
        <w:pStyle w:val="Heading6"/>
      </w:pPr>
      <w:r w:rsidRPr="00B84082">
        <w:t>Ocular toxicities</w:t>
      </w:r>
    </w:p>
    <w:p w14:paraId="42B13219" w14:textId="77777777" w:rsidR="00C83C50" w:rsidRPr="00B84082" w:rsidRDefault="00C83C50" w:rsidP="00B84082">
      <w:r w:rsidRPr="00B84082">
        <w:t>The FDA label warning/precaution text is as follows:</w:t>
      </w:r>
    </w:p>
    <w:p w14:paraId="22DBC685" w14:textId="70FAB2A7" w:rsidR="00C83C50" w:rsidRPr="00B84082" w:rsidRDefault="00C83C50" w:rsidP="00B84082">
      <w:pPr>
        <w:ind w:left="720"/>
      </w:pPr>
      <w:r w:rsidRPr="00B84082">
        <w:t>‘</w:t>
      </w:r>
      <w:proofErr w:type="spellStart"/>
      <w:r>
        <w:t>Rybrevant</w:t>
      </w:r>
      <w:proofErr w:type="spellEnd"/>
      <w:r w:rsidRPr="00B84082">
        <w:t xml:space="preserve"> can cause ocular toxicity including keratitis, dry eye symptoms, conjunctival redness, blurred vision, visual impairment, ocular itching, and uveitis. Based on the safety population [see Adverse Reactions (6.1)], keratitis occurred in 0.7% and uveitis occurred in 0.3% of patients treated with </w:t>
      </w:r>
      <w:proofErr w:type="spellStart"/>
      <w:r>
        <w:t>Rybrevant</w:t>
      </w:r>
      <w:proofErr w:type="spellEnd"/>
      <w:r w:rsidRPr="00B84082">
        <w:t xml:space="preserve">. All events were Grade 1-2. Promptly refer patients presenting with eye symptoms to an ophthalmologist. Withhold, dose reduce or permanently discontinue </w:t>
      </w:r>
      <w:proofErr w:type="spellStart"/>
      <w:r>
        <w:t>Rybrevant</w:t>
      </w:r>
      <w:proofErr w:type="spellEnd"/>
      <w:r w:rsidRPr="00B84082">
        <w:t xml:space="preserve"> based on severity [see Dosage and Administration (2.4)].’</w:t>
      </w:r>
    </w:p>
    <w:p w14:paraId="645BA332" w14:textId="77777777" w:rsidR="00C83C50" w:rsidRPr="00B84082" w:rsidRDefault="00C83C50" w:rsidP="00B84082">
      <w:r w:rsidRPr="00B84082">
        <w:t>The MDR describes FDA’s findings regarding ocular toxicity in the RP2D-p at the DCO of 8 OCT 2020:</w:t>
      </w:r>
    </w:p>
    <w:p w14:paraId="2A90AEED" w14:textId="5CAE0FA5" w:rsidR="00C83C50" w:rsidRPr="00B84082" w:rsidRDefault="00C83C50" w:rsidP="00B84082">
      <w:pPr>
        <w:ind w:left="720"/>
      </w:pPr>
      <w:r w:rsidRPr="00B84082">
        <w:t>‘Ocular toxicity occurred in 13.2% of patients. The most common events (≥</w:t>
      </w:r>
      <w:r>
        <w:t xml:space="preserve"> </w:t>
      </w:r>
      <w:r w:rsidRPr="00B84082">
        <w:t xml:space="preserve">1%) include dry eye (3%), vision blurred (1.7%), eye pruritus (1.3%), and visual impairment (1%). Keratitis was reported in 0.7% of patients and uveitis was reported in 0.3% (one patient). Patients may experience dry eye symptoms, conjunctival redness, blurred vision, ocular itching, periocular </w:t>
      </w:r>
      <w:proofErr w:type="spellStart"/>
      <w:r w:rsidRPr="00B84082">
        <w:t>edema</w:t>
      </w:r>
      <w:proofErr w:type="spellEnd"/>
      <w:r w:rsidRPr="00B84082">
        <w:t>, and uveitis. The potential consequences of untreated keratitis or uveitis can include loss of vision, and therefore, ocular toxicity is included in the Warnings and Precautions section of the label.’</w:t>
      </w:r>
    </w:p>
    <w:p w14:paraId="0B9373F2" w14:textId="77777777" w:rsidR="00C83C50" w:rsidRPr="00B84082" w:rsidRDefault="00C83C50" w:rsidP="00B84082">
      <w:pPr>
        <w:rPr>
          <w:highlight w:val="yellow"/>
        </w:rPr>
      </w:pPr>
      <w:r w:rsidRPr="00B84082">
        <w:lastRenderedPageBreak/>
        <w:t>Whilst ocular toxicities were low grade, due to the known link between ocular toxicity and EGFR TKIs as a class, as well as the potential clinical seriousness (vision loss), ocular toxicities should be included as a warning in the Australian PI. Ocular toxicities should be reflected as a group term for ocular adverse events in the PI text and tables.</w:t>
      </w:r>
    </w:p>
    <w:p w14:paraId="32D3C715" w14:textId="77777777" w:rsidR="00C83C50" w:rsidRPr="00B84082" w:rsidRDefault="00C83C50" w:rsidP="00B84082">
      <w:pPr>
        <w:pStyle w:val="Heading6"/>
      </w:pPr>
      <w:r w:rsidRPr="00B84082">
        <w:t>Peripheral oedema</w:t>
      </w:r>
    </w:p>
    <w:p w14:paraId="0C6B078E" w14:textId="7FBD866B" w:rsidR="00B84082" w:rsidRDefault="00C83C50" w:rsidP="00B84082">
      <w:r>
        <w:t xml:space="preserve">Peripheral oedema is an adverse effect associated with MET inhibitors as a class and may be associated with </w:t>
      </w:r>
      <w:proofErr w:type="spellStart"/>
      <w:r>
        <w:t>h</w:t>
      </w:r>
      <w:r w:rsidRPr="006E0E5C">
        <w:t>ypoalbumin</w:t>
      </w:r>
      <w:r>
        <w:t>a</w:t>
      </w:r>
      <w:r w:rsidRPr="006E0E5C">
        <w:t>emia</w:t>
      </w:r>
      <w:proofErr w:type="spellEnd"/>
      <w:r w:rsidRPr="00F1084E">
        <w:t xml:space="preserve">. </w:t>
      </w:r>
      <w:r>
        <w:t>Hypoalbuminemia is a class effect of MET inhibitors, suspected to be a consequence of the effect on hepatocyte protein synthesis of MET inhibition.</w:t>
      </w:r>
      <w:r>
        <w:rPr>
          <w:rStyle w:val="FootnoteReference"/>
        </w:rPr>
        <w:footnoteReference w:id="83"/>
      </w:r>
      <w:r>
        <w:t xml:space="preserve"> </w:t>
      </w:r>
      <w:bookmarkStart w:id="107" w:name="_Toc314842514"/>
      <w:r w:rsidR="00B84082">
        <w:t>Decrease</w:t>
      </w:r>
      <w:r w:rsidR="00B84082" w:rsidRPr="00F1084E">
        <w:t xml:space="preserve"> in serum albumin levels was observed in</w:t>
      </w:r>
      <w:r w:rsidR="00B84082">
        <w:t xml:space="preserve"> around 80% of</w:t>
      </w:r>
      <w:r w:rsidR="00B84082" w:rsidRPr="00F1084E">
        <w:t xml:space="preserve"> subjects receiving </w:t>
      </w:r>
      <w:proofErr w:type="spellStart"/>
      <w:r w:rsidR="00B84082" w:rsidRPr="00F1084E">
        <w:t>amivantamab</w:t>
      </w:r>
      <w:proofErr w:type="spellEnd"/>
      <w:r w:rsidR="00B84082" w:rsidRPr="00F1084E">
        <w:t xml:space="preserve"> in</w:t>
      </w:r>
      <w:r w:rsidR="00B84082">
        <w:t xml:space="preserve"> CHRYSALIS</w:t>
      </w:r>
      <w:r w:rsidR="004F3071">
        <w:t xml:space="preserve"> trial</w:t>
      </w:r>
      <w:r w:rsidR="006115D5">
        <w:t xml:space="preserve"> (s</w:t>
      </w:r>
      <w:r w:rsidR="004F3071">
        <w:t xml:space="preserve">ee </w:t>
      </w:r>
      <w:r w:rsidR="004F3071">
        <w:fldChar w:fldCharType="begin"/>
      </w:r>
      <w:r w:rsidR="004F3071">
        <w:instrText xml:space="preserve"> REF _Ref140753151 \h </w:instrText>
      </w:r>
      <w:r w:rsidR="004F3071">
        <w:fldChar w:fldCharType="separate"/>
      </w:r>
      <w:r w:rsidR="0006496E" w:rsidRPr="003D6EA9">
        <w:t xml:space="preserve">Table </w:t>
      </w:r>
      <w:r w:rsidR="0006496E">
        <w:rPr>
          <w:noProof/>
        </w:rPr>
        <w:t>9</w:t>
      </w:r>
      <w:r w:rsidR="004F3071">
        <w:fldChar w:fldCharType="end"/>
      </w:r>
      <w:r w:rsidR="004F3071">
        <w:t>)</w:t>
      </w:r>
      <w:r w:rsidR="00B84082">
        <w:t xml:space="preserve">, and </w:t>
      </w:r>
      <w:proofErr w:type="spellStart"/>
      <w:r w:rsidR="00B84082">
        <w:t>hypoalbuminaemia</w:t>
      </w:r>
      <w:proofErr w:type="spellEnd"/>
      <w:r w:rsidR="00B84082">
        <w:t xml:space="preserve"> had been reported as an adverse event for 40% of patients in the PS-p at the 30 M</w:t>
      </w:r>
      <w:r w:rsidR="006115D5">
        <w:t>arch</w:t>
      </w:r>
      <w:r w:rsidR="00B84082">
        <w:t xml:space="preserve"> 2021 DCO.</w:t>
      </w:r>
      <w:r w:rsidR="00B84082" w:rsidRPr="00F1084E">
        <w:t xml:space="preserve"> </w:t>
      </w:r>
      <w:proofErr w:type="spellStart"/>
      <w:r w:rsidR="00B84082">
        <w:t>Hypoalbuminaemia</w:t>
      </w:r>
      <w:proofErr w:type="spellEnd"/>
      <w:r w:rsidR="00B84082" w:rsidRPr="00F1084E">
        <w:t xml:space="preserve"> tended to stabilise after Cycle </w:t>
      </w:r>
      <w:r w:rsidR="00B84082">
        <w:t>4</w:t>
      </w:r>
      <w:r w:rsidR="006115D5">
        <w:t xml:space="preserve"> (see </w:t>
      </w:r>
      <w:r w:rsidR="006115D5">
        <w:fldChar w:fldCharType="begin"/>
      </w:r>
      <w:r w:rsidR="006115D5">
        <w:instrText xml:space="preserve"> REF _Ref140756920 \h </w:instrText>
      </w:r>
      <w:r w:rsidR="006115D5">
        <w:fldChar w:fldCharType="separate"/>
      </w:r>
      <w:r w:rsidR="0006496E" w:rsidRPr="00B84082">
        <w:t xml:space="preserve">Figure </w:t>
      </w:r>
      <w:r w:rsidR="0006496E">
        <w:rPr>
          <w:noProof/>
        </w:rPr>
        <w:t>10</w:t>
      </w:r>
      <w:r w:rsidR="006115D5">
        <w:fldChar w:fldCharType="end"/>
      </w:r>
      <w:r w:rsidR="006115D5">
        <w:t>)</w:t>
      </w:r>
      <w:r w:rsidR="00B84082">
        <w:t>.</w:t>
      </w:r>
    </w:p>
    <w:p w14:paraId="1D535B14" w14:textId="29C3EC02" w:rsidR="00B84082" w:rsidRDefault="00B84082" w:rsidP="00B84082">
      <w:pPr>
        <w:pStyle w:val="FigureTitle"/>
      </w:pPr>
      <w:bookmarkStart w:id="108" w:name="_Ref140756920"/>
      <w:r w:rsidRPr="00B84082">
        <w:t xml:space="preserve">Figure </w:t>
      </w:r>
      <w:r w:rsidR="00C3481D">
        <w:fldChar w:fldCharType="begin"/>
      </w:r>
      <w:r w:rsidR="00C3481D">
        <w:instrText xml:space="preserve"> SEQ Figure \* ARABIC </w:instrText>
      </w:r>
      <w:r w:rsidR="00C3481D">
        <w:fldChar w:fldCharType="separate"/>
      </w:r>
      <w:r w:rsidR="0006496E">
        <w:rPr>
          <w:noProof/>
        </w:rPr>
        <w:t>10</w:t>
      </w:r>
      <w:r w:rsidR="00C3481D">
        <w:rPr>
          <w:noProof/>
        </w:rPr>
        <w:fldChar w:fldCharType="end"/>
      </w:r>
      <w:bookmarkEnd w:id="108"/>
      <w:r>
        <w:t>: Mean albumin levels over time in the AT-p in CHRYSALIS</w:t>
      </w:r>
      <w:r w:rsidR="009C3612">
        <w:t xml:space="preserve"> trial</w:t>
      </w:r>
    </w:p>
    <w:p w14:paraId="66950ED6" w14:textId="585DB55C" w:rsidR="00B84082" w:rsidRDefault="00B84082" w:rsidP="00B84082">
      <w:r>
        <w:rPr>
          <w:noProof/>
        </w:rPr>
        <w:drawing>
          <wp:inline distT="0" distB="0" distL="0" distR="0" wp14:anchorId="41DAB18E" wp14:editId="4EC5DA47">
            <wp:extent cx="5414086" cy="3203575"/>
            <wp:effectExtent l="0" t="0" r="0" b="0"/>
            <wp:docPr id="26" name="Picture 26" descr="Mean albumin levels over time in the AT-p in CHRYSALI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ean albumin levels over time in the AT-p in CHRYSALIS trial"/>
                    <pic:cNvPicPr/>
                  </pic:nvPicPr>
                  <pic:blipFill rotWithShape="1">
                    <a:blip r:embed="rId34"/>
                    <a:srcRect l="1249" t="8612" r="4266" b="4639"/>
                    <a:stretch/>
                  </pic:blipFill>
                  <pic:spPr bwMode="auto">
                    <a:xfrm>
                      <a:off x="0" y="0"/>
                      <a:ext cx="5415428" cy="3204369"/>
                    </a:xfrm>
                    <a:prstGeom prst="rect">
                      <a:avLst/>
                    </a:prstGeom>
                    <a:ln>
                      <a:noFill/>
                    </a:ln>
                    <a:extLst>
                      <a:ext uri="{53640926-AAD7-44D8-BBD7-CCE9431645EC}">
                        <a14:shadowObscured xmlns:a14="http://schemas.microsoft.com/office/drawing/2010/main"/>
                      </a:ext>
                    </a:extLst>
                  </pic:spPr>
                </pic:pic>
              </a:graphicData>
            </a:graphic>
          </wp:inline>
        </w:drawing>
      </w:r>
    </w:p>
    <w:p w14:paraId="1E037379" w14:textId="4944EEB9" w:rsidR="009C3612" w:rsidRDefault="009C3612" w:rsidP="009C3612">
      <w:pPr>
        <w:pStyle w:val="FigureDescription"/>
      </w:pPr>
      <w:r>
        <w:t>Source: ‘Figure 10’ of the CSR with 30 March 2021 DCO</w:t>
      </w:r>
    </w:p>
    <w:p w14:paraId="7CE24428" w14:textId="04FADD79" w:rsidR="00B84082" w:rsidRDefault="00B84082" w:rsidP="00B84082">
      <w:r>
        <w:t xml:space="preserve">FDA’s safety analysis included a grouped term for oedema, which occurred in 23% of the </w:t>
      </w:r>
      <w:r w:rsidR="006115D5">
        <w:t>recommended Phase II dose</w:t>
      </w:r>
      <w:r>
        <w:t xml:space="preserve">-p and was </w:t>
      </w:r>
      <w:r w:rsidR="006115D5">
        <w:t>G</w:t>
      </w:r>
      <w:r>
        <w:t xml:space="preserve">rade 3 or higher in 1%. In the PS-p, oedema led to interruption of </w:t>
      </w:r>
      <w:proofErr w:type="spellStart"/>
      <w:r>
        <w:t>amivantamab</w:t>
      </w:r>
      <w:proofErr w:type="spellEnd"/>
      <w:r>
        <w:t xml:space="preserve"> dosing in 2.3% of patients and dose reduction in 0.8% of patients.</w:t>
      </w:r>
    </w:p>
    <w:p w14:paraId="0F5DA9D2" w14:textId="084E750E" w:rsidR="00B84082" w:rsidRDefault="00B84082" w:rsidP="00B84082">
      <w:r>
        <w:t>The rate of peripheral oedema was 20% in the RP2D-p at DCO 8 J</w:t>
      </w:r>
      <w:r w:rsidR="006115D5">
        <w:t>une</w:t>
      </w:r>
      <w:r>
        <w:t xml:space="preserve"> 2020, and was 12% in the RP2D-p at DCO 30 M</w:t>
      </w:r>
      <w:r w:rsidR="009C3612">
        <w:t>arch</w:t>
      </w:r>
      <w:r>
        <w:t xml:space="preserve"> 2021; an analysis of oedema as a grouped term was not presented by the Sponsor. </w:t>
      </w:r>
    </w:p>
    <w:p w14:paraId="1748975C" w14:textId="77777777" w:rsidR="00B84082" w:rsidRDefault="00B84082" w:rsidP="00B84082">
      <w:r w:rsidRPr="00E75425">
        <w:t>Oedema as a grouped term is included in the FDA product labelling</w:t>
      </w:r>
      <w:r>
        <w:t xml:space="preserve"> but was not made a warning/precaution based on severity and manageability</w:t>
      </w:r>
      <w:r w:rsidRPr="00E75425">
        <w:t xml:space="preserve">. This information should be included in the Australian PI in a similar manner. </w:t>
      </w:r>
    </w:p>
    <w:p w14:paraId="56E3757E" w14:textId="77777777" w:rsidR="00B84082" w:rsidRPr="009C3612" w:rsidRDefault="00B84082" w:rsidP="00420366">
      <w:pPr>
        <w:pStyle w:val="Heading6"/>
      </w:pPr>
      <w:r w:rsidRPr="009C3612">
        <w:lastRenderedPageBreak/>
        <w:t>Paronychia</w:t>
      </w:r>
    </w:p>
    <w:p w14:paraId="6F1F5124" w14:textId="7FDE94D2" w:rsidR="00B84082" w:rsidRPr="00420366" w:rsidRDefault="00B84082" w:rsidP="00420366">
      <w:r w:rsidRPr="00420366">
        <w:t xml:space="preserve">Paronychia is known to occur with other EGFR TKIs. In the PS-p, at DCO 8 </w:t>
      </w:r>
      <w:r w:rsidR="006115D5" w:rsidRPr="00420366">
        <w:t>October</w:t>
      </w:r>
      <w:r w:rsidRPr="00420366">
        <w:t xml:space="preserve"> 2020, the incidence of paronychia was 50% for all grades and 3.1% for Grade 3. Paronychia resulted in dose interruption in 3.1% of patients and dose reduction in 2.3%.</w:t>
      </w:r>
    </w:p>
    <w:p w14:paraId="1F78C146" w14:textId="77777777" w:rsidR="00B84082" w:rsidRPr="00420366" w:rsidRDefault="00B84082" w:rsidP="00420366">
      <w:pPr>
        <w:rPr>
          <w:highlight w:val="yellow"/>
        </w:rPr>
      </w:pPr>
      <w:r w:rsidRPr="00420366">
        <w:t xml:space="preserve">Paronychia is not included under warning/precautions in the FDA label based on frequency, </w:t>
      </w:r>
      <w:proofErr w:type="gramStart"/>
      <w:r w:rsidRPr="00420366">
        <w:t>severity</w:t>
      </w:r>
      <w:proofErr w:type="gramEnd"/>
      <w:r w:rsidRPr="00420366">
        <w:t xml:space="preserve"> and manageability. This is an appropriate approach and should be reflected in the Australian PI.</w:t>
      </w:r>
    </w:p>
    <w:p w14:paraId="769B632F" w14:textId="77777777" w:rsidR="00B84082" w:rsidRPr="00420366" w:rsidRDefault="00B84082" w:rsidP="00420366">
      <w:pPr>
        <w:pStyle w:val="Heading6"/>
      </w:pPr>
      <w:r w:rsidRPr="00420366">
        <w:t>Diarrhoea</w:t>
      </w:r>
    </w:p>
    <w:p w14:paraId="4238EA3A" w14:textId="3103DBFD" w:rsidR="00B84082" w:rsidRPr="00420366" w:rsidRDefault="00B84082" w:rsidP="00420366">
      <w:r w:rsidRPr="00420366">
        <w:t xml:space="preserve">In the PS-p, at DCO 8 </w:t>
      </w:r>
      <w:r w:rsidR="006115D5" w:rsidRPr="00420366">
        <w:t>October</w:t>
      </w:r>
      <w:r w:rsidRPr="00420366">
        <w:t xml:space="preserve"> 2020, the incidence of diarrhoea was 16% for all grades and 3.1% for grade 3. Diarrhoea resulted in dose interruption in 5% of patients; no patient had dose reduction for diarrhoea. Two patients experienced serious diarrhoea resulting in hospital admission, and </w:t>
      </w:r>
      <w:proofErr w:type="spellStart"/>
      <w:r w:rsidRPr="00420366">
        <w:t>amivantamab</w:t>
      </w:r>
      <w:proofErr w:type="spellEnd"/>
      <w:r w:rsidRPr="00420366">
        <w:t xml:space="preserve"> dosing was interrupted in both cases. Diarrhoea was ongoing at the end of study for one of these patients. Rates remained similar at the later DCO of 30 M</w:t>
      </w:r>
      <w:r w:rsidR="006115D5" w:rsidRPr="00420366">
        <w:t>arch</w:t>
      </w:r>
      <w:r w:rsidRPr="00420366">
        <w:t xml:space="preserve"> 2021.</w:t>
      </w:r>
    </w:p>
    <w:p w14:paraId="1C7E7921" w14:textId="77777777" w:rsidR="00B84082" w:rsidRPr="00420366" w:rsidRDefault="00B84082" w:rsidP="00420366">
      <w:r w:rsidRPr="00420366">
        <w:t xml:space="preserve">Diarrhoea is not included under warning/precautions in the FDA label based on frequency, </w:t>
      </w:r>
      <w:proofErr w:type="gramStart"/>
      <w:r w:rsidRPr="00420366">
        <w:t>severity</w:t>
      </w:r>
      <w:proofErr w:type="gramEnd"/>
      <w:r w:rsidRPr="00420366">
        <w:t xml:space="preserve"> and manageability. This is an appropriate approach and should be reflected in the Australian PI.</w:t>
      </w:r>
    </w:p>
    <w:p w14:paraId="3AF9BA76" w14:textId="77777777" w:rsidR="00B84082" w:rsidRPr="00420366" w:rsidRDefault="00B84082" w:rsidP="00420366">
      <w:pPr>
        <w:pStyle w:val="Heading6"/>
      </w:pPr>
      <w:r w:rsidRPr="00420366">
        <w:t>Hepatotoxicity (increased serum aminotransferases)</w:t>
      </w:r>
    </w:p>
    <w:p w14:paraId="197301AF" w14:textId="7F91D9BB" w:rsidR="00B84082" w:rsidRPr="006115D5" w:rsidRDefault="00B84082" w:rsidP="006115D5">
      <w:r w:rsidRPr="006115D5">
        <w:t>EGFR and MET signalling are involved in the maintenance of hepatic liver repair and regeneration.</w:t>
      </w:r>
      <w:r w:rsidR="006115D5">
        <w:rPr>
          <w:rStyle w:val="FootnoteReference"/>
        </w:rPr>
        <w:footnoteReference w:id="84"/>
      </w:r>
      <w:r w:rsidRPr="006115D5">
        <w:t xml:space="preserve"> Aminotransferase elevations, including rare reports of hepatic failure with fatal outcomes for some, have been observed with small-molecule EGFR TKIs, as reflected in the approved TGA product information documents for afatinib,</w:t>
      </w:r>
      <w:r w:rsidR="006115D5">
        <w:rPr>
          <w:rStyle w:val="FootnoteReference"/>
        </w:rPr>
        <w:footnoteReference w:id="85"/>
      </w:r>
      <w:r w:rsidRPr="006115D5">
        <w:t xml:space="preserve"> gefitinib</w:t>
      </w:r>
      <w:r w:rsidR="006115D5">
        <w:t>;</w:t>
      </w:r>
      <w:r w:rsidR="006115D5">
        <w:rPr>
          <w:rStyle w:val="FootnoteReference"/>
        </w:rPr>
        <w:footnoteReference w:id="86"/>
      </w:r>
      <w:r w:rsidRPr="006115D5">
        <w:t xml:space="preserve"> and erlotinib.</w:t>
      </w:r>
      <w:r w:rsidR="006115D5">
        <w:rPr>
          <w:rStyle w:val="FootnoteReference"/>
        </w:rPr>
        <w:footnoteReference w:id="87"/>
      </w:r>
    </w:p>
    <w:p w14:paraId="6C144E9E" w14:textId="2362FC66" w:rsidR="00B84082" w:rsidRPr="006115D5" w:rsidRDefault="00B84082" w:rsidP="006115D5">
      <w:r w:rsidRPr="006115D5">
        <w:t xml:space="preserve">The </w:t>
      </w:r>
      <w:r w:rsidR="006115D5">
        <w:t>s</w:t>
      </w:r>
      <w:r w:rsidRPr="006115D5">
        <w:t>ponsor states that:</w:t>
      </w:r>
    </w:p>
    <w:p w14:paraId="6218FE81" w14:textId="67F6078C" w:rsidR="00B84082" w:rsidRPr="006115D5" w:rsidRDefault="006115D5" w:rsidP="006115D5">
      <w:pPr>
        <w:ind w:left="720"/>
      </w:pPr>
      <w:r w:rsidRPr="006115D5">
        <w:t>‘</w:t>
      </w:r>
      <w:r w:rsidR="00B84082" w:rsidRPr="006115D5">
        <w:t xml:space="preserve">In a 6-week toxicity GLP study in young male and female cynomolgus monkeys, </w:t>
      </w:r>
      <w:proofErr w:type="spellStart"/>
      <w:r w:rsidR="00B84082" w:rsidRPr="006115D5">
        <w:t>amivantamab</w:t>
      </w:r>
      <w:proofErr w:type="spellEnd"/>
      <w:r w:rsidR="00B84082" w:rsidRPr="006115D5">
        <w:t xml:space="preserve"> was well tolerated when administered IV once weekly for 5 weeks at 20, 60, or 120 mg/kg/week. Treatment-related findings included non-adverse, non-dose-dependent, transient increase in ALT at all dose levels and non-dose-dependent, minimal increases in AST at 20 and 120 mg/kg/week without histopathological correlates in the liver.</w:t>
      </w:r>
      <w:r w:rsidRPr="006115D5">
        <w:t>’</w:t>
      </w:r>
    </w:p>
    <w:p w14:paraId="73E8857C" w14:textId="48E40767" w:rsidR="00B84082" w:rsidRPr="006115D5" w:rsidRDefault="00B84082" w:rsidP="006115D5">
      <w:r w:rsidRPr="006115D5">
        <w:t>In CHRYSALIS, hepatic transaminase elevation above baseline was common</w:t>
      </w:r>
      <w:r w:rsidR="009C3612">
        <w:t xml:space="preserve"> (see </w:t>
      </w:r>
      <w:r w:rsidR="009C3612">
        <w:fldChar w:fldCharType="begin"/>
      </w:r>
      <w:r w:rsidR="009C3612">
        <w:instrText xml:space="preserve"> REF _Ref140753151 \h </w:instrText>
      </w:r>
      <w:r w:rsidR="009C3612">
        <w:fldChar w:fldCharType="separate"/>
      </w:r>
      <w:r w:rsidR="0006496E" w:rsidRPr="003D6EA9">
        <w:t xml:space="preserve">Table </w:t>
      </w:r>
      <w:r w:rsidR="0006496E">
        <w:rPr>
          <w:noProof/>
        </w:rPr>
        <w:t>9</w:t>
      </w:r>
      <w:r w:rsidR="009C3612">
        <w:fldChar w:fldCharType="end"/>
      </w:r>
      <w:r w:rsidR="009C3612">
        <w:t>)</w:t>
      </w:r>
      <w:r w:rsidRPr="006115D5">
        <w:t>, but grade 3 elevation was not (&lt;</w:t>
      </w:r>
      <w:r w:rsidR="004F3071">
        <w:t xml:space="preserve"> </w:t>
      </w:r>
      <w:r w:rsidRPr="006115D5">
        <w:t>2%). There was a single Grade 4 ALT and AST increase amongst the RP2D-p (n</w:t>
      </w:r>
      <w:r w:rsidR="004F3071">
        <w:t xml:space="preserve"> </w:t>
      </w:r>
      <w:r w:rsidRPr="006115D5">
        <w:t>=</w:t>
      </w:r>
      <w:r w:rsidR="004F3071">
        <w:t xml:space="preserve"> </w:t>
      </w:r>
      <w:r w:rsidRPr="006115D5">
        <w:t>362), summarised in the CSR as follows:</w:t>
      </w:r>
    </w:p>
    <w:p w14:paraId="3A55D218" w14:textId="72FD32D6" w:rsidR="00B84082" w:rsidRPr="006115D5" w:rsidRDefault="006115D5" w:rsidP="006115D5">
      <w:pPr>
        <w:ind w:left="720"/>
      </w:pPr>
      <w:r w:rsidRPr="006115D5">
        <w:t>‘</w:t>
      </w:r>
      <w:r w:rsidR="00B84082" w:rsidRPr="006115D5">
        <w:t xml:space="preserve">This subject had a medical history of pleural effusion, diabetes mellitus, and hypertension. The subject experienced Grade 4 ALT </w:t>
      </w:r>
      <w:proofErr w:type="gramStart"/>
      <w:r w:rsidR="00B84082" w:rsidRPr="006115D5">
        <w:t>increased</w:t>
      </w:r>
      <w:proofErr w:type="gramEnd"/>
      <w:r w:rsidR="00B84082" w:rsidRPr="006115D5">
        <w:t xml:space="preserve"> and Grade 4 AST increased on Study Day 338. These transaminase elevations occurred concurrently with Grade 4 pulseless electrical activity, Grade 4 hypotension, Grade 4 </w:t>
      </w:r>
      <w:proofErr w:type="spellStart"/>
      <w:r w:rsidR="00B84082" w:rsidRPr="006115D5">
        <w:t>dyspnea</w:t>
      </w:r>
      <w:proofErr w:type="spellEnd"/>
      <w:r w:rsidR="00B84082" w:rsidRPr="006115D5">
        <w:t xml:space="preserve">, Grade 3 </w:t>
      </w:r>
      <w:proofErr w:type="spellStart"/>
      <w:r w:rsidR="00B84082" w:rsidRPr="006115D5">
        <w:t>hypocalcemia</w:t>
      </w:r>
      <w:proofErr w:type="spellEnd"/>
      <w:r w:rsidR="00B84082" w:rsidRPr="006115D5">
        <w:t xml:space="preserve">, Grade 2 acute kidney injury, Grade 2 nausea, Grade 2 </w:t>
      </w:r>
      <w:proofErr w:type="spellStart"/>
      <w:r w:rsidR="00B84082" w:rsidRPr="006115D5">
        <w:t>anemia</w:t>
      </w:r>
      <w:proofErr w:type="spellEnd"/>
      <w:r w:rsidR="00B84082" w:rsidRPr="006115D5">
        <w:t xml:space="preserve">, and Grade 2 </w:t>
      </w:r>
      <w:r w:rsidR="00B84082" w:rsidRPr="006115D5">
        <w:lastRenderedPageBreak/>
        <w:t>hypoalbuminemia. All these events were reported as unrelated by the investigator. The subject’s bilirubin was within normal limits, indicating no drug-induced liver injury.</w:t>
      </w:r>
      <w:r w:rsidRPr="006115D5">
        <w:t>’</w:t>
      </w:r>
    </w:p>
    <w:p w14:paraId="0969B9DD" w14:textId="76942457" w:rsidR="00B84082" w:rsidRPr="006115D5" w:rsidRDefault="00B84082" w:rsidP="006115D5">
      <w:r w:rsidRPr="006115D5">
        <w:t>There were no cases of confirmed drug-induced liver injury or meeting Hy’s law criteria, and no discontinuations due to aminotransferase increase.</w:t>
      </w:r>
    </w:p>
    <w:p w14:paraId="380C1047" w14:textId="77777777" w:rsidR="00B84082" w:rsidRPr="00420366" w:rsidRDefault="00B84082" w:rsidP="00420366">
      <w:pPr>
        <w:pStyle w:val="Heading6"/>
      </w:pPr>
      <w:r w:rsidRPr="00420366">
        <w:t>Venous thromboembolic events</w:t>
      </w:r>
    </w:p>
    <w:p w14:paraId="41D94816" w14:textId="32FA541F" w:rsidR="00B84082" w:rsidRDefault="00B84082" w:rsidP="00B84082">
      <w:r>
        <w:t xml:space="preserve">On 25 </w:t>
      </w:r>
      <w:r w:rsidR="00420366">
        <w:t>July</w:t>
      </w:r>
      <w:r>
        <w:t xml:space="preserve"> 2022, the </w:t>
      </w:r>
      <w:r w:rsidR="00420366">
        <w:t>s</w:t>
      </w:r>
      <w:r>
        <w:t xml:space="preserve">ponsor contacted TGA with information regarding venous thromboembolic events (VTE) with combination treatment with </w:t>
      </w:r>
      <w:proofErr w:type="spellStart"/>
      <w:r>
        <w:t>amivantamab</w:t>
      </w:r>
      <w:proofErr w:type="spellEnd"/>
      <w:r>
        <w:t xml:space="preserve"> and </w:t>
      </w:r>
      <w:proofErr w:type="spellStart"/>
      <w:r>
        <w:t>lazertinib</w:t>
      </w:r>
      <w:proofErr w:type="spellEnd"/>
      <w:r>
        <w:t xml:space="preserve"> (a third generation EGFR TKI) in clinical trials. The </w:t>
      </w:r>
      <w:r w:rsidR="00420366">
        <w:t>s</w:t>
      </w:r>
      <w:r>
        <w:t>ponsor provided TGA with communications being sent to investigators of all trials in which this combination was being studied, including CHRYSALIS</w:t>
      </w:r>
      <w:r w:rsidR="00420366">
        <w:t xml:space="preserve"> trial</w:t>
      </w:r>
      <w:r>
        <w:t xml:space="preserve"> as some of the cohorts studied this combination. None of the patients forming the primary efficacy population for the current submission received </w:t>
      </w:r>
      <w:proofErr w:type="spellStart"/>
      <w:r>
        <w:t>lazertinib</w:t>
      </w:r>
      <w:proofErr w:type="spellEnd"/>
      <w:r>
        <w:t xml:space="preserve"> in combination </w:t>
      </w:r>
      <w:r w:rsidRPr="009371B1">
        <w:t xml:space="preserve">with </w:t>
      </w:r>
      <w:proofErr w:type="spellStart"/>
      <w:r w:rsidRPr="009371B1">
        <w:t>amivantamab</w:t>
      </w:r>
      <w:proofErr w:type="spellEnd"/>
      <w:r>
        <w:t>.</w:t>
      </w:r>
    </w:p>
    <w:p w14:paraId="47AF5B18" w14:textId="24D20F7A" w:rsidR="00B84082" w:rsidRPr="00420366" w:rsidRDefault="00B84082" w:rsidP="00420366">
      <w:r w:rsidRPr="00420366">
        <w:t xml:space="preserve">According to the communications, the independent data monitoring committee for the MARIPOSA </w:t>
      </w:r>
      <w:r w:rsidR="00420366">
        <w:t>trial</w:t>
      </w:r>
      <w:r w:rsidRPr="00420366">
        <w:t xml:space="preserve"> (in which this combination is being studied):</w:t>
      </w:r>
    </w:p>
    <w:p w14:paraId="2D467F29" w14:textId="16B28099" w:rsidR="00B84082" w:rsidRPr="00420366" w:rsidRDefault="00420366" w:rsidP="00420366">
      <w:pPr>
        <w:ind w:left="720"/>
      </w:pPr>
      <w:r w:rsidRPr="00420366">
        <w:t>‘</w:t>
      </w:r>
      <w:r w:rsidR="00B84082" w:rsidRPr="00420366">
        <w:t xml:space="preserve">… observed imbalance in venous thromboembolic event (VTE) incidence for participants receiving the combination of </w:t>
      </w:r>
      <w:proofErr w:type="spellStart"/>
      <w:r w:rsidR="00B84082" w:rsidRPr="00420366">
        <w:t>Amivantamab</w:t>
      </w:r>
      <w:proofErr w:type="spellEnd"/>
      <w:r w:rsidR="00B84082" w:rsidRPr="00420366">
        <w:t xml:space="preserve"> and Lazertinib. VTE include such Adverse Event preferred terms as pulmonary embolism, deep vein thrombosis, embolism, thrombosis, venous thrombosis limb, venous thrombosis, and pulmonary thrombosis. </w:t>
      </w:r>
      <w:proofErr w:type="gramStart"/>
      <w:r w:rsidR="00B84082" w:rsidRPr="00420366">
        <w:t>The majority of</w:t>
      </w:r>
      <w:proofErr w:type="gramEnd"/>
      <w:r w:rsidR="00B84082" w:rsidRPr="00420366">
        <w:t xml:space="preserve"> the events were observed in the first 4 months of therapy with only 1 participant has discontinued treatment due to VTE and no fatal VTE events were observed with the combination in the MARIPOSA study.</w:t>
      </w:r>
      <w:r w:rsidRPr="00420366">
        <w:t>’</w:t>
      </w:r>
    </w:p>
    <w:p w14:paraId="048920C3" w14:textId="08A35B8C" w:rsidR="00B84082" w:rsidRPr="00420366" w:rsidRDefault="00B84082" w:rsidP="00420366">
      <w:r w:rsidRPr="00420366">
        <w:t xml:space="preserve">The actual rates of VTE in MARIPOSA </w:t>
      </w:r>
      <w:r w:rsidR="00420366">
        <w:t xml:space="preserve">trial </w:t>
      </w:r>
      <w:r w:rsidRPr="00420366">
        <w:t>were not provided.</w:t>
      </w:r>
    </w:p>
    <w:p w14:paraId="1BBA9CA7" w14:textId="04BF0E7D" w:rsidR="00B84082" w:rsidRPr="00420366" w:rsidRDefault="00B84082" w:rsidP="00420366">
      <w:r w:rsidRPr="00420366">
        <w:t>MARIPOSA</w:t>
      </w:r>
      <w:r w:rsidR="00420366">
        <w:t xml:space="preserve"> trial</w:t>
      </w:r>
      <w:r w:rsidRPr="00420366">
        <w:t xml:space="preserve"> is a different </w:t>
      </w:r>
      <w:r w:rsidR="00420366">
        <w:t xml:space="preserve">randomised control trial </w:t>
      </w:r>
      <w:r w:rsidRPr="00420366">
        <w:t xml:space="preserve">to PAPILLON </w:t>
      </w:r>
      <w:r w:rsidR="00420366">
        <w:t xml:space="preserve">trial </w:t>
      </w:r>
      <w:r w:rsidRPr="00420366">
        <w:t>(the confirmatory trial proposed in the clinical study plan). The clinical trials to which these communications were sent are being continued, but risk minimisation activities are being undertaken involving additional screening and management protocols in those combination studies.</w:t>
      </w:r>
    </w:p>
    <w:p w14:paraId="611874E7" w14:textId="27BB0250" w:rsidR="00B84082" w:rsidRPr="00420366" w:rsidRDefault="00B84082" w:rsidP="00420366">
      <w:r w:rsidRPr="00420366">
        <w:t>In CHRYSALIS</w:t>
      </w:r>
      <w:r w:rsidR="00420366">
        <w:t xml:space="preserve"> trial</w:t>
      </w:r>
      <w:r w:rsidRPr="00420366">
        <w:t>, in the PS-p at DCO 30 M</w:t>
      </w:r>
      <w:r w:rsidR="00420366">
        <w:t>arch</w:t>
      </w:r>
      <w:r w:rsidRPr="00420366">
        <w:t xml:space="preserve"> 2021, there had been </w:t>
      </w:r>
      <w:r w:rsidR="00420366">
        <w:t>ten</w:t>
      </w:r>
      <w:r w:rsidRPr="00420366">
        <w:t xml:space="preserve"> reports of pulmonary embolism (6.5%), </w:t>
      </w:r>
      <w:r w:rsidR="00420366">
        <w:t>one</w:t>
      </w:r>
      <w:r w:rsidRPr="00420366">
        <w:t xml:space="preserve"> report of pulmonary thrombosis (0.7%), </w:t>
      </w:r>
      <w:r w:rsidR="00420366">
        <w:t>one</w:t>
      </w:r>
      <w:r w:rsidRPr="00420366">
        <w:t xml:space="preserve"> report of cerebrovascular accident (0.7%, </w:t>
      </w:r>
      <w:r w:rsidR="00420366">
        <w:t>three</w:t>
      </w:r>
      <w:r w:rsidRPr="00420366">
        <w:t xml:space="preserve"> reports of deep vein thrombosis (2%), </w:t>
      </w:r>
      <w:r w:rsidR="00420366">
        <w:t>one</w:t>
      </w:r>
      <w:r w:rsidRPr="00420366">
        <w:t xml:space="preserve"> report of embolism (0.7%), </w:t>
      </w:r>
      <w:r w:rsidR="00420366">
        <w:t>one</w:t>
      </w:r>
      <w:r w:rsidRPr="00420366">
        <w:t xml:space="preserve"> report of jugular vein thrombosis (0.7%), </w:t>
      </w:r>
      <w:r w:rsidR="00420366">
        <w:t>one</w:t>
      </w:r>
      <w:r w:rsidRPr="00420366">
        <w:t xml:space="preserve"> report of peripheral embolism (0.7%) and </w:t>
      </w:r>
      <w:r w:rsidR="00420366">
        <w:t>one</w:t>
      </w:r>
      <w:r w:rsidRPr="00420366">
        <w:t xml:space="preserve"> report of thrombosis (0.7%). If </w:t>
      </w:r>
      <w:proofErr w:type="gramStart"/>
      <w:r w:rsidRPr="00420366">
        <w:t>all of</w:t>
      </w:r>
      <w:proofErr w:type="gramEnd"/>
      <w:r w:rsidRPr="00420366">
        <w:t xml:space="preserve"> these reports are mutually exclusive, the total incidence of these would be 19</w:t>
      </w:r>
      <w:r w:rsidR="00420366">
        <w:t xml:space="preserve"> out of </w:t>
      </w:r>
      <w:r w:rsidRPr="00420366">
        <w:t>153 (12%), however it is not known whether this is the case.</w:t>
      </w:r>
    </w:p>
    <w:p w14:paraId="0249B1A4" w14:textId="1D39E47C" w:rsidR="00B84082" w:rsidRPr="00420366" w:rsidRDefault="00B84082" w:rsidP="00420366">
      <w:r w:rsidRPr="00420366">
        <w:t>A rate of 12% would not be out of keeping with rates published in the literature for invasive adenocarcinoma (10%)</w:t>
      </w:r>
      <w:r w:rsidR="00420366">
        <w:rPr>
          <w:rStyle w:val="FootnoteReference"/>
        </w:rPr>
        <w:footnoteReference w:id="88"/>
      </w:r>
      <w:r w:rsidRPr="00420366">
        <w:t xml:space="preserve"> and EGFR-positive NSCLC (21%).</w:t>
      </w:r>
      <w:r w:rsidR="00420366">
        <w:rPr>
          <w:rStyle w:val="FootnoteReference"/>
        </w:rPr>
        <w:footnoteReference w:id="89"/>
      </w:r>
    </w:p>
    <w:p w14:paraId="60308D62" w14:textId="77777777" w:rsidR="00B84082" w:rsidRPr="00420366" w:rsidRDefault="00B84082" w:rsidP="00420366">
      <w:pPr>
        <w:pStyle w:val="Heading5"/>
      </w:pPr>
      <w:r w:rsidRPr="00420366">
        <w:t xml:space="preserve">Companion diagnostic considerations </w:t>
      </w:r>
    </w:p>
    <w:p w14:paraId="41ACDA45" w14:textId="6A8513FF" w:rsidR="00B84082" w:rsidRDefault="00B84082" w:rsidP="00B84082">
      <w:r>
        <w:t>No molecular eligibility criteria were required for enrolment in Part 1 of the pivotal CHRYSALIS</w:t>
      </w:r>
      <w:r w:rsidR="00420366">
        <w:t xml:space="preserve"> trial</w:t>
      </w:r>
      <w:r>
        <w:t xml:space="preserve">. </w:t>
      </w:r>
      <w:r w:rsidRPr="004F3071">
        <w:rPr>
          <w:i/>
          <w:iCs/>
        </w:rPr>
        <w:t>EGFR</w:t>
      </w:r>
      <w:r>
        <w:t xml:space="preserve"> ex20ins mutation status for Part 2 eligibility was determined by local testing (PCR or NGS) of tumour tissue or of blood. Mutation status across both parts of the study was then tested following enrolment using a central, plasma</w:t>
      </w:r>
      <w:r w:rsidR="00420366">
        <w:t xml:space="preserve"> </w:t>
      </w:r>
      <w:r>
        <w:t xml:space="preserve">based NGS assay of </w:t>
      </w:r>
      <w:proofErr w:type="spellStart"/>
      <w:r>
        <w:t>ctDNA</w:t>
      </w:r>
      <w:proofErr w:type="spellEnd"/>
      <w:r>
        <w:t xml:space="preserve">: the </w:t>
      </w:r>
      <w:r w:rsidRPr="00261E83">
        <w:t xml:space="preserve">Guardant360 </w:t>
      </w:r>
      <w:proofErr w:type="spellStart"/>
      <w:r w:rsidRPr="00261E83">
        <w:t>CDx</w:t>
      </w:r>
      <w:proofErr w:type="spellEnd"/>
      <w:r>
        <w:t xml:space="preserve"> diagnostic assay.</w:t>
      </w:r>
    </w:p>
    <w:p w14:paraId="1F3E689A" w14:textId="73ED0FB8" w:rsidR="00B84082" w:rsidRDefault="00B84082" w:rsidP="00B84082">
      <w:r>
        <w:lastRenderedPageBreak/>
        <w:t>Central laboratory plasma-based and tissue-based diagnostics were utilised in bridging studies to compare to the local testing, with results reported in the literature.</w:t>
      </w:r>
      <w:r w:rsidR="00420366">
        <w:rPr>
          <w:rStyle w:val="FootnoteReference"/>
        </w:rPr>
        <w:footnoteReference w:id="90"/>
      </w:r>
    </w:p>
    <w:p w14:paraId="383FA620" w14:textId="4D489B06" w:rsidR="00B84082" w:rsidRPr="00286EBA" w:rsidRDefault="00B84082" w:rsidP="00B84082">
      <w:r>
        <w:t>The plasma</w:t>
      </w:r>
      <w:r w:rsidR="004F3071">
        <w:t xml:space="preserve"> </w:t>
      </w:r>
      <w:r>
        <w:t xml:space="preserve">based diagnostic test, Guardant360 </w:t>
      </w:r>
      <w:proofErr w:type="spellStart"/>
      <w:r>
        <w:t>CDx</w:t>
      </w:r>
      <w:proofErr w:type="spellEnd"/>
      <w:r>
        <w:t xml:space="preserve">, has been approved by FDA as a companion diagnostic for the selection of patients with EGFR ex20ins mutation-positive NSCLC for treatment with </w:t>
      </w:r>
      <w:proofErr w:type="spellStart"/>
      <w:r>
        <w:t>amivantamab</w:t>
      </w:r>
      <w:proofErr w:type="spellEnd"/>
      <w:r>
        <w:t>.</w:t>
      </w:r>
      <w:r w:rsidR="00420366">
        <w:rPr>
          <w:rStyle w:val="FootnoteReference"/>
        </w:rPr>
        <w:footnoteReference w:id="91"/>
      </w:r>
    </w:p>
    <w:p w14:paraId="7CD4ECB8" w14:textId="77777777" w:rsidR="00B84082" w:rsidRDefault="00B84082" w:rsidP="00B84082">
      <w:pPr>
        <w:pStyle w:val="Heading4"/>
        <w:rPr>
          <w:rFonts w:asciiTheme="minorHAnsi" w:hAnsiTheme="minorHAnsi"/>
          <w:szCs w:val="22"/>
        </w:rPr>
      </w:pPr>
      <w:bookmarkStart w:id="109" w:name="_Toc144288311"/>
      <w:r>
        <w:rPr>
          <w:rFonts w:asciiTheme="minorHAnsi" w:hAnsiTheme="minorHAnsi"/>
          <w:szCs w:val="22"/>
        </w:rPr>
        <w:t>Confirmatory data plan</w:t>
      </w:r>
      <w:bookmarkEnd w:id="109"/>
    </w:p>
    <w:p w14:paraId="0F8A398B" w14:textId="456FF078" w:rsidR="00B84082" w:rsidRPr="0065768D" w:rsidRDefault="00B84082" w:rsidP="00B84082">
      <w:r>
        <w:t>A</w:t>
      </w:r>
      <w:r w:rsidRPr="00431141">
        <w:t xml:space="preserve"> Phase </w:t>
      </w:r>
      <w:r w:rsidR="00420366">
        <w:t>III</w:t>
      </w:r>
      <w:r w:rsidRPr="00431141">
        <w:t xml:space="preserve"> study (61186372NSC3001</w:t>
      </w:r>
      <w:r>
        <w:t>, PAPILLON</w:t>
      </w:r>
      <w:r w:rsidR="00420366">
        <w:t xml:space="preserve"> trial</w:t>
      </w:r>
      <w:r w:rsidRPr="00431141">
        <w:t xml:space="preserve">) </w:t>
      </w:r>
      <w:r>
        <w:t>is underway that is expected</w:t>
      </w:r>
      <w:r w:rsidRPr="00431141">
        <w:t xml:space="preserve"> to confirm</w:t>
      </w:r>
      <w:r>
        <w:t xml:space="preserve"> </w:t>
      </w:r>
      <w:r w:rsidRPr="00431141">
        <w:t xml:space="preserve">clinical </w:t>
      </w:r>
      <w:r w:rsidRPr="0065768D">
        <w:t xml:space="preserve">benefit of </w:t>
      </w:r>
      <w:proofErr w:type="spellStart"/>
      <w:r w:rsidRPr="0065768D">
        <w:t>amivantamab</w:t>
      </w:r>
      <w:proofErr w:type="spellEnd"/>
      <w:r w:rsidRPr="0065768D">
        <w:t xml:space="preserve"> in the treatment of EGFR ex20ins-mutation positive NCSLC.</w:t>
      </w:r>
      <w:r>
        <w:t xml:space="preserve"> The </w:t>
      </w:r>
      <w:r w:rsidR="00420366">
        <w:t>s</w:t>
      </w:r>
      <w:r>
        <w:t>ponsor proposes that this study should fulfil the clinical study plan requirement for provisional registration.</w:t>
      </w:r>
    </w:p>
    <w:p w14:paraId="44CE5626" w14:textId="744AD2AC" w:rsidR="00B84082" w:rsidRDefault="004F3071" w:rsidP="00B84082">
      <w:r>
        <w:t xml:space="preserve">The </w:t>
      </w:r>
      <w:r w:rsidR="00B84082" w:rsidRPr="0065768D">
        <w:t xml:space="preserve">PAPILLON </w:t>
      </w:r>
      <w:r w:rsidR="00420366">
        <w:t xml:space="preserve">trial </w:t>
      </w:r>
      <w:r w:rsidR="00B84082" w:rsidRPr="0065768D">
        <w:t xml:space="preserve">is a </w:t>
      </w:r>
      <w:r w:rsidR="00420366">
        <w:t>P</w:t>
      </w:r>
      <w:r w:rsidR="00B84082" w:rsidRPr="0065768D">
        <w:t xml:space="preserve">hase </w:t>
      </w:r>
      <w:r w:rsidR="00420366">
        <w:t>III</w:t>
      </w:r>
      <w:r w:rsidR="00B84082" w:rsidRPr="0065768D">
        <w:t>, open</w:t>
      </w:r>
      <w:r w:rsidR="00420366">
        <w:t xml:space="preserve"> </w:t>
      </w:r>
      <w:r w:rsidR="00B84082" w:rsidRPr="0065768D">
        <w:t>label, multicentre, randomised, controlled study to evaluate the efficacy and safety of carboplatin</w:t>
      </w:r>
      <w:r w:rsidR="00420366">
        <w:t xml:space="preserve"> </w:t>
      </w:r>
      <w:r w:rsidR="00B84082" w:rsidRPr="0065768D">
        <w:t xml:space="preserve">pemetrexed chemotherapy with or without </w:t>
      </w:r>
      <w:proofErr w:type="spellStart"/>
      <w:r w:rsidR="00B84082" w:rsidRPr="0065768D">
        <w:t>amivantamab</w:t>
      </w:r>
      <w:proofErr w:type="spellEnd"/>
      <w:r w:rsidR="00B84082" w:rsidRPr="0065768D">
        <w:t>, in the first</w:t>
      </w:r>
      <w:r w:rsidR="00420366">
        <w:t xml:space="preserve"> </w:t>
      </w:r>
      <w:r w:rsidR="00B84082" w:rsidRPr="0065768D">
        <w:t xml:space="preserve">line treatment of patients with </w:t>
      </w:r>
      <w:r w:rsidR="00B84082" w:rsidRPr="004F3071">
        <w:rPr>
          <w:i/>
          <w:iCs/>
        </w:rPr>
        <w:t>EGFR</w:t>
      </w:r>
      <w:r w:rsidR="00B84082" w:rsidRPr="0065768D">
        <w:t xml:space="preserve"> ex20ins-mutation positive NCSLC.</w:t>
      </w:r>
      <w:r w:rsidR="00C83C50" w:rsidRPr="0065768D">
        <w:rPr>
          <w:rStyle w:val="FootnoteReference"/>
        </w:rPr>
        <w:footnoteReference w:id="92"/>
      </w:r>
      <w:r w:rsidR="00C83C50" w:rsidRPr="0065768D">
        <w:t xml:space="preserve"> </w:t>
      </w:r>
      <w:r w:rsidR="00B84082">
        <w:t xml:space="preserve">The study design is summarised </w:t>
      </w:r>
      <w:r w:rsidR="00420366">
        <w:t xml:space="preserve">in </w:t>
      </w:r>
      <w:r w:rsidR="00420366">
        <w:fldChar w:fldCharType="begin"/>
      </w:r>
      <w:r w:rsidR="00420366">
        <w:instrText xml:space="preserve"> REF _Ref140826128 \h </w:instrText>
      </w:r>
      <w:r w:rsidR="00420366">
        <w:fldChar w:fldCharType="separate"/>
      </w:r>
      <w:r w:rsidR="0006496E" w:rsidRPr="0096609F">
        <w:t xml:space="preserve">Figure </w:t>
      </w:r>
      <w:r w:rsidR="0006496E">
        <w:rPr>
          <w:noProof/>
        </w:rPr>
        <w:t>11</w:t>
      </w:r>
      <w:r w:rsidR="00420366">
        <w:fldChar w:fldCharType="end"/>
      </w:r>
      <w:r w:rsidR="0096609F">
        <w:t>,</w:t>
      </w:r>
      <w:r w:rsidR="00B84082">
        <w:t xml:space="preserve"> PFS has been selected as the primary endpoint, which is appropriate, given the potential for crossover to affect OS.</w:t>
      </w:r>
    </w:p>
    <w:p w14:paraId="3ACBC2AD" w14:textId="565B3794" w:rsidR="00B84082" w:rsidRDefault="004F3071" w:rsidP="00B84082">
      <w:r>
        <w:t xml:space="preserve">The </w:t>
      </w:r>
      <w:r w:rsidR="00B84082">
        <w:t xml:space="preserve">PAPILLON </w:t>
      </w:r>
      <w:r w:rsidR="0096609F">
        <w:t xml:space="preserve">trial </w:t>
      </w:r>
      <w:r w:rsidR="00B84082">
        <w:t>commenced in 2020, at which time the comparator arm (chemotherapy alone) may not have been considered standard</w:t>
      </w:r>
      <w:r w:rsidR="0096609F">
        <w:t xml:space="preserve"> </w:t>
      </w:r>
      <w:r w:rsidR="00B84082">
        <w:t>of</w:t>
      </w:r>
      <w:r w:rsidR="0096609F">
        <w:t xml:space="preserve"> </w:t>
      </w:r>
      <w:r w:rsidR="00B84082">
        <w:t>care in Australia. E</w:t>
      </w:r>
      <w:r w:rsidR="00B84082" w:rsidRPr="0065768D">
        <w:t xml:space="preserve">nrolment </w:t>
      </w:r>
      <w:r w:rsidR="00B84082">
        <w:t>is</w:t>
      </w:r>
      <w:r w:rsidR="00B84082" w:rsidRPr="0065768D">
        <w:t xml:space="preserve"> ongoing, </w:t>
      </w:r>
      <w:r w:rsidR="00B84082">
        <w:t xml:space="preserve">with 283 of an anticipated 300 participants as of 9 </w:t>
      </w:r>
      <w:r w:rsidR="0096609F">
        <w:t>September</w:t>
      </w:r>
      <w:r w:rsidR="00B84082">
        <w:t xml:space="preserve"> 2022. Enrolment has been impacted by the COVID-19 pandemic, and the evolving conflict impacting study sites in Russia and Ukraine. Completion of enrolment is anticipated by October 2022. P</w:t>
      </w:r>
      <w:r w:rsidR="00B84082" w:rsidRPr="0065768D">
        <w:t xml:space="preserve">rimary completion </w:t>
      </w:r>
      <w:r w:rsidR="00B84082">
        <w:t>(clinical cut-off date for primary PFS analysis) is estimated for</w:t>
      </w:r>
      <w:r w:rsidR="00B84082" w:rsidRPr="0065768D">
        <w:t xml:space="preserve"> </w:t>
      </w:r>
      <w:r w:rsidR="00B84082">
        <w:t>September 2023</w:t>
      </w:r>
      <w:r w:rsidR="00B84082" w:rsidRPr="0065768D">
        <w:t>, with a</w:t>
      </w:r>
      <w:r w:rsidR="00B84082">
        <w:t>n estimated</w:t>
      </w:r>
      <w:r w:rsidR="00B84082" w:rsidRPr="0065768D">
        <w:t xml:space="preserve"> </w:t>
      </w:r>
      <w:r w:rsidR="00B84082">
        <w:t>final study report date in March 2024.</w:t>
      </w:r>
    </w:p>
    <w:p w14:paraId="0CA61152" w14:textId="021CAFA4" w:rsidR="0096609F" w:rsidRDefault="00420366" w:rsidP="0096609F">
      <w:pPr>
        <w:pStyle w:val="FigureTitle"/>
      </w:pPr>
      <w:bookmarkStart w:id="110" w:name="_Ref140826128"/>
      <w:r w:rsidRPr="0096609F">
        <w:t xml:space="preserve">Figure </w:t>
      </w:r>
      <w:r w:rsidR="00C3481D">
        <w:fldChar w:fldCharType="begin"/>
      </w:r>
      <w:r w:rsidR="00C3481D">
        <w:instrText xml:space="preserve"> SEQ Figure \* ARABIC </w:instrText>
      </w:r>
      <w:r w:rsidR="00C3481D">
        <w:fldChar w:fldCharType="separate"/>
      </w:r>
      <w:r w:rsidR="0006496E">
        <w:rPr>
          <w:noProof/>
        </w:rPr>
        <w:t>11</w:t>
      </w:r>
      <w:r w:rsidR="00C3481D">
        <w:rPr>
          <w:noProof/>
        </w:rPr>
        <w:fldChar w:fldCharType="end"/>
      </w:r>
      <w:bookmarkEnd w:id="110"/>
      <w:r>
        <w:t xml:space="preserve">: </w:t>
      </w:r>
      <w:r w:rsidR="0096609F">
        <w:t>PAPILLON trial Schematic overview of the study design</w:t>
      </w:r>
    </w:p>
    <w:p w14:paraId="3C0E0D78" w14:textId="5C29757B" w:rsidR="00B84082" w:rsidRDefault="0096609F" w:rsidP="00C3481D">
      <w:r>
        <w:rPr>
          <w:noProof/>
          <w:lang w:eastAsia="en-AU"/>
        </w:rPr>
        <w:drawing>
          <wp:inline distT="0" distB="0" distL="0" distR="0" wp14:anchorId="26F7A191" wp14:editId="25E33D04">
            <wp:extent cx="5565913" cy="1874909"/>
            <wp:effectExtent l="0" t="0" r="0" b="0"/>
            <wp:docPr id="1" name="Picture 1" descr="PAPILLON trial Schematic overview of the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PILLON trial Schematic overview of the study design"/>
                    <pic:cNvPicPr/>
                  </pic:nvPicPr>
                  <pic:blipFill rotWithShape="1">
                    <a:blip r:embed="rId35"/>
                    <a:srcRect l="1262" t="29597" r="3813" b="3129"/>
                    <a:stretch/>
                  </pic:blipFill>
                  <pic:spPr bwMode="auto">
                    <a:xfrm>
                      <a:off x="0" y="0"/>
                      <a:ext cx="5569571" cy="1876141"/>
                    </a:xfrm>
                    <a:prstGeom prst="rect">
                      <a:avLst/>
                    </a:prstGeom>
                    <a:ln>
                      <a:noFill/>
                    </a:ln>
                    <a:extLst>
                      <a:ext uri="{53640926-AAD7-44D8-BBD7-CCE9431645EC}">
                        <a14:shadowObscured xmlns:a14="http://schemas.microsoft.com/office/drawing/2010/main"/>
                      </a:ext>
                    </a:extLst>
                  </pic:spPr>
                </pic:pic>
              </a:graphicData>
            </a:graphic>
          </wp:inline>
        </w:drawing>
      </w:r>
    </w:p>
    <w:p w14:paraId="2858B006" w14:textId="77777777" w:rsidR="00C22214" w:rsidRDefault="00C22214" w:rsidP="00C22214">
      <w:pPr>
        <w:pStyle w:val="Heading3"/>
        <w:rPr>
          <w:lang w:eastAsia="en-AU"/>
        </w:rPr>
      </w:pPr>
      <w:bookmarkStart w:id="111" w:name="_Toc103679298"/>
      <w:bookmarkStart w:id="112" w:name="_Toc144288312"/>
      <w:r>
        <w:rPr>
          <w:lang w:eastAsia="en-AU"/>
        </w:rPr>
        <w:t>Risk management plan</w:t>
      </w:r>
      <w:bookmarkEnd w:id="107"/>
      <w:bookmarkEnd w:id="111"/>
      <w:bookmarkEnd w:id="112"/>
    </w:p>
    <w:p w14:paraId="483555E5" w14:textId="3A387587" w:rsidR="00D93FD8" w:rsidRPr="00D93FD8" w:rsidRDefault="00D93FD8" w:rsidP="00D93FD8">
      <w:bookmarkStart w:id="113" w:name="_Toc247691531"/>
      <w:bookmarkStart w:id="114" w:name="_Toc314842515"/>
      <w:r>
        <w:t xml:space="preserve">The sponsor submitted </w:t>
      </w:r>
      <w:r w:rsidR="004F3071">
        <w:t>European Union (</w:t>
      </w:r>
      <w:r w:rsidRPr="0088528C">
        <w:t>EU</w:t>
      </w:r>
      <w:r w:rsidR="004F3071">
        <w:t>)</w:t>
      </w:r>
      <w:r w:rsidRPr="0088528C">
        <w:t>-</w:t>
      </w:r>
      <w:r w:rsidR="004F3071">
        <w:t>risk management plan (</w:t>
      </w:r>
      <w:r w:rsidRPr="0088528C">
        <w:t>RMP</w:t>
      </w:r>
      <w:r w:rsidR="004F3071">
        <w:t>)</w:t>
      </w:r>
      <w:r w:rsidRPr="0088528C">
        <w:t xml:space="preserve"> version 1.2 (dated 9 </w:t>
      </w:r>
      <w:r>
        <w:t>December</w:t>
      </w:r>
      <w:r w:rsidRPr="0088528C">
        <w:t xml:space="preserve"> 2021; </w:t>
      </w:r>
      <w:r w:rsidR="004F3071">
        <w:t>data lock point (</w:t>
      </w:r>
      <w:r w:rsidRPr="0088528C">
        <w:t>DLP</w:t>
      </w:r>
      <w:r w:rsidR="004F3071">
        <w:t>)</w:t>
      </w:r>
      <w:r w:rsidRPr="0088528C">
        <w:t xml:space="preserve"> 30 March 2021) and </w:t>
      </w:r>
      <w:r w:rsidR="004F3071">
        <w:t>Australia specific annex (</w:t>
      </w:r>
      <w:r w:rsidRPr="0088528C">
        <w:t>ASA</w:t>
      </w:r>
      <w:r w:rsidR="004F3071">
        <w:t>)</w:t>
      </w:r>
      <w:r w:rsidRPr="0088528C">
        <w:t xml:space="preserve"> version </w:t>
      </w:r>
      <w:r>
        <w:t>2</w:t>
      </w:r>
      <w:r w:rsidRPr="0088528C">
        <w:t>.0 (dated 2</w:t>
      </w:r>
      <w:r>
        <w:t>8</w:t>
      </w:r>
      <w:r w:rsidRPr="0088528C">
        <w:t xml:space="preserve"> </w:t>
      </w:r>
      <w:r>
        <w:t>September</w:t>
      </w:r>
      <w:r w:rsidRPr="0088528C">
        <w:t xml:space="preserve"> 202</w:t>
      </w:r>
      <w:r>
        <w:t>2</w:t>
      </w:r>
      <w:r w:rsidRPr="0088528C">
        <w:t>)</w:t>
      </w:r>
      <w:r>
        <w:t xml:space="preserve"> were reviewed</w:t>
      </w:r>
      <w:r w:rsidRPr="0088528C">
        <w:t>.</w:t>
      </w:r>
      <w:r>
        <w:t xml:space="preserve"> The summary of safety concerns (which comes from the European RMP) is presented in </w:t>
      </w:r>
      <w:r>
        <w:fldChar w:fldCharType="begin"/>
      </w:r>
      <w:r>
        <w:instrText xml:space="preserve"> REF _Ref97629131 \h </w:instrText>
      </w:r>
      <w:r>
        <w:fldChar w:fldCharType="separate"/>
      </w:r>
      <w:r w:rsidR="0006496E">
        <w:t xml:space="preserve">Table </w:t>
      </w:r>
      <w:r w:rsidR="0006496E">
        <w:rPr>
          <w:noProof/>
        </w:rPr>
        <w:t>11</w:t>
      </w:r>
      <w:r>
        <w:fldChar w:fldCharType="end"/>
      </w:r>
      <w:r>
        <w:t xml:space="preserve">, and was considered adequate by the </w:t>
      </w:r>
      <w:r>
        <w:lastRenderedPageBreak/>
        <w:t>reviewer, noting that further data from ongoing Phase III trials is expected to provide further information on long term safety.</w:t>
      </w:r>
    </w:p>
    <w:p w14:paraId="45A673A8" w14:textId="597EE95C" w:rsidR="00D93FD8" w:rsidRDefault="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06496E" w:rsidRPr="0006496E">
        <w:rPr>
          <w:szCs w:val="22"/>
        </w:rPr>
        <w:t xml:space="preserve">Table </w:t>
      </w:r>
      <w:r w:rsidR="0006496E" w:rsidRPr="0006496E">
        <w:rPr>
          <w:noProof/>
          <w:szCs w:val="22"/>
        </w:rPr>
        <w:t>11</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75F2B1FA" w:rsidR="006A277A" w:rsidRDefault="00C22214" w:rsidP="00C22214">
      <w:pPr>
        <w:pStyle w:val="TableTitle"/>
      </w:pPr>
      <w:bookmarkStart w:id="115" w:name="_Ref97629131"/>
      <w:r>
        <w:t xml:space="preserve">Table </w:t>
      </w:r>
      <w:r w:rsidR="00C3481D">
        <w:fldChar w:fldCharType="begin"/>
      </w:r>
      <w:r w:rsidR="00C3481D">
        <w:instrText xml:space="preserve"> SEQ Table \* ARABIC </w:instrText>
      </w:r>
      <w:r w:rsidR="00C3481D">
        <w:fldChar w:fldCharType="separate"/>
      </w:r>
      <w:r w:rsidR="0006496E">
        <w:rPr>
          <w:noProof/>
        </w:rPr>
        <w:t>11</w:t>
      </w:r>
      <w:r w:rsidR="00C3481D">
        <w:rPr>
          <w:noProof/>
        </w:rPr>
        <w:fldChar w:fldCharType="end"/>
      </w:r>
      <w:bookmarkEnd w:id="115"/>
      <w:r>
        <w:t>: Summary of safety concerns</w:t>
      </w:r>
      <w:r w:rsidR="006351D9">
        <w:t xml:space="preserve"> </w:t>
      </w:r>
    </w:p>
    <w:tbl>
      <w:tblPr>
        <w:tblStyle w:val="TableTGAblue2023"/>
        <w:tblW w:w="5000" w:type="pct"/>
        <w:tblLook w:val="04A0" w:firstRow="1" w:lastRow="0" w:firstColumn="1" w:lastColumn="0" w:noHBand="0" w:noVBand="1"/>
      </w:tblPr>
      <w:tblGrid>
        <w:gridCol w:w="1385"/>
        <w:gridCol w:w="3535"/>
        <w:gridCol w:w="935"/>
        <w:gridCol w:w="1135"/>
        <w:gridCol w:w="935"/>
        <w:gridCol w:w="1135"/>
      </w:tblGrid>
      <w:tr w:rsidR="00D93FD8" w:rsidRPr="00BF52F4" w14:paraId="198A566E" w14:textId="77777777" w:rsidTr="00D93FD8">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715" w:type="pct"/>
            <w:gridSpan w:val="2"/>
            <w:vMerge w:val="restart"/>
          </w:tcPr>
          <w:p w14:paraId="29442ABD" w14:textId="77777777" w:rsidR="00D93FD8" w:rsidRPr="00BF52F4" w:rsidRDefault="00D93FD8" w:rsidP="001A5C9C">
            <w:pPr>
              <w:pStyle w:val="Tabletext0"/>
              <w:rPr>
                <w:b w:val="0"/>
              </w:rPr>
            </w:pPr>
            <w:r w:rsidRPr="00BF52F4">
              <w:t>Summary of safety concerns</w:t>
            </w:r>
          </w:p>
        </w:tc>
        <w:tc>
          <w:tcPr>
            <w:tcW w:w="1142" w:type="pct"/>
            <w:gridSpan w:val="2"/>
          </w:tcPr>
          <w:p w14:paraId="37285938" w14:textId="77777777" w:rsidR="00D93FD8" w:rsidRPr="00BF52F4" w:rsidRDefault="00D93FD8" w:rsidP="001A5C9C">
            <w:pPr>
              <w:pStyle w:val="Tabletext0"/>
              <w:cnfStyle w:val="100000000000" w:firstRow="1" w:lastRow="0" w:firstColumn="0" w:lastColumn="0" w:oddVBand="0" w:evenVBand="0" w:oddHBand="0" w:evenHBand="0" w:firstRowFirstColumn="0" w:firstRowLastColumn="0" w:lastRowFirstColumn="0" w:lastRowLastColumn="0"/>
              <w:rPr>
                <w:b w:val="0"/>
                <w:sz w:val="18"/>
              </w:rPr>
            </w:pPr>
            <w:r w:rsidRPr="00BF52F4">
              <w:rPr>
                <w:sz w:val="18"/>
              </w:rPr>
              <w:t>Pharmacovigilance</w:t>
            </w:r>
          </w:p>
        </w:tc>
        <w:tc>
          <w:tcPr>
            <w:tcW w:w="1142" w:type="pct"/>
            <w:gridSpan w:val="2"/>
          </w:tcPr>
          <w:p w14:paraId="21F39AE7" w14:textId="77777777" w:rsidR="00D93FD8" w:rsidRPr="00BF52F4" w:rsidRDefault="00D93FD8" w:rsidP="001A5C9C">
            <w:pPr>
              <w:pStyle w:val="Tabletext0"/>
              <w:cnfStyle w:val="100000000000" w:firstRow="1" w:lastRow="0" w:firstColumn="0" w:lastColumn="0" w:oddVBand="0" w:evenVBand="0" w:oddHBand="0" w:evenHBand="0" w:firstRowFirstColumn="0" w:firstRowLastColumn="0" w:lastRowFirstColumn="0" w:lastRowLastColumn="0"/>
              <w:rPr>
                <w:b w:val="0"/>
                <w:sz w:val="18"/>
              </w:rPr>
            </w:pPr>
            <w:r w:rsidRPr="00BF52F4">
              <w:rPr>
                <w:sz w:val="18"/>
              </w:rPr>
              <w:t>Risk Minimisation</w:t>
            </w:r>
          </w:p>
        </w:tc>
      </w:tr>
      <w:tr w:rsidR="00D93FD8" w:rsidRPr="00BF52F4" w14:paraId="2271A48C" w14:textId="77777777" w:rsidTr="00D93FD8">
        <w:trPr>
          <w:trHeight w:val="150"/>
        </w:trPr>
        <w:tc>
          <w:tcPr>
            <w:cnfStyle w:val="001000000000" w:firstRow="0" w:lastRow="0" w:firstColumn="1" w:lastColumn="0" w:oddVBand="0" w:evenVBand="0" w:oddHBand="0" w:evenHBand="0" w:firstRowFirstColumn="0" w:firstRowLastColumn="0" w:lastRowFirstColumn="0" w:lastRowLastColumn="0"/>
            <w:tcW w:w="2715" w:type="pct"/>
            <w:gridSpan w:val="2"/>
            <w:vMerge/>
          </w:tcPr>
          <w:p w14:paraId="6B226A83" w14:textId="77777777" w:rsidR="00D93FD8" w:rsidRPr="00BF52F4" w:rsidRDefault="00D93FD8" w:rsidP="001A5C9C">
            <w:pPr>
              <w:pStyle w:val="Tabletext0"/>
              <w:rPr>
                <w:b/>
              </w:rPr>
            </w:pPr>
          </w:p>
        </w:tc>
        <w:tc>
          <w:tcPr>
            <w:tcW w:w="516" w:type="pct"/>
          </w:tcPr>
          <w:p w14:paraId="225D1868" w14:textId="77777777" w:rsidR="00D93FD8" w:rsidRPr="00BF52F4" w:rsidRDefault="00D93FD8" w:rsidP="001A5C9C">
            <w:pPr>
              <w:pStyle w:val="Tabletext0"/>
              <w:cnfStyle w:val="000000000000" w:firstRow="0" w:lastRow="0" w:firstColumn="0" w:lastColumn="0" w:oddVBand="0" w:evenVBand="0" w:oddHBand="0" w:evenHBand="0" w:firstRowFirstColumn="0" w:firstRowLastColumn="0" w:lastRowFirstColumn="0" w:lastRowLastColumn="0"/>
              <w:rPr>
                <w:sz w:val="18"/>
              </w:rPr>
            </w:pPr>
            <w:r w:rsidRPr="00BF52F4">
              <w:rPr>
                <w:sz w:val="18"/>
              </w:rPr>
              <w:t>Routine</w:t>
            </w:r>
          </w:p>
        </w:tc>
        <w:tc>
          <w:tcPr>
            <w:tcW w:w="626" w:type="pct"/>
          </w:tcPr>
          <w:p w14:paraId="687E0826" w14:textId="77777777" w:rsidR="00D93FD8" w:rsidRPr="00BF52F4" w:rsidRDefault="00D93FD8" w:rsidP="001A5C9C">
            <w:pPr>
              <w:pStyle w:val="Tabletext0"/>
              <w:cnfStyle w:val="000000000000" w:firstRow="0" w:lastRow="0" w:firstColumn="0" w:lastColumn="0" w:oddVBand="0" w:evenVBand="0" w:oddHBand="0" w:evenHBand="0" w:firstRowFirstColumn="0" w:firstRowLastColumn="0" w:lastRowFirstColumn="0" w:lastRowLastColumn="0"/>
              <w:rPr>
                <w:sz w:val="18"/>
              </w:rPr>
            </w:pPr>
            <w:r w:rsidRPr="00BF52F4">
              <w:rPr>
                <w:sz w:val="18"/>
              </w:rPr>
              <w:t>Additional</w:t>
            </w:r>
          </w:p>
        </w:tc>
        <w:tc>
          <w:tcPr>
            <w:tcW w:w="516" w:type="pct"/>
          </w:tcPr>
          <w:p w14:paraId="460B86C0" w14:textId="77777777" w:rsidR="00D93FD8" w:rsidRPr="00BF52F4" w:rsidRDefault="00D93FD8" w:rsidP="001A5C9C">
            <w:pPr>
              <w:pStyle w:val="Tabletext0"/>
              <w:cnfStyle w:val="000000000000" w:firstRow="0" w:lastRow="0" w:firstColumn="0" w:lastColumn="0" w:oddVBand="0" w:evenVBand="0" w:oddHBand="0" w:evenHBand="0" w:firstRowFirstColumn="0" w:firstRowLastColumn="0" w:lastRowFirstColumn="0" w:lastRowLastColumn="0"/>
              <w:rPr>
                <w:sz w:val="18"/>
              </w:rPr>
            </w:pPr>
            <w:r w:rsidRPr="00BF52F4">
              <w:rPr>
                <w:sz w:val="18"/>
              </w:rPr>
              <w:t>Routine</w:t>
            </w:r>
          </w:p>
        </w:tc>
        <w:tc>
          <w:tcPr>
            <w:tcW w:w="626" w:type="pct"/>
          </w:tcPr>
          <w:p w14:paraId="433D51A3" w14:textId="77777777" w:rsidR="00D93FD8" w:rsidRPr="00BF52F4" w:rsidRDefault="00D93FD8" w:rsidP="001A5C9C">
            <w:pPr>
              <w:pStyle w:val="Tabletext0"/>
              <w:cnfStyle w:val="000000000000" w:firstRow="0" w:lastRow="0" w:firstColumn="0" w:lastColumn="0" w:oddVBand="0" w:evenVBand="0" w:oddHBand="0" w:evenHBand="0" w:firstRowFirstColumn="0" w:firstRowLastColumn="0" w:lastRowFirstColumn="0" w:lastRowLastColumn="0"/>
              <w:rPr>
                <w:sz w:val="18"/>
              </w:rPr>
            </w:pPr>
            <w:r w:rsidRPr="00BF52F4">
              <w:rPr>
                <w:sz w:val="18"/>
              </w:rPr>
              <w:t>Additional</w:t>
            </w:r>
          </w:p>
        </w:tc>
      </w:tr>
      <w:tr w:rsidR="00D93FD8" w:rsidRPr="00BF52F4" w14:paraId="646C0015" w14:textId="77777777" w:rsidTr="00D93FD8">
        <w:trPr>
          <w:trHeight w:val="137"/>
        </w:trPr>
        <w:tc>
          <w:tcPr>
            <w:cnfStyle w:val="001000000000" w:firstRow="0" w:lastRow="0" w:firstColumn="1" w:lastColumn="0" w:oddVBand="0" w:evenVBand="0" w:oddHBand="0" w:evenHBand="0" w:firstRowFirstColumn="0" w:firstRowLastColumn="0" w:lastRowFirstColumn="0" w:lastRowLastColumn="0"/>
            <w:tcW w:w="764" w:type="pct"/>
          </w:tcPr>
          <w:p w14:paraId="7CC24986" w14:textId="77777777" w:rsidR="00D93FD8" w:rsidRPr="00BF52F4" w:rsidRDefault="00D93FD8" w:rsidP="001A5C9C">
            <w:pPr>
              <w:pStyle w:val="Tabletext0"/>
              <w:rPr>
                <w:b/>
              </w:rPr>
            </w:pPr>
            <w:r w:rsidRPr="00BF52F4">
              <w:rPr>
                <w:b/>
              </w:rPr>
              <w:t>Important identified risks</w:t>
            </w:r>
          </w:p>
        </w:tc>
        <w:tc>
          <w:tcPr>
            <w:tcW w:w="1951" w:type="pct"/>
          </w:tcPr>
          <w:p w14:paraId="448BA280" w14:textId="77777777" w:rsidR="00D93FD8" w:rsidRPr="00BF52F4" w:rsidRDefault="00D93FD8" w:rsidP="001A5C9C">
            <w:pPr>
              <w:pStyle w:val="Tabletext0"/>
              <w:cnfStyle w:val="000000000000" w:firstRow="0" w:lastRow="0" w:firstColumn="0" w:lastColumn="0" w:oddVBand="0" w:evenVBand="0" w:oddHBand="0" w:evenHBand="0" w:firstRowFirstColumn="0" w:firstRowLastColumn="0" w:lastRowFirstColumn="0" w:lastRowLastColumn="0"/>
            </w:pPr>
            <w:r w:rsidRPr="00D66207">
              <w:t>Infusion-related reaction</w:t>
            </w:r>
          </w:p>
        </w:tc>
        <w:tc>
          <w:tcPr>
            <w:tcW w:w="516" w:type="pct"/>
          </w:tcPr>
          <w:p w14:paraId="3BE5D60D"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sym w:font="Wingdings" w:char="F0FC"/>
            </w:r>
          </w:p>
        </w:tc>
        <w:tc>
          <w:tcPr>
            <w:tcW w:w="626" w:type="pct"/>
          </w:tcPr>
          <w:p w14:paraId="7B518A7C"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t>–</w:t>
            </w:r>
          </w:p>
        </w:tc>
        <w:tc>
          <w:tcPr>
            <w:tcW w:w="516" w:type="pct"/>
          </w:tcPr>
          <w:p w14:paraId="023AA81E"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sym w:font="Wingdings" w:char="F0FC"/>
            </w:r>
          </w:p>
        </w:tc>
        <w:tc>
          <w:tcPr>
            <w:tcW w:w="626" w:type="pct"/>
          </w:tcPr>
          <w:p w14:paraId="1F503E1F"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t>–</w:t>
            </w:r>
          </w:p>
        </w:tc>
      </w:tr>
      <w:tr w:rsidR="00D93FD8" w:rsidRPr="00BF52F4" w14:paraId="067115E0" w14:textId="77777777" w:rsidTr="00D93FD8">
        <w:trPr>
          <w:trHeight w:val="159"/>
        </w:trPr>
        <w:tc>
          <w:tcPr>
            <w:cnfStyle w:val="001000000000" w:firstRow="0" w:lastRow="0" w:firstColumn="1" w:lastColumn="0" w:oddVBand="0" w:evenVBand="0" w:oddHBand="0" w:evenHBand="0" w:firstRowFirstColumn="0" w:firstRowLastColumn="0" w:lastRowFirstColumn="0" w:lastRowLastColumn="0"/>
            <w:tcW w:w="764" w:type="pct"/>
            <w:vMerge w:val="restart"/>
          </w:tcPr>
          <w:p w14:paraId="1E4C07CA" w14:textId="77777777" w:rsidR="00D93FD8" w:rsidRPr="00BF52F4" w:rsidRDefault="00D93FD8" w:rsidP="001A5C9C">
            <w:pPr>
              <w:pStyle w:val="Tabletext0"/>
              <w:rPr>
                <w:b/>
              </w:rPr>
            </w:pPr>
            <w:r w:rsidRPr="00BF52F4">
              <w:rPr>
                <w:b/>
              </w:rPr>
              <w:t>Important potential risks</w:t>
            </w:r>
          </w:p>
        </w:tc>
        <w:tc>
          <w:tcPr>
            <w:tcW w:w="1951" w:type="pct"/>
          </w:tcPr>
          <w:p w14:paraId="65D381E9" w14:textId="77777777" w:rsidR="00D93FD8" w:rsidRPr="00BF52F4" w:rsidRDefault="00D93FD8" w:rsidP="001A5C9C">
            <w:pPr>
              <w:pStyle w:val="Tabletext0"/>
              <w:cnfStyle w:val="000000000000" w:firstRow="0" w:lastRow="0" w:firstColumn="0" w:lastColumn="0" w:oddVBand="0" w:evenVBand="0" w:oddHBand="0" w:evenHBand="0" w:firstRowFirstColumn="0" w:firstRowLastColumn="0" w:lastRowFirstColumn="0" w:lastRowLastColumn="0"/>
            </w:pPr>
            <w:r w:rsidRPr="00D66207">
              <w:t>Hepatotoxicity</w:t>
            </w:r>
          </w:p>
        </w:tc>
        <w:tc>
          <w:tcPr>
            <w:tcW w:w="516" w:type="pct"/>
          </w:tcPr>
          <w:p w14:paraId="7E2BA3F4"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sym w:font="Wingdings" w:char="F0FC"/>
            </w:r>
          </w:p>
        </w:tc>
        <w:tc>
          <w:tcPr>
            <w:tcW w:w="626" w:type="pct"/>
          </w:tcPr>
          <w:p w14:paraId="6B3DBF73"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t>–</w:t>
            </w:r>
          </w:p>
        </w:tc>
        <w:tc>
          <w:tcPr>
            <w:tcW w:w="516" w:type="pct"/>
          </w:tcPr>
          <w:p w14:paraId="3AE689B3"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sym w:font="Wingdings" w:char="F0FC"/>
            </w:r>
          </w:p>
        </w:tc>
        <w:tc>
          <w:tcPr>
            <w:tcW w:w="626" w:type="pct"/>
          </w:tcPr>
          <w:p w14:paraId="393D79A9"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t>–</w:t>
            </w:r>
          </w:p>
        </w:tc>
      </w:tr>
      <w:tr w:rsidR="00D93FD8" w:rsidRPr="00BF52F4" w14:paraId="23AE0C05" w14:textId="77777777" w:rsidTr="00D93FD8">
        <w:trPr>
          <w:trHeight w:val="122"/>
        </w:trPr>
        <w:tc>
          <w:tcPr>
            <w:cnfStyle w:val="001000000000" w:firstRow="0" w:lastRow="0" w:firstColumn="1" w:lastColumn="0" w:oddVBand="0" w:evenVBand="0" w:oddHBand="0" w:evenHBand="0" w:firstRowFirstColumn="0" w:firstRowLastColumn="0" w:lastRowFirstColumn="0" w:lastRowLastColumn="0"/>
            <w:tcW w:w="764" w:type="pct"/>
            <w:vMerge/>
          </w:tcPr>
          <w:p w14:paraId="3B60DECF" w14:textId="77777777" w:rsidR="00D93FD8" w:rsidRPr="00BF52F4" w:rsidRDefault="00D93FD8" w:rsidP="001A5C9C">
            <w:pPr>
              <w:pStyle w:val="Tabletext0"/>
              <w:rPr>
                <w:b/>
              </w:rPr>
            </w:pPr>
          </w:p>
        </w:tc>
        <w:tc>
          <w:tcPr>
            <w:tcW w:w="1951" w:type="pct"/>
          </w:tcPr>
          <w:p w14:paraId="0E507A07" w14:textId="77777777" w:rsidR="00D93FD8" w:rsidRPr="00BF52F4" w:rsidRDefault="00D93FD8" w:rsidP="001A5C9C">
            <w:pPr>
              <w:pStyle w:val="Tabletext0"/>
              <w:cnfStyle w:val="000000000000" w:firstRow="0" w:lastRow="0" w:firstColumn="0" w:lastColumn="0" w:oddVBand="0" w:evenVBand="0" w:oddHBand="0" w:evenHBand="0" w:firstRowFirstColumn="0" w:firstRowLastColumn="0" w:lastRowFirstColumn="0" w:lastRowLastColumn="0"/>
            </w:pPr>
            <w:r w:rsidRPr="00D66207">
              <w:t>Impaired fertility and embryofetal toxicity</w:t>
            </w:r>
          </w:p>
        </w:tc>
        <w:tc>
          <w:tcPr>
            <w:tcW w:w="516" w:type="pct"/>
          </w:tcPr>
          <w:p w14:paraId="40661551"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sym w:font="Wingdings" w:char="F0FC"/>
            </w:r>
          </w:p>
        </w:tc>
        <w:tc>
          <w:tcPr>
            <w:tcW w:w="626" w:type="pct"/>
          </w:tcPr>
          <w:p w14:paraId="274C95CD"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t>–</w:t>
            </w:r>
          </w:p>
        </w:tc>
        <w:tc>
          <w:tcPr>
            <w:tcW w:w="516" w:type="pct"/>
          </w:tcPr>
          <w:p w14:paraId="401B96FD"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sym w:font="Wingdings" w:char="F0FC"/>
            </w:r>
          </w:p>
        </w:tc>
        <w:tc>
          <w:tcPr>
            <w:tcW w:w="626" w:type="pct"/>
          </w:tcPr>
          <w:p w14:paraId="7D7C469E"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t>–</w:t>
            </w:r>
          </w:p>
        </w:tc>
      </w:tr>
      <w:tr w:rsidR="00D93FD8" w:rsidRPr="00BF52F4" w14:paraId="7715372F" w14:textId="77777777" w:rsidTr="00D93FD8">
        <w:trPr>
          <w:trHeight w:val="178"/>
        </w:trPr>
        <w:tc>
          <w:tcPr>
            <w:cnfStyle w:val="001000000000" w:firstRow="0" w:lastRow="0" w:firstColumn="1" w:lastColumn="0" w:oddVBand="0" w:evenVBand="0" w:oddHBand="0" w:evenHBand="0" w:firstRowFirstColumn="0" w:firstRowLastColumn="0" w:lastRowFirstColumn="0" w:lastRowLastColumn="0"/>
            <w:tcW w:w="764" w:type="pct"/>
          </w:tcPr>
          <w:p w14:paraId="670FCF97" w14:textId="77777777" w:rsidR="00D93FD8" w:rsidRPr="00BF52F4" w:rsidRDefault="00D93FD8" w:rsidP="001A5C9C">
            <w:pPr>
              <w:pStyle w:val="Tabletext0"/>
              <w:rPr>
                <w:b/>
              </w:rPr>
            </w:pPr>
            <w:r w:rsidRPr="00BF52F4">
              <w:rPr>
                <w:b/>
              </w:rPr>
              <w:t>Missing information</w:t>
            </w:r>
          </w:p>
        </w:tc>
        <w:tc>
          <w:tcPr>
            <w:tcW w:w="1951" w:type="pct"/>
          </w:tcPr>
          <w:p w14:paraId="649BC166" w14:textId="77777777" w:rsidR="00D93FD8" w:rsidRPr="00BF52F4" w:rsidRDefault="00D93FD8" w:rsidP="001A5C9C">
            <w:pPr>
              <w:pStyle w:val="Tabletext0"/>
              <w:cnfStyle w:val="000000000000" w:firstRow="0" w:lastRow="0" w:firstColumn="0" w:lastColumn="0" w:oddVBand="0" w:evenVBand="0" w:oddHBand="0" w:evenHBand="0" w:firstRowFirstColumn="0" w:firstRowLastColumn="0" w:lastRowFirstColumn="0" w:lastRowLastColumn="0"/>
            </w:pPr>
            <w:r>
              <w:t xml:space="preserve">None </w:t>
            </w:r>
          </w:p>
        </w:tc>
        <w:tc>
          <w:tcPr>
            <w:tcW w:w="516" w:type="pct"/>
          </w:tcPr>
          <w:p w14:paraId="46575553"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sym w:font="Wingdings" w:char="F0FC"/>
            </w:r>
          </w:p>
        </w:tc>
        <w:tc>
          <w:tcPr>
            <w:tcW w:w="626" w:type="pct"/>
          </w:tcPr>
          <w:p w14:paraId="1F7120E1"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t>–</w:t>
            </w:r>
          </w:p>
        </w:tc>
        <w:tc>
          <w:tcPr>
            <w:tcW w:w="516" w:type="pct"/>
          </w:tcPr>
          <w:p w14:paraId="52071567"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sym w:font="Wingdings" w:char="F0FC"/>
            </w:r>
          </w:p>
        </w:tc>
        <w:tc>
          <w:tcPr>
            <w:tcW w:w="626" w:type="pct"/>
          </w:tcPr>
          <w:p w14:paraId="74CCFD10" w14:textId="77777777" w:rsidR="00D93FD8" w:rsidRPr="00741664" w:rsidRDefault="00D93FD8" w:rsidP="001A5C9C">
            <w:pPr>
              <w:pStyle w:val="Tabletext0"/>
              <w:jc w:val="center"/>
              <w:cnfStyle w:val="000000000000" w:firstRow="0" w:lastRow="0" w:firstColumn="0" w:lastColumn="0" w:oddVBand="0" w:evenVBand="0" w:oddHBand="0" w:evenHBand="0" w:firstRowFirstColumn="0" w:firstRowLastColumn="0" w:lastRowFirstColumn="0" w:lastRowLastColumn="0"/>
            </w:pPr>
            <w:r w:rsidRPr="00741664">
              <w:t>–</w:t>
            </w:r>
          </w:p>
        </w:tc>
      </w:tr>
    </w:tbl>
    <w:p w14:paraId="7BF10906" w14:textId="614A5B07" w:rsidR="00D93FD8" w:rsidRPr="00D93FD8" w:rsidRDefault="00D93FD8" w:rsidP="00D93FD8">
      <w:bookmarkStart w:id="116" w:name="_Toc103679299"/>
      <w:r w:rsidRPr="00D93FD8">
        <w:t>The safety concerns in the EU-RMP and ASA are identical. The summary of safety concerns is adequate.</w:t>
      </w:r>
    </w:p>
    <w:p w14:paraId="7995DE46" w14:textId="7D05C458" w:rsidR="00D93FD8" w:rsidRPr="00D93FD8" w:rsidRDefault="00D93FD8" w:rsidP="00D93FD8">
      <w:r w:rsidRPr="00D93FD8">
        <w:t>Routine risk minimisation activities only have been proposed which is acceptable</w:t>
      </w:r>
    </w:p>
    <w:p w14:paraId="456C7934" w14:textId="30EE0DC2" w:rsidR="00FA1BC9" w:rsidRDefault="00D93FD8" w:rsidP="00D93FD8">
      <w:r>
        <w:t>The Delegate noted that o</w:t>
      </w:r>
      <w:r w:rsidRPr="00D93FD8">
        <w:t>cular toxicity, skin toxicity and interstitial lung disease/pneumonitis have not been included in the summary of safety concerns. These toxicities are well known with EGFR/MET inhibitors.</w:t>
      </w:r>
    </w:p>
    <w:p w14:paraId="1F25E87A" w14:textId="403F355A" w:rsidR="00D93FD8" w:rsidRDefault="00D93FD8" w:rsidP="00D93FD8">
      <w:pPr>
        <w:pStyle w:val="Heading5"/>
      </w:pPr>
      <w:r>
        <w:t>Proposed wording for</w:t>
      </w:r>
      <w:r w:rsidRPr="00AA53F4">
        <w:t xml:space="preserve"> conditions of registration</w:t>
      </w:r>
    </w:p>
    <w:p w14:paraId="0C544659" w14:textId="77777777" w:rsidR="00D93FD8" w:rsidRPr="00D93FD8" w:rsidRDefault="00D93FD8" w:rsidP="00D93FD8">
      <w:r w:rsidRPr="00D93FD8">
        <w:t>The following wording for conditions of registration is recommended:</w:t>
      </w:r>
    </w:p>
    <w:p w14:paraId="181B7663" w14:textId="77777777" w:rsidR="00D93FD8" w:rsidRPr="00D93FD8" w:rsidRDefault="00D93FD8" w:rsidP="00D93FD8">
      <w:r w:rsidRPr="00D93FD8">
        <w:t>RMP condition:</w:t>
      </w:r>
    </w:p>
    <w:p w14:paraId="70997453" w14:textId="457B968B" w:rsidR="00D93FD8" w:rsidRPr="00480FBC" w:rsidRDefault="00D93FD8" w:rsidP="00D93FD8">
      <w:pPr>
        <w:ind w:left="720"/>
      </w:pPr>
      <w:r>
        <w:t>‘</w:t>
      </w:r>
      <w:r w:rsidRPr="00473319">
        <w:t>The</w:t>
      </w:r>
      <w:r w:rsidRPr="00473319">
        <w:rPr>
          <w:smallCaps/>
        </w:rPr>
        <w:t xml:space="preserve"> </w:t>
      </w:r>
      <w:proofErr w:type="spellStart"/>
      <w:r w:rsidRPr="00473319">
        <w:rPr>
          <w:smallCaps/>
        </w:rPr>
        <w:t>Rybrevant</w:t>
      </w:r>
      <w:proofErr w:type="spellEnd"/>
      <w:r w:rsidRPr="00473319">
        <w:t xml:space="preserve"> EU-Risk Management Plan (RMP) (version 1.2, dated 9 </w:t>
      </w:r>
      <w:r>
        <w:t>December</w:t>
      </w:r>
      <w:r w:rsidRPr="00473319">
        <w:t xml:space="preserve"> 2021, data lock point 30 March 2021), with Australian Specific Annex (version </w:t>
      </w:r>
      <w:r>
        <w:t>2</w:t>
      </w:r>
      <w:r w:rsidRPr="00473319">
        <w:t>.0, dated 2</w:t>
      </w:r>
      <w:r>
        <w:t>8</w:t>
      </w:r>
      <w:r w:rsidRPr="00473319">
        <w:t xml:space="preserve"> </w:t>
      </w:r>
      <w:r>
        <w:t>Septem</w:t>
      </w:r>
      <w:r w:rsidRPr="00473319">
        <w:t>ber 202</w:t>
      </w:r>
      <w:r>
        <w:t>2</w:t>
      </w:r>
      <w:r w:rsidRPr="00473319">
        <w:t>), included with submission PM-2021-04814-1-4, and any subsequent revisions, as agreed with the TGA will be implemented in Australia.</w:t>
      </w:r>
      <w:r>
        <w:t>’</w:t>
      </w:r>
    </w:p>
    <w:p w14:paraId="4A10957A" w14:textId="77777777" w:rsidR="00D93FD8" w:rsidRPr="00473319" w:rsidRDefault="00D93FD8" w:rsidP="00D93FD8">
      <w:r>
        <w:t>PSUR condition</w:t>
      </w:r>
      <w:r w:rsidRPr="00473319">
        <w:t>:</w:t>
      </w:r>
    </w:p>
    <w:p w14:paraId="794356F0" w14:textId="16B2352E" w:rsidR="00D93FD8" w:rsidRPr="00473319" w:rsidRDefault="00D93FD8" w:rsidP="00D93FD8">
      <w:pPr>
        <w:ind w:left="720"/>
      </w:pPr>
      <w:r>
        <w:t>‘</w:t>
      </w:r>
      <w:r w:rsidRPr="00473319">
        <w:t>An obligatory component of risk management plans is routine pharmacovigilance. Routine pharmacovigilance includes the submission of periodic safety update reports (PSURs).</w:t>
      </w:r>
    </w:p>
    <w:p w14:paraId="276B2B6D" w14:textId="3B9970A4" w:rsidR="00D93FD8" w:rsidRPr="00473319" w:rsidRDefault="00D93FD8" w:rsidP="00D93FD8">
      <w:pPr>
        <w:ind w:left="720"/>
      </w:pPr>
      <w:r w:rsidRPr="00473319">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w:t>
      </w:r>
      <w:r w:rsidR="004F3071">
        <w:t>e</w:t>
      </w:r>
      <w:r w:rsidRPr="00473319">
        <w:t xml:space="preserve"> approval letter, or the entire period of provisional registration, whichever is longer. </w:t>
      </w:r>
    </w:p>
    <w:p w14:paraId="556DC059" w14:textId="2432F46D" w:rsidR="00D93FD8" w:rsidRPr="00473319" w:rsidRDefault="00D93FD8" w:rsidP="00D93FD8">
      <w:pPr>
        <w:ind w:left="720"/>
        <w:rPr>
          <w:lang w:eastAsia="en-AU"/>
        </w:rPr>
      </w:pPr>
      <w:r w:rsidRPr="00473319">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r>
        <w:t>’</w:t>
      </w:r>
    </w:p>
    <w:p w14:paraId="6E7908AC" w14:textId="77777777" w:rsidR="00D93FD8" w:rsidRPr="00473319" w:rsidRDefault="00D93FD8" w:rsidP="00D93FD8">
      <w:r w:rsidRPr="005840F8">
        <w:lastRenderedPageBreak/>
        <w:t>Black Triangle Scheme condition (provisional registration)</w:t>
      </w:r>
      <w:r w:rsidRPr="00473319">
        <w:t>:</w:t>
      </w:r>
    </w:p>
    <w:p w14:paraId="344E8F5E" w14:textId="1B000C1D" w:rsidR="00D93FD8" w:rsidRPr="00E9786B" w:rsidRDefault="00D93FD8" w:rsidP="00D93FD8">
      <w:pPr>
        <w:ind w:left="720"/>
      </w:pPr>
      <w:r>
        <w:rPr>
          <w:smallCaps/>
        </w:rPr>
        <w:t>‘</w:t>
      </w:r>
      <w:proofErr w:type="spellStart"/>
      <w:r w:rsidRPr="00473319">
        <w:rPr>
          <w:smallCaps/>
        </w:rPr>
        <w:t>Rybrevan</w:t>
      </w:r>
      <w:r w:rsidRPr="00473319">
        <w:t>t</w:t>
      </w:r>
      <w:proofErr w:type="spellEnd"/>
      <w:r w:rsidRPr="00473319">
        <w:t xml:space="preserve"> (</w:t>
      </w:r>
      <w:proofErr w:type="spellStart"/>
      <w:r w:rsidRPr="00473319">
        <w:t>amivantamab</w:t>
      </w:r>
      <w:proofErr w:type="spellEnd"/>
      <w:r w:rsidRPr="00473319">
        <w:t>)] is to be included in the Black Triangle Scheme. The PI and CMI for</w:t>
      </w:r>
      <w:r w:rsidRPr="00473319">
        <w:rPr>
          <w:smallCaps/>
        </w:rPr>
        <w:t xml:space="preserve"> </w:t>
      </w:r>
      <w:proofErr w:type="spellStart"/>
      <w:r w:rsidRPr="00473319">
        <w:rPr>
          <w:smallCaps/>
        </w:rPr>
        <w:t>Rybrevant</w:t>
      </w:r>
      <w:proofErr w:type="spellEnd"/>
      <w:r w:rsidRPr="00473319">
        <w:t xml:space="preserve"> must include the black triangle symbol and mandatory accompanying text for five years, or the product’s entire period of provisional registration, whichever is longer.</w:t>
      </w:r>
      <w:r>
        <w:t>’</w:t>
      </w:r>
    </w:p>
    <w:p w14:paraId="74A4F87F" w14:textId="77777777" w:rsidR="00C22214" w:rsidRDefault="00C22214" w:rsidP="00C22214">
      <w:pPr>
        <w:pStyle w:val="Heading3"/>
      </w:pPr>
      <w:bookmarkStart w:id="117" w:name="_Toc144288313"/>
      <w:r>
        <w:t>Risk-benefit analysis</w:t>
      </w:r>
      <w:bookmarkEnd w:id="113"/>
      <w:bookmarkEnd w:id="114"/>
      <w:bookmarkEnd w:id="116"/>
      <w:bookmarkEnd w:id="117"/>
    </w:p>
    <w:p w14:paraId="77DE2655" w14:textId="77777777" w:rsidR="00C22214" w:rsidRDefault="00C22214" w:rsidP="00C22214">
      <w:pPr>
        <w:pStyle w:val="Heading4"/>
      </w:pPr>
      <w:bookmarkStart w:id="118" w:name="_Toc98931932"/>
      <w:bookmarkStart w:id="119" w:name="_Toc144288314"/>
      <w:r>
        <w:t>Delegate’s considerations</w:t>
      </w:r>
      <w:bookmarkEnd w:id="118"/>
      <w:bookmarkEnd w:id="119"/>
    </w:p>
    <w:p w14:paraId="14EB1A7A" w14:textId="385093AA" w:rsidR="00D93FD8" w:rsidRPr="00D93FD8" w:rsidRDefault="00D93FD8" w:rsidP="00D93FD8">
      <w:proofErr w:type="spellStart"/>
      <w:r w:rsidRPr="00D93FD8">
        <w:t>Amivantamab</w:t>
      </w:r>
      <w:proofErr w:type="spellEnd"/>
      <w:r w:rsidRPr="00D93FD8">
        <w:t xml:space="preserve"> is a bispecific monoclonal antibody with specificity for the extracellular domain of both the EGFR and the MET transmembrane tyrosine kinase receptors. Scientific literature supports mechanistic rationale for dual blockade of these receptors in cancer harbouring </w:t>
      </w:r>
      <w:r w:rsidRPr="004F3071">
        <w:rPr>
          <w:i/>
          <w:iCs/>
        </w:rPr>
        <w:t xml:space="preserve">EGFR </w:t>
      </w:r>
      <w:r w:rsidRPr="00D93FD8">
        <w:t>mutations, particularly where it is not responsive to small molecule EGFR TKIs.</w:t>
      </w:r>
    </w:p>
    <w:p w14:paraId="1A637DD5" w14:textId="21FAC361" w:rsidR="00D93FD8" w:rsidRPr="00D93FD8" w:rsidRDefault="00D93FD8" w:rsidP="00D93FD8">
      <w:r w:rsidRPr="00D93FD8">
        <w:t xml:space="preserve">Exon 20 insertion (ex20ins) mutations of the </w:t>
      </w:r>
      <w:r w:rsidRPr="004F3071">
        <w:rPr>
          <w:i/>
          <w:iCs/>
        </w:rPr>
        <w:t>EGFR</w:t>
      </w:r>
      <w:r w:rsidRPr="00D93FD8">
        <w:t xml:space="preserve"> are a class of mutation which generally confer primary resistance to EGFR TKIs. As a result, treatment options for most patients with </w:t>
      </w:r>
      <w:r w:rsidRPr="004F3071">
        <w:rPr>
          <w:i/>
          <w:iCs/>
        </w:rPr>
        <w:t>EGFR</w:t>
      </w:r>
      <w:r w:rsidRPr="00D93FD8">
        <w:t xml:space="preserve"> ex20ins mutation</w:t>
      </w:r>
      <w:r w:rsidR="004F3071">
        <w:t xml:space="preserve"> </w:t>
      </w:r>
      <w:r w:rsidRPr="00D93FD8">
        <w:t xml:space="preserve">positive NSCLC are the same as those for patients with no ‘driver’ mutation. After failure of first line </w:t>
      </w:r>
      <w:proofErr w:type="gramStart"/>
      <w:r w:rsidRPr="00D93FD8">
        <w:t>platinum</w:t>
      </w:r>
      <w:r w:rsidR="004F3071">
        <w:t xml:space="preserve"> </w:t>
      </w:r>
      <w:r w:rsidRPr="00D93FD8">
        <w:t>based</w:t>
      </w:r>
      <w:proofErr w:type="gramEnd"/>
      <w:r w:rsidRPr="00D93FD8">
        <w:t xml:space="preserve"> chemotherapy containing regimens, there is no standard of care treatment that has full registration. The efficacy of treatments that have been studied in randomised trials is limited, with response rates of </w:t>
      </w:r>
      <w:r w:rsidR="004F3071">
        <w:t xml:space="preserve">about </w:t>
      </w:r>
      <w:r w:rsidRPr="00D93FD8">
        <w:t>10</w:t>
      </w:r>
      <w:r w:rsidR="004F3071">
        <w:t xml:space="preserve"> to </w:t>
      </w:r>
      <w:r w:rsidRPr="00D93FD8">
        <w:t>15% and significant toxicity.</w:t>
      </w:r>
    </w:p>
    <w:p w14:paraId="75DF211A" w14:textId="28628A64" w:rsidR="00D93FD8" w:rsidRPr="00D93FD8" w:rsidRDefault="00D93FD8" w:rsidP="00D93FD8">
      <w:proofErr w:type="spellStart"/>
      <w:r w:rsidRPr="00D93FD8">
        <w:t>Amivantamab</w:t>
      </w:r>
      <w:proofErr w:type="spellEnd"/>
      <w:r w:rsidRPr="00D93FD8">
        <w:t xml:space="preserve"> has been studied in a single arm, dose escalation and expansion study (CHRYSALIS</w:t>
      </w:r>
      <w:r w:rsidR="004F3071">
        <w:t xml:space="preserve"> trial</w:t>
      </w:r>
      <w:r w:rsidRPr="00D93FD8">
        <w:t xml:space="preserve">) in patients with previously treated advanced NSCLC. The efficacy population for this submission includes a cohort of 81 patients from CHRYSALIS </w:t>
      </w:r>
      <w:r w:rsidR="004F3071">
        <w:t xml:space="preserve">trial </w:t>
      </w:r>
      <w:r w:rsidRPr="00D93FD8">
        <w:t xml:space="preserve">whose NSCLC harboured an ex20ins mutation of the </w:t>
      </w:r>
      <w:r w:rsidRPr="004F3071">
        <w:rPr>
          <w:i/>
          <w:iCs/>
        </w:rPr>
        <w:t>EGFR</w:t>
      </w:r>
      <w:r w:rsidRPr="00D93FD8">
        <w:t xml:space="preserve">, and who received </w:t>
      </w:r>
      <w:proofErr w:type="spellStart"/>
      <w:r w:rsidRPr="00D93FD8">
        <w:t>amivantamab</w:t>
      </w:r>
      <w:proofErr w:type="spellEnd"/>
      <w:r w:rsidRPr="00D93FD8">
        <w:t xml:space="preserve"> at the recommended dose (1050 mg for patients with baseline body weight </w:t>
      </w:r>
      <w:r w:rsidR="004F3071">
        <w:t xml:space="preserve">less than </w:t>
      </w:r>
      <w:r w:rsidRPr="00D93FD8">
        <w:t xml:space="preserve">80 kg, and 1400 mg otherwise given intravenously once a week for 4 weeks, then fortnightly thereafter). In this population, blinded independent central </w:t>
      </w:r>
      <w:r w:rsidR="001D0DF3">
        <w:t xml:space="preserve">radiological </w:t>
      </w:r>
      <w:r w:rsidRPr="00D93FD8">
        <w:t>review found an objective response rate of 40% (95% CI 29, 51), with a median duration of 11.1 months.</w:t>
      </w:r>
    </w:p>
    <w:p w14:paraId="0C05E2A7" w14:textId="25774C9E" w:rsidR="00D93FD8" w:rsidRPr="00D93FD8" w:rsidRDefault="00D93FD8" w:rsidP="00D93FD8">
      <w:r w:rsidRPr="00D93FD8">
        <w:t>In this clinical context, such a size and duration of treatment effect are considered likely to predict clinical benefit. The results from CHRYSALIS</w:t>
      </w:r>
      <w:r w:rsidR="004F3071">
        <w:t xml:space="preserve"> trial</w:t>
      </w:r>
      <w:r w:rsidRPr="00D93FD8">
        <w:t xml:space="preserve"> are therefore considered preliminary evidence of clinically meaningful and durable anti</w:t>
      </w:r>
      <w:r w:rsidR="001D0DF3">
        <w:t>-</w:t>
      </w:r>
      <w:r w:rsidRPr="00D93FD8">
        <w:t>tumo</w:t>
      </w:r>
      <w:r w:rsidR="001D0DF3">
        <w:t>u</w:t>
      </w:r>
      <w:r w:rsidRPr="00D93FD8">
        <w:t xml:space="preserve">r </w:t>
      </w:r>
      <w:r w:rsidR="00AD46AB">
        <w:t>activity</w:t>
      </w:r>
      <w:r w:rsidR="00AD46AB" w:rsidRPr="00D93FD8">
        <w:t xml:space="preserve"> </w:t>
      </w:r>
      <w:r w:rsidRPr="00D93FD8">
        <w:t xml:space="preserve">with </w:t>
      </w:r>
      <w:r w:rsidR="00AD46AB">
        <w:t xml:space="preserve">the use of </w:t>
      </w:r>
      <w:proofErr w:type="spellStart"/>
      <w:r w:rsidRPr="00D93FD8">
        <w:t>amivantamab</w:t>
      </w:r>
      <w:proofErr w:type="spellEnd"/>
      <w:r w:rsidRPr="00D93FD8">
        <w:t xml:space="preserve"> in patients with advanced NSCLC with </w:t>
      </w:r>
      <w:r w:rsidRPr="004F3071">
        <w:rPr>
          <w:i/>
          <w:iCs/>
        </w:rPr>
        <w:t>EGFR</w:t>
      </w:r>
      <w:r w:rsidRPr="00D93FD8">
        <w:t xml:space="preserve"> ex20ins mutations whose disease has progressed on or after platinum</w:t>
      </w:r>
      <w:r w:rsidR="00AD46AB">
        <w:t>-</w:t>
      </w:r>
      <w:r w:rsidRPr="00D93FD8">
        <w:t xml:space="preserve">based chemotherapy. Confirmation of disease responsiveness to </w:t>
      </w:r>
      <w:proofErr w:type="spellStart"/>
      <w:r w:rsidRPr="00D93FD8">
        <w:t>amivantamab</w:t>
      </w:r>
      <w:proofErr w:type="spellEnd"/>
      <w:r w:rsidRPr="00D93FD8">
        <w:t xml:space="preserve"> and correlation of this with time</w:t>
      </w:r>
      <w:r w:rsidR="00AD46AB">
        <w:t>-</w:t>
      </w:r>
      <w:r w:rsidRPr="00D93FD8">
        <w:t>to</w:t>
      </w:r>
      <w:r w:rsidR="00AD46AB">
        <w:t>-</w:t>
      </w:r>
      <w:r w:rsidRPr="00D93FD8">
        <w:t xml:space="preserve">event clinical benefit in a randomised setting against an internal comparator is expected to be available within the provisional registration period from a </w:t>
      </w:r>
      <w:r w:rsidR="004F3071">
        <w:t>P</w:t>
      </w:r>
      <w:r w:rsidRPr="00D93FD8">
        <w:t xml:space="preserve">hase </w:t>
      </w:r>
      <w:r w:rsidR="004F3071">
        <w:t>III</w:t>
      </w:r>
      <w:r w:rsidRPr="00D93FD8">
        <w:t xml:space="preserve"> study (PAPILLON</w:t>
      </w:r>
      <w:r w:rsidR="004F3071">
        <w:t xml:space="preserve"> trial</w:t>
      </w:r>
      <w:r w:rsidRPr="00D93FD8">
        <w:t>) comparing outcomes with first</w:t>
      </w:r>
      <w:r w:rsidR="00AD46AB">
        <w:t>-</w:t>
      </w:r>
      <w:r w:rsidRPr="00D93FD8">
        <w:t xml:space="preserve">line chemotherapy (carboplatin plus pemetrexed) with versus without the addition of </w:t>
      </w:r>
      <w:proofErr w:type="spellStart"/>
      <w:r w:rsidRPr="00D93FD8">
        <w:t>amivantamab</w:t>
      </w:r>
      <w:proofErr w:type="spellEnd"/>
      <w:r w:rsidRPr="00D93FD8">
        <w:t xml:space="preserve">. The comparator arm in this study is no longer standard-of-care in Australia, but this would not impact interpretation of the results </w:t>
      </w:r>
      <w:proofErr w:type="gramStart"/>
      <w:r w:rsidRPr="00D93FD8">
        <w:t>with regard to</w:t>
      </w:r>
      <w:proofErr w:type="gramEnd"/>
      <w:r w:rsidRPr="00D93FD8">
        <w:t xml:space="preserve"> the repeatability of the response rate and durability findings, and the contribution of effect of </w:t>
      </w:r>
      <w:proofErr w:type="spellStart"/>
      <w:r w:rsidRPr="00D93FD8">
        <w:t>amivantamab</w:t>
      </w:r>
      <w:proofErr w:type="spellEnd"/>
      <w:r w:rsidRPr="00D93FD8">
        <w:t xml:space="preserve"> to a time-to-event clinical benefit in this setting.</w:t>
      </w:r>
    </w:p>
    <w:p w14:paraId="58D4CC0D" w14:textId="58610CA3" w:rsidR="00D93FD8" w:rsidRPr="00D93FD8" w:rsidRDefault="00D93FD8" w:rsidP="00D93FD8">
      <w:r w:rsidRPr="00D93FD8">
        <w:t xml:space="preserve">The risks of </w:t>
      </w:r>
      <w:proofErr w:type="spellStart"/>
      <w:r w:rsidRPr="00D93FD8">
        <w:t>amivantamab</w:t>
      </w:r>
      <w:proofErr w:type="spellEnd"/>
      <w:r w:rsidRPr="00D93FD8">
        <w:t xml:space="preserve"> are well described and consistent with those of monovalent EGFR and MET inhibitors (</w:t>
      </w:r>
      <w:r w:rsidR="004F3071">
        <w:t>for example,</w:t>
      </w:r>
      <w:r w:rsidRPr="00D93FD8">
        <w:t xml:space="preserve"> rash, paronychia, stomatitis, diarrhoea, and peripheral oedema).  Adverse events were mainly </w:t>
      </w:r>
      <w:r w:rsidR="004F3071">
        <w:t>G</w:t>
      </w:r>
      <w:r w:rsidRPr="00D93FD8">
        <w:t xml:space="preserve">rade 1 or 2, with around a tenth of patients discontinuing permanently due to AEs overall. </w:t>
      </w:r>
      <w:r w:rsidR="004F3071">
        <w:t>IRRs</w:t>
      </w:r>
      <w:r w:rsidRPr="00D93FD8">
        <w:t xml:space="preserve"> were common but primarily limited to the first administration and rarely prevented subsequent therapy with </w:t>
      </w:r>
      <w:proofErr w:type="spellStart"/>
      <w:r w:rsidRPr="00D93FD8">
        <w:t>amivantamab</w:t>
      </w:r>
      <w:proofErr w:type="spellEnd"/>
      <w:r w:rsidRPr="00D93FD8">
        <w:t xml:space="preserve">. Skin toxicities were very common, but not often grade 3 or above (3%). An individual case of toxic epidermal necrolysis is of </w:t>
      </w:r>
      <w:proofErr w:type="gramStart"/>
      <w:r w:rsidRPr="00D93FD8">
        <w:t>particular note</w:t>
      </w:r>
      <w:proofErr w:type="gramEnd"/>
      <w:r w:rsidRPr="00D93FD8">
        <w:t xml:space="preserve"> but was not fatal. Incidence of interstitial lung disease was 3%, </w:t>
      </w:r>
      <w:r w:rsidRPr="00D93FD8">
        <w:lastRenderedPageBreak/>
        <w:t xml:space="preserve">consistent with the EGFR inhibitor class. Other notable toxicities included ocular toxicity occurring in around a tenth of patients, and </w:t>
      </w:r>
      <w:proofErr w:type="spellStart"/>
      <w:r w:rsidRPr="00D93FD8">
        <w:t>hypoalbuminaemia</w:t>
      </w:r>
      <w:proofErr w:type="spellEnd"/>
      <w:r w:rsidRPr="00D93FD8">
        <w:t xml:space="preserve"> and paronychia which were common but mostly low</w:t>
      </w:r>
      <w:r w:rsidR="004F49DD">
        <w:t>-</w:t>
      </w:r>
      <w:r w:rsidRPr="00D93FD8">
        <w:t>grade.</w:t>
      </w:r>
    </w:p>
    <w:p w14:paraId="76A4EF14" w14:textId="0B4D68B9" w:rsidR="00D93FD8" w:rsidRPr="00D93FD8" w:rsidRDefault="00D93FD8" w:rsidP="00D93FD8">
      <w:r w:rsidRPr="00D93FD8">
        <w:t xml:space="preserve">The safety profile demonstrated in this study is acceptable for a drug treating a life-threatening illness, and includes events known to be associated with EGFR/MET inhibition. </w:t>
      </w:r>
      <w:r w:rsidR="000C361D">
        <w:t>Potential toxicities</w:t>
      </w:r>
      <w:r w:rsidR="000C361D" w:rsidRPr="00D93FD8">
        <w:t xml:space="preserve"> </w:t>
      </w:r>
      <w:r w:rsidRPr="00D93FD8">
        <w:t>must be adequately described in the product information to assist informed consent discussions.</w:t>
      </w:r>
    </w:p>
    <w:p w14:paraId="3916F296" w14:textId="77777777" w:rsidR="00C22214" w:rsidRDefault="00C22214" w:rsidP="00C22214">
      <w:pPr>
        <w:pStyle w:val="Heading4"/>
      </w:pPr>
      <w:bookmarkStart w:id="120" w:name="_Toc98931933"/>
      <w:bookmarkStart w:id="121" w:name="_Toc144288315"/>
      <w:r w:rsidRPr="00D23139">
        <w:t>Proposed action</w:t>
      </w:r>
      <w:bookmarkEnd w:id="120"/>
      <w:bookmarkEnd w:id="121"/>
    </w:p>
    <w:p w14:paraId="61A21FE0" w14:textId="606A9819" w:rsidR="00D93FD8" w:rsidRPr="00D93FD8" w:rsidRDefault="00D93FD8" w:rsidP="00D93FD8">
      <w:r w:rsidRPr="00D93FD8">
        <w:t xml:space="preserve">The risk-benefit balance, incorporating the uncertainty, is positive for the provisional registration of </w:t>
      </w:r>
      <w:proofErr w:type="spellStart"/>
      <w:r w:rsidRPr="00D93FD8">
        <w:t>amivantamab</w:t>
      </w:r>
      <w:proofErr w:type="spellEnd"/>
      <w:r w:rsidRPr="00D93FD8">
        <w:t>.</w:t>
      </w:r>
    </w:p>
    <w:p w14:paraId="318CFABC" w14:textId="77777777" w:rsidR="00C22214" w:rsidRPr="00F73346" w:rsidRDefault="00C22214" w:rsidP="00C22214">
      <w:pPr>
        <w:pStyle w:val="Heading4"/>
      </w:pPr>
      <w:bookmarkStart w:id="122" w:name="_Toc98931936"/>
      <w:bookmarkStart w:id="123" w:name="_Toc144288316"/>
      <w:bookmarkStart w:id="124" w:name="_Toc247691532"/>
      <w:bookmarkStart w:id="125" w:name="_Toc314842516"/>
      <w:r w:rsidRPr="00F73346">
        <w:t>Advisory Committee considerations</w:t>
      </w:r>
      <w:bookmarkEnd w:id="122"/>
      <w:bookmarkEnd w:id="123"/>
    </w:p>
    <w:p w14:paraId="15E2951C" w14:textId="77777777" w:rsidR="00C22214" w:rsidRPr="00BD5DBD" w:rsidRDefault="00C22214" w:rsidP="00C22214">
      <w:pPr>
        <w:rPr>
          <w:szCs w:val="22"/>
        </w:rPr>
      </w:pPr>
      <w:r w:rsidRPr="00BD5DBD">
        <w:rPr>
          <w:szCs w:val="22"/>
        </w:rPr>
        <w:t>The Delegate did not refer this submission to the Advisory Committee on Medicines/Vaccines (ACM/ACV) for advice.</w:t>
      </w:r>
    </w:p>
    <w:p w14:paraId="307F236C" w14:textId="77777777" w:rsidR="00C22214" w:rsidRPr="002E238E" w:rsidRDefault="00C22214" w:rsidP="00C22214">
      <w:pPr>
        <w:pStyle w:val="Heading2"/>
      </w:pPr>
      <w:bookmarkStart w:id="126" w:name="_Toc103679300"/>
      <w:bookmarkStart w:id="127" w:name="_Toc144288317"/>
      <w:r>
        <w:t>Outcome</w:t>
      </w:r>
      <w:bookmarkEnd w:id="124"/>
      <w:bookmarkEnd w:id="125"/>
      <w:bookmarkEnd w:id="126"/>
      <w:bookmarkEnd w:id="127"/>
    </w:p>
    <w:p w14:paraId="4EF22939" w14:textId="63B66A18" w:rsidR="00C22214" w:rsidRPr="00BD5DBD" w:rsidRDefault="00C22214" w:rsidP="00C22214">
      <w:pPr>
        <w:spacing w:after="480"/>
        <w:rPr>
          <w:szCs w:val="22"/>
        </w:rPr>
      </w:pPr>
      <w:r w:rsidRPr="00BD5DBD">
        <w:rPr>
          <w:szCs w:val="22"/>
        </w:rPr>
        <w:t xml:space="preserve">Based on a review of quality, safety, and efficacy, the TGA approved the registration of </w:t>
      </w:r>
      <w:proofErr w:type="spellStart"/>
      <w:r w:rsidR="00250A66" w:rsidRPr="000E6D21">
        <w:t>R</w:t>
      </w:r>
      <w:r w:rsidR="00250A66">
        <w:t>ybrevant</w:t>
      </w:r>
      <w:proofErr w:type="spellEnd"/>
      <w:r w:rsidR="00250A66" w:rsidRPr="000E6D21">
        <w:t xml:space="preserve"> </w:t>
      </w:r>
      <w:r w:rsidR="00250A66">
        <w:t>(</w:t>
      </w:r>
      <w:proofErr w:type="spellStart"/>
      <w:r w:rsidR="00250A66" w:rsidRPr="000E6D21">
        <w:t>amivantamab</w:t>
      </w:r>
      <w:proofErr w:type="spellEnd"/>
      <w:r w:rsidR="00250A66" w:rsidRPr="00BD5DBD">
        <w:rPr>
          <w:szCs w:val="22"/>
        </w:rPr>
        <w:t xml:space="preserve">) </w:t>
      </w:r>
      <w:r w:rsidR="00250A66">
        <w:rPr>
          <w:szCs w:val="22"/>
        </w:rPr>
        <w:t>350 mg/7 mL</w:t>
      </w:r>
      <w:r w:rsidR="00250A66" w:rsidRPr="00BD5DBD">
        <w:rPr>
          <w:szCs w:val="22"/>
        </w:rPr>
        <w:t xml:space="preserve">, </w:t>
      </w:r>
      <w:r w:rsidR="00250A66">
        <w:rPr>
          <w:szCs w:val="22"/>
        </w:rPr>
        <w:t>concentrated injection</w:t>
      </w:r>
      <w:r w:rsidR="00250A66" w:rsidRPr="00BD5DBD">
        <w:rPr>
          <w:szCs w:val="22"/>
        </w:rPr>
        <w:t xml:space="preserve">, </w:t>
      </w:r>
      <w:r w:rsidR="00250A66">
        <w:rPr>
          <w:szCs w:val="22"/>
        </w:rPr>
        <w:t>vial</w:t>
      </w:r>
      <w:r w:rsidRPr="00BD5DBD">
        <w:rPr>
          <w:szCs w:val="22"/>
        </w:rPr>
        <w:t>, indicated for:</w:t>
      </w:r>
    </w:p>
    <w:p w14:paraId="7FC0B39C" w14:textId="4F40B4B2" w:rsidR="00250A66" w:rsidRPr="00250A66" w:rsidRDefault="00250A66" w:rsidP="00250A66">
      <w:pPr>
        <w:ind w:left="720"/>
        <w:rPr>
          <w:i/>
          <w:iCs/>
          <w:szCs w:val="22"/>
        </w:rPr>
      </w:pPr>
      <w:proofErr w:type="spellStart"/>
      <w:r w:rsidRPr="00250A66">
        <w:rPr>
          <w:i/>
          <w:iCs/>
          <w:szCs w:val="22"/>
        </w:rPr>
        <w:t>R</w:t>
      </w:r>
      <w:r>
        <w:rPr>
          <w:i/>
          <w:iCs/>
          <w:szCs w:val="22"/>
        </w:rPr>
        <w:t>ybrevant</w:t>
      </w:r>
      <w:proofErr w:type="spellEnd"/>
      <w:r w:rsidRPr="00250A66">
        <w:rPr>
          <w:i/>
          <w:iCs/>
          <w:szCs w:val="22"/>
        </w:rPr>
        <w:t xml:space="preserve"> has provisional approval for the treatment of patients with locally advanced or metastatic non-small cell lung cancer (NSCLC) that has an activating epidermal-growth factor receptor (EGFR) exon 20 insertion mutation, whose disease has progressed on or after platinum-based chemotherapy.</w:t>
      </w:r>
    </w:p>
    <w:p w14:paraId="4AB58F1B" w14:textId="1EB770F1" w:rsidR="00250A66" w:rsidRPr="00BD5DBD" w:rsidRDefault="00250A66" w:rsidP="00250A66">
      <w:pPr>
        <w:ind w:left="720"/>
        <w:rPr>
          <w:szCs w:val="22"/>
        </w:rPr>
      </w:pPr>
      <w:r w:rsidRPr="00250A66">
        <w:rPr>
          <w:i/>
          <w:iCs/>
          <w:szCs w:val="22"/>
        </w:rPr>
        <w:t xml:space="preserve">The decision to approve this indication has been made </w:t>
      </w:r>
      <w:proofErr w:type="gramStart"/>
      <w:r w:rsidRPr="00250A66">
        <w:rPr>
          <w:i/>
          <w:iCs/>
          <w:szCs w:val="22"/>
        </w:rPr>
        <w:t>on the basis of</w:t>
      </w:r>
      <w:proofErr w:type="gramEnd"/>
      <w:r w:rsidRPr="00250A66">
        <w:rPr>
          <w:i/>
          <w:iCs/>
          <w:szCs w:val="22"/>
        </w:rPr>
        <w:t xml:space="preserve"> objective response rate and duration of response in a single arm study. Continued approval of this indication depends on verification and description of benefit in a confirmatory study.</w:t>
      </w:r>
    </w:p>
    <w:p w14:paraId="0D732DA4" w14:textId="226F689A" w:rsidR="00854D98" w:rsidRDefault="00854D98" w:rsidP="00854D98">
      <w:pPr>
        <w:pStyle w:val="Heading3"/>
      </w:pPr>
      <w:bookmarkStart w:id="128" w:name="_Toc103679301"/>
      <w:bookmarkStart w:id="129" w:name="_Toc144288318"/>
      <w:r w:rsidRPr="00D23139">
        <w:t>Specific conditions of registration applying to these goods</w:t>
      </w:r>
      <w:bookmarkEnd w:id="128"/>
      <w:bookmarkEnd w:id="129"/>
    </w:p>
    <w:p w14:paraId="733E8B14" w14:textId="0BF8D984" w:rsidR="00250A66" w:rsidRDefault="00250A66" w:rsidP="00250A66">
      <w:pPr>
        <w:pStyle w:val="ListBullet"/>
      </w:pPr>
      <w:proofErr w:type="spellStart"/>
      <w:r>
        <w:t>Rybrevant</w:t>
      </w:r>
      <w:proofErr w:type="spellEnd"/>
      <w:r>
        <w:t xml:space="preserve"> (</w:t>
      </w:r>
      <w:proofErr w:type="spellStart"/>
      <w:r>
        <w:t>amivantamab</w:t>
      </w:r>
      <w:proofErr w:type="spellEnd"/>
      <w:r>
        <w:t xml:space="preserve">) is to be included in the Black Triangle Scheme. The PI and CMI for </w:t>
      </w:r>
      <w:proofErr w:type="spellStart"/>
      <w:r>
        <w:t>Rybrevant</w:t>
      </w:r>
      <w:proofErr w:type="spellEnd"/>
      <w:r>
        <w:t xml:space="preserve"> must include the black triangle symbol and mandatory accompanying text for five years, or the product’s entire period of provisional registration, whichever is longer.</w:t>
      </w:r>
    </w:p>
    <w:p w14:paraId="416A8630" w14:textId="5F7C3CCF" w:rsidR="00250A66" w:rsidRDefault="00250A66" w:rsidP="00250A66">
      <w:pPr>
        <w:pStyle w:val="ListBullet"/>
      </w:pPr>
      <w:r>
        <w:t xml:space="preserve">The </w:t>
      </w:r>
      <w:proofErr w:type="spellStart"/>
      <w:r>
        <w:t>Rybrevant</w:t>
      </w:r>
      <w:proofErr w:type="spellEnd"/>
      <w:r>
        <w:t xml:space="preserve"> EU-RM</w:t>
      </w:r>
      <w:r w:rsidR="004F3071">
        <w:t>P</w:t>
      </w:r>
      <w:r>
        <w:t xml:space="preserve"> (version 1.2, dated 9 December 2021, </w:t>
      </w:r>
      <w:r w:rsidR="004F3071">
        <w:t>DLP</w:t>
      </w:r>
      <w:r>
        <w:t xml:space="preserve"> 30 March 2021), with </w:t>
      </w:r>
      <w:r w:rsidR="004F3071">
        <w:t>ASA</w:t>
      </w:r>
      <w:r>
        <w:t xml:space="preserve"> (version 2.0, dated 28 September 2022), included with submission PM-2021-04814-1-4, and any subsequent revisions, as agreed with the TGA will be implemented in Australia.</w:t>
      </w:r>
    </w:p>
    <w:p w14:paraId="5C45D1F2" w14:textId="5DA1D356" w:rsidR="00250A66" w:rsidRDefault="00250A66" w:rsidP="00250A66">
      <w:pPr>
        <w:pStyle w:val="ListBullet"/>
        <w:numPr>
          <w:ilvl w:val="0"/>
          <w:numId w:val="0"/>
        </w:numPr>
        <w:ind w:left="360"/>
      </w:pPr>
      <w:r>
        <w:t>An obligatory component of risk management plans is routine pharmacovigilance. Routine pharmacovigilance includes the submission of periodic safety update reports (PSURs). 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or the entire period of provisional registration, whichever is longer.</w:t>
      </w:r>
    </w:p>
    <w:p w14:paraId="7D9427BF" w14:textId="77777777" w:rsidR="00250A66" w:rsidRDefault="00250A66" w:rsidP="00250A66">
      <w:pPr>
        <w:pStyle w:val="ListBullet"/>
        <w:numPr>
          <w:ilvl w:val="0"/>
          <w:numId w:val="0"/>
        </w:numPr>
        <w:ind w:left="360"/>
      </w:pPr>
      <w:r>
        <w:lastRenderedPageBreak/>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37C5CDBD" w14:textId="003408D8" w:rsidR="00250A66" w:rsidRDefault="00250A66" w:rsidP="00250A66">
      <w:pPr>
        <w:pStyle w:val="ListBullet"/>
      </w:pPr>
      <w:r>
        <w:t>Confirmatory trial data (as identified in the sponsor’s plan to submit comprehensive clinical data on the safety and efficacy of the medicine before the end of the 6 years that would start on the day that registration would commence) must be provided.</w:t>
      </w:r>
    </w:p>
    <w:p w14:paraId="4D3F6C4B" w14:textId="634DF0CB" w:rsidR="003F423C" w:rsidRDefault="00250A66" w:rsidP="00250A66">
      <w:pPr>
        <w:pStyle w:val="ListBullet"/>
        <w:numPr>
          <w:ilvl w:val="0"/>
          <w:numId w:val="0"/>
        </w:numPr>
        <w:ind w:left="360"/>
      </w:pPr>
      <w:proofErr w:type="gramStart"/>
      <w:r>
        <w:t>Specifically</w:t>
      </w:r>
      <w:proofErr w:type="gramEnd"/>
      <w:r>
        <w:t xml:space="preserve"> the sponsor must conduct studies as described in the clinical study plan in version 2.0 (dated 28 September 2022) of the Australia specific annex. The following study reports should be submitted to TGA:</w:t>
      </w:r>
    </w:p>
    <w:p w14:paraId="57EB57B6" w14:textId="3874A5C5" w:rsidR="00250A66" w:rsidRDefault="00250A66" w:rsidP="00A823D4">
      <w:pPr>
        <w:pStyle w:val="ListBullet2"/>
        <w:ind w:left="850" w:hanging="425"/>
      </w:pPr>
      <w:r>
        <w:t>The final clinical study report for Study 61186372EDI1001 (CHRYSALIS trial), if it changes the data reflected in the TGA approved product information to a clinically relevant extent.</w:t>
      </w:r>
    </w:p>
    <w:p w14:paraId="7A90BAF4" w14:textId="047BF577" w:rsidR="00250A66" w:rsidRDefault="00250A66" w:rsidP="00250A66">
      <w:pPr>
        <w:pStyle w:val="ListBullet2"/>
      </w:pPr>
      <w:r>
        <w:t>The final clinical study report for Study 61186372NSC3001 (PAPILLON trial), anticipated to be available for submission in Q1 2024.</w:t>
      </w:r>
    </w:p>
    <w:p w14:paraId="270C9D5C" w14:textId="1D611AAE" w:rsidR="00250A66" w:rsidRPr="00250A66" w:rsidRDefault="00250A66" w:rsidP="00250A66">
      <w:pPr>
        <w:pStyle w:val="ListBullet"/>
        <w:numPr>
          <w:ilvl w:val="0"/>
          <w:numId w:val="0"/>
        </w:numPr>
        <w:ind w:left="360"/>
      </w:pPr>
      <w:r>
        <w:t>Further guidance for sponsors is available on the TGA website.</w:t>
      </w:r>
    </w:p>
    <w:p w14:paraId="451DC3FC" w14:textId="77777777" w:rsidR="00C22214" w:rsidRDefault="00C22214" w:rsidP="00C22214">
      <w:pPr>
        <w:pStyle w:val="Heading2"/>
      </w:pPr>
      <w:bookmarkStart w:id="130" w:name="_Toc103679303"/>
      <w:bookmarkStart w:id="131" w:name="_Toc144288319"/>
      <w:r>
        <w:t>Attachment 1. Product Information</w:t>
      </w:r>
      <w:bookmarkEnd w:id="130"/>
      <w:bookmarkEnd w:id="131"/>
    </w:p>
    <w:p w14:paraId="21F47164" w14:textId="368BB968" w:rsidR="00C22214" w:rsidRPr="00BD5DBD" w:rsidRDefault="00C22214" w:rsidP="00C22214">
      <w:pPr>
        <w:rPr>
          <w:szCs w:val="22"/>
        </w:rPr>
      </w:pPr>
      <w:r w:rsidRPr="00BD5DBD">
        <w:rPr>
          <w:szCs w:val="22"/>
        </w:rPr>
        <w:t>The PI for</w:t>
      </w:r>
      <w:r w:rsidR="00250A66">
        <w:rPr>
          <w:szCs w:val="22"/>
        </w:rPr>
        <w:t xml:space="preserve"> </w:t>
      </w:r>
      <w:proofErr w:type="spellStart"/>
      <w:r w:rsidR="00250A66">
        <w:rPr>
          <w:szCs w:val="22"/>
        </w:rPr>
        <w:t>Rybrevant</w:t>
      </w:r>
      <w:proofErr w:type="spellEnd"/>
      <w:r w:rsidR="00250A66">
        <w:rPr>
          <w:szCs w:val="22"/>
        </w:rPr>
        <w:t xml:space="preserve"> </w:t>
      </w:r>
      <w:r w:rsidRPr="00BD5DBD">
        <w:rPr>
          <w:szCs w:val="22"/>
        </w:rPr>
        <w:t xml:space="preserve">approved with the submission which is described in this AusPAR is at Attachment 1. For the most recent PI, please refer to the TGA </w:t>
      </w:r>
      <w:hyperlink r:id="rId36" w:history="1">
        <w:r w:rsidRPr="00BD5DBD">
          <w:rPr>
            <w:rStyle w:val="Hyperlink"/>
            <w:szCs w:val="22"/>
          </w:rPr>
          <w:t>PI/CMI search facility.</w:t>
        </w:r>
      </w:hyperlink>
      <w:r w:rsidRPr="00BD5DBD">
        <w:rPr>
          <w:szCs w:val="22"/>
        </w:rPr>
        <w:t xml:space="preserve"> </w:t>
      </w:r>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37"/>
          <w:footerReference w:type="default" r:id="rId3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1C35E78D" w:rsidR="00F02AEC" w:rsidRDefault="00F02AEC">
            <w:pPr>
              <w:pStyle w:val="Address"/>
              <w:jc w:val="center"/>
              <w:rPr>
                <w:sz w:val="22"/>
                <w:szCs w:val="22"/>
              </w:rPr>
            </w:pPr>
            <w:r w:rsidRPr="00215D48">
              <w:t xml:space="preserve">Email: </w:t>
            </w:r>
            <w:hyperlink r:id="rId39"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465F8C5B" w:rsidR="00F02AEC" w:rsidRPr="00215D48" w:rsidRDefault="00C3481D">
            <w:pPr>
              <w:pStyle w:val="Address"/>
              <w:jc w:val="center"/>
              <w:rPr>
                <w:rStyle w:val="Hyperlink"/>
                <w:b/>
                <w:color w:val="auto"/>
                <w:sz w:val="22"/>
              </w:rPr>
            </w:pPr>
            <w:hyperlink r:id="rId40"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1"/>
      <w:footerReference w:type="first" r:id="rId4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0A27C" w14:textId="77777777" w:rsidR="008B70AB" w:rsidRDefault="008B70AB" w:rsidP="00F02AEC">
      <w:pPr>
        <w:spacing w:after="0" w:line="240" w:lineRule="auto"/>
      </w:pPr>
      <w:r>
        <w:separator/>
      </w:r>
    </w:p>
  </w:endnote>
  <w:endnote w:type="continuationSeparator" w:id="0">
    <w:p w14:paraId="1F6CDD17" w14:textId="77777777" w:rsidR="008B70AB" w:rsidRDefault="008B70AB"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C3481D">
                <w:fldChar w:fldCharType="begin"/>
              </w:r>
              <w:r w:rsidR="00C3481D">
                <w:instrText xml:space="preserve"> NUMPAGES  </w:instrText>
              </w:r>
              <w:r w:rsidR="00C3481D">
                <w:fldChar w:fldCharType="separate"/>
              </w:r>
              <w:r>
                <w:rPr>
                  <w:noProof/>
                </w:rPr>
                <w:t>2</w:t>
              </w:r>
              <w:r w:rsidR="00C3481D">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6883DE3D" w:rsidR="007452E8" w:rsidRPr="004A3084" w:rsidRDefault="007452E8" w:rsidP="007452E8">
          <w:pPr>
            <w:pStyle w:val="Footer"/>
          </w:pPr>
          <w:r w:rsidRPr="00487162">
            <w:t>AusPA</w:t>
          </w:r>
          <w:r>
            <w:t xml:space="preserve">R </w:t>
          </w:r>
          <w:r w:rsidR="000E6D21">
            <w:t>–</w:t>
          </w:r>
          <w:r>
            <w:t xml:space="preserve"> </w:t>
          </w:r>
          <w:proofErr w:type="spellStart"/>
          <w:r w:rsidR="000E6D21" w:rsidRPr="000E6D21">
            <w:t>R</w:t>
          </w:r>
          <w:r w:rsidR="000E6D21">
            <w:t>ybrevant</w:t>
          </w:r>
          <w:proofErr w:type="spellEnd"/>
          <w:r w:rsidR="000E6D21" w:rsidRPr="000E6D21">
            <w:t xml:space="preserve"> - </w:t>
          </w:r>
          <w:proofErr w:type="spellStart"/>
          <w:r w:rsidR="000E6D21" w:rsidRPr="000E6D21">
            <w:t>amivantamab</w:t>
          </w:r>
          <w:proofErr w:type="spellEnd"/>
          <w:r w:rsidR="000E6D21" w:rsidRPr="000E6D21">
            <w:t xml:space="preserve"> - Janssen-</w:t>
          </w:r>
          <w:proofErr w:type="spellStart"/>
          <w:r w:rsidR="000E6D21" w:rsidRPr="000E6D21">
            <w:t>Cilag</w:t>
          </w:r>
          <w:proofErr w:type="spellEnd"/>
          <w:r w:rsidR="000E6D21" w:rsidRPr="000E6D21">
            <w:t xml:space="preserve"> Pty Ltd - PM-2021-04814-1-4</w:t>
          </w:r>
          <w:r>
            <w:br/>
          </w:r>
          <w:r w:rsidR="0006496E">
            <w:t>FINAL</w:t>
          </w:r>
          <w:r w:rsidRPr="00487162">
            <w:t xml:space="preserve"> </w:t>
          </w:r>
          <w:r w:rsidR="007E1216">
            <w:t xml:space="preserve">30 Aug </w:t>
          </w:r>
          <w:r w:rsidR="00CF6B9B">
            <w:t>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C3481D">
                <w:fldChar w:fldCharType="begin"/>
              </w:r>
              <w:r w:rsidR="00C3481D">
                <w:instrText xml:space="preserve"> NUMPAGES  </w:instrText>
              </w:r>
              <w:r w:rsidR="00C3481D">
                <w:fldChar w:fldCharType="separate"/>
              </w:r>
              <w:r w:rsidR="006D6B44">
                <w:rPr>
                  <w:noProof/>
                </w:rPr>
                <w:t>17</w:t>
              </w:r>
              <w:r w:rsidR="00C3481D">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47044" w14:textId="77777777" w:rsidR="008B70AB" w:rsidRDefault="008B70AB" w:rsidP="00F02AEC">
      <w:pPr>
        <w:spacing w:after="0" w:line="240" w:lineRule="auto"/>
      </w:pPr>
      <w:r>
        <w:separator/>
      </w:r>
    </w:p>
  </w:footnote>
  <w:footnote w:type="continuationSeparator" w:id="0">
    <w:p w14:paraId="4C2AA1CF" w14:textId="77777777" w:rsidR="008B70AB" w:rsidRDefault="008B70AB"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0158730D" w14:textId="113E354C" w:rsidR="00DE01D1" w:rsidRDefault="00DE01D1">
      <w:pPr>
        <w:pStyle w:val="FootnoteText"/>
      </w:pPr>
      <w:r>
        <w:rPr>
          <w:rStyle w:val="FootnoteReference"/>
        </w:rPr>
        <w:footnoteRef/>
      </w:r>
      <w:r>
        <w:t xml:space="preserve"> </w:t>
      </w:r>
      <w:r w:rsidRPr="00DE01D1">
        <w:t xml:space="preserve">Sung H, </w:t>
      </w:r>
      <w:r w:rsidR="00A00613">
        <w:t>et al</w:t>
      </w:r>
      <w:r w:rsidRPr="00DE01D1">
        <w:t xml:space="preserve">. Global Cancer Statistics 2020: GLOBOCAN Estimates of Incidence and Mortality Worldwide for 36 Cancers in 185 Countries. </w:t>
      </w:r>
      <w:r w:rsidRPr="00DE01D1">
        <w:rPr>
          <w:i/>
          <w:iCs/>
        </w:rPr>
        <w:t>CA Cancer J Clin</w:t>
      </w:r>
      <w:r w:rsidRPr="00DE01D1">
        <w:t>. 2021 May;71(3):209-249.</w:t>
      </w:r>
    </w:p>
  </w:footnote>
  <w:footnote w:id="3">
    <w:p w14:paraId="5D3E0B56" w14:textId="64F529B3" w:rsidR="00DE01D1" w:rsidRDefault="00DE01D1">
      <w:pPr>
        <w:pStyle w:val="FootnoteText"/>
      </w:pPr>
      <w:r>
        <w:rPr>
          <w:rStyle w:val="FootnoteReference"/>
        </w:rPr>
        <w:footnoteRef/>
      </w:r>
      <w:r>
        <w:t xml:space="preserve"> </w:t>
      </w:r>
      <w:r w:rsidRPr="00DE01D1">
        <w:t>Australian Institute of Health and Welfare (2021) Cancer in Australia 2021, AIHW, Australian Government, accessed 25 February 2022.</w:t>
      </w:r>
    </w:p>
  </w:footnote>
  <w:footnote w:id="4">
    <w:p w14:paraId="464ED5FE" w14:textId="47EFBE13" w:rsidR="00DE01D1" w:rsidRDefault="00DE01D1">
      <w:pPr>
        <w:pStyle w:val="FootnoteText"/>
      </w:pPr>
      <w:r>
        <w:rPr>
          <w:rStyle w:val="FootnoteReference"/>
        </w:rPr>
        <w:footnoteRef/>
      </w:r>
      <w:r>
        <w:t xml:space="preserve"> </w:t>
      </w:r>
      <w:r w:rsidRPr="00DE01D1">
        <w:t xml:space="preserve">Chen Z, </w:t>
      </w:r>
      <w:r w:rsidR="00A00613">
        <w:t>et al</w:t>
      </w:r>
      <w:r w:rsidRPr="00DE01D1">
        <w:t xml:space="preserve">. </w:t>
      </w:r>
      <w:proofErr w:type="gramStart"/>
      <w:r w:rsidRPr="00DE01D1">
        <w:t>Non-small</w:t>
      </w:r>
      <w:proofErr w:type="gramEnd"/>
      <w:r w:rsidRPr="00DE01D1">
        <w:t>-cell lung cancers: a heterogeneous set of diseases. Nat Rev Cancer. 2014 Aug;14(8):535-46. Erratum in: Nat Rev Cancer. 2015 Apr;15(4):247.</w:t>
      </w:r>
    </w:p>
  </w:footnote>
  <w:footnote w:id="5">
    <w:p w14:paraId="5F4E5426" w14:textId="535BBCA3" w:rsidR="00DE01D1" w:rsidRDefault="00DE01D1">
      <w:pPr>
        <w:pStyle w:val="FootnoteText"/>
      </w:pPr>
      <w:r>
        <w:rPr>
          <w:rStyle w:val="FootnoteReference"/>
        </w:rPr>
        <w:footnoteRef/>
      </w:r>
      <w:r>
        <w:t xml:space="preserve"> </w:t>
      </w:r>
      <w:r w:rsidRPr="00DE01D1">
        <w:t xml:space="preserve">Walters S, et al. Lung cancer survival and stage at diagnosis in Australia, Canada, Denmark, Norway, </w:t>
      </w:r>
      <w:proofErr w:type="gramStart"/>
      <w:r w:rsidRPr="00DE01D1">
        <w:t>Sweden</w:t>
      </w:r>
      <w:proofErr w:type="gramEnd"/>
      <w:r w:rsidRPr="00DE01D1">
        <w:t xml:space="preserve"> and the UK: a population-based study, 2004-2007. Thorax. 2013;68(6):551-64.</w:t>
      </w:r>
    </w:p>
  </w:footnote>
  <w:footnote w:id="6">
    <w:p w14:paraId="7C162362" w14:textId="01609BF9" w:rsidR="00DE01D1" w:rsidRDefault="00DE01D1">
      <w:pPr>
        <w:pStyle w:val="FootnoteText"/>
      </w:pPr>
      <w:r>
        <w:rPr>
          <w:rStyle w:val="FootnoteReference"/>
        </w:rPr>
        <w:footnoteRef/>
      </w:r>
      <w:r>
        <w:t xml:space="preserve"> </w:t>
      </w:r>
      <w:r w:rsidRPr="00DE01D1">
        <w:t xml:space="preserve">Lu T, et al. Trends in the incidence, treatment, and survival of patients with lung cancer in the last four decades. Cancer </w:t>
      </w:r>
      <w:proofErr w:type="spellStart"/>
      <w:r w:rsidRPr="00DE01D1">
        <w:t>Manag</w:t>
      </w:r>
      <w:proofErr w:type="spellEnd"/>
      <w:r w:rsidRPr="00DE01D1">
        <w:t xml:space="preserve"> Res. </w:t>
      </w:r>
      <w:proofErr w:type="gramStart"/>
      <w:r w:rsidRPr="00DE01D1">
        <w:t>2019;11:943</w:t>
      </w:r>
      <w:proofErr w:type="gramEnd"/>
      <w:r w:rsidRPr="00DE01D1">
        <w:t>-953. Published 2019 Jan 21.</w:t>
      </w:r>
    </w:p>
  </w:footnote>
  <w:footnote w:id="7">
    <w:p w14:paraId="736A0E3A" w14:textId="74D6C01B" w:rsidR="00DE01D1" w:rsidRDefault="00DE01D1">
      <w:pPr>
        <w:pStyle w:val="FootnoteText"/>
      </w:pPr>
      <w:r>
        <w:rPr>
          <w:rStyle w:val="FootnoteReference"/>
        </w:rPr>
        <w:footnoteRef/>
      </w:r>
      <w:r>
        <w:t xml:space="preserve"> </w:t>
      </w:r>
      <w:r w:rsidRPr="00DE01D1">
        <w:t xml:space="preserve">Shi Y, </w:t>
      </w:r>
      <w:r w:rsidR="00E17E47">
        <w:t>et al</w:t>
      </w:r>
      <w:r w:rsidRPr="00DE01D1">
        <w:t xml:space="preserve">. A prospective, molecular epidemiology study of EGFR mutations in Asian patients with advanced non-small-cell lung cancer of adenocarcinoma histology (PIONEER). J </w:t>
      </w:r>
      <w:proofErr w:type="spellStart"/>
      <w:r w:rsidRPr="00DE01D1">
        <w:t>Thorac</w:t>
      </w:r>
      <w:proofErr w:type="spellEnd"/>
      <w:r w:rsidRPr="00DE01D1">
        <w:t xml:space="preserve"> Oncol. 2014 Feb;9(2):154-62</w:t>
      </w:r>
    </w:p>
  </w:footnote>
  <w:footnote w:id="8">
    <w:p w14:paraId="5FE70C4A" w14:textId="2C97B455" w:rsidR="00DE01D1" w:rsidRDefault="00DE01D1">
      <w:pPr>
        <w:pStyle w:val="FootnoteText"/>
      </w:pPr>
      <w:r>
        <w:rPr>
          <w:rStyle w:val="FootnoteReference"/>
        </w:rPr>
        <w:footnoteRef/>
      </w:r>
      <w:r>
        <w:t xml:space="preserve"> </w:t>
      </w:r>
      <w:r w:rsidRPr="008A640D">
        <w:t xml:space="preserve">Graham RP, </w:t>
      </w:r>
      <w:r w:rsidR="00A00613">
        <w:t>et al</w:t>
      </w:r>
      <w:r w:rsidRPr="008A640D">
        <w:t xml:space="preserve">. Worldwide Frequency of Commonly Detected EGFR Mutations. Arch </w:t>
      </w:r>
      <w:proofErr w:type="spellStart"/>
      <w:r w:rsidRPr="008A640D">
        <w:t>Pathol</w:t>
      </w:r>
      <w:proofErr w:type="spellEnd"/>
      <w:r w:rsidRPr="008A640D">
        <w:t xml:space="preserve"> Lab Med. 2018 Feb;142(2):163-167</w:t>
      </w:r>
    </w:p>
  </w:footnote>
  <w:footnote w:id="9">
    <w:p w14:paraId="58E727C8" w14:textId="52EDFA7E" w:rsidR="00DE01D1" w:rsidRDefault="00DE01D1">
      <w:pPr>
        <w:pStyle w:val="FootnoteText"/>
      </w:pPr>
      <w:r>
        <w:rPr>
          <w:rStyle w:val="FootnoteReference"/>
        </w:rPr>
        <w:footnoteRef/>
      </w:r>
      <w:r>
        <w:t xml:space="preserve"> Joshi A, </w:t>
      </w:r>
      <w:proofErr w:type="spellStart"/>
      <w:r>
        <w:t>Zanwar</w:t>
      </w:r>
      <w:proofErr w:type="spellEnd"/>
      <w:r>
        <w:t xml:space="preserve">, et al. EGFR mutation in squamous cell carcinoma of the lung: does it carry the same connotation as in </w:t>
      </w:r>
      <w:proofErr w:type="gramStart"/>
      <w:r>
        <w:t>adenocarcinomas?.</w:t>
      </w:r>
      <w:proofErr w:type="gramEnd"/>
      <w:r>
        <w:t xml:space="preserve"> </w:t>
      </w:r>
      <w:proofErr w:type="spellStart"/>
      <w:r>
        <w:t>Onco</w:t>
      </w:r>
      <w:proofErr w:type="spellEnd"/>
      <w:r>
        <w:t xml:space="preserve"> Targets </w:t>
      </w:r>
      <w:proofErr w:type="spellStart"/>
      <w:r>
        <w:t>Ther</w:t>
      </w:r>
      <w:proofErr w:type="spellEnd"/>
      <w:r>
        <w:t xml:space="preserve">. </w:t>
      </w:r>
      <w:proofErr w:type="gramStart"/>
      <w:r>
        <w:t>2017;10:1859</w:t>
      </w:r>
      <w:proofErr w:type="gramEnd"/>
      <w:r>
        <w:t>-1863. Published 2017 Mar 28.</w:t>
      </w:r>
    </w:p>
  </w:footnote>
  <w:footnote w:id="10">
    <w:p w14:paraId="25C2794B" w14:textId="12D90004" w:rsidR="00DE01D1" w:rsidRDefault="00DE01D1">
      <w:pPr>
        <w:pStyle w:val="FootnoteText"/>
      </w:pPr>
      <w:r>
        <w:rPr>
          <w:rStyle w:val="FootnoteReference"/>
        </w:rPr>
        <w:footnoteRef/>
      </w:r>
      <w:r>
        <w:t xml:space="preserve"> </w:t>
      </w:r>
      <w:proofErr w:type="spellStart"/>
      <w:r w:rsidRPr="00DE01D1">
        <w:t>Jin</w:t>
      </w:r>
      <w:proofErr w:type="spellEnd"/>
      <w:r w:rsidRPr="00DE01D1">
        <w:t xml:space="preserve"> R, </w:t>
      </w:r>
      <w:r w:rsidR="00A00613">
        <w:t>et al</w:t>
      </w:r>
      <w:r w:rsidRPr="00DE01D1">
        <w:t xml:space="preserve">. EGFR-Mutated Squamous Cell Lung Cancer and Its Association </w:t>
      </w:r>
      <w:proofErr w:type="gramStart"/>
      <w:r w:rsidRPr="00DE01D1">
        <w:t>With</w:t>
      </w:r>
      <w:proofErr w:type="gramEnd"/>
      <w:r w:rsidRPr="00DE01D1">
        <w:t xml:space="preserve"> Outcomes. Front Oncol. 2021 Jun </w:t>
      </w:r>
      <w:proofErr w:type="gramStart"/>
      <w:r w:rsidRPr="00DE01D1">
        <w:t>14;11:680804</w:t>
      </w:r>
      <w:proofErr w:type="gramEnd"/>
      <w:r w:rsidRPr="00DE01D1">
        <w:t>.</w:t>
      </w:r>
    </w:p>
  </w:footnote>
  <w:footnote w:id="11">
    <w:p w14:paraId="2E785086" w14:textId="1C1210F2" w:rsidR="00DE01D1" w:rsidRDefault="00DE01D1">
      <w:pPr>
        <w:pStyle w:val="FootnoteText"/>
      </w:pPr>
      <w:r>
        <w:rPr>
          <w:rStyle w:val="FootnoteReference"/>
        </w:rPr>
        <w:footnoteRef/>
      </w:r>
      <w:r>
        <w:t xml:space="preserve"> </w:t>
      </w:r>
      <w:proofErr w:type="spellStart"/>
      <w:r w:rsidRPr="00E54B10">
        <w:t>Kosaka</w:t>
      </w:r>
      <w:proofErr w:type="spellEnd"/>
      <w:r w:rsidRPr="00E54B10">
        <w:t xml:space="preserve"> T, </w:t>
      </w:r>
      <w:r w:rsidR="00A00613">
        <w:t>et al</w:t>
      </w:r>
      <w:r w:rsidRPr="00E54B10">
        <w:t>. Mutations of the epidermal growth factor receptor gene in lung cancer: biological and clinical implications. Cancer Res. 2004 Dec 15;64(24):8919-23</w:t>
      </w:r>
    </w:p>
  </w:footnote>
  <w:footnote w:id="12">
    <w:p w14:paraId="0ED5B37F" w14:textId="201FE197" w:rsidR="00DE01D1" w:rsidRDefault="00DE01D1">
      <w:pPr>
        <w:pStyle w:val="FootnoteText"/>
      </w:pPr>
      <w:r>
        <w:rPr>
          <w:rStyle w:val="FootnoteReference"/>
        </w:rPr>
        <w:footnoteRef/>
      </w:r>
      <w:r>
        <w:t xml:space="preserve"> </w:t>
      </w:r>
      <w:proofErr w:type="spellStart"/>
      <w:r>
        <w:t>Riess</w:t>
      </w:r>
      <w:proofErr w:type="spellEnd"/>
      <w:r>
        <w:t xml:space="preserve"> JW, et al. Diverse EGFR Exon 20 insertions and co-occurring molecular alterations identified by comprehensive genomic profiling of NSCLC. J </w:t>
      </w:r>
      <w:proofErr w:type="spellStart"/>
      <w:r>
        <w:t>Thorac</w:t>
      </w:r>
      <w:proofErr w:type="spellEnd"/>
      <w:r>
        <w:t xml:space="preserve"> Oncol </w:t>
      </w:r>
      <w:proofErr w:type="gramStart"/>
      <w:r>
        <w:t>2018;13:1560</w:t>
      </w:r>
      <w:proofErr w:type="gramEnd"/>
      <w:r>
        <w:t>–8</w:t>
      </w:r>
    </w:p>
  </w:footnote>
  <w:footnote w:id="13">
    <w:p w14:paraId="4FB4DEBB" w14:textId="021E111C" w:rsidR="00DE01D1" w:rsidRDefault="00DE01D1">
      <w:pPr>
        <w:pStyle w:val="FootnoteText"/>
      </w:pPr>
      <w:r>
        <w:rPr>
          <w:rStyle w:val="FootnoteReference"/>
        </w:rPr>
        <w:footnoteRef/>
      </w:r>
      <w:r>
        <w:t xml:space="preserve"> </w:t>
      </w:r>
      <w:r w:rsidRPr="00DE01D1">
        <w:t xml:space="preserve">Cheng L, et al. Molecular pathology of lung cancer: key to personalized medicine Mod </w:t>
      </w:r>
      <w:proofErr w:type="spellStart"/>
      <w:r w:rsidRPr="00DE01D1">
        <w:t>Pathol</w:t>
      </w:r>
      <w:proofErr w:type="spellEnd"/>
      <w:r w:rsidRPr="00DE01D1">
        <w:t>, 25 (3) (2012), pp. 347-369</w:t>
      </w:r>
    </w:p>
  </w:footnote>
  <w:footnote w:id="14">
    <w:p w14:paraId="44A9B761" w14:textId="452F777A" w:rsidR="00DE01D1" w:rsidRDefault="00DE01D1">
      <w:pPr>
        <w:pStyle w:val="FootnoteText"/>
      </w:pPr>
      <w:r>
        <w:rPr>
          <w:rStyle w:val="FootnoteReference"/>
        </w:rPr>
        <w:footnoteRef/>
      </w:r>
      <w:r>
        <w:t xml:space="preserve"> </w:t>
      </w:r>
      <w:proofErr w:type="spellStart"/>
      <w:r w:rsidRPr="00DE01D1">
        <w:t>Shigematsu</w:t>
      </w:r>
      <w:proofErr w:type="spellEnd"/>
      <w:r w:rsidRPr="00DE01D1">
        <w:t xml:space="preserve"> H and </w:t>
      </w:r>
      <w:proofErr w:type="spellStart"/>
      <w:r w:rsidRPr="00DE01D1">
        <w:t>Gazdar</w:t>
      </w:r>
      <w:proofErr w:type="spellEnd"/>
      <w:r w:rsidRPr="00DE01D1">
        <w:t xml:space="preserve"> AF, Somatic mutations of epidermal growth factor receptor </w:t>
      </w:r>
      <w:proofErr w:type="spellStart"/>
      <w:r w:rsidRPr="00DE01D1">
        <w:t>signaling</w:t>
      </w:r>
      <w:proofErr w:type="spellEnd"/>
      <w:r w:rsidRPr="00DE01D1">
        <w:t xml:space="preserve"> pathway in lung cancers, Int. J. Cancer 118 (2006) 257–262.</w:t>
      </w:r>
    </w:p>
  </w:footnote>
  <w:footnote w:id="15">
    <w:p w14:paraId="3AD2F68C" w14:textId="56831BF0" w:rsidR="00DE01D1" w:rsidRDefault="00DE01D1">
      <w:pPr>
        <w:pStyle w:val="FootnoteText"/>
      </w:pPr>
      <w:r>
        <w:rPr>
          <w:rStyle w:val="FootnoteReference"/>
        </w:rPr>
        <w:footnoteRef/>
      </w:r>
      <w:r>
        <w:t xml:space="preserve"> </w:t>
      </w:r>
      <w:r w:rsidRPr="00DE01D1">
        <w:t>Sharma, S., et al. Epidermal growth factor receptor mutations in lung cancer. Nat Rev Cancer 7, 169–181 (2007).</w:t>
      </w:r>
    </w:p>
  </w:footnote>
  <w:footnote w:id="16">
    <w:p w14:paraId="09ECD5EA" w14:textId="26F413E5" w:rsidR="00695F09" w:rsidRDefault="00695F09">
      <w:pPr>
        <w:pStyle w:val="FootnoteText"/>
      </w:pPr>
      <w:r>
        <w:rPr>
          <w:rStyle w:val="FootnoteReference"/>
        </w:rPr>
        <w:footnoteRef/>
      </w:r>
      <w:r>
        <w:t xml:space="preserve"> </w:t>
      </w:r>
      <w:proofErr w:type="spellStart"/>
      <w:r w:rsidRPr="00695F09">
        <w:t>Roengvoraphoj</w:t>
      </w:r>
      <w:proofErr w:type="spellEnd"/>
      <w:r w:rsidRPr="00695F09">
        <w:t xml:space="preserve"> M, </w:t>
      </w:r>
      <w:r w:rsidR="00A00613">
        <w:t>et al</w:t>
      </w:r>
      <w:r w:rsidRPr="00695F09">
        <w:t>. Epidermal growth factor receptor tyrosine kinase inhibitors as initial therapy for non-small cell lung cancer: focus on epidermal growth factor receptor mutation testing and mutation-positive patients. Cancer Treat Rev. 2013 Dec;39(8):839-50.</w:t>
      </w:r>
    </w:p>
  </w:footnote>
  <w:footnote w:id="17">
    <w:p w14:paraId="333A8C1F" w14:textId="61166A39" w:rsidR="00695F09" w:rsidRDefault="00695F09">
      <w:pPr>
        <w:pStyle w:val="FootnoteText"/>
      </w:pPr>
      <w:r>
        <w:rPr>
          <w:rStyle w:val="FootnoteReference"/>
        </w:rPr>
        <w:footnoteRef/>
      </w:r>
      <w:r>
        <w:t xml:space="preserve"> </w:t>
      </w:r>
      <w:r w:rsidRPr="00695F09">
        <w:t xml:space="preserve">Jordan EJ, et al. Prospective comprehensive molecular characterization of lung adenocarcinomas for efficient patient matching to approved and emerging therapies. Cancer </w:t>
      </w:r>
      <w:proofErr w:type="spellStart"/>
      <w:r w:rsidRPr="00695F09">
        <w:t>Discov</w:t>
      </w:r>
      <w:proofErr w:type="spellEnd"/>
      <w:r w:rsidRPr="00695F09">
        <w:t xml:space="preserve">. </w:t>
      </w:r>
      <w:proofErr w:type="gramStart"/>
      <w:r w:rsidRPr="00695F09">
        <w:t>2017;7:596</w:t>
      </w:r>
      <w:proofErr w:type="gramEnd"/>
      <w:r w:rsidRPr="00695F09">
        <w:t>–609.</w:t>
      </w:r>
    </w:p>
  </w:footnote>
  <w:footnote w:id="18">
    <w:p w14:paraId="7C59714E" w14:textId="5F74A96A" w:rsidR="00695F09" w:rsidRDefault="00695F09">
      <w:pPr>
        <w:pStyle w:val="FootnoteText"/>
      </w:pPr>
      <w:r>
        <w:rPr>
          <w:rStyle w:val="FootnoteReference"/>
        </w:rPr>
        <w:footnoteRef/>
      </w:r>
      <w:r>
        <w:t xml:space="preserve"> </w:t>
      </w:r>
      <w:r w:rsidRPr="00695F09">
        <w:t xml:space="preserve">Li K, </w:t>
      </w:r>
      <w:r w:rsidR="00A00613">
        <w:t>et al</w:t>
      </w:r>
      <w:r w:rsidRPr="00695F09">
        <w:t>. Determining EGFR-TKI sensitivity of G719X and other uncommon EGFR mutations in non-small cell lung cancer: Perplexity and solution (Review). Oncol Rep. 2017;37(3):1347-1358.</w:t>
      </w:r>
    </w:p>
  </w:footnote>
  <w:footnote w:id="19">
    <w:p w14:paraId="7F2A2327" w14:textId="102DC160" w:rsidR="00695F09" w:rsidRDefault="00695F09">
      <w:pPr>
        <w:pStyle w:val="FootnoteText"/>
      </w:pPr>
      <w:r>
        <w:rPr>
          <w:rStyle w:val="FootnoteReference"/>
        </w:rPr>
        <w:footnoteRef/>
      </w:r>
      <w:r>
        <w:t xml:space="preserve"> </w:t>
      </w:r>
      <w:r w:rsidRPr="00695F09">
        <w:t xml:space="preserve">O'Kane GM, </w:t>
      </w:r>
      <w:r w:rsidR="00A00613">
        <w:t>et al</w:t>
      </w:r>
      <w:r w:rsidRPr="00695F09">
        <w:t xml:space="preserve">. Uncommon EGFR mutations in advanced non-small cell lung cancer. Lung Cancer. 2017 </w:t>
      </w:r>
      <w:proofErr w:type="gramStart"/>
      <w:r w:rsidRPr="00695F09">
        <w:t>Jul;109:137</w:t>
      </w:r>
      <w:proofErr w:type="gramEnd"/>
      <w:r w:rsidRPr="00695F09">
        <w:t>-144.</w:t>
      </w:r>
    </w:p>
  </w:footnote>
  <w:footnote w:id="20">
    <w:p w14:paraId="6646E73A" w14:textId="5179FB25" w:rsidR="00695F09" w:rsidRDefault="00695F09">
      <w:pPr>
        <w:pStyle w:val="FootnoteText"/>
      </w:pPr>
      <w:r>
        <w:rPr>
          <w:rStyle w:val="FootnoteReference"/>
        </w:rPr>
        <w:footnoteRef/>
      </w:r>
      <w:r>
        <w:t xml:space="preserve"> </w:t>
      </w:r>
      <w:proofErr w:type="spellStart"/>
      <w:r w:rsidRPr="00E54B10">
        <w:t>Remon</w:t>
      </w:r>
      <w:proofErr w:type="spellEnd"/>
      <w:r w:rsidRPr="00E54B10">
        <w:t xml:space="preserve"> J, </w:t>
      </w:r>
      <w:r w:rsidR="00A00613">
        <w:t>et al</w:t>
      </w:r>
      <w:r w:rsidRPr="00E54B10">
        <w:t xml:space="preserve">. EGFR exon 20 insertions in advanced non-small cell lung cancer: A new history begins. Cancer Treat Rev. 2020 </w:t>
      </w:r>
      <w:proofErr w:type="gramStart"/>
      <w:r w:rsidRPr="00E54B10">
        <w:t>Nov;90:102105</w:t>
      </w:r>
      <w:proofErr w:type="gramEnd"/>
      <w:r w:rsidRPr="00E54B10">
        <w:t>.</w:t>
      </w:r>
    </w:p>
  </w:footnote>
  <w:footnote w:id="21">
    <w:p w14:paraId="2DBEA276" w14:textId="3BDAF0A2" w:rsidR="004E32FE" w:rsidRDefault="004E32FE">
      <w:pPr>
        <w:pStyle w:val="FootnoteText"/>
      </w:pPr>
      <w:r>
        <w:rPr>
          <w:rStyle w:val="FootnoteReference"/>
        </w:rPr>
        <w:footnoteRef/>
      </w:r>
      <w:r>
        <w:t xml:space="preserve"> </w:t>
      </w:r>
      <w:r w:rsidRPr="004E32FE">
        <w:t xml:space="preserve">Walters S, </w:t>
      </w:r>
      <w:proofErr w:type="spellStart"/>
      <w:r w:rsidRPr="004E32FE">
        <w:t>Maringe</w:t>
      </w:r>
      <w:proofErr w:type="spellEnd"/>
      <w:r w:rsidRPr="004E32FE">
        <w:t xml:space="preserve"> C, Coleman MP, Peake MD, Butler J, Young N, et al. Lung cancer survival and stage at diagnosis in Australia, Canada, Denmark, Norway, </w:t>
      </w:r>
      <w:proofErr w:type="gramStart"/>
      <w:r w:rsidRPr="004E32FE">
        <w:t>Sweden</w:t>
      </w:r>
      <w:proofErr w:type="gramEnd"/>
      <w:r w:rsidRPr="004E32FE">
        <w:t xml:space="preserve"> and the UK: a population-based study, 2004-2007. Thorax. 2013;68(6):551-64.</w:t>
      </w:r>
    </w:p>
  </w:footnote>
  <w:footnote w:id="22">
    <w:p w14:paraId="505359FE" w14:textId="393A03D1" w:rsidR="004E32FE" w:rsidRDefault="004E32FE">
      <w:pPr>
        <w:pStyle w:val="FootnoteText"/>
      </w:pPr>
      <w:r>
        <w:rPr>
          <w:rStyle w:val="FootnoteReference"/>
        </w:rPr>
        <w:footnoteRef/>
      </w:r>
      <w:r>
        <w:t xml:space="preserve"> </w:t>
      </w:r>
      <w:proofErr w:type="spellStart"/>
      <w:r w:rsidRPr="004E32FE">
        <w:t>Pignon</w:t>
      </w:r>
      <w:proofErr w:type="spellEnd"/>
      <w:r w:rsidRPr="004E32FE">
        <w:t xml:space="preserve"> JP, </w:t>
      </w:r>
      <w:proofErr w:type="spellStart"/>
      <w:r w:rsidRPr="004E32FE">
        <w:t>Tribodet</w:t>
      </w:r>
      <w:proofErr w:type="spellEnd"/>
      <w:r w:rsidRPr="004E32FE">
        <w:t xml:space="preserve"> H, </w:t>
      </w:r>
      <w:proofErr w:type="spellStart"/>
      <w:r w:rsidRPr="004E32FE">
        <w:t>Scagliotti</w:t>
      </w:r>
      <w:proofErr w:type="spellEnd"/>
      <w:r w:rsidRPr="004E32FE">
        <w:t xml:space="preserve"> GV, Douillard JY, Shepherd FA, Stephens RJ, Dunant A, Torri V, </w:t>
      </w:r>
      <w:proofErr w:type="spellStart"/>
      <w:r w:rsidRPr="004E32FE">
        <w:t>Rosell</w:t>
      </w:r>
      <w:proofErr w:type="spellEnd"/>
      <w:r w:rsidRPr="004E32FE">
        <w:t xml:space="preserve"> R, Seymour L, Spiro SG, Rolland E, </w:t>
      </w:r>
      <w:proofErr w:type="spellStart"/>
      <w:r w:rsidRPr="004E32FE">
        <w:t>Fossati</w:t>
      </w:r>
      <w:proofErr w:type="spellEnd"/>
      <w:r w:rsidRPr="004E32FE">
        <w:t xml:space="preserve"> R, Aubert D, Ding K, Waller D, Le Chevalier T; LACE Collaborative Group. Lung adjuvant cisplatin evaluation: a pooled analysis by the LACE Collaborative Group. J Clin Oncol. 2008 Jul 20;26(21):3552-9.</w:t>
      </w:r>
    </w:p>
  </w:footnote>
  <w:footnote w:id="23">
    <w:p w14:paraId="660B320C" w14:textId="0C10CA88" w:rsidR="004E32FE" w:rsidRDefault="004E32FE">
      <w:pPr>
        <w:pStyle w:val="FootnoteText"/>
      </w:pPr>
      <w:r>
        <w:rPr>
          <w:rStyle w:val="FootnoteReference"/>
        </w:rPr>
        <w:footnoteRef/>
      </w:r>
      <w:r>
        <w:t xml:space="preserve"> </w:t>
      </w:r>
      <w:proofErr w:type="spellStart"/>
      <w:r w:rsidRPr="004E32FE">
        <w:t>Lilenbaum</w:t>
      </w:r>
      <w:proofErr w:type="spellEnd"/>
      <w:r w:rsidRPr="004E32FE">
        <w:t xml:space="preserve"> RC (2020). Systemic chemotherapy for advanced non-small cell lung cancer. Last updated 4 Feb 2020. Accessed at: https://www.uptodate.com/contents/systemic-chemotherapy-for-advanced-non-small-cell-lung-cancer</w:t>
      </w:r>
    </w:p>
  </w:footnote>
  <w:footnote w:id="24">
    <w:p w14:paraId="5140AA59" w14:textId="0AB36794" w:rsidR="004E32FE" w:rsidRDefault="004E32FE">
      <w:pPr>
        <w:pStyle w:val="FootnoteText"/>
      </w:pPr>
      <w:r>
        <w:rPr>
          <w:rStyle w:val="FootnoteReference"/>
        </w:rPr>
        <w:footnoteRef/>
      </w:r>
      <w:r>
        <w:t xml:space="preserve"> </w:t>
      </w:r>
      <w:r w:rsidRPr="004E32FE">
        <w:t>National Comprehensive Cancer Network (NCCN). NCCN Clinical Practice Guidelines in Oncology. Non-Small Cell Lung Cancer. Version 3.2022. 16 Mar 2022. Fort Washington (PA): National Comprehensive Cancer Network; 2022. Accessed 15 Aug 2022 at: https://www.nccn.org/professionals/physician_gls/pdf/nscl.pdf</w:t>
      </w:r>
    </w:p>
  </w:footnote>
  <w:footnote w:id="25">
    <w:p w14:paraId="41FE4388" w14:textId="7574C861" w:rsidR="004E32FE" w:rsidRDefault="004E32FE">
      <w:pPr>
        <w:pStyle w:val="FootnoteText"/>
      </w:pPr>
      <w:r>
        <w:rPr>
          <w:rStyle w:val="FootnoteReference"/>
        </w:rPr>
        <w:footnoteRef/>
      </w:r>
      <w:r>
        <w:t xml:space="preserve"> </w:t>
      </w:r>
      <w:r w:rsidRPr="004E32FE">
        <w:t xml:space="preserve">Australian Prescription Medicine Decision Summary for </w:t>
      </w:r>
      <w:proofErr w:type="spellStart"/>
      <w:r w:rsidRPr="004E32FE">
        <w:t>mobocertinib</w:t>
      </w:r>
      <w:proofErr w:type="spellEnd"/>
      <w:r w:rsidRPr="004E32FE">
        <w:t xml:space="preserve"> dated 1 Aug 2022. Accessed 15 Aug 2022 at: https://www.tga.gov.au/apm-summary/exkivity</w:t>
      </w:r>
    </w:p>
  </w:footnote>
  <w:footnote w:id="26">
    <w:p w14:paraId="700263DA" w14:textId="774AEEA7" w:rsidR="004E32FE" w:rsidRDefault="004E32FE">
      <w:pPr>
        <w:pStyle w:val="FootnoteText"/>
      </w:pPr>
      <w:r>
        <w:rPr>
          <w:rStyle w:val="FootnoteReference"/>
        </w:rPr>
        <w:footnoteRef/>
      </w:r>
      <w:r>
        <w:t xml:space="preserve"> </w:t>
      </w:r>
      <w:r w:rsidRPr="004E32FE">
        <w:t>Hanna NH</w:t>
      </w:r>
      <w:r w:rsidR="00E17E47">
        <w:t>, et al</w:t>
      </w:r>
      <w:r w:rsidRPr="004E32FE">
        <w:t xml:space="preserve">. Therapy for Stage IV Non-Small-Cell Lung Cancer </w:t>
      </w:r>
      <w:proofErr w:type="gramStart"/>
      <w:r w:rsidRPr="004E32FE">
        <w:t>With</w:t>
      </w:r>
      <w:proofErr w:type="gramEnd"/>
      <w:r w:rsidRPr="004E32FE">
        <w:t xml:space="preserve"> Driver Alterations: ASCO and OH (CCO) Joint Guideline Update. J Clin Oncol. 2021 Mar 20;39(9):1040-1091. </w:t>
      </w:r>
      <w:proofErr w:type="spellStart"/>
      <w:r w:rsidRPr="004E32FE">
        <w:t>doi</w:t>
      </w:r>
      <w:proofErr w:type="spellEnd"/>
      <w:r w:rsidRPr="004E32FE">
        <w:t>: 10.1200/JCO.20.03570</w:t>
      </w:r>
    </w:p>
  </w:footnote>
  <w:footnote w:id="27">
    <w:p w14:paraId="75978272" w14:textId="605BF0ED" w:rsidR="004E32FE" w:rsidRDefault="004E32FE">
      <w:pPr>
        <w:pStyle w:val="FootnoteText"/>
      </w:pPr>
      <w:r>
        <w:rPr>
          <w:rStyle w:val="FootnoteReference"/>
        </w:rPr>
        <w:footnoteRef/>
      </w:r>
      <w:r>
        <w:t xml:space="preserve"> </w:t>
      </w:r>
      <w:r w:rsidRPr="004E32FE">
        <w:t xml:space="preserve">Langer CJ, </w:t>
      </w:r>
      <w:r w:rsidR="00E17E47">
        <w:t>et al</w:t>
      </w:r>
      <w:r w:rsidRPr="004E32FE">
        <w:t xml:space="preserve">, </w:t>
      </w:r>
      <w:proofErr w:type="spellStart"/>
      <w:r w:rsidRPr="004E32FE">
        <w:t>Raftopoulos</w:t>
      </w:r>
      <w:proofErr w:type="spellEnd"/>
      <w:r w:rsidRPr="004E32FE">
        <w:t xml:space="preserve"> H, Gandhi L; KEYNOTE-021 investigators. Carboplatin and pemetrexed with or without pembrolizumab for advanced, non-squamous non-small-cell lung cancer: a randomised, phase 2 cohort of the open-label KEYNOTE-021 study. Lancet Oncol. 2016 Nov;17(11):1497-1508.</w:t>
      </w:r>
    </w:p>
  </w:footnote>
  <w:footnote w:id="28">
    <w:p w14:paraId="172CF85B" w14:textId="27886745" w:rsidR="004E32FE" w:rsidRDefault="004E32FE">
      <w:pPr>
        <w:pStyle w:val="FootnoteText"/>
      </w:pPr>
      <w:r>
        <w:rPr>
          <w:rStyle w:val="FootnoteReference"/>
        </w:rPr>
        <w:footnoteRef/>
      </w:r>
      <w:r>
        <w:t xml:space="preserve"> </w:t>
      </w:r>
      <w:r w:rsidRPr="004E32FE">
        <w:t xml:space="preserve">Paz-Ares L, </w:t>
      </w:r>
      <w:r w:rsidR="00E17E47">
        <w:t>et al</w:t>
      </w:r>
      <w:r w:rsidRPr="004E32FE">
        <w:t xml:space="preserve">; KEYNOTE-407 Investigators. Pembrolizumab plus Chemotherapy for Squamous Non-Small-Cell Lung Cancer. N </w:t>
      </w:r>
      <w:proofErr w:type="spellStart"/>
      <w:r w:rsidRPr="004E32FE">
        <w:t>Engl</w:t>
      </w:r>
      <w:proofErr w:type="spellEnd"/>
      <w:r w:rsidRPr="004E32FE">
        <w:t xml:space="preserve"> J Med. 2018 Nov 22;379(21):2040-2051</w:t>
      </w:r>
    </w:p>
  </w:footnote>
  <w:footnote w:id="29">
    <w:p w14:paraId="1F34E99B" w14:textId="155AFFDE" w:rsidR="004E32FE" w:rsidRDefault="004E32FE">
      <w:pPr>
        <w:pStyle w:val="FootnoteText"/>
      </w:pPr>
      <w:r>
        <w:rPr>
          <w:rStyle w:val="FootnoteReference"/>
        </w:rPr>
        <w:footnoteRef/>
      </w:r>
      <w:r>
        <w:t xml:space="preserve"> </w:t>
      </w:r>
      <w:r w:rsidRPr="004E32FE">
        <w:t xml:space="preserve">Gandhi L, </w:t>
      </w:r>
      <w:r w:rsidR="00E17E47">
        <w:t>et al</w:t>
      </w:r>
      <w:r w:rsidRPr="004E32FE">
        <w:t xml:space="preserve">; KEYNOTE-189 Investigators. Pembrolizumab plus Chemotherapy in Metastatic Non-Small-Cell Lung Cancer. N </w:t>
      </w:r>
      <w:proofErr w:type="spellStart"/>
      <w:r w:rsidRPr="004E32FE">
        <w:t>Engl</w:t>
      </w:r>
      <w:proofErr w:type="spellEnd"/>
      <w:r w:rsidRPr="004E32FE">
        <w:t xml:space="preserve"> J Med. 2018 May 31;378(22):2078-2092</w:t>
      </w:r>
    </w:p>
  </w:footnote>
  <w:footnote w:id="30">
    <w:p w14:paraId="1DF7E3A3" w14:textId="485D23E9" w:rsidR="004E32FE" w:rsidRDefault="004E32FE">
      <w:pPr>
        <w:pStyle w:val="FootnoteText"/>
      </w:pPr>
      <w:r>
        <w:rPr>
          <w:rStyle w:val="FootnoteReference"/>
        </w:rPr>
        <w:footnoteRef/>
      </w:r>
      <w:r>
        <w:t xml:space="preserve"> </w:t>
      </w:r>
      <w:r w:rsidRPr="004E32FE">
        <w:t xml:space="preserve">Mok TSK, </w:t>
      </w:r>
      <w:r w:rsidR="00E17E47">
        <w:t>et al</w:t>
      </w:r>
      <w:r w:rsidRPr="004E32FE">
        <w:t>; KEYNOTE-042 Investigators. Pembrolizumab versus chemotherapy for previously untreated, PD-L1-expressing, locally advanced or metastatic non-small-cell lung cancer (KEYNOTE-042): a randomised, open-label, controlled, phase 3 trial. Lancet. 2019 May 4;393(10183):1819-1830</w:t>
      </w:r>
    </w:p>
  </w:footnote>
  <w:footnote w:id="31">
    <w:p w14:paraId="162F344B" w14:textId="5686913D" w:rsidR="004E32FE" w:rsidRDefault="004E32FE">
      <w:pPr>
        <w:pStyle w:val="FootnoteText"/>
      </w:pPr>
      <w:r>
        <w:rPr>
          <w:rStyle w:val="FootnoteReference"/>
        </w:rPr>
        <w:footnoteRef/>
      </w:r>
      <w:r>
        <w:t xml:space="preserve"> </w:t>
      </w:r>
      <w:r w:rsidRPr="004E32FE">
        <w:t xml:space="preserve">Hanna NH, </w:t>
      </w:r>
      <w:r w:rsidR="00E17E47">
        <w:t>et al</w:t>
      </w:r>
      <w:r w:rsidRPr="004E32FE">
        <w:t>. Therapy for Stage IV Non-Small-Cell Lung Cancer Without Driver Alterations: ASCO and OH (CCO) Joint Guideline Update. J Clin Oncol. 2020 May 10;38(14):1608-1632.</w:t>
      </w:r>
    </w:p>
  </w:footnote>
  <w:footnote w:id="32">
    <w:p w14:paraId="7452A265" w14:textId="55B29E71" w:rsidR="00444E7C" w:rsidRDefault="00444E7C">
      <w:pPr>
        <w:pStyle w:val="FootnoteText"/>
      </w:pPr>
      <w:r>
        <w:rPr>
          <w:rStyle w:val="FootnoteReference"/>
        </w:rPr>
        <w:footnoteRef/>
      </w:r>
      <w:r>
        <w:t xml:space="preserve"> </w:t>
      </w:r>
      <w:r>
        <w:rPr>
          <w:sz w:val="20"/>
        </w:rPr>
        <w:t xml:space="preserve">Castro GD, et al. 363 KEYNOTE-042 5-year survival update: pembrolizumab versus chemotherapy in patients with previously untreated, PD-L1–positive, locally </w:t>
      </w:r>
      <w:proofErr w:type="gramStart"/>
      <w:r>
        <w:rPr>
          <w:sz w:val="20"/>
        </w:rPr>
        <w:t>advanced</w:t>
      </w:r>
      <w:proofErr w:type="gramEnd"/>
      <w:r>
        <w:rPr>
          <w:sz w:val="20"/>
        </w:rPr>
        <w:t xml:space="preserve"> or metastatic non–small-cell lung </w:t>
      </w:r>
      <w:proofErr w:type="spellStart"/>
      <w:r>
        <w:rPr>
          <w:sz w:val="20"/>
        </w:rPr>
        <w:t>cancerJournal</w:t>
      </w:r>
      <w:proofErr w:type="spellEnd"/>
      <w:r>
        <w:rPr>
          <w:sz w:val="20"/>
        </w:rPr>
        <w:t xml:space="preserve"> for </w:t>
      </w:r>
      <w:proofErr w:type="spellStart"/>
      <w:r>
        <w:rPr>
          <w:sz w:val="20"/>
        </w:rPr>
        <w:t>ImmunoTherapy</w:t>
      </w:r>
      <w:proofErr w:type="spellEnd"/>
      <w:r>
        <w:rPr>
          <w:sz w:val="20"/>
        </w:rPr>
        <w:t xml:space="preserve"> of Cancer 2021;9</w:t>
      </w:r>
    </w:p>
  </w:footnote>
  <w:footnote w:id="33">
    <w:p w14:paraId="084ED203" w14:textId="7280B4C1" w:rsidR="00444E7C" w:rsidRDefault="00444E7C">
      <w:pPr>
        <w:pStyle w:val="FootnoteText"/>
      </w:pPr>
      <w:r>
        <w:rPr>
          <w:rStyle w:val="FootnoteReference"/>
        </w:rPr>
        <w:footnoteRef/>
      </w:r>
      <w:r>
        <w:t xml:space="preserve"> </w:t>
      </w:r>
      <w:proofErr w:type="spellStart"/>
      <w:r w:rsidRPr="00444E7C">
        <w:t>Awad</w:t>
      </w:r>
      <w:proofErr w:type="spellEnd"/>
      <w:r w:rsidRPr="00444E7C">
        <w:t xml:space="preserve"> MM, </w:t>
      </w:r>
      <w:r>
        <w:t>et al</w:t>
      </w:r>
      <w:r w:rsidRPr="00444E7C">
        <w:t xml:space="preserve">. Long-Term Overall Survival From KEYNOTE-021 Cohort G: Pemetrexed and Carboplatin </w:t>
      </w:r>
      <w:proofErr w:type="gramStart"/>
      <w:r w:rsidRPr="00444E7C">
        <w:t>With</w:t>
      </w:r>
      <w:proofErr w:type="gramEnd"/>
      <w:r w:rsidRPr="00444E7C">
        <w:t xml:space="preserve"> or Without Pembrolizumab as First-Line Therapy for Advanced </w:t>
      </w:r>
      <w:proofErr w:type="spellStart"/>
      <w:r w:rsidRPr="00444E7C">
        <w:t>Nonsquamous</w:t>
      </w:r>
      <w:proofErr w:type="spellEnd"/>
      <w:r w:rsidRPr="00444E7C">
        <w:t xml:space="preserve"> NSCLC. J </w:t>
      </w:r>
      <w:proofErr w:type="spellStart"/>
      <w:r w:rsidRPr="00444E7C">
        <w:t>Thorac</w:t>
      </w:r>
      <w:proofErr w:type="spellEnd"/>
      <w:r w:rsidRPr="00444E7C">
        <w:t xml:space="preserve"> Oncol. 2021 Jan;16(1):162-168.</w:t>
      </w:r>
    </w:p>
  </w:footnote>
  <w:footnote w:id="34">
    <w:p w14:paraId="0843227E" w14:textId="0FCB9D6B" w:rsidR="00444E7C" w:rsidRDefault="00444E7C">
      <w:pPr>
        <w:pStyle w:val="FootnoteText"/>
      </w:pPr>
      <w:r>
        <w:rPr>
          <w:rStyle w:val="FootnoteReference"/>
        </w:rPr>
        <w:footnoteRef/>
      </w:r>
      <w:r>
        <w:t xml:space="preserve"> </w:t>
      </w:r>
      <w:r w:rsidRPr="00444E7C">
        <w:t>Rodríguez-Abreu D</w:t>
      </w:r>
      <w:r>
        <w:t xml:space="preserve">, </w:t>
      </w:r>
      <w:proofErr w:type="spellStart"/>
      <w:r>
        <w:t>etal</w:t>
      </w:r>
      <w:proofErr w:type="spellEnd"/>
      <w:r w:rsidRPr="00444E7C">
        <w:t xml:space="preserve">. Pemetrexed plus platinum with or without pembrolizumab in patients with previously untreated metastatic </w:t>
      </w:r>
      <w:proofErr w:type="spellStart"/>
      <w:r w:rsidRPr="00444E7C">
        <w:t>nonsquamous</w:t>
      </w:r>
      <w:proofErr w:type="spellEnd"/>
      <w:r w:rsidRPr="00444E7C">
        <w:t xml:space="preserve"> NSCLC: protocol-specified final analysis from KEYNOTE-189. Ann Oncol. 2021 Jul;32(7):881-895</w:t>
      </w:r>
    </w:p>
  </w:footnote>
  <w:footnote w:id="35">
    <w:p w14:paraId="0B64D2F4" w14:textId="7DDCB036" w:rsidR="00444E7C" w:rsidRDefault="00444E7C">
      <w:pPr>
        <w:pStyle w:val="FootnoteText"/>
      </w:pPr>
      <w:r>
        <w:rPr>
          <w:rStyle w:val="FootnoteReference"/>
        </w:rPr>
        <w:footnoteRef/>
      </w:r>
      <w:r>
        <w:t xml:space="preserve"> </w:t>
      </w:r>
      <w:r w:rsidRPr="00444E7C">
        <w:t xml:space="preserve">Robinson AG, et al. 97o First-Line Pembrolizumab Plus Chemotherapy for Patients </w:t>
      </w:r>
      <w:proofErr w:type="gramStart"/>
      <w:r w:rsidRPr="00444E7C">
        <w:t>With</w:t>
      </w:r>
      <w:proofErr w:type="gramEnd"/>
      <w:r w:rsidRPr="00444E7C">
        <w:t xml:space="preserve"> Advanced Squamous NSCLC: 3-Year Follow-Up From KEYNOTE-407. J </w:t>
      </w:r>
      <w:proofErr w:type="spellStart"/>
      <w:r w:rsidRPr="00444E7C">
        <w:t>Thorac</w:t>
      </w:r>
      <w:proofErr w:type="spellEnd"/>
      <w:r w:rsidRPr="00444E7C">
        <w:t xml:space="preserve"> Oncol (2021) 16(4</w:t>
      </w:r>
      <w:proofErr w:type="gramStart"/>
      <w:r w:rsidRPr="00444E7C">
        <w:t>):S</w:t>
      </w:r>
      <w:proofErr w:type="gramEnd"/>
      <w:r w:rsidRPr="00444E7C">
        <w:t>748–S9.</w:t>
      </w:r>
    </w:p>
  </w:footnote>
  <w:footnote w:id="36">
    <w:p w14:paraId="7E34EF98" w14:textId="3FE84F97" w:rsidR="00C83C50" w:rsidRDefault="00C83C50">
      <w:pPr>
        <w:pStyle w:val="FootnoteText"/>
      </w:pPr>
      <w:r>
        <w:rPr>
          <w:rStyle w:val="FootnoteReference"/>
        </w:rPr>
        <w:footnoteRef/>
      </w:r>
      <w:r>
        <w:t xml:space="preserve"> </w:t>
      </w:r>
      <w:r w:rsidRPr="008B3A54">
        <w:t>Australian Product Information (PI) for erlotinib. Accessed 28/02/2022 at: https://www.ebs.tga.gov.au/ebs/picmi/picmirepository.nsf/pdf?OpenAgent&amp;id=CP-2010-PI-03464-3&amp;d=20220228172310101</w:t>
      </w:r>
    </w:p>
  </w:footnote>
  <w:footnote w:id="37">
    <w:p w14:paraId="25583508" w14:textId="7A83C980" w:rsidR="00C83C50" w:rsidRDefault="00C83C50">
      <w:pPr>
        <w:pStyle w:val="FootnoteText"/>
      </w:pPr>
      <w:r>
        <w:rPr>
          <w:rStyle w:val="FootnoteReference"/>
        </w:rPr>
        <w:footnoteRef/>
      </w:r>
      <w:r>
        <w:t xml:space="preserve"> </w:t>
      </w:r>
      <w:r w:rsidRPr="008B3A54">
        <w:t>Australian Product Information (PI) for gefitinib. Accessed 28/02/2022 at: https://www.ebs.tga.gov.au/ebs/picmi/picmirepository.nsf/pdf?OpenAgent&amp;id=CP-2010-PI-05270-3&amp;d=20220228172310101</w:t>
      </w:r>
    </w:p>
  </w:footnote>
  <w:footnote w:id="38">
    <w:p w14:paraId="3954ED06" w14:textId="402A9E8E" w:rsidR="00C83C50" w:rsidRDefault="00C83C50">
      <w:pPr>
        <w:pStyle w:val="FootnoteText"/>
      </w:pPr>
      <w:r>
        <w:rPr>
          <w:rStyle w:val="FootnoteReference"/>
        </w:rPr>
        <w:footnoteRef/>
      </w:r>
      <w:r>
        <w:t xml:space="preserve"> </w:t>
      </w:r>
      <w:r w:rsidRPr="008B3A54">
        <w:t>Australian Product Information (PI) for afatinib. Accessed 28/02/2022 at: https://www.ebs.tga.gov.au/ebs/picmi/picmirepository.nsf/pdf?OpenAgent&amp;id=CP-2013-PI-02417-1&amp;d=20220228172310101</w:t>
      </w:r>
    </w:p>
  </w:footnote>
  <w:footnote w:id="39">
    <w:p w14:paraId="5AE0BAA2" w14:textId="19149592" w:rsidR="00C83C50" w:rsidRDefault="00C83C50">
      <w:pPr>
        <w:pStyle w:val="FootnoteText"/>
      </w:pPr>
      <w:r>
        <w:rPr>
          <w:rStyle w:val="FootnoteReference"/>
        </w:rPr>
        <w:footnoteRef/>
      </w:r>
      <w:r>
        <w:t xml:space="preserve"> </w:t>
      </w:r>
      <w:r w:rsidRPr="008B3A54">
        <w:t xml:space="preserve">Australian Product Information (PI) for </w:t>
      </w:r>
      <w:proofErr w:type="spellStart"/>
      <w:r w:rsidRPr="008B3A54">
        <w:t>osimertinib</w:t>
      </w:r>
      <w:proofErr w:type="spellEnd"/>
      <w:r w:rsidRPr="008B3A54">
        <w:t>. Accessed 28/02/2022 at: https://www.ebs.tga.gov.au/ebs/picmi/picmirepository.nsf/pdf?OpenAgent&amp;id=CP-2016-PI-02334-1&amp;d=20220228172310101</w:t>
      </w:r>
    </w:p>
  </w:footnote>
  <w:footnote w:id="40">
    <w:p w14:paraId="4F0C3946" w14:textId="6B22681F" w:rsidR="00C83C50" w:rsidRDefault="00C83C50">
      <w:pPr>
        <w:pStyle w:val="FootnoteText"/>
      </w:pPr>
      <w:r>
        <w:rPr>
          <w:rStyle w:val="FootnoteReference"/>
        </w:rPr>
        <w:footnoteRef/>
      </w:r>
      <w:r>
        <w:t xml:space="preserve"> </w:t>
      </w:r>
      <w:r w:rsidRPr="008B3A54">
        <w:t xml:space="preserve">John T, Akamatsu H, </w:t>
      </w:r>
      <w:proofErr w:type="spellStart"/>
      <w:r w:rsidRPr="008B3A54">
        <w:t>Delmonte</w:t>
      </w:r>
      <w:proofErr w:type="spellEnd"/>
      <w:r w:rsidRPr="008B3A54">
        <w:t xml:space="preserve"> A, et al. EGFR mutation analysis for prospective patient selection in AURA3 phase III trial of </w:t>
      </w:r>
      <w:proofErr w:type="spellStart"/>
      <w:r w:rsidRPr="008B3A54">
        <w:t>osimertinib</w:t>
      </w:r>
      <w:proofErr w:type="spellEnd"/>
      <w:r w:rsidRPr="008B3A54">
        <w:t xml:space="preserve"> versus platinum-pemetrexed in patients with EGFR T790M-positive advanced non-small-cell lung cancer. Lung Cancer </w:t>
      </w:r>
      <w:proofErr w:type="gramStart"/>
      <w:r w:rsidRPr="008B3A54">
        <w:t>2018;126:133</w:t>
      </w:r>
      <w:proofErr w:type="gramEnd"/>
      <w:r w:rsidRPr="008B3A54">
        <w:t>-138.</w:t>
      </w:r>
    </w:p>
  </w:footnote>
  <w:footnote w:id="41">
    <w:p w14:paraId="0C79034D" w14:textId="5A6446DA" w:rsidR="00C83C50" w:rsidRDefault="00C83C50">
      <w:pPr>
        <w:pStyle w:val="FootnoteText"/>
      </w:pPr>
      <w:r>
        <w:rPr>
          <w:rStyle w:val="FootnoteReference"/>
        </w:rPr>
        <w:footnoteRef/>
      </w:r>
      <w:r>
        <w:t xml:space="preserve"> </w:t>
      </w:r>
      <w:r w:rsidRPr="008B3A54">
        <w:t xml:space="preserve">Yang JC, </w:t>
      </w:r>
      <w:r>
        <w:t>et al</w:t>
      </w:r>
      <w:r w:rsidRPr="008B3A54">
        <w:t>. Clinical activity of afatinib in patients with advanced non-small-cell lung cancer harbouring uncommon EGFR mutations: a combined post-hoc analysis of LUX-Lung 2, LUX-Lung 3, and LUX-Lung 6. Lancet Oncol. 2015 Jul;16(7):830-8</w:t>
      </w:r>
    </w:p>
  </w:footnote>
  <w:footnote w:id="42">
    <w:p w14:paraId="287A7B75" w14:textId="53FEFECC" w:rsidR="00C83C50" w:rsidRDefault="00C83C50">
      <w:pPr>
        <w:pStyle w:val="FootnoteText"/>
      </w:pPr>
      <w:r>
        <w:rPr>
          <w:rStyle w:val="FootnoteReference"/>
        </w:rPr>
        <w:footnoteRef/>
      </w:r>
      <w:r>
        <w:t xml:space="preserve"> </w:t>
      </w:r>
      <w:r w:rsidRPr="008B3A54">
        <w:t xml:space="preserve">Cho JH, et al. Osimertinib for Patients </w:t>
      </w:r>
      <w:proofErr w:type="gramStart"/>
      <w:r w:rsidRPr="008B3A54">
        <w:t>With</w:t>
      </w:r>
      <w:proofErr w:type="gramEnd"/>
      <w:r w:rsidRPr="008B3A54">
        <w:t xml:space="preserve"> Non-Small-Cell Lung Cancer </w:t>
      </w:r>
      <w:proofErr w:type="spellStart"/>
      <w:r w:rsidRPr="008B3A54">
        <w:t>Harboring</w:t>
      </w:r>
      <w:proofErr w:type="spellEnd"/>
      <w:r w:rsidRPr="008B3A54">
        <w:t xml:space="preserve"> Uncommon EGFR Mutations: A </w:t>
      </w:r>
      <w:proofErr w:type="spellStart"/>
      <w:r w:rsidRPr="008B3A54">
        <w:t>Multicenter</w:t>
      </w:r>
      <w:proofErr w:type="spellEnd"/>
      <w:r w:rsidRPr="008B3A54">
        <w:t>, Open-Label, Phase II Trial (KCSG-LU15-09). J Clin Oncol. 2020;38(5):488-495</w:t>
      </w:r>
    </w:p>
  </w:footnote>
  <w:footnote w:id="43">
    <w:p w14:paraId="28F0D65B" w14:textId="378E8EDA" w:rsidR="00C83C50" w:rsidRDefault="00C83C50">
      <w:pPr>
        <w:pStyle w:val="FootnoteText"/>
      </w:pPr>
      <w:r>
        <w:rPr>
          <w:rStyle w:val="FootnoteReference"/>
        </w:rPr>
        <w:footnoteRef/>
      </w:r>
      <w:r>
        <w:t xml:space="preserve"> </w:t>
      </w:r>
      <w:r w:rsidRPr="008B3A54">
        <w:t>Oxnard G</w:t>
      </w:r>
      <w:r>
        <w:t>R</w:t>
      </w:r>
      <w:r w:rsidRPr="008B3A54">
        <w:t xml:space="preserve">, et al. Natural </w:t>
      </w:r>
      <w:proofErr w:type="gramStart"/>
      <w:r w:rsidRPr="008B3A54">
        <w:t>history</w:t>
      </w:r>
      <w:proofErr w:type="gramEnd"/>
      <w:r w:rsidRPr="008B3A54">
        <w:t xml:space="preserve"> and molecular characteristics of lung cancers </w:t>
      </w:r>
      <w:proofErr w:type="spellStart"/>
      <w:r w:rsidRPr="008B3A54">
        <w:t>harboring</w:t>
      </w:r>
      <w:proofErr w:type="spellEnd"/>
      <w:r w:rsidRPr="008B3A54">
        <w:t xml:space="preserve"> EGFR exon 20 insertions. J </w:t>
      </w:r>
      <w:proofErr w:type="spellStart"/>
      <w:r w:rsidRPr="008B3A54">
        <w:t>Thorac</w:t>
      </w:r>
      <w:proofErr w:type="spellEnd"/>
      <w:r w:rsidRPr="008B3A54">
        <w:t xml:space="preserve"> Oncol </w:t>
      </w:r>
      <w:proofErr w:type="gramStart"/>
      <w:r w:rsidRPr="008B3A54">
        <w:t>2013;8:179</w:t>
      </w:r>
      <w:proofErr w:type="gramEnd"/>
      <w:r w:rsidRPr="008B3A54">
        <w:t>–84</w:t>
      </w:r>
    </w:p>
  </w:footnote>
  <w:footnote w:id="44">
    <w:p w14:paraId="30C7E11C" w14:textId="47BDA124" w:rsidR="00C83C50" w:rsidRDefault="00C83C50">
      <w:pPr>
        <w:pStyle w:val="FootnoteText"/>
      </w:pPr>
      <w:r>
        <w:rPr>
          <w:rStyle w:val="FootnoteReference"/>
        </w:rPr>
        <w:footnoteRef/>
      </w:r>
      <w:r>
        <w:t xml:space="preserve"> </w:t>
      </w:r>
      <w:r w:rsidRPr="008B3A54">
        <w:t xml:space="preserve">Sousa AC, </w:t>
      </w:r>
      <w:r>
        <w:t>et al</w:t>
      </w:r>
      <w:r w:rsidRPr="008B3A54">
        <w:t xml:space="preserve">. Detection of rare and novel EGFR mutations in NSCLC patients: Implications for treatment-decision. Lung Cancer. 2020 </w:t>
      </w:r>
      <w:proofErr w:type="gramStart"/>
      <w:r w:rsidRPr="008B3A54">
        <w:t>Jan;139:35</w:t>
      </w:r>
      <w:proofErr w:type="gramEnd"/>
      <w:r w:rsidRPr="008B3A54">
        <w:t>-40</w:t>
      </w:r>
    </w:p>
  </w:footnote>
  <w:footnote w:id="45">
    <w:p w14:paraId="30BA7E2D" w14:textId="4825EE5E" w:rsidR="00C83C50" w:rsidRDefault="00C83C50">
      <w:pPr>
        <w:pStyle w:val="FootnoteText"/>
      </w:pPr>
      <w:r>
        <w:rPr>
          <w:rStyle w:val="FootnoteReference"/>
        </w:rPr>
        <w:footnoteRef/>
      </w:r>
      <w:r>
        <w:t xml:space="preserve"> </w:t>
      </w:r>
      <w:proofErr w:type="spellStart"/>
      <w:r w:rsidRPr="008B3A54">
        <w:t>Negrão</w:t>
      </w:r>
      <w:proofErr w:type="spellEnd"/>
      <w:r w:rsidRPr="008B3A54">
        <w:t xml:space="preserve"> M, Reuben A, </w:t>
      </w:r>
      <w:proofErr w:type="spellStart"/>
      <w:r w:rsidRPr="008B3A54">
        <w:t>Robichaux</w:t>
      </w:r>
      <w:proofErr w:type="spellEnd"/>
      <w:r w:rsidRPr="008B3A54">
        <w:t xml:space="preserve"> J, Le X, Nilsson M, Wu T, Zhang J, Landry L, </w:t>
      </w:r>
      <w:proofErr w:type="spellStart"/>
      <w:r w:rsidRPr="008B3A54">
        <w:t>Roarty</w:t>
      </w:r>
      <w:proofErr w:type="spellEnd"/>
      <w:r w:rsidRPr="008B3A54">
        <w:t xml:space="preserve"> E, </w:t>
      </w:r>
      <w:proofErr w:type="spellStart"/>
      <w:r w:rsidRPr="008B3A54">
        <w:t>Rinsurongkawong</w:t>
      </w:r>
      <w:proofErr w:type="spellEnd"/>
      <w:r w:rsidRPr="008B3A54">
        <w:t xml:space="preserve"> W, Swisher S, Simon G, </w:t>
      </w:r>
      <w:proofErr w:type="spellStart"/>
      <w:r w:rsidRPr="008B3A54">
        <w:t>Futreal</w:t>
      </w:r>
      <w:proofErr w:type="spellEnd"/>
      <w:r w:rsidRPr="008B3A54">
        <w:t xml:space="preserve"> A, Glisson B and </w:t>
      </w:r>
      <w:proofErr w:type="spellStart"/>
      <w:r w:rsidRPr="008B3A54">
        <w:t>Heymach</w:t>
      </w:r>
      <w:proofErr w:type="spellEnd"/>
      <w:r w:rsidRPr="008B3A54">
        <w:t xml:space="preserve"> J. Association of EGFR and HER-2 exon 20 mutations with distinct patterns of response to immune checkpoint blockade in non-small cell lung cancer. J Clin Oncol. </w:t>
      </w:r>
      <w:proofErr w:type="gramStart"/>
      <w:r w:rsidRPr="008B3A54">
        <w:t>2018;36:9052</w:t>
      </w:r>
      <w:proofErr w:type="gramEnd"/>
      <w:r w:rsidRPr="008B3A54">
        <w:t>-9052</w:t>
      </w:r>
    </w:p>
  </w:footnote>
  <w:footnote w:id="46">
    <w:p w14:paraId="252934AF" w14:textId="593B2CD4" w:rsidR="00C83C50" w:rsidRDefault="00C83C50">
      <w:pPr>
        <w:pStyle w:val="FootnoteText"/>
      </w:pPr>
      <w:r>
        <w:rPr>
          <w:rStyle w:val="FootnoteReference"/>
        </w:rPr>
        <w:footnoteRef/>
      </w:r>
      <w:r>
        <w:t xml:space="preserve"> </w:t>
      </w:r>
      <w:r w:rsidRPr="008B3A54">
        <w:t xml:space="preserve">  Lau SCM, Fares AF, Le LW, Mackay KM, </w:t>
      </w:r>
      <w:proofErr w:type="spellStart"/>
      <w:r w:rsidRPr="008B3A54">
        <w:t>Soberano</w:t>
      </w:r>
      <w:proofErr w:type="spellEnd"/>
      <w:r w:rsidRPr="008B3A54">
        <w:t xml:space="preserve"> S, Chan SW, Smith E, Ryan M, Tsao MS, Bradbury PA, Pal P, Shepherd FA, Liu G, </w:t>
      </w:r>
      <w:proofErr w:type="spellStart"/>
      <w:r w:rsidRPr="008B3A54">
        <w:t>Leighl</w:t>
      </w:r>
      <w:proofErr w:type="spellEnd"/>
      <w:r w:rsidRPr="008B3A54">
        <w:t xml:space="preserve"> NB, Sacher AG. Subtypes of EGFR- and HER2-Mutant Metastatic NSCLC Influence Response to Immune Checkpoint Inhibitors. Clin Lung Cancer. 2021 Jul;22(4):253-259.</w:t>
      </w:r>
    </w:p>
  </w:footnote>
  <w:footnote w:id="47">
    <w:p w14:paraId="593CC658" w14:textId="4C8E8B62" w:rsidR="00C83C50" w:rsidRDefault="00C83C50">
      <w:pPr>
        <w:pStyle w:val="FootnoteText"/>
      </w:pPr>
      <w:r>
        <w:rPr>
          <w:rStyle w:val="FootnoteReference"/>
        </w:rPr>
        <w:footnoteRef/>
      </w:r>
      <w:r>
        <w:t xml:space="preserve"> </w:t>
      </w:r>
      <w:r w:rsidRPr="0059317A">
        <w:t>FDA multi-disciplinary review for EXKIVITY. Accessed 04/03/2022 at: https://www.accessdata.fda.gov/drugsatfda_docs/nda/2021/215310Orig1s000MultidisciplineR.pdf</w:t>
      </w:r>
    </w:p>
  </w:footnote>
  <w:footnote w:id="48">
    <w:p w14:paraId="4E927E67" w14:textId="5C266B91" w:rsidR="00C83C50" w:rsidRDefault="00C83C50">
      <w:pPr>
        <w:pStyle w:val="FootnoteText"/>
      </w:pPr>
      <w:r>
        <w:rPr>
          <w:rStyle w:val="FootnoteReference"/>
        </w:rPr>
        <w:footnoteRef/>
      </w:r>
      <w:r>
        <w:t xml:space="preserve"> </w:t>
      </w:r>
      <w:r w:rsidRPr="0059317A">
        <w:t xml:space="preserve">Ramalingam SS, Zhou C, Kim TM, </w:t>
      </w:r>
      <w:proofErr w:type="gramStart"/>
      <w:r w:rsidRPr="0059317A">
        <w:t>et al. .</w:t>
      </w:r>
      <w:proofErr w:type="gramEnd"/>
      <w:r w:rsidRPr="0059317A">
        <w:t xml:space="preserve"> Mobocertinib (TAK-788) in EGFR exon 20 insertion (ex20</w:t>
      </w:r>
      <w:proofErr w:type="gramStart"/>
      <w:r w:rsidRPr="0059317A">
        <w:t>ins)+</w:t>
      </w:r>
      <w:proofErr w:type="gramEnd"/>
      <w:r w:rsidRPr="0059317A">
        <w:t xml:space="preserve"> metastatic NSCLC (</w:t>
      </w:r>
      <w:proofErr w:type="spellStart"/>
      <w:r w:rsidRPr="0059317A">
        <w:t>mNSCLC</w:t>
      </w:r>
      <w:proofErr w:type="spellEnd"/>
      <w:r w:rsidRPr="0059317A">
        <w:t>): additional results from platinum-</w:t>
      </w:r>
      <w:proofErr w:type="spellStart"/>
      <w:r w:rsidRPr="0059317A">
        <w:t>pretreated</w:t>
      </w:r>
      <w:proofErr w:type="spellEnd"/>
      <w:r w:rsidRPr="0059317A">
        <w:t xml:space="preserve"> patients (pts) and EXCLAIM cohort of phase 1/2 study [abstract]. J Clin Oncol. 2021;39(</w:t>
      </w:r>
      <w:proofErr w:type="gramStart"/>
      <w:r w:rsidRPr="0059317A">
        <w:t>15)(</w:t>
      </w:r>
      <w:proofErr w:type="gramEnd"/>
      <w:r w:rsidRPr="0059317A">
        <w:t>suppl):9014.</w:t>
      </w:r>
    </w:p>
  </w:footnote>
  <w:footnote w:id="49">
    <w:p w14:paraId="4CE3EB60" w14:textId="4D84CE49" w:rsidR="00C83C50" w:rsidRDefault="00C83C50">
      <w:pPr>
        <w:pStyle w:val="FootnoteText"/>
      </w:pPr>
      <w:r>
        <w:rPr>
          <w:rStyle w:val="FootnoteReference"/>
        </w:rPr>
        <w:footnoteRef/>
      </w:r>
      <w:r>
        <w:t xml:space="preserve"> </w:t>
      </w:r>
      <w:r w:rsidRPr="00427F0E">
        <w:t xml:space="preserve">Park K, </w:t>
      </w:r>
      <w:r>
        <w:t>et al</w:t>
      </w:r>
      <w:r w:rsidRPr="00427F0E">
        <w:t xml:space="preserve">. </w:t>
      </w:r>
      <w:proofErr w:type="spellStart"/>
      <w:r w:rsidRPr="00427F0E">
        <w:t>Amivantamab</w:t>
      </w:r>
      <w:proofErr w:type="spellEnd"/>
      <w:r w:rsidRPr="00427F0E">
        <w:t xml:space="preserve"> in EGFR Exon 20 Insertion-Mutated Non-Small-Cell Lung Cancer Progressing on Platinum Chemotherapy: Initial Results </w:t>
      </w:r>
      <w:proofErr w:type="gramStart"/>
      <w:r w:rsidRPr="00427F0E">
        <w:t>From</w:t>
      </w:r>
      <w:proofErr w:type="gramEnd"/>
      <w:r w:rsidRPr="00427F0E">
        <w:t xml:space="preserve"> the CHRYSALIS Phase I Study. J Clin Oncol. 2021 Oct 20;39(30):3391-3402.</w:t>
      </w:r>
    </w:p>
  </w:footnote>
  <w:footnote w:id="50">
    <w:p w14:paraId="06EE0780" w14:textId="45AAF7BD" w:rsidR="00C83C50" w:rsidRDefault="00C83C50">
      <w:pPr>
        <w:pStyle w:val="FootnoteText"/>
      </w:pPr>
      <w:r>
        <w:rPr>
          <w:rStyle w:val="FootnoteReference"/>
        </w:rPr>
        <w:footnoteRef/>
      </w:r>
      <w:r>
        <w:t xml:space="preserve"> </w:t>
      </w:r>
      <w:r w:rsidRPr="0059317A">
        <w:t xml:space="preserve">Landau, M. &amp; Ben-Tal, N. Dynamic equilibrium between multiple active and inactive conformations explains regulation and oncogenic mutations in </w:t>
      </w:r>
      <w:proofErr w:type="spellStart"/>
      <w:r w:rsidRPr="0059317A">
        <w:t>ErbB</w:t>
      </w:r>
      <w:proofErr w:type="spellEnd"/>
      <w:r w:rsidRPr="0059317A">
        <w:t xml:space="preserve"> receptors. </w:t>
      </w:r>
      <w:proofErr w:type="spellStart"/>
      <w:r w:rsidRPr="0059317A">
        <w:t>Biochim</w:t>
      </w:r>
      <w:proofErr w:type="spellEnd"/>
      <w:r w:rsidRPr="0059317A">
        <w:t xml:space="preserve">. </w:t>
      </w:r>
      <w:proofErr w:type="spellStart"/>
      <w:r w:rsidRPr="0059317A">
        <w:t>Biophys</w:t>
      </w:r>
      <w:proofErr w:type="spellEnd"/>
      <w:r w:rsidRPr="0059317A">
        <w:t>. Acta 1785, 12–31 (2008).</w:t>
      </w:r>
    </w:p>
  </w:footnote>
  <w:footnote w:id="51">
    <w:p w14:paraId="2FCF1615" w14:textId="64C87BE5" w:rsidR="00C83C50" w:rsidRDefault="00C83C50">
      <w:pPr>
        <w:pStyle w:val="FootnoteText"/>
      </w:pPr>
      <w:r>
        <w:rPr>
          <w:rStyle w:val="FootnoteReference"/>
        </w:rPr>
        <w:footnoteRef/>
      </w:r>
      <w:r>
        <w:t xml:space="preserve"> </w:t>
      </w:r>
      <w:r w:rsidRPr="0059317A">
        <w:t xml:space="preserve">Eck, M. J. &amp; Yun, C. H. Structural and mechanistic underpinnings of the differential drug sensitivity of EGFR mutations in non-small cell lung cancer. </w:t>
      </w:r>
      <w:proofErr w:type="spellStart"/>
      <w:r w:rsidRPr="0059317A">
        <w:t>Biochim</w:t>
      </w:r>
      <w:proofErr w:type="spellEnd"/>
      <w:r w:rsidRPr="0059317A">
        <w:t xml:space="preserve">. Et. </w:t>
      </w:r>
      <w:proofErr w:type="spellStart"/>
      <w:r w:rsidRPr="0059317A">
        <w:t>Biophys</w:t>
      </w:r>
      <w:proofErr w:type="spellEnd"/>
      <w:r w:rsidRPr="0059317A">
        <w:t>. Acta 1804, 559–566 (2010).</w:t>
      </w:r>
    </w:p>
  </w:footnote>
  <w:footnote w:id="52">
    <w:p w14:paraId="50BEE28D" w14:textId="6091AEEA" w:rsidR="00C83C50" w:rsidRDefault="00C83C50">
      <w:pPr>
        <w:pStyle w:val="FootnoteText"/>
      </w:pPr>
      <w:r>
        <w:rPr>
          <w:rStyle w:val="FootnoteReference"/>
        </w:rPr>
        <w:footnoteRef/>
      </w:r>
      <w:r>
        <w:t xml:space="preserve"> </w:t>
      </w:r>
      <w:proofErr w:type="spellStart"/>
      <w:r w:rsidRPr="0059317A">
        <w:t>Vyse</w:t>
      </w:r>
      <w:proofErr w:type="spellEnd"/>
      <w:r w:rsidRPr="0059317A">
        <w:t xml:space="preserve">, S., Huang, P.H. Targeting EGFR exon 20 insertion mutations in non-small cell lung cancer. Sig </w:t>
      </w:r>
      <w:proofErr w:type="spellStart"/>
      <w:r w:rsidRPr="0059317A">
        <w:t>Transduct</w:t>
      </w:r>
      <w:proofErr w:type="spellEnd"/>
      <w:r w:rsidRPr="0059317A">
        <w:t xml:space="preserve"> Target </w:t>
      </w:r>
      <w:proofErr w:type="spellStart"/>
      <w:r w:rsidRPr="0059317A">
        <w:t>Ther</w:t>
      </w:r>
      <w:proofErr w:type="spellEnd"/>
      <w:r w:rsidRPr="0059317A">
        <w:t xml:space="preserve"> 4, 5 (2019).</w:t>
      </w:r>
    </w:p>
  </w:footnote>
  <w:footnote w:id="53">
    <w:p w14:paraId="76215384" w14:textId="6449A618" w:rsidR="00C83C50" w:rsidRDefault="00C83C50">
      <w:pPr>
        <w:pStyle w:val="FootnoteText"/>
      </w:pPr>
      <w:r>
        <w:rPr>
          <w:rStyle w:val="FootnoteReference"/>
        </w:rPr>
        <w:footnoteRef/>
      </w:r>
      <w:r>
        <w:t xml:space="preserve"> </w:t>
      </w:r>
      <w:r w:rsidRPr="00F46333">
        <w:t>Weinstein, I. B. &amp; Joe, A. Oncogene addiction. Cancer Res. 68, 3077–3080 (2008).</w:t>
      </w:r>
    </w:p>
  </w:footnote>
  <w:footnote w:id="54">
    <w:p w14:paraId="11E255A5" w14:textId="6F8A0AD5" w:rsidR="00C83C50" w:rsidRDefault="00C83C50">
      <w:pPr>
        <w:pStyle w:val="FootnoteText"/>
      </w:pPr>
      <w:r>
        <w:rPr>
          <w:rStyle w:val="FootnoteReference"/>
        </w:rPr>
        <w:footnoteRef/>
      </w:r>
      <w:r>
        <w:t xml:space="preserve"> </w:t>
      </w:r>
      <w:r w:rsidRPr="00F46333">
        <w:t>Carey, K. D. et al. Kinetic analysis of epidermal growth factor receptor somatic mutant proteins shows increased sensitivity to the epidermal growth factor receptor tyrosine kinase inhibitor, erlotinib. Cancer Res. 66, 8163–8171 (2006).</w:t>
      </w:r>
    </w:p>
  </w:footnote>
  <w:footnote w:id="55">
    <w:p w14:paraId="31D2286B" w14:textId="1731896E" w:rsidR="00C83C50" w:rsidRDefault="00C83C50">
      <w:pPr>
        <w:pStyle w:val="FootnoteText"/>
      </w:pPr>
      <w:r>
        <w:rPr>
          <w:rStyle w:val="FootnoteReference"/>
        </w:rPr>
        <w:footnoteRef/>
      </w:r>
      <w:r>
        <w:t xml:space="preserve"> </w:t>
      </w:r>
      <w:r w:rsidRPr="008F6DC5">
        <w:t>Yun, C.-H. et al. The T790M mutation in EGFR kinase causes drug resistance by increasing the affinity for ATP. Proc. Natl Acad. Sci. 105, 2070–2075 (2008).</w:t>
      </w:r>
    </w:p>
  </w:footnote>
  <w:footnote w:id="56">
    <w:p w14:paraId="252AA30D" w14:textId="6F40E423" w:rsidR="00C83C50" w:rsidRDefault="00C83C50">
      <w:pPr>
        <w:pStyle w:val="FootnoteText"/>
      </w:pPr>
      <w:r>
        <w:rPr>
          <w:rStyle w:val="FootnoteReference"/>
        </w:rPr>
        <w:footnoteRef/>
      </w:r>
      <w:r>
        <w:t xml:space="preserve"> </w:t>
      </w:r>
      <w:r w:rsidRPr="00F46333">
        <w:t xml:space="preserve">Yasuda H, et al. Structural, biochemical, and clinical characterization of epidermal growth factor receptor (EGFR) exon 20 insertion mutations in lung cancer [published correction appears in Sci </w:t>
      </w:r>
      <w:proofErr w:type="spellStart"/>
      <w:r w:rsidRPr="00F46333">
        <w:t>Transl</w:t>
      </w:r>
      <w:proofErr w:type="spellEnd"/>
      <w:r w:rsidRPr="00F46333">
        <w:t xml:space="preserve"> Med. 2014 Feb 26;6(225):225er1]. Sci </w:t>
      </w:r>
      <w:proofErr w:type="spellStart"/>
      <w:r w:rsidRPr="00F46333">
        <w:t>Transl</w:t>
      </w:r>
      <w:proofErr w:type="spellEnd"/>
      <w:r w:rsidRPr="00F46333">
        <w:t xml:space="preserve"> Med. 2013;5(216):216ra177</w:t>
      </w:r>
    </w:p>
  </w:footnote>
  <w:footnote w:id="57">
    <w:p w14:paraId="26182EF7" w14:textId="65AF73B6" w:rsidR="00C83C50" w:rsidRDefault="00C83C50">
      <w:pPr>
        <w:pStyle w:val="FootnoteText"/>
      </w:pPr>
      <w:r>
        <w:rPr>
          <w:rStyle w:val="FootnoteReference"/>
        </w:rPr>
        <w:footnoteRef/>
      </w:r>
      <w:r>
        <w:t xml:space="preserve"> </w:t>
      </w:r>
      <w:proofErr w:type="spellStart"/>
      <w:r w:rsidRPr="00F46333">
        <w:t>Robichaux</w:t>
      </w:r>
      <w:proofErr w:type="spellEnd"/>
      <w:r w:rsidRPr="00F46333">
        <w:t>, J. P. et al. Mechanisms and clinical activity of an EGFR and HER2 exon 20-selective kinase inhibitor in non-small cell lung cancer. Nat. Med. 24, 638–646 (2018).</w:t>
      </w:r>
    </w:p>
  </w:footnote>
  <w:footnote w:id="58">
    <w:p w14:paraId="68812DF5" w14:textId="13C9D71E" w:rsidR="00C83C50" w:rsidRDefault="00C83C50">
      <w:pPr>
        <w:pStyle w:val="FootnoteText"/>
      </w:pPr>
      <w:r>
        <w:rPr>
          <w:rStyle w:val="FootnoteReference"/>
        </w:rPr>
        <w:footnoteRef/>
      </w:r>
      <w:r>
        <w:t xml:space="preserve"> </w:t>
      </w:r>
      <w:proofErr w:type="spellStart"/>
      <w:r w:rsidRPr="00F46333">
        <w:t>Arcila</w:t>
      </w:r>
      <w:proofErr w:type="spellEnd"/>
      <w:r w:rsidRPr="00F46333">
        <w:t xml:space="preserve">, M. E. et al. EGFR exon 20 insertion mutations in lung adenocarcinomas: prevalence, molecular heterogeneity, and clinicopathologic characteristics. Mol. Cancer </w:t>
      </w:r>
      <w:proofErr w:type="spellStart"/>
      <w:r w:rsidRPr="00F46333">
        <w:t>Ther</w:t>
      </w:r>
      <w:proofErr w:type="spellEnd"/>
      <w:r w:rsidRPr="00F46333">
        <w:t>. 12, 220–229 (2013).</w:t>
      </w:r>
    </w:p>
  </w:footnote>
  <w:footnote w:id="59">
    <w:p w14:paraId="1E25AB9F" w14:textId="14305FFA" w:rsidR="00C83C50" w:rsidRDefault="00C83C50">
      <w:pPr>
        <w:pStyle w:val="FootnoteText"/>
      </w:pPr>
      <w:r>
        <w:rPr>
          <w:rStyle w:val="FootnoteReference"/>
        </w:rPr>
        <w:footnoteRef/>
      </w:r>
      <w:r>
        <w:t xml:space="preserve"> </w:t>
      </w:r>
      <w:proofErr w:type="spellStart"/>
      <w:r w:rsidRPr="00F46333">
        <w:t>Voon</w:t>
      </w:r>
      <w:proofErr w:type="spellEnd"/>
      <w:r w:rsidRPr="00F46333">
        <w:t xml:space="preserve">, P. J., Tsui, D. W. Y., Rosenfeld, N. &amp; Chin, T. M. Letter to Editor: EGFR Exon 20 Insertion A763-Y764insFQEA and response to Erlotinib. Mol. Cancer </w:t>
      </w:r>
      <w:proofErr w:type="spellStart"/>
      <w:r w:rsidRPr="00F46333">
        <w:t>Ther</w:t>
      </w:r>
      <w:proofErr w:type="spellEnd"/>
      <w:r w:rsidRPr="00F46333">
        <w:t>. 12, 20–25 (2013).</w:t>
      </w:r>
    </w:p>
  </w:footnote>
  <w:footnote w:id="60">
    <w:p w14:paraId="3E21A6FC" w14:textId="18B84CCD" w:rsidR="00C83C50" w:rsidRDefault="00C83C50">
      <w:pPr>
        <w:pStyle w:val="FootnoteText"/>
      </w:pPr>
      <w:r>
        <w:rPr>
          <w:rStyle w:val="FootnoteReference"/>
        </w:rPr>
        <w:footnoteRef/>
      </w:r>
      <w:r>
        <w:t xml:space="preserve"> </w:t>
      </w:r>
      <w:r w:rsidRPr="00F46333">
        <w:t>Wu J-Y, Yu C-J, Shih J-Y. Effectiveness of treatments for advanced non-small-cell lung cancer with exon 20 insertion epidermal growth factor receptor mutations. Clin Lung Cancer 2019;</w:t>
      </w:r>
      <w:proofErr w:type="gramStart"/>
      <w:r w:rsidRPr="00F46333">
        <w:t>20:e</w:t>
      </w:r>
      <w:proofErr w:type="gramEnd"/>
      <w:r w:rsidRPr="00F46333">
        <w:t>620–30</w:t>
      </w:r>
    </w:p>
  </w:footnote>
  <w:footnote w:id="61">
    <w:p w14:paraId="3735CA12" w14:textId="2379B35F" w:rsidR="00C83C50" w:rsidRDefault="00C83C50">
      <w:pPr>
        <w:pStyle w:val="FootnoteText"/>
      </w:pPr>
      <w:r>
        <w:rPr>
          <w:rStyle w:val="FootnoteReference"/>
        </w:rPr>
        <w:footnoteRef/>
      </w:r>
      <w:r>
        <w:t xml:space="preserve"> </w:t>
      </w:r>
      <w:r w:rsidRPr="001C5974">
        <w:t xml:space="preserve">Yang GJ, Li J, Xu HY, Sun Y, Liu L, Li HS, Yang L, Zhang Y, Li GH, Wang Y. Osimertinib for Chinese advanced non-small cell lung cancer patients </w:t>
      </w:r>
      <w:proofErr w:type="spellStart"/>
      <w:r w:rsidRPr="001C5974">
        <w:t>harboring</w:t>
      </w:r>
      <w:proofErr w:type="spellEnd"/>
      <w:r w:rsidRPr="001C5974">
        <w:t xml:space="preserve"> diverse EGFR exon 20 insertion mutations. Lung Cancer. 2021 </w:t>
      </w:r>
      <w:proofErr w:type="gramStart"/>
      <w:r w:rsidRPr="001C5974">
        <w:t>Feb;152:39</w:t>
      </w:r>
      <w:proofErr w:type="gramEnd"/>
      <w:r w:rsidRPr="001C5974">
        <w:t>-48.</w:t>
      </w:r>
    </w:p>
  </w:footnote>
  <w:footnote w:id="62">
    <w:p w14:paraId="30A41B86" w14:textId="2AB1164D" w:rsidR="00C83C50" w:rsidRDefault="00C83C50">
      <w:pPr>
        <w:pStyle w:val="FootnoteText"/>
      </w:pPr>
      <w:r>
        <w:rPr>
          <w:rStyle w:val="FootnoteReference"/>
        </w:rPr>
        <w:footnoteRef/>
      </w:r>
      <w:r>
        <w:t xml:space="preserve"> </w:t>
      </w:r>
      <w:r w:rsidRPr="008646F0">
        <w:t xml:space="preserve">Cai Y, Wang Y, Sun J, et al. Successful treatment of a patient with NSCLC carrying uncommon compound EGFR G719X and S768I mutations using </w:t>
      </w:r>
      <w:proofErr w:type="spellStart"/>
      <w:r w:rsidRPr="008646F0">
        <w:t>osimertinib</w:t>
      </w:r>
      <w:proofErr w:type="spellEnd"/>
      <w:r w:rsidRPr="008646F0">
        <w:t>: A case report. J Int Med Res. 2020;48(6):300060520928793</w:t>
      </w:r>
    </w:p>
  </w:footnote>
  <w:footnote w:id="63">
    <w:p w14:paraId="79AC1E30" w14:textId="7E6A6D8D" w:rsidR="00C83C50" w:rsidRDefault="00C83C50">
      <w:pPr>
        <w:pStyle w:val="FootnoteText"/>
      </w:pPr>
      <w:r>
        <w:rPr>
          <w:rStyle w:val="FootnoteReference"/>
        </w:rPr>
        <w:footnoteRef/>
      </w:r>
      <w:r>
        <w:t xml:space="preserve"> </w:t>
      </w:r>
      <w:r w:rsidRPr="00EF2BDD">
        <w:t xml:space="preserve">Guo M, </w:t>
      </w:r>
      <w:r>
        <w:t>et al</w:t>
      </w:r>
      <w:r w:rsidRPr="00EF2BDD">
        <w:t xml:space="preserve">. </w:t>
      </w:r>
      <w:proofErr w:type="spellStart"/>
      <w:r w:rsidRPr="00EF2BDD">
        <w:t>Amivantamab</w:t>
      </w:r>
      <w:proofErr w:type="spellEnd"/>
      <w:r w:rsidRPr="00EF2BDD">
        <w:t xml:space="preserve">: A Potent Novel EGFR/c-MET Bispecific Antibody Therapy for EGFR -mutated Non-small Cell Lung Cancer. </w:t>
      </w:r>
      <w:proofErr w:type="spellStart"/>
      <w:r w:rsidRPr="00EF2BDD">
        <w:t>touchREVIEWS</w:t>
      </w:r>
      <w:proofErr w:type="spellEnd"/>
      <w:r w:rsidRPr="00EF2BDD">
        <w:t xml:space="preserve"> in Oncology &amp; Haematology. 2021;17(1):42-47</w:t>
      </w:r>
    </w:p>
  </w:footnote>
  <w:footnote w:id="64">
    <w:p w14:paraId="5D6DCB5C" w14:textId="28A9949A" w:rsidR="00C83C50" w:rsidRDefault="00C83C50">
      <w:pPr>
        <w:pStyle w:val="FootnoteText"/>
      </w:pPr>
      <w:r>
        <w:rPr>
          <w:rStyle w:val="FootnoteReference"/>
        </w:rPr>
        <w:footnoteRef/>
      </w:r>
      <w:r>
        <w:t xml:space="preserve"> </w:t>
      </w:r>
      <w:r w:rsidRPr="00EF2BDD">
        <w:t xml:space="preserve">Guo B, </w:t>
      </w:r>
      <w:r>
        <w:t>et al</w:t>
      </w:r>
      <w:r w:rsidRPr="00EF2BDD">
        <w:t xml:space="preserve">. Prognostic value of MET gene copy number and protein expression in patients with surgically resected non-small cell lung cancer: a meta-analysis of published literatures. </w:t>
      </w:r>
      <w:proofErr w:type="spellStart"/>
      <w:r w:rsidRPr="00EF2BDD">
        <w:t>PLoS</w:t>
      </w:r>
      <w:proofErr w:type="spellEnd"/>
      <w:r w:rsidRPr="00EF2BDD">
        <w:t xml:space="preserve"> One. 2014 Jun 12;9(6</w:t>
      </w:r>
      <w:proofErr w:type="gramStart"/>
      <w:r w:rsidRPr="00EF2BDD">
        <w:t>):e</w:t>
      </w:r>
      <w:proofErr w:type="gramEnd"/>
      <w:r w:rsidRPr="00EF2BDD">
        <w:t>99399</w:t>
      </w:r>
    </w:p>
  </w:footnote>
  <w:footnote w:id="65">
    <w:p w14:paraId="193D0572" w14:textId="1DF7E5CD" w:rsidR="00C83C50" w:rsidRDefault="00C83C50">
      <w:pPr>
        <w:pStyle w:val="FootnoteText"/>
      </w:pPr>
      <w:r>
        <w:rPr>
          <w:rStyle w:val="FootnoteReference"/>
        </w:rPr>
        <w:footnoteRef/>
      </w:r>
      <w:r>
        <w:t xml:space="preserve"> </w:t>
      </w:r>
      <w:r w:rsidRPr="00EF2BDD">
        <w:t xml:space="preserve">Wang Q, </w:t>
      </w:r>
      <w:r>
        <w:t>et al</w:t>
      </w:r>
      <w:r w:rsidRPr="00EF2BDD">
        <w:t xml:space="preserve">. MET inhibitors for targeted therapy of EGFR TKI-resistant lung cancer. J </w:t>
      </w:r>
      <w:proofErr w:type="spellStart"/>
      <w:r w:rsidRPr="00EF2BDD">
        <w:t>Hematol</w:t>
      </w:r>
      <w:proofErr w:type="spellEnd"/>
      <w:r w:rsidRPr="00EF2BDD">
        <w:t xml:space="preserve"> Oncol. 2019 Jun 21;12(1):63</w:t>
      </w:r>
    </w:p>
  </w:footnote>
  <w:footnote w:id="66">
    <w:p w14:paraId="22937F48" w14:textId="6EB1E78D" w:rsidR="00C83C50" w:rsidRDefault="00C83C50">
      <w:pPr>
        <w:pStyle w:val="FootnoteText"/>
      </w:pPr>
      <w:r>
        <w:rPr>
          <w:rStyle w:val="FootnoteReference"/>
        </w:rPr>
        <w:footnoteRef/>
      </w:r>
      <w:r>
        <w:t xml:space="preserve"> </w:t>
      </w:r>
      <w:r w:rsidRPr="007D1895">
        <w:t xml:space="preserve">Engelman JA, </w:t>
      </w:r>
      <w:r>
        <w:t>et al</w:t>
      </w:r>
      <w:r w:rsidRPr="007D1895">
        <w:t xml:space="preserve">. MET amplification leads to gefitinib resistance in lung cancer by activating ERBB3 </w:t>
      </w:r>
      <w:proofErr w:type="spellStart"/>
      <w:r w:rsidRPr="007D1895">
        <w:t>signaling</w:t>
      </w:r>
      <w:proofErr w:type="spellEnd"/>
      <w:r w:rsidRPr="007D1895">
        <w:t>. Science. 2007 May 18;316(5827):1039-43.</w:t>
      </w:r>
    </w:p>
  </w:footnote>
  <w:footnote w:id="67">
    <w:p w14:paraId="425F4740" w14:textId="0CE88AEE" w:rsidR="00C83C50" w:rsidRDefault="00C83C50">
      <w:pPr>
        <w:pStyle w:val="FootnoteText"/>
      </w:pPr>
      <w:r>
        <w:rPr>
          <w:rStyle w:val="FootnoteReference"/>
        </w:rPr>
        <w:footnoteRef/>
      </w:r>
      <w:r>
        <w:t xml:space="preserve"> </w:t>
      </w:r>
      <w:proofErr w:type="spellStart"/>
      <w:r w:rsidRPr="00EF2BDD">
        <w:t>Moores</w:t>
      </w:r>
      <w:proofErr w:type="spellEnd"/>
      <w:r w:rsidRPr="00EF2BDD">
        <w:t xml:space="preserve"> SL, </w:t>
      </w:r>
      <w:r>
        <w:t>et al</w:t>
      </w:r>
      <w:r w:rsidRPr="00EF2BDD">
        <w:t xml:space="preserve">. A Novel Bispecific Antibody Targeting EGFR and </w:t>
      </w:r>
      <w:proofErr w:type="spellStart"/>
      <w:r w:rsidRPr="00EF2BDD">
        <w:t>cMet</w:t>
      </w:r>
      <w:proofErr w:type="spellEnd"/>
      <w:r w:rsidRPr="00EF2BDD">
        <w:t xml:space="preserve"> Is Effective against EGFR Inhibitor-Resistant Lung </w:t>
      </w:r>
      <w:proofErr w:type="spellStart"/>
      <w:r w:rsidRPr="00EF2BDD">
        <w:t>Tumors</w:t>
      </w:r>
      <w:proofErr w:type="spellEnd"/>
      <w:r w:rsidRPr="00EF2BDD">
        <w:t>. Cancer Res. 2016 Jul 1;76(13):3942-53</w:t>
      </w:r>
    </w:p>
  </w:footnote>
  <w:footnote w:id="68">
    <w:p w14:paraId="7AD6556F" w14:textId="4CFBD7DC" w:rsidR="00C83C50" w:rsidRDefault="00C83C50">
      <w:pPr>
        <w:pStyle w:val="FootnoteText"/>
      </w:pPr>
      <w:r>
        <w:rPr>
          <w:rStyle w:val="FootnoteReference"/>
        </w:rPr>
        <w:footnoteRef/>
      </w:r>
      <w:r>
        <w:t xml:space="preserve"> </w:t>
      </w:r>
      <w:proofErr w:type="spellStart"/>
      <w:r w:rsidRPr="00EF2BDD">
        <w:t>Tanizaki</w:t>
      </w:r>
      <w:proofErr w:type="spellEnd"/>
      <w:r w:rsidRPr="00EF2BDD">
        <w:t xml:space="preserve"> J, Okamoto I, Sakai K. Differential roles of trans-phosphorylated EGFR, HER2, HER3, and RET as heterodimerisation partners of MET in lung cancer with MET amplification. Br J Cancer 105, 807–813 (2011)</w:t>
      </w:r>
    </w:p>
  </w:footnote>
  <w:footnote w:id="69">
    <w:p w14:paraId="0E8D7EDE" w14:textId="025DD5F5" w:rsidR="00C83C50" w:rsidRDefault="00C83C50">
      <w:pPr>
        <w:pStyle w:val="FootnoteText"/>
      </w:pPr>
      <w:r>
        <w:rPr>
          <w:rStyle w:val="FootnoteReference"/>
        </w:rPr>
        <w:footnoteRef/>
      </w:r>
      <w:r>
        <w:t xml:space="preserve"> </w:t>
      </w:r>
      <w:r w:rsidRPr="00EF2BDD">
        <w:t xml:space="preserve">Mueller KL, </w:t>
      </w:r>
      <w:r>
        <w:t>et al</w:t>
      </w:r>
      <w:r w:rsidRPr="00EF2BDD">
        <w:t xml:space="preserve">. EGFR/Met association regulates EGFR TKI resistance in breast cancer. Journal of Molecular </w:t>
      </w:r>
      <w:proofErr w:type="spellStart"/>
      <w:r w:rsidRPr="00EF2BDD">
        <w:t>Signaling</w:t>
      </w:r>
      <w:proofErr w:type="spellEnd"/>
      <w:r w:rsidRPr="00EF2BDD">
        <w:t>. 2010;</w:t>
      </w:r>
      <w:proofErr w:type="gramStart"/>
      <w:r w:rsidRPr="00EF2BDD">
        <w:t>5:Art.</w:t>
      </w:r>
      <w:proofErr w:type="gramEnd"/>
      <w:r w:rsidRPr="00EF2BDD">
        <w:t xml:space="preserve"> 8</w:t>
      </w:r>
    </w:p>
  </w:footnote>
  <w:footnote w:id="70">
    <w:p w14:paraId="315C0A32" w14:textId="31631DA6" w:rsidR="00C83C50" w:rsidRDefault="00C83C50">
      <w:pPr>
        <w:pStyle w:val="FootnoteText"/>
      </w:pPr>
      <w:r>
        <w:rPr>
          <w:rStyle w:val="FootnoteReference"/>
        </w:rPr>
        <w:footnoteRef/>
      </w:r>
      <w:r>
        <w:t xml:space="preserve"> </w:t>
      </w:r>
      <w:proofErr w:type="spellStart"/>
      <w:r w:rsidRPr="00EF2BDD">
        <w:t>Grugan</w:t>
      </w:r>
      <w:proofErr w:type="spellEnd"/>
      <w:r w:rsidRPr="00EF2BDD">
        <w:t xml:space="preserve"> KD, </w:t>
      </w:r>
      <w:r>
        <w:t>et al</w:t>
      </w:r>
      <w:r w:rsidRPr="00EF2BDD">
        <w:t xml:space="preserve">. Fc-mediated activity of EGFR x c-Met bispecific antibody JNJ-61186372 enhanced killing of lung cancer cells. </w:t>
      </w:r>
      <w:proofErr w:type="spellStart"/>
      <w:r w:rsidRPr="00EF2BDD">
        <w:t>MAbs</w:t>
      </w:r>
      <w:proofErr w:type="spellEnd"/>
      <w:r w:rsidRPr="00EF2BDD">
        <w:t>. 2017 Jan;9(1):114-126</w:t>
      </w:r>
    </w:p>
  </w:footnote>
  <w:footnote w:id="71">
    <w:p w14:paraId="653CB758" w14:textId="651F769C" w:rsidR="00C83C50" w:rsidRDefault="00C83C50">
      <w:pPr>
        <w:pStyle w:val="FootnoteText"/>
      </w:pPr>
      <w:r>
        <w:rPr>
          <w:rStyle w:val="FootnoteReference"/>
        </w:rPr>
        <w:footnoteRef/>
      </w:r>
      <w:r>
        <w:t xml:space="preserve"> </w:t>
      </w:r>
      <w:r w:rsidRPr="00EF2BDD">
        <w:t xml:space="preserve">Shields RL, </w:t>
      </w:r>
      <w:r>
        <w:t>et al</w:t>
      </w:r>
      <w:r w:rsidRPr="00EF2BDD">
        <w:t xml:space="preserve">. Lack of fucose on human IgG1 N-linked oligosaccharide improves binding to human </w:t>
      </w:r>
      <w:proofErr w:type="spellStart"/>
      <w:r w:rsidRPr="00EF2BDD">
        <w:t>Fcgamma</w:t>
      </w:r>
      <w:proofErr w:type="spellEnd"/>
      <w:r w:rsidRPr="00EF2BDD">
        <w:t xml:space="preserve"> RIII and antibody-dependent cellular toxicity. J Biol Chem. 2002 Jul 26;277(30):26733-40.</w:t>
      </w:r>
    </w:p>
  </w:footnote>
  <w:footnote w:id="72">
    <w:p w14:paraId="722C48D6" w14:textId="5AAE1F4F" w:rsidR="00C83C50" w:rsidRDefault="00C83C50">
      <w:pPr>
        <w:pStyle w:val="FootnoteText"/>
      </w:pPr>
      <w:r>
        <w:rPr>
          <w:rStyle w:val="FootnoteReference"/>
        </w:rPr>
        <w:footnoteRef/>
      </w:r>
      <w:r>
        <w:t xml:space="preserve"> </w:t>
      </w:r>
      <w:r w:rsidRPr="00EF2BDD">
        <w:t xml:space="preserve">Hasegawa H, Yasuda H, Hamamoto J, et al. Efficacy of afatinib or </w:t>
      </w:r>
      <w:proofErr w:type="spellStart"/>
      <w:r w:rsidRPr="00EF2BDD">
        <w:t>osimertinib</w:t>
      </w:r>
      <w:proofErr w:type="spellEnd"/>
      <w:r w:rsidRPr="00EF2BDD">
        <w:t xml:space="preserve"> plus cetuximab combination therapy for non-small-cell lung cancer with EGFR exon 20 insertion mutations. Lung Cancer. </w:t>
      </w:r>
      <w:proofErr w:type="gramStart"/>
      <w:r w:rsidRPr="00EF2BDD">
        <w:t>2019;127:146</w:t>
      </w:r>
      <w:proofErr w:type="gramEnd"/>
      <w:r w:rsidRPr="00EF2BDD">
        <w:t>–52</w:t>
      </w:r>
    </w:p>
  </w:footnote>
  <w:footnote w:id="73">
    <w:p w14:paraId="6C7416D6" w14:textId="77777777" w:rsidR="0005737D" w:rsidRDefault="0005737D" w:rsidP="0005737D">
      <w:pPr>
        <w:pStyle w:val="FootnoteText"/>
      </w:pPr>
      <w:r>
        <w:rPr>
          <w:rStyle w:val="FootnoteReference"/>
        </w:rPr>
        <w:footnoteRef/>
      </w:r>
      <w:r>
        <w:t xml:space="preserve"> TGA Project Orbis information page. Accessed 15 Aug 2022 at: </w:t>
      </w:r>
      <w:hyperlink r:id="rId1" w:history="1">
        <w:r w:rsidRPr="001C6CA7">
          <w:rPr>
            <w:rStyle w:val="Hyperlink"/>
          </w:rPr>
          <w:t>https://www.tga.gov.au/project-orbis</w:t>
        </w:r>
      </w:hyperlink>
    </w:p>
  </w:footnote>
  <w:footnote w:id="74">
    <w:p w14:paraId="6B75B140" w14:textId="2A5C7B1C" w:rsidR="00C83C50" w:rsidRDefault="00C83C50">
      <w:pPr>
        <w:pStyle w:val="FootnoteText"/>
      </w:pPr>
      <w:r>
        <w:rPr>
          <w:rStyle w:val="FootnoteReference"/>
        </w:rPr>
        <w:footnoteRef/>
      </w:r>
      <w:r>
        <w:t xml:space="preserve"> FDA press announcement of approval for </w:t>
      </w:r>
      <w:proofErr w:type="spellStart"/>
      <w:r>
        <w:t>amivantamab</w:t>
      </w:r>
      <w:proofErr w:type="spellEnd"/>
      <w:r>
        <w:t xml:space="preserve">. Accessed 15 Aug 2022 at: </w:t>
      </w:r>
      <w:hyperlink r:id="rId2" w:history="1">
        <w:r w:rsidRPr="001C6CA7">
          <w:rPr>
            <w:rStyle w:val="Hyperlink"/>
          </w:rPr>
          <w:t>https://www.fda.gov/news-events/press-announcements/fda-approves-first-targeted-therapy-subset-non-small-cell-lung-cancer</w:t>
        </w:r>
      </w:hyperlink>
    </w:p>
  </w:footnote>
  <w:footnote w:id="75">
    <w:p w14:paraId="78C94407" w14:textId="32CC47A9" w:rsidR="00C83C50" w:rsidRDefault="00C83C50" w:rsidP="00F41E50">
      <w:pPr>
        <w:pStyle w:val="FootnoteText"/>
      </w:pPr>
      <w:r>
        <w:rPr>
          <w:rStyle w:val="FootnoteReference"/>
        </w:rPr>
        <w:footnoteRef/>
      </w:r>
      <w:r>
        <w:t xml:space="preserve"> Drug Approval Package web page for </w:t>
      </w:r>
      <w:proofErr w:type="spellStart"/>
      <w:r>
        <w:t>Rybrevant</w:t>
      </w:r>
      <w:proofErr w:type="spellEnd"/>
      <w:r>
        <w:t xml:space="preserve">. Accessed 15 Aug 2022 at:  </w:t>
      </w:r>
      <w:hyperlink r:id="rId3" w:history="1">
        <w:r w:rsidRPr="001C6CA7">
          <w:rPr>
            <w:rStyle w:val="Hyperlink"/>
          </w:rPr>
          <w:t>https://www.accessdata.fda.gov/drugsatfda_docs/nda/2021/761210Orig1s000TOC.cfm</w:t>
        </w:r>
      </w:hyperlink>
    </w:p>
  </w:footnote>
  <w:footnote w:id="76">
    <w:p w14:paraId="69498323" w14:textId="4BA527AC" w:rsidR="00C83C50" w:rsidRDefault="00C83C50" w:rsidP="00F41E50">
      <w:pPr>
        <w:pStyle w:val="FootnoteText"/>
      </w:pPr>
      <w:r>
        <w:rPr>
          <w:rStyle w:val="FootnoteReference"/>
        </w:rPr>
        <w:footnoteRef/>
      </w:r>
      <w:r>
        <w:t xml:space="preserve"> FDA multi-disciplinary review for </w:t>
      </w:r>
      <w:proofErr w:type="spellStart"/>
      <w:r>
        <w:t>Rybrevant</w:t>
      </w:r>
      <w:proofErr w:type="spellEnd"/>
      <w:r>
        <w:t xml:space="preserve">. Accessed 15 Aug 2022 at: </w:t>
      </w:r>
      <w:hyperlink r:id="rId4" w:history="1">
        <w:r w:rsidRPr="001C6CA7">
          <w:rPr>
            <w:rStyle w:val="Hyperlink"/>
          </w:rPr>
          <w:t>https://www.accessdata.fda.gov/drugsatfda_docs/nda/2021/761210Orig1s000MultidisciplineR.pdf</w:t>
        </w:r>
      </w:hyperlink>
      <w:r>
        <w:t xml:space="preserve"> </w:t>
      </w:r>
    </w:p>
  </w:footnote>
  <w:footnote w:id="77">
    <w:p w14:paraId="296416DD" w14:textId="1DD3F249" w:rsidR="00C83C50" w:rsidRDefault="00C83C50" w:rsidP="00F41E50">
      <w:pPr>
        <w:pStyle w:val="FootnoteText"/>
      </w:pPr>
      <w:r>
        <w:rPr>
          <w:rStyle w:val="FootnoteReference"/>
        </w:rPr>
        <w:footnoteRef/>
      </w:r>
      <w:r>
        <w:t xml:space="preserve"> FDA approval letter for </w:t>
      </w:r>
      <w:proofErr w:type="spellStart"/>
      <w:r>
        <w:t>Rybrevant</w:t>
      </w:r>
      <w:proofErr w:type="spellEnd"/>
      <w:r>
        <w:t xml:space="preserve">. Accessed 15 Aug 2022 at:  </w:t>
      </w:r>
      <w:hyperlink r:id="rId5" w:history="1">
        <w:r w:rsidRPr="001C6CA7">
          <w:rPr>
            <w:rStyle w:val="Hyperlink"/>
          </w:rPr>
          <w:t>https://www.accessdata.fda.gov/drugsatfda_docs/nda/2021/761210Orig1s000Approv.pdf</w:t>
        </w:r>
      </w:hyperlink>
      <w:r>
        <w:t xml:space="preserve"> </w:t>
      </w:r>
    </w:p>
  </w:footnote>
  <w:footnote w:id="78">
    <w:p w14:paraId="1EF7318D" w14:textId="6ADFC0D8" w:rsidR="00C83C50" w:rsidRDefault="00C83C50" w:rsidP="00F41E50">
      <w:pPr>
        <w:pStyle w:val="FootnoteText"/>
      </w:pPr>
      <w:r>
        <w:rPr>
          <w:rStyle w:val="FootnoteReference"/>
        </w:rPr>
        <w:footnoteRef/>
      </w:r>
      <w:r>
        <w:t xml:space="preserve"> EMA human medicine web page for </w:t>
      </w:r>
      <w:proofErr w:type="spellStart"/>
      <w:r>
        <w:t>Rybrevant</w:t>
      </w:r>
      <w:proofErr w:type="spellEnd"/>
      <w:r>
        <w:t xml:space="preserve">. Accessed 15 Aug 2022 at: </w:t>
      </w:r>
      <w:hyperlink r:id="rId6" w:history="1">
        <w:r w:rsidRPr="001C6CA7">
          <w:rPr>
            <w:rStyle w:val="Hyperlink"/>
          </w:rPr>
          <w:t>https://www.ema.europa.eu/en/medicines/human/EPAR/rybrevant</w:t>
        </w:r>
      </w:hyperlink>
      <w:r>
        <w:t xml:space="preserve"> </w:t>
      </w:r>
    </w:p>
  </w:footnote>
  <w:footnote w:id="79">
    <w:p w14:paraId="1F50E6A6" w14:textId="530D38BA" w:rsidR="00C83C50" w:rsidRDefault="00C83C50" w:rsidP="00F41E50">
      <w:pPr>
        <w:pStyle w:val="FootnoteText"/>
      </w:pPr>
      <w:r>
        <w:rPr>
          <w:rStyle w:val="FootnoteReference"/>
        </w:rPr>
        <w:footnoteRef/>
      </w:r>
      <w:r>
        <w:t xml:space="preserve"> EMA product information document (including summary of product characteristics). Accessed 15 Aug 2022 at: </w:t>
      </w:r>
      <w:hyperlink r:id="rId7" w:history="1">
        <w:r w:rsidRPr="001C6CA7">
          <w:rPr>
            <w:rStyle w:val="Hyperlink"/>
          </w:rPr>
          <w:t>https://www.ema.europa.eu/en/documents/product-information/rybrevant-epar-product-information_en.pdf</w:t>
        </w:r>
      </w:hyperlink>
      <w:r>
        <w:t xml:space="preserve"> </w:t>
      </w:r>
    </w:p>
  </w:footnote>
  <w:footnote w:id="80">
    <w:p w14:paraId="680068D7" w14:textId="1128DC7A" w:rsidR="00C83C50" w:rsidRDefault="00C83C50" w:rsidP="00F41E50">
      <w:pPr>
        <w:pStyle w:val="FootnoteText"/>
      </w:pPr>
      <w:r>
        <w:rPr>
          <w:rStyle w:val="FootnoteReference"/>
        </w:rPr>
        <w:footnoteRef/>
      </w:r>
      <w:r>
        <w:t xml:space="preserve"> Health Canada product monograph, via the product information page for </w:t>
      </w:r>
      <w:proofErr w:type="spellStart"/>
      <w:r>
        <w:t>Rybrevant</w:t>
      </w:r>
      <w:proofErr w:type="spellEnd"/>
      <w:r>
        <w:t xml:space="preserve">. Accessed 15 Aug 2022 at: </w:t>
      </w:r>
      <w:hyperlink r:id="rId8" w:history="1">
        <w:r w:rsidRPr="001C6CA7">
          <w:rPr>
            <w:rStyle w:val="Hyperlink"/>
          </w:rPr>
          <w:t>https://health-products.canada.ca/dpd-bdpp/info.do?lang=en&amp;code=101529</w:t>
        </w:r>
      </w:hyperlink>
      <w:r>
        <w:t xml:space="preserve"> </w:t>
      </w:r>
      <w:r>
        <w:sym w:font="Wingdings" w:char="F0E0"/>
      </w:r>
      <w:r>
        <w:t xml:space="preserve"> </w:t>
      </w:r>
      <w:hyperlink r:id="rId9" w:history="1">
        <w:r w:rsidRPr="001C6CA7">
          <w:rPr>
            <w:rStyle w:val="Hyperlink"/>
          </w:rPr>
          <w:t>https://pdf.hres.ca/dpd_pm/00065221.PDF</w:t>
        </w:r>
      </w:hyperlink>
      <w:r>
        <w:t xml:space="preserve"> </w:t>
      </w:r>
    </w:p>
  </w:footnote>
  <w:footnote w:id="81">
    <w:p w14:paraId="75EED947" w14:textId="587DC73E" w:rsidR="00C83C50" w:rsidRDefault="00C83C50" w:rsidP="00F41E50">
      <w:pPr>
        <w:pStyle w:val="FootnoteText"/>
      </w:pPr>
      <w:r>
        <w:rPr>
          <w:rStyle w:val="FootnoteReference"/>
        </w:rPr>
        <w:footnoteRef/>
      </w:r>
      <w:r>
        <w:t xml:space="preserve"> UK product information page. Accessed 15 Aug 2022 at: </w:t>
      </w:r>
      <w:hyperlink r:id="rId10" w:history="1">
        <w:r w:rsidRPr="001C6CA7">
          <w:rPr>
            <w:rStyle w:val="Hyperlink"/>
          </w:rPr>
          <w:t>https://mhraproducts4853.blob.core.windows.net/docs/a2e801d03c625e532295234fe99d408e2bac82da</w:t>
        </w:r>
      </w:hyperlink>
    </w:p>
  </w:footnote>
  <w:footnote w:id="82">
    <w:p w14:paraId="642F49D1" w14:textId="59964798" w:rsidR="00C83C50" w:rsidRDefault="00C83C50">
      <w:pPr>
        <w:pStyle w:val="FootnoteText"/>
      </w:pPr>
      <w:r>
        <w:rPr>
          <w:rStyle w:val="FootnoteReference"/>
        </w:rPr>
        <w:footnoteRef/>
      </w:r>
      <w:r>
        <w:t xml:space="preserve"> </w:t>
      </w:r>
      <w:r w:rsidRPr="00C5708D">
        <w:t xml:space="preserve">FDA approved label for </w:t>
      </w:r>
      <w:proofErr w:type="spellStart"/>
      <w:r>
        <w:t>Rybrevant</w:t>
      </w:r>
      <w:proofErr w:type="spellEnd"/>
      <w:r w:rsidRPr="00C5708D">
        <w:t>. Updated December 2021. Accessed 31/08/2022 at: https://www.accessdata.fda.gov/drugsatfda_docs/label/2021/761210s001lbl.pdf</w:t>
      </w:r>
    </w:p>
  </w:footnote>
  <w:footnote w:id="83">
    <w:p w14:paraId="60500356" w14:textId="05CEAFF7" w:rsidR="00C83C50" w:rsidRDefault="00C83C50" w:rsidP="00B84082">
      <w:pPr>
        <w:pStyle w:val="FootnoteText"/>
      </w:pPr>
    </w:p>
  </w:footnote>
  <w:footnote w:id="84">
    <w:p w14:paraId="7C04DF9E" w14:textId="0F73E8FC" w:rsidR="006115D5" w:rsidRDefault="006115D5">
      <w:pPr>
        <w:pStyle w:val="FootnoteText"/>
      </w:pPr>
      <w:r>
        <w:rPr>
          <w:rStyle w:val="FootnoteReference"/>
        </w:rPr>
        <w:footnoteRef/>
      </w:r>
      <w:r>
        <w:t xml:space="preserve"> </w:t>
      </w:r>
      <w:proofErr w:type="spellStart"/>
      <w:r w:rsidRPr="006115D5">
        <w:t>Komposch</w:t>
      </w:r>
      <w:proofErr w:type="spellEnd"/>
      <w:r w:rsidRPr="006115D5">
        <w:t xml:space="preserve"> K, </w:t>
      </w:r>
      <w:proofErr w:type="spellStart"/>
      <w:r w:rsidRPr="006115D5">
        <w:t>Sibilia</w:t>
      </w:r>
      <w:proofErr w:type="spellEnd"/>
      <w:r w:rsidRPr="006115D5">
        <w:t xml:space="preserve"> M. EGFR </w:t>
      </w:r>
      <w:proofErr w:type="spellStart"/>
      <w:r w:rsidRPr="006115D5">
        <w:t>signaling</w:t>
      </w:r>
      <w:proofErr w:type="spellEnd"/>
      <w:r w:rsidRPr="006115D5">
        <w:t xml:space="preserve"> in liver disease. Int J Mol Sci. </w:t>
      </w:r>
      <w:proofErr w:type="gramStart"/>
      <w:r w:rsidRPr="006115D5">
        <w:t>2016;17:30</w:t>
      </w:r>
      <w:proofErr w:type="gramEnd"/>
      <w:r w:rsidRPr="006115D5">
        <w:t>.</w:t>
      </w:r>
    </w:p>
  </w:footnote>
  <w:footnote w:id="85">
    <w:p w14:paraId="122FB9A4" w14:textId="7F7C0FF5" w:rsidR="006115D5" w:rsidRDefault="006115D5">
      <w:pPr>
        <w:pStyle w:val="FootnoteText"/>
      </w:pPr>
      <w:r>
        <w:rPr>
          <w:rStyle w:val="FootnoteReference"/>
        </w:rPr>
        <w:footnoteRef/>
      </w:r>
      <w:r>
        <w:t xml:space="preserve"> </w:t>
      </w:r>
      <w:r w:rsidRPr="006115D5">
        <w:t>Australian Product Information for GIOTRIF. Accessed 15 SEP 2022 at: https://www.ebs.tga.gov.au/ebs/picmi/picmirepository.nsf/pdf?OpenAgent&amp;id=CP-2013-PI-02417-1</w:t>
      </w:r>
    </w:p>
  </w:footnote>
  <w:footnote w:id="86">
    <w:p w14:paraId="14EFA77B" w14:textId="081C1FE3" w:rsidR="006115D5" w:rsidRDefault="006115D5">
      <w:pPr>
        <w:pStyle w:val="FootnoteText"/>
      </w:pPr>
      <w:r>
        <w:rPr>
          <w:rStyle w:val="FootnoteReference"/>
        </w:rPr>
        <w:footnoteRef/>
      </w:r>
      <w:r>
        <w:t xml:space="preserve"> </w:t>
      </w:r>
      <w:r w:rsidRPr="006115D5">
        <w:t>Australian Product Information for IRESSA. Accessed 15 SEP 2022 at: https://www.ebs.tga.gov.au/ebs/picmi/picmirepository.nsf/pdf?OpenAgent&amp;id=CP-2010-PI-05270-3</w:t>
      </w:r>
    </w:p>
  </w:footnote>
  <w:footnote w:id="87">
    <w:p w14:paraId="195ACF86" w14:textId="3F23D07D" w:rsidR="006115D5" w:rsidRDefault="006115D5">
      <w:pPr>
        <w:pStyle w:val="FootnoteText"/>
      </w:pPr>
      <w:r>
        <w:rPr>
          <w:rStyle w:val="FootnoteReference"/>
        </w:rPr>
        <w:footnoteRef/>
      </w:r>
      <w:r>
        <w:t xml:space="preserve"> </w:t>
      </w:r>
      <w:r w:rsidRPr="006115D5">
        <w:t>Australian Product Information for TARCEVA. Accessed 15 SEP 2022 at: https://www.ebs.tga.gov.au/ebs/picmi/picmirepository.nsf/pdf?OpenAgent&amp;id=CP-2010-PI-03464-3</w:t>
      </w:r>
    </w:p>
  </w:footnote>
  <w:footnote w:id="88">
    <w:p w14:paraId="083EF142" w14:textId="5EB08308" w:rsidR="00420366" w:rsidRDefault="00420366" w:rsidP="00420366">
      <w:pPr>
        <w:pStyle w:val="FootnoteText"/>
      </w:pPr>
      <w:r>
        <w:rPr>
          <w:rStyle w:val="FootnoteReference"/>
        </w:rPr>
        <w:footnoteRef/>
      </w:r>
      <w:r>
        <w:t xml:space="preserve"> Wang J, et al. The EGFR-rearranged adenocarcinoma is associated with a high rate of venous thromboembolism. Ann </w:t>
      </w:r>
      <w:proofErr w:type="spellStart"/>
      <w:r>
        <w:t>Transl</w:t>
      </w:r>
      <w:proofErr w:type="spellEnd"/>
      <w:r>
        <w:t xml:space="preserve"> Med. 2019 Dec;7(23):724</w:t>
      </w:r>
    </w:p>
  </w:footnote>
  <w:footnote w:id="89">
    <w:p w14:paraId="50FF370C" w14:textId="605D73D3" w:rsidR="00420366" w:rsidRDefault="00420366">
      <w:pPr>
        <w:pStyle w:val="FootnoteText"/>
      </w:pPr>
      <w:r>
        <w:rPr>
          <w:rStyle w:val="FootnoteReference"/>
        </w:rPr>
        <w:footnoteRef/>
      </w:r>
      <w:r>
        <w:t xml:space="preserve"> </w:t>
      </w:r>
      <w:proofErr w:type="spellStart"/>
      <w:r w:rsidRPr="00420366">
        <w:t>Roopkumar</w:t>
      </w:r>
      <w:proofErr w:type="spellEnd"/>
      <w:r w:rsidRPr="00420366">
        <w:t xml:space="preserve"> J, </w:t>
      </w:r>
      <w:r>
        <w:t>et al</w:t>
      </w:r>
      <w:r w:rsidRPr="00420366">
        <w:t xml:space="preserve">. Risk of thromboembolism in patients with ALK- and EGFR-mutant lung cancer: A cohort study. J </w:t>
      </w:r>
      <w:proofErr w:type="spellStart"/>
      <w:r w:rsidRPr="00420366">
        <w:t>Thromb</w:t>
      </w:r>
      <w:proofErr w:type="spellEnd"/>
      <w:r w:rsidRPr="00420366">
        <w:t xml:space="preserve"> </w:t>
      </w:r>
      <w:proofErr w:type="spellStart"/>
      <w:r w:rsidRPr="00420366">
        <w:t>Haemost</w:t>
      </w:r>
      <w:proofErr w:type="spellEnd"/>
      <w:r w:rsidRPr="00420366">
        <w:t xml:space="preserve">. 2021 Mar;19(3):822-829. </w:t>
      </w:r>
      <w:proofErr w:type="spellStart"/>
      <w:r w:rsidRPr="00420366">
        <w:t>Epub</w:t>
      </w:r>
      <w:proofErr w:type="spellEnd"/>
      <w:r w:rsidRPr="00420366">
        <w:t xml:space="preserve"> 2021 Jan 24. Erratum in: J </w:t>
      </w:r>
      <w:proofErr w:type="spellStart"/>
      <w:r w:rsidRPr="00420366">
        <w:t>Thromb</w:t>
      </w:r>
      <w:proofErr w:type="spellEnd"/>
      <w:r w:rsidRPr="00420366">
        <w:t xml:space="preserve"> </w:t>
      </w:r>
      <w:proofErr w:type="spellStart"/>
      <w:r w:rsidRPr="00420366">
        <w:t>Haemost</w:t>
      </w:r>
      <w:proofErr w:type="spellEnd"/>
      <w:r w:rsidRPr="00420366">
        <w:t xml:space="preserve">. 2021 Nov;19(11):2902. </w:t>
      </w:r>
    </w:p>
  </w:footnote>
  <w:footnote w:id="90">
    <w:p w14:paraId="6880E9F2" w14:textId="05A4A48E" w:rsidR="00420366" w:rsidRDefault="00420366">
      <w:pPr>
        <w:pStyle w:val="FootnoteText"/>
      </w:pPr>
      <w:r>
        <w:rPr>
          <w:rStyle w:val="FootnoteReference"/>
        </w:rPr>
        <w:footnoteRef/>
      </w:r>
      <w:r>
        <w:t xml:space="preserve"> </w:t>
      </w:r>
      <w:proofErr w:type="spellStart"/>
      <w:r w:rsidRPr="00420366">
        <w:t>Jatkoe</w:t>
      </w:r>
      <w:proofErr w:type="spellEnd"/>
      <w:r w:rsidRPr="00420366">
        <w:t xml:space="preserve"> T, </w:t>
      </w:r>
      <w:r>
        <w:t>et al</w:t>
      </w:r>
      <w:r w:rsidRPr="00420366">
        <w:t xml:space="preserve">. Clinical Validation of Companion Diagnostics for the Selection of Patients with Non-Small Cell Lung Cancer </w:t>
      </w:r>
      <w:proofErr w:type="spellStart"/>
      <w:r w:rsidRPr="00420366">
        <w:t>Tumors</w:t>
      </w:r>
      <w:proofErr w:type="spellEnd"/>
      <w:r w:rsidRPr="00420366">
        <w:t xml:space="preserve"> </w:t>
      </w:r>
      <w:proofErr w:type="spellStart"/>
      <w:r w:rsidRPr="00420366">
        <w:t>Harboring</w:t>
      </w:r>
      <w:proofErr w:type="spellEnd"/>
      <w:r w:rsidRPr="00420366">
        <w:t xml:space="preserve"> Epidermal Growth Factor Receptor Exon 20 Insertion Mutations for Treatment with </w:t>
      </w:r>
      <w:proofErr w:type="spellStart"/>
      <w:r w:rsidRPr="00420366">
        <w:t>Amivantamab</w:t>
      </w:r>
      <w:proofErr w:type="spellEnd"/>
      <w:r w:rsidRPr="00420366">
        <w:t xml:space="preserve">. J Mol </w:t>
      </w:r>
      <w:proofErr w:type="spellStart"/>
      <w:r w:rsidRPr="00420366">
        <w:t>Diagn</w:t>
      </w:r>
      <w:proofErr w:type="spellEnd"/>
      <w:r w:rsidRPr="00420366">
        <w:t xml:space="preserve">. 2022 Aug </w:t>
      </w:r>
      <w:proofErr w:type="gramStart"/>
      <w:r w:rsidRPr="00420366">
        <w:t>10:S</w:t>
      </w:r>
      <w:proofErr w:type="gramEnd"/>
      <w:r w:rsidRPr="00420366">
        <w:t>1525-1578(22)00202-1</w:t>
      </w:r>
    </w:p>
  </w:footnote>
  <w:footnote w:id="91">
    <w:p w14:paraId="5B804DC6" w14:textId="6DCC1842" w:rsidR="00420366" w:rsidRDefault="00420366">
      <w:pPr>
        <w:pStyle w:val="FootnoteText"/>
      </w:pPr>
      <w:r>
        <w:rPr>
          <w:rStyle w:val="FootnoteReference"/>
        </w:rPr>
        <w:footnoteRef/>
      </w:r>
      <w:r>
        <w:t xml:space="preserve"> </w:t>
      </w:r>
      <w:r w:rsidRPr="00420366">
        <w:t xml:space="preserve">FDA companion diagnostic approval page. Accessed 14 </w:t>
      </w:r>
      <w:r>
        <w:t>September</w:t>
      </w:r>
      <w:r w:rsidRPr="00420366">
        <w:t xml:space="preserve"> 2022 at: https://www.accessdata.fda.gov/scripts/cdrh/cfdocs/cfpma/pma.cfm?id=P200010S001</w:t>
      </w:r>
    </w:p>
  </w:footnote>
  <w:footnote w:id="92">
    <w:p w14:paraId="0C9928C5" w14:textId="65414B41" w:rsidR="00C83C50" w:rsidRDefault="00C83C50" w:rsidP="00B8408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C3481D"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5087FBC"/>
    <w:multiLevelType w:val="hybridMultilevel"/>
    <w:tmpl w:val="E65A9B0C"/>
    <w:lvl w:ilvl="0" w:tplc="AD867892">
      <w:start w:val="1"/>
      <w:numFmt w:val="bullet"/>
      <w:lvlText w:val=""/>
      <w:lvlJc w:val="left"/>
      <w:pPr>
        <w:ind w:left="1145"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AEF08D6"/>
    <w:multiLevelType w:val="hybridMultilevel"/>
    <w:tmpl w:val="6582BEA6"/>
    <w:lvl w:ilvl="0" w:tplc="A4ACFE2A">
      <w:start w:val="1"/>
      <w:numFmt w:val="bullet"/>
      <w:pStyle w:val="Tabletextbulleted"/>
      <w:lvlText w:val=""/>
      <w:lvlJc w:val="left"/>
      <w:pPr>
        <w:ind w:left="360" w:hanging="360"/>
      </w:pPr>
      <w:rPr>
        <w:rFonts w:ascii="Symbol" w:hAnsi="Symbol" w:hint="default"/>
      </w:rPr>
    </w:lvl>
    <w:lvl w:ilvl="1" w:tplc="36A0E50C">
      <w:numFmt w:val="bullet"/>
      <w:lvlText w:val="•"/>
      <w:lvlJc w:val="left"/>
      <w:pPr>
        <w:ind w:left="1080" w:hanging="360"/>
      </w:pPr>
      <w:rPr>
        <w:rFonts w:ascii="Cambria" w:eastAsia="Cambria" w:hAnsi="Cambria"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288B1ACC"/>
    <w:multiLevelType w:val="hybridMultilevel"/>
    <w:tmpl w:val="4F8AEB22"/>
    <w:lvl w:ilvl="0" w:tplc="AD867892">
      <w:start w:val="1"/>
      <w:numFmt w:val="bullet"/>
      <w:lvlText w:val=""/>
      <w:lvlJc w:val="left"/>
      <w:pPr>
        <w:ind w:left="114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416FAE"/>
    <w:multiLevelType w:val="hybridMultilevel"/>
    <w:tmpl w:val="572214D6"/>
    <w:lvl w:ilvl="0" w:tplc="AD867892">
      <w:start w:val="1"/>
      <w:numFmt w:val="bullet"/>
      <w:lvlText w:val=""/>
      <w:lvlJc w:val="left"/>
      <w:pPr>
        <w:ind w:left="114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2681938"/>
    <w:multiLevelType w:val="hybridMultilevel"/>
    <w:tmpl w:val="A34C2012"/>
    <w:lvl w:ilvl="0" w:tplc="1D8001F0">
      <w:start w:val="1"/>
      <w:numFmt w:val="decimal"/>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2E1248D"/>
    <w:multiLevelType w:val="hybridMultilevel"/>
    <w:tmpl w:val="F920D4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46947835">
    <w:abstractNumId w:val="4"/>
  </w:num>
  <w:num w:numId="2" w16cid:durableId="193351035">
    <w:abstractNumId w:val="1"/>
  </w:num>
  <w:num w:numId="3" w16cid:durableId="1356692583">
    <w:abstractNumId w:val="3"/>
  </w:num>
  <w:num w:numId="4" w16cid:durableId="205996184">
    <w:abstractNumId w:val="10"/>
  </w:num>
  <w:num w:numId="5" w16cid:durableId="1817607933">
    <w:abstractNumId w:val="6"/>
  </w:num>
  <w:num w:numId="6" w16cid:durableId="1159928818">
    <w:abstractNumId w:val="9"/>
  </w:num>
  <w:num w:numId="7" w16cid:durableId="151835007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771510890">
    <w:abstractNumId w:val="11"/>
  </w:num>
  <w:num w:numId="9" w16cid:durableId="665670075">
    <w:abstractNumId w:val="12"/>
  </w:num>
  <w:num w:numId="10" w16cid:durableId="1815754984">
    <w:abstractNumId w:val="5"/>
  </w:num>
  <w:num w:numId="11" w16cid:durableId="1151168886">
    <w:abstractNumId w:val="0"/>
  </w:num>
  <w:num w:numId="12" w16cid:durableId="105465253">
    <w:abstractNumId w:val="8"/>
  </w:num>
  <w:num w:numId="13" w16cid:durableId="1586768993">
    <w:abstractNumId w:val="7"/>
  </w:num>
  <w:num w:numId="14" w16cid:durableId="1099568406">
    <w:abstractNumId w:val="2"/>
  </w:num>
  <w:num w:numId="15" w16cid:durableId="15438622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241BD"/>
    <w:rsid w:val="0005737D"/>
    <w:rsid w:val="00060590"/>
    <w:rsid w:val="0006496E"/>
    <w:rsid w:val="00077844"/>
    <w:rsid w:val="000828D0"/>
    <w:rsid w:val="00094B81"/>
    <w:rsid w:val="000975AA"/>
    <w:rsid w:val="000C361D"/>
    <w:rsid w:val="000D7934"/>
    <w:rsid w:val="000E6D21"/>
    <w:rsid w:val="000F683B"/>
    <w:rsid w:val="00101FB1"/>
    <w:rsid w:val="0012473C"/>
    <w:rsid w:val="0013132F"/>
    <w:rsid w:val="00135113"/>
    <w:rsid w:val="0013528C"/>
    <w:rsid w:val="0015614F"/>
    <w:rsid w:val="00165D19"/>
    <w:rsid w:val="00165D28"/>
    <w:rsid w:val="00175CD8"/>
    <w:rsid w:val="0018456E"/>
    <w:rsid w:val="001C1C2E"/>
    <w:rsid w:val="001C5974"/>
    <w:rsid w:val="001D0DF3"/>
    <w:rsid w:val="001D71B5"/>
    <w:rsid w:val="0020369B"/>
    <w:rsid w:val="00204B1C"/>
    <w:rsid w:val="00226F39"/>
    <w:rsid w:val="00241B60"/>
    <w:rsid w:val="00250A66"/>
    <w:rsid w:val="002715E6"/>
    <w:rsid w:val="00275CA8"/>
    <w:rsid w:val="00286663"/>
    <w:rsid w:val="002C1449"/>
    <w:rsid w:val="002C33D7"/>
    <w:rsid w:val="002C5E29"/>
    <w:rsid w:val="002D7127"/>
    <w:rsid w:val="003008D8"/>
    <w:rsid w:val="00303959"/>
    <w:rsid w:val="00312AC3"/>
    <w:rsid w:val="00314430"/>
    <w:rsid w:val="00324B33"/>
    <w:rsid w:val="00325187"/>
    <w:rsid w:val="00346EC2"/>
    <w:rsid w:val="0035444D"/>
    <w:rsid w:val="00377556"/>
    <w:rsid w:val="00395140"/>
    <w:rsid w:val="003B149C"/>
    <w:rsid w:val="003D5BAE"/>
    <w:rsid w:val="003D6EA9"/>
    <w:rsid w:val="003D71A1"/>
    <w:rsid w:val="003F423C"/>
    <w:rsid w:val="0041216F"/>
    <w:rsid w:val="0041688F"/>
    <w:rsid w:val="00420366"/>
    <w:rsid w:val="0042376F"/>
    <w:rsid w:val="004246B8"/>
    <w:rsid w:val="00433318"/>
    <w:rsid w:val="00444E7C"/>
    <w:rsid w:val="004655E4"/>
    <w:rsid w:val="00477C4E"/>
    <w:rsid w:val="00491A55"/>
    <w:rsid w:val="004B3081"/>
    <w:rsid w:val="004B5AD4"/>
    <w:rsid w:val="004E32FE"/>
    <w:rsid w:val="004F3071"/>
    <w:rsid w:val="004F49DD"/>
    <w:rsid w:val="00500206"/>
    <w:rsid w:val="0050783A"/>
    <w:rsid w:val="0051489C"/>
    <w:rsid w:val="00535DFE"/>
    <w:rsid w:val="00540166"/>
    <w:rsid w:val="00543645"/>
    <w:rsid w:val="005522B8"/>
    <w:rsid w:val="00557B80"/>
    <w:rsid w:val="00562F42"/>
    <w:rsid w:val="00566529"/>
    <w:rsid w:val="0056766D"/>
    <w:rsid w:val="00583D65"/>
    <w:rsid w:val="0058575E"/>
    <w:rsid w:val="0058783C"/>
    <w:rsid w:val="005911AE"/>
    <w:rsid w:val="0059313A"/>
    <w:rsid w:val="0059317A"/>
    <w:rsid w:val="005B023F"/>
    <w:rsid w:val="005C5AA2"/>
    <w:rsid w:val="005D2089"/>
    <w:rsid w:val="005D7514"/>
    <w:rsid w:val="005E1A7B"/>
    <w:rsid w:val="006115D5"/>
    <w:rsid w:val="006277A1"/>
    <w:rsid w:val="006351D9"/>
    <w:rsid w:val="00637130"/>
    <w:rsid w:val="00637E5F"/>
    <w:rsid w:val="00637F0E"/>
    <w:rsid w:val="006423F2"/>
    <w:rsid w:val="00651AD4"/>
    <w:rsid w:val="00692CCD"/>
    <w:rsid w:val="00695F09"/>
    <w:rsid w:val="006A1F0B"/>
    <w:rsid w:val="006A277A"/>
    <w:rsid w:val="006B471E"/>
    <w:rsid w:val="006C4442"/>
    <w:rsid w:val="006D6B44"/>
    <w:rsid w:val="006E6FCB"/>
    <w:rsid w:val="006F7B86"/>
    <w:rsid w:val="006F7F2F"/>
    <w:rsid w:val="007072A1"/>
    <w:rsid w:val="00710BC5"/>
    <w:rsid w:val="0072003B"/>
    <w:rsid w:val="00731FCC"/>
    <w:rsid w:val="007357B9"/>
    <w:rsid w:val="007452E8"/>
    <w:rsid w:val="00746990"/>
    <w:rsid w:val="00750D70"/>
    <w:rsid w:val="00793272"/>
    <w:rsid w:val="007B04DE"/>
    <w:rsid w:val="007C57BC"/>
    <w:rsid w:val="007D1081"/>
    <w:rsid w:val="007D4138"/>
    <w:rsid w:val="007E1216"/>
    <w:rsid w:val="007F05C8"/>
    <w:rsid w:val="007F0A77"/>
    <w:rsid w:val="007F2693"/>
    <w:rsid w:val="007F50D3"/>
    <w:rsid w:val="0080201A"/>
    <w:rsid w:val="0081175E"/>
    <w:rsid w:val="008329DB"/>
    <w:rsid w:val="008361C5"/>
    <w:rsid w:val="0083628F"/>
    <w:rsid w:val="00837AB9"/>
    <w:rsid w:val="00850637"/>
    <w:rsid w:val="00854D98"/>
    <w:rsid w:val="00860B29"/>
    <w:rsid w:val="008804CF"/>
    <w:rsid w:val="008964B3"/>
    <w:rsid w:val="008B3A54"/>
    <w:rsid w:val="008B70AB"/>
    <w:rsid w:val="008C49C6"/>
    <w:rsid w:val="008C754C"/>
    <w:rsid w:val="008D6A54"/>
    <w:rsid w:val="008E1D53"/>
    <w:rsid w:val="008F30AE"/>
    <w:rsid w:val="0090605E"/>
    <w:rsid w:val="009108CE"/>
    <w:rsid w:val="00915A9F"/>
    <w:rsid w:val="00930D58"/>
    <w:rsid w:val="0096609F"/>
    <w:rsid w:val="00966EF1"/>
    <w:rsid w:val="0098350E"/>
    <w:rsid w:val="009836EF"/>
    <w:rsid w:val="00996FA5"/>
    <w:rsid w:val="009C3612"/>
    <w:rsid w:val="009C683A"/>
    <w:rsid w:val="009D0E03"/>
    <w:rsid w:val="009E6F8C"/>
    <w:rsid w:val="009F54D9"/>
    <w:rsid w:val="00A00613"/>
    <w:rsid w:val="00A01C56"/>
    <w:rsid w:val="00A15589"/>
    <w:rsid w:val="00A358E7"/>
    <w:rsid w:val="00A43E52"/>
    <w:rsid w:val="00A51A2D"/>
    <w:rsid w:val="00A57E35"/>
    <w:rsid w:val="00A62705"/>
    <w:rsid w:val="00A63D9B"/>
    <w:rsid w:val="00A704EF"/>
    <w:rsid w:val="00A823D4"/>
    <w:rsid w:val="00A93DC6"/>
    <w:rsid w:val="00AB7CBF"/>
    <w:rsid w:val="00AD46AB"/>
    <w:rsid w:val="00AE1947"/>
    <w:rsid w:val="00B13BBF"/>
    <w:rsid w:val="00B25759"/>
    <w:rsid w:val="00B46BC0"/>
    <w:rsid w:val="00B54C76"/>
    <w:rsid w:val="00B55681"/>
    <w:rsid w:val="00B84082"/>
    <w:rsid w:val="00B967FF"/>
    <w:rsid w:val="00BA7F7D"/>
    <w:rsid w:val="00BB1C14"/>
    <w:rsid w:val="00BB4046"/>
    <w:rsid w:val="00BB575B"/>
    <w:rsid w:val="00BD07DF"/>
    <w:rsid w:val="00BD5DBD"/>
    <w:rsid w:val="00BF4638"/>
    <w:rsid w:val="00C07551"/>
    <w:rsid w:val="00C104AA"/>
    <w:rsid w:val="00C22214"/>
    <w:rsid w:val="00C3481D"/>
    <w:rsid w:val="00C407AB"/>
    <w:rsid w:val="00C5708D"/>
    <w:rsid w:val="00C570FF"/>
    <w:rsid w:val="00C6574E"/>
    <w:rsid w:val="00C816C6"/>
    <w:rsid w:val="00C83C50"/>
    <w:rsid w:val="00CA01CE"/>
    <w:rsid w:val="00CA1E0B"/>
    <w:rsid w:val="00CB0550"/>
    <w:rsid w:val="00CB66B2"/>
    <w:rsid w:val="00CE7537"/>
    <w:rsid w:val="00CF3267"/>
    <w:rsid w:val="00CF6B9B"/>
    <w:rsid w:val="00D01DDB"/>
    <w:rsid w:val="00D078BE"/>
    <w:rsid w:val="00D13F8A"/>
    <w:rsid w:val="00D5155A"/>
    <w:rsid w:val="00D62877"/>
    <w:rsid w:val="00D63760"/>
    <w:rsid w:val="00D679BE"/>
    <w:rsid w:val="00D80C2F"/>
    <w:rsid w:val="00D918D5"/>
    <w:rsid w:val="00D93FD8"/>
    <w:rsid w:val="00D94C8E"/>
    <w:rsid w:val="00DB192C"/>
    <w:rsid w:val="00DB1CF3"/>
    <w:rsid w:val="00DB25DC"/>
    <w:rsid w:val="00DC56B6"/>
    <w:rsid w:val="00DE01D1"/>
    <w:rsid w:val="00DF5BFE"/>
    <w:rsid w:val="00E14DD2"/>
    <w:rsid w:val="00E17E47"/>
    <w:rsid w:val="00E47E0C"/>
    <w:rsid w:val="00E51813"/>
    <w:rsid w:val="00E53D3F"/>
    <w:rsid w:val="00E5579B"/>
    <w:rsid w:val="00E60149"/>
    <w:rsid w:val="00E73547"/>
    <w:rsid w:val="00E93887"/>
    <w:rsid w:val="00E945AB"/>
    <w:rsid w:val="00EB4135"/>
    <w:rsid w:val="00EF2BDD"/>
    <w:rsid w:val="00F02AEC"/>
    <w:rsid w:val="00F157FC"/>
    <w:rsid w:val="00F30AF3"/>
    <w:rsid w:val="00F41E50"/>
    <w:rsid w:val="00F46333"/>
    <w:rsid w:val="00F55881"/>
    <w:rsid w:val="00F603C2"/>
    <w:rsid w:val="00F657B4"/>
    <w:rsid w:val="00F865A7"/>
    <w:rsid w:val="00FA0754"/>
    <w:rsid w:val="00FA0F35"/>
    <w:rsid w:val="00FA1BC9"/>
    <w:rsid w:val="00FA49C3"/>
    <w:rsid w:val="00FB236E"/>
    <w:rsid w:val="00FB294F"/>
    <w:rsid w:val="00FC6F56"/>
    <w:rsid w:val="00FE08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3D5BA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3D5BA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F05C8"/>
    <w:pPr>
      <w:keepNext/>
      <w:keepLines/>
      <w:spacing w:before="40" w:after="0" w:line="240" w:lineRule="atLeas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Quotation">
    <w:name w:val="Quotation"/>
    <w:basedOn w:val="Normal"/>
    <w:next w:val="Normal"/>
    <w:uiPriority w:val="4"/>
    <w:qFormat/>
    <w:rsid w:val="00651AD4"/>
    <w:pPr>
      <w:spacing w:before="120" w:after="180" w:line="240" w:lineRule="atLeast"/>
      <w:ind w:left="425"/>
    </w:pPr>
    <w:rPr>
      <w:rFonts w:eastAsiaTheme="minorEastAsia"/>
      <w:sz w:val="20"/>
      <w:szCs w:val="22"/>
      <w:lang w:eastAsia="zh-TW"/>
    </w:rPr>
  </w:style>
  <w:style w:type="paragraph" w:styleId="EndnoteText">
    <w:name w:val="endnote text"/>
    <w:basedOn w:val="Normal"/>
    <w:link w:val="EndnoteTextChar"/>
    <w:uiPriority w:val="99"/>
    <w:unhideWhenUsed/>
    <w:rsid w:val="00651AD4"/>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rsid w:val="00651AD4"/>
    <w:rPr>
      <w:rFonts w:ascii="Cambria" w:eastAsia="Cambria" w:hAnsi="Cambria" w:cs="Times New Roman"/>
    </w:rPr>
  </w:style>
  <w:style w:type="character" w:styleId="EndnoteReference">
    <w:name w:val="endnote reference"/>
    <w:basedOn w:val="DefaultParagraphFont"/>
    <w:uiPriority w:val="99"/>
    <w:unhideWhenUsed/>
    <w:rsid w:val="00651AD4"/>
    <w:rPr>
      <w:vertAlign w:val="superscript"/>
    </w:rPr>
  </w:style>
  <w:style w:type="paragraph" w:customStyle="1" w:styleId="Tabletext0">
    <w:name w:val="Table text"/>
    <w:basedOn w:val="Normal"/>
    <w:link w:val="TabletextChar"/>
    <w:qFormat/>
    <w:rsid w:val="004E32FE"/>
    <w:pPr>
      <w:spacing w:after="0" w:line="240" w:lineRule="auto"/>
    </w:pPr>
    <w:rPr>
      <w:rFonts w:eastAsia="Cambria" w:cs="Times New Roman"/>
      <w:sz w:val="19"/>
      <w:szCs w:val="22"/>
    </w:rPr>
  </w:style>
  <w:style w:type="character" w:customStyle="1" w:styleId="TabletextChar">
    <w:name w:val="Table text Char"/>
    <w:basedOn w:val="DefaultParagraphFont"/>
    <w:link w:val="Tabletext0"/>
    <w:rsid w:val="004E32FE"/>
    <w:rPr>
      <w:rFonts w:ascii="Cambria" w:eastAsia="Cambria" w:hAnsi="Cambria" w:cs="Times New Roman"/>
      <w:sz w:val="19"/>
      <w:szCs w:val="22"/>
    </w:rPr>
  </w:style>
  <w:style w:type="paragraph" w:customStyle="1" w:styleId="TableCaption">
    <w:name w:val="Table Caption"/>
    <w:basedOn w:val="Normal"/>
    <w:qFormat/>
    <w:rsid w:val="004E32FE"/>
    <w:pPr>
      <w:adjustRightInd w:val="0"/>
      <w:snapToGrid w:val="0"/>
      <w:spacing w:before="180" w:after="240" w:line="240" w:lineRule="atLeast"/>
    </w:pPr>
    <w:rPr>
      <w:rFonts w:eastAsia="MS Mincho" w:cs="Times New Roman"/>
      <w:sz w:val="17"/>
      <w:lang w:eastAsia="ja-JP"/>
    </w:rPr>
  </w:style>
  <w:style w:type="paragraph" w:styleId="ListParagraph">
    <w:name w:val="List Paragraph"/>
    <w:basedOn w:val="Normal"/>
    <w:link w:val="ListParagraphChar"/>
    <w:uiPriority w:val="34"/>
    <w:qFormat/>
    <w:rsid w:val="009F54D9"/>
    <w:pPr>
      <w:adjustRightInd w:val="0"/>
      <w:snapToGrid w:val="0"/>
      <w:spacing w:before="180" w:after="180" w:line="240" w:lineRule="atLeast"/>
      <w:ind w:left="720"/>
      <w:contextualSpacing/>
    </w:pPr>
    <w:rPr>
      <w:rFonts w:eastAsia="MS Mincho" w:cs="Times New Roman"/>
      <w:lang w:eastAsia="ja-JP"/>
    </w:rPr>
  </w:style>
  <w:style w:type="character" w:customStyle="1" w:styleId="ListParagraphChar">
    <w:name w:val="List Paragraph Char"/>
    <w:basedOn w:val="DefaultParagraphFont"/>
    <w:link w:val="ListParagraph"/>
    <w:uiPriority w:val="34"/>
    <w:rsid w:val="009F54D9"/>
    <w:rPr>
      <w:rFonts w:ascii="Cambria" w:eastAsia="MS Mincho" w:hAnsi="Cambria" w:cs="Times New Roman"/>
      <w:sz w:val="22"/>
      <w:lang w:eastAsia="ja-JP"/>
    </w:rPr>
  </w:style>
  <w:style w:type="paragraph" w:customStyle="1" w:styleId="Tabletextbulleted">
    <w:name w:val="Table text (bulleted)"/>
    <w:basedOn w:val="Tabletext0"/>
    <w:uiPriority w:val="1"/>
    <w:qFormat/>
    <w:rsid w:val="00F55881"/>
    <w:pPr>
      <w:numPr>
        <w:numId w:val="10"/>
      </w:numPr>
      <w:ind w:right="170"/>
    </w:pPr>
    <w:rPr>
      <w:color w:val="000000" w:themeColor="text1"/>
      <w:szCs w:val="21"/>
      <w:lang w:eastAsia="en-AU"/>
    </w:rPr>
  </w:style>
  <w:style w:type="character" w:customStyle="1" w:styleId="Heading7Char">
    <w:name w:val="Heading 7 Char"/>
    <w:basedOn w:val="DefaultParagraphFont"/>
    <w:link w:val="Heading7"/>
    <w:uiPriority w:val="9"/>
    <w:rsid w:val="003D5BAE"/>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3D5BA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F05C8"/>
    <w:rPr>
      <w:rFonts w:asciiTheme="majorHAnsi" w:eastAsiaTheme="majorEastAsia" w:hAnsiTheme="majorHAnsi" w:cstheme="majorBidi"/>
      <w:i/>
      <w:iCs/>
      <w:color w:val="272727" w:themeColor="text1" w:themeTint="D8"/>
      <w:sz w:val="21"/>
      <w:szCs w:val="21"/>
    </w:rPr>
  </w:style>
  <w:style w:type="paragraph" w:customStyle="1" w:styleId="Bulletlist">
    <w:name w:val="Bullet list"/>
    <w:basedOn w:val="Normal"/>
    <w:link w:val="BulletlistChar"/>
    <w:qFormat/>
    <w:rsid w:val="00C104AA"/>
    <w:pPr>
      <w:numPr>
        <w:numId w:val="11"/>
      </w:numPr>
      <w:spacing w:after="180" w:line="252" w:lineRule="auto"/>
      <w:ind w:left="426" w:hanging="284"/>
    </w:pPr>
    <w:rPr>
      <w:rFonts w:eastAsia="Times New Roman" w:cs="Times New Roman"/>
      <w:snapToGrid w:val="0"/>
      <w:kern w:val="2"/>
      <w:sz w:val="23"/>
      <w:szCs w:val="24"/>
    </w:rPr>
  </w:style>
  <w:style w:type="character" w:customStyle="1" w:styleId="BulletlistChar">
    <w:name w:val="Bullet list Char"/>
    <w:basedOn w:val="DefaultParagraphFont"/>
    <w:link w:val="Bulletlist"/>
    <w:rsid w:val="00C104AA"/>
    <w:rPr>
      <w:rFonts w:ascii="Cambria" w:eastAsia="Times New Roman" w:hAnsi="Cambria" w:cs="Times New Roman"/>
      <w:snapToGrid w:val="0"/>
      <w:kern w:val="2"/>
      <w:sz w:val="23"/>
      <w:szCs w:val="24"/>
    </w:rPr>
  </w:style>
  <w:style w:type="paragraph" w:customStyle="1" w:styleId="Pharmacovigilanceplan">
    <w:name w:val="Pharmacovigilance plan"/>
    <w:basedOn w:val="Tabletext0"/>
    <w:link w:val="PharmacovigilanceplanChar"/>
    <w:qFormat/>
    <w:rsid w:val="00D93FD8"/>
    <w:pPr>
      <w:spacing w:before="20" w:after="20" w:line="252" w:lineRule="auto"/>
      <w:jc w:val="center"/>
    </w:pPr>
    <w:rPr>
      <w:rFonts w:eastAsia="Times New Roman"/>
      <w:b/>
      <w:snapToGrid w:val="0"/>
      <w:kern w:val="16"/>
      <w:szCs w:val="24"/>
    </w:rPr>
  </w:style>
  <w:style w:type="character" w:customStyle="1" w:styleId="PharmacovigilanceplanChar">
    <w:name w:val="Pharmacovigilance plan Char"/>
    <w:basedOn w:val="TabletextChar"/>
    <w:link w:val="Pharmacovigilanceplan"/>
    <w:rsid w:val="00D93FD8"/>
    <w:rPr>
      <w:rFonts w:ascii="Cambria" w:eastAsia="Times New Roman" w:hAnsi="Cambria" w:cs="Times New Roman"/>
      <w:b/>
      <w:snapToGrid w:val="0"/>
      <w:kern w:val="16"/>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64088045">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image" Target="media/image5.jpeg"/><Relationship Id="rId26" Type="http://schemas.openxmlformats.org/officeDocument/2006/relationships/hyperlink" Target="https://www.tga.gov.au/products/australian-register-therapeutic-goods-artg/consumer-medicines-information-cmi" TargetMode="External"/><Relationship Id="rId39"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oncotribune.com/storage/report/asco-2021/abstract9006/abstract9006_01.png" TargetMode="External"/><Relationship Id="rId25" Type="http://schemas.openxmlformats.org/officeDocument/2006/relationships/hyperlink" Target="https://www.tga.gov.au/products/australian-register-therapeutic-goods-artg/product-information-one" TargetMode="External"/><Relationship Id="rId33" Type="http://schemas.openxmlformats.org/officeDocument/2006/relationships/image" Target="media/image1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ga.gov.au/products/australian-register-therapeutic-goods-artg/product-information-one" TargetMode="External"/><Relationship Id="rId32" Type="http://schemas.openxmlformats.org/officeDocument/2006/relationships/image" Target="media/image13.png"/><Relationship Id="rId37" Type="http://schemas.openxmlformats.org/officeDocument/2006/relationships/header" Target="header3.xml"/><Relationship Id="rId40" Type="http://schemas.openxmlformats.org/officeDocument/2006/relationships/hyperlink" Target="https://www.tga.gov.au" TargetMode="Externa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hyperlink" Target="https://www.tga.gov.au/project-orbis" TargetMode="External"/><Relationship Id="rId28" Type="http://schemas.openxmlformats.org/officeDocument/2006/relationships/hyperlink" Target="https://www.tga.gov.au/provisional-approval-pathway-prescription-medicines" TargetMode="External"/><Relationship Id="rId36" Type="http://schemas.openxmlformats.org/officeDocument/2006/relationships/hyperlink" Target="https://www.tga.gov.au/picmi-search-facility"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9.png"/><Relationship Id="rId27" Type="http://schemas.openxmlformats.org/officeDocument/2006/relationships/hyperlink" Target="https://www.tga.gov.au/picmi-search-facility"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health-products.canada.ca/dpd-bdpp/info.do?lang=en&amp;code=101529" TargetMode="External"/><Relationship Id="rId3" Type="http://schemas.openxmlformats.org/officeDocument/2006/relationships/hyperlink" Target="https://www.accessdata.fda.gov/drugsatfda_docs/nda/2021/761210Orig1s000TOC.cfm" TargetMode="External"/><Relationship Id="rId7" Type="http://schemas.openxmlformats.org/officeDocument/2006/relationships/hyperlink" Target="https://www.ema.europa.eu/en/documents/product-information/rybrevant-epar-product-information_en.pdf" TargetMode="External"/><Relationship Id="rId2" Type="http://schemas.openxmlformats.org/officeDocument/2006/relationships/hyperlink" Target="https://www.fda.gov/news-events/press-announcements/fda-approves-first-targeted-therapy-subset-non-small-cell-lung-cancer" TargetMode="External"/><Relationship Id="rId1" Type="http://schemas.openxmlformats.org/officeDocument/2006/relationships/hyperlink" Target="https://www.tga.gov.au/project-orbis" TargetMode="External"/><Relationship Id="rId6" Type="http://schemas.openxmlformats.org/officeDocument/2006/relationships/hyperlink" Target="https://www.ema.europa.eu/en/medicines/human/EPAR/rybrevant" TargetMode="External"/><Relationship Id="rId5" Type="http://schemas.openxmlformats.org/officeDocument/2006/relationships/hyperlink" Target="https://www.accessdata.fda.gov/drugsatfda_docs/nda/2021/761210Orig1s000Approv.pdf" TargetMode="External"/><Relationship Id="rId10" Type="http://schemas.openxmlformats.org/officeDocument/2006/relationships/hyperlink" Target="https://mhraproducts4853.blob.core.windows.net/docs/a2e801d03c625e532295234fe99d408e2bac82da" TargetMode="External"/><Relationship Id="rId4" Type="http://schemas.openxmlformats.org/officeDocument/2006/relationships/hyperlink" Target="https://www.accessdata.fda.gov/drugsatfda_docs/nda/2021/761210Orig1s000MultidisciplineR.pdf" TargetMode="External"/><Relationship Id="rId9" Type="http://schemas.openxmlformats.org/officeDocument/2006/relationships/hyperlink" Target="https://pdf.hres.ca/dpd_pm/00065221.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14</TotalTime>
  <Pages>48</Pages>
  <Words>15980</Words>
  <Characters>91092</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Australian public assessment report for Rybrevant</vt:lpstr>
    </vt:vector>
  </TitlesOfParts>
  <Company>Department of Health and Aged Care, TGA</Company>
  <LinksUpToDate>false</LinksUpToDate>
  <CharactersWithSpaces>106859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Rybrevant</dc:title>
  <dc:subject>Prescription medicines</dc:subject>
  <dc:creator>Therapeutic Goods Administration</dc:creator>
  <cp:keywords/>
  <dc:description/>
  <cp:lastModifiedBy>LACK, Janet</cp:lastModifiedBy>
  <cp:revision>3</cp:revision>
  <dcterms:created xsi:type="dcterms:W3CDTF">2023-09-03T23:28:00Z</dcterms:created>
  <dcterms:modified xsi:type="dcterms:W3CDTF">2023-09-03T23:42:00Z</dcterms:modified>
</cp:coreProperties>
</file>