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C100011" w:rsidR="00F02AEC" w:rsidRPr="00215D48" w:rsidRDefault="00346EC2" w:rsidP="007452E8">
            <w:pPr>
              <w:pStyle w:val="Title"/>
            </w:pPr>
            <w:r w:rsidRPr="00346EC2">
              <w:t xml:space="preserve">Australian Public Assessment Report for </w:t>
            </w:r>
            <w:proofErr w:type="spellStart"/>
            <w:r w:rsidR="004B3A62">
              <w:t>Sotyktu</w:t>
            </w:r>
            <w:proofErr w:type="spellEnd"/>
          </w:p>
        </w:tc>
      </w:tr>
      <w:tr w:rsidR="00F02AEC" w:rsidRPr="00215D48" w14:paraId="318A40A3" w14:textId="77777777" w:rsidTr="00346EC2">
        <w:trPr>
          <w:trHeight w:val="995"/>
        </w:trPr>
        <w:tc>
          <w:tcPr>
            <w:tcW w:w="8720" w:type="dxa"/>
          </w:tcPr>
          <w:p w14:paraId="1AA7C701" w14:textId="190C96F6" w:rsidR="00F02AEC" w:rsidRPr="00215D48" w:rsidRDefault="00346EC2" w:rsidP="007452E8">
            <w:pPr>
              <w:pStyle w:val="Subtitle"/>
              <w:ind w:left="0"/>
            </w:pPr>
            <w:r w:rsidRPr="00346EC2">
              <w:t xml:space="preserve">Active ingredient/s: </w:t>
            </w:r>
            <w:proofErr w:type="spellStart"/>
            <w:r w:rsidR="004B3A62">
              <w:t>D</w:t>
            </w:r>
            <w:r w:rsidR="004B3A62" w:rsidRPr="004B3A62">
              <w:t>eucravacitinib</w:t>
            </w:r>
            <w:proofErr w:type="spellEnd"/>
          </w:p>
        </w:tc>
      </w:tr>
      <w:tr w:rsidR="00346EC2" w:rsidRPr="00215D48" w14:paraId="362CCAE4" w14:textId="77777777" w:rsidTr="007452E8">
        <w:trPr>
          <w:trHeight w:val="1916"/>
        </w:trPr>
        <w:tc>
          <w:tcPr>
            <w:tcW w:w="8720" w:type="dxa"/>
          </w:tcPr>
          <w:p w14:paraId="709C45C0" w14:textId="782DB4BC" w:rsidR="00346EC2" w:rsidRPr="00215D48" w:rsidRDefault="00346EC2" w:rsidP="007452E8">
            <w:pPr>
              <w:pStyle w:val="Subtitle"/>
              <w:ind w:left="0"/>
            </w:pPr>
            <w:r w:rsidRPr="00346EC2">
              <w:t xml:space="preserve">Sponsor: </w:t>
            </w:r>
            <w:r w:rsidR="004B3A62" w:rsidRPr="004B3A62">
              <w:t>Bristol Myers Squibb Australia P/L</w:t>
            </w:r>
          </w:p>
        </w:tc>
      </w:tr>
      <w:tr w:rsidR="00F02AEC" w:rsidRPr="00215D48" w14:paraId="37F2AA1F" w14:textId="77777777" w:rsidTr="007452E8">
        <w:tc>
          <w:tcPr>
            <w:tcW w:w="8720" w:type="dxa"/>
          </w:tcPr>
          <w:p w14:paraId="1FDE8DCD" w14:textId="7475B3EF" w:rsidR="00F02AEC" w:rsidRPr="00215D48" w:rsidRDefault="007358D3" w:rsidP="007452E8">
            <w:pPr>
              <w:pStyle w:val="Date"/>
            </w:pPr>
            <w:r>
              <w:t>August</w:t>
            </w:r>
            <w:r w:rsidR="004B3A62">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68CBF7E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73F2725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71A805A"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38390DD" w14:textId="30981C48" w:rsidR="00C63E2D"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1445504" w:history="1">
            <w:r w:rsidR="00C63E2D" w:rsidRPr="006C7226">
              <w:rPr>
                <w:rStyle w:val="Hyperlink"/>
                <w:noProof/>
              </w:rPr>
              <w:t>List of abbreviations</w:t>
            </w:r>
            <w:r w:rsidR="00C63E2D">
              <w:rPr>
                <w:noProof/>
                <w:webHidden/>
              </w:rPr>
              <w:tab/>
            </w:r>
            <w:r w:rsidR="00C63E2D">
              <w:rPr>
                <w:noProof/>
                <w:webHidden/>
              </w:rPr>
              <w:fldChar w:fldCharType="begin"/>
            </w:r>
            <w:r w:rsidR="00C63E2D">
              <w:rPr>
                <w:noProof/>
                <w:webHidden/>
              </w:rPr>
              <w:instrText xml:space="preserve"> PAGEREF _Toc141445504 \h </w:instrText>
            </w:r>
            <w:r w:rsidR="00C63E2D">
              <w:rPr>
                <w:noProof/>
                <w:webHidden/>
              </w:rPr>
            </w:r>
            <w:r w:rsidR="00C63E2D">
              <w:rPr>
                <w:noProof/>
                <w:webHidden/>
              </w:rPr>
              <w:fldChar w:fldCharType="separate"/>
            </w:r>
            <w:r w:rsidR="00F81889">
              <w:rPr>
                <w:noProof/>
                <w:webHidden/>
              </w:rPr>
              <w:t>4</w:t>
            </w:r>
            <w:r w:rsidR="00C63E2D">
              <w:rPr>
                <w:noProof/>
                <w:webHidden/>
              </w:rPr>
              <w:fldChar w:fldCharType="end"/>
            </w:r>
          </w:hyperlink>
        </w:p>
        <w:p w14:paraId="79594247" w14:textId="09C7BEBD" w:rsidR="00C63E2D" w:rsidRDefault="00556A7C">
          <w:pPr>
            <w:pStyle w:val="TOC1"/>
            <w:rPr>
              <w:rFonts w:asciiTheme="minorHAnsi" w:eastAsiaTheme="minorEastAsia" w:hAnsiTheme="minorHAnsi" w:cstheme="minorBidi"/>
              <w:b w:val="0"/>
              <w:noProof/>
              <w:color w:val="auto"/>
              <w:sz w:val="22"/>
              <w:szCs w:val="22"/>
              <w:lang w:eastAsia="en-AU"/>
            </w:rPr>
          </w:pPr>
          <w:hyperlink w:anchor="_Toc141445505" w:history="1">
            <w:r w:rsidR="00C63E2D" w:rsidRPr="006C7226">
              <w:rPr>
                <w:rStyle w:val="Hyperlink"/>
                <w:noProof/>
              </w:rPr>
              <w:t>Product submission</w:t>
            </w:r>
            <w:r w:rsidR="00C63E2D">
              <w:rPr>
                <w:noProof/>
                <w:webHidden/>
              </w:rPr>
              <w:tab/>
            </w:r>
            <w:r w:rsidR="00C63E2D">
              <w:rPr>
                <w:noProof/>
                <w:webHidden/>
              </w:rPr>
              <w:fldChar w:fldCharType="begin"/>
            </w:r>
            <w:r w:rsidR="00C63E2D">
              <w:rPr>
                <w:noProof/>
                <w:webHidden/>
              </w:rPr>
              <w:instrText xml:space="preserve"> PAGEREF _Toc141445505 \h </w:instrText>
            </w:r>
            <w:r w:rsidR="00C63E2D">
              <w:rPr>
                <w:noProof/>
                <w:webHidden/>
              </w:rPr>
            </w:r>
            <w:r w:rsidR="00C63E2D">
              <w:rPr>
                <w:noProof/>
                <w:webHidden/>
              </w:rPr>
              <w:fldChar w:fldCharType="separate"/>
            </w:r>
            <w:r w:rsidR="00F81889">
              <w:rPr>
                <w:noProof/>
                <w:webHidden/>
              </w:rPr>
              <w:t>6</w:t>
            </w:r>
            <w:r w:rsidR="00C63E2D">
              <w:rPr>
                <w:noProof/>
                <w:webHidden/>
              </w:rPr>
              <w:fldChar w:fldCharType="end"/>
            </w:r>
          </w:hyperlink>
        </w:p>
        <w:p w14:paraId="70508F62" w14:textId="7BF0655E"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06" w:history="1">
            <w:r w:rsidR="00C63E2D" w:rsidRPr="006C7226">
              <w:rPr>
                <w:rStyle w:val="Hyperlink"/>
                <w:noProof/>
                <w:lang w:eastAsia="en-AU"/>
              </w:rPr>
              <w:t>Submission details</w:t>
            </w:r>
            <w:r w:rsidR="00C63E2D">
              <w:rPr>
                <w:noProof/>
                <w:webHidden/>
              </w:rPr>
              <w:tab/>
            </w:r>
            <w:r w:rsidR="00C63E2D">
              <w:rPr>
                <w:noProof/>
                <w:webHidden/>
              </w:rPr>
              <w:fldChar w:fldCharType="begin"/>
            </w:r>
            <w:r w:rsidR="00C63E2D">
              <w:rPr>
                <w:noProof/>
                <w:webHidden/>
              </w:rPr>
              <w:instrText xml:space="preserve"> PAGEREF _Toc141445506 \h </w:instrText>
            </w:r>
            <w:r w:rsidR="00C63E2D">
              <w:rPr>
                <w:noProof/>
                <w:webHidden/>
              </w:rPr>
            </w:r>
            <w:r w:rsidR="00C63E2D">
              <w:rPr>
                <w:noProof/>
                <w:webHidden/>
              </w:rPr>
              <w:fldChar w:fldCharType="separate"/>
            </w:r>
            <w:r w:rsidR="00F81889">
              <w:rPr>
                <w:noProof/>
                <w:webHidden/>
              </w:rPr>
              <w:t>6</w:t>
            </w:r>
            <w:r w:rsidR="00C63E2D">
              <w:rPr>
                <w:noProof/>
                <w:webHidden/>
              </w:rPr>
              <w:fldChar w:fldCharType="end"/>
            </w:r>
          </w:hyperlink>
        </w:p>
        <w:p w14:paraId="5D998A87" w14:textId="04469CF4"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07" w:history="1">
            <w:r w:rsidR="00C63E2D" w:rsidRPr="006C7226">
              <w:rPr>
                <w:rStyle w:val="Hyperlink"/>
                <w:noProof/>
              </w:rPr>
              <w:t>Product background</w:t>
            </w:r>
            <w:r w:rsidR="00C63E2D">
              <w:rPr>
                <w:noProof/>
                <w:webHidden/>
              </w:rPr>
              <w:tab/>
            </w:r>
            <w:r w:rsidR="00C63E2D">
              <w:rPr>
                <w:noProof/>
                <w:webHidden/>
              </w:rPr>
              <w:fldChar w:fldCharType="begin"/>
            </w:r>
            <w:r w:rsidR="00C63E2D">
              <w:rPr>
                <w:noProof/>
                <w:webHidden/>
              </w:rPr>
              <w:instrText xml:space="preserve"> PAGEREF _Toc141445507 \h </w:instrText>
            </w:r>
            <w:r w:rsidR="00C63E2D">
              <w:rPr>
                <w:noProof/>
                <w:webHidden/>
              </w:rPr>
            </w:r>
            <w:r w:rsidR="00C63E2D">
              <w:rPr>
                <w:noProof/>
                <w:webHidden/>
              </w:rPr>
              <w:fldChar w:fldCharType="separate"/>
            </w:r>
            <w:r w:rsidR="00F81889">
              <w:rPr>
                <w:noProof/>
                <w:webHidden/>
              </w:rPr>
              <w:t>7</w:t>
            </w:r>
            <w:r w:rsidR="00C63E2D">
              <w:rPr>
                <w:noProof/>
                <w:webHidden/>
              </w:rPr>
              <w:fldChar w:fldCharType="end"/>
            </w:r>
          </w:hyperlink>
        </w:p>
        <w:p w14:paraId="6664347B" w14:textId="42188BF2" w:rsidR="00C63E2D" w:rsidRDefault="00556A7C">
          <w:pPr>
            <w:pStyle w:val="TOC3"/>
            <w:rPr>
              <w:rFonts w:asciiTheme="minorHAnsi" w:eastAsiaTheme="minorEastAsia" w:hAnsiTheme="minorHAnsi" w:cstheme="minorBidi"/>
              <w:b w:val="0"/>
              <w:noProof/>
              <w:color w:val="auto"/>
              <w:szCs w:val="22"/>
              <w:lang w:eastAsia="en-AU"/>
            </w:rPr>
          </w:pPr>
          <w:hyperlink w:anchor="_Toc141445508" w:history="1">
            <w:r w:rsidR="00C63E2D" w:rsidRPr="006C7226">
              <w:rPr>
                <w:rStyle w:val="Hyperlink"/>
                <w:noProof/>
              </w:rPr>
              <w:t>Condition</w:t>
            </w:r>
            <w:r w:rsidR="00C63E2D">
              <w:rPr>
                <w:noProof/>
                <w:webHidden/>
              </w:rPr>
              <w:tab/>
            </w:r>
            <w:r w:rsidR="00C63E2D">
              <w:rPr>
                <w:noProof/>
                <w:webHidden/>
              </w:rPr>
              <w:fldChar w:fldCharType="begin"/>
            </w:r>
            <w:r w:rsidR="00C63E2D">
              <w:rPr>
                <w:noProof/>
                <w:webHidden/>
              </w:rPr>
              <w:instrText xml:space="preserve"> PAGEREF _Toc141445508 \h </w:instrText>
            </w:r>
            <w:r w:rsidR="00C63E2D">
              <w:rPr>
                <w:noProof/>
                <w:webHidden/>
              </w:rPr>
            </w:r>
            <w:r w:rsidR="00C63E2D">
              <w:rPr>
                <w:noProof/>
                <w:webHidden/>
              </w:rPr>
              <w:fldChar w:fldCharType="separate"/>
            </w:r>
            <w:r w:rsidR="00F81889">
              <w:rPr>
                <w:noProof/>
                <w:webHidden/>
              </w:rPr>
              <w:t>8</w:t>
            </w:r>
            <w:r w:rsidR="00C63E2D">
              <w:rPr>
                <w:noProof/>
                <w:webHidden/>
              </w:rPr>
              <w:fldChar w:fldCharType="end"/>
            </w:r>
          </w:hyperlink>
        </w:p>
        <w:p w14:paraId="2D3E51EA" w14:textId="074BBB19" w:rsidR="00C63E2D" w:rsidRDefault="00556A7C">
          <w:pPr>
            <w:pStyle w:val="TOC3"/>
            <w:rPr>
              <w:rFonts w:asciiTheme="minorHAnsi" w:eastAsiaTheme="minorEastAsia" w:hAnsiTheme="minorHAnsi" w:cstheme="minorBidi"/>
              <w:b w:val="0"/>
              <w:noProof/>
              <w:color w:val="auto"/>
              <w:szCs w:val="22"/>
              <w:lang w:eastAsia="en-AU"/>
            </w:rPr>
          </w:pPr>
          <w:hyperlink w:anchor="_Toc141445509" w:history="1">
            <w:r w:rsidR="00C63E2D" w:rsidRPr="006C7226">
              <w:rPr>
                <w:rStyle w:val="Hyperlink"/>
                <w:noProof/>
              </w:rPr>
              <w:t>Current treatment options</w:t>
            </w:r>
            <w:r w:rsidR="00C63E2D">
              <w:rPr>
                <w:noProof/>
                <w:webHidden/>
              </w:rPr>
              <w:tab/>
            </w:r>
            <w:r w:rsidR="00C63E2D">
              <w:rPr>
                <w:noProof/>
                <w:webHidden/>
              </w:rPr>
              <w:fldChar w:fldCharType="begin"/>
            </w:r>
            <w:r w:rsidR="00C63E2D">
              <w:rPr>
                <w:noProof/>
                <w:webHidden/>
              </w:rPr>
              <w:instrText xml:space="preserve"> PAGEREF _Toc141445509 \h </w:instrText>
            </w:r>
            <w:r w:rsidR="00C63E2D">
              <w:rPr>
                <w:noProof/>
                <w:webHidden/>
              </w:rPr>
            </w:r>
            <w:r w:rsidR="00C63E2D">
              <w:rPr>
                <w:noProof/>
                <w:webHidden/>
              </w:rPr>
              <w:fldChar w:fldCharType="separate"/>
            </w:r>
            <w:r w:rsidR="00F81889">
              <w:rPr>
                <w:noProof/>
                <w:webHidden/>
              </w:rPr>
              <w:t>8</w:t>
            </w:r>
            <w:r w:rsidR="00C63E2D">
              <w:rPr>
                <w:noProof/>
                <w:webHidden/>
              </w:rPr>
              <w:fldChar w:fldCharType="end"/>
            </w:r>
          </w:hyperlink>
        </w:p>
        <w:p w14:paraId="4AD941D1" w14:textId="67238F43"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10" w:history="1">
            <w:r w:rsidR="00C63E2D" w:rsidRPr="006C7226">
              <w:rPr>
                <w:rStyle w:val="Hyperlink"/>
                <w:noProof/>
              </w:rPr>
              <w:t>Regulatory status</w:t>
            </w:r>
            <w:r w:rsidR="00C63E2D">
              <w:rPr>
                <w:noProof/>
                <w:webHidden/>
              </w:rPr>
              <w:tab/>
            </w:r>
            <w:r w:rsidR="00C63E2D">
              <w:rPr>
                <w:noProof/>
                <w:webHidden/>
              </w:rPr>
              <w:fldChar w:fldCharType="begin"/>
            </w:r>
            <w:r w:rsidR="00C63E2D">
              <w:rPr>
                <w:noProof/>
                <w:webHidden/>
              </w:rPr>
              <w:instrText xml:space="preserve"> PAGEREF _Toc141445510 \h </w:instrText>
            </w:r>
            <w:r w:rsidR="00C63E2D">
              <w:rPr>
                <w:noProof/>
                <w:webHidden/>
              </w:rPr>
            </w:r>
            <w:r w:rsidR="00C63E2D">
              <w:rPr>
                <w:noProof/>
                <w:webHidden/>
              </w:rPr>
              <w:fldChar w:fldCharType="separate"/>
            </w:r>
            <w:r w:rsidR="00F81889">
              <w:rPr>
                <w:noProof/>
                <w:webHidden/>
              </w:rPr>
              <w:t>9</w:t>
            </w:r>
            <w:r w:rsidR="00C63E2D">
              <w:rPr>
                <w:noProof/>
                <w:webHidden/>
              </w:rPr>
              <w:fldChar w:fldCharType="end"/>
            </w:r>
          </w:hyperlink>
        </w:p>
        <w:p w14:paraId="0BBED787" w14:textId="0F8C819B"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11" w:history="1">
            <w:r w:rsidR="00C63E2D" w:rsidRPr="006C7226">
              <w:rPr>
                <w:rStyle w:val="Hyperlink"/>
                <w:noProof/>
              </w:rPr>
              <w:t>Product Information</w:t>
            </w:r>
            <w:r w:rsidR="00C63E2D">
              <w:rPr>
                <w:noProof/>
                <w:webHidden/>
              </w:rPr>
              <w:tab/>
            </w:r>
            <w:r w:rsidR="00C63E2D">
              <w:rPr>
                <w:noProof/>
                <w:webHidden/>
              </w:rPr>
              <w:fldChar w:fldCharType="begin"/>
            </w:r>
            <w:r w:rsidR="00C63E2D">
              <w:rPr>
                <w:noProof/>
                <w:webHidden/>
              </w:rPr>
              <w:instrText xml:space="preserve"> PAGEREF _Toc141445511 \h </w:instrText>
            </w:r>
            <w:r w:rsidR="00C63E2D">
              <w:rPr>
                <w:noProof/>
                <w:webHidden/>
              </w:rPr>
            </w:r>
            <w:r w:rsidR="00C63E2D">
              <w:rPr>
                <w:noProof/>
                <w:webHidden/>
              </w:rPr>
              <w:fldChar w:fldCharType="separate"/>
            </w:r>
            <w:r w:rsidR="00F81889">
              <w:rPr>
                <w:noProof/>
                <w:webHidden/>
              </w:rPr>
              <w:t>10</w:t>
            </w:r>
            <w:r w:rsidR="00C63E2D">
              <w:rPr>
                <w:noProof/>
                <w:webHidden/>
              </w:rPr>
              <w:fldChar w:fldCharType="end"/>
            </w:r>
          </w:hyperlink>
        </w:p>
        <w:p w14:paraId="335F1F66" w14:textId="43363B30" w:rsidR="00C63E2D" w:rsidRDefault="00556A7C">
          <w:pPr>
            <w:pStyle w:val="TOC1"/>
            <w:rPr>
              <w:rFonts w:asciiTheme="minorHAnsi" w:eastAsiaTheme="minorEastAsia" w:hAnsiTheme="minorHAnsi" w:cstheme="minorBidi"/>
              <w:b w:val="0"/>
              <w:noProof/>
              <w:color w:val="auto"/>
              <w:sz w:val="22"/>
              <w:szCs w:val="22"/>
              <w:lang w:eastAsia="en-AU"/>
            </w:rPr>
          </w:pPr>
          <w:hyperlink w:anchor="_Toc141445512" w:history="1">
            <w:r w:rsidR="00C63E2D" w:rsidRPr="006C7226">
              <w:rPr>
                <w:rStyle w:val="Hyperlink"/>
                <w:noProof/>
              </w:rPr>
              <w:t>Registration timeline</w:t>
            </w:r>
            <w:r w:rsidR="00C63E2D">
              <w:rPr>
                <w:noProof/>
                <w:webHidden/>
              </w:rPr>
              <w:tab/>
            </w:r>
            <w:r w:rsidR="00C63E2D">
              <w:rPr>
                <w:noProof/>
                <w:webHidden/>
              </w:rPr>
              <w:fldChar w:fldCharType="begin"/>
            </w:r>
            <w:r w:rsidR="00C63E2D">
              <w:rPr>
                <w:noProof/>
                <w:webHidden/>
              </w:rPr>
              <w:instrText xml:space="preserve"> PAGEREF _Toc141445512 \h </w:instrText>
            </w:r>
            <w:r w:rsidR="00C63E2D">
              <w:rPr>
                <w:noProof/>
                <w:webHidden/>
              </w:rPr>
            </w:r>
            <w:r w:rsidR="00C63E2D">
              <w:rPr>
                <w:noProof/>
                <w:webHidden/>
              </w:rPr>
              <w:fldChar w:fldCharType="separate"/>
            </w:r>
            <w:r w:rsidR="00F81889">
              <w:rPr>
                <w:noProof/>
                <w:webHidden/>
              </w:rPr>
              <w:t>10</w:t>
            </w:r>
            <w:r w:rsidR="00C63E2D">
              <w:rPr>
                <w:noProof/>
                <w:webHidden/>
              </w:rPr>
              <w:fldChar w:fldCharType="end"/>
            </w:r>
          </w:hyperlink>
        </w:p>
        <w:p w14:paraId="63445F39" w14:textId="786A5BCB" w:rsidR="00C63E2D" w:rsidRDefault="00556A7C">
          <w:pPr>
            <w:pStyle w:val="TOC1"/>
            <w:rPr>
              <w:rFonts w:asciiTheme="minorHAnsi" w:eastAsiaTheme="minorEastAsia" w:hAnsiTheme="minorHAnsi" w:cstheme="minorBidi"/>
              <w:b w:val="0"/>
              <w:noProof/>
              <w:color w:val="auto"/>
              <w:sz w:val="22"/>
              <w:szCs w:val="22"/>
              <w:lang w:eastAsia="en-AU"/>
            </w:rPr>
          </w:pPr>
          <w:hyperlink w:anchor="_Toc141445513" w:history="1">
            <w:r w:rsidR="00C63E2D" w:rsidRPr="006C7226">
              <w:rPr>
                <w:rStyle w:val="Hyperlink"/>
                <w:noProof/>
              </w:rPr>
              <w:t>Submission overview and risk/benefit assessment</w:t>
            </w:r>
            <w:r w:rsidR="00C63E2D">
              <w:rPr>
                <w:noProof/>
                <w:webHidden/>
              </w:rPr>
              <w:tab/>
            </w:r>
            <w:r w:rsidR="00C63E2D">
              <w:rPr>
                <w:noProof/>
                <w:webHidden/>
              </w:rPr>
              <w:fldChar w:fldCharType="begin"/>
            </w:r>
            <w:r w:rsidR="00C63E2D">
              <w:rPr>
                <w:noProof/>
                <w:webHidden/>
              </w:rPr>
              <w:instrText xml:space="preserve"> PAGEREF _Toc141445513 \h </w:instrText>
            </w:r>
            <w:r w:rsidR="00C63E2D">
              <w:rPr>
                <w:noProof/>
                <w:webHidden/>
              </w:rPr>
            </w:r>
            <w:r w:rsidR="00C63E2D">
              <w:rPr>
                <w:noProof/>
                <w:webHidden/>
              </w:rPr>
              <w:fldChar w:fldCharType="separate"/>
            </w:r>
            <w:r w:rsidR="00F81889">
              <w:rPr>
                <w:noProof/>
                <w:webHidden/>
              </w:rPr>
              <w:t>10</w:t>
            </w:r>
            <w:r w:rsidR="00C63E2D">
              <w:rPr>
                <w:noProof/>
                <w:webHidden/>
              </w:rPr>
              <w:fldChar w:fldCharType="end"/>
            </w:r>
          </w:hyperlink>
        </w:p>
        <w:p w14:paraId="5105FF5F" w14:textId="36F51164"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14" w:history="1">
            <w:r w:rsidR="00C63E2D" w:rsidRPr="006C7226">
              <w:rPr>
                <w:rStyle w:val="Hyperlink"/>
                <w:noProof/>
              </w:rPr>
              <w:t>Quality</w:t>
            </w:r>
            <w:r w:rsidR="00C63E2D">
              <w:rPr>
                <w:noProof/>
                <w:webHidden/>
              </w:rPr>
              <w:tab/>
            </w:r>
            <w:r w:rsidR="00C63E2D">
              <w:rPr>
                <w:noProof/>
                <w:webHidden/>
              </w:rPr>
              <w:fldChar w:fldCharType="begin"/>
            </w:r>
            <w:r w:rsidR="00C63E2D">
              <w:rPr>
                <w:noProof/>
                <w:webHidden/>
              </w:rPr>
              <w:instrText xml:space="preserve"> PAGEREF _Toc141445514 \h </w:instrText>
            </w:r>
            <w:r w:rsidR="00C63E2D">
              <w:rPr>
                <w:noProof/>
                <w:webHidden/>
              </w:rPr>
            </w:r>
            <w:r w:rsidR="00C63E2D">
              <w:rPr>
                <w:noProof/>
                <w:webHidden/>
              </w:rPr>
              <w:fldChar w:fldCharType="separate"/>
            </w:r>
            <w:r w:rsidR="00F81889">
              <w:rPr>
                <w:noProof/>
                <w:webHidden/>
              </w:rPr>
              <w:t>11</w:t>
            </w:r>
            <w:r w:rsidR="00C63E2D">
              <w:rPr>
                <w:noProof/>
                <w:webHidden/>
              </w:rPr>
              <w:fldChar w:fldCharType="end"/>
            </w:r>
          </w:hyperlink>
        </w:p>
        <w:p w14:paraId="6E22CE67" w14:textId="4AF8CC37"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15" w:history="1">
            <w:r w:rsidR="00C63E2D" w:rsidRPr="006C7226">
              <w:rPr>
                <w:rStyle w:val="Hyperlink"/>
                <w:noProof/>
              </w:rPr>
              <w:t>Nonclinical</w:t>
            </w:r>
            <w:r w:rsidR="00C63E2D">
              <w:rPr>
                <w:noProof/>
                <w:webHidden/>
              </w:rPr>
              <w:tab/>
            </w:r>
            <w:r w:rsidR="00C63E2D">
              <w:rPr>
                <w:noProof/>
                <w:webHidden/>
              </w:rPr>
              <w:fldChar w:fldCharType="begin"/>
            </w:r>
            <w:r w:rsidR="00C63E2D">
              <w:rPr>
                <w:noProof/>
                <w:webHidden/>
              </w:rPr>
              <w:instrText xml:space="preserve"> PAGEREF _Toc141445515 \h </w:instrText>
            </w:r>
            <w:r w:rsidR="00C63E2D">
              <w:rPr>
                <w:noProof/>
                <w:webHidden/>
              </w:rPr>
            </w:r>
            <w:r w:rsidR="00C63E2D">
              <w:rPr>
                <w:noProof/>
                <w:webHidden/>
              </w:rPr>
              <w:fldChar w:fldCharType="separate"/>
            </w:r>
            <w:r w:rsidR="00F81889">
              <w:rPr>
                <w:noProof/>
                <w:webHidden/>
              </w:rPr>
              <w:t>11</w:t>
            </w:r>
            <w:r w:rsidR="00C63E2D">
              <w:rPr>
                <w:noProof/>
                <w:webHidden/>
              </w:rPr>
              <w:fldChar w:fldCharType="end"/>
            </w:r>
          </w:hyperlink>
        </w:p>
        <w:p w14:paraId="48553F07" w14:textId="67895387"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16" w:history="1">
            <w:r w:rsidR="00C63E2D" w:rsidRPr="006C7226">
              <w:rPr>
                <w:rStyle w:val="Hyperlink"/>
                <w:noProof/>
              </w:rPr>
              <w:t>Clinical</w:t>
            </w:r>
            <w:r w:rsidR="00C63E2D">
              <w:rPr>
                <w:noProof/>
                <w:webHidden/>
              </w:rPr>
              <w:tab/>
            </w:r>
            <w:r w:rsidR="00C63E2D">
              <w:rPr>
                <w:noProof/>
                <w:webHidden/>
              </w:rPr>
              <w:fldChar w:fldCharType="begin"/>
            </w:r>
            <w:r w:rsidR="00C63E2D">
              <w:rPr>
                <w:noProof/>
                <w:webHidden/>
              </w:rPr>
              <w:instrText xml:space="preserve"> PAGEREF _Toc141445516 \h </w:instrText>
            </w:r>
            <w:r w:rsidR="00C63E2D">
              <w:rPr>
                <w:noProof/>
                <w:webHidden/>
              </w:rPr>
            </w:r>
            <w:r w:rsidR="00C63E2D">
              <w:rPr>
                <w:noProof/>
                <w:webHidden/>
              </w:rPr>
              <w:fldChar w:fldCharType="separate"/>
            </w:r>
            <w:r w:rsidR="00F81889">
              <w:rPr>
                <w:noProof/>
                <w:webHidden/>
              </w:rPr>
              <w:t>13</w:t>
            </w:r>
            <w:r w:rsidR="00C63E2D">
              <w:rPr>
                <w:noProof/>
                <w:webHidden/>
              </w:rPr>
              <w:fldChar w:fldCharType="end"/>
            </w:r>
          </w:hyperlink>
        </w:p>
        <w:p w14:paraId="095FC1E5" w14:textId="5468B803" w:rsidR="00C63E2D" w:rsidRDefault="00556A7C">
          <w:pPr>
            <w:pStyle w:val="TOC3"/>
            <w:rPr>
              <w:rFonts w:asciiTheme="minorHAnsi" w:eastAsiaTheme="minorEastAsia" w:hAnsiTheme="minorHAnsi" w:cstheme="minorBidi"/>
              <w:b w:val="0"/>
              <w:noProof/>
              <w:color w:val="auto"/>
              <w:szCs w:val="22"/>
              <w:lang w:eastAsia="en-AU"/>
            </w:rPr>
          </w:pPr>
          <w:hyperlink w:anchor="_Toc141445517" w:history="1">
            <w:r w:rsidR="00C63E2D" w:rsidRPr="006C7226">
              <w:rPr>
                <w:rStyle w:val="Hyperlink"/>
                <w:noProof/>
              </w:rPr>
              <w:t>Summary of clinical studies</w:t>
            </w:r>
            <w:r w:rsidR="00C63E2D">
              <w:rPr>
                <w:noProof/>
                <w:webHidden/>
              </w:rPr>
              <w:tab/>
            </w:r>
            <w:r w:rsidR="00C63E2D">
              <w:rPr>
                <w:noProof/>
                <w:webHidden/>
              </w:rPr>
              <w:fldChar w:fldCharType="begin"/>
            </w:r>
            <w:r w:rsidR="00C63E2D">
              <w:rPr>
                <w:noProof/>
                <w:webHidden/>
              </w:rPr>
              <w:instrText xml:space="preserve"> PAGEREF _Toc141445517 \h </w:instrText>
            </w:r>
            <w:r w:rsidR="00C63E2D">
              <w:rPr>
                <w:noProof/>
                <w:webHidden/>
              </w:rPr>
            </w:r>
            <w:r w:rsidR="00C63E2D">
              <w:rPr>
                <w:noProof/>
                <w:webHidden/>
              </w:rPr>
              <w:fldChar w:fldCharType="separate"/>
            </w:r>
            <w:r w:rsidR="00F81889">
              <w:rPr>
                <w:noProof/>
                <w:webHidden/>
              </w:rPr>
              <w:t>13</w:t>
            </w:r>
            <w:r w:rsidR="00C63E2D">
              <w:rPr>
                <w:noProof/>
                <w:webHidden/>
              </w:rPr>
              <w:fldChar w:fldCharType="end"/>
            </w:r>
          </w:hyperlink>
        </w:p>
        <w:p w14:paraId="399E1335" w14:textId="70638D8E" w:rsidR="00C63E2D" w:rsidRDefault="00556A7C">
          <w:pPr>
            <w:pStyle w:val="TOC3"/>
            <w:rPr>
              <w:rFonts w:asciiTheme="minorHAnsi" w:eastAsiaTheme="minorEastAsia" w:hAnsiTheme="minorHAnsi" w:cstheme="minorBidi"/>
              <w:b w:val="0"/>
              <w:noProof/>
              <w:color w:val="auto"/>
              <w:szCs w:val="22"/>
              <w:lang w:eastAsia="en-AU"/>
            </w:rPr>
          </w:pPr>
          <w:hyperlink w:anchor="_Toc141445518" w:history="1">
            <w:r w:rsidR="00C63E2D" w:rsidRPr="006C7226">
              <w:rPr>
                <w:rStyle w:val="Hyperlink"/>
                <w:noProof/>
              </w:rPr>
              <w:t>Pharmacology</w:t>
            </w:r>
            <w:r w:rsidR="00C63E2D">
              <w:rPr>
                <w:noProof/>
                <w:webHidden/>
              </w:rPr>
              <w:tab/>
            </w:r>
            <w:r w:rsidR="00C63E2D">
              <w:rPr>
                <w:noProof/>
                <w:webHidden/>
              </w:rPr>
              <w:fldChar w:fldCharType="begin"/>
            </w:r>
            <w:r w:rsidR="00C63E2D">
              <w:rPr>
                <w:noProof/>
                <w:webHidden/>
              </w:rPr>
              <w:instrText xml:space="preserve"> PAGEREF _Toc141445518 \h </w:instrText>
            </w:r>
            <w:r w:rsidR="00C63E2D">
              <w:rPr>
                <w:noProof/>
                <w:webHidden/>
              </w:rPr>
            </w:r>
            <w:r w:rsidR="00C63E2D">
              <w:rPr>
                <w:noProof/>
                <w:webHidden/>
              </w:rPr>
              <w:fldChar w:fldCharType="separate"/>
            </w:r>
            <w:r w:rsidR="00F81889">
              <w:rPr>
                <w:noProof/>
                <w:webHidden/>
              </w:rPr>
              <w:t>14</w:t>
            </w:r>
            <w:r w:rsidR="00C63E2D">
              <w:rPr>
                <w:noProof/>
                <w:webHidden/>
              </w:rPr>
              <w:fldChar w:fldCharType="end"/>
            </w:r>
          </w:hyperlink>
        </w:p>
        <w:p w14:paraId="0053A7C2" w14:textId="5A683066" w:rsidR="00C63E2D" w:rsidRDefault="00556A7C">
          <w:pPr>
            <w:pStyle w:val="TOC3"/>
            <w:rPr>
              <w:rFonts w:asciiTheme="minorHAnsi" w:eastAsiaTheme="minorEastAsia" w:hAnsiTheme="minorHAnsi" w:cstheme="minorBidi"/>
              <w:b w:val="0"/>
              <w:noProof/>
              <w:color w:val="auto"/>
              <w:szCs w:val="22"/>
              <w:lang w:eastAsia="en-AU"/>
            </w:rPr>
          </w:pPr>
          <w:hyperlink w:anchor="_Toc141445519" w:history="1">
            <w:r w:rsidR="00C63E2D" w:rsidRPr="006C7226">
              <w:rPr>
                <w:rStyle w:val="Hyperlink"/>
                <w:noProof/>
              </w:rPr>
              <w:t>Efficacy</w:t>
            </w:r>
            <w:r w:rsidR="00C63E2D">
              <w:rPr>
                <w:noProof/>
                <w:webHidden/>
              </w:rPr>
              <w:tab/>
            </w:r>
            <w:r w:rsidR="00C63E2D">
              <w:rPr>
                <w:noProof/>
                <w:webHidden/>
              </w:rPr>
              <w:fldChar w:fldCharType="begin"/>
            </w:r>
            <w:r w:rsidR="00C63E2D">
              <w:rPr>
                <w:noProof/>
                <w:webHidden/>
              </w:rPr>
              <w:instrText xml:space="preserve"> PAGEREF _Toc141445519 \h </w:instrText>
            </w:r>
            <w:r w:rsidR="00C63E2D">
              <w:rPr>
                <w:noProof/>
                <w:webHidden/>
              </w:rPr>
            </w:r>
            <w:r w:rsidR="00C63E2D">
              <w:rPr>
                <w:noProof/>
                <w:webHidden/>
              </w:rPr>
              <w:fldChar w:fldCharType="separate"/>
            </w:r>
            <w:r w:rsidR="00F81889">
              <w:rPr>
                <w:noProof/>
                <w:webHidden/>
              </w:rPr>
              <w:t>20</w:t>
            </w:r>
            <w:r w:rsidR="00C63E2D">
              <w:rPr>
                <w:noProof/>
                <w:webHidden/>
              </w:rPr>
              <w:fldChar w:fldCharType="end"/>
            </w:r>
          </w:hyperlink>
        </w:p>
        <w:p w14:paraId="2457663D" w14:textId="634E6753" w:rsidR="00C63E2D" w:rsidRDefault="00556A7C">
          <w:pPr>
            <w:pStyle w:val="TOC3"/>
            <w:rPr>
              <w:rFonts w:asciiTheme="minorHAnsi" w:eastAsiaTheme="minorEastAsia" w:hAnsiTheme="minorHAnsi" w:cstheme="minorBidi"/>
              <w:b w:val="0"/>
              <w:noProof/>
              <w:color w:val="auto"/>
              <w:szCs w:val="22"/>
              <w:lang w:eastAsia="en-AU"/>
            </w:rPr>
          </w:pPr>
          <w:hyperlink w:anchor="_Toc141445520" w:history="1">
            <w:r w:rsidR="00C63E2D" w:rsidRPr="006C7226">
              <w:rPr>
                <w:rStyle w:val="Hyperlink"/>
                <w:noProof/>
              </w:rPr>
              <w:t>Safety</w:t>
            </w:r>
            <w:r w:rsidR="00C63E2D">
              <w:rPr>
                <w:noProof/>
                <w:webHidden/>
              </w:rPr>
              <w:tab/>
            </w:r>
            <w:r w:rsidR="00C63E2D">
              <w:rPr>
                <w:noProof/>
                <w:webHidden/>
              </w:rPr>
              <w:fldChar w:fldCharType="begin"/>
            </w:r>
            <w:r w:rsidR="00C63E2D">
              <w:rPr>
                <w:noProof/>
                <w:webHidden/>
              </w:rPr>
              <w:instrText xml:space="preserve"> PAGEREF _Toc141445520 \h </w:instrText>
            </w:r>
            <w:r w:rsidR="00C63E2D">
              <w:rPr>
                <w:noProof/>
                <w:webHidden/>
              </w:rPr>
            </w:r>
            <w:r w:rsidR="00C63E2D">
              <w:rPr>
                <w:noProof/>
                <w:webHidden/>
              </w:rPr>
              <w:fldChar w:fldCharType="separate"/>
            </w:r>
            <w:r w:rsidR="00F81889">
              <w:rPr>
                <w:noProof/>
                <w:webHidden/>
              </w:rPr>
              <w:t>31</w:t>
            </w:r>
            <w:r w:rsidR="00C63E2D">
              <w:rPr>
                <w:noProof/>
                <w:webHidden/>
              </w:rPr>
              <w:fldChar w:fldCharType="end"/>
            </w:r>
          </w:hyperlink>
        </w:p>
        <w:p w14:paraId="47FA04CF" w14:textId="4B4B1844"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21" w:history="1">
            <w:r w:rsidR="00C63E2D" w:rsidRPr="006C7226">
              <w:rPr>
                <w:rStyle w:val="Hyperlink"/>
                <w:noProof/>
                <w:lang w:eastAsia="en-AU"/>
              </w:rPr>
              <w:t>Risk management plan</w:t>
            </w:r>
            <w:r w:rsidR="00C63E2D">
              <w:rPr>
                <w:noProof/>
                <w:webHidden/>
              </w:rPr>
              <w:tab/>
            </w:r>
            <w:r w:rsidR="00C63E2D">
              <w:rPr>
                <w:noProof/>
                <w:webHidden/>
              </w:rPr>
              <w:fldChar w:fldCharType="begin"/>
            </w:r>
            <w:r w:rsidR="00C63E2D">
              <w:rPr>
                <w:noProof/>
                <w:webHidden/>
              </w:rPr>
              <w:instrText xml:space="preserve"> PAGEREF _Toc141445521 \h </w:instrText>
            </w:r>
            <w:r w:rsidR="00C63E2D">
              <w:rPr>
                <w:noProof/>
                <w:webHidden/>
              </w:rPr>
            </w:r>
            <w:r w:rsidR="00C63E2D">
              <w:rPr>
                <w:noProof/>
                <w:webHidden/>
              </w:rPr>
              <w:fldChar w:fldCharType="separate"/>
            </w:r>
            <w:r w:rsidR="00F81889">
              <w:rPr>
                <w:noProof/>
                <w:webHidden/>
              </w:rPr>
              <w:t>39</w:t>
            </w:r>
            <w:r w:rsidR="00C63E2D">
              <w:rPr>
                <w:noProof/>
                <w:webHidden/>
              </w:rPr>
              <w:fldChar w:fldCharType="end"/>
            </w:r>
          </w:hyperlink>
        </w:p>
        <w:p w14:paraId="5D974879" w14:textId="3CACA7A2" w:rsidR="00C63E2D" w:rsidRDefault="00556A7C">
          <w:pPr>
            <w:pStyle w:val="TOC3"/>
            <w:rPr>
              <w:rFonts w:asciiTheme="minorHAnsi" w:eastAsiaTheme="minorEastAsia" w:hAnsiTheme="minorHAnsi" w:cstheme="minorBidi"/>
              <w:b w:val="0"/>
              <w:noProof/>
              <w:color w:val="auto"/>
              <w:szCs w:val="22"/>
              <w:lang w:eastAsia="en-AU"/>
            </w:rPr>
          </w:pPr>
          <w:hyperlink w:anchor="_Toc141445522" w:history="1">
            <w:r w:rsidR="00C63E2D" w:rsidRPr="006C7226">
              <w:rPr>
                <w:rStyle w:val="Hyperlink"/>
                <w:noProof/>
              </w:rPr>
              <w:t>RMP evaluator recommendations regarding condition/s of registration</w:t>
            </w:r>
            <w:r w:rsidR="00C63E2D">
              <w:rPr>
                <w:noProof/>
                <w:webHidden/>
              </w:rPr>
              <w:tab/>
            </w:r>
            <w:r w:rsidR="00C63E2D">
              <w:rPr>
                <w:noProof/>
                <w:webHidden/>
              </w:rPr>
              <w:fldChar w:fldCharType="begin"/>
            </w:r>
            <w:r w:rsidR="00C63E2D">
              <w:rPr>
                <w:noProof/>
                <w:webHidden/>
              </w:rPr>
              <w:instrText xml:space="preserve"> PAGEREF _Toc141445522 \h </w:instrText>
            </w:r>
            <w:r w:rsidR="00C63E2D">
              <w:rPr>
                <w:noProof/>
                <w:webHidden/>
              </w:rPr>
            </w:r>
            <w:r w:rsidR="00C63E2D">
              <w:rPr>
                <w:noProof/>
                <w:webHidden/>
              </w:rPr>
              <w:fldChar w:fldCharType="separate"/>
            </w:r>
            <w:r w:rsidR="00F81889">
              <w:rPr>
                <w:noProof/>
                <w:webHidden/>
              </w:rPr>
              <w:t>40</w:t>
            </w:r>
            <w:r w:rsidR="00C63E2D">
              <w:rPr>
                <w:noProof/>
                <w:webHidden/>
              </w:rPr>
              <w:fldChar w:fldCharType="end"/>
            </w:r>
          </w:hyperlink>
        </w:p>
        <w:p w14:paraId="0FC42A8B" w14:textId="7E19B5F6"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23" w:history="1">
            <w:r w:rsidR="00C63E2D" w:rsidRPr="006C7226">
              <w:rPr>
                <w:rStyle w:val="Hyperlink"/>
                <w:noProof/>
              </w:rPr>
              <w:t>Risk-benefit analysis</w:t>
            </w:r>
            <w:r w:rsidR="00C63E2D">
              <w:rPr>
                <w:noProof/>
                <w:webHidden/>
              </w:rPr>
              <w:tab/>
            </w:r>
            <w:r w:rsidR="00C63E2D">
              <w:rPr>
                <w:noProof/>
                <w:webHidden/>
              </w:rPr>
              <w:fldChar w:fldCharType="begin"/>
            </w:r>
            <w:r w:rsidR="00C63E2D">
              <w:rPr>
                <w:noProof/>
                <w:webHidden/>
              </w:rPr>
              <w:instrText xml:space="preserve"> PAGEREF _Toc141445523 \h </w:instrText>
            </w:r>
            <w:r w:rsidR="00C63E2D">
              <w:rPr>
                <w:noProof/>
                <w:webHidden/>
              </w:rPr>
            </w:r>
            <w:r w:rsidR="00C63E2D">
              <w:rPr>
                <w:noProof/>
                <w:webHidden/>
              </w:rPr>
              <w:fldChar w:fldCharType="separate"/>
            </w:r>
            <w:r w:rsidR="00F81889">
              <w:rPr>
                <w:noProof/>
                <w:webHidden/>
              </w:rPr>
              <w:t>41</w:t>
            </w:r>
            <w:r w:rsidR="00C63E2D">
              <w:rPr>
                <w:noProof/>
                <w:webHidden/>
              </w:rPr>
              <w:fldChar w:fldCharType="end"/>
            </w:r>
          </w:hyperlink>
        </w:p>
        <w:p w14:paraId="73A0CF24" w14:textId="0005942D" w:rsidR="00C63E2D" w:rsidRDefault="00556A7C">
          <w:pPr>
            <w:pStyle w:val="TOC3"/>
            <w:rPr>
              <w:rFonts w:asciiTheme="minorHAnsi" w:eastAsiaTheme="minorEastAsia" w:hAnsiTheme="minorHAnsi" w:cstheme="minorBidi"/>
              <w:b w:val="0"/>
              <w:noProof/>
              <w:color w:val="auto"/>
              <w:szCs w:val="22"/>
              <w:lang w:eastAsia="en-AU"/>
            </w:rPr>
          </w:pPr>
          <w:hyperlink w:anchor="_Toc141445524" w:history="1">
            <w:r w:rsidR="00C63E2D" w:rsidRPr="006C7226">
              <w:rPr>
                <w:rStyle w:val="Hyperlink"/>
                <w:noProof/>
              </w:rPr>
              <w:t>Delegate’s considerations</w:t>
            </w:r>
            <w:r w:rsidR="00C63E2D">
              <w:rPr>
                <w:noProof/>
                <w:webHidden/>
              </w:rPr>
              <w:tab/>
            </w:r>
            <w:r w:rsidR="00C63E2D">
              <w:rPr>
                <w:noProof/>
                <w:webHidden/>
              </w:rPr>
              <w:fldChar w:fldCharType="begin"/>
            </w:r>
            <w:r w:rsidR="00C63E2D">
              <w:rPr>
                <w:noProof/>
                <w:webHidden/>
              </w:rPr>
              <w:instrText xml:space="preserve"> PAGEREF _Toc141445524 \h </w:instrText>
            </w:r>
            <w:r w:rsidR="00C63E2D">
              <w:rPr>
                <w:noProof/>
                <w:webHidden/>
              </w:rPr>
            </w:r>
            <w:r w:rsidR="00C63E2D">
              <w:rPr>
                <w:noProof/>
                <w:webHidden/>
              </w:rPr>
              <w:fldChar w:fldCharType="separate"/>
            </w:r>
            <w:r w:rsidR="00F81889">
              <w:rPr>
                <w:noProof/>
                <w:webHidden/>
              </w:rPr>
              <w:t>41</w:t>
            </w:r>
            <w:r w:rsidR="00C63E2D">
              <w:rPr>
                <w:noProof/>
                <w:webHidden/>
              </w:rPr>
              <w:fldChar w:fldCharType="end"/>
            </w:r>
          </w:hyperlink>
        </w:p>
        <w:p w14:paraId="7B377E34" w14:textId="52BA8E45" w:rsidR="00C63E2D" w:rsidRDefault="00556A7C">
          <w:pPr>
            <w:pStyle w:val="TOC3"/>
            <w:rPr>
              <w:rFonts w:asciiTheme="minorHAnsi" w:eastAsiaTheme="minorEastAsia" w:hAnsiTheme="minorHAnsi" w:cstheme="minorBidi"/>
              <w:b w:val="0"/>
              <w:noProof/>
              <w:color w:val="auto"/>
              <w:szCs w:val="22"/>
              <w:lang w:eastAsia="en-AU"/>
            </w:rPr>
          </w:pPr>
          <w:hyperlink w:anchor="_Toc141445525" w:history="1">
            <w:r w:rsidR="00C63E2D" w:rsidRPr="006C7226">
              <w:rPr>
                <w:rStyle w:val="Hyperlink"/>
                <w:noProof/>
              </w:rPr>
              <w:t>Proposed action</w:t>
            </w:r>
            <w:r w:rsidR="00C63E2D">
              <w:rPr>
                <w:noProof/>
                <w:webHidden/>
              </w:rPr>
              <w:tab/>
            </w:r>
            <w:r w:rsidR="00C63E2D">
              <w:rPr>
                <w:noProof/>
                <w:webHidden/>
              </w:rPr>
              <w:fldChar w:fldCharType="begin"/>
            </w:r>
            <w:r w:rsidR="00C63E2D">
              <w:rPr>
                <w:noProof/>
                <w:webHidden/>
              </w:rPr>
              <w:instrText xml:space="preserve"> PAGEREF _Toc141445525 \h </w:instrText>
            </w:r>
            <w:r w:rsidR="00C63E2D">
              <w:rPr>
                <w:noProof/>
                <w:webHidden/>
              </w:rPr>
            </w:r>
            <w:r w:rsidR="00C63E2D">
              <w:rPr>
                <w:noProof/>
                <w:webHidden/>
              </w:rPr>
              <w:fldChar w:fldCharType="separate"/>
            </w:r>
            <w:r w:rsidR="00F81889">
              <w:rPr>
                <w:noProof/>
                <w:webHidden/>
              </w:rPr>
              <w:t>42</w:t>
            </w:r>
            <w:r w:rsidR="00C63E2D">
              <w:rPr>
                <w:noProof/>
                <w:webHidden/>
              </w:rPr>
              <w:fldChar w:fldCharType="end"/>
            </w:r>
          </w:hyperlink>
        </w:p>
        <w:p w14:paraId="1AF180E9" w14:textId="1C34C776" w:rsidR="00C63E2D" w:rsidRDefault="00556A7C">
          <w:pPr>
            <w:pStyle w:val="TOC3"/>
            <w:rPr>
              <w:rFonts w:asciiTheme="minorHAnsi" w:eastAsiaTheme="minorEastAsia" w:hAnsiTheme="minorHAnsi" w:cstheme="minorBidi"/>
              <w:b w:val="0"/>
              <w:noProof/>
              <w:color w:val="auto"/>
              <w:szCs w:val="22"/>
              <w:lang w:eastAsia="en-AU"/>
            </w:rPr>
          </w:pPr>
          <w:hyperlink w:anchor="_Toc141445526" w:history="1">
            <w:r w:rsidR="00C63E2D" w:rsidRPr="006C7226">
              <w:rPr>
                <w:rStyle w:val="Hyperlink"/>
                <w:noProof/>
              </w:rPr>
              <w:t>Questions for the sponsor</w:t>
            </w:r>
            <w:r w:rsidR="00C63E2D">
              <w:rPr>
                <w:noProof/>
                <w:webHidden/>
              </w:rPr>
              <w:tab/>
            </w:r>
            <w:r w:rsidR="00C63E2D">
              <w:rPr>
                <w:noProof/>
                <w:webHidden/>
              </w:rPr>
              <w:fldChar w:fldCharType="begin"/>
            </w:r>
            <w:r w:rsidR="00C63E2D">
              <w:rPr>
                <w:noProof/>
                <w:webHidden/>
              </w:rPr>
              <w:instrText xml:space="preserve"> PAGEREF _Toc141445526 \h </w:instrText>
            </w:r>
            <w:r w:rsidR="00C63E2D">
              <w:rPr>
                <w:noProof/>
                <w:webHidden/>
              </w:rPr>
            </w:r>
            <w:r w:rsidR="00C63E2D">
              <w:rPr>
                <w:noProof/>
                <w:webHidden/>
              </w:rPr>
              <w:fldChar w:fldCharType="separate"/>
            </w:r>
            <w:r w:rsidR="00F81889">
              <w:rPr>
                <w:noProof/>
                <w:webHidden/>
              </w:rPr>
              <w:t>42</w:t>
            </w:r>
            <w:r w:rsidR="00C63E2D">
              <w:rPr>
                <w:noProof/>
                <w:webHidden/>
              </w:rPr>
              <w:fldChar w:fldCharType="end"/>
            </w:r>
          </w:hyperlink>
        </w:p>
        <w:p w14:paraId="3DEB3366" w14:textId="277BC94F" w:rsidR="00C63E2D" w:rsidRDefault="00556A7C">
          <w:pPr>
            <w:pStyle w:val="TOC3"/>
            <w:rPr>
              <w:rFonts w:asciiTheme="minorHAnsi" w:eastAsiaTheme="minorEastAsia" w:hAnsiTheme="minorHAnsi" w:cstheme="minorBidi"/>
              <w:b w:val="0"/>
              <w:noProof/>
              <w:color w:val="auto"/>
              <w:szCs w:val="22"/>
              <w:lang w:eastAsia="en-AU"/>
            </w:rPr>
          </w:pPr>
          <w:hyperlink w:anchor="_Toc141445527" w:history="1">
            <w:r w:rsidR="00C63E2D" w:rsidRPr="006C7226">
              <w:rPr>
                <w:rStyle w:val="Hyperlink"/>
                <w:noProof/>
              </w:rPr>
              <w:t>Advisory Committee considerations</w:t>
            </w:r>
            <w:r w:rsidR="00C63E2D">
              <w:rPr>
                <w:noProof/>
                <w:webHidden/>
              </w:rPr>
              <w:tab/>
            </w:r>
            <w:r w:rsidR="00C63E2D">
              <w:rPr>
                <w:noProof/>
                <w:webHidden/>
              </w:rPr>
              <w:fldChar w:fldCharType="begin"/>
            </w:r>
            <w:r w:rsidR="00C63E2D">
              <w:rPr>
                <w:noProof/>
                <w:webHidden/>
              </w:rPr>
              <w:instrText xml:space="preserve"> PAGEREF _Toc141445527 \h </w:instrText>
            </w:r>
            <w:r w:rsidR="00C63E2D">
              <w:rPr>
                <w:noProof/>
                <w:webHidden/>
              </w:rPr>
            </w:r>
            <w:r w:rsidR="00C63E2D">
              <w:rPr>
                <w:noProof/>
                <w:webHidden/>
              </w:rPr>
              <w:fldChar w:fldCharType="separate"/>
            </w:r>
            <w:r w:rsidR="00F81889">
              <w:rPr>
                <w:noProof/>
                <w:webHidden/>
              </w:rPr>
              <w:t>42</w:t>
            </w:r>
            <w:r w:rsidR="00C63E2D">
              <w:rPr>
                <w:noProof/>
                <w:webHidden/>
              </w:rPr>
              <w:fldChar w:fldCharType="end"/>
            </w:r>
          </w:hyperlink>
        </w:p>
        <w:p w14:paraId="031FB836" w14:textId="54DBC165" w:rsidR="00C63E2D" w:rsidRDefault="00556A7C">
          <w:pPr>
            <w:pStyle w:val="TOC1"/>
            <w:rPr>
              <w:rFonts w:asciiTheme="minorHAnsi" w:eastAsiaTheme="minorEastAsia" w:hAnsiTheme="minorHAnsi" w:cstheme="minorBidi"/>
              <w:b w:val="0"/>
              <w:noProof/>
              <w:color w:val="auto"/>
              <w:sz w:val="22"/>
              <w:szCs w:val="22"/>
              <w:lang w:eastAsia="en-AU"/>
            </w:rPr>
          </w:pPr>
          <w:hyperlink w:anchor="_Toc141445528" w:history="1">
            <w:r w:rsidR="00C63E2D" w:rsidRPr="006C7226">
              <w:rPr>
                <w:rStyle w:val="Hyperlink"/>
                <w:noProof/>
              </w:rPr>
              <w:t>Outcome</w:t>
            </w:r>
            <w:r w:rsidR="00C63E2D">
              <w:rPr>
                <w:noProof/>
                <w:webHidden/>
              </w:rPr>
              <w:tab/>
            </w:r>
            <w:r w:rsidR="00C63E2D">
              <w:rPr>
                <w:noProof/>
                <w:webHidden/>
              </w:rPr>
              <w:fldChar w:fldCharType="begin"/>
            </w:r>
            <w:r w:rsidR="00C63E2D">
              <w:rPr>
                <w:noProof/>
                <w:webHidden/>
              </w:rPr>
              <w:instrText xml:space="preserve"> PAGEREF _Toc141445528 \h </w:instrText>
            </w:r>
            <w:r w:rsidR="00C63E2D">
              <w:rPr>
                <w:noProof/>
                <w:webHidden/>
              </w:rPr>
            </w:r>
            <w:r w:rsidR="00C63E2D">
              <w:rPr>
                <w:noProof/>
                <w:webHidden/>
              </w:rPr>
              <w:fldChar w:fldCharType="separate"/>
            </w:r>
            <w:r w:rsidR="00F81889">
              <w:rPr>
                <w:noProof/>
                <w:webHidden/>
              </w:rPr>
              <w:t>44</w:t>
            </w:r>
            <w:r w:rsidR="00C63E2D">
              <w:rPr>
                <w:noProof/>
                <w:webHidden/>
              </w:rPr>
              <w:fldChar w:fldCharType="end"/>
            </w:r>
          </w:hyperlink>
        </w:p>
        <w:p w14:paraId="72EA8F29" w14:textId="6C8D17D9" w:rsidR="00C63E2D" w:rsidRDefault="00556A7C">
          <w:pPr>
            <w:pStyle w:val="TOC2"/>
            <w:rPr>
              <w:rFonts w:asciiTheme="minorHAnsi" w:eastAsiaTheme="minorEastAsia" w:hAnsiTheme="minorHAnsi" w:cstheme="minorBidi"/>
              <w:b w:val="0"/>
              <w:noProof/>
              <w:color w:val="auto"/>
              <w:sz w:val="22"/>
              <w:szCs w:val="22"/>
              <w:lang w:eastAsia="en-AU"/>
            </w:rPr>
          </w:pPr>
          <w:hyperlink w:anchor="_Toc141445529" w:history="1">
            <w:r w:rsidR="00C63E2D" w:rsidRPr="006C7226">
              <w:rPr>
                <w:rStyle w:val="Hyperlink"/>
                <w:noProof/>
              </w:rPr>
              <w:t>Specific conditions of registration applying to these goods</w:t>
            </w:r>
            <w:r w:rsidR="00C63E2D">
              <w:rPr>
                <w:noProof/>
                <w:webHidden/>
              </w:rPr>
              <w:tab/>
            </w:r>
            <w:r w:rsidR="00C63E2D">
              <w:rPr>
                <w:noProof/>
                <w:webHidden/>
              </w:rPr>
              <w:fldChar w:fldCharType="begin"/>
            </w:r>
            <w:r w:rsidR="00C63E2D">
              <w:rPr>
                <w:noProof/>
                <w:webHidden/>
              </w:rPr>
              <w:instrText xml:space="preserve"> PAGEREF _Toc141445529 \h </w:instrText>
            </w:r>
            <w:r w:rsidR="00C63E2D">
              <w:rPr>
                <w:noProof/>
                <w:webHidden/>
              </w:rPr>
            </w:r>
            <w:r w:rsidR="00C63E2D">
              <w:rPr>
                <w:noProof/>
                <w:webHidden/>
              </w:rPr>
              <w:fldChar w:fldCharType="separate"/>
            </w:r>
            <w:r w:rsidR="00F81889">
              <w:rPr>
                <w:noProof/>
                <w:webHidden/>
              </w:rPr>
              <w:t>44</w:t>
            </w:r>
            <w:r w:rsidR="00C63E2D">
              <w:rPr>
                <w:noProof/>
                <w:webHidden/>
              </w:rPr>
              <w:fldChar w:fldCharType="end"/>
            </w:r>
          </w:hyperlink>
        </w:p>
        <w:p w14:paraId="2B8303CC" w14:textId="181D47F7" w:rsidR="00C63E2D" w:rsidRDefault="00556A7C">
          <w:pPr>
            <w:pStyle w:val="TOC1"/>
            <w:rPr>
              <w:rFonts w:asciiTheme="minorHAnsi" w:eastAsiaTheme="minorEastAsia" w:hAnsiTheme="minorHAnsi" w:cstheme="minorBidi"/>
              <w:b w:val="0"/>
              <w:noProof/>
              <w:color w:val="auto"/>
              <w:sz w:val="22"/>
              <w:szCs w:val="22"/>
              <w:lang w:eastAsia="en-AU"/>
            </w:rPr>
          </w:pPr>
          <w:hyperlink w:anchor="_Toc141445530" w:history="1">
            <w:r w:rsidR="00C63E2D" w:rsidRPr="006C7226">
              <w:rPr>
                <w:rStyle w:val="Hyperlink"/>
                <w:noProof/>
              </w:rPr>
              <w:t>Attachment 1. Product Information</w:t>
            </w:r>
            <w:r w:rsidR="00C63E2D">
              <w:rPr>
                <w:noProof/>
                <w:webHidden/>
              </w:rPr>
              <w:tab/>
            </w:r>
            <w:r w:rsidR="00C63E2D">
              <w:rPr>
                <w:noProof/>
                <w:webHidden/>
              </w:rPr>
              <w:fldChar w:fldCharType="begin"/>
            </w:r>
            <w:r w:rsidR="00C63E2D">
              <w:rPr>
                <w:noProof/>
                <w:webHidden/>
              </w:rPr>
              <w:instrText xml:space="preserve"> PAGEREF _Toc141445530 \h </w:instrText>
            </w:r>
            <w:r w:rsidR="00C63E2D">
              <w:rPr>
                <w:noProof/>
                <w:webHidden/>
              </w:rPr>
            </w:r>
            <w:r w:rsidR="00C63E2D">
              <w:rPr>
                <w:noProof/>
                <w:webHidden/>
              </w:rPr>
              <w:fldChar w:fldCharType="separate"/>
            </w:r>
            <w:r w:rsidR="00F81889">
              <w:rPr>
                <w:noProof/>
                <w:webHidden/>
              </w:rPr>
              <w:t>44</w:t>
            </w:r>
            <w:r w:rsidR="00C63E2D">
              <w:rPr>
                <w:noProof/>
                <w:webHidden/>
              </w:rPr>
              <w:fldChar w:fldCharType="end"/>
            </w:r>
          </w:hyperlink>
        </w:p>
        <w:p w14:paraId="77659F2D" w14:textId="5C3562E1"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1445504"/>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C63E2D" w:rsidRPr="00D01DDB" w14:paraId="4C8DDF75" w14:textId="77777777" w:rsidTr="00D92CB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577175B" w14:textId="77777777" w:rsidR="00C63E2D" w:rsidRPr="00D01DDB" w:rsidRDefault="00C63E2D" w:rsidP="00D92CB7">
            <w:pPr>
              <w:rPr>
                <w:szCs w:val="22"/>
              </w:rPr>
            </w:pPr>
            <w:r w:rsidRPr="00D01DDB">
              <w:rPr>
                <w:szCs w:val="22"/>
              </w:rPr>
              <w:t>Abbreviation</w:t>
            </w:r>
          </w:p>
        </w:tc>
        <w:tc>
          <w:tcPr>
            <w:tcW w:w="3800" w:type="pct"/>
          </w:tcPr>
          <w:p w14:paraId="14C7B595" w14:textId="77777777" w:rsidR="00C63E2D" w:rsidRPr="00D01DDB" w:rsidRDefault="00C63E2D" w:rsidP="00D92CB7">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C63E2D" w:rsidRPr="00D01DDB" w14:paraId="2357CCA0"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C26C88" w14:textId="77777777" w:rsidR="00C63E2D" w:rsidRPr="00D01DDB" w:rsidRDefault="00C63E2D" w:rsidP="00D92CB7">
            <w:pPr>
              <w:rPr>
                <w:szCs w:val="22"/>
              </w:rPr>
            </w:pPr>
            <w:r w:rsidRPr="00D01DDB">
              <w:rPr>
                <w:szCs w:val="22"/>
              </w:rPr>
              <w:t>ACM</w:t>
            </w:r>
          </w:p>
        </w:tc>
        <w:tc>
          <w:tcPr>
            <w:tcW w:w="3800" w:type="pct"/>
          </w:tcPr>
          <w:p w14:paraId="32CAA63A"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C63E2D" w:rsidRPr="00D01DDB" w14:paraId="3F821EF9"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51C986" w14:textId="77777777" w:rsidR="00C63E2D" w:rsidRDefault="00C63E2D" w:rsidP="00D92CB7">
            <w:pPr>
              <w:rPr>
                <w:szCs w:val="22"/>
              </w:rPr>
            </w:pPr>
            <w:r>
              <w:rPr>
                <w:szCs w:val="22"/>
              </w:rPr>
              <w:t>AE</w:t>
            </w:r>
          </w:p>
        </w:tc>
        <w:tc>
          <w:tcPr>
            <w:tcW w:w="3800" w:type="pct"/>
          </w:tcPr>
          <w:p w14:paraId="2EAD0ABF"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Adverse event</w:t>
            </w:r>
          </w:p>
        </w:tc>
      </w:tr>
      <w:tr w:rsidR="00C63E2D" w:rsidRPr="00D01DDB" w14:paraId="06B2BDF3"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EB0B46" w14:textId="77777777" w:rsidR="00C63E2D" w:rsidRDefault="00C63E2D" w:rsidP="00D92CB7">
            <w:pPr>
              <w:rPr>
                <w:szCs w:val="22"/>
              </w:rPr>
            </w:pPr>
            <w:r>
              <w:rPr>
                <w:szCs w:val="22"/>
              </w:rPr>
              <w:t>AEI</w:t>
            </w:r>
          </w:p>
        </w:tc>
        <w:tc>
          <w:tcPr>
            <w:tcW w:w="3800" w:type="pct"/>
          </w:tcPr>
          <w:p w14:paraId="3D1C6DF2"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Adverse event of interest</w:t>
            </w:r>
          </w:p>
        </w:tc>
      </w:tr>
      <w:tr w:rsidR="00C63E2D" w:rsidRPr="00D01DDB" w14:paraId="0022A8D7"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2DCF5F" w14:textId="77777777" w:rsidR="00C63E2D" w:rsidRPr="00D01DDB" w:rsidRDefault="00C63E2D" w:rsidP="00D92CB7">
            <w:pPr>
              <w:rPr>
                <w:szCs w:val="22"/>
              </w:rPr>
            </w:pPr>
            <w:r w:rsidRPr="00D01DDB">
              <w:rPr>
                <w:szCs w:val="22"/>
              </w:rPr>
              <w:t>ARTG</w:t>
            </w:r>
          </w:p>
        </w:tc>
        <w:tc>
          <w:tcPr>
            <w:tcW w:w="3800" w:type="pct"/>
          </w:tcPr>
          <w:p w14:paraId="02793CEB"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C63E2D" w:rsidRPr="00D01DDB" w14:paraId="71430198"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B3ECB1" w14:textId="77777777" w:rsidR="00C63E2D" w:rsidRPr="00D01DDB" w:rsidRDefault="00C63E2D" w:rsidP="00D92CB7">
            <w:pPr>
              <w:rPr>
                <w:szCs w:val="22"/>
              </w:rPr>
            </w:pPr>
            <w:r w:rsidRPr="00D01DDB">
              <w:rPr>
                <w:szCs w:val="22"/>
              </w:rPr>
              <w:t>ASA</w:t>
            </w:r>
          </w:p>
        </w:tc>
        <w:tc>
          <w:tcPr>
            <w:tcW w:w="3800" w:type="pct"/>
          </w:tcPr>
          <w:p w14:paraId="2D8C0FB3"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C63E2D" w:rsidRPr="00D01DDB" w14:paraId="74F378C2"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A10D92" w14:textId="77777777" w:rsidR="00C63E2D" w:rsidRPr="00D01DDB" w:rsidRDefault="00C63E2D" w:rsidP="00D92CB7">
            <w:pPr>
              <w:rPr>
                <w:szCs w:val="22"/>
              </w:rPr>
            </w:pPr>
            <w:r>
              <w:rPr>
                <w:szCs w:val="22"/>
              </w:rPr>
              <w:t>AUC</w:t>
            </w:r>
          </w:p>
        </w:tc>
        <w:tc>
          <w:tcPr>
            <w:tcW w:w="3800" w:type="pct"/>
          </w:tcPr>
          <w:p w14:paraId="67925C80"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t>A</w:t>
            </w:r>
            <w:r w:rsidRPr="00EC3500">
              <w:t xml:space="preserve">rea under the </w:t>
            </w:r>
            <w:r>
              <w:t xml:space="preserve">concentration time </w:t>
            </w:r>
            <w:r w:rsidRPr="00EC3500">
              <w:t>curve</w:t>
            </w:r>
          </w:p>
        </w:tc>
      </w:tr>
      <w:tr w:rsidR="00C63E2D" w:rsidRPr="00D01DDB" w14:paraId="0C20D523"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6C97A6" w14:textId="77777777" w:rsidR="00C63E2D" w:rsidRDefault="00C63E2D" w:rsidP="00D92CB7">
            <w:pPr>
              <w:rPr>
                <w:szCs w:val="22"/>
              </w:rPr>
            </w:pPr>
            <w:r>
              <w:rPr>
                <w:szCs w:val="22"/>
              </w:rPr>
              <w:t>AUC</w:t>
            </w:r>
            <w:r w:rsidRPr="008C78D2">
              <w:rPr>
                <w:szCs w:val="22"/>
                <w:vertAlign w:val="subscript"/>
              </w:rPr>
              <w:t>inf</w:t>
            </w:r>
          </w:p>
        </w:tc>
        <w:tc>
          <w:tcPr>
            <w:tcW w:w="3800" w:type="pct"/>
          </w:tcPr>
          <w:p w14:paraId="500287CE"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 xml:space="preserve">Area under the concentration time cure from </w:t>
            </w:r>
            <w:r w:rsidRPr="007D7DB4">
              <w:t>zero to infinity</w:t>
            </w:r>
          </w:p>
        </w:tc>
      </w:tr>
      <w:tr w:rsidR="00C63E2D" w:rsidRPr="00D01DDB" w14:paraId="0FBC353A"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9D5763" w14:textId="77777777" w:rsidR="00C63E2D" w:rsidRDefault="00C63E2D" w:rsidP="00D92CB7">
            <w:pPr>
              <w:rPr>
                <w:szCs w:val="22"/>
              </w:rPr>
            </w:pPr>
            <w:r>
              <w:t>AUC</w:t>
            </w:r>
            <w:r>
              <w:rPr>
                <w:vertAlign w:val="subscript"/>
              </w:rPr>
              <w:t>tau</w:t>
            </w:r>
          </w:p>
        </w:tc>
        <w:tc>
          <w:tcPr>
            <w:tcW w:w="3800" w:type="pct"/>
          </w:tcPr>
          <w:p w14:paraId="492E493B" w14:textId="1BE1F679" w:rsidR="00C63E2D" w:rsidRDefault="00C63E2D" w:rsidP="00D92CB7">
            <w:pPr>
              <w:cnfStyle w:val="000000000000" w:firstRow="0" w:lastRow="0" w:firstColumn="0" w:lastColumn="0" w:oddVBand="0" w:evenVBand="0" w:oddHBand="0" w:evenHBand="0" w:firstRowFirstColumn="0" w:firstRowLastColumn="0" w:lastRowFirstColumn="0" w:lastRowLastColumn="0"/>
            </w:pPr>
            <w:r>
              <w:t>A</w:t>
            </w:r>
            <w:r w:rsidRPr="007D7DB4">
              <w:t>rea under the concentration</w:t>
            </w:r>
            <w:r>
              <w:t xml:space="preserve"> </w:t>
            </w:r>
            <w:r w:rsidRPr="007D7DB4">
              <w:t>time curve from time zero to the end of the dosing interval</w:t>
            </w:r>
          </w:p>
        </w:tc>
      </w:tr>
      <w:tr w:rsidR="00C63E2D" w:rsidRPr="00D01DDB" w14:paraId="04C69822"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52AEEA" w14:textId="77777777" w:rsidR="00C63E2D" w:rsidRPr="00D01DDB" w:rsidRDefault="00C63E2D" w:rsidP="00D92CB7">
            <w:pPr>
              <w:rPr>
                <w:szCs w:val="22"/>
              </w:rPr>
            </w:pPr>
            <w:r w:rsidRPr="00EC3500">
              <w:t>BMT-153261</w:t>
            </w:r>
          </w:p>
        </w:tc>
        <w:tc>
          <w:tcPr>
            <w:tcW w:w="3800" w:type="pct"/>
          </w:tcPr>
          <w:p w14:paraId="790D0D5D"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Major active metabolite of </w:t>
            </w:r>
            <w:proofErr w:type="spellStart"/>
            <w:r>
              <w:rPr>
                <w:szCs w:val="22"/>
              </w:rPr>
              <w:t>deucravacitinib</w:t>
            </w:r>
            <w:proofErr w:type="spellEnd"/>
          </w:p>
        </w:tc>
      </w:tr>
      <w:tr w:rsidR="00C63E2D" w:rsidRPr="00D01DDB" w14:paraId="3D1586B3"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C700D4" w14:textId="77777777" w:rsidR="00C63E2D" w:rsidRPr="00D01DDB" w:rsidRDefault="00C63E2D" w:rsidP="00D92CB7">
            <w:pPr>
              <w:rPr>
                <w:szCs w:val="22"/>
              </w:rPr>
            </w:pPr>
            <w:r w:rsidRPr="00EC3500">
              <w:t>BMT-158170</w:t>
            </w:r>
          </w:p>
        </w:tc>
        <w:tc>
          <w:tcPr>
            <w:tcW w:w="3800" w:type="pct"/>
          </w:tcPr>
          <w:p w14:paraId="5A77B2DC"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Active metabolite of </w:t>
            </w:r>
            <w:proofErr w:type="spellStart"/>
            <w:r>
              <w:rPr>
                <w:szCs w:val="22"/>
              </w:rPr>
              <w:t>deucravacitinib</w:t>
            </w:r>
            <w:proofErr w:type="spellEnd"/>
          </w:p>
        </w:tc>
      </w:tr>
      <w:tr w:rsidR="00C63E2D" w:rsidRPr="00D01DDB" w14:paraId="5787BC16"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DD66A0" w14:textId="77777777" w:rsidR="00C63E2D" w:rsidRDefault="00C63E2D" w:rsidP="00D92CB7">
            <w:pPr>
              <w:rPr>
                <w:szCs w:val="22"/>
              </w:rPr>
            </w:pPr>
            <w:r w:rsidRPr="00370644">
              <w:t>BMT-334616</w:t>
            </w:r>
          </w:p>
        </w:tc>
        <w:tc>
          <w:tcPr>
            <w:tcW w:w="3800" w:type="pct"/>
          </w:tcPr>
          <w:p w14:paraId="31B71404"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rPr>
                <w:szCs w:val="22"/>
              </w:rPr>
              <w:t xml:space="preserve">Active metabolite of </w:t>
            </w:r>
            <w:proofErr w:type="spellStart"/>
            <w:r>
              <w:rPr>
                <w:szCs w:val="22"/>
              </w:rPr>
              <w:t>deucravacitinib</w:t>
            </w:r>
            <w:proofErr w:type="spellEnd"/>
          </w:p>
        </w:tc>
      </w:tr>
      <w:tr w:rsidR="00C63E2D" w:rsidRPr="00D01DDB" w14:paraId="7CEB750A"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4781A5" w14:textId="77777777" w:rsidR="00C63E2D" w:rsidRPr="00D01DDB" w:rsidRDefault="00C63E2D" w:rsidP="00D92CB7">
            <w:pPr>
              <w:rPr>
                <w:szCs w:val="22"/>
              </w:rPr>
            </w:pPr>
            <w:r>
              <w:rPr>
                <w:szCs w:val="22"/>
              </w:rPr>
              <w:t>BSA</w:t>
            </w:r>
          </w:p>
        </w:tc>
        <w:tc>
          <w:tcPr>
            <w:tcW w:w="3800" w:type="pct"/>
          </w:tcPr>
          <w:p w14:paraId="0B454EC4"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Pr>
                <w:szCs w:val="22"/>
              </w:rPr>
              <w:t>Body surface area</w:t>
            </w:r>
          </w:p>
        </w:tc>
      </w:tr>
      <w:tr w:rsidR="00C63E2D" w:rsidRPr="00D01DDB" w14:paraId="402AC867"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F5F78B" w14:textId="77777777" w:rsidR="00C63E2D" w:rsidRPr="00D01DDB" w:rsidRDefault="00C63E2D" w:rsidP="00D92CB7">
            <w:pPr>
              <w:rPr>
                <w:szCs w:val="22"/>
              </w:rPr>
            </w:pPr>
            <w:r>
              <w:rPr>
                <w:szCs w:val="22"/>
              </w:rPr>
              <w:t>CES2</w:t>
            </w:r>
          </w:p>
        </w:tc>
        <w:tc>
          <w:tcPr>
            <w:tcW w:w="3800" w:type="pct"/>
          </w:tcPr>
          <w:p w14:paraId="4A267386"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t>C</w:t>
            </w:r>
            <w:r w:rsidRPr="00370644">
              <w:t>arboxylesterase 2</w:t>
            </w:r>
          </w:p>
        </w:tc>
      </w:tr>
      <w:tr w:rsidR="00C63E2D" w:rsidRPr="00D01DDB" w14:paraId="0C90A24C"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56E066" w14:textId="77777777" w:rsidR="00C63E2D" w:rsidRDefault="00C63E2D" w:rsidP="00D92CB7">
            <w:pPr>
              <w:rPr>
                <w:szCs w:val="22"/>
              </w:rPr>
            </w:pPr>
            <w:r>
              <w:rPr>
                <w:szCs w:val="22"/>
              </w:rPr>
              <w:t>CI</w:t>
            </w:r>
          </w:p>
        </w:tc>
        <w:tc>
          <w:tcPr>
            <w:tcW w:w="3800" w:type="pct"/>
          </w:tcPr>
          <w:p w14:paraId="53EB7FBF"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Confidence interval</w:t>
            </w:r>
          </w:p>
        </w:tc>
      </w:tr>
      <w:tr w:rsidR="00C63E2D" w:rsidRPr="00D01DDB" w14:paraId="1600F929"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AF0445" w14:textId="77777777" w:rsidR="00C63E2D" w:rsidRDefault="00C63E2D" w:rsidP="00D92CB7">
            <w:pPr>
              <w:rPr>
                <w:szCs w:val="22"/>
              </w:rPr>
            </w:pPr>
            <w:proofErr w:type="spellStart"/>
            <w:r>
              <w:rPr>
                <w:szCs w:val="22"/>
              </w:rPr>
              <w:t>C</w:t>
            </w:r>
            <w:r w:rsidRPr="008C78D2">
              <w:rPr>
                <w:szCs w:val="22"/>
                <w:vertAlign w:val="subscript"/>
              </w:rPr>
              <w:t>max</w:t>
            </w:r>
            <w:proofErr w:type="spellEnd"/>
          </w:p>
        </w:tc>
        <w:tc>
          <w:tcPr>
            <w:tcW w:w="3800" w:type="pct"/>
          </w:tcPr>
          <w:p w14:paraId="0C43898F"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t>Maximum concentration</w:t>
            </w:r>
          </w:p>
        </w:tc>
      </w:tr>
      <w:tr w:rsidR="00C63E2D" w:rsidRPr="00D01DDB" w14:paraId="3894366C"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6354F0" w14:textId="77777777" w:rsidR="00C63E2D" w:rsidRDefault="00C63E2D" w:rsidP="00D92CB7">
            <w:pPr>
              <w:rPr>
                <w:szCs w:val="22"/>
              </w:rPr>
            </w:pPr>
            <w:proofErr w:type="spellStart"/>
            <w:proofErr w:type="gramStart"/>
            <w:r>
              <w:rPr>
                <w:szCs w:val="22"/>
              </w:rPr>
              <w:t>C</w:t>
            </w:r>
            <w:r w:rsidRPr="008C78D2">
              <w:rPr>
                <w:szCs w:val="22"/>
                <w:vertAlign w:val="subscript"/>
              </w:rPr>
              <w:t>max,ss</w:t>
            </w:r>
            <w:proofErr w:type="spellEnd"/>
            <w:proofErr w:type="gramEnd"/>
          </w:p>
        </w:tc>
        <w:tc>
          <w:tcPr>
            <w:tcW w:w="3800" w:type="pct"/>
          </w:tcPr>
          <w:p w14:paraId="03BE5A20"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Maximum concentration at steady state</w:t>
            </w:r>
          </w:p>
        </w:tc>
      </w:tr>
      <w:tr w:rsidR="00C63E2D" w:rsidRPr="00D01DDB" w14:paraId="5206BF81"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F89AF0" w14:textId="77777777" w:rsidR="00C63E2D" w:rsidRPr="00D01DDB" w:rsidRDefault="00C63E2D" w:rsidP="00D92CB7">
            <w:pPr>
              <w:rPr>
                <w:szCs w:val="22"/>
              </w:rPr>
            </w:pPr>
            <w:r w:rsidRPr="00D01DDB">
              <w:rPr>
                <w:szCs w:val="22"/>
              </w:rPr>
              <w:t>CMI</w:t>
            </w:r>
          </w:p>
        </w:tc>
        <w:tc>
          <w:tcPr>
            <w:tcW w:w="3800" w:type="pct"/>
          </w:tcPr>
          <w:p w14:paraId="645CAA86"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C63E2D" w:rsidRPr="00D01DDB" w14:paraId="77743EBF"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ED961F" w14:textId="77777777" w:rsidR="00C63E2D" w:rsidRPr="00D01DDB" w:rsidRDefault="00C63E2D" w:rsidP="00D92CB7">
            <w:pPr>
              <w:rPr>
                <w:szCs w:val="22"/>
              </w:rPr>
            </w:pPr>
            <w:r w:rsidRPr="00D01DDB">
              <w:rPr>
                <w:szCs w:val="22"/>
              </w:rPr>
              <w:t>DLP</w:t>
            </w:r>
          </w:p>
        </w:tc>
        <w:tc>
          <w:tcPr>
            <w:tcW w:w="3800" w:type="pct"/>
          </w:tcPr>
          <w:p w14:paraId="20A5106F"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C63E2D" w:rsidRPr="00D01DDB" w14:paraId="773853FE"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983014" w14:textId="77777777" w:rsidR="00C63E2D" w:rsidRDefault="00C63E2D" w:rsidP="00D92CB7">
            <w:pPr>
              <w:rPr>
                <w:szCs w:val="22"/>
              </w:rPr>
            </w:pPr>
            <w:r>
              <w:rPr>
                <w:szCs w:val="22"/>
              </w:rPr>
              <w:t>DLQI</w:t>
            </w:r>
          </w:p>
        </w:tc>
        <w:tc>
          <w:tcPr>
            <w:tcW w:w="3800" w:type="pct"/>
          </w:tcPr>
          <w:p w14:paraId="06795180"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rsidRPr="007D7DB4">
              <w:t>Dermatology Life Quality Index</w:t>
            </w:r>
          </w:p>
        </w:tc>
      </w:tr>
      <w:tr w:rsidR="00C63E2D" w:rsidRPr="00D01DDB" w14:paraId="5503F3F0"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FB35D4" w14:textId="77777777" w:rsidR="00C63E2D" w:rsidRDefault="00C63E2D" w:rsidP="00D92CB7">
            <w:pPr>
              <w:rPr>
                <w:szCs w:val="22"/>
              </w:rPr>
            </w:pPr>
            <w:r>
              <w:rPr>
                <w:szCs w:val="22"/>
              </w:rPr>
              <w:t>EAIR</w:t>
            </w:r>
          </w:p>
        </w:tc>
        <w:tc>
          <w:tcPr>
            <w:tcW w:w="3800" w:type="pct"/>
          </w:tcPr>
          <w:p w14:paraId="2E4CD7EA"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rsidRPr="00431975">
              <w:t>Exposure-adjusted incidence rates</w:t>
            </w:r>
          </w:p>
        </w:tc>
      </w:tr>
      <w:tr w:rsidR="00C63E2D" w:rsidRPr="00D01DDB" w14:paraId="0D6F0061"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B2266A" w14:textId="77777777" w:rsidR="00C63E2D" w:rsidRDefault="00C63E2D" w:rsidP="00D92CB7">
            <w:pPr>
              <w:rPr>
                <w:szCs w:val="22"/>
              </w:rPr>
            </w:pPr>
            <w:r>
              <w:rPr>
                <w:szCs w:val="22"/>
              </w:rPr>
              <w:t>eGFR</w:t>
            </w:r>
          </w:p>
        </w:tc>
        <w:tc>
          <w:tcPr>
            <w:tcW w:w="3800" w:type="pct"/>
          </w:tcPr>
          <w:p w14:paraId="34787D63"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E</w:t>
            </w:r>
            <w:r w:rsidRPr="008C78D2">
              <w:t>stimated glomerular filtration rate</w:t>
            </w:r>
          </w:p>
        </w:tc>
      </w:tr>
      <w:tr w:rsidR="00C63E2D" w:rsidRPr="00D01DDB" w14:paraId="4B558599"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6E52AA" w14:textId="77777777" w:rsidR="00C63E2D" w:rsidRDefault="00C63E2D" w:rsidP="00D92CB7">
            <w:pPr>
              <w:rPr>
                <w:szCs w:val="22"/>
              </w:rPr>
            </w:pPr>
            <w:r w:rsidRPr="007D7DB4">
              <w:t>EQ-5D-3L</w:t>
            </w:r>
          </w:p>
        </w:tc>
        <w:tc>
          <w:tcPr>
            <w:tcW w:w="3800" w:type="pct"/>
          </w:tcPr>
          <w:p w14:paraId="01664444"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rsidRPr="007D7DB4">
              <w:t>Euro Quality of Life Five Dimensions Questionnaire – 3-Level Version</w:t>
            </w:r>
          </w:p>
        </w:tc>
      </w:tr>
      <w:tr w:rsidR="00C63E2D" w:rsidRPr="00D01DDB" w14:paraId="13713E6E"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F30E75" w14:textId="77777777" w:rsidR="00C63E2D" w:rsidRDefault="00C63E2D" w:rsidP="00D92CB7">
            <w:pPr>
              <w:rPr>
                <w:szCs w:val="22"/>
              </w:rPr>
            </w:pPr>
            <w:r>
              <w:rPr>
                <w:szCs w:val="22"/>
              </w:rPr>
              <w:t>ESRD</w:t>
            </w:r>
          </w:p>
        </w:tc>
        <w:tc>
          <w:tcPr>
            <w:tcW w:w="3800" w:type="pct"/>
          </w:tcPr>
          <w:p w14:paraId="497E7592"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E</w:t>
            </w:r>
            <w:r w:rsidRPr="00370644">
              <w:t>nd stage renal disease</w:t>
            </w:r>
          </w:p>
        </w:tc>
      </w:tr>
      <w:tr w:rsidR="00C63E2D" w:rsidRPr="00D01DDB" w14:paraId="04C0D5F8"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74B403" w14:textId="77777777" w:rsidR="00C63E2D" w:rsidRPr="00D01DDB" w:rsidRDefault="00C63E2D" w:rsidP="00D92CB7">
            <w:pPr>
              <w:rPr>
                <w:szCs w:val="22"/>
              </w:rPr>
            </w:pPr>
            <w:r>
              <w:rPr>
                <w:szCs w:val="22"/>
              </w:rPr>
              <w:t>EU</w:t>
            </w:r>
          </w:p>
        </w:tc>
        <w:tc>
          <w:tcPr>
            <w:tcW w:w="3800" w:type="pct"/>
          </w:tcPr>
          <w:p w14:paraId="6A2ABDD0"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C63E2D" w:rsidRPr="00D01DDB" w14:paraId="567B86BF"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DD32CE" w14:textId="77777777" w:rsidR="00C63E2D" w:rsidRDefault="00C63E2D" w:rsidP="00D92CB7">
            <w:pPr>
              <w:rPr>
                <w:szCs w:val="22"/>
              </w:rPr>
            </w:pPr>
            <w:r>
              <w:rPr>
                <w:szCs w:val="22"/>
              </w:rPr>
              <w:t>GM</w:t>
            </w:r>
          </w:p>
        </w:tc>
        <w:tc>
          <w:tcPr>
            <w:tcW w:w="3800" w:type="pct"/>
          </w:tcPr>
          <w:p w14:paraId="64F2ED03"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Geometric mean</w:t>
            </w:r>
          </w:p>
        </w:tc>
      </w:tr>
      <w:tr w:rsidR="00C63E2D" w:rsidRPr="00D01DDB" w14:paraId="3DF36210"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ED347D" w14:textId="77777777" w:rsidR="00C63E2D" w:rsidRDefault="00C63E2D" w:rsidP="00D92CB7">
            <w:pPr>
              <w:rPr>
                <w:szCs w:val="22"/>
              </w:rPr>
            </w:pPr>
            <w:r>
              <w:rPr>
                <w:szCs w:val="22"/>
              </w:rPr>
              <w:t>HADS</w:t>
            </w:r>
          </w:p>
        </w:tc>
        <w:tc>
          <w:tcPr>
            <w:tcW w:w="3800" w:type="pct"/>
          </w:tcPr>
          <w:p w14:paraId="360376DA"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rsidRPr="007D7DB4">
              <w:t>Hospital Anxiety and Depression Scale</w:t>
            </w:r>
          </w:p>
        </w:tc>
      </w:tr>
      <w:tr w:rsidR="00C63E2D" w:rsidRPr="00D01DDB" w14:paraId="12D82025"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05C3A0" w14:textId="77777777" w:rsidR="00C63E2D" w:rsidRDefault="00C63E2D" w:rsidP="00D92CB7">
            <w:pPr>
              <w:rPr>
                <w:szCs w:val="22"/>
              </w:rPr>
            </w:pPr>
            <w:r>
              <w:rPr>
                <w:szCs w:val="22"/>
              </w:rPr>
              <w:t>IFN</w:t>
            </w:r>
          </w:p>
        </w:tc>
        <w:tc>
          <w:tcPr>
            <w:tcW w:w="3800" w:type="pct"/>
          </w:tcPr>
          <w:p w14:paraId="212E935D"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Pr>
                <w:szCs w:val="22"/>
              </w:rPr>
              <w:t>Interferon</w:t>
            </w:r>
          </w:p>
        </w:tc>
      </w:tr>
      <w:tr w:rsidR="00C63E2D" w:rsidRPr="00D01DDB" w14:paraId="58AE421E"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55D841" w14:textId="77777777" w:rsidR="00C63E2D" w:rsidRPr="00D01DDB" w:rsidRDefault="00C63E2D" w:rsidP="00D92CB7">
            <w:pPr>
              <w:rPr>
                <w:szCs w:val="22"/>
              </w:rPr>
            </w:pPr>
            <w:r>
              <w:rPr>
                <w:szCs w:val="22"/>
              </w:rPr>
              <w:t>IL</w:t>
            </w:r>
          </w:p>
        </w:tc>
        <w:tc>
          <w:tcPr>
            <w:tcW w:w="3800" w:type="pct"/>
          </w:tcPr>
          <w:p w14:paraId="6055DA8D"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Pr>
                <w:szCs w:val="22"/>
              </w:rPr>
              <w:t>Interleukin</w:t>
            </w:r>
          </w:p>
        </w:tc>
      </w:tr>
      <w:tr w:rsidR="00C63E2D" w:rsidRPr="00D01DDB" w14:paraId="27BCA5E4"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2B4C25" w14:textId="77777777" w:rsidR="00C63E2D" w:rsidRPr="00D01DDB" w:rsidRDefault="00C63E2D" w:rsidP="00D92CB7">
            <w:pPr>
              <w:rPr>
                <w:szCs w:val="22"/>
              </w:rPr>
            </w:pPr>
            <w:r>
              <w:rPr>
                <w:szCs w:val="22"/>
              </w:rPr>
              <w:t>JAK</w:t>
            </w:r>
          </w:p>
        </w:tc>
        <w:tc>
          <w:tcPr>
            <w:tcW w:w="3800" w:type="pct"/>
          </w:tcPr>
          <w:p w14:paraId="0814F9B7"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C47A89">
              <w:t>Janus associated kinase</w:t>
            </w:r>
          </w:p>
        </w:tc>
      </w:tr>
      <w:tr w:rsidR="00C63E2D" w:rsidRPr="00D01DDB" w14:paraId="1C895A37"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34EF74" w14:textId="77777777" w:rsidR="00C63E2D" w:rsidRPr="00D01DDB" w:rsidRDefault="00C63E2D" w:rsidP="00D92CB7">
            <w:pPr>
              <w:rPr>
                <w:szCs w:val="22"/>
              </w:rPr>
            </w:pPr>
            <w:r>
              <w:rPr>
                <w:szCs w:val="22"/>
              </w:rPr>
              <w:t>MACE</w:t>
            </w:r>
          </w:p>
        </w:tc>
        <w:tc>
          <w:tcPr>
            <w:tcW w:w="3800" w:type="pct"/>
          </w:tcPr>
          <w:p w14:paraId="08D2DD88"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t>M</w:t>
            </w:r>
            <w:r w:rsidRPr="007D7DB4">
              <w:t>ajor adverse cardiac events</w:t>
            </w:r>
          </w:p>
        </w:tc>
      </w:tr>
      <w:tr w:rsidR="00C63E2D" w:rsidRPr="00D01DDB" w14:paraId="0DDF4715"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569F1C" w14:textId="77777777" w:rsidR="00C63E2D" w:rsidRDefault="00C63E2D" w:rsidP="00D92CB7">
            <w:pPr>
              <w:rPr>
                <w:szCs w:val="22"/>
              </w:rPr>
            </w:pPr>
            <w:r>
              <w:rPr>
                <w:szCs w:val="22"/>
              </w:rPr>
              <w:t>NMSC</w:t>
            </w:r>
          </w:p>
        </w:tc>
        <w:tc>
          <w:tcPr>
            <w:tcW w:w="3800" w:type="pct"/>
          </w:tcPr>
          <w:p w14:paraId="0222D8AE"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N</w:t>
            </w:r>
            <w:r w:rsidRPr="00431975">
              <w:t>on</w:t>
            </w:r>
            <w:r>
              <w:noBreakHyphen/>
            </w:r>
            <w:r w:rsidRPr="00431975">
              <w:t>melanoma skin cancers</w:t>
            </w:r>
          </w:p>
        </w:tc>
      </w:tr>
      <w:tr w:rsidR="00C63E2D" w:rsidRPr="00D01DDB" w14:paraId="6468840B"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B6A920" w14:textId="77777777" w:rsidR="00C63E2D" w:rsidRDefault="00C63E2D" w:rsidP="00D92CB7">
            <w:pPr>
              <w:rPr>
                <w:szCs w:val="22"/>
              </w:rPr>
            </w:pPr>
            <w:r>
              <w:rPr>
                <w:szCs w:val="22"/>
              </w:rPr>
              <w:lastRenderedPageBreak/>
              <w:t>OR</w:t>
            </w:r>
          </w:p>
        </w:tc>
        <w:tc>
          <w:tcPr>
            <w:tcW w:w="3800" w:type="pct"/>
          </w:tcPr>
          <w:p w14:paraId="7F831FD1"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Odds ratio</w:t>
            </w:r>
          </w:p>
        </w:tc>
      </w:tr>
      <w:tr w:rsidR="00C63E2D" w:rsidRPr="00D01DDB" w14:paraId="753BE8E7"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9E8239" w14:textId="77777777" w:rsidR="00C63E2D" w:rsidRDefault="00C63E2D" w:rsidP="00D92CB7">
            <w:pPr>
              <w:rPr>
                <w:szCs w:val="22"/>
              </w:rPr>
            </w:pPr>
            <w:r>
              <w:rPr>
                <w:szCs w:val="22"/>
              </w:rPr>
              <w:t>PASE</w:t>
            </w:r>
          </w:p>
        </w:tc>
        <w:tc>
          <w:tcPr>
            <w:tcW w:w="3800" w:type="pct"/>
          </w:tcPr>
          <w:p w14:paraId="13F69196"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rsidRPr="007D7DB4">
              <w:t>Psoriatic Arthritis Screening and Evaluatio</w:t>
            </w:r>
            <w:r>
              <w:t xml:space="preserve">n </w:t>
            </w:r>
            <w:r w:rsidRPr="007D7DB4">
              <w:t>Questionnaire</w:t>
            </w:r>
          </w:p>
        </w:tc>
      </w:tr>
      <w:tr w:rsidR="00C63E2D" w:rsidRPr="00D01DDB" w14:paraId="63448828"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62D5B7" w14:textId="77777777" w:rsidR="00C63E2D" w:rsidRDefault="00C63E2D" w:rsidP="00D92CB7">
            <w:pPr>
              <w:rPr>
                <w:szCs w:val="22"/>
              </w:rPr>
            </w:pPr>
            <w:r>
              <w:rPr>
                <w:szCs w:val="22"/>
              </w:rPr>
              <w:t>PASI</w:t>
            </w:r>
          </w:p>
        </w:tc>
        <w:tc>
          <w:tcPr>
            <w:tcW w:w="3800" w:type="pct"/>
          </w:tcPr>
          <w:p w14:paraId="68AD8141"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P</w:t>
            </w:r>
            <w:r w:rsidRPr="007C6683">
              <w:t xml:space="preserve">soriasis </w:t>
            </w:r>
            <w:r>
              <w:t>a</w:t>
            </w:r>
            <w:r w:rsidRPr="007C6683">
              <w:t xml:space="preserve">rea and </w:t>
            </w:r>
            <w:r>
              <w:t>s</w:t>
            </w:r>
            <w:r w:rsidRPr="007C6683">
              <w:t xml:space="preserve">everity </w:t>
            </w:r>
            <w:r>
              <w:t>i</w:t>
            </w:r>
            <w:r w:rsidRPr="007C6683">
              <w:t>ndex</w:t>
            </w:r>
          </w:p>
        </w:tc>
      </w:tr>
      <w:tr w:rsidR="00C63E2D" w:rsidRPr="00D01DDB" w14:paraId="10808732"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2855CC" w14:textId="77777777" w:rsidR="00C63E2D" w:rsidRDefault="00C63E2D" w:rsidP="00D92CB7">
            <w:pPr>
              <w:rPr>
                <w:szCs w:val="22"/>
              </w:rPr>
            </w:pPr>
            <w:r>
              <w:rPr>
                <w:szCs w:val="22"/>
              </w:rPr>
              <w:t>PD</w:t>
            </w:r>
          </w:p>
        </w:tc>
        <w:tc>
          <w:tcPr>
            <w:tcW w:w="3800" w:type="pct"/>
          </w:tcPr>
          <w:p w14:paraId="41706932"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t>Pharmacodynamics</w:t>
            </w:r>
          </w:p>
        </w:tc>
      </w:tr>
      <w:tr w:rsidR="00C63E2D" w:rsidRPr="00D01DDB" w14:paraId="5EB61032"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CF4F73" w14:textId="77777777" w:rsidR="00C63E2D" w:rsidRDefault="00C63E2D" w:rsidP="00D92CB7">
            <w:pPr>
              <w:rPr>
                <w:szCs w:val="22"/>
              </w:rPr>
            </w:pPr>
            <w:r>
              <w:rPr>
                <w:szCs w:val="22"/>
              </w:rPr>
              <w:t>PGI-C</w:t>
            </w:r>
          </w:p>
        </w:tc>
        <w:tc>
          <w:tcPr>
            <w:tcW w:w="3800" w:type="pct"/>
          </w:tcPr>
          <w:p w14:paraId="0527B0CB"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rsidRPr="007D7DB4">
              <w:t>Patient’s Global Impression of Change</w:t>
            </w:r>
          </w:p>
        </w:tc>
      </w:tr>
      <w:tr w:rsidR="00C63E2D" w:rsidRPr="00D01DDB" w14:paraId="4E7B2259"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982DB4" w14:textId="77777777" w:rsidR="00C63E2D" w:rsidRDefault="00C63E2D" w:rsidP="00D92CB7">
            <w:pPr>
              <w:rPr>
                <w:szCs w:val="22"/>
              </w:rPr>
            </w:pPr>
            <w:r>
              <w:rPr>
                <w:szCs w:val="22"/>
              </w:rPr>
              <w:t>PGI-S</w:t>
            </w:r>
          </w:p>
        </w:tc>
        <w:tc>
          <w:tcPr>
            <w:tcW w:w="3800" w:type="pct"/>
          </w:tcPr>
          <w:p w14:paraId="2E1DF635"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rsidRPr="007D7DB4">
              <w:t>Patient’s Global Impression of Severi</w:t>
            </w:r>
            <w:r>
              <w:t>ty</w:t>
            </w:r>
          </w:p>
        </w:tc>
      </w:tr>
      <w:tr w:rsidR="00C63E2D" w:rsidRPr="00D01DDB" w14:paraId="6CA396D1"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E19B07" w14:textId="77777777" w:rsidR="00C63E2D" w:rsidRPr="00D01DDB" w:rsidRDefault="00C63E2D" w:rsidP="00D92CB7">
            <w:pPr>
              <w:rPr>
                <w:szCs w:val="22"/>
              </w:rPr>
            </w:pPr>
            <w:r w:rsidRPr="00D01DDB">
              <w:rPr>
                <w:szCs w:val="22"/>
              </w:rPr>
              <w:t>PI</w:t>
            </w:r>
          </w:p>
        </w:tc>
        <w:tc>
          <w:tcPr>
            <w:tcW w:w="3800" w:type="pct"/>
          </w:tcPr>
          <w:p w14:paraId="3E054E8F"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C63E2D" w:rsidRPr="00D01DDB" w14:paraId="1B6CDD90"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DDCC15" w14:textId="77777777" w:rsidR="00C63E2D" w:rsidRDefault="00C63E2D" w:rsidP="00D92CB7">
            <w:pPr>
              <w:rPr>
                <w:szCs w:val="22"/>
              </w:rPr>
            </w:pPr>
            <w:r>
              <w:rPr>
                <w:szCs w:val="22"/>
              </w:rPr>
              <w:t>PK</w:t>
            </w:r>
          </w:p>
        </w:tc>
        <w:tc>
          <w:tcPr>
            <w:tcW w:w="3800" w:type="pct"/>
          </w:tcPr>
          <w:p w14:paraId="09EB1AB9"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t>Pharmacokinetics</w:t>
            </w:r>
          </w:p>
        </w:tc>
      </w:tr>
      <w:tr w:rsidR="00C63E2D" w:rsidRPr="00D01DDB" w14:paraId="7A0A99F9"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7C9330" w14:textId="77777777" w:rsidR="00C63E2D" w:rsidRDefault="00C63E2D" w:rsidP="00D92CB7">
            <w:pPr>
              <w:rPr>
                <w:szCs w:val="22"/>
              </w:rPr>
            </w:pPr>
            <w:proofErr w:type="spellStart"/>
            <w:r>
              <w:rPr>
                <w:szCs w:val="22"/>
              </w:rPr>
              <w:t>PopPK</w:t>
            </w:r>
            <w:proofErr w:type="spellEnd"/>
          </w:p>
        </w:tc>
        <w:tc>
          <w:tcPr>
            <w:tcW w:w="3800" w:type="pct"/>
          </w:tcPr>
          <w:p w14:paraId="582762EA"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t>Population pharmacokinetics</w:t>
            </w:r>
          </w:p>
        </w:tc>
      </w:tr>
      <w:tr w:rsidR="00C63E2D" w:rsidRPr="00D01DDB" w14:paraId="3D16B505"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C1E60A" w14:textId="77777777" w:rsidR="00C63E2D" w:rsidRPr="00D01DDB" w:rsidRDefault="00C63E2D" w:rsidP="00D92CB7">
            <w:pPr>
              <w:rPr>
                <w:szCs w:val="22"/>
              </w:rPr>
            </w:pPr>
            <w:r>
              <w:rPr>
                <w:szCs w:val="22"/>
              </w:rPr>
              <w:t>PSSD</w:t>
            </w:r>
          </w:p>
        </w:tc>
        <w:tc>
          <w:tcPr>
            <w:tcW w:w="3800" w:type="pct"/>
          </w:tcPr>
          <w:p w14:paraId="40A2B56C" w14:textId="77777777" w:rsidR="00C63E2D" w:rsidRPr="003329DE"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7D7DB4">
              <w:t>Psoriasis Symptoms and Signs Diary</w:t>
            </w:r>
          </w:p>
        </w:tc>
      </w:tr>
      <w:tr w:rsidR="00C63E2D" w:rsidRPr="00D01DDB" w14:paraId="2862FCFF"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2B50EB" w14:textId="77777777" w:rsidR="00C63E2D" w:rsidRPr="00D01DDB" w:rsidRDefault="00C63E2D" w:rsidP="00D92CB7">
            <w:pPr>
              <w:rPr>
                <w:szCs w:val="22"/>
              </w:rPr>
            </w:pPr>
            <w:r w:rsidRPr="00D01DDB">
              <w:rPr>
                <w:szCs w:val="22"/>
              </w:rPr>
              <w:t>PSUR</w:t>
            </w:r>
          </w:p>
        </w:tc>
        <w:tc>
          <w:tcPr>
            <w:tcW w:w="3800" w:type="pct"/>
          </w:tcPr>
          <w:p w14:paraId="37CC0184"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C63E2D" w:rsidRPr="00D01DDB" w14:paraId="2D5448C6"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908685" w14:textId="77777777" w:rsidR="00C63E2D" w:rsidRDefault="00C63E2D" w:rsidP="00D92CB7">
            <w:pPr>
              <w:rPr>
                <w:szCs w:val="22"/>
              </w:rPr>
            </w:pPr>
            <w:r>
              <w:rPr>
                <w:szCs w:val="22"/>
              </w:rPr>
              <w:t>PT</w:t>
            </w:r>
          </w:p>
        </w:tc>
        <w:tc>
          <w:tcPr>
            <w:tcW w:w="3800" w:type="pct"/>
          </w:tcPr>
          <w:p w14:paraId="5B858BE2"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Preferred Term</w:t>
            </w:r>
          </w:p>
        </w:tc>
      </w:tr>
      <w:tr w:rsidR="00C63E2D" w:rsidRPr="00D01DDB" w14:paraId="29542691"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78AE72" w14:textId="77777777" w:rsidR="00C63E2D" w:rsidRPr="00D01DDB" w:rsidRDefault="00C63E2D" w:rsidP="00D92CB7">
            <w:pPr>
              <w:rPr>
                <w:szCs w:val="22"/>
              </w:rPr>
            </w:pPr>
            <w:r>
              <w:rPr>
                <w:szCs w:val="22"/>
              </w:rPr>
              <w:t>QoL</w:t>
            </w:r>
          </w:p>
        </w:tc>
        <w:tc>
          <w:tcPr>
            <w:tcW w:w="3800" w:type="pct"/>
          </w:tcPr>
          <w:p w14:paraId="51C90F13"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t>Q</w:t>
            </w:r>
            <w:r w:rsidRPr="007D7DB4">
              <w:t>uality of life</w:t>
            </w:r>
          </w:p>
        </w:tc>
      </w:tr>
      <w:tr w:rsidR="00C63E2D" w:rsidRPr="00D01DDB" w14:paraId="0A2FDA8C"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585A46" w14:textId="77777777" w:rsidR="00C63E2D" w:rsidRPr="00D01DDB" w:rsidRDefault="00C63E2D" w:rsidP="00D92CB7">
            <w:pPr>
              <w:rPr>
                <w:szCs w:val="22"/>
              </w:rPr>
            </w:pPr>
            <w:r w:rsidRPr="00D01DDB">
              <w:rPr>
                <w:szCs w:val="22"/>
              </w:rPr>
              <w:t>RMP</w:t>
            </w:r>
          </w:p>
        </w:tc>
        <w:tc>
          <w:tcPr>
            <w:tcW w:w="3800" w:type="pct"/>
          </w:tcPr>
          <w:p w14:paraId="048C01DB"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C63E2D" w:rsidRPr="00D01DDB" w14:paraId="614F597F"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DFD1DF" w14:textId="77777777" w:rsidR="00C63E2D" w:rsidRDefault="00C63E2D" w:rsidP="00D92CB7">
            <w:pPr>
              <w:rPr>
                <w:szCs w:val="22"/>
              </w:rPr>
            </w:pPr>
            <w:r>
              <w:rPr>
                <w:szCs w:val="22"/>
              </w:rPr>
              <w:t>SAE</w:t>
            </w:r>
          </w:p>
        </w:tc>
        <w:tc>
          <w:tcPr>
            <w:tcW w:w="3800" w:type="pct"/>
          </w:tcPr>
          <w:p w14:paraId="6D834DDF"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Serious adverse event</w:t>
            </w:r>
          </w:p>
        </w:tc>
      </w:tr>
      <w:tr w:rsidR="00C63E2D" w:rsidRPr="00D01DDB" w14:paraId="18B95BAE"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295625" w14:textId="77777777" w:rsidR="00C63E2D" w:rsidRDefault="00C63E2D" w:rsidP="00D92CB7">
            <w:pPr>
              <w:rPr>
                <w:szCs w:val="22"/>
              </w:rPr>
            </w:pPr>
            <w:r w:rsidRPr="007D7DB4">
              <w:t>SF-36</w:t>
            </w:r>
          </w:p>
        </w:tc>
        <w:tc>
          <w:tcPr>
            <w:tcW w:w="3800" w:type="pct"/>
          </w:tcPr>
          <w:p w14:paraId="18DAB0B2"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rsidRPr="007D7DB4">
              <w:t>Short Form Health Survey-36 Item</w:t>
            </w:r>
          </w:p>
        </w:tc>
      </w:tr>
      <w:tr w:rsidR="00C63E2D" w:rsidRPr="00D01DDB" w14:paraId="51FC2B87"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FEF2D6" w14:textId="77777777" w:rsidR="00C63E2D" w:rsidRDefault="00C63E2D" w:rsidP="00D92CB7">
            <w:pPr>
              <w:rPr>
                <w:szCs w:val="22"/>
              </w:rPr>
            </w:pPr>
            <w:r>
              <w:rPr>
                <w:szCs w:val="22"/>
              </w:rPr>
              <w:t>SOC</w:t>
            </w:r>
          </w:p>
        </w:tc>
        <w:tc>
          <w:tcPr>
            <w:tcW w:w="3800" w:type="pct"/>
          </w:tcPr>
          <w:p w14:paraId="64B6C04D"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System Organ Class</w:t>
            </w:r>
          </w:p>
        </w:tc>
      </w:tr>
      <w:tr w:rsidR="00C63E2D" w:rsidRPr="00D01DDB" w14:paraId="0438B38D"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1EC6EA" w14:textId="77777777" w:rsidR="00C63E2D" w:rsidRDefault="00C63E2D" w:rsidP="00D92CB7">
            <w:pPr>
              <w:rPr>
                <w:szCs w:val="22"/>
              </w:rPr>
            </w:pPr>
            <w:proofErr w:type="spellStart"/>
            <w:r>
              <w:rPr>
                <w:szCs w:val="22"/>
              </w:rPr>
              <w:t>sPGA</w:t>
            </w:r>
            <w:proofErr w:type="spellEnd"/>
          </w:p>
        </w:tc>
        <w:tc>
          <w:tcPr>
            <w:tcW w:w="3800" w:type="pct"/>
          </w:tcPr>
          <w:p w14:paraId="01C1D5EE"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S</w:t>
            </w:r>
            <w:r w:rsidRPr="007C6683">
              <w:t xml:space="preserve">tatic </w:t>
            </w:r>
            <w:proofErr w:type="gramStart"/>
            <w:r>
              <w:t>p</w:t>
            </w:r>
            <w:r w:rsidRPr="007C6683">
              <w:t>hysicians</w:t>
            </w:r>
            <w:proofErr w:type="gramEnd"/>
            <w:r w:rsidRPr="007C6683">
              <w:t xml:space="preserve"> </w:t>
            </w:r>
            <w:r>
              <w:t>g</w:t>
            </w:r>
            <w:r w:rsidRPr="007C6683">
              <w:t xml:space="preserve">lobal </w:t>
            </w:r>
            <w:r>
              <w:t>a</w:t>
            </w:r>
            <w:r w:rsidRPr="007C6683">
              <w:t>ssessment</w:t>
            </w:r>
          </w:p>
        </w:tc>
      </w:tr>
      <w:tr w:rsidR="00C63E2D" w:rsidRPr="00D01DDB" w14:paraId="6E66F3CA"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4CE286" w14:textId="77777777" w:rsidR="00C63E2D" w:rsidRPr="00D01DDB" w:rsidRDefault="00C63E2D" w:rsidP="00D92CB7">
            <w:pPr>
              <w:rPr>
                <w:szCs w:val="22"/>
              </w:rPr>
            </w:pPr>
            <w:r>
              <w:rPr>
                <w:szCs w:val="22"/>
              </w:rPr>
              <w:t>STAT</w:t>
            </w:r>
          </w:p>
        </w:tc>
        <w:tc>
          <w:tcPr>
            <w:tcW w:w="3800" w:type="pct"/>
          </w:tcPr>
          <w:p w14:paraId="369ADEED"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t>s</w:t>
            </w:r>
            <w:r w:rsidRPr="00C47A89">
              <w:t xml:space="preserve">ignal </w:t>
            </w:r>
            <w:r>
              <w:t>t</w:t>
            </w:r>
            <w:r w:rsidRPr="00C47A89">
              <w:t xml:space="preserve">ransducer and </w:t>
            </w:r>
            <w:r>
              <w:t>a</w:t>
            </w:r>
            <w:r w:rsidRPr="00C47A89">
              <w:t xml:space="preserve">ctivation of </w:t>
            </w:r>
            <w:r>
              <w:t>t</w:t>
            </w:r>
            <w:r w:rsidRPr="00C47A89">
              <w:t>ranscription</w:t>
            </w:r>
          </w:p>
        </w:tc>
      </w:tr>
      <w:tr w:rsidR="00C63E2D" w:rsidRPr="00D01DDB" w14:paraId="3A3316B9"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A36BB0" w14:textId="77777777" w:rsidR="00C63E2D" w:rsidRDefault="00C63E2D" w:rsidP="00D92CB7">
            <w:pPr>
              <w:rPr>
                <w:szCs w:val="22"/>
              </w:rPr>
            </w:pPr>
            <w:r>
              <w:t>T</w:t>
            </w:r>
            <w:r w:rsidRPr="009926B4">
              <w:rPr>
                <w:vertAlign w:val="subscript"/>
              </w:rPr>
              <w:t>1/2</w:t>
            </w:r>
          </w:p>
        </w:tc>
        <w:tc>
          <w:tcPr>
            <w:tcW w:w="3800" w:type="pct"/>
          </w:tcPr>
          <w:p w14:paraId="5E6740F0"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t>Half-life</w:t>
            </w:r>
          </w:p>
        </w:tc>
      </w:tr>
      <w:tr w:rsidR="00C63E2D" w:rsidRPr="00D01DDB" w14:paraId="35E6D826"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FB8163" w14:textId="77777777" w:rsidR="00C63E2D" w:rsidRPr="00D01DDB" w:rsidRDefault="00C63E2D" w:rsidP="00D92CB7">
            <w:pPr>
              <w:rPr>
                <w:szCs w:val="22"/>
              </w:rPr>
            </w:pPr>
            <w:r w:rsidRPr="00D01DDB">
              <w:rPr>
                <w:szCs w:val="22"/>
              </w:rPr>
              <w:t>TGA</w:t>
            </w:r>
          </w:p>
        </w:tc>
        <w:tc>
          <w:tcPr>
            <w:tcW w:w="3800" w:type="pct"/>
          </w:tcPr>
          <w:p w14:paraId="4F9F860F"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C63E2D" w:rsidRPr="00D01DDB" w14:paraId="4F716DD1"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FEF674" w14:textId="77777777" w:rsidR="00C63E2D" w:rsidRDefault="00C63E2D" w:rsidP="00D92CB7">
            <w:pPr>
              <w:rPr>
                <w:szCs w:val="22"/>
              </w:rPr>
            </w:pPr>
            <w:proofErr w:type="spellStart"/>
            <w:r>
              <w:rPr>
                <w:szCs w:val="22"/>
              </w:rPr>
              <w:t>T</w:t>
            </w:r>
            <w:r w:rsidRPr="008C78D2">
              <w:rPr>
                <w:szCs w:val="22"/>
                <w:vertAlign w:val="subscript"/>
              </w:rPr>
              <w:t>max</w:t>
            </w:r>
            <w:proofErr w:type="spellEnd"/>
          </w:p>
        </w:tc>
        <w:tc>
          <w:tcPr>
            <w:tcW w:w="3800" w:type="pct"/>
          </w:tcPr>
          <w:p w14:paraId="1741B961"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t>Time to maximum concentration</w:t>
            </w:r>
          </w:p>
        </w:tc>
      </w:tr>
      <w:tr w:rsidR="00C63E2D" w:rsidRPr="00D01DDB" w14:paraId="269021A2"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8ED1E0" w14:textId="77777777" w:rsidR="00C63E2D" w:rsidRPr="00D01DDB" w:rsidRDefault="00C63E2D" w:rsidP="00D92CB7">
            <w:pPr>
              <w:rPr>
                <w:szCs w:val="22"/>
              </w:rPr>
            </w:pPr>
            <w:r>
              <w:rPr>
                <w:szCs w:val="22"/>
              </w:rPr>
              <w:t>TNF</w:t>
            </w:r>
          </w:p>
        </w:tc>
        <w:tc>
          <w:tcPr>
            <w:tcW w:w="3800" w:type="pct"/>
          </w:tcPr>
          <w:p w14:paraId="7B166E3D"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3329DE">
              <w:rPr>
                <w:szCs w:val="22"/>
              </w:rPr>
              <w:t>umour necrosis factor</w:t>
            </w:r>
          </w:p>
        </w:tc>
      </w:tr>
      <w:tr w:rsidR="00C63E2D" w:rsidRPr="00D01DDB" w14:paraId="0227CB17"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6706EB" w14:textId="77777777" w:rsidR="00C63E2D" w:rsidRPr="00D01DDB" w:rsidRDefault="00C63E2D" w:rsidP="00D92CB7">
            <w:pPr>
              <w:rPr>
                <w:szCs w:val="22"/>
              </w:rPr>
            </w:pPr>
            <w:r>
              <w:rPr>
                <w:szCs w:val="22"/>
              </w:rPr>
              <w:t>TYK2</w:t>
            </w:r>
          </w:p>
        </w:tc>
        <w:tc>
          <w:tcPr>
            <w:tcW w:w="3800" w:type="pct"/>
          </w:tcPr>
          <w:p w14:paraId="4581084A"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t>T</w:t>
            </w:r>
            <w:r w:rsidRPr="00C47A89">
              <w:t>yrosine kinase type 2</w:t>
            </w:r>
          </w:p>
        </w:tc>
      </w:tr>
      <w:tr w:rsidR="00C63E2D" w:rsidRPr="00D01DDB" w14:paraId="34F00DBF"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A6F16B" w14:textId="77777777" w:rsidR="00C63E2D" w:rsidRDefault="00C63E2D" w:rsidP="00D92CB7">
            <w:pPr>
              <w:rPr>
                <w:szCs w:val="22"/>
              </w:rPr>
            </w:pPr>
            <w:r>
              <w:rPr>
                <w:szCs w:val="22"/>
              </w:rPr>
              <w:t>UGT</w:t>
            </w:r>
          </w:p>
        </w:tc>
        <w:tc>
          <w:tcPr>
            <w:tcW w:w="3800" w:type="pct"/>
          </w:tcPr>
          <w:p w14:paraId="5E887B53" w14:textId="77777777" w:rsidR="00C63E2D" w:rsidRDefault="00C63E2D" w:rsidP="00D92CB7">
            <w:pPr>
              <w:cnfStyle w:val="000000000000" w:firstRow="0" w:lastRow="0" w:firstColumn="0" w:lastColumn="0" w:oddVBand="0" w:evenVBand="0" w:oddHBand="0" w:evenHBand="0" w:firstRowFirstColumn="0" w:firstRowLastColumn="0" w:lastRowFirstColumn="0" w:lastRowLastColumn="0"/>
            </w:pPr>
            <w:r w:rsidRPr="00370644">
              <w:t>UDP glucuronosyltransferase</w:t>
            </w:r>
          </w:p>
        </w:tc>
      </w:tr>
      <w:tr w:rsidR="00C63E2D" w:rsidRPr="00D01DDB" w14:paraId="0C5050E1"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4C361E" w14:textId="77777777" w:rsidR="00C63E2D" w:rsidRPr="00D01DDB" w:rsidRDefault="00C63E2D" w:rsidP="00D92CB7">
            <w:pPr>
              <w:rPr>
                <w:szCs w:val="22"/>
              </w:rPr>
            </w:pPr>
            <w:r>
              <w:rPr>
                <w:szCs w:val="22"/>
              </w:rPr>
              <w:t>US(A)</w:t>
            </w:r>
          </w:p>
        </w:tc>
        <w:tc>
          <w:tcPr>
            <w:tcW w:w="3800" w:type="pct"/>
          </w:tcPr>
          <w:p w14:paraId="1EC52605" w14:textId="77777777" w:rsidR="00C63E2D" w:rsidRPr="00D01DDB" w:rsidRDefault="00C63E2D" w:rsidP="00D92CB7">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r w:rsidR="00C63E2D" w:rsidRPr="00D01DDB" w14:paraId="4993443E"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3B9106" w14:textId="77777777" w:rsidR="00C63E2D" w:rsidRDefault="00C63E2D" w:rsidP="00D92CB7">
            <w:pPr>
              <w:rPr>
                <w:szCs w:val="22"/>
              </w:rPr>
            </w:pPr>
            <w:r>
              <w:rPr>
                <w:szCs w:val="22"/>
              </w:rPr>
              <w:t>VAS</w:t>
            </w:r>
          </w:p>
        </w:tc>
        <w:tc>
          <w:tcPr>
            <w:tcW w:w="3800" w:type="pct"/>
          </w:tcPr>
          <w:p w14:paraId="08373906"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t>V</w:t>
            </w:r>
            <w:r w:rsidRPr="007D7DB4">
              <w:t xml:space="preserve">isual </w:t>
            </w:r>
            <w:proofErr w:type="spellStart"/>
            <w:r w:rsidRPr="007D7DB4">
              <w:t>analog</w:t>
            </w:r>
            <w:proofErr w:type="spellEnd"/>
            <w:r w:rsidRPr="007D7DB4">
              <w:t xml:space="preserve"> scale</w:t>
            </w:r>
          </w:p>
        </w:tc>
      </w:tr>
      <w:tr w:rsidR="00C63E2D" w:rsidRPr="00D01DDB" w14:paraId="6C8F0284" w14:textId="77777777" w:rsidTr="00D92CB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ADD50F" w14:textId="77777777" w:rsidR="00C63E2D" w:rsidRDefault="00C63E2D" w:rsidP="00D92CB7">
            <w:pPr>
              <w:rPr>
                <w:szCs w:val="22"/>
              </w:rPr>
            </w:pPr>
            <w:r>
              <w:rPr>
                <w:szCs w:val="22"/>
              </w:rPr>
              <w:t>WLQ</w:t>
            </w:r>
          </w:p>
        </w:tc>
        <w:tc>
          <w:tcPr>
            <w:tcW w:w="3800" w:type="pct"/>
          </w:tcPr>
          <w:p w14:paraId="74D36322" w14:textId="77777777" w:rsidR="00C63E2D" w:rsidRPr="007D7DB4" w:rsidRDefault="00C63E2D" w:rsidP="00D92CB7">
            <w:pPr>
              <w:cnfStyle w:val="000000000000" w:firstRow="0" w:lastRow="0" w:firstColumn="0" w:lastColumn="0" w:oddVBand="0" w:evenVBand="0" w:oddHBand="0" w:evenHBand="0" w:firstRowFirstColumn="0" w:firstRowLastColumn="0" w:lastRowFirstColumn="0" w:lastRowLastColumn="0"/>
            </w:pPr>
            <w:r w:rsidRPr="007D7DB4">
              <w:t>Work Limitation Questionnaire</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1445505"/>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1445506"/>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3F2CB85B"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5D4D5494" w:rsidR="00324B33" w:rsidRPr="00BD5DBD" w:rsidRDefault="00324B33" w:rsidP="007452E8">
            <w:pPr>
              <w:rPr>
                <w:i/>
                <w:szCs w:val="22"/>
              </w:rPr>
            </w:pPr>
            <w:r w:rsidRPr="00BD5DBD">
              <w:rPr>
                <w:i/>
                <w:szCs w:val="22"/>
              </w:rPr>
              <w:t>Product name:</w:t>
            </w:r>
          </w:p>
        </w:tc>
        <w:tc>
          <w:tcPr>
            <w:tcW w:w="3423" w:type="pct"/>
          </w:tcPr>
          <w:p w14:paraId="0E2DEF76" w14:textId="1830F8FB" w:rsidR="00324B33" w:rsidRPr="00BD5DBD" w:rsidRDefault="004B3A62" w:rsidP="007452E8">
            <w:pPr>
              <w:rPr>
                <w:szCs w:val="22"/>
              </w:rPr>
            </w:pPr>
            <w:proofErr w:type="spellStart"/>
            <w:r>
              <w:rPr>
                <w:szCs w:val="22"/>
              </w:rPr>
              <w:t>Sotyktu</w:t>
            </w:r>
            <w:proofErr w:type="spellEnd"/>
          </w:p>
        </w:tc>
      </w:tr>
      <w:tr w:rsidR="00324B33" w:rsidRPr="00BD5DBD" w14:paraId="01255B5B" w14:textId="77777777" w:rsidTr="00F865A7">
        <w:tc>
          <w:tcPr>
            <w:tcW w:w="1577" w:type="pct"/>
          </w:tcPr>
          <w:p w14:paraId="52B4F3D7" w14:textId="51B7519C" w:rsidR="00324B33" w:rsidRPr="00BD5DBD" w:rsidRDefault="00324B33" w:rsidP="007452E8">
            <w:pPr>
              <w:rPr>
                <w:i/>
                <w:szCs w:val="22"/>
              </w:rPr>
            </w:pPr>
            <w:r w:rsidRPr="00BD5DBD">
              <w:rPr>
                <w:i/>
                <w:szCs w:val="22"/>
              </w:rPr>
              <w:t>Active ingredient:</w:t>
            </w:r>
          </w:p>
        </w:tc>
        <w:tc>
          <w:tcPr>
            <w:tcW w:w="3423" w:type="pct"/>
          </w:tcPr>
          <w:p w14:paraId="02FB6383" w14:textId="19FF79E3" w:rsidR="00324B33" w:rsidRPr="00BD5DBD" w:rsidRDefault="004B3A62" w:rsidP="007452E8">
            <w:pPr>
              <w:rPr>
                <w:szCs w:val="22"/>
              </w:rPr>
            </w:pPr>
            <w:proofErr w:type="spellStart"/>
            <w:r>
              <w:rPr>
                <w:szCs w:val="22"/>
              </w:rPr>
              <w:t>D</w:t>
            </w:r>
            <w:r w:rsidRPr="004B3A62">
              <w:rPr>
                <w:szCs w:val="22"/>
              </w:rPr>
              <w:t>eucravacitinib</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971D1E0"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915B112" w:rsidR="00AE1947" w:rsidRPr="004B3A62" w:rsidRDefault="00AE1947" w:rsidP="004B3A62">
            <w:pPr>
              <w:rPr>
                <w:i/>
                <w:szCs w:val="22"/>
              </w:rPr>
            </w:pPr>
            <w:r w:rsidRPr="00BD5DBD">
              <w:rPr>
                <w:i/>
                <w:szCs w:val="22"/>
              </w:rPr>
              <w:t>Date of decision:</w:t>
            </w:r>
          </w:p>
        </w:tc>
        <w:tc>
          <w:tcPr>
            <w:tcW w:w="3423" w:type="pct"/>
          </w:tcPr>
          <w:p w14:paraId="7B381CD6" w14:textId="2564D3EF" w:rsidR="00AE1947" w:rsidRPr="00BD5DBD" w:rsidRDefault="004B3A62" w:rsidP="00D92CB7">
            <w:pPr>
              <w:rPr>
                <w:szCs w:val="22"/>
              </w:rPr>
            </w:pPr>
            <w:r>
              <w:rPr>
                <w:szCs w:val="22"/>
              </w:rPr>
              <w:t>29 November 2022</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372C504E" w:rsidR="00324B33" w:rsidRPr="00BD5DBD" w:rsidRDefault="004B3A62" w:rsidP="007452E8">
            <w:pPr>
              <w:rPr>
                <w:szCs w:val="22"/>
              </w:rPr>
            </w:pPr>
            <w:r>
              <w:rPr>
                <w:szCs w:val="22"/>
              </w:rPr>
              <w:t>1 December 2022</w:t>
            </w:r>
          </w:p>
        </w:tc>
      </w:tr>
      <w:tr w:rsidR="00324B33" w:rsidRPr="00BD5DBD" w14:paraId="547E08D7" w14:textId="77777777" w:rsidTr="00F865A7">
        <w:tc>
          <w:tcPr>
            <w:tcW w:w="1577" w:type="pct"/>
          </w:tcPr>
          <w:p w14:paraId="5030EF30" w14:textId="5F883061" w:rsidR="00324B33" w:rsidRPr="00BD5DBD" w:rsidRDefault="00324B33" w:rsidP="007452E8">
            <w:pPr>
              <w:rPr>
                <w:i/>
                <w:szCs w:val="22"/>
              </w:rPr>
            </w:pPr>
            <w:r w:rsidRPr="00BD5DBD">
              <w:rPr>
                <w:i/>
                <w:szCs w:val="22"/>
              </w:rPr>
              <w:t>ARTG number:</w:t>
            </w:r>
          </w:p>
        </w:tc>
        <w:tc>
          <w:tcPr>
            <w:tcW w:w="3423" w:type="pct"/>
          </w:tcPr>
          <w:p w14:paraId="0054E912" w14:textId="63DF62B9" w:rsidR="00324B33" w:rsidRPr="00BD5DBD" w:rsidRDefault="004B3A62" w:rsidP="007452E8">
            <w:pPr>
              <w:rPr>
                <w:szCs w:val="22"/>
              </w:rPr>
            </w:pPr>
            <w:r>
              <w:rPr>
                <w:szCs w:val="22"/>
              </w:rPr>
              <w:t>376290</w:t>
            </w:r>
          </w:p>
        </w:tc>
      </w:tr>
      <w:tr w:rsidR="00324B33" w:rsidRPr="00BD5DBD" w14:paraId="7618393F" w14:textId="77777777" w:rsidTr="00F865A7">
        <w:tc>
          <w:tcPr>
            <w:tcW w:w="1577" w:type="pct"/>
          </w:tcPr>
          <w:p w14:paraId="6C24CEB6" w14:textId="49F69F63"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0D95E282" w:rsidR="00324B33" w:rsidRPr="00BD5DBD" w:rsidRDefault="00324B33" w:rsidP="007452E8">
            <w:pPr>
              <w:rPr>
                <w:szCs w:val="22"/>
              </w:rPr>
            </w:pPr>
            <w:r w:rsidRPr="00BD5DBD">
              <w:rPr>
                <w:szCs w:val="22"/>
              </w:rPr>
              <w:t>Yes</w:t>
            </w:r>
          </w:p>
          <w:p w14:paraId="6FF3C6A2" w14:textId="16D9E1FC" w:rsidR="00324B33" w:rsidRPr="00BD5DBD" w:rsidRDefault="00324B33" w:rsidP="007452E8">
            <w:pPr>
              <w:rPr>
                <w:szCs w:val="22"/>
              </w:rPr>
            </w:pPr>
            <w:r w:rsidRPr="00BD5DBD">
              <w:rPr>
                <w:szCs w:val="22"/>
              </w:rPr>
              <w:t>This product will remain in the scheme for 5 years, starting on the date the product is first supplied in Australia</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07FBFF0C" w14:textId="77777777" w:rsidR="004B3A62" w:rsidRPr="004B3A62" w:rsidRDefault="004B3A62" w:rsidP="004B3A62">
            <w:pPr>
              <w:rPr>
                <w:szCs w:val="22"/>
              </w:rPr>
            </w:pPr>
            <w:r w:rsidRPr="004B3A62">
              <w:rPr>
                <w:szCs w:val="22"/>
              </w:rPr>
              <w:t>Bristol-Myers Squibb Australia Pty Ltd</w:t>
            </w:r>
          </w:p>
          <w:p w14:paraId="69742442" w14:textId="77777777" w:rsidR="004B3A62" w:rsidRPr="004B3A62" w:rsidRDefault="004B3A62" w:rsidP="004B3A62">
            <w:pPr>
              <w:rPr>
                <w:szCs w:val="22"/>
              </w:rPr>
            </w:pPr>
            <w:r w:rsidRPr="004B3A62">
              <w:rPr>
                <w:szCs w:val="22"/>
              </w:rPr>
              <w:t>4 Nexus Court, Mulgrave,</w:t>
            </w:r>
          </w:p>
          <w:p w14:paraId="68DD94B0" w14:textId="54E63EA2" w:rsidR="00324B33" w:rsidRPr="00BD5DBD" w:rsidRDefault="004B3A62" w:rsidP="004B3A62">
            <w:pPr>
              <w:rPr>
                <w:szCs w:val="22"/>
              </w:rPr>
            </w:pPr>
            <w:r w:rsidRPr="004B3A62">
              <w:rPr>
                <w:szCs w:val="22"/>
              </w:rPr>
              <w:t>V</w:t>
            </w:r>
            <w:r>
              <w:rPr>
                <w:szCs w:val="22"/>
              </w:rPr>
              <w:t>IC</w:t>
            </w:r>
            <w:r w:rsidRPr="004B3A62">
              <w:rPr>
                <w:szCs w:val="22"/>
              </w:rPr>
              <w:t xml:space="preserve"> 3170, Australia</w:t>
            </w:r>
          </w:p>
        </w:tc>
      </w:tr>
      <w:tr w:rsidR="00324B33" w:rsidRPr="00BD5DBD" w14:paraId="5322B989" w14:textId="77777777" w:rsidTr="00F865A7">
        <w:tc>
          <w:tcPr>
            <w:tcW w:w="1577" w:type="pct"/>
          </w:tcPr>
          <w:p w14:paraId="24F217E3" w14:textId="54BC878B" w:rsidR="00324B33" w:rsidRPr="00BD5DBD" w:rsidRDefault="00324B33" w:rsidP="007452E8">
            <w:pPr>
              <w:rPr>
                <w:i/>
                <w:szCs w:val="22"/>
              </w:rPr>
            </w:pPr>
            <w:r w:rsidRPr="00BD5DBD">
              <w:rPr>
                <w:i/>
                <w:szCs w:val="22"/>
              </w:rPr>
              <w:t>Dose form:</w:t>
            </w:r>
          </w:p>
        </w:tc>
        <w:tc>
          <w:tcPr>
            <w:tcW w:w="3423" w:type="pct"/>
          </w:tcPr>
          <w:p w14:paraId="768B254C" w14:textId="01B1BB42" w:rsidR="00324B33" w:rsidRPr="00BD5DBD" w:rsidRDefault="004B3A62" w:rsidP="007452E8">
            <w:pPr>
              <w:rPr>
                <w:szCs w:val="22"/>
              </w:rPr>
            </w:pPr>
            <w:r w:rsidRPr="004B3A62">
              <w:rPr>
                <w:szCs w:val="22"/>
              </w:rPr>
              <w:t>Film</w:t>
            </w:r>
            <w:r>
              <w:rPr>
                <w:szCs w:val="22"/>
              </w:rPr>
              <w:t xml:space="preserve"> </w:t>
            </w:r>
            <w:r w:rsidRPr="004B3A62">
              <w:rPr>
                <w:szCs w:val="22"/>
              </w:rPr>
              <w:t>coated tablet</w:t>
            </w:r>
          </w:p>
        </w:tc>
      </w:tr>
      <w:tr w:rsidR="00324B33" w:rsidRPr="00BD5DBD" w14:paraId="115243E6" w14:textId="77777777" w:rsidTr="00F865A7">
        <w:tc>
          <w:tcPr>
            <w:tcW w:w="1577" w:type="pct"/>
          </w:tcPr>
          <w:p w14:paraId="7634B062" w14:textId="3B006F32" w:rsidR="00324B33" w:rsidRPr="00BD5DBD" w:rsidRDefault="00324B33" w:rsidP="007452E8">
            <w:pPr>
              <w:rPr>
                <w:i/>
                <w:szCs w:val="22"/>
              </w:rPr>
            </w:pPr>
            <w:r w:rsidRPr="00BD5DBD">
              <w:rPr>
                <w:i/>
                <w:szCs w:val="22"/>
              </w:rPr>
              <w:t>Strength:</w:t>
            </w:r>
          </w:p>
        </w:tc>
        <w:tc>
          <w:tcPr>
            <w:tcW w:w="3423" w:type="pct"/>
          </w:tcPr>
          <w:p w14:paraId="5E5F83DB" w14:textId="5D4F6845" w:rsidR="00324B33" w:rsidRPr="00BD5DBD" w:rsidRDefault="004B3A62" w:rsidP="007452E8">
            <w:pPr>
              <w:rPr>
                <w:szCs w:val="22"/>
              </w:rPr>
            </w:pPr>
            <w:r>
              <w:rPr>
                <w:szCs w:val="22"/>
              </w:rPr>
              <w:t>6 mg</w:t>
            </w:r>
          </w:p>
        </w:tc>
      </w:tr>
      <w:tr w:rsidR="00324B33" w:rsidRPr="00BD5DBD" w14:paraId="34B07BA6" w14:textId="77777777" w:rsidTr="00F865A7">
        <w:tc>
          <w:tcPr>
            <w:tcW w:w="1577" w:type="pct"/>
          </w:tcPr>
          <w:p w14:paraId="1C039224" w14:textId="6FC4BD63" w:rsidR="00324B33" w:rsidRPr="00BD5DBD" w:rsidRDefault="00324B33" w:rsidP="007452E8">
            <w:pPr>
              <w:rPr>
                <w:i/>
                <w:szCs w:val="22"/>
              </w:rPr>
            </w:pPr>
            <w:r w:rsidRPr="00BD5DBD">
              <w:rPr>
                <w:i/>
                <w:szCs w:val="22"/>
              </w:rPr>
              <w:t>Container:</w:t>
            </w:r>
          </w:p>
        </w:tc>
        <w:tc>
          <w:tcPr>
            <w:tcW w:w="3423" w:type="pct"/>
          </w:tcPr>
          <w:p w14:paraId="500A42C6" w14:textId="2746BFEF" w:rsidR="00324B33" w:rsidRPr="00BD5DBD" w:rsidRDefault="004B3A62" w:rsidP="007452E8">
            <w:pPr>
              <w:rPr>
                <w:szCs w:val="22"/>
              </w:rPr>
            </w:pPr>
            <w:r>
              <w:rPr>
                <w:szCs w:val="22"/>
              </w:rPr>
              <w:t>Blister pack</w:t>
            </w:r>
          </w:p>
        </w:tc>
      </w:tr>
      <w:tr w:rsidR="00324B33" w:rsidRPr="00BD5DBD" w14:paraId="176B6773" w14:textId="77777777" w:rsidTr="00F865A7">
        <w:tc>
          <w:tcPr>
            <w:tcW w:w="1577" w:type="pct"/>
          </w:tcPr>
          <w:p w14:paraId="71846159" w14:textId="571801D1" w:rsidR="00324B33" w:rsidRPr="00BD5DBD" w:rsidRDefault="00324B33" w:rsidP="007452E8">
            <w:pPr>
              <w:rPr>
                <w:i/>
                <w:szCs w:val="22"/>
              </w:rPr>
            </w:pPr>
            <w:r w:rsidRPr="00BD5DBD">
              <w:rPr>
                <w:i/>
                <w:szCs w:val="22"/>
              </w:rPr>
              <w:t>Pack size</w:t>
            </w:r>
            <w:r w:rsidR="004B3A62">
              <w:rPr>
                <w:i/>
                <w:szCs w:val="22"/>
              </w:rPr>
              <w:t>s</w:t>
            </w:r>
            <w:r w:rsidRPr="00BD5DBD">
              <w:rPr>
                <w:i/>
                <w:szCs w:val="22"/>
              </w:rPr>
              <w:t>:</w:t>
            </w:r>
          </w:p>
        </w:tc>
        <w:tc>
          <w:tcPr>
            <w:tcW w:w="3423" w:type="pct"/>
          </w:tcPr>
          <w:p w14:paraId="7E978F8F" w14:textId="2890E837" w:rsidR="00324B33" w:rsidRPr="00BD5DBD" w:rsidRDefault="004B3A62" w:rsidP="007452E8">
            <w:pPr>
              <w:rPr>
                <w:szCs w:val="22"/>
              </w:rPr>
            </w:pPr>
            <w:r>
              <w:rPr>
                <w:szCs w:val="22"/>
              </w:rPr>
              <w:t>7 and 28</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45855AB7" w:rsidR="00324B33" w:rsidRPr="004B3A62" w:rsidRDefault="004B3A62" w:rsidP="007452E8">
            <w:pPr>
              <w:rPr>
                <w:i/>
                <w:iCs/>
                <w:szCs w:val="22"/>
              </w:rPr>
            </w:pPr>
            <w:proofErr w:type="spellStart"/>
            <w:r w:rsidRPr="004B3A62">
              <w:rPr>
                <w:i/>
                <w:iCs/>
                <w:szCs w:val="22"/>
              </w:rPr>
              <w:t>Sotyktu</w:t>
            </w:r>
            <w:proofErr w:type="spellEnd"/>
            <w:r w:rsidRPr="004B3A62">
              <w:rPr>
                <w:i/>
                <w:iCs/>
                <w:szCs w:val="22"/>
              </w:rPr>
              <w:t xml:space="preserve"> is indicated for the treatment of adult patients with moderate-to-severe plaque psoriasis who are candidates for systemic therapy or phototherapy.</w:t>
            </w:r>
          </w:p>
        </w:tc>
      </w:tr>
      <w:tr w:rsidR="00324B33" w:rsidRPr="00BD5DBD" w14:paraId="5AFDEED3" w14:textId="77777777" w:rsidTr="00F865A7">
        <w:tc>
          <w:tcPr>
            <w:tcW w:w="1577" w:type="pct"/>
          </w:tcPr>
          <w:p w14:paraId="03884BD1" w14:textId="5A95CA1C" w:rsidR="00324B33" w:rsidRPr="00BD5DBD" w:rsidRDefault="00324B33" w:rsidP="007452E8">
            <w:pPr>
              <w:rPr>
                <w:i/>
                <w:szCs w:val="22"/>
              </w:rPr>
            </w:pPr>
            <w:r w:rsidRPr="00BD5DBD">
              <w:rPr>
                <w:i/>
                <w:szCs w:val="22"/>
              </w:rPr>
              <w:t>Route of administration:</w:t>
            </w:r>
          </w:p>
        </w:tc>
        <w:tc>
          <w:tcPr>
            <w:tcW w:w="3423" w:type="pct"/>
          </w:tcPr>
          <w:p w14:paraId="1ED1357E" w14:textId="7403BAF1" w:rsidR="00324B33" w:rsidRPr="00BD5DBD" w:rsidRDefault="004B3A62"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246B144" w14:textId="45547496" w:rsidR="00324B33" w:rsidRPr="00BD5DBD" w:rsidRDefault="004B3A62" w:rsidP="007452E8">
            <w:pPr>
              <w:rPr>
                <w:szCs w:val="22"/>
              </w:rPr>
            </w:pPr>
            <w:r w:rsidRPr="004B3A62">
              <w:rPr>
                <w:szCs w:val="22"/>
              </w:rPr>
              <w:t xml:space="preserve">The recommended dose of </w:t>
            </w:r>
            <w:proofErr w:type="spellStart"/>
            <w:r w:rsidRPr="004B3A62">
              <w:rPr>
                <w:szCs w:val="22"/>
              </w:rPr>
              <w:t>S</w:t>
            </w:r>
            <w:r>
              <w:rPr>
                <w:szCs w:val="22"/>
              </w:rPr>
              <w:t>otyktu</w:t>
            </w:r>
            <w:proofErr w:type="spellEnd"/>
            <w:r w:rsidRPr="004B3A62">
              <w:rPr>
                <w:szCs w:val="22"/>
              </w:rPr>
              <w:t xml:space="preserve"> is 6 mg once daily taken orally, with or without food. Do not crush, cut, or chew the tablet.</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5DF1E56A" w14:textId="48777469" w:rsidR="004B3A62" w:rsidRPr="004B3A62" w:rsidRDefault="004B3A62" w:rsidP="004B3A62">
            <w:pPr>
              <w:rPr>
                <w:szCs w:val="22"/>
              </w:rPr>
            </w:pPr>
            <w:r w:rsidRPr="004B3A62">
              <w:rPr>
                <w:szCs w:val="22"/>
              </w:rPr>
              <w:t>B1</w:t>
            </w:r>
          </w:p>
          <w:p w14:paraId="71050C3C" w14:textId="29B9C1DA" w:rsidR="004B3A62" w:rsidRPr="004B3A62" w:rsidRDefault="004B3A62" w:rsidP="004B3A62">
            <w:pPr>
              <w:rPr>
                <w:szCs w:val="22"/>
              </w:rPr>
            </w:pPr>
            <w:r w:rsidRPr="004B3A62">
              <w:rPr>
                <w:szCs w:val="22"/>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4B3A62">
              <w:rPr>
                <w:szCs w:val="22"/>
              </w:rPr>
              <w:t>fetus</w:t>
            </w:r>
            <w:proofErr w:type="spellEnd"/>
            <w:r w:rsidRPr="004B3A62">
              <w:rPr>
                <w:szCs w:val="22"/>
              </w:rPr>
              <w:t xml:space="preserve"> having been observed.</w:t>
            </w:r>
          </w:p>
          <w:p w14:paraId="5E2AA3D6" w14:textId="217C3925" w:rsidR="00324B33" w:rsidRPr="00BD5DBD" w:rsidRDefault="004B3A62" w:rsidP="004B3A62">
            <w:pPr>
              <w:rPr>
                <w:szCs w:val="22"/>
              </w:rPr>
            </w:pPr>
            <w:r w:rsidRPr="004B3A62">
              <w:rPr>
                <w:szCs w:val="22"/>
              </w:rPr>
              <w:t xml:space="preserve">Studies in animals have not shown evidence of an increased occurrence of </w:t>
            </w:r>
            <w:proofErr w:type="spellStart"/>
            <w:r w:rsidRPr="004B3A62">
              <w:rPr>
                <w:szCs w:val="22"/>
              </w:rPr>
              <w:t>fetal</w:t>
            </w:r>
            <w:proofErr w:type="spellEnd"/>
            <w:r w:rsidRPr="004B3A62">
              <w:rPr>
                <w:szCs w:val="22"/>
              </w:rPr>
              <w:t xml:space="preserve"> damage. </w:t>
            </w:r>
            <w:r w:rsidR="00324B33" w:rsidRPr="00BD5DBD">
              <w:rPr>
                <w:szCs w:val="22"/>
              </w:rPr>
              <w:t xml:space="preserve">The use of any medicine during pregnancy requires careful consideration of both risks and benefits by the treating health professional. This must not be </w:t>
            </w:r>
            <w:r w:rsidR="00324B33" w:rsidRPr="00BD5DBD">
              <w:rPr>
                <w:szCs w:val="22"/>
              </w:rPr>
              <w:lastRenderedPageBreak/>
              <w:t>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3E4F0BBD" w:rsidR="00324B33" w:rsidRDefault="00324B33" w:rsidP="00324B33">
      <w:pPr>
        <w:pStyle w:val="Heading3"/>
      </w:pPr>
      <w:bookmarkStart w:id="11" w:name="_Toc247691503"/>
      <w:bookmarkStart w:id="12" w:name="_Toc314842484"/>
      <w:bookmarkStart w:id="13" w:name="_Toc103679290"/>
      <w:bookmarkStart w:id="14" w:name="_Toc141445507"/>
      <w:r>
        <w:lastRenderedPageBreak/>
        <w:t>Product background</w:t>
      </w:r>
      <w:bookmarkEnd w:id="11"/>
      <w:bookmarkEnd w:id="12"/>
      <w:bookmarkEnd w:id="13"/>
      <w:bookmarkEnd w:id="14"/>
    </w:p>
    <w:p w14:paraId="56B27CF2" w14:textId="20C867DC" w:rsidR="00324B33" w:rsidRPr="00BD5DBD" w:rsidRDefault="00324B33" w:rsidP="00324B33">
      <w:pPr>
        <w:rPr>
          <w:szCs w:val="22"/>
        </w:rPr>
      </w:pPr>
      <w:r w:rsidRPr="00BD5DBD">
        <w:rPr>
          <w:szCs w:val="22"/>
        </w:rPr>
        <w:t xml:space="preserve">This </w:t>
      </w:r>
      <w:proofErr w:type="spellStart"/>
      <w:r w:rsidRPr="00BD5DBD">
        <w:rPr>
          <w:szCs w:val="22"/>
        </w:rPr>
        <w:t>AusPAR</w:t>
      </w:r>
      <w:proofErr w:type="spellEnd"/>
      <w:r w:rsidRPr="00BD5DBD">
        <w:rPr>
          <w:szCs w:val="22"/>
        </w:rPr>
        <w:t xml:space="preserve"> describes the submission by </w:t>
      </w:r>
      <w:r w:rsidR="00D22875" w:rsidRPr="00D22875">
        <w:rPr>
          <w:szCs w:val="22"/>
        </w:rPr>
        <w:t>Bristol-Myers Squibb Australia Pty Ltd</w:t>
      </w:r>
      <w:r w:rsidRPr="00BD5DBD">
        <w:rPr>
          <w:szCs w:val="22"/>
        </w:rPr>
        <w:t xml:space="preserve"> (the sponsor) to register </w:t>
      </w:r>
      <w:proofErr w:type="spellStart"/>
      <w:r w:rsidR="00D22875" w:rsidRPr="00D22875">
        <w:rPr>
          <w:szCs w:val="22"/>
        </w:rPr>
        <w:t>S</w:t>
      </w:r>
      <w:r w:rsidR="00D22875">
        <w:rPr>
          <w:szCs w:val="22"/>
        </w:rPr>
        <w:t>otyktu</w:t>
      </w:r>
      <w:proofErr w:type="spellEnd"/>
      <w:r w:rsidR="00D22875">
        <w:rPr>
          <w:szCs w:val="22"/>
        </w:rPr>
        <w:t xml:space="preserve"> (</w:t>
      </w:r>
      <w:proofErr w:type="spellStart"/>
      <w:r w:rsidR="00D22875" w:rsidRPr="00D22875">
        <w:rPr>
          <w:szCs w:val="22"/>
        </w:rPr>
        <w:t>deucravacitinib</w:t>
      </w:r>
      <w:proofErr w:type="spellEnd"/>
      <w:r w:rsidRPr="00BD5DBD">
        <w:rPr>
          <w:szCs w:val="22"/>
        </w:rPr>
        <w:t xml:space="preserve">) </w:t>
      </w:r>
      <w:r w:rsidR="00D22875">
        <w:rPr>
          <w:szCs w:val="22"/>
        </w:rPr>
        <w:t>6 mg</w:t>
      </w:r>
      <w:r w:rsidRPr="00BD5DBD">
        <w:rPr>
          <w:szCs w:val="22"/>
        </w:rPr>
        <w:t xml:space="preserve">, </w:t>
      </w:r>
      <w:r w:rsidR="00D22875">
        <w:rPr>
          <w:szCs w:val="22"/>
        </w:rPr>
        <w:t>film coated tablet</w:t>
      </w:r>
      <w:r w:rsidR="00D62877" w:rsidRPr="00BD5DBD">
        <w:rPr>
          <w:szCs w:val="22"/>
        </w:rPr>
        <w:t xml:space="preserve">, </w:t>
      </w:r>
      <w:r w:rsidR="00D22875">
        <w:rPr>
          <w:szCs w:val="22"/>
        </w:rPr>
        <w:t>blister pack</w:t>
      </w:r>
      <w:r w:rsidRPr="00BD5DBD">
        <w:rPr>
          <w:szCs w:val="22"/>
        </w:rPr>
        <w:t xml:space="preserve"> for the following proposed indication:</w:t>
      </w:r>
      <w:r w:rsidR="00D63760" w:rsidRPr="00BD5DBD">
        <w:rPr>
          <w:rStyle w:val="FootnoteReference"/>
          <w:szCs w:val="22"/>
        </w:rPr>
        <w:footnoteReference w:id="2"/>
      </w:r>
    </w:p>
    <w:p w14:paraId="4CFD52C7" w14:textId="6023B2BA" w:rsidR="00D22875" w:rsidRPr="00D22875" w:rsidRDefault="00D22875" w:rsidP="00D22875">
      <w:pPr>
        <w:ind w:left="720"/>
        <w:rPr>
          <w:i/>
          <w:iCs/>
        </w:rPr>
      </w:pPr>
      <w:proofErr w:type="spellStart"/>
      <w:r w:rsidRPr="00D22875">
        <w:rPr>
          <w:i/>
          <w:iCs/>
        </w:rPr>
        <w:t>Sotyktu</w:t>
      </w:r>
      <w:proofErr w:type="spellEnd"/>
      <w:r w:rsidRPr="00D22875">
        <w:rPr>
          <w:i/>
          <w:iCs/>
        </w:rPr>
        <w:t xml:space="preserve"> is indicated for the treatment of adult patients with moderate-to-severe plaque psoriasis who are candidates for systemic therapy or phototherapy.</w:t>
      </w:r>
    </w:p>
    <w:p w14:paraId="5BD55EFA" w14:textId="7289CDC5" w:rsidR="00762210" w:rsidRDefault="00C47A89" w:rsidP="00324B33">
      <w:bookmarkStart w:id="15" w:name="_Toc314842485"/>
      <w:bookmarkStart w:id="16" w:name="_Toc247691504"/>
      <w:r w:rsidRPr="00C47A89">
        <w:t xml:space="preserve">The sponsor describes </w:t>
      </w:r>
      <w:proofErr w:type="spellStart"/>
      <w:r w:rsidRPr="00C47A89">
        <w:t>deucravacitinib</w:t>
      </w:r>
      <w:proofErr w:type="spellEnd"/>
      <w:r w:rsidRPr="00C47A89">
        <w:t xml:space="preserve"> as a </w:t>
      </w:r>
      <w:r w:rsidR="00762210">
        <w:t>‘</w:t>
      </w:r>
      <w:r w:rsidRPr="00C47A89">
        <w:t>first in class, oral, selective tyrosine kinase type 2 (TYK2) inhibitor</w:t>
      </w:r>
      <w:r w:rsidR="00762210">
        <w:t>’</w:t>
      </w:r>
      <w:r w:rsidRPr="00C47A89">
        <w:t xml:space="preserve">. TYK2 is a member of the Janus associated kinase (JAK) family of intracellular kinases, which regulate signal transduction downstream of cytokine receptors. TYK2 is stated to be highly selective for the </w:t>
      </w:r>
      <w:r w:rsidR="00BE2B0D">
        <w:t>interleukin (</w:t>
      </w:r>
      <w:r w:rsidRPr="00C47A89">
        <w:t>IL</w:t>
      </w:r>
      <w:r w:rsidR="00BE2B0D">
        <w:t>)</w:t>
      </w:r>
      <w:r w:rsidRPr="00C47A89">
        <w:t xml:space="preserve">-23/IL-12 pathways where it pairs with JAK2, and the type I interferon family where it pairs with JAK1, to activate the associated </w:t>
      </w:r>
      <w:r w:rsidR="00762210">
        <w:t>s</w:t>
      </w:r>
      <w:r w:rsidRPr="00C47A89">
        <w:t xml:space="preserve">ignal </w:t>
      </w:r>
      <w:r w:rsidR="00762210">
        <w:t>t</w:t>
      </w:r>
      <w:r w:rsidRPr="00C47A89">
        <w:t xml:space="preserve">ransducer and </w:t>
      </w:r>
      <w:r w:rsidR="00762210">
        <w:t>a</w:t>
      </w:r>
      <w:r w:rsidRPr="00C47A89">
        <w:t xml:space="preserve">ctivation of </w:t>
      </w:r>
      <w:r w:rsidR="00762210">
        <w:t>t</w:t>
      </w:r>
      <w:r w:rsidRPr="00C47A89">
        <w:t>ranscription (STAT) pathways. In his review of JAK inhibitor selectivity, Choy</w:t>
      </w:r>
      <w:r w:rsidR="00762210">
        <w:t xml:space="preserve"> (2019)</w:t>
      </w:r>
      <w:r w:rsidRPr="00C47A89">
        <w:t xml:space="preserve"> indicated that TYK2 may also be involved in regulation of IL-6, IL-11, and IL-27 pathways (see </w:t>
      </w:r>
      <w:r w:rsidR="00762210">
        <w:fldChar w:fldCharType="begin"/>
      </w:r>
      <w:r w:rsidR="00762210">
        <w:instrText xml:space="preserve"> REF _Ref141180367 \h </w:instrText>
      </w:r>
      <w:r w:rsidR="00762210">
        <w:fldChar w:fldCharType="separate"/>
      </w:r>
      <w:r w:rsidR="00C63E2D" w:rsidRPr="00762210">
        <w:t xml:space="preserve">Figure </w:t>
      </w:r>
      <w:r w:rsidR="00C63E2D">
        <w:rPr>
          <w:noProof/>
        </w:rPr>
        <w:t>1</w:t>
      </w:r>
      <w:r w:rsidR="00762210">
        <w:fldChar w:fldCharType="end"/>
      </w:r>
      <w:r w:rsidRPr="00C47A89">
        <w:t>).</w:t>
      </w:r>
      <w:r w:rsidR="00762210">
        <w:rPr>
          <w:rStyle w:val="FootnoteReference"/>
        </w:rPr>
        <w:footnoteReference w:id="3"/>
      </w:r>
      <w:r w:rsidRPr="00C47A89">
        <w:t xml:space="preserve"> The sponsor states that </w:t>
      </w:r>
      <w:r w:rsidR="00762210">
        <w:t>‘</w:t>
      </w:r>
      <w:r w:rsidRPr="00762210">
        <w:rPr>
          <w:i/>
          <w:iCs/>
        </w:rPr>
        <w:t>the binding mode of [</w:t>
      </w:r>
      <w:proofErr w:type="spellStart"/>
      <w:r w:rsidRPr="00762210">
        <w:rPr>
          <w:i/>
          <w:iCs/>
        </w:rPr>
        <w:t>deucravacitinib</w:t>
      </w:r>
      <w:proofErr w:type="spellEnd"/>
      <w:r w:rsidRPr="00762210">
        <w:rPr>
          <w:i/>
          <w:iCs/>
        </w:rPr>
        <w:t xml:space="preserve">] takes advantage of unique structural features of the TYK2 </w:t>
      </w:r>
      <w:proofErr w:type="spellStart"/>
      <w:r w:rsidRPr="00762210">
        <w:rPr>
          <w:i/>
          <w:iCs/>
        </w:rPr>
        <w:t>pseudokinase</w:t>
      </w:r>
      <w:proofErr w:type="spellEnd"/>
      <w:r w:rsidRPr="00762210">
        <w:rPr>
          <w:i/>
          <w:iCs/>
        </w:rPr>
        <w:t xml:space="preserve"> domain to provide high biochemical and cellular functional selectivity. This approach differentiates [</w:t>
      </w:r>
      <w:proofErr w:type="spellStart"/>
      <w:r w:rsidRPr="00762210">
        <w:rPr>
          <w:i/>
          <w:iCs/>
        </w:rPr>
        <w:t>deucravacitinib</w:t>
      </w:r>
      <w:proofErr w:type="spellEnd"/>
      <w:r w:rsidRPr="00762210">
        <w:rPr>
          <w:i/>
          <w:iCs/>
        </w:rPr>
        <w:t>] from inhibitors of the JAK kinases 1-3 that target the highly conserved active site of the kinase domain leading to lower selectivity</w:t>
      </w:r>
      <w:r w:rsidR="00762210">
        <w:t>’</w:t>
      </w:r>
      <w:r w:rsidRPr="00C47A89">
        <w:t>.</w:t>
      </w:r>
    </w:p>
    <w:p w14:paraId="387914B6" w14:textId="220D0B9E" w:rsidR="00762210" w:rsidRDefault="00762210" w:rsidP="00762210">
      <w:pPr>
        <w:pStyle w:val="FigureTitle"/>
        <w:keepNext/>
      </w:pPr>
      <w:bookmarkStart w:id="17" w:name="_Ref141180367"/>
      <w:r w:rsidRPr="00762210">
        <w:lastRenderedPageBreak/>
        <w:t xml:space="preserve">Figure </w:t>
      </w:r>
      <w:r>
        <w:fldChar w:fldCharType="begin"/>
      </w:r>
      <w:r>
        <w:instrText>SEQ Figure \* ARABIC</w:instrText>
      </w:r>
      <w:r>
        <w:fldChar w:fldCharType="separate"/>
      </w:r>
      <w:r w:rsidR="00C63E2D">
        <w:rPr>
          <w:noProof/>
        </w:rPr>
        <w:t>1</w:t>
      </w:r>
      <w:r>
        <w:fldChar w:fldCharType="end"/>
      </w:r>
      <w:bookmarkEnd w:id="17"/>
      <w:r w:rsidRPr="00762210">
        <w:t>:</w:t>
      </w:r>
      <w:r>
        <w:t xml:space="preserve"> </w:t>
      </w:r>
      <w:r w:rsidRPr="00762210">
        <w:t xml:space="preserve">Cytokine signalling via JAK isoforms and their </w:t>
      </w:r>
      <w:proofErr w:type="gramStart"/>
      <w:r w:rsidRPr="00762210">
        <w:t>inhibitors</w:t>
      </w:r>
      <w:proofErr w:type="gramEnd"/>
    </w:p>
    <w:p w14:paraId="7DEFEADE" w14:textId="5DC4AEE5" w:rsidR="00762210" w:rsidRDefault="00762210" w:rsidP="00762210">
      <w:r w:rsidRPr="00AF5678">
        <w:rPr>
          <w:noProof/>
        </w:rPr>
        <w:drawing>
          <wp:inline distT="0" distB="0" distL="0" distR="0" wp14:anchorId="4DA3EBA4" wp14:editId="39040CE4">
            <wp:extent cx="5088835" cy="3513585"/>
            <wp:effectExtent l="0" t="0" r="0" b="0"/>
            <wp:docPr id="1" name="Picture 1" descr="Cytokine signalling via JAK isoforms and their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ytokine signalling via JAK isoforms and their inhibito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7923" cy="3519860"/>
                    </a:xfrm>
                    <a:prstGeom prst="rect">
                      <a:avLst/>
                    </a:prstGeom>
                    <a:noFill/>
                    <a:ln>
                      <a:noFill/>
                    </a:ln>
                  </pic:spPr>
                </pic:pic>
              </a:graphicData>
            </a:graphic>
          </wp:inline>
        </w:drawing>
      </w:r>
    </w:p>
    <w:p w14:paraId="5D765CAF" w14:textId="10FFA46E" w:rsidR="00762210" w:rsidRDefault="00762210" w:rsidP="00762210">
      <w:pPr>
        <w:pStyle w:val="FigureDescription"/>
      </w:pPr>
      <w:r>
        <w:t>Source: Choy, (2019)</w:t>
      </w:r>
    </w:p>
    <w:p w14:paraId="0F327523" w14:textId="77777777" w:rsidR="00762210" w:rsidRDefault="00762210" w:rsidP="00762210">
      <w:pPr>
        <w:pStyle w:val="Heading4"/>
      </w:pPr>
      <w:bookmarkStart w:id="18" w:name="_Toc141445508"/>
      <w:r>
        <w:t>Condition</w:t>
      </w:r>
      <w:bookmarkEnd w:id="18"/>
    </w:p>
    <w:p w14:paraId="1DC4852D" w14:textId="2C1CDAEB" w:rsidR="00762210" w:rsidRPr="00762210" w:rsidRDefault="00762210" w:rsidP="00762210">
      <w:r w:rsidRPr="00762210">
        <w:t>Psoriasis is a chronic, non-communicable and often debilitating disease affecting the skin and nails and is most common in age group 50-69 years</w:t>
      </w:r>
      <w:r>
        <w:t>.</w:t>
      </w:r>
      <w:bookmarkStart w:id="19" w:name="_Ref141180780"/>
      <w:r>
        <w:rPr>
          <w:rStyle w:val="FootnoteReference"/>
          <w:rFonts w:asciiTheme="minorHAnsi" w:eastAsia="TimesNewRoman" w:hAnsiTheme="minorHAnsi" w:cs="TimesNewRoman"/>
          <w:color w:val="000000"/>
          <w:lang w:val="en-US"/>
        </w:rPr>
        <w:footnoteReference w:id="4"/>
      </w:r>
      <w:bookmarkEnd w:id="19"/>
      <w:r>
        <w:rPr>
          <w:rFonts w:asciiTheme="minorHAnsi" w:eastAsia="TimesNewRoman" w:hAnsiTheme="minorHAnsi" w:cs="TimesNewRoman"/>
          <w:color w:val="000000"/>
          <w:lang w:val="en-US"/>
        </w:rPr>
        <w:t xml:space="preserve"> </w:t>
      </w:r>
      <w:r w:rsidRPr="00762210">
        <w:t xml:space="preserve">The typical clinical features are of patches of scaling, </w:t>
      </w:r>
      <w:proofErr w:type="gramStart"/>
      <w:r w:rsidRPr="00762210">
        <w:t>induration</w:t>
      </w:r>
      <w:proofErr w:type="gramEnd"/>
      <w:r w:rsidRPr="00762210">
        <w:t xml:space="preserve"> and erythema. The classification of psoriasis can vary based on the clinical presentation. The most common subtype is chronic plaque psoriasis, with other major subtypes including guttate psoriasis, pustular psoriasis and erythrodermic psoriasis</w:t>
      </w:r>
      <w:r>
        <w:t>.</w:t>
      </w:r>
      <w:bookmarkStart w:id="20" w:name="_Ref141180802"/>
      <w:r>
        <w:rPr>
          <w:rStyle w:val="FootnoteReference"/>
          <w:rFonts w:asciiTheme="minorHAnsi" w:eastAsia="TimesNewRoman" w:hAnsiTheme="minorHAnsi" w:cs="TimesNewRoman"/>
          <w:color w:val="000000"/>
          <w:lang w:val="en-US"/>
        </w:rPr>
        <w:footnoteReference w:id="5"/>
      </w:r>
      <w:bookmarkEnd w:id="20"/>
      <w:r>
        <w:rPr>
          <w:rFonts w:asciiTheme="minorHAnsi" w:eastAsia="TimesNewRoman" w:hAnsiTheme="minorHAnsi" w:cs="TimesNewRoman"/>
          <w:color w:val="000000"/>
          <w:lang w:val="en-US"/>
        </w:rPr>
        <w:t xml:space="preserve"> </w:t>
      </w:r>
      <w:r w:rsidRPr="00762210">
        <w:t xml:space="preserve">The disease can have a fluctuating relapsing course, with flares that may be induced by factors such as infections, trauma, smoking, and stress. Psoriasis can involve skin in any part of the body; particularly disabling is the involvement of specific anatomic regions, such as hands and feet (palmoplantar), face, scalp, and nails. The disease severity can be graded by body surface area (BSA) with mild </w:t>
      </w:r>
      <w:r w:rsidR="00BE2B0D">
        <w:t>less than</w:t>
      </w:r>
      <w:r w:rsidRPr="00762210">
        <w:t xml:space="preserve"> 10% BSA, and moderate</w:t>
      </w:r>
      <w:r w:rsidR="00BE2B0D">
        <w:t xml:space="preserve"> </w:t>
      </w:r>
      <w:r w:rsidRPr="00762210">
        <w:t>to</w:t>
      </w:r>
      <w:r w:rsidR="00BE2B0D">
        <w:t xml:space="preserve"> </w:t>
      </w:r>
      <w:r w:rsidRPr="00762210">
        <w:t xml:space="preserve">severe </w:t>
      </w:r>
      <w:r w:rsidR="00BE2B0D">
        <w:t>greater than</w:t>
      </w:r>
      <w:r w:rsidRPr="00762210">
        <w:t xml:space="preserve"> 10% BSA.</w:t>
      </w:r>
    </w:p>
    <w:p w14:paraId="1735D170" w14:textId="76C04673" w:rsidR="00762210" w:rsidRPr="00F85BBE" w:rsidRDefault="00762210" w:rsidP="00762210">
      <w:r w:rsidRPr="00762210">
        <w:t>Psoriasis is associated with several co-morbidities and while the peak ages of onset are between 30 and 39 years and 50 and 69 years of age, it may be detected in children. The prevalence of psoriasis in Australia is estimated to be between 2.3</w:t>
      </w:r>
      <w:r w:rsidR="00BE2B0D">
        <w:t xml:space="preserve"> to </w:t>
      </w:r>
      <w:r w:rsidRPr="00762210">
        <w:t>6.6%</w:t>
      </w:r>
      <w:r>
        <w:fldChar w:fldCharType="begin"/>
      </w:r>
      <w:r>
        <w:instrText xml:space="preserve"> NOTEREF _Ref141180780 \f \h </w:instrText>
      </w:r>
      <w:r>
        <w:fldChar w:fldCharType="separate"/>
      </w:r>
      <w:r w:rsidR="00C63E2D" w:rsidRPr="00C63E2D">
        <w:rPr>
          <w:rStyle w:val="FootnoteReference"/>
        </w:rPr>
        <w:t>3</w:t>
      </w:r>
      <w:r>
        <w:fldChar w:fldCharType="end"/>
      </w:r>
      <w:r>
        <w:t xml:space="preserve"> </w:t>
      </w:r>
      <w:r w:rsidRPr="00762210">
        <w:t>Research has identified that psoriasis is a disease of immune dysfunction implicating T</w:t>
      </w:r>
      <w:r w:rsidR="00BE2B0D">
        <w:t>-</w:t>
      </w:r>
      <w:r w:rsidRPr="00762210">
        <w:t>lymphocytes, dendritic cells and cytokines including IL</w:t>
      </w:r>
      <w:r w:rsidR="00BE2B0D">
        <w:t>-</w:t>
      </w:r>
      <w:r w:rsidRPr="00762210">
        <w:t>23, IL</w:t>
      </w:r>
      <w:r w:rsidR="00BE2B0D">
        <w:t>-</w:t>
      </w:r>
      <w:r w:rsidRPr="00762210">
        <w:t xml:space="preserve">17 and </w:t>
      </w:r>
      <w:r w:rsidR="00BE2B0D">
        <w:rPr>
          <w:szCs w:val="22"/>
        </w:rPr>
        <w:t>t</w:t>
      </w:r>
      <w:r w:rsidR="00BE2B0D" w:rsidRPr="003329DE">
        <w:rPr>
          <w:szCs w:val="22"/>
        </w:rPr>
        <w:t>umour necrosis factor</w:t>
      </w:r>
      <w:r w:rsidR="00BE2B0D" w:rsidRPr="00762210">
        <w:t xml:space="preserve"> </w:t>
      </w:r>
      <w:r w:rsidR="00BE2B0D">
        <w:t>(</w:t>
      </w:r>
      <w:r w:rsidRPr="00762210">
        <w:t>TNF</w:t>
      </w:r>
      <w:r w:rsidR="00BE2B0D">
        <w:t>)</w:t>
      </w:r>
      <w:r>
        <w:t>.</w:t>
      </w:r>
      <w:r>
        <w:fldChar w:fldCharType="begin"/>
      </w:r>
      <w:r>
        <w:instrText xml:space="preserve"> NOTEREF _Ref141180802 \f \h </w:instrText>
      </w:r>
      <w:r>
        <w:fldChar w:fldCharType="separate"/>
      </w:r>
      <w:r w:rsidR="00C63E2D" w:rsidRPr="00C63E2D">
        <w:rPr>
          <w:rStyle w:val="FootnoteReference"/>
        </w:rPr>
        <w:t>4</w:t>
      </w:r>
      <w:r>
        <w:fldChar w:fldCharType="end"/>
      </w:r>
    </w:p>
    <w:p w14:paraId="06B0711C" w14:textId="77777777" w:rsidR="00762210" w:rsidRDefault="00762210" w:rsidP="00762210">
      <w:pPr>
        <w:pStyle w:val="Heading4"/>
      </w:pPr>
      <w:bookmarkStart w:id="21" w:name="_Toc141445509"/>
      <w:r>
        <w:t>Current treatment options</w:t>
      </w:r>
      <w:bookmarkEnd w:id="21"/>
    </w:p>
    <w:p w14:paraId="39EFF439" w14:textId="77777777" w:rsidR="00762210" w:rsidRDefault="00762210" w:rsidP="00762210">
      <w:r>
        <w:t xml:space="preserve">Mild or limited psoriasis may be managed in general practice with topical therapies including topical steroids, coal tar preparations and calcipotriol. Psoriasis that is extensive, does not </w:t>
      </w:r>
      <w:r>
        <w:lastRenderedPageBreak/>
        <w:t xml:space="preserve">respond to topical therapies or is associated with non-dermatological symptoms will require specialist therapy. Narrow band UVB therapy, conventional systemic anti-inflammatory medications such as methotrexate and ciclosporin, and the oral retinoid acitretin are generally trialled for more significant and widespread disease, but the oral medications </w:t>
      </w:r>
      <w:proofErr w:type="gramStart"/>
      <w:r>
        <w:t>in particular are</w:t>
      </w:r>
      <w:proofErr w:type="gramEnd"/>
      <w:r>
        <w:t xml:space="preserve"> associated with significant toxicities with long term use.</w:t>
      </w:r>
    </w:p>
    <w:p w14:paraId="4578F943" w14:textId="06C4893A" w:rsidR="00762210" w:rsidRPr="003D06BA" w:rsidRDefault="00762210" w:rsidP="00762210">
      <w:r>
        <w:t xml:space="preserve">A small number of biological medicines, respectively </w:t>
      </w:r>
      <w:proofErr w:type="spellStart"/>
      <w:r>
        <w:t>secukinumab</w:t>
      </w:r>
      <w:proofErr w:type="spellEnd"/>
      <w:r>
        <w:t xml:space="preserve">, </w:t>
      </w:r>
      <w:proofErr w:type="spellStart"/>
      <w:r>
        <w:t>ustekinumab</w:t>
      </w:r>
      <w:proofErr w:type="spellEnd"/>
      <w:r>
        <w:t xml:space="preserve">, and TNF inhibitors (infliximab, etanercept, adalimumab) are available on the Pharmaceutical Benefits Scheme for the treatment of patients with moderate to severe psoriasis under the care of a dermatologist if their disease satisfies stringent criteria. Apremilast, a </w:t>
      </w:r>
      <w:r w:rsidRPr="002B32EE">
        <w:t>small-molecule inhibitor of phosphodiesterase 4</w:t>
      </w:r>
      <w:r>
        <w:t xml:space="preserve">, and monoclonal antibodies including </w:t>
      </w:r>
      <w:proofErr w:type="spellStart"/>
      <w:r>
        <w:t>risankizumab</w:t>
      </w:r>
      <w:proofErr w:type="spellEnd"/>
      <w:r>
        <w:t xml:space="preserve">, </w:t>
      </w:r>
      <w:proofErr w:type="spellStart"/>
      <w:r>
        <w:t>ixekizumab</w:t>
      </w:r>
      <w:proofErr w:type="spellEnd"/>
      <w:r>
        <w:t xml:space="preserve"> and tildrakizumab, are registered but at </w:t>
      </w:r>
      <w:r w:rsidR="002600A7">
        <w:t>the time of evaluation</w:t>
      </w:r>
      <w:r w:rsidR="00854ECE">
        <w:t xml:space="preserve"> </w:t>
      </w:r>
      <w:r>
        <w:t>only available on private prescriptions.</w:t>
      </w:r>
    </w:p>
    <w:p w14:paraId="0D615854" w14:textId="77777777" w:rsidR="00324B33" w:rsidRPr="003F31A2" w:rsidRDefault="00324B33" w:rsidP="00324B33">
      <w:pPr>
        <w:pStyle w:val="Heading3"/>
      </w:pPr>
      <w:bookmarkStart w:id="22" w:name="_Toc103679291"/>
      <w:bookmarkStart w:id="23" w:name="_Toc141445510"/>
      <w:r>
        <w:t>Regulatory status</w:t>
      </w:r>
      <w:bookmarkEnd w:id="15"/>
      <w:bookmarkEnd w:id="16"/>
      <w:bookmarkEnd w:id="22"/>
      <w:bookmarkEnd w:id="23"/>
    </w:p>
    <w:p w14:paraId="6A8633FA" w14:textId="24B125D8" w:rsidR="00324B33" w:rsidRPr="00BD5DBD"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medicine for Australian regulatory purposes.</w:t>
      </w:r>
    </w:p>
    <w:p w14:paraId="715B7D2A" w14:textId="740B0E3B" w:rsidR="00324B33" w:rsidRPr="00BD5DBD" w:rsidRDefault="00324B33" w:rsidP="00324B33">
      <w:r>
        <w:t>At the time the TGA considered this submission, a similar submission had been approved i</w:t>
      </w:r>
      <w:r w:rsidR="0031463C">
        <w:t>n United States of America (USA)</w:t>
      </w:r>
      <w:r>
        <w:t xml:space="preserve"> on </w:t>
      </w:r>
      <w:r w:rsidR="003A75B4">
        <w:t>10</w:t>
      </w:r>
      <w:r w:rsidR="0031463C">
        <w:t xml:space="preserve"> September 2021</w:t>
      </w:r>
      <w:r>
        <w:t xml:space="preserve">. A similar submission was under consideration in </w:t>
      </w:r>
      <w:r w:rsidR="0031463C">
        <w:t>European Union</w:t>
      </w:r>
      <w:r w:rsidR="00637A42">
        <w:t xml:space="preserve"> (EU)</w:t>
      </w:r>
      <w:r>
        <w:t xml:space="preserve"> (submitted on </w:t>
      </w:r>
      <w:r w:rsidR="0031463C">
        <w:t>6 October 2021</w:t>
      </w:r>
      <w:r>
        <w:t>)</w:t>
      </w:r>
      <w:r w:rsidR="0031463C">
        <w:t>, Canada (submitted on 8 December 2021) and Swit</w:t>
      </w:r>
      <w:r w:rsidR="0031341A">
        <w:t>zerland (submitted on 15 November 2021).</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1B3277AC" w:rsidR="00324B33" w:rsidRDefault="00324B33" w:rsidP="00324B33">
      <w:pPr>
        <w:pStyle w:val="TableTitle"/>
      </w:pPr>
      <w:bookmarkStart w:id="24" w:name="_Ref99705479"/>
      <w:r>
        <w:t xml:space="preserve">Table </w:t>
      </w:r>
      <w:r>
        <w:fldChar w:fldCharType="begin"/>
      </w:r>
      <w:r>
        <w:instrText>SEQ Table \* ARABIC</w:instrText>
      </w:r>
      <w:r>
        <w:fldChar w:fldCharType="separate"/>
      </w:r>
      <w:r w:rsidR="00616D6B">
        <w:rPr>
          <w:noProof/>
        </w:rPr>
        <w:t>1</w:t>
      </w:r>
      <w:r>
        <w:fldChar w:fldCharType="end"/>
      </w:r>
      <w:bookmarkEnd w:id="24"/>
      <w:r>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558AD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558AD17F">
        <w:tc>
          <w:tcPr>
            <w:cnfStyle w:val="001000000000" w:firstRow="0" w:lastRow="0" w:firstColumn="1" w:lastColumn="0" w:oddVBand="0" w:evenVBand="0" w:oddHBand="0" w:evenHBand="0" w:firstRowFirstColumn="0" w:firstRowLastColumn="0" w:lastRowFirstColumn="0" w:lastRowLastColumn="0"/>
            <w:tcW w:w="1014" w:type="pct"/>
          </w:tcPr>
          <w:p w14:paraId="4C540DE5" w14:textId="4D3B50A1" w:rsidR="00324B33" w:rsidRPr="00D01DDB" w:rsidRDefault="0031463C" w:rsidP="00324B33">
            <w:pPr>
              <w:rPr>
                <w:szCs w:val="22"/>
              </w:rPr>
            </w:pPr>
            <w:r>
              <w:rPr>
                <w:szCs w:val="22"/>
              </w:rPr>
              <w:t>United States of America</w:t>
            </w:r>
          </w:p>
        </w:tc>
        <w:tc>
          <w:tcPr>
            <w:tcW w:w="1018" w:type="pct"/>
          </w:tcPr>
          <w:p w14:paraId="4FA5DDA9" w14:textId="619BFAEB" w:rsidR="0031463C" w:rsidRPr="00D01DDB" w:rsidRDefault="003A75B4" w:rsidP="0031463C">
            <w:pPr>
              <w:cnfStyle w:val="000000000000" w:firstRow="0" w:lastRow="0" w:firstColumn="0" w:lastColumn="0" w:oddVBand="0" w:evenVBand="0" w:oddHBand="0" w:evenHBand="0" w:firstRowFirstColumn="0" w:firstRowLastColumn="0" w:lastRowFirstColumn="0" w:lastRowLastColumn="0"/>
            </w:pPr>
            <w:r>
              <w:t xml:space="preserve">10 </w:t>
            </w:r>
            <w:r w:rsidR="0031463C">
              <w:t>September 2021</w:t>
            </w:r>
          </w:p>
        </w:tc>
        <w:tc>
          <w:tcPr>
            <w:tcW w:w="1173" w:type="pct"/>
          </w:tcPr>
          <w:p w14:paraId="29358393" w14:textId="34B73ED5"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31463C">
              <w:rPr>
                <w:szCs w:val="22"/>
              </w:rPr>
              <w:t>9 September 2022</w:t>
            </w:r>
          </w:p>
        </w:tc>
        <w:tc>
          <w:tcPr>
            <w:tcW w:w="1795" w:type="pct"/>
          </w:tcPr>
          <w:p w14:paraId="05055674" w14:textId="79B343C4" w:rsidR="00324B33" w:rsidRPr="0031463C" w:rsidRDefault="0031463C" w:rsidP="0031463C">
            <w:pPr>
              <w:cnfStyle w:val="000000000000" w:firstRow="0" w:lastRow="0" w:firstColumn="0" w:lastColumn="0" w:oddVBand="0" w:evenVBand="0" w:oddHBand="0" w:evenHBand="0" w:firstRowFirstColumn="0" w:firstRowLastColumn="0" w:lastRowFirstColumn="0" w:lastRowLastColumn="0"/>
              <w:rPr>
                <w:i/>
                <w:iCs/>
                <w:szCs w:val="22"/>
              </w:rPr>
            </w:pPr>
            <w:proofErr w:type="spellStart"/>
            <w:r w:rsidRPr="0031463C">
              <w:rPr>
                <w:i/>
                <w:iCs/>
                <w:szCs w:val="22"/>
              </w:rPr>
              <w:t>Sotyktu</w:t>
            </w:r>
            <w:proofErr w:type="spellEnd"/>
            <w:r w:rsidRPr="0031463C">
              <w:rPr>
                <w:i/>
                <w:iCs/>
                <w:szCs w:val="22"/>
              </w:rPr>
              <w:t xml:space="preserve"> is indicated for the treatment of moderate-to-severe plaque psoriasis in adults who are candidates for systemic therapy or phototherapy.</w:t>
            </w:r>
          </w:p>
        </w:tc>
      </w:tr>
      <w:tr w:rsidR="00324B33" w:rsidRPr="00D01DDB" w14:paraId="18B6E2AA" w14:textId="7783D66F" w:rsidTr="558AD17F">
        <w:tc>
          <w:tcPr>
            <w:cnfStyle w:val="001000000000" w:firstRow="0" w:lastRow="0" w:firstColumn="1" w:lastColumn="0" w:oddVBand="0" w:evenVBand="0" w:oddHBand="0" w:evenHBand="0" w:firstRowFirstColumn="0" w:firstRowLastColumn="0" w:lastRowFirstColumn="0" w:lastRowLastColumn="0"/>
            <w:tcW w:w="1014" w:type="pct"/>
          </w:tcPr>
          <w:p w14:paraId="54D0D7F4" w14:textId="77777777" w:rsidR="00324B33" w:rsidRDefault="0031463C" w:rsidP="00324B33">
            <w:pPr>
              <w:rPr>
                <w:szCs w:val="22"/>
              </w:rPr>
            </w:pPr>
            <w:r>
              <w:rPr>
                <w:szCs w:val="22"/>
              </w:rPr>
              <w:t>European Union</w:t>
            </w:r>
          </w:p>
          <w:p w14:paraId="7F348960" w14:textId="3F076A27" w:rsidR="0031463C" w:rsidRPr="00D01DDB" w:rsidRDefault="0031463C" w:rsidP="00324B33">
            <w:pPr>
              <w:rPr>
                <w:szCs w:val="22"/>
              </w:rPr>
            </w:pPr>
            <w:r>
              <w:rPr>
                <w:szCs w:val="22"/>
              </w:rPr>
              <w:t>Centralised procedure</w:t>
            </w:r>
          </w:p>
        </w:tc>
        <w:tc>
          <w:tcPr>
            <w:tcW w:w="1018" w:type="pct"/>
          </w:tcPr>
          <w:p w14:paraId="1D871E57" w14:textId="693D60F1" w:rsidR="00324B33" w:rsidRPr="00D01DDB" w:rsidRDefault="003146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October 2021</w:t>
            </w:r>
          </w:p>
        </w:tc>
        <w:tc>
          <w:tcPr>
            <w:tcW w:w="1173" w:type="pct"/>
          </w:tcPr>
          <w:p w14:paraId="63A3A9D3" w14:textId="5E7F6AE8" w:rsidR="00324B33" w:rsidRPr="00D01DDB" w:rsidRDefault="00324B33" w:rsidP="24C43CA6">
            <w:pPr>
              <w:cnfStyle w:val="000000000000" w:firstRow="0" w:lastRow="0" w:firstColumn="0" w:lastColumn="0" w:oddVBand="0" w:evenVBand="0" w:oddHBand="0" w:evenHBand="0" w:firstRowFirstColumn="0" w:firstRowLastColumn="0" w:lastRowFirstColumn="0" w:lastRowLastColumn="0"/>
            </w:pPr>
            <w:r>
              <w:t xml:space="preserve">Under </w:t>
            </w:r>
            <w:r w:rsidR="0031463C">
              <w:t>consideration</w:t>
            </w:r>
          </w:p>
        </w:tc>
        <w:tc>
          <w:tcPr>
            <w:tcW w:w="1795" w:type="pct"/>
          </w:tcPr>
          <w:p w14:paraId="17C650B8" w14:textId="5B567795" w:rsidR="00324B33" w:rsidRPr="00D01DDB" w:rsidRDefault="00324B33" w:rsidP="24C43CA6">
            <w:pPr>
              <w:cnfStyle w:val="000000000000" w:firstRow="0" w:lastRow="0" w:firstColumn="0" w:lastColumn="0" w:oddVBand="0" w:evenVBand="0" w:oddHBand="0" w:evenHBand="0" w:firstRowFirstColumn="0" w:firstRowLastColumn="0" w:lastRowFirstColumn="0" w:lastRowLastColumn="0"/>
            </w:pPr>
            <w:r>
              <w:t>Under consideration</w:t>
            </w:r>
          </w:p>
        </w:tc>
      </w:tr>
      <w:tr w:rsidR="0031463C" w:rsidRPr="00D01DDB" w14:paraId="447B10AF" w14:textId="77777777" w:rsidTr="558AD17F">
        <w:tc>
          <w:tcPr>
            <w:cnfStyle w:val="001000000000" w:firstRow="0" w:lastRow="0" w:firstColumn="1" w:lastColumn="0" w:oddVBand="0" w:evenVBand="0" w:oddHBand="0" w:evenHBand="0" w:firstRowFirstColumn="0" w:firstRowLastColumn="0" w:lastRowFirstColumn="0" w:lastRowLastColumn="0"/>
            <w:tcW w:w="1014" w:type="pct"/>
          </w:tcPr>
          <w:p w14:paraId="697A3F96" w14:textId="0CF52A05" w:rsidR="0031463C" w:rsidRDefault="0031463C" w:rsidP="00324B33">
            <w:pPr>
              <w:rPr>
                <w:szCs w:val="22"/>
              </w:rPr>
            </w:pPr>
            <w:r>
              <w:rPr>
                <w:szCs w:val="22"/>
              </w:rPr>
              <w:t>Canada</w:t>
            </w:r>
          </w:p>
        </w:tc>
        <w:tc>
          <w:tcPr>
            <w:tcW w:w="1018" w:type="pct"/>
          </w:tcPr>
          <w:p w14:paraId="11E65DEC" w14:textId="51A69C23" w:rsidR="0031463C" w:rsidRDefault="003146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December 2021</w:t>
            </w:r>
          </w:p>
        </w:tc>
        <w:tc>
          <w:tcPr>
            <w:tcW w:w="1173" w:type="pct"/>
          </w:tcPr>
          <w:p w14:paraId="4DADE6F3" w14:textId="603EE23A" w:rsidR="0031463C" w:rsidRPr="00D01DDB" w:rsidRDefault="0031463C" w:rsidP="24C43CA6">
            <w:pPr>
              <w:cnfStyle w:val="000000000000" w:firstRow="0" w:lastRow="0" w:firstColumn="0" w:lastColumn="0" w:oddVBand="0" w:evenVBand="0" w:oddHBand="0" w:evenHBand="0" w:firstRowFirstColumn="0" w:firstRowLastColumn="0" w:lastRowFirstColumn="0" w:lastRowLastColumn="0"/>
            </w:pPr>
            <w:r>
              <w:t>Under consideration</w:t>
            </w:r>
          </w:p>
        </w:tc>
        <w:tc>
          <w:tcPr>
            <w:tcW w:w="1795" w:type="pct"/>
          </w:tcPr>
          <w:p w14:paraId="2381C54E" w14:textId="4F508EC2" w:rsidR="0031463C" w:rsidRPr="00D01DDB" w:rsidRDefault="0031463C" w:rsidP="558AD17F">
            <w:pPr>
              <w:cnfStyle w:val="000000000000" w:firstRow="0" w:lastRow="0" w:firstColumn="0" w:lastColumn="0" w:oddVBand="0" w:evenVBand="0" w:oddHBand="0" w:evenHBand="0" w:firstRowFirstColumn="0" w:firstRowLastColumn="0" w:lastRowFirstColumn="0" w:lastRowLastColumn="0"/>
            </w:pPr>
            <w:r>
              <w:t>Under consideration</w:t>
            </w:r>
          </w:p>
        </w:tc>
      </w:tr>
      <w:tr w:rsidR="0031463C" w:rsidRPr="00D01DDB" w14:paraId="19C99C86" w14:textId="77777777" w:rsidTr="558AD17F">
        <w:tc>
          <w:tcPr>
            <w:cnfStyle w:val="001000000000" w:firstRow="0" w:lastRow="0" w:firstColumn="1" w:lastColumn="0" w:oddVBand="0" w:evenVBand="0" w:oddHBand="0" w:evenHBand="0" w:firstRowFirstColumn="0" w:firstRowLastColumn="0" w:lastRowFirstColumn="0" w:lastRowLastColumn="0"/>
            <w:tcW w:w="1014" w:type="pct"/>
          </w:tcPr>
          <w:p w14:paraId="277D5303" w14:textId="211B989F" w:rsidR="0031463C" w:rsidRDefault="0031463C" w:rsidP="00324B33">
            <w:pPr>
              <w:rPr>
                <w:szCs w:val="22"/>
              </w:rPr>
            </w:pPr>
            <w:r>
              <w:rPr>
                <w:szCs w:val="22"/>
              </w:rPr>
              <w:t>Switzerland</w:t>
            </w:r>
          </w:p>
        </w:tc>
        <w:tc>
          <w:tcPr>
            <w:tcW w:w="1018" w:type="pct"/>
          </w:tcPr>
          <w:p w14:paraId="0DE6555D" w14:textId="06FBB1ED" w:rsidR="0031463C" w:rsidRDefault="003146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November 2021</w:t>
            </w:r>
          </w:p>
        </w:tc>
        <w:tc>
          <w:tcPr>
            <w:tcW w:w="1173" w:type="pct"/>
          </w:tcPr>
          <w:p w14:paraId="586577E6" w14:textId="2567A955" w:rsidR="0031463C" w:rsidRPr="00D01DDB" w:rsidRDefault="003146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95" w:type="pct"/>
          </w:tcPr>
          <w:p w14:paraId="47B5855A" w14:textId="0B287DF2" w:rsidR="0031463C" w:rsidRPr="00D01DDB" w:rsidRDefault="003146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r>
    </w:tbl>
    <w:p w14:paraId="56170D8F" w14:textId="7AF7675B" w:rsidR="00324B33" w:rsidRPr="0098350E" w:rsidRDefault="00324B33" w:rsidP="0031463C"/>
    <w:p w14:paraId="064CCADF" w14:textId="77777777" w:rsidR="00324B33" w:rsidRDefault="00324B33" w:rsidP="00324B33">
      <w:pPr>
        <w:pStyle w:val="Heading3"/>
      </w:pPr>
      <w:bookmarkStart w:id="25" w:name="_Toc103679292"/>
      <w:bookmarkStart w:id="26" w:name="_Toc141445511"/>
      <w:r>
        <w:lastRenderedPageBreak/>
        <w:t>Product Information</w:t>
      </w:r>
      <w:bookmarkEnd w:id="25"/>
      <w:bookmarkEnd w:id="26"/>
    </w:p>
    <w:p w14:paraId="4B0F7D57" w14:textId="7BF6A84D" w:rsidR="00324B33" w:rsidRPr="00BD5DBD" w:rsidRDefault="00324B33" w:rsidP="00324B33">
      <w:pPr>
        <w:rPr>
          <w:szCs w:val="22"/>
        </w:rPr>
      </w:pPr>
      <w:bookmarkStart w:id="27" w:name="_Toc504480011"/>
      <w:r w:rsidRPr="00BD5DBD">
        <w:rPr>
          <w:szCs w:val="22"/>
        </w:rPr>
        <w:t xml:space="preserve">The </w:t>
      </w:r>
      <w:hyperlink r:id="rId20" w:history="1">
        <w:r w:rsidRPr="00BD5DBD">
          <w:rPr>
            <w:rStyle w:val="Hyperlink"/>
            <w:szCs w:val="22"/>
          </w:rPr>
          <w:t>Product Information</w:t>
        </w:r>
      </w:hyperlink>
      <w:r w:rsidRPr="00BD5DBD">
        <w:rPr>
          <w:szCs w:val="22"/>
        </w:rPr>
        <w:t xml:space="preserve"> (</w:t>
      </w:r>
      <w:hyperlink r:id="rId21" w:history="1">
        <w:r w:rsidRPr="00BD5DBD">
          <w:rPr>
            <w:rStyle w:val="Hyperlink"/>
            <w:szCs w:val="22"/>
          </w:rPr>
          <w:t>PI</w:t>
        </w:r>
      </w:hyperlink>
      <w:r w:rsidRPr="00BD5DBD">
        <w:rPr>
          <w:szCs w:val="22"/>
        </w:rPr>
        <w:t xml:space="preserve">) approved with the submission which is described in this </w:t>
      </w:r>
      <w:proofErr w:type="spellStart"/>
      <w:r w:rsidRPr="00BD5DBD">
        <w:rPr>
          <w:szCs w:val="22"/>
        </w:rPr>
        <w:t>AusPAR</w:t>
      </w:r>
      <w:proofErr w:type="spellEnd"/>
      <w:r w:rsidRPr="00BD5DBD">
        <w:rPr>
          <w:szCs w:val="22"/>
        </w:rPr>
        <w:t xml:space="preserve"> can be found as Attachment 1. For the most recent PI</w:t>
      </w:r>
      <w:r w:rsidR="00A93DC6" w:rsidRPr="00BD5DBD">
        <w:rPr>
          <w:szCs w:val="22"/>
        </w:rPr>
        <w:t xml:space="preserve"> and </w:t>
      </w:r>
      <w:hyperlink r:id="rId22"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3" w:history="1">
        <w:r w:rsidRPr="00BD5DBD">
          <w:rPr>
            <w:rStyle w:val="Hyperlink"/>
            <w:szCs w:val="22"/>
          </w:rPr>
          <w:t>PI/CMI search facility.</w:t>
        </w:r>
      </w:hyperlink>
    </w:p>
    <w:p w14:paraId="6D92589C" w14:textId="77777777" w:rsidR="00324B33" w:rsidRDefault="00324B33" w:rsidP="00324B33">
      <w:pPr>
        <w:pStyle w:val="Heading2"/>
      </w:pPr>
      <w:bookmarkStart w:id="28" w:name="_Toc103679293"/>
      <w:bookmarkStart w:id="29" w:name="_Toc141445512"/>
      <w:r>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0A38789" w:rsidR="00477C4E" w:rsidRPr="00BD5DBD" w:rsidRDefault="00477C4E" w:rsidP="00324B33">
      <w:pPr>
        <w:rPr>
          <w:szCs w:val="22"/>
        </w:rPr>
      </w:pPr>
      <w:r w:rsidRPr="00BD5DBD">
        <w:rPr>
          <w:szCs w:val="22"/>
        </w:rPr>
        <w:t xml:space="preserve">This submission was evaluated under the </w:t>
      </w:r>
      <w:hyperlink r:id="rId24" w:history="1">
        <w:r w:rsidRPr="00BD5DBD">
          <w:rPr>
            <w:rStyle w:val="Hyperlink"/>
            <w:szCs w:val="22"/>
          </w:rPr>
          <w:t>standard prescription medicines registration process</w:t>
        </w:r>
      </w:hyperlink>
      <w:r w:rsidRPr="00BD5DBD">
        <w:rPr>
          <w:szCs w:val="22"/>
        </w:rPr>
        <w:t>.</w:t>
      </w:r>
    </w:p>
    <w:p w14:paraId="44628C5F" w14:textId="6974A483" w:rsidR="00324B33" w:rsidRDefault="00324B33" w:rsidP="0013528C">
      <w:pPr>
        <w:pStyle w:val="TableTitle"/>
      </w:pPr>
      <w:r>
        <w:t xml:space="preserve">Table </w:t>
      </w:r>
      <w:r w:rsidR="0013528C">
        <w:fldChar w:fldCharType="begin"/>
      </w:r>
      <w:r w:rsidR="0013528C">
        <w:rPr>
          <w:b w:val="0"/>
        </w:rPr>
        <w:instrText xml:space="preserve"> SEQ Table \* ARABIC </w:instrText>
      </w:r>
      <w:r w:rsidR="0013528C">
        <w:fldChar w:fldCharType="separate"/>
      </w:r>
      <w:r w:rsidR="00616D6B">
        <w:rPr>
          <w:b w:val="0"/>
          <w:noProof/>
        </w:rPr>
        <w:t>2</w:t>
      </w:r>
      <w:r w:rsidR="0013528C">
        <w:rPr>
          <w:noProof/>
        </w:rPr>
        <w:fldChar w:fldCharType="end"/>
      </w:r>
      <w:r>
        <w:t>:</w:t>
      </w:r>
      <w:r w:rsidRPr="006A58A8">
        <w:t xml:space="preserve"> Timeline for Submission PM-20</w:t>
      </w:r>
      <w:r>
        <w:t>2</w:t>
      </w:r>
      <w:r w:rsidR="0031341A">
        <w:t>1</w:t>
      </w:r>
      <w:r w:rsidRPr="006A58A8">
        <w:t>-</w:t>
      </w:r>
      <w:r w:rsidR="0031341A">
        <w:t>04758</w:t>
      </w:r>
      <w:r w:rsidRPr="006A58A8">
        <w:t>-1-</w:t>
      </w:r>
      <w:r w:rsidR="0031341A">
        <w:t>1</w:t>
      </w:r>
    </w:p>
    <w:tbl>
      <w:tblPr>
        <w:tblStyle w:val="TableTGAblue2023"/>
        <w:tblW w:w="8642" w:type="dxa"/>
        <w:tblLook w:val="04A0" w:firstRow="1" w:lastRow="0" w:firstColumn="1" w:lastColumn="0" w:noHBand="0" w:noVBand="1"/>
      </w:tblPr>
      <w:tblGrid>
        <w:gridCol w:w="4390"/>
        <w:gridCol w:w="4252"/>
      </w:tblGrid>
      <w:tr w:rsidR="00324B33" w:rsidRPr="00D01DDB" w14:paraId="6C59BE9C"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0E78" w14:textId="3EC0CCAF" w:rsidR="00324B33" w:rsidRPr="00D01DDB" w:rsidRDefault="00324B33" w:rsidP="00324B33">
            <w:pPr>
              <w:rPr>
                <w:szCs w:val="22"/>
              </w:rPr>
            </w:pPr>
            <w:r w:rsidRPr="00D01DDB">
              <w:rPr>
                <w:szCs w:val="22"/>
              </w:rPr>
              <w:t>Description</w:t>
            </w:r>
          </w:p>
        </w:tc>
        <w:tc>
          <w:tcPr>
            <w:tcW w:w="4252"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4252" w:type="dxa"/>
          </w:tcPr>
          <w:p w14:paraId="2963D9D8" w14:textId="1C6C99E9"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2021</w:t>
            </w:r>
          </w:p>
        </w:tc>
      </w:tr>
      <w:tr w:rsidR="00324B33" w:rsidRPr="00D01DDB" w14:paraId="5343781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C037D4E" w14:textId="2B0CE255" w:rsidR="00324B33" w:rsidRPr="00D01DDB" w:rsidRDefault="00324B33" w:rsidP="00324B33">
            <w:pPr>
              <w:rPr>
                <w:szCs w:val="22"/>
              </w:rPr>
            </w:pPr>
            <w:r w:rsidRPr="00D01DDB">
              <w:rPr>
                <w:szCs w:val="22"/>
              </w:rPr>
              <w:t>First round evaluation completed</w:t>
            </w:r>
          </w:p>
        </w:tc>
        <w:tc>
          <w:tcPr>
            <w:tcW w:w="4252" w:type="dxa"/>
          </w:tcPr>
          <w:p w14:paraId="3CEAFAAB" w14:textId="5078678D"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May 2022</w:t>
            </w:r>
          </w:p>
        </w:tc>
      </w:tr>
      <w:tr w:rsidR="00324B33" w:rsidRPr="00D01DDB" w14:paraId="60DA57C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4252" w:type="dxa"/>
          </w:tcPr>
          <w:p w14:paraId="68A577C1" w14:textId="605666D8"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2022</w:t>
            </w:r>
          </w:p>
        </w:tc>
      </w:tr>
      <w:tr w:rsidR="00324B33" w:rsidRPr="00D01DDB" w14:paraId="767E33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AFC5B50" w14:textId="2BCC6A3E" w:rsidR="00324B33" w:rsidRPr="00D01DDB" w:rsidRDefault="00324B33" w:rsidP="00324B33">
            <w:pPr>
              <w:rPr>
                <w:szCs w:val="22"/>
              </w:rPr>
            </w:pPr>
            <w:r w:rsidRPr="00D01DDB">
              <w:rPr>
                <w:szCs w:val="22"/>
              </w:rPr>
              <w:t>Second round evaluation completed</w:t>
            </w:r>
          </w:p>
        </w:tc>
        <w:tc>
          <w:tcPr>
            <w:tcW w:w="4252" w:type="dxa"/>
          </w:tcPr>
          <w:p w14:paraId="4E47DF62" w14:textId="6D780217"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August 2022</w:t>
            </w:r>
          </w:p>
        </w:tc>
      </w:tr>
      <w:tr w:rsidR="00324B33" w:rsidRPr="00D01DDB" w14:paraId="302FCB4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16E9DC1" w14:textId="5942FE19" w:rsidR="00324B33" w:rsidRPr="00D01DDB" w:rsidRDefault="00324B33" w:rsidP="00324B33">
            <w:pPr>
              <w:rPr>
                <w:szCs w:val="22"/>
              </w:rPr>
            </w:pPr>
            <w:r w:rsidRPr="00D01DDB">
              <w:rPr>
                <w:szCs w:val="22"/>
              </w:rPr>
              <w:t xml:space="preserve">Delegate’s Overall benefit-risk assessment </w:t>
            </w:r>
            <w:r w:rsidRPr="0031341A">
              <w:rPr>
                <w:color w:val="auto"/>
                <w:szCs w:val="22"/>
              </w:rPr>
              <w:t>and request for Advisory Committee advice</w:t>
            </w:r>
          </w:p>
        </w:tc>
        <w:tc>
          <w:tcPr>
            <w:tcW w:w="4252" w:type="dxa"/>
          </w:tcPr>
          <w:p w14:paraId="3BA6EF79" w14:textId="6F5CB5B6"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September 2022</w:t>
            </w:r>
          </w:p>
        </w:tc>
      </w:tr>
      <w:tr w:rsidR="00324B33" w:rsidRPr="00D01DDB" w14:paraId="5832EBC8"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0592DE" w14:textId="1F72CD22" w:rsidR="00324B33" w:rsidRPr="00D01DDB" w:rsidRDefault="00324B33" w:rsidP="00324B33">
            <w:pPr>
              <w:rPr>
                <w:szCs w:val="22"/>
              </w:rPr>
            </w:pPr>
            <w:r w:rsidRPr="00D01DDB">
              <w:rPr>
                <w:szCs w:val="22"/>
              </w:rPr>
              <w:t>Sponsor’s pre-Advisory Committee response</w:t>
            </w:r>
          </w:p>
        </w:tc>
        <w:tc>
          <w:tcPr>
            <w:tcW w:w="4252" w:type="dxa"/>
          </w:tcPr>
          <w:p w14:paraId="5AE04841" w14:textId="24F222AF"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September 2022</w:t>
            </w:r>
          </w:p>
        </w:tc>
      </w:tr>
      <w:tr w:rsidR="00324B33" w:rsidRPr="00D01DDB" w14:paraId="5754F7A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9DE187" w14:textId="123446EE" w:rsidR="00324B33" w:rsidRPr="00D01DDB" w:rsidRDefault="00324B33" w:rsidP="00324B33">
            <w:pPr>
              <w:rPr>
                <w:szCs w:val="22"/>
              </w:rPr>
            </w:pPr>
            <w:r w:rsidRPr="00D01DDB">
              <w:rPr>
                <w:szCs w:val="22"/>
              </w:rPr>
              <w:t>Advisory Committee meeting</w:t>
            </w:r>
          </w:p>
        </w:tc>
        <w:tc>
          <w:tcPr>
            <w:tcW w:w="4252" w:type="dxa"/>
          </w:tcPr>
          <w:p w14:paraId="5BE1EDE7" w14:textId="5F3D22C1"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and 7 October 2022</w:t>
            </w:r>
          </w:p>
        </w:tc>
      </w:tr>
      <w:tr w:rsidR="00324B33" w:rsidRPr="00D01DDB" w14:paraId="6E5D32FE"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E95C44C" w14:textId="7A91C710" w:rsidR="00324B33" w:rsidRPr="00D01DDB" w:rsidRDefault="00324B33" w:rsidP="00324B33">
            <w:pPr>
              <w:rPr>
                <w:szCs w:val="22"/>
              </w:rPr>
            </w:pPr>
            <w:r w:rsidRPr="00D01DDB">
              <w:rPr>
                <w:szCs w:val="22"/>
              </w:rPr>
              <w:t>Registration decision (Outcome)</w:t>
            </w:r>
          </w:p>
        </w:tc>
        <w:tc>
          <w:tcPr>
            <w:tcW w:w="4252" w:type="dxa"/>
          </w:tcPr>
          <w:p w14:paraId="62987ABD" w14:textId="65263AFC"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November 2022</w:t>
            </w:r>
          </w:p>
        </w:tc>
      </w:tr>
      <w:tr w:rsidR="00324B33" w:rsidRPr="00D01DDB" w14:paraId="6DDCDD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192FD19D" w14:textId="7D5F96C5" w:rsidR="00324B33" w:rsidRPr="00D01DDB" w:rsidRDefault="0013132F" w:rsidP="00324B33">
            <w:pPr>
              <w:rPr>
                <w:szCs w:val="22"/>
              </w:rPr>
            </w:pPr>
            <w:r>
              <w:t>Administrative activities and registration on the ARTG completed</w:t>
            </w:r>
          </w:p>
        </w:tc>
        <w:tc>
          <w:tcPr>
            <w:tcW w:w="4252" w:type="dxa"/>
          </w:tcPr>
          <w:p w14:paraId="5A8923FD" w14:textId="75073CE6"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December 2022</w:t>
            </w:r>
          </w:p>
        </w:tc>
      </w:tr>
      <w:tr w:rsidR="00324B33" w:rsidRPr="00D01DDB" w14:paraId="56D922E2"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4252" w:type="dxa"/>
          </w:tcPr>
          <w:p w14:paraId="5BAF9FA1" w14:textId="3FA03037" w:rsidR="00324B33" w:rsidRPr="00D01DDB" w:rsidRDefault="003134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222</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41445513"/>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540151FC" w14:textId="77777777" w:rsidR="00C22214" w:rsidRPr="00BD5DBD" w:rsidRDefault="00C22214" w:rsidP="00BD5DBD">
      <w:pPr>
        <w:rPr>
          <w:szCs w:val="22"/>
        </w:rPr>
      </w:pPr>
      <w:bookmarkStart w:id="35" w:name="_Toc247691528"/>
      <w:bookmarkStart w:id="36" w:name="_Toc314842511"/>
      <w:r w:rsidRPr="00BD5DBD">
        <w:rPr>
          <w:szCs w:val="22"/>
        </w:rPr>
        <w:t>A summary of the TGA’s assessment for this submission is provided below.</w:t>
      </w:r>
    </w:p>
    <w:p w14:paraId="2F7F0BD4" w14:textId="121C9162" w:rsidR="00C22214" w:rsidRDefault="007072A1" w:rsidP="00397C35">
      <w:pPr>
        <w:rPr>
          <w:szCs w:val="22"/>
        </w:rPr>
      </w:pPr>
      <w:r w:rsidRPr="00BD5DBD">
        <w:rPr>
          <w:szCs w:val="22"/>
        </w:rPr>
        <w:t>Relevant guidelines or guidance documents referred to by the Delegate are listed below:</w:t>
      </w:r>
    </w:p>
    <w:p w14:paraId="33E9F378" w14:textId="77777777" w:rsidR="00397C35" w:rsidRDefault="00397C35" w:rsidP="00397C35">
      <w:pPr>
        <w:pStyle w:val="ListBullet"/>
        <w:rPr>
          <w:lang w:val="en-US"/>
        </w:rPr>
      </w:pPr>
      <w:r>
        <w:rPr>
          <w:lang w:val="en-US"/>
        </w:rPr>
        <w:t xml:space="preserve">CHMP/EWP/2454/02 </w:t>
      </w:r>
      <w:proofErr w:type="spellStart"/>
      <w:r>
        <w:rPr>
          <w:lang w:val="en-US"/>
        </w:rPr>
        <w:t>corr</w:t>
      </w:r>
      <w:proofErr w:type="spellEnd"/>
      <w:r>
        <w:rPr>
          <w:lang w:val="en-US"/>
        </w:rPr>
        <w:t xml:space="preserve"> Guideline on clinical investigation of medicinal products indicated for the treatment of psoriasis.</w:t>
      </w:r>
    </w:p>
    <w:p w14:paraId="16CA1F31" w14:textId="3430DC54" w:rsidR="00397C35" w:rsidRDefault="00397C35" w:rsidP="00397C35">
      <w:pPr>
        <w:pStyle w:val="ListBullet"/>
      </w:pPr>
      <w:r>
        <w:rPr>
          <w:lang w:val="en-US"/>
        </w:rPr>
        <w:t>EMA 3CC3a Pharmacokinetic studies in man</w:t>
      </w:r>
    </w:p>
    <w:p w14:paraId="37F5A1C0" w14:textId="77777777" w:rsidR="00C22214" w:rsidRDefault="00C22214" w:rsidP="00C22214">
      <w:pPr>
        <w:pStyle w:val="Heading3"/>
      </w:pPr>
      <w:bookmarkStart w:id="37" w:name="_Toc103679295"/>
      <w:bookmarkStart w:id="38" w:name="_Toc141445514"/>
      <w:r>
        <w:lastRenderedPageBreak/>
        <w:t>Quality</w:t>
      </w:r>
      <w:bookmarkEnd w:id="35"/>
      <w:bookmarkEnd w:id="36"/>
      <w:bookmarkEnd w:id="37"/>
      <w:bookmarkEnd w:id="38"/>
    </w:p>
    <w:p w14:paraId="4DB545FB" w14:textId="793EBCFD" w:rsidR="00AA2676" w:rsidRPr="00AA2676" w:rsidRDefault="00AA2676" w:rsidP="00AA2676">
      <w:r w:rsidRPr="00AA2676">
        <w:t xml:space="preserve">The application and the supporting data relating to the composition, development, manufacture, quality control, </w:t>
      </w:r>
      <w:proofErr w:type="gramStart"/>
      <w:r w:rsidRPr="00AA2676">
        <w:t>stability</w:t>
      </w:r>
      <w:proofErr w:type="gramEnd"/>
      <w:r w:rsidRPr="00AA2676">
        <w:t xml:space="preserve"> and bioavailability of </w:t>
      </w:r>
      <w:proofErr w:type="spellStart"/>
      <w:r w:rsidRPr="00AA2676">
        <w:t>deucravacitinib</w:t>
      </w:r>
      <w:proofErr w:type="spellEnd"/>
      <w:r w:rsidRPr="00AA2676">
        <w:t xml:space="preserve"> were assessed and checked for compliance, as applicable, with Australian legislation and requirements for new medicines and in accordance with </w:t>
      </w:r>
      <w:proofErr w:type="spellStart"/>
      <w:r w:rsidRPr="00AA2676">
        <w:t>pharmacopoeial</w:t>
      </w:r>
      <w:proofErr w:type="spellEnd"/>
      <w:r w:rsidRPr="00AA2676">
        <w:t xml:space="preserve"> standards and the technical guidelines adopted by the TGA.</w:t>
      </w:r>
    </w:p>
    <w:p w14:paraId="3E4A9CB4" w14:textId="45003D77" w:rsidR="00AA2676" w:rsidRPr="00AA2676" w:rsidRDefault="00AA2676" w:rsidP="00AA2676">
      <w:r w:rsidRPr="00AA2676">
        <w:t xml:space="preserve">There are no </w:t>
      </w:r>
      <w:r w:rsidR="00EC3500">
        <w:t xml:space="preserve">British </w:t>
      </w:r>
      <w:proofErr w:type="spellStart"/>
      <w:r w:rsidR="00EC3500">
        <w:t>Phamacopoeia</w:t>
      </w:r>
      <w:proofErr w:type="spellEnd"/>
      <w:r w:rsidRPr="00AA2676">
        <w:t xml:space="preserve"> or </w:t>
      </w:r>
      <w:r w:rsidR="00EC3500">
        <w:t>United States Pharmacopeia</w:t>
      </w:r>
      <w:r w:rsidRPr="00AA2676">
        <w:t xml:space="preserve"> monographs for the drug substance or the drug product.</w:t>
      </w:r>
    </w:p>
    <w:p w14:paraId="4F6A7C28" w14:textId="3297E56E" w:rsidR="00AA2676" w:rsidRPr="0098321E" w:rsidRDefault="00AA2676" w:rsidP="00AA2676">
      <w:pPr>
        <w:rPr>
          <w:strike/>
        </w:rPr>
      </w:pPr>
      <w:r w:rsidRPr="00AA2676">
        <w:t xml:space="preserve">Based on pH-dependent solubility data, the drug substance is a </w:t>
      </w:r>
      <w:r w:rsidR="00EC3500" w:rsidRPr="00EC3500">
        <w:t>Biopharmaceutics Classification System</w:t>
      </w:r>
      <w:r w:rsidRPr="00AA2676">
        <w:t xml:space="preserve"> Class II compound (high</w:t>
      </w:r>
      <w:r w:rsidR="00CC6197">
        <w:t xml:space="preserve"> </w:t>
      </w:r>
      <w:r w:rsidR="00477E89" w:rsidRPr="0098321E">
        <w:t>permeability</w:t>
      </w:r>
      <w:r w:rsidRPr="0098321E">
        <w:t>,</w:t>
      </w:r>
      <w:r w:rsidRPr="00AA2676">
        <w:t xml:space="preserve"> low solubility).</w:t>
      </w:r>
    </w:p>
    <w:p w14:paraId="4329F168" w14:textId="775727BC" w:rsidR="00AA2676" w:rsidRPr="00AA2676" w:rsidRDefault="00AA2676" w:rsidP="00AA2676">
      <w:r w:rsidRPr="00AA2676">
        <w:t xml:space="preserve">The drug product is a spray dried dispersion of </w:t>
      </w:r>
      <w:proofErr w:type="spellStart"/>
      <w:r w:rsidRPr="00AA2676">
        <w:t>deucravacitinib</w:t>
      </w:r>
      <w:proofErr w:type="spellEnd"/>
      <w:r w:rsidRPr="00AA2676">
        <w:t xml:space="preserve"> </w:t>
      </w:r>
      <w:r w:rsidRPr="006E52DC">
        <w:t>i</w:t>
      </w:r>
      <w:r w:rsidRPr="00500DCA">
        <w:t xml:space="preserve">n </w:t>
      </w:r>
      <w:proofErr w:type="spellStart"/>
      <w:r w:rsidRPr="00500DCA">
        <w:t>hypromellose</w:t>
      </w:r>
      <w:proofErr w:type="spellEnd"/>
      <w:r w:rsidRPr="00500DCA">
        <w:t xml:space="preserve"> acetate succin</w:t>
      </w:r>
      <w:r w:rsidRPr="004E48B2">
        <w:t>ate.</w:t>
      </w:r>
      <w:r w:rsidR="5E8EDE36">
        <w:t xml:space="preserve"> </w:t>
      </w:r>
      <w:r w:rsidRPr="00AA2676">
        <w:t>Dry granulation, tablet compression and film-coating result in the final drug product. Excipients in the final product are listed in the PI.</w:t>
      </w:r>
    </w:p>
    <w:p w14:paraId="6594D193" w14:textId="1A517119" w:rsidR="00AA2676" w:rsidRPr="004B4A96" w:rsidRDefault="00AA2676" w:rsidP="00AA2676">
      <w:proofErr w:type="spellStart"/>
      <w:r w:rsidRPr="00AA2676">
        <w:t>Deucravacitinib</w:t>
      </w:r>
      <w:proofErr w:type="spellEnd"/>
      <w:r w:rsidRPr="00AA2676">
        <w:t>, or 6-(cyclopropanecarbonylamido)-4-[2-methoxy-3-(1-methyl-1,2,4-triazol-3-</w:t>
      </w:r>
      <w:proofErr w:type="gramStart"/>
      <w:r w:rsidRPr="00AA2676">
        <w:t>yl)anilino</w:t>
      </w:r>
      <w:proofErr w:type="gramEnd"/>
      <w:r w:rsidRPr="00AA2676">
        <w:t xml:space="preserve">]-N-(trideuteriomethyl)pyridazine-3-carboxamide, has three normal hydrogen atoms replaced by the stable hydrogen isotope deuterium. </w:t>
      </w:r>
      <w:r w:rsidRPr="004B4A96">
        <w:t xml:space="preserve">The sponsor states that there is evidence in the scientific literature that deuteration significantly reduced N-demethylation of an experimental drug </w:t>
      </w:r>
      <w:r w:rsidR="00B87C3B" w:rsidRPr="00616D6B">
        <w:t xml:space="preserve">in a mouse model </w:t>
      </w:r>
      <w:r w:rsidRPr="004B4A96">
        <w:t>and caused that drug to retain high TYK2 (JH2 domain) selectivity</w:t>
      </w:r>
      <w:r w:rsidR="00694877">
        <w:t>.</w:t>
      </w:r>
    </w:p>
    <w:p w14:paraId="627639EF" w14:textId="246CE05C" w:rsidR="00EC3500" w:rsidRDefault="00EC3500" w:rsidP="00EC3500">
      <w:pPr>
        <w:pStyle w:val="FigureTitle"/>
      </w:pPr>
      <w:r w:rsidRPr="00EC3500">
        <w:t xml:space="preserve">Figure </w:t>
      </w:r>
      <w:r>
        <w:fldChar w:fldCharType="begin"/>
      </w:r>
      <w:r>
        <w:instrText>SEQ Figure \* ARABIC</w:instrText>
      </w:r>
      <w:r>
        <w:fldChar w:fldCharType="separate"/>
      </w:r>
      <w:r w:rsidR="00C63E2D">
        <w:rPr>
          <w:noProof/>
        </w:rPr>
        <w:t>2</w:t>
      </w:r>
      <w:r>
        <w:fldChar w:fldCharType="end"/>
      </w:r>
      <w:r w:rsidRPr="00EC3500">
        <w:t>:</w:t>
      </w:r>
      <w:r>
        <w:t xml:space="preserve"> Chemical structure of </w:t>
      </w:r>
      <w:proofErr w:type="spellStart"/>
      <w:r>
        <w:t>deucravacitinib</w:t>
      </w:r>
      <w:proofErr w:type="spellEnd"/>
    </w:p>
    <w:p w14:paraId="08BC5DA7" w14:textId="37A64770" w:rsidR="00EC3500" w:rsidRDefault="00EC3500" w:rsidP="00EC3500">
      <w:r w:rsidRPr="00EC3500">
        <w:rPr>
          <w:noProof/>
        </w:rPr>
        <w:drawing>
          <wp:inline distT="0" distB="0" distL="0" distR="0" wp14:anchorId="5317C623" wp14:editId="1A4238F6">
            <wp:extent cx="4086795" cy="1771897"/>
            <wp:effectExtent l="0" t="0" r="9525" b="0"/>
            <wp:docPr id="2" name="Picture 2" descr="Chemical structure of deucravac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emical structure of deucravacitinib"/>
                    <pic:cNvPicPr/>
                  </pic:nvPicPr>
                  <pic:blipFill>
                    <a:blip r:embed="rId25"/>
                    <a:stretch>
                      <a:fillRect/>
                    </a:stretch>
                  </pic:blipFill>
                  <pic:spPr>
                    <a:xfrm>
                      <a:off x="0" y="0"/>
                      <a:ext cx="4086795" cy="1771897"/>
                    </a:xfrm>
                    <a:prstGeom prst="rect">
                      <a:avLst/>
                    </a:prstGeom>
                  </pic:spPr>
                </pic:pic>
              </a:graphicData>
            </a:graphic>
          </wp:inline>
        </w:drawing>
      </w:r>
    </w:p>
    <w:p w14:paraId="13BA7AE0" w14:textId="562EE108" w:rsidR="00EC3500" w:rsidRDefault="00EC3500" w:rsidP="00EC3500">
      <w:r>
        <w:t xml:space="preserve">The commercial dose form of </w:t>
      </w:r>
      <w:proofErr w:type="spellStart"/>
      <w:r>
        <w:t>deucravacitinib</w:t>
      </w:r>
      <w:proofErr w:type="spellEnd"/>
      <w:r>
        <w:t xml:space="preserve"> is a pink, round, biconvex, film-coated tablet laser printed with ‘BMS 895 6 mg’ on one side in two lines and no content on the other side.</w:t>
      </w:r>
    </w:p>
    <w:p w14:paraId="010F6AFC" w14:textId="4A75676B" w:rsidR="00EC3500" w:rsidRPr="00EC3500" w:rsidRDefault="00EC3500" w:rsidP="00EC3500">
      <w:r>
        <w:t xml:space="preserve">Several deficiencies identified in the dossier during first round of evaluation have been addressed to the satisfaction of the evaluators. One assurance regarding storage time is outstanding and there is no major objection to the registration of </w:t>
      </w:r>
      <w:proofErr w:type="spellStart"/>
      <w:r>
        <w:t>deucravacitinib</w:t>
      </w:r>
      <w:proofErr w:type="spellEnd"/>
      <w:r>
        <w:t>.</w:t>
      </w:r>
    </w:p>
    <w:p w14:paraId="2BE90AAE" w14:textId="798239CF" w:rsidR="00C22214" w:rsidRDefault="00C22214" w:rsidP="00C22214">
      <w:pPr>
        <w:pStyle w:val="Heading3"/>
      </w:pPr>
      <w:bookmarkStart w:id="39" w:name="_Toc314842512"/>
      <w:bookmarkStart w:id="40" w:name="_Toc103679296"/>
      <w:bookmarkStart w:id="41" w:name="_Toc141445515"/>
      <w:r>
        <w:t>Nonclinical</w:t>
      </w:r>
      <w:bookmarkEnd w:id="39"/>
      <w:bookmarkEnd w:id="40"/>
      <w:bookmarkEnd w:id="41"/>
    </w:p>
    <w:p w14:paraId="36F30AEE" w14:textId="77777777" w:rsidR="00EC3500" w:rsidRPr="00EC3500" w:rsidRDefault="00EC3500" w:rsidP="00EC3500">
      <w:bookmarkStart w:id="42" w:name="_Toc247691530"/>
      <w:bookmarkStart w:id="43" w:name="_Toc314842513"/>
      <w:bookmarkStart w:id="44" w:name="_Toc103679297"/>
      <w:r w:rsidRPr="00EC3500">
        <w:t xml:space="preserve">There are no objections on nonclinical grounds to the registration of </w:t>
      </w:r>
      <w:proofErr w:type="spellStart"/>
      <w:r w:rsidRPr="00EC3500">
        <w:t>deucravacitinib</w:t>
      </w:r>
      <w:proofErr w:type="spellEnd"/>
      <w:r w:rsidRPr="00EC3500">
        <w:t xml:space="preserve"> for the treatment of adult patients with moderate to severe plaque psoriasis. The evaluator provided the following summary of the nonclinical evaluation:</w:t>
      </w:r>
    </w:p>
    <w:p w14:paraId="24F725C7" w14:textId="77777777" w:rsidR="00EC3500" w:rsidRPr="00EC3500" w:rsidRDefault="00EC3500" w:rsidP="00EC3500">
      <w:r w:rsidRPr="00EC3500">
        <w:rPr>
          <w:i/>
          <w:iCs/>
        </w:rPr>
        <w:t>In vitro</w:t>
      </w:r>
      <w:r w:rsidRPr="00EC3500">
        <w:t xml:space="preserve">, </w:t>
      </w:r>
      <w:proofErr w:type="spellStart"/>
      <w:r w:rsidRPr="00EC3500">
        <w:t>deucravacitinib</w:t>
      </w:r>
      <w:proofErr w:type="spellEnd"/>
      <w:r w:rsidRPr="00EC3500">
        <w:t xml:space="preserve"> and its major active human metabolite (BMT-153261) inhibited TYK2 with nanomolar potency. Another metabolite, BMT-158170 was considerably less potent than </w:t>
      </w:r>
      <w:proofErr w:type="spellStart"/>
      <w:r w:rsidRPr="00EC3500">
        <w:t>deucravacitinib</w:t>
      </w:r>
      <w:proofErr w:type="spellEnd"/>
      <w:r w:rsidRPr="00EC3500">
        <w:t xml:space="preserve"> and BMT-153261. </w:t>
      </w:r>
      <w:proofErr w:type="spellStart"/>
      <w:r w:rsidRPr="00EC3500">
        <w:t>Deucravacitinib</w:t>
      </w:r>
      <w:proofErr w:type="spellEnd"/>
      <w:r w:rsidRPr="00EC3500">
        <w:t>, BMT-153261and BMT-158170 displayed greater potency at TYK2</w:t>
      </w:r>
      <w:r w:rsidRPr="00EC3500">
        <w:noBreakHyphen/>
        <w:t xml:space="preserve">dependent pathways than other JAK signalling pathways. While there are no animal models of psoriasis, </w:t>
      </w:r>
      <w:proofErr w:type="spellStart"/>
      <w:r w:rsidRPr="00EC3500">
        <w:t>deucravacitinib</w:t>
      </w:r>
      <w:proofErr w:type="spellEnd"/>
      <w:r w:rsidRPr="00EC3500">
        <w:t xml:space="preserve"> inhibited/decreased the pathophysiology of disease in mouse models of acanthosis and colitis and reduced pathophysiology of advanced </w:t>
      </w:r>
      <w:r w:rsidRPr="00EC3500">
        <w:lastRenderedPageBreak/>
        <w:t xml:space="preserve">nephritis in lupus prone mice. The mechanism for efficacy in these models is expected to be </w:t>
      </w:r>
      <w:proofErr w:type="gramStart"/>
      <w:r w:rsidRPr="00EC3500">
        <w:t>similar to</w:t>
      </w:r>
      <w:proofErr w:type="gramEnd"/>
      <w:r w:rsidRPr="00EC3500">
        <w:t xml:space="preserve"> that in psoriasis.</w:t>
      </w:r>
    </w:p>
    <w:p w14:paraId="38710A8D" w14:textId="06FA2B45" w:rsidR="00EC3500" w:rsidRPr="00EC3500" w:rsidRDefault="00EC3500" w:rsidP="00EC3500">
      <w:r w:rsidRPr="00EC3500">
        <w:t>No clinically relevant inhibition was seen on a set of potential off</w:t>
      </w:r>
      <w:r w:rsidR="002D7EC0">
        <w:t xml:space="preserve"> </w:t>
      </w:r>
      <w:r w:rsidRPr="00EC3500">
        <w:t xml:space="preserve">target sites including protein and lipid kinases and </w:t>
      </w:r>
      <w:proofErr w:type="spellStart"/>
      <w:r w:rsidRPr="00EC3500">
        <w:t>pseudokinases</w:t>
      </w:r>
      <w:proofErr w:type="spellEnd"/>
      <w:r w:rsidRPr="00EC3500">
        <w:t xml:space="preserve">, receptors, ion channels, </w:t>
      </w:r>
      <w:proofErr w:type="gramStart"/>
      <w:r w:rsidRPr="00EC3500">
        <w:t>enzymes</w:t>
      </w:r>
      <w:proofErr w:type="gramEnd"/>
      <w:r w:rsidRPr="00EC3500">
        <w:t xml:space="preserve"> and transporters with </w:t>
      </w:r>
      <w:proofErr w:type="spellStart"/>
      <w:r w:rsidRPr="00EC3500">
        <w:t>deucravacitinib</w:t>
      </w:r>
      <w:proofErr w:type="spellEnd"/>
      <w:r w:rsidRPr="00EC3500">
        <w:t>, BMT-153261 and BMT-158170.</w:t>
      </w:r>
    </w:p>
    <w:p w14:paraId="63AE9318" w14:textId="6A0DEC8B" w:rsidR="00EC3500" w:rsidRPr="00EC3500" w:rsidRDefault="00EC3500" w:rsidP="00EC3500">
      <w:r w:rsidRPr="00EC3500">
        <w:t xml:space="preserve">Safety pharmacology studies assessed effects on the cardiovascular system </w:t>
      </w:r>
      <w:r w:rsidRPr="002D7EC0">
        <w:rPr>
          <w:i/>
          <w:iCs/>
        </w:rPr>
        <w:t>in vivo</w:t>
      </w:r>
      <w:r w:rsidRPr="00EC3500">
        <w:t xml:space="preserve"> and </w:t>
      </w:r>
      <w:r w:rsidRPr="002D7EC0">
        <w:rPr>
          <w:i/>
          <w:iCs/>
        </w:rPr>
        <w:t>in vitro</w:t>
      </w:r>
      <w:r w:rsidRPr="00EC3500">
        <w:t>, with effects on the respiratory and central nervous systems evaluated in repeat</w:t>
      </w:r>
      <w:r w:rsidR="00637A42">
        <w:t xml:space="preserve"> </w:t>
      </w:r>
      <w:r w:rsidRPr="00EC3500">
        <w:t xml:space="preserve">dose toxicity studies. No adverse effects on QTc interval or respiratory or </w:t>
      </w:r>
      <w:r w:rsidR="00637A42" w:rsidRPr="00637A42">
        <w:t>central nervous system</w:t>
      </w:r>
      <w:r w:rsidRPr="00EC3500">
        <w:t xml:space="preserve"> function are predicted during clinical use.</w:t>
      </w:r>
    </w:p>
    <w:p w14:paraId="3B4DF1AF" w14:textId="312A6177" w:rsidR="00EC3500" w:rsidRPr="00EC3500" w:rsidRDefault="00EC3500" w:rsidP="00EC3500">
      <w:r w:rsidRPr="00EC3500">
        <w:t xml:space="preserve">Overall, the pharmacokinetic profile in animals was adequately </w:t>
      </w:r>
      <w:proofErr w:type="gramStart"/>
      <w:r w:rsidRPr="00EC3500">
        <w:t>similar to</w:t>
      </w:r>
      <w:proofErr w:type="gramEnd"/>
      <w:r w:rsidRPr="00EC3500">
        <w:t xml:space="preserve"> that of humans. Following oral administration, </w:t>
      </w:r>
      <w:proofErr w:type="spellStart"/>
      <w:r w:rsidRPr="00EC3500">
        <w:t>deucravacitinib</w:t>
      </w:r>
      <w:proofErr w:type="spellEnd"/>
      <w:r w:rsidRPr="00EC3500">
        <w:t xml:space="preserve"> was readily and rapidly absorbed. Following </w:t>
      </w:r>
      <w:r w:rsidR="002D7EC0">
        <w:t>intravenous</w:t>
      </w:r>
      <w:r w:rsidRPr="00EC3500">
        <w:t xml:space="preserve"> dosing, plasma half-lives were moderate in mice and rats and longer in dogs and monkeys, and longer in humans following oral dosing. Plasma protein binding of </w:t>
      </w:r>
      <w:proofErr w:type="spellStart"/>
      <w:r w:rsidRPr="00EC3500">
        <w:t>deucravacitinib</w:t>
      </w:r>
      <w:proofErr w:type="spellEnd"/>
      <w:r w:rsidRPr="00EC3500">
        <w:t xml:space="preserve"> was moderate in all tested animal species and humans. Tissue distribution of drug</w:t>
      </w:r>
      <w:r w:rsidR="00637A42">
        <w:t xml:space="preserve"> </w:t>
      </w:r>
      <w:r w:rsidRPr="00EC3500">
        <w:t>related material was wide and penetration into the brain and spinal cord was limited. Retention in the melanin</w:t>
      </w:r>
      <w:r w:rsidR="00637A42">
        <w:t xml:space="preserve"> </w:t>
      </w:r>
      <w:r w:rsidRPr="00EC3500">
        <w:t xml:space="preserve">containing tissue of the uveal tract was high in pigmented rats but did not appear to be associated with any toxicity. </w:t>
      </w:r>
      <w:proofErr w:type="spellStart"/>
      <w:r w:rsidRPr="00EC3500">
        <w:t>Deucravacitinib</w:t>
      </w:r>
      <w:proofErr w:type="spellEnd"/>
      <w:r w:rsidRPr="00EC3500">
        <w:t xml:space="preserve"> was the predominant drug</w:t>
      </w:r>
      <w:r w:rsidR="00637A42">
        <w:t xml:space="preserve"> </w:t>
      </w:r>
      <w:r w:rsidRPr="00EC3500">
        <w:t xml:space="preserve">related circulating species in humans and laboratory animals. CYP1A2, </w:t>
      </w:r>
      <w:r w:rsidR="00637A42" w:rsidRPr="00370644">
        <w:t>carboxylesterase 2</w:t>
      </w:r>
      <w:r w:rsidR="00637A42">
        <w:t xml:space="preserve"> (</w:t>
      </w:r>
      <w:r w:rsidRPr="00EC3500">
        <w:t>CES2</w:t>
      </w:r>
      <w:r w:rsidR="00637A42">
        <w:t>)</w:t>
      </w:r>
      <w:r w:rsidRPr="00EC3500">
        <w:t xml:space="preserve"> and </w:t>
      </w:r>
      <w:r w:rsidR="00791E32" w:rsidRPr="00370644">
        <w:t xml:space="preserve">UDP glucuronosyltransferase </w:t>
      </w:r>
      <w:r w:rsidR="00791E32">
        <w:t>(</w:t>
      </w:r>
      <w:r w:rsidRPr="00EC3500">
        <w:t>UGT</w:t>
      </w:r>
      <w:r w:rsidR="00791E32">
        <w:t>)</w:t>
      </w:r>
      <w:r w:rsidRPr="00EC3500">
        <w:t xml:space="preserve">1A9 were shown to be involved in the metabolism of </w:t>
      </w:r>
      <w:proofErr w:type="spellStart"/>
      <w:r w:rsidRPr="00EC3500">
        <w:t>deucravacitinib</w:t>
      </w:r>
      <w:proofErr w:type="spellEnd"/>
      <w:r w:rsidRPr="00EC3500">
        <w:t xml:space="preserve"> in humans. The three main human metabolites (BMT-153261, BMT-158170 and BMT-334616) were also metabolites in animals; however, </w:t>
      </w:r>
      <w:proofErr w:type="spellStart"/>
      <w:proofErr w:type="gramStart"/>
      <w:r w:rsidRPr="00EC3500">
        <w:t>metabolite:parent</w:t>
      </w:r>
      <w:proofErr w:type="spellEnd"/>
      <w:proofErr w:type="gramEnd"/>
      <w:r w:rsidRPr="00EC3500">
        <w:t xml:space="preserve"> area under the </w:t>
      </w:r>
      <w:r w:rsidR="002D7EC0">
        <w:t xml:space="preserve">concentration time </w:t>
      </w:r>
      <w:r w:rsidRPr="00EC3500">
        <w:t>curve (AUC) ratios were lower in animals than humans. The safety of the metabolites has been adequately assessed. Drug</w:t>
      </w:r>
      <w:r w:rsidR="002D7EC0">
        <w:t xml:space="preserve"> </w:t>
      </w:r>
      <w:r w:rsidRPr="00EC3500">
        <w:t>related material was excreted primarily via the faeces in animal species while in humans, excretion of radioactivity was similar in urine and faeces.</w:t>
      </w:r>
    </w:p>
    <w:p w14:paraId="383DAAFB" w14:textId="77777777" w:rsidR="00EC3500" w:rsidRPr="00EC3500" w:rsidRDefault="00EC3500" w:rsidP="00EC3500">
      <w:r w:rsidRPr="00EC3500">
        <w:t xml:space="preserve">Aside from potential effects of CES2 inhibitors on </w:t>
      </w:r>
      <w:proofErr w:type="spellStart"/>
      <w:r w:rsidRPr="00EC3500">
        <w:t>deucravacitinib</w:t>
      </w:r>
      <w:proofErr w:type="spellEnd"/>
      <w:r w:rsidRPr="00EC3500">
        <w:t xml:space="preserve"> exposures, all potential pharmacokinetic drug interactions affecting </w:t>
      </w:r>
      <w:proofErr w:type="spellStart"/>
      <w:r w:rsidRPr="00EC3500">
        <w:t>deucravacitinib</w:t>
      </w:r>
      <w:proofErr w:type="spellEnd"/>
      <w:r w:rsidRPr="00EC3500">
        <w:t xml:space="preserve"> exposures appear to have been investigated in clinical studies. Based on in vitro data, </w:t>
      </w:r>
      <w:proofErr w:type="spellStart"/>
      <w:r w:rsidRPr="00EC3500">
        <w:t>deucravacitinib</w:t>
      </w:r>
      <w:proofErr w:type="spellEnd"/>
      <w:r w:rsidRPr="00EC3500">
        <w:t xml:space="preserve"> is not expected to alter exposures to co-administered drugs that are CYP450 substrates. A potentially clinically relevant effect on the exposures of co-administered MATE2K substrates cannot be completely dismissed but might be considered low given the margin in </w:t>
      </w:r>
      <w:r w:rsidRPr="00637A42">
        <w:rPr>
          <w:i/>
          <w:iCs/>
        </w:rPr>
        <w:t>in vitro</w:t>
      </w:r>
      <w:r w:rsidRPr="00EC3500">
        <w:t xml:space="preserve"> studies.</w:t>
      </w:r>
    </w:p>
    <w:p w14:paraId="30D521F2" w14:textId="550FD7E9" w:rsidR="00EC3500" w:rsidRPr="00EC3500" w:rsidRDefault="00EC3500" w:rsidP="00EC3500">
      <w:proofErr w:type="spellStart"/>
      <w:r w:rsidRPr="00EC3500">
        <w:t>Deucravacitinib</w:t>
      </w:r>
      <w:proofErr w:type="spellEnd"/>
      <w:r w:rsidRPr="00EC3500">
        <w:t xml:space="preserve"> had a low order of acute oral toxicity in rats, </w:t>
      </w:r>
      <w:proofErr w:type="gramStart"/>
      <w:r w:rsidRPr="00EC3500">
        <w:t>dogs</w:t>
      </w:r>
      <w:proofErr w:type="gramEnd"/>
      <w:r w:rsidRPr="00EC3500">
        <w:t xml:space="preserve"> and monkeys.</w:t>
      </w:r>
    </w:p>
    <w:p w14:paraId="7B8414AE" w14:textId="21A08BF2" w:rsidR="00EC3500" w:rsidRPr="00EC3500" w:rsidRDefault="00EC3500" w:rsidP="00EC3500">
      <w:r w:rsidRPr="00EC3500">
        <w:t>Repeat</w:t>
      </w:r>
      <w:r w:rsidR="002D7EC0">
        <w:t xml:space="preserve"> </w:t>
      </w:r>
      <w:r w:rsidRPr="00EC3500">
        <w:t xml:space="preserve">dose toxicity studies by the oral route were conducted in mice (up to 28 days), rats (up to 6 months) and Cynomolgus monkeys (up to 9 months). Maximum exposures (AUC) were moderate to very high in mice, </w:t>
      </w:r>
      <w:proofErr w:type="gramStart"/>
      <w:r w:rsidRPr="00EC3500">
        <w:t>rats</w:t>
      </w:r>
      <w:proofErr w:type="gramEnd"/>
      <w:r w:rsidRPr="00EC3500">
        <w:t xml:space="preserve"> and monkeys. Adequate exposure to metabolites BMT</w:t>
      </w:r>
      <w:r w:rsidR="00637A42">
        <w:t>-</w:t>
      </w:r>
      <w:r w:rsidRPr="00EC3500">
        <w:t xml:space="preserve">153261 and BMT-158170 was also achieved. Target organs for toxicity were the immune system (decreased lymphocytes, decreased spleen weight, lymphoid depletion, decreased lymphoid cellularity in the spleen and lymphoid tissues, suppression of T-cell dependent IgM and IgG responses) and </w:t>
      </w:r>
      <w:proofErr w:type="spellStart"/>
      <w:r w:rsidRPr="00EC3500">
        <w:t>haematolymphopoietic</w:t>
      </w:r>
      <w:proofErr w:type="spellEnd"/>
      <w:r w:rsidRPr="00EC3500">
        <w:t xml:space="preserve"> system (decreased red blood cell parameters and reticulocytes in all species, increased eosinophils in monkeys and megakaryocytes in the bone marrow of rats) in mice, rats and monkeys, and the skin in monkeys suggestive of infections (increased incidence of skin lesions, sores and/or scabs with associated microscopic findings in the epidermis). Due to decreases in circulating and tissue lymphocytes, immunocompetence in patients may be compromised with an associated increased risk of infection.</w:t>
      </w:r>
    </w:p>
    <w:p w14:paraId="151A5A43" w14:textId="77777777" w:rsidR="00EC3500" w:rsidRPr="00EC3500" w:rsidRDefault="00EC3500" w:rsidP="00EC3500">
      <w:proofErr w:type="spellStart"/>
      <w:r w:rsidRPr="00EC3500">
        <w:t>Deucravacitinib</w:t>
      </w:r>
      <w:proofErr w:type="spellEnd"/>
      <w:r w:rsidRPr="00EC3500">
        <w:t xml:space="preserve">, BMT-153261 and BMT-158170 were not mutagenic in the bacterial mutation assay or clastogenic </w:t>
      </w:r>
      <w:r w:rsidRPr="002D7EC0">
        <w:rPr>
          <w:i/>
          <w:iCs/>
        </w:rPr>
        <w:t>in vitro</w:t>
      </w:r>
      <w:r w:rsidRPr="00EC3500">
        <w:t xml:space="preserve"> (in Chinese hamster ovary cells) or </w:t>
      </w:r>
      <w:r w:rsidRPr="002D7EC0">
        <w:rPr>
          <w:i/>
          <w:iCs/>
        </w:rPr>
        <w:t>in vivo</w:t>
      </w:r>
      <w:r w:rsidRPr="00EC3500">
        <w:t xml:space="preserve"> (in the rat micronucleus test). </w:t>
      </w:r>
      <w:proofErr w:type="spellStart"/>
      <w:r w:rsidRPr="00EC3500">
        <w:t>Deucravacitinib</w:t>
      </w:r>
      <w:proofErr w:type="spellEnd"/>
      <w:r w:rsidRPr="00EC3500">
        <w:t xml:space="preserve"> is not considered to pose a genotoxic concern.</w:t>
      </w:r>
    </w:p>
    <w:p w14:paraId="2F058A57" w14:textId="77777777" w:rsidR="00EC3500" w:rsidRPr="00EC3500" w:rsidRDefault="00EC3500" w:rsidP="00EC3500">
      <w:r w:rsidRPr="00EC3500">
        <w:lastRenderedPageBreak/>
        <w:t xml:space="preserve">In carcinogenicity studies, no treatment related increase in tumour incidence was observed in mice or rats at very high clinical exposures. However, TYK2, the pharmacological target for </w:t>
      </w:r>
      <w:proofErr w:type="spellStart"/>
      <w:r w:rsidRPr="00EC3500">
        <w:t>deucravacitinib</w:t>
      </w:r>
      <w:proofErr w:type="spellEnd"/>
      <w:r w:rsidRPr="00EC3500">
        <w:t>, has been shown to play a role in tumour surveillance and an increased incidence of lymphoid tumours have been reported in Tyk2</w:t>
      </w:r>
      <w:r w:rsidRPr="002D7EC0">
        <w:rPr>
          <w:vertAlign w:val="superscript"/>
        </w:rPr>
        <w:t>-/-</w:t>
      </w:r>
      <w:r w:rsidRPr="00EC3500">
        <w:t xml:space="preserve"> mice. An increased risk of tumours exists in patients.</w:t>
      </w:r>
    </w:p>
    <w:p w14:paraId="029908D2" w14:textId="5B3919D9" w:rsidR="00EC3500" w:rsidRPr="00EC3500" w:rsidRDefault="00EC3500" w:rsidP="00EC3500">
      <w:r w:rsidRPr="00EC3500">
        <w:t xml:space="preserve">Fertility was unaffected in male and female rats treated with </w:t>
      </w:r>
      <w:proofErr w:type="spellStart"/>
      <w:r w:rsidRPr="00EC3500">
        <w:t>deucravacitinib</w:t>
      </w:r>
      <w:proofErr w:type="spellEnd"/>
      <w:r w:rsidRPr="00EC3500">
        <w:t xml:space="preserve"> at exposure levels </w:t>
      </w:r>
      <w:r w:rsidR="002D7EC0">
        <w:t>greater than </w:t>
      </w:r>
      <w:r w:rsidRPr="00EC3500">
        <w:t>100 times the clinical AUC. No treatment</w:t>
      </w:r>
      <w:r w:rsidR="002D7EC0">
        <w:t xml:space="preserve"> </w:t>
      </w:r>
      <w:r w:rsidRPr="00EC3500">
        <w:t>related effects were observed in embryofetal development studies in rats or rabbits at exposure levels 223 and 23 times the clinical AUC and free clinical AUC, respectively. Lower bodyweight gain was evident in breast</w:t>
      </w:r>
      <w:r w:rsidR="002D7EC0">
        <w:t xml:space="preserve"> </w:t>
      </w:r>
      <w:r w:rsidRPr="00EC3500">
        <w:t xml:space="preserve">fed pups of rats treated with </w:t>
      </w:r>
      <w:proofErr w:type="spellStart"/>
      <w:r w:rsidRPr="00EC3500">
        <w:t>deucravacitinib</w:t>
      </w:r>
      <w:proofErr w:type="spellEnd"/>
      <w:r w:rsidRPr="00EC3500">
        <w:t>. Plasma levels of pharmacologically</w:t>
      </w:r>
      <w:r w:rsidR="002D7EC0">
        <w:t xml:space="preserve"> </w:t>
      </w:r>
      <w:r w:rsidRPr="00EC3500">
        <w:t>active material in breast</w:t>
      </w:r>
      <w:r w:rsidR="002D7EC0">
        <w:t xml:space="preserve"> </w:t>
      </w:r>
      <w:r w:rsidRPr="00EC3500">
        <w:t>fed pups were up to 11% of maternal plasma levels. A risk of infection in breast-fed infants following maternal exposure cannot be completely dismissed.</w:t>
      </w:r>
    </w:p>
    <w:p w14:paraId="43F41244" w14:textId="77777777" w:rsidR="00EC3500" w:rsidRPr="00EC3500" w:rsidRDefault="00EC3500" w:rsidP="00EC3500">
      <w:proofErr w:type="spellStart"/>
      <w:r w:rsidRPr="00EC3500">
        <w:t>Deucravacitinib</w:t>
      </w:r>
      <w:proofErr w:type="spellEnd"/>
      <w:r w:rsidRPr="00EC3500">
        <w:t xml:space="preserve"> is not proposed for paediatric use. Studies in juvenile rats revealed findings that were </w:t>
      </w:r>
      <w:proofErr w:type="gramStart"/>
      <w:r w:rsidRPr="00EC3500">
        <w:t>similar to</w:t>
      </w:r>
      <w:proofErr w:type="gramEnd"/>
      <w:r w:rsidRPr="00EC3500">
        <w:t xml:space="preserve"> those seen in treated adults and included effects on the immune and haematopoietic systems.</w:t>
      </w:r>
    </w:p>
    <w:p w14:paraId="056D9A78" w14:textId="38A18F8C" w:rsidR="00EC3500" w:rsidRPr="00EC3500" w:rsidRDefault="00EC3500" w:rsidP="00EC3500">
      <w:proofErr w:type="spellStart"/>
      <w:r w:rsidRPr="00EC3500">
        <w:t>Deucravacitinib</w:t>
      </w:r>
      <w:proofErr w:type="spellEnd"/>
      <w:r w:rsidRPr="00EC3500">
        <w:t xml:space="preserve"> was not phototoxic to </w:t>
      </w:r>
      <w:proofErr w:type="spellStart"/>
      <w:r w:rsidRPr="00EC3500">
        <w:t>Balb</w:t>
      </w:r>
      <w:proofErr w:type="spellEnd"/>
      <w:r w:rsidRPr="00EC3500">
        <w:t>/C3T3 mouse fibroblasts, despite there being some binding of drug related material in melanin-containing tissues.</w:t>
      </w:r>
    </w:p>
    <w:p w14:paraId="58CB96F4" w14:textId="77777777" w:rsidR="00EC3500" w:rsidRPr="00EC3500" w:rsidRDefault="00EC3500" w:rsidP="00EC3500">
      <w:r w:rsidRPr="00EC3500">
        <w:t>The proposed limits for three impurities in the drug substance have been adequately qualified by submitted toxicity data.</w:t>
      </w:r>
    </w:p>
    <w:p w14:paraId="156AF2AC" w14:textId="77777777" w:rsidR="00EC3500" w:rsidRPr="00EC3500" w:rsidRDefault="00EC3500" w:rsidP="00EC3500">
      <w:r w:rsidRPr="00EC3500">
        <w:t>The collective safety studies indicate the following as potentially clinically relevant:</w:t>
      </w:r>
    </w:p>
    <w:p w14:paraId="42EC76C4" w14:textId="77777777" w:rsidR="00EC3500" w:rsidRPr="00EC3500" w:rsidRDefault="00EC3500" w:rsidP="00EC3500">
      <w:pPr>
        <w:pStyle w:val="ListBullet"/>
      </w:pPr>
      <w:r w:rsidRPr="00EC3500">
        <w:t xml:space="preserve">decreases in lymphocytes and immunosuppression with a consequent higher risk of infection, and </w:t>
      </w:r>
    </w:p>
    <w:p w14:paraId="04952595" w14:textId="77777777" w:rsidR="00EC3500" w:rsidRPr="00EC3500" w:rsidRDefault="00EC3500" w:rsidP="00EC3500">
      <w:pPr>
        <w:pStyle w:val="ListBullet"/>
      </w:pPr>
      <w:r w:rsidRPr="00EC3500">
        <w:t>an increased risk of malignancies may be seen in patients.</w:t>
      </w:r>
    </w:p>
    <w:p w14:paraId="68CF7994" w14:textId="77777777" w:rsidR="00EC3500" w:rsidRPr="00EC3500" w:rsidRDefault="00EC3500" w:rsidP="00EC3500">
      <w:r w:rsidRPr="00EC3500">
        <w:t>Several amendments to the PI were recommended by the nonclinical evaluator. All were accepted by the sponsor.</w:t>
      </w:r>
    </w:p>
    <w:p w14:paraId="35B580A5" w14:textId="69B9BE44" w:rsidR="00C22214" w:rsidRDefault="00C22214" w:rsidP="008804CF">
      <w:pPr>
        <w:pStyle w:val="Heading3"/>
      </w:pPr>
      <w:bookmarkStart w:id="45" w:name="_Toc141445516"/>
      <w:r>
        <w:t>Clinical</w:t>
      </w:r>
      <w:bookmarkEnd w:id="42"/>
      <w:bookmarkEnd w:id="43"/>
      <w:bookmarkEnd w:id="44"/>
      <w:bookmarkEnd w:id="45"/>
    </w:p>
    <w:p w14:paraId="6ED5DB79" w14:textId="737D7D63" w:rsidR="007D7DB4" w:rsidRDefault="007D7DB4" w:rsidP="007D7DB4">
      <w:pPr>
        <w:pStyle w:val="Heading4"/>
      </w:pPr>
      <w:bookmarkStart w:id="46" w:name="_Toc141445517"/>
      <w:r>
        <w:t>Summary of clinical studies</w:t>
      </w:r>
      <w:bookmarkEnd w:id="46"/>
    </w:p>
    <w:p w14:paraId="69BD403B" w14:textId="56CC3E3A" w:rsidR="007D7DB4" w:rsidRPr="007D7DB4" w:rsidRDefault="007D7DB4" w:rsidP="007D7DB4">
      <w:r w:rsidRPr="007D7DB4">
        <w:t xml:space="preserve">Two pivotal Phase </w:t>
      </w:r>
      <w:r>
        <w:t>III</w:t>
      </w:r>
      <w:r w:rsidRPr="007D7DB4">
        <w:t xml:space="preserve"> efficacy/safety studies, </w:t>
      </w:r>
      <w:r w:rsidR="00370644">
        <w:t xml:space="preserve">Studies </w:t>
      </w:r>
      <w:r w:rsidRPr="007D7DB4">
        <w:t xml:space="preserve">IM011046 (POETYK-PSO-1) and IM011047 (POETYK-PSO-2), in adults with moderate to severe active psoriasis were supported by 18 pharmacokinetic/pharmacodynamic studies in healthy adult volunteers, adults with renal or hepatic impairment, and adults with psoriasis, a Phase </w:t>
      </w:r>
      <w:r>
        <w:t>II</w:t>
      </w:r>
      <w:r w:rsidRPr="007D7DB4">
        <w:t xml:space="preserve"> dose</w:t>
      </w:r>
      <w:r w:rsidR="00637A42">
        <w:t xml:space="preserve"> </w:t>
      </w:r>
      <w:r w:rsidRPr="007D7DB4">
        <w:t xml:space="preserve">finding study, and a Phase </w:t>
      </w:r>
      <w:r>
        <w:t>III</w:t>
      </w:r>
      <w:r w:rsidRPr="007D7DB4">
        <w:t xml:space="preserve"> long</w:t>
      </w:r>
      <w:r w:rsidR="00637A42">
        <w:t xml:space="preserve"> </w:t>
      </w:r>
      <w:r w:rsidRPr="007D7DB4">
        <w:t>term extension study. Data from the clinical study reports were variously included in a population pharmacokinetic analysis and/or integrated summaries of efficacy and safety.</w:t>
      </w:r>
    </w:p>
    <w:p w14:paraId="1C560E0C" w14:textId="77777777" w:rsidR="007D7DB4" w:rsidRPr="007D7DB4" w:rsidRDefault="007D7DB4" w:rsidP="007D7DB4">
      <w:r w:rsidRPr="007D7DB4">
        <w:t>Real-world data describing the epidemiology of infections, malignancies, major adverse cardiac events (MACE) and depression were used for indirect comparisons of adverse event rates in the treatment population.</w:t>
      </w:r>
    </w:p>
    <w:p w14:paraId="2C65AA71" w14:textId="27196821" w:rsidR="007D7DB4" w:rsidRDefault="007D7DB4" w:rsidP="007D7DB4">
      <w:r w:rsidRPr="007D7DB4">
        <w:t>Patient-reported outcomes measured in the clinical trials included validated measures of quality of life (QoL): Psoriasis Symptoms and Signs Diary (PSSD), Patient’s Global Impression of Change (PGI-C) and Severity (PGI-S), Dermatology Life Quality Index (DLQI), Hospital Anxiety and Depression Scale (HADS), Short Form Health Survey-36 Item (SF-36)</w:t>
      </w:r>
      <w:r w:rsidR="00637A42">
        <w:t>,</w:t>
      </w:r>
      <w:r w:rsidRPr="007D7DB4">
        <w:t xml:space="preserve"> Euro Quality of Life Five Dimensions Questionnaire – 3-Level Version (EQ-5D-3L), Psoriatic Arthritis Screening and Evaluation (PASE) Questionnaire, visual </w:t>
      </w:r>
      <w:proofErr w:type="spellStart"/>
      <w:r w:rsidRPr="007D7DB4">
        <w:t>analog</w:t>
      </w:r>
      <w:proofErr w:type="spellEnd"/>
      <w:r w:rsidRPr="007D7DB4">
        <w:t xml:space="preserve"> scale (VAS) for assessment of peripheral joint </w:t>
      </w:r>
      <w:r w:rsidRPr="007D7DB4">
        <w:lastRenderedPageBreak/>
        <w:t>pain, VAS for assessment of peripheral joint disease, and a Work Limitation Questionnaire (WLQ).</w:t>
      </w:r>
    </w:p>
    <w:p w14:paraId="4189778A" w14:textId="3A9A8408" w:rsidR="007D7DB4" w:rsidRPr="007D7DB4" w:rsidRDefault="007D7DB4" w:rsidP="007D7DB4">
      <w:pPr>
        <w:pStyle w:val="Heading4"/>
      </w:pPr>
      <w:bookmarkStart w:id="47" w:name="_Toc141445518"/>
      <w:r w:rsidRPr="007D7DB4">
        <w:t>Pharmacology</w:t>
      </w:r>
      <w:bookmarkEnd w:id="47"/>
    </w:p>
    <w:p w14:paraId="51BBCA17" w14:textId="659DD8D1" w:rsidR="007D7DB4" w:rsidRPr="007D7DB4" w:rsidRDefault="007D7DB4" w:rsidP="007D7DB4">
      <w:pPr>
        <w:pStyle w:val="Heading5"/>
        <w:rPr>
          <w:i w:val="0"/>
          <w:iCs/>
        </w:rPr>
      </w:pPr>
      <w:r w:rsidRPr="007D7DB4">
        <w:t>Pharmacokinetics</w:t>
      </w:r>
    </w:p>
    <w:p w14:paraId="2C44AFD8" w14:textId="7E7420A7" w:rsidR="007D7DB4" w:rsidRDefault="007D7DB4" w:rsidP="007D7DB4">
      <w:r>
        <w:t xml:space="preserve">The pharmacokinetics (PK) of </w:t>
      </w:r>
      <w:proofErr w:type="spellStart"/>
      <w:r>
        <w:t>deucravacitinib</w:t>
      </w:r>
      <w:proofErr w:type="spellEnd"/>
      <w:r>
        <w:t xml:space="preserve"> were investigated in a series of Phase I clinical studies, </w:t>
      </w:r>
      <w:proofErr w:type="gramStart"/>
      <w:r>
        <w:t>and also</w:t>
      </w:r>
      <w:proofErr w:type="gramEnd"/>
      <w:r>
        <w:t xml:space="preserve"> by applying a population pharmacokinetic (</w:t>
      </w:r>
      <w:proofErr w:type="spellStart"/>
      <w:r>
        <w:t>popPK</w:t>
      </w:r>
      <w:proofErr w:type="spellEnd"/>
      <w:r>
        <w:t xml:space="preserve">) model derived from results of measurements of PK in healthy volunteers, adults with varying degrees of renal or hepatic impairment and adults with psoriasis. The various PK studies were performed using single doses of between 1 mg and 40 mg </w:t>
      </w:r>
      <w:proofErr w:type="spellStart"/>
      <w:r>
        <w:t>deucravacitinib</w:t>
      </w:r>
      <w:proofErr w:type="spellEnd"/>
      <w:r>
        <w:t xml:space="preserve">, or multiple doses of up to 12 mg twice daily for up to 14 days. Most studies did not specifically examine the proposed therapeutic oral dose of 6mg </w:t>
      </w:r>
      <w:r w:rsidR="00F12435">
        <w:t>daily</w:t>
      </w:r>
      <w:r>
        <w:t xml:space="preserve">. Food and/or drug-drug interaction studies that used the 6 mg dosage explored pH effects (famotidine) and interactions with ciclosporin, pyrimethamine and diflunisal. The remaining PK studies generally assessed higher dosages or a range of dosages higher and lower than the proposed dose. Early studies used a solution formulation or capsule formulation of </w:t>
      </w:r>
      <w:proofErr w:type="spellStart"/>
      <w:r>
        <w:t>deucravacitinib</w:t>
      </w:r>
      <w:proofErr w:type="spellEnd"/>
      <w:r>
        <w:t>, the Phase III studies used a tablet formulation essentially identical to the proposed commercial formulation.</w:t>
      </w:r>
    </w:p>
    <w:p w14:paraId="621AC2FD" w14:textId="77777777" w:rsidR="007D7DB4" w:rsidRDefault="007D7DB4" w:rsidP="007D7DB4">
      <w:r>
        <w:t xml:space="preserve">Across the various studies, oral </w:t>
      </w:r>
      <w:proofErr w:type="spellStart"/>
      <w:r>
        <w:t>deucravacitinib</w:t>
      </w:r>
      <w:proofErr w:type="spellEnd"/>
      <w:r>
        <w:t xml:space="preserve"> was rapidly absorbed, with the time to maximums plasma concentrations (</w:t>
      </w:r>
      <w:proofErr w:type="spellStart"/>
      <w:r>
        <w:t>T</w:t>
      </w:r>
      <w:r>
        <w:rPr>
          <w:vertAlign w:val="subscript"/>
        </w:rPr>
        <w:t>max</w:t>
      </w:r>
      <w:proofErr w:type="spellEnd"/>
      <w:r>
        <w:t xml:space="preserve">) ranging between one and three hours. </w:t>
      </w:r>
      <w:proofErr w:type="spellStart"/>
      <w:r>
        <w:t>T</w:t>
      </w:r>
      <w:r>
        <w:rPr>
          <w:vertAlign w:val="subscript"/>
        </w:rPr>
        <w:t>max</w:t>
      </w:r>
      <w:proofErr w:type="spellEnd"/>
      <w:r>
        <w:t xml:space="preserve"> was delayed under fed conditions (high fat/high calorie breakfast) compared to fasting conditions, and at higher doses. Although the maximum concentration (</w:t>
      </w:r>
      <w:proofErr w:type="spellStart"/>
      <w:r>
        <w:t>C</w:t>
      </w:r>
      <w:r>
        <w:rPr>
          <w:vertAlign w:val="subscript"/>
        </w:rPr>
        <w:t>max</w:t>
      </w:r>
      <w:proofErr w:type="spellEnd"/>
      <w:r>
        <w:t xml:space="preserve">) was generally lower when </w:t>
      </w:r>
      <w:proofErr w:type="spellStart"/>
      <w:r>
        <w:t>deucravacitinib</w:t>
      </w:r>
      <w:proofErr w:type="spellEnd"/>
      <w:r>
        <w:t xml:space="preserve"> was taken in the fed state, estimates of AUC were generally comparable. </w:t>
      </w:r>
      <w:proofErr w:type="spellStart"/>
      <w:r>
        <w:t>Deucravacitinib</w:t>
      </w:r>
      <w:proofErr w:type="spellEnd"/>
      <w:r>
        <w:t xml:space="preserve"> is moderately bound to plasma proteins (approximately 82%), and widely distributed into the tissues but not the brain.</w:t>
      </w:r>
    </w:p>
    <w:p w14:paraId="37B755BA" w14:textId="5730F706" w:rsidR="007D7DB4" w:rsidRDefault="007D7DB4" w:rsidP="007D7DB4">
      <w:r>
        <w:t xml:space="preserve">The primary study investigating the PK of </w:t>
      </w:r>
      <w:proofErr w:type="spellStart"/>
      <w:r>
        <w:t>deucravacitinib</w:t>
      </w:r>
      <w:proofErr w:type="spellEnd"/>
      <w:r>
        <w:t xml:space="preserve"> was the four-part first in human study, Study IM011002. The </w:t>
      </w:r>
      <w:proofErr w:type="spellStart"/>
      <w:r>
        <w:t>C</w:t>
      </w:r>
      <w:r>
        <w:rPr>
          <w:vertAlign w:val="subscript"/>
        </w:rPr>
        <w:t>max</w:t>
      </w:r>
      <w:proofErr w:type="spellEnd"/>
      <w:r>
        <w:t xml:space="preserve"> and AUC of </w:t>
      </w:r>
      <w:proofErr w:type="spellStart"/>
      <w:r>
        <w:t>deucravacitinib</w:t>
      </w:r>
      <w:proofErr w:type="spellEnd"/>
      <w:r>
        <w:t xml:space="preserve"> increased slightly more than proportionally with dose (1 mg, 3 mg, 10 mg, 20 </w:t>
      </w:r>
      <w:proofErr w:type="gramStart"/>
      <w:r>
        <w:t>mg</w:t>
      </w:r>
      <w:proofErr w:type="gramEnd"/>
      <w:r>
        <w:t xml:space="preserve"> and 40 mg orally as solution) in ascending single dose studies (eight adult participants). The estimated slope (90% confidence interval (CI)) of the relationship between dose and </w:t>
      </w:r>
      <w:proofErr w:type="spellStart"/>
      <w:r>
        <w:t>C</w:t>
      </w:r>
      <w:r>
        <w:rPr>
          <w:vertAlign w:val="subscript"/>
        </w:rPr>
        <w:t>max</w:t>
      </w:r>
      <w:proofErr w:type="spellEnd"/>
      <w:r>
        <w:t xml:space="preserve"> was 1.295 (1.234, 1.355); and for area under the concentration time cure from </w:t>
      </w:r>
      <w:r w:rsidRPr="007D7DB4">
        <w:t>zero to infinity</w:t>
      </w:r>
      <w:r>
        <w:t xml:space="preserve"> (AUC</w:t>
      </w:r>
      <w:r>
        <w:rPr>
          <w:vertAlign w:val="subscript"/>
        </w:rPr>
        <w:t>inf</w:t>
      </w:r>
      <w:r>
        <w:t xml:space="preserve">) was 1.244 [1.178, 1.31]. It is noted that in the clinical study report for </w:t>
      </w:r>
      <w:r w:rsidRPr="00E21C03">
        <w:t>Study IM011002</w:t>
      </w:r>
      <w:r>
        <w:t>,</w:t>
      </w:r>
      <w:r w:rsidRPr="00E21C03">
        <w:rPr>
          <w:vertAlign w:val="superscript"/>
        </w:rPr>
        <w:footnoteReference w:id="6"/>
      </w:r>
      <w:r>
        <w:t xml:space="preserve"> the sponsor stated that the results of the dose proportionality studies should be interpreted with caution, as neither the single ascending dose or multiple ascending dose studies were </w:t>
      </w:r>
      <w:r>
        <w:rPr>
          <w:i/>
          <w:iCs/>
        </w:rPr>
        <w:t>‘optimally designed nor powered to confirm the presence or absence of meaningful departures from dose proportionality’</w:t>
      </w:r>
      <w:r>
        <w:t>.</w:t>
      </w:r>
    </w:p>
    <w:p w14:paraId="0F60970A" w14:textId="6848ACBA" w:rsidR="007D7DB4" w:rsidRPr="001E3C12" w:rsidRDefault="007D7DB4" w:rsidP="007D7DB4">
      <w:r>
        <w:t xml:space="preserve">In the multiple ascending dose study with </w:t>
      </w:r>
      <w:proofErr w:type="spellStart"/>
      <w:r>
        <w:t>deucravacitinib</w:t>
      </w:r>
      <w:proofErr w:type="spellEnd"/>
      <w:r>
        <w:t xml:space="preserve"> solution (12 adult participants), the median </w:t>
      </w:r>
      <w:proofErr w:type="spellStart"/>
      <w:r>
        <w:t>T</w:t>
      </w:r>
      <w:r>
        <w:rPr>
          <w:vertAlign w:val="subscript"/>
        </w:rPr>
        <w:t>max</w:t>
      </w:r>
      <w:proofErr w:type="spellEnd"/>
      <w:r>
        <w:t xml:space="preserve"> at steady state in </w:t>
      </w:r>
      <w:r w:rsidRPr="00126BFB">
        <w:t xml:space="preserve">healthy </w:t>
      </w:r>
      <w:r>
        <w:t>volunteers</w:t>
      </w:r>
      <w:r w:rsidRPr="00126BFB">
        <w:t xml:space="preserve"> </w:t>
      </w:r>
      <w:r>
        <w:t xml:space="preserve">treated with </w:t>
      </w:r>
      <w:proofErr w:type="spellStart"/>
      <w:r>
        <w:t>deucravacitinib</w:t>
      </w:r>
      <w:proofErr w:type="spellEnd"/>
      <w:r>
        <w:t xml:space="preserve"> </w:t>
      </w:r>
      <w:r w:rsidRPr="00126BFB">
        <w:t xml:space="preserve">for 12 days over the dose range of 2 mg to 12 mg </w:t>
      </w:r>
      <w:r>
        <w:t xml:space="preserve">twice daily or </w:t>
      </w:r>
      <w:r w:rsidRPr="00126BFB">
        <w:t xml:space="preserve">12 mg </w:t>
      </w:r>
      <w:r w:rsidR="00F12435">
        <w:t>daily</w:t>
      </w:r>
      <w:r>
        <w:t xml:space="preserve"> was one hour at all doses</w:t>
      </w:r>
      <w:r w:rsidRPr="00126BFB">
        <w:t xml:space="preserve">. </w:t>
      </w:r>
      <w:r>
        <w:t>Geometric mean (GM) maximum concentration at steady state (</w:t>
      </w:r>
      <w:proofErr w:type="spellStart"/>
      <w:r>
        <w:t>C</w:t>
      </w:r>
      <w:r>
        <w:rPr>
          <w:vertAlign w:val="subscript"/>
        </w:rPr>
        <w:t>max,ss</w:t>
      </w:r>
      <w:proofErr w:type="spellEnd"/>
      <w:r>
        <w:rPr>
          <w:vertAlign w:val="subscript"/>
        </w:rPr>
        <w:t xml:space="preserve"> </w:t>
      </w:r>
      <w:r>
        <w:t>)(</w:t>
      </w:r>
      <w:r w:rsidR="00791E32">
        <w:t>coefficient of variation</w:t>
      </w:r>
      <w:r>
        <w:t xml:space="preserve">) at 2 mg twice daily and 4 mg twice daily (closest comparable dosing to the proposed dose of 6 mg </w:t>
      </w:r>
      <w:r w:rsidR="00F12435">
        <w:t>daily</w:t>
      </w:r>
      <w:r>
        <w:t>) was 15.2 ng/mL (40%) and 49.6 ng/mL (21%), respectively, and a</w:t>
      </w:r>
      <w:r w:rsidRPr="007D7DB4">
        <w:t>rea under the concentration</w:t>
      </w:r>
      <w:r>
        <w:t xml:space="preserve"> </w:t>
      </w:r>
      <w:r w:rsidRPr="007D7DB4">
        <w:t xml:space="preserve">time curve from time zero to the end of the dosing interval </w:t>
      </w:r>
      <w:r>
        <w:t>(AUC</w:t>
      </w:r>
      <w:r>
        <w:rPr>
          <w:vertAlign w:val="subscript"/>
        </w:rPr>
        <w:t>tau</w:t>
      </w:r>
      <w:r>
        <w:t xml:space="preserve">) was 90.5 </w:t>
      </w:r>
      <w:proofErr w:type="spellStart"/>
      <w:r>
        <w:t>ng.h</w:t>
      </w:r>
      <w:proofErr w:type="spellEnd"/>
      <w:r>
        <w:t>/mL (43%) and 315 </w:t>
      </w:r>
      <w:proofErr w:type="spellStart"/>
      <w:r>
        <w:t>ng.h</w:t>
      </w:r>
      <w:proofErr w:type="spellEnd"/>
      <w:r>
        <w:t xml:space="preserve">/mL (29%), respectively. </w:t>
      </w:r>
      <w:r w:rsidRPr="00384297">
        <w:t xml:space="preserve">The increase in exposures </w:t>
      </w:r>
      <w:r>
        <w:t>between doses of</w:t>
      </w:r>
      <w:r w:rsidRPr="00384297">
        <w:t xml:space="preserve"> 4 </w:t>
      </w:r>
      <w:r>
        <w:t xml:space="preserve">mg twice daily </w:t>
      </w:r>
      <w:r w:rsidRPr="00384297">
        <w:t xml:space="preserve">to 12 mg </w:t>
      </w:r>
      <w:r>
        <w:t>twice daily</w:t>
      </w:r>
      <w:r w:rsidRPr="00384297">
        <w:t xml:space="preserve"> appeared </w:t>
      </w:r>
      <w:r>
        <w:t xml:space="preserve">dose </w:t>
      </w:r>
      <w:r w:rsidRPr="00384297">
        <w:t>proportional</w:t>
      </w:r>
      <w:r>
        <w:t xml:space="preserve">, whereas below 4 mg twice daily it appeared to be greater than dose proportional. </w:t>
      </w:r>
      <w:r w:rsidRPr="00126BFB">
        <w:t xml:space="preserve">After multiple dosing, accumulation </w:t>
      </w:r>
      <w:r>
        <w:t xml:space="preserve">ratios of </w:t>
      </w:r>
      <w:proofErr w:type="spellStart"/>
      <w:r>
        <w:lastRenderedPageBreak/>
        <w:t>deucravacitinib</w:t>
      </w:r>
      <w:proofErr w:type="spellEnd"/>
      <w:r>
        <w:t xml:space="preserve"> at steady state (Day 5) ranged from 1.49 to 1.85 for doses between 2 mg twice daily and 12 mg twice daily.</w:t>
      </w:r>
    </w:p>
    <w:p w14:paraId="078F25A4" w14:textId="2B49B5EB" w:rsidR="007D7DB4" w:rsidRDefault="007D7DB4" w:rsidP="007D7DB4">
      <w:proofErr w:type="spellStart"/>
      <w:r>
        <w:t>Deucravacitinib</w:t>
      </w:r>
      <w:proofErr w:type="spellEnd"/>
      <w:r>
        <w:t xml:space="preserve"> is extensively metabolised, predominantly by four major pathways (see</w:t>
      </w:r>
      <w:r w:rsidR="00370644">
        <w:t xml:space="preserve"> </w:t>
      </w:r>
      <w:r w:rsidR="00370644">
        <w:fldChar w:fldCharType="begin"/>
      </w:r>
      <w:r w:rsidR="00370644">
        <w:instrText xml:space="preserve"> REF _Ref141184587 \h </w:instrText>
      </w:r>
      <w:r w:rsidR="00370644">
        <w:fldChar w:fldCharType="separate"/>
      </w:r>
      <w:r w:rsidR="00C63E2D" w:rsidRPr="00370644">
        <w:t xml:space="preserve">Figure </w:t>
      </w:r>
      <w:r w:rsidR="00C63E2D">
        <w:rPr>
          <w:noProof/>
        </w:rPr>
        <w:t>3</w:t>
      </w:r>
      <w:r w:rsidR="00370644">
        <w:fldChar w:fldCharType="end"/>
      </w:r>
      <w:r>
        <w:t>) Approximately</w:t>
      </w:r>
      <w:r w:rsidRPr="00B84E3A">
        <w:t xml:space="preserve"> 59% of </w:t>
      </w:r>
      <w:r>
        <w:t xml:space="preserve">ingested </w:t>
      </w:r>
      <w:proofErr w:type="spellStart"/>
      <w:r>
        <w:t>deucravacitinib</w:t>
      </w:r>
      <w:proofErr w:type="spellEnd"/>
      <w:r>
        <w:t xml:space="preserve"> was metabolised</w:t>
      </w:r>
      <w:r w:rsidRPr="00B84E3A">
        <w:t xml:space="preserve">, </w:t>
      </w:r>
      <w:r>
        <w:t xml:space="preserve">13% was renally excreted as </w:t>
      </w:r>
      <w:proofErr w:type="spellStart"/>
      <w:r>
        <w:t>unmetaboli</w:t>
      </w:r>
      <w:r w:rsidR="00791E32">
        <w:t>s</w:t>
      </w:r>
      <w:r>
        <w:t>ed</w:t>
      </w:r>
      <w:proofErr w:type="spellEnd"/>
      <w:r>
        <w:t xml:space="preserve"> </w:t>
      </w:r>
      <w:proofErr w:type="spellStart"/>
      <w:r>
        <w:t>deucravacitinib</w:t>
      </w:r>
      <w:proofErr w:type="spellEnd"/>
      <w:r>
        <w:t xml:space="preserve"> and 26% was unmetabolized </w:t>
      </w:r>
      <w:proofErr w:type="spellStart"/>
      <w:r>
        <w:t>deucravacitinib</w:t>
      </w:r>
      <w:proofErr w:type="spellEnd"/>
      <w:r>
        <w:t xml:space="preserve"> measured in the faeces. The m</w:t>
      </w:r>
      <w:r w:rsidRPr="009926B4">
        <w:t>ean</w:t>
      </w:r>
      <w:r>
        <w:t xml:space="preserve"> half-life</w:t>
      </w:r>
      <w:r w:rsidRPr="009926B4">
        <w:t xml:space="preserve"> </w:t>
      </w:r>
      <w:r>
        <w:t>(T</w:t>
      </w:r>
      <w:r w:rsidRPr="009926B4">
        <w:rPr>
          <w:vertAlign w:val="subscript"/>
        </w:rPr>
        <w:t>1/2</w:t>
      </w:r>
      <w:r>
        <w:t xml:space="preserve">) of </w:t>
      </w:r>
      <w:proofErr w:type="spellStart"/>
      <w:r>
        <w:t>deucravacitinib</w:t>
      </w:r>
      <w:proofErr w:type="spellEnd"/>
      <w:r w:rsidRPr="009926B4">
        <w:t xml:space="preserve"> ranged from 7.93 h</w:t>
      </w:r>
      <w:r w:rsidR="00370644">
        <w:t>our</w:t>
      </w:r>
      <w:r w:rsidRPr="009926B4">
        <w:t xml:space="preserve"> to 15 h</w:t>
      </w:r>
      <w:r w:rsidR="00370644">
        <w:t>our</w:t>
      </w:r>
      <w:r w:rsidRPr="009926B4">
        <w:t xml:space="preserve"> with increasing dose</w:t>
      </w:r>
      <w:r>
        <w:t>, although the T</w:t>
      </w:r>
      <w:r w:rsidRPr="009926B4">
        <w:rPr>
          <w:vertAlign w:val="subscript"/>
        </w:rPr>
        <w:t>1/2</w:t>
      </w:r>
      <w:r>
        <w:rPr>
          <w:vertAlign w:val="subscript"/>
        </w:rPr>
        <w:t xml:space="preserve"> </w:t>
      </w:r>
      <w:r>
        <w:t xml:space="preserve">after single doses of </w:t>
      </w:r>
      <w:proofErr w:type="spellStart"/>
      <w:r>
        <w:t>deucravacitinib</w:t>
      </w:r>
      <w:proofErr w:type="spellEnd"/>
      <w:r>
        <w:t xml:space="preserve"> 3</w:t>
      </w:r>
      <w:r w:rsidR="00370644">
        <w:t xml:space="preserve"> </w:t>
      </w:r>
      <w:r>
        <w:t>mg or 10</w:t>
      </w:r>
      <w:r w:rsidR="00370644">
        <w:t xml:space="preserve"> </w:t>
      </w:r>
      <w:r>
        <w:t>mg (closest to the proposed oral dose of 6</w:t>
      </w:r>
      <w:r w:rsidR="00370644">
        <w:t xml:space="preserve"> </w:t>
      </w:r>
      <w:r>
        <w:t>mg) were similar (11 h</w:t>
      </w:r>
      <w:r w:rsidR="00370644">
        <w:t>our</w:t>
      </w:r>
      <w:r>
        <w:t xml:space="preserve"> and 9.87 h</w:t>
      </w:r>
      <w:r w:rsidR="00370644">
        <w:t>our</w:t>
      </w:r>
      <w:r>
        <w:t xml:space="preserve">, respectively). </w:t>
      </w:r>
    </w:p>
    <w:p w14:paraId="2BBE66A1" w14:textId="0DCC3757" w:rsidR="007D7DB4" w:rsidRDefault="00370644" w:rsidP="00370644">
      <w:pPr>
        <w:pStyle w:val="FigureTitle"/>
      </w:pPr>
      <w:bookmarkStart w:id="48" w:name="_Ref141184587"/>
      <w:r w:rsidRPr="00370644">
        <w:t xml:space="preserve">Figure </w:t>
      </w:r>
      <w:r>
        <w:fldChar w:fldCharType="begin"/>
      </w:r>
      <w:r>
        <w:instrText>SEQ Figure \* ARABIC</w:instrText>
      </w:r>
      <w:r>
        <w:fldChar w:fldCharType="separate"/>
      </w:r>
      <w:r w:rsidR="00C63E2D">
        <w:rPr>
          <w:noProof/>
        </w:rPr>
        <w:t>3</w:t>
      </w:r>
      <w:r>
        <w:fldChar w:fldCharType="end"/>
      </w:r>
      <w:bookmarkEnd w:id="48"/>
      <w:r>
        <w:t xml:space="preserve">: </w:t>
      </w:r>
      <w:r w:rsidRPr="00370644">
        <w:t xml:space="preserve">Mass balance model for </w:t>
      </w:r>
      <w:proofErr w:type="spellStart"/>
      <w:r w:rsidRPr="00370644">
        <w:t>deucravacitinib</w:t>
      </w:r>
      <w:proofErr w:type="spellEnd"/>
      <w:r w:rsidRPr="00370644">
        <w:t xml:space="preserve"> following oral administration based on human </w:t>
      </w:r>
      <w:r>
        <w:t>a</w:t>
      </w:r>
      <w:r w:rsidRPr="00370644">
        <w:t>bsorption, distribution, metabolism, and excretion, (</w:t>
      </w:r>
      <w:r>
        <w:t xml:space="preserve">Study </w:t>
      </w:r>
      <w:r w:rsidRPr="00370644">
        <w:t xml:space="preserve">IM011016) and absolute </w:t>
      </w:r>
      <w:r>
        <w:t>bioavailability</w:t>
      </w:r>
      <w:r w:rsidRPr="00370644">
        <w:t xml:space="preserve"> (</w:t>
      </w:r>
      <w:r>
        <w:t xml:space="preserve">Study </w:t>
      </w:r>
      <w:r w:rsidRPr="00370644">
        <w:t xml:space="preserve">IM011067) </w:t>
      </w:r>
      <w:proofErr w:type="gramStart"/>
      <w:r w:rsidRPr="00370644">
        <w:t>studies</w:t>
      </w:r>
      <w:proofErr w:type="gramEnd"/>
    </w:p>
    <w:p w14:paraId="76C36496" w14:textId="69C00B58" w:rsidR="00370644" w:rsidRDefault="00370644" w:rsidP="00370644">
      <w:pPr>
        <w:pStyle w:val="FigureTitle"/>
      </w:pPr>
      <w:r>
        <w:rPr>
          <w:noProof/>
        </w:rPr>
        <w:drawing>
          <wp:inline distT="0" distB="0" distL="0" distR="0" wp14:anchorId="55170EFF" wp14:editId="0EFB6A28">
            <wp:extent cx="5573865" cy="3029447"/>
            <wp:effectExtent l="0" t="0" r="8255" b="0"/>
            <wp:docPr id="262" name="Picture 262" descr="Mass balance model for deucravacitinib following oral administration based on human absorption, distribution, metabolism, and excretion, (Study IM011016) and absolute bioavailability (Study IM011067) studies"/>
            <wp:cNvGraphicFramePr/>
            <a:graphic xmlns:a="http://schemas.openxmlformats.org/drawingml/2006/main">
              <a:graphicData uri="http://schemas.openxmlformats.org/drawingml/2006/picture">
                <pic:pic xmlns:pic="http://schemas.openxmlformats.org/drawingml/2006/picture">
                  <pic:nvPicPr>
                    <pic:cNvPr id="262" name="Picture 262" descr="Mass balance model for deucravacitinib following oral administration based on human absorption, distribution, metabolism, and excretion, (Study IM011016) and absolute bioavailability (Study IM011067) studies"/>
                    <pic:cNvPicPr/>
                  </pic:nvPicPr>
                  <pic:blipFill rotWithShape="1">
                    <a:blip r:embed="rId26">
                      <a:extLst>
                        <a:ext uri="{28A0092B-C50C-407E-A947-70E740481C1C}">
                          <a14:useLocalDpi xmlns:a14="http://schemas.microsoft.com/office/drawing/2010/main" val="0"/>
                        </a:ext>
                      </a:extLst>
                    </a:blip>
                    <a:srcRect l="1078" r="1856"/>
                    <a:stretch/>
                  </pic:blipFill>
                  <pic:spPr bwMode="auto">
                    <a:xfrm>
                      <a:off x="0" y="0"/>
                      <a:ext cx="5710643" cy="3103787"/>
                    </a:xfrm>
                    <a:prstGeom prst="rect">
                      <a:avLst/>
                    </a:prstGeom>
                    <a:noFill/>
                    <a:ln>
                      <a:noFill/>
                    </a:ln>
                    <a:extLst>
                      <a:ext uri="{53640926-AAD7-44D8-BBD7-CCE9431645EC}">
                        <a14:shadowObscured xmlns:a14="http://schemas.microsoft.com/office/drawing/2010/main"/>
                      </a:ext>
                    </a:extLst>
                  </pic:spPr>
                </pic:pic>
              </a:graphicData>
            </a:graphic>
          </wp:inline>
        </w:drawing>
      </w:r>
    </w:p>
    <w:p w14:paraId="101C5920" w14:textId="11D7F7BB" w:rsidR="00370644" w:rsidRPr="00370644" w:rsidRDefault="00370644" w:rsidP="00370644">
      <w:r w:rsidRPr="00370644">
        <w:t xml:space="preserve">Up to 24.5% of </w:t>
      </w:r>
      <w:proofErr w:type="spellStart"/>
      <w:r w:rsidRPr="00370644">
        <w:t>deucravacitinib</w:t>
      </w:r>
      <w:proofErr w:type="spellEnd"/>
      <w:r w:rsidRPr="00370644">
        <w:t xml:space="preserve"> is metabolised by cytochrome P450 (CYP) 1A2 to form the active metabolite BMT-153261. Up to 15.3% of ingested </w:t>
      </w:r>
      <w:proofErr w:type="spellStart"/>
      <w:r w:rsidRPr="00370644">
        <w:t>deucravacitinib</w:t>
      </w:r>
      <w:proofErr w:type="spellEnd"/>
      <w:r w:rsidRPr="00370644">
        <w:t xml:space="preserve"> is metabolised by CES2 to the pharmacologically inactive (&lt;</w:t>
      </w:r>
      <w:r>
        <w:t xml:space="preserve"> </w:t>
      </w:r>
      <w:r w:rsidRPr="00370644">
        <w:t>0.3% of parent activity) metabolite BMT-158170; and up to 13% is N-</w:t>
      </w:r>
      <w:proofErr w:type="spellStart"/>
      <w:r w:rsidRPr="00370644">
        <w:t>glucuronidated</w:t>
      </w:r>
      <w:proofErr w:type="spellEnd"/>
      <w:r w:rsidRPr="00370644">
        <w:t xml:space="preserve"> by UGT1A9 to the weakly active (&lt;</w:t>
      </w:r>
      <w:r>
        <w:t xml:space="preserve"> </w:t>
      </w:r>
      <w:r w:rsidRPr="00370644">
        <w:t>10% of parent activity) metabolite BMT-334616. Mono</w:t>
      </w:r>
      <w:r>
        <w:noBreakHyphen/>
      </w:r>
      <w:r w:rsidRPr="00370644">
        <w:t>oxidation by CYP2B6 and 2D6 to metabolite M11 contributes to around 5% of metabolism.</w:t>
      </w:r>
    </w:p>
    <w:p w14:paraId="2A93DD78" w14:textId="77777777" w:rsidR="00370644" w:rsidRPr="00370644" w:rsidRDefault="00370644" w:rsidP="00370644">
      <w:r w:rsidRPr="00370644">
        <w:t xml:space="preserve">The sponsor has stated that the active metabolites did not contribute significantly to the efficacy of </w:t>
      </w:r>
      <w:proofErr w:type="spellStart"/>
      <w:r w:rsidRPr="00370644">
        <w:t>deucravacitinib</w:t>
      </w:r>
      <w:proofErr w:type="spellEnd"/>
      <w:r w:rsidRPr="00370644">
        <w:t xml:space="preserve">, however the pharmacological activity of BMT-153261 in </w:t>
      </w:r>
      <w:r w:rsidRPr="00370644">
        <w:rPr>
          <w:i/>
          <w:iCs/>
        </w:rPr>
        <w:t>in vitro</w:t>
      </w:r>
      <w:r w:rsidRPr="00370644">
        <w:t xml:space="preserve"> whole blood assays was reportedly comparable to the parent drug.</w:t>
      </w:r>
    </w:p>
    <w:p w14:paraId="05A40AF5" w14:textId="359D9FAD" w:rsidR="00370644" w:rsidRPr="00370644" w:rsidRDefault="00370644" w:rsidP="00370644">
      <w:r w:rsidRPr="00370644">
        <w:t xml:space="preserve">The PK of BMT-153261, BMT-158170 and BMT-334616 were measured in plasma collected from healthy volunteers on </w:t>
      </w:r>
      <w:r>
        <w:t>D</w:t>
      </w:r>
      <w:r w:rsidRPr="00370644">
        <w:t xml:space="preserve">ay 1 and </w:t>
      </w:r>
      <w:r>
        <w:t>D</w:t>
      </w:r>
      <w:r w:rsidRPr="00370644">
        <w:t xml:space="preserve">ay 12 following the first dose of </w:t>
      </w:r>
      <w:proofErr w:type="spellStart"/>
      <w:r w:rsidRPr="00370644">
        <w:t>deucravacitinib</w:t>
      </w:r>
      <w:proofErr w:type="spellEnd"/>
      <w:r w:rsidRPr="00370644">
        <w:t xml:space="preserve"> (2</w:t>
      </w:r>
      <w:r>
        <w:t xml:space="preserve"> </w:t>
      </w:r>
      <w:r w:rsidRPr="00370644">
        <w:t xml:space="preserve">mg </w:t>
      </w:r>
      <w:r>
        <w:t>twice daily</w:t>
      </w:r>
      <w:r w:rsidRPr="00370644">
        <w:t xml:space="preserve"> – 12</w:t>
      </w:r>
      <w:r>
        <w:t xml:space="preserve"> </w:t>
      </w:r>
      <w:r w:rsidRPr="00370644">
        <w:t xml:space="preserve">mg </w:t>
      </w:r>
      <w:r>
        <w:t>twice daily</w:t>
      </w:r>
      <w:r w:rsidRPr="00370644">
        <w:t>, 12</w:t>
      </w:r>
      <w:r>
        <w:t xml:space="preserve"> </w:t>
      </w:r>
      <w:r w:rsidRPr="00370644">
        <w:t xml:space="preserve">mg </w:t>
      </w:r>
      <w:r w:rsidR="00F12435">
        <w:t>daily</w:t>
      </w:r>
      <w:r w:rsidRPr="00370644">
        <w:t xml:space="preserve">) in an exploratory bioanalytical study. Following doses of 12 mg </w:t>
      </w:r>
      <w:proofErr w:type="spellStart"/>
      <w:r w:rsidRPr="00370644">
        <w:t>deucravacitinib</w:t>
      </w:r>
      <w:proofErr w:type="spellEnd"/>
      <w:r w:rsidRPr="00370644">
        <w:t xml:space="preserve"> </w:t>
      </w:r>
      <w:r w:rsidR="00F12435">
        <w:t>daily</w:t>
      </w:r>
      <w:r w:rsidRPr="00370644">
        <w:t xml:space="preserve">, the GM </w:t>
      </w:r>
      <w:proofErr w:type="spellStart"/>
      <w:proofErr w:type="gramStart"/>
      <w:r w:rsidRPr="00370644">
        <w:t>C</w:t>
      </w:r>
      <w:r w:rsidRPr="00370644">
        <w:rPr>
          <w:vertAlign w:val="subscript"/>
        </w:rPr>
        <w:t>max,ss</w:t>
      </w:r>
      <w:proofErr w:type="spellEnd"/>
      <w:proofErr w:type="gramEnd"/>
      <w:r w:rsidRPr="00370644">
        <w:t xml:space="preserve"> and AUC</w:t>
      </w:r>
      <w:r w:rsidRPr="00370644">
        <w:rPr>
          <w:vertAlign w:val="subscript"/>
        </w:rPr>
        <w:t>tau</w:t>
      </w:r>
      <w:r w:rsidRPr="00370644">
        <w:t xml:space="preserve"> for the parent drug were 117 ng/mL and 803 </w:t>
      </w:r>
      <w:proofErr w:type="spellStart"/>
      <w:r w:rsidRPr="00370644">
        <w:t>ng.h</w:t>
      </w:r>
      <w:proofErr w:type="spellEnd"/>
      <w:r w:rsidRPr="00370644">
        <w:t xml:space="preserve">/mL, respectively; for BMT-153261 were 18.3 ng/mL and 264 </w:t>
      </w:r>
      <w:proofErr w:type="spellStart"/>
      <w:r w:rsidRPr="00370644">
        <w:t>ng.h</w:t>
      </w:r>
      <w:proofErr w:type="spellEnd"/>
      <w:r w:rsidRPr="00370644">
        <w:t xml:space="preserve">/mL, respectively; for BMT-158170 were 22.6 ng/mL and 254 </w:t>
      </w:r>
      <w:proofErr w:type="spellStart"/>
      <w:r w:rsidRPr="00370644">
        <w:t>ng.h</w:t>
      </w:r>
      <w:proofErr w:type="spellEnd"/>
      <w:r w:rsidRPr="00370644">
        <w:t xml:space="preserve">/mL, respectively; and for BMT-334616 were 28.6 ng/mL and 230 </w:t>
      </w:r>
      <w:proofErr w:type="spellStart"/>
      <w:r w:rsidRPr="00370644">
        <w:t>ng.h</w:t>
      </w:r>
      <w:proofErr w:type="spellEnd"/>
      <w:r w:rsidRPr="00370644">
        <w:t xml:space="preserve">/mL, respectively. The </w:t>
      </w:r>
      <w:r>
        <w:t>s</w:t>
      </w:r>
      <w:r w:rsidRPr="00370644">
        <w:t xml:space="preserve">ponsor advised that the liquid chromatography tandem mass spectrometry (LC-MS/MS) analysis of the metabolites was </w:t>
      </w:r>
      <w:r>
        <w:t>‘</w:t>
      </w:r>
      <w:r w:rsidRPr="00791E32">
        <w:rPr>
          <w:i/>
          <w:iCs/>
        </w:rPr>
        <w:t>scientifically-sound</w:t>
      </w:r>
      <w:r>
        <w:t>’</w:t>
      </w:r>
      <w:r w:rsidRPr="00370644">
        <w:t xml:space="preserve">, but </w:t>
      </w:r>
      <w:r>
        <w:t>‘</w:t>
      </w:r>
      <w:r w:rsidRPr="00791E32">
        <w:rPr>
          <w:i/>
          <w:iCs/>
        </w:rPr>
        <w:t>not validated following BAS SOP SPEC0008</w:t>
      </w:r>
      <w:r>
        <w:t>’</w:t>
      </w:r>
      <w:r w:rsidRPr="00370644">
        <w:t xml:space="preserve">. This complicates the ability to assess the relative contributions of the active metabolites to the efficacy and safety of </w:t>
      </w:r>
      <w:proofErr w:type="spellStart"/>
      <w:r w:rsidRPr="00370644">
        <w:t>deucravacitinib</w:t>
      </w:r>
      <w:proofErr w:type="spellEnd"/>
      <w:r w:rsidRPr="00370644">
        <w:t xml:space="preserve"> </w:t>
      </w:r>
      <w:r w:rsidRPr="00370644">
        <w:rPr>
          <w:i/>
          <w:iCs/>
        </w:rPr>
        <w:t>in vivo</w:t>
      </w:r>
      <w:r w:rsidRPr="00370644">
        <w:t>.</w:t>
      </w:r>
    </w:p>
    <w:p w14:paraId="0144FBA0" w14:textId="570D038A" w:rsidR="00370644" w:rsidRPr="00370644" w:rsidRDefault="00370644" w:rsidP="00370644">
      <w:r w:rsidRPr="00370644">
        <w:lastRenderedPageBreak/>
        <w:t>In the same study, the relative proportion of measured total parent drug and major metabolites in the circulation was calculated by dividing the molar AUC (AUC</w:t>
      </w:r>
      <w:r w:rsidRPr="00261781">
        <w:rPr>
          <w:vertAlign w:val="subscript"/>
        </w:rPr>
        <w:t>tau</w:t>
      </w:r>
      <w:r w:rsidRPr="00370644">
        <w:t xml:space="preserve">/molecular weight) of an individual drug-related component (parent drug or metabolite) in plasma by the sum of molar AUC for all measured circulating components. Following </w:t>
      </w:r>
      <w:proofErr w:type="spellStart"/>
      <w:r w:rsidRPr="00370644">
        <w:t>deucravacitinib</w:t>
      </w:r>
      <w:proofErr w:type="spellEnd"/>
      <w:r w:rsidRPr="00370644">
        <w:t xml:space="preserve"> doses of 6</w:t>
      </w:r>
      <w:r>
        <w:t xml:space="preserve"> </w:t>
      </w:r>
      <w:r w:rsidRPr="00370644">
        <w:t xml:space="preserve">mg </w:t>
      </w:r>
      <w:r w:rsidR="00261781">
        <w:t>twice daily</w:t>
      </w:r>
      <w:r w:rsidRPr="00370644">
        <w:t xml:space="preserve"> and 12</w:t>
      </w:r>
      <w:r>
        <w:t xml:space="preserve"> </w:t>
      </w:r>
      <w:r w:rsidRPr="00370644">
        <w:t xml:space="preserve">mg </w:t>
      </w:r>
      <w:r w:rsidR="00261781">
        <w:t>twice daily</w:t>
      </w:r>
      <w:r w:rsidRPr="00370644">
        <w:t xml:space="preserve">, </w:t>
      </w:r>
      <w:proofErr w:type="spellStart"/>
      <w:r w:rsidRPr="00370644">
        <w:t>unmetaboli</w:t>
      </w:r>
      <w:r w:rsidR="00261781">
        <w:t>s</w:t>
      </w:r>
      <w:r w:rsidRPr="00370644">
        <w:t>ed</w:t>
      </w:r>
      <w:proofErr w:type="spellEnd"/>
      <w:r w:rsidRPr="00370644">
        <w:t xml:space="preserve"> </w:t>
      </w:r>
      <w:proofErr w:type="spellStart"/>
      <w:r w:rsidRPr="00370644">
        <w:t>deucravacitinib</w:t>
      </w:r>
      <w:proofErr w:type="spellEnd"/>
      <w:r w:rsidRPr="00370644">
        <w:t xml:space="preserve"> represented 49% of the total of parent and metabolites in plasma at steady state, while metabolites BMT-153261, BMT-158170 and BMT-334616 represented approximately 20%, 20% and 9% respectively. Based on AUC</w:t>
      </w:r>
      <w:r w:rsidRPr="00261781">
        <w:rPr>
          <w:vertAlign w:val="subscript"/>
        </w:rPr>
        <w:t>tau</w:t>
      </w:r>
      <w:r w:rsidRPr="00370644">
        <w:t xml:space="preserve"> values, for the 6 mg and 12 mg </w:t>
      </w:r>
      <w:r w:rsidR="00261781">
        <w:t>twice daily</w:t>
      </w:r>
      <w:r w:rsidRPr="00370644">
        <w:t xml:space="preserve"> groups, BMT-153261 showed the greatest degree of accumulation (1.9- to 2.9-fold), followed by BMT-158170 (1.9- to 2-fold), and then BMT-334616 (1.2- to 1.4-fold). The metabolite ratio vs parent drug for AUC</w:t>
      </w:r>
      <w:r w:rsidRPr="00261781">
        <w:rPr>
          <w:vertAlign w:val="subscript"/>
        </w:rPr>
        <w:t>tau</w:t>
      </w:r>
      <w:r w:rsidRPr="00370644">
        <w:t xml:space="preserve"> at steady state (Day 12) was 0.34 to 0.46 for BMT-153261, 0.38 to 0.44 for BMT-158170, and 0.15 to 0.20 for BMT-334616.</w:t>
      </w:r>
    </w:p>
    <w:p w14:paraId="4E75D974" w14:textId="2CA0E846" w:rsidR="00370644" w:rsidRPr="00370644" w:rsidRDefault="00370644" w:rsidP="00370644">
      <w:r w:rsidRPr="00370644">
        <w:t xml:space="preserve">The sponsor has stated that no dose adjustment is required in patients with mild or moderate hepatic impairment, and that use is not recommended in patients with Child-Pugh Class C hepatic impairment. The PK of </w:t>
      </w:r>
      <w:proofErr w:type="spellStart"/>
      <w:r w:rsidRPr="00370644">
        <w:t>deucravacitinib</w:t>
      </w:r>
      <w:proofErr w:type="spellEnd"/>
      <w:r w:rsidRPr="00370644">
        <w:t xml:space="preserve"> and of the active metabolite BMT-153261 were examined in adults with impaired hepatic function following a single 12</w:t>
      </w:r>
      <w:r w:rsidR="00261781">
        <w:t xml:space="preserve"> </w:t>
      </w:r>
      <w:r w:rsidRPr="00370644">
        <w:t xml:space="preserve">mg oral dose of the tablet formulation under fasted conditions (Study IM11062). The GM </w:t>
      </w:r>
      <w:proofErr w:type="spellStart"/>
      <w:r w:rsidRPr="00370644">
        <w:t>C</w:t>
      </w:r>
      <w:r w:rsidRPr="00261781">
        <w:rPr>
          <w:vertAlign w:val="subscript"/>
        </w:rPr>
        <w:t>max</w:t>
      </w:r>
      <w:proofErr w:type="spellEnd"/>
      <w:r w:rsidRPr="00370644">
        <w:t xml:space="preserve"> of total </w:t>
      </w:r>
      <w:proofErr w:type="spellStart"/>
      <w:r w:rsidRPr="00370644">
        <w:t>deucravacitinib</w:t>
      </w:r>
      <w:proofErr w:type="spellEnd"/>
      <w:r w:rsidRPr="00370644">
        <w:t xml:space="preserve"> in plasma was generally comparable in adults with normal hepatic function, and with mild, </w:t>
      </w:r>
      <w:proofErr w:type="gramStart"/>
      <w:r w:rsidRPr="00370644">
        <w:t>moderate</w:t>
      </w:r>
      <w:proofErr w:type="gramEnd"/>
      <w:r w:rsidRPr="00370644">
        <w:t xml:space="preserve"> or severe hepatic impairment (range 83.6 ng/mL to 92.3 ng/mL). There was greater variability in the measurement of unbound fraction of </w:t>
      </w:r>
      <w:proofErr w:type="spellStart"/>
      <w:r w:rsidRPr="00370644">
        <w:t>deucravacitinib</w:t>
      </w:r>
      <w:proofErr w:type="spellEnd"/>
      <w:r w:rsidRPr="00370644">
        <w:t xml:space="preserve">, with GM </w:t>
      </w:r>
      <w:proofErr w:type="spellStart"/>
      <w:r w:rsidRPr="00370644">
        <w:t>C</w:t>
      </w:r>
      <w:r w:rsidRPr="00261781">
        <w:rPr>
          <w:vertAlign w:val="subscript"/>
        </w:rPr>
        <w:t>max</w:t>
      </w:r>
      <w:proofErr w:type="spellEnd"/>
      <w:r w:rsidRPr="00370644">
        <w:t xml:space="preserve"> of the unbound fraction approximately 14%, 26% and 62% higher in participants with mild, </w:t>
      </w:r>
      <w:proofErr w:type="gramStart"/>
      <w:r w:rsidRPr="00370644">
        <w:t>moderate</w:t>
      </w:r>
      <w:proofErr w:type="gramEnd"/>
      <w:r w:rsidRPr="00370644">
        <w:t xml:space="preserve"> and severe hepatic impairment respectively, compared to participants with normal hepatic function. AUC</w:t>
      </w:r>
      <w:r w:rsidRPr="00261781">
        <w:rPr>
          <w:vertAlign w:val="subscript"/>
        </w:rPr>
        <w:t>0-t</w:t>
      </w:r>
      <w:r w:rsidRPr="00370644">
        <w:t xml:space="preserve"> and AUC</w:t>
      </w:r>
      <w:r w:rsidRPr="00261781">
        <w:rPr>
          <w:vertAlign w:val="subscript"/>
        </w:rPr>
        <w:t>inf</w:t>
      </w:r>
      <w:r w:rsidRPr="00370644">
        <w:t xml:space="preserve"> also appeared to increase with increasing hepatic impairment, and were approximately 11%, 40% and 43% higher in participants with mild, </w:t>
      </w:r>
      <w:proofErr w:type="gramStart"/>
      <w:r w:rsidRPr="00370644">
        <w:t>moderate</w:t>
      </w:r>
      <w:proofErr w:type="gramEnd"/>
      <w:r w:rsidRPr="00370644">
        <w:t xml:space="preserve"> and severe hepatic impairment, respectively, compared to participants with normal hepatic function.</w:t>
      </w:r>
    </w:p>
    <w:p w14:paraId="1A24170D" w14:textId="77777777" w:rsidR="00370644" w:rsidRPr="00370644" w:rsidRDefault="00370644" w:rsidP="00370644">
      <w:r w:rsidRPr="00370644">
        <w:t xml:space="preserve">Measures of exposure to BMT-153261 were generally lower in patients with mild, </w:t>
      </w:r>
      <w:proofErr w:type="gramStart"/>
      <w:r w:rsidRPr="00370644">
        <w:t>moderate</w:t>
      </w:r>
      <w:proofErr w:type="gramEnd"/>
      <w:r w:rsidRPr="00370644">
        <w:t xml:space="preserve"> or severe hepatic impairment compared to exposure in participants with normal hepatic function.</w:t>
      </w:r>
    </w:p>
    <w:p w14:paraId="75951FD7" w14:textId="7D89101A" w:rsidR="00370644" w:rsidRPr="00370644" w:rsidRDefault="00370644" w:rsidP="00370644">
      <w:r w:rsidRPr="00370644">
        <w:t xml:space="preserve">The sponsor has stated that no dose adjustment is required in patients with any degree of renal impairment, including end stage renal disease (ESRD) requiring dialysis. The PK of </w:t>
      </w:r>
      <w:proofErr w:type="spellStart"/>
      <w:r w:rsidRPr="00370644">
        <w:t>deucravacitinib</w:t>
      </w:r>
      <w:proofErr w:type="spellEnd"/>
      <w:r w:rsidRPr="00370644">
        <w:t xml:space="preserve"> and of BMT-153261 were examined in adults with impaired renal function following a single 12</w:t>
      </w:r>
      <w:r w:rsidR="00261781">
        <w:t xml:space="preserve"> </w:t>
      </w:r>
      <w:r w:rsidRPr="00370644">
        <w:t xml:space="preserve">mg oral dose of the tablet formulation under fasted conditions (Study IM011061). The GM </w:t>
      </w:r>
      <w:proofErr w:type="spellStart"/>
      <w:r w:rsidRPr="00370644">
        <w:t>C</w:t>
      </w:r>
      <w:r w:rsidRPr="00261781">
        <w:rPr>
          <w:vertAlign w:val="subscript"/>
        </w:rPr>
        <w:t>max</w:t>
      </w:r>
      <w:proofErr w:type="spellEnd"/>
      <w:r w:rsidRPr="00370644">
        <w:t xml:space="preserve"> of total </w:t>
      </w:r>
      <w:proofErr w:type="spellStart"/>
      <w:r w:rsidRPr="00370644">
        <w:t>deucravacitinib</w:t>
      </w:r>
      <w:proofErr w:type="spellEnd"/>
      <w:r w:rsidRPr="00370644">
        <w:t xml:space="preserve"> in plasma was comparable in adults with normal renal function (</w:t>
      </w:r>
      <w:r w:rsidR="00791E32" w:rsidRPr="00791E32">
        <w:t>estimated glomerular filtration rate</w:t>
      </w:r>
      <w:r w:rsidR="00791E32">
        <w:t xml:space="preserve"> (</w:t>
      </w:r>
      <w:r w:rsidRPr="00370644">
        <w:t>eGFR</w:t>
      </w:r>
      <w:r w:rsidR="00791E32">
        <w:t>)</w:t>
      </w:r>
      <w:r w:rsidR="00261781">
        <w:t xml:space="preserve"> </w:t>
      </w:r>
      <w:r w:rsidRPr="00370644">
        <w:t>≥</w:t>
      </w:r>
      <w:r w:rsidR="00261781">
        <w:t xml:space="preserve"> </w:t>
      </w:r>
      <w:r w:rsidRPr="00370644">
        <w:t>90 mL/min/1.73m</w:t>
      </w:r>
      <w:r w:rsidRPr="00261781">
        <w:rPr>
          <w:vertAlign w:val="superscript"/>
        </w:rPr>
        <w:t>2</w:t>
      </w:r>
      <w:r w:rsidRPr="00370644">
        <w:t>), mild (eGFR</w:t>
      </w:r>
      <w:r w:rsidR="00261781">
        <w:t xml:space="preserve"> </w:t>
      </w:r>
      <w:r w:rsidRPr="00370644">
        <w:t>≥</w:t>
      </w:r>
      <w:r w:rsidR="00261781">
        <w:t xml:space="preserve"> </w:t>
      </w:r>
      <w:r w:rsidRPr="00370644">
        <w:t>60</w:t>
      </w:r>
      <w:r w:rsidR="00261781">
        <w:t xml:space="preserve"> to </w:t>
      </w:r>
      <w:r w:rsidRPr="00370644">
        <w:t>&lt;</w:t>
      </w:r>
      <w:r w:rsidR="00261781">
        <w:t xml:space="preserve"> </w:t>
      </w:r>
      <w:r w:rsidRPr="00370644">
        <w:t>90 mL/min/1.73m</w:t>
      </w:r>
      <w:r w:rsidRPr="00261781">
        <w:rPr>
          <w:vertAlign w:val="superscript"/>
        </w:rPr>
        <w:t>2</w:t>
      </w:r>
      <w:r w:rsidRPr="00370644">
        <w:t>), moderate (eGFR≥30-&lt;60 mL/min/1.73m2) or severe (eGFR&lt;30 mL/min/1.73m2) renal impairment and adults with ESRD requiring dialysis (eGFR</w:t>
      </w:r>
      <w:r w:rsidR="00261781">
        <w:t xml:space="preserve"> </w:t>
      </w:r>
      <w:r w:rsidRPr="00370644">
        <w:t>&lt;</w:t>
      </w:r>
      <w:r w:rsidR="00261781">
        <w:t xml:space="preserve"> </w:t>
      </w:r>
      <w:r w:rsidRPr="00370644">
        <w:t>15</w:t>
      </w:r>
      <w:r w:rsidR="00261781">
        <w:t> </w:t>
      </w:r>
      <w:r w:rsidRPr="00370644">
        <w:t xml:space="preserve">mL/min/1.73m2), ranging between 97.5 ng/mL and 120 ng/mL with no clear relationship with eGFR. The GM </w:t>
      </w:r>
      <w:proofErr w:type="spellStart"/>
      <w:r w:rsidRPr="00370644">
        <w:t>C</w:t>
      </w:r>
      <w:r w:rsidRPr="00261781">
        <w:rPr>
          <w:vertAlign w:val="subscript"/>
        </w:rPr>
        <w:t>max</w:t>
      </w:r>
      <w:proofErr w:type="spellEnd"/>
      <w:r w:rsidRPr="00370644">
        <w:t xml:space="preserve"> of unbound </w:t>
      </w:r>
      <w:proofErr w:type="spellStart"/>
      <w:r w:rsidRPr="00370644">
        <w:t>deucravacitinib</w:t>
      </w:r>
      <w:proofErr w:type="spellEnd"/>
      <w:r w:rsidRPr="00370644">
        <w:t xml:space="preserve"> ranged between 11.2 ng/mL and 12.8</w:t>
      </w:r>
      <w:r w:rsidR="00261781">
        <w:t> </w:t>
      </w:r>
      <w:r w:rsidRPr="00370644">
        <w:t xml:space="preserve">ng/mL and was highest in participants with ESRD requiring dialysis (14.2 ng/mL). </w:t>
      </w:r>
      <w:proofErr w:type="spellStart"/>
      <w:r w:rsidRPr="00370644">
        <w:t>Deucravacitinib</w:t>
      </w:r>
      <w:proofErr w:type="spellEnd"/>
      <w:r w:rsidRPr="00370644">
        <w:t xml:space="preserve"> AUC</w:t>
      </w:r>
      <w:r w:rsidRPr="00261781">
        <w:rPr>
          <w:vertAlign w:val="subscript"/>
        </w:rPr>
        <w:t>0-t</w:t>
      </w:r>
      <w:r w:rsidRPr="00370644">
        <w:t xml:space="preserve"> and AUC</w:t>
      </w:r>
      <w:r w:rsidRPr="00261781">
        <w:rPr>
          <w:vertAlign w:val="subscript"/>
        </w:rPr>
        <w:t>inf</w:t>
      </w:r>
      <w:r w:rsidRPr="00370644">
        <w:t xml:space="preserve"> were comparable in participants with normal renal function and mild renal impairment, but between 28</w:t>
      </w:r>
      <w:r w:rsidR="00261781">
        <w:t xml:space="preserve"> to </w:t>
      </w:r>
      <w:r w:rsidRPr="00370644">
        <w:t xml:space="preserve">40% higher in moderate renal impairment, severe renal impairment and ESRD compared to normal function. Consideration of the clinical importance of these differences is complicated, as </w:t>
      </w:r>
      <w:r w:rsidR="00261781">
        <w:t>coefficient of variation</w:t>
      </w:r>
      <w:r w:rsidRPr="00370644">
        <w:t xml:space="preserve"> for measures of AUC in the groups with more significant impairment were greater than 40%.</w:t>
      </w:r>
    </w:p>
    <w:p w14:paraId="74F37E4D" w14:textId="3F258858" w:rsidR="00370644" w:rsidRPr="00370644" w:rsidRDefault="00370644" w:rsidP="00370644">
      <w:r w:rsidRPr="00370644">
        <w:t xml:space="preserve">Renal impairment may have greater impact on the PK of BMT-153261. While GM </w:t>
      </w:r>
      <w:proofErr w:type="spellStart"/>
      <w:r w:rsidRPr="00370644">
        <w:t>C</w:t>
      </w:r>
      <w:r w:rsidRPr="00261781">
        <w:rPr>
          <w:vertAlign w:val="subscript"/>
        </w:rPr>
        <w:t>max</w:t>
      </w:r>
      <w:proofErr w:type="spellEnd"/>
      <w:r w:rsidRPr="00370644">
        <w:t xml:space="preserve"> was comparable in participants with normal renal function (9.01 ng/mL), mild renal impairment (8.02 ng/mL), and moderate renal impairment (8.31 ng/mL); </w:t>
      </w:r>
      <w:proofErr w:type="spellStart"/>
      <w:r w:rsidRPr="00370644">
        <w:t>C</w:t>
      </w:r>
      <w:r w:rsidRPr="00261781">
        <w:rPr>
          <w:vertAlign w:val="subscript"/>
        </w:rPr>
        <w:t>max</w:t>
      </w:r>
      <w:proofErr w:type="spellEnd"/>
      <w:r w:rsidRPr="00370644">
        <w:t xml:space="preserve"> in participants with ESRD requiring </w:t>
      </w:r>
      <w:proofErr w:type="spellStart"/>
      <w:r w:rsidRPr="00370644">
        <w:t>hemodialysis</w:t>
      </w:r>
      <w:proofErr w:type="spellEnd"/>
      <w:r w:rsidRPr="00370644">
        <w:t xml:space="preserve"> (9.78 ng/mL, 9% increase) and in severe renal impairment (11.6 ng/mL, 28% increase) appeared to trend upwards. The GM AUC</w:t>
      </w:r>
      <w:r w:rsidRPr="00261781">
        <w:rPr>
          <w:vertAlign w:val="subscript"/>
        </w:rPr>
        <w:t>inf</w:t>
      </w:r>
      <w:r w:rsidRPr="00370644">
        <w:t xml:space="preserve"> of BMT-153261 was similar in participants with normal renal function and mild renal impairment, </w:t>
      </w:r>
      <w:proofErr w:type="gramStart"/>
      <w:r w:rsidRPr="00370644">
        <w:t>whereas,</w:t>
      </w:r>
      <w:proofErr w:type="gramEnd"/>
      <w:r w:rsidRPr="00370644">
        <w:t xml:space="preserve"> it was increased by </w:t>
      </w:r>
      <w:r w:rsidRPr="00370644">
        <w:lastRenderedPageBreak/>
        <w:t>24</w:t>
      </w:r>
      <w:r w:rsidR="00791E32">
        <w:t xml:space="preserve"> to </w:t>
      </w:r>
      <w:r w:rsidRPr="00370644">
        <w:t xml:space="preserve">27% in moderate renal impairment and ESRD and by 81% in severe renal impairment. The </w:t>
      </w:r>
      <w:r w:rsidR="00791E32">
        <w:t>coefficient of variation</w:t>
      </w:r>
      <w:r w:rsidRPr="00370644">
        <w:t xml:space="preserve"> for measures of AUC in participants with moderate renal impairment and requiring dialysis exceeded 40%.</w:t>
      </w:r>
    </w:p>
    <w:p w14:paraId="07801B65" w14:textId="273274F9" w:rsidR="00370644" w:rsidRDefault="00370644" w:rsidP="00370644">
      <w:r w:rsidRPr="00370644">
        <w:t xml:space="preserve">Regarding drug-drug interactions with </w:t>
      </w:r>
      <w:proofErr w:type="spellStart"/>
      <w:r w:rsidRPr="00370644">
        <w:t>deucravacitinib</w:t>
      </w:r>
      <w:proofErr w:type="spellEnd"/>
      <w:r w:rsidRPr="00370644">
        <w:t xml:space="preserve">, the sponsor concluded that because </w:t>
      </w:r>
      <w:proofErr w:type="spellStart"/>
      <w:r w:rsidRPr="00370644">
        <w:t>deucravacitinib</w:t>
      </w:r>
      <w:proofErr w:type="spellEnd"/>
      <w:r w:rsidRPr="00370644">
        <w:t xml:space="preserve"> is eliminated via multiple pathways, major interactions via inhibition of induction of any one pathway was unlikely. The dedicated </w:t>
      </w:r>
      <w:r w:rsidR="00791E32" w:rsidRPr="00370644">
        <w:t xml:space="preserve">drug-drug interactions </w:t>
      </w:r>
      <w:r w:rsidR="00791E32">
        <w:t>s</w:t>
      </w:r>
      <w:r w:rsidRPr="00370644">
        <w:t>tudies are summarised in</w:t>
      </w:r>
      <w:r w:rsidR="00261781">
        <w:t xml:space="preserve"> </w:t>
      </w:r>
      <w:r w:rsidR="00261781">
        <w:fldChar w:fldCharType="begin"/>
      </w:r>
      <w:r w:rsidR="00261781">
        <w:instrText xml:space="preserve"> REF _Ref141185801 \h </w:instrText>
      </w:r>
      <w:r w:rsidR="00261781">
        <w:fldChar w:fldCharType="separate"/>
      </w:r>
      <w:r w:rsidR="00C63E2D" w:rsidRPr="00261781">
        <w:t xml:space="preserve">Table </w:t>
      </w:r>
      <w:r w:rsidR="00C63E2D">
        <w:rPr>
          <w:noProof/>
        </w:rPr>
        <w:t>3</w:t>
      </w:r>
      <w:r w:rsidR="00261781">
        <w:fldChar w:fldCharType="end"/>
      </w:r>
      <w:r w:rsidR="00261781">
        <w:t>.</w:t>
      </w:r>
    </w:p>
    <w:p w14:paraId="1D968101" w14:textId="4A029944" w:rsidR="00261781" w:rsidRDefault="00261781" w:rsidP="00261781">
      <w:pPr>
        <w:pStyle w:val="TableTitle"/>
      </w:pPr>
      <w:bookmarkStart w:id="49" w:name="_Ref141185801"/>
      <w:r w:rsidRPr="00261781">
        <w:t xml:space="preserve">Table </w:t>
      </w:r>
      <w:r>
        <w:fldChar w:fldCharType="begin"/>
      </w:r>
      <w:r>
        <w:instrText>SEQ Table \* ARABIC</w:instrText>
      </w:r>
      <w:r>
        <w:fldChar w:fldCharType="separate"/>
      </w:r>
      <w:r w:rsidR="00616D6B">
        <w:rPr>
          <w:noProof/>
        </w:rPr>
        <w:t>3</w:t>
      </w:r>
      <w:r>
        <w:fldChar w:fldCharType="end"/>
      </w:r>
      <w:bookmarkEnd w:id="49"/>
      <w:r w:rsidRPr="00261781">
        <w:t>:</w:t>
      </w:r>
      <w:r>
        <w:t xml:space="preserve"> Summary of drug </w:t>
      </w:r>
      <w:proofErr w:type="spellStart"/>
      <w:r>
        <w:t>drug</w:t>
      </w:r>
      <w:proofErr w:type="spellEnd"/>
      <w:r>
        <w:t xml:space="preserve"> interaction studies</w:t>
      </w:r>
    </w:p>
    <w:tbl>
      <w:tblPr>
        <w:tblStyle w:val="GridTable4-Accent3"/>
        <w:tblW w:w="0" w:type="auto"/>
        <w:tblLook w:val="04A0" w:firstRow="1" w:lastRow="0" w:firstColumn="1" w:lastColumn="0" w:noHBand="0" w:noVBand="1"/>
      </w:tblPr>
      <w:tblGrid>
        <w:gridCol w:w="1803"/>
        <w:gridCol w:w="1803"/>
        <w:gridCol w:w="1803"/>
        <w:gridCol w:w="1803"/>
        <w:gridCol w:w="1804"/>
      </w:tblGrid>
      <w:tr w:rsidR="00261781" w14:paraId="2533F05E" w14:textId="77777777" w:rsidTr="00D92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AFA8C41" w14:textId="77777777" w:rsidR="00261781" w:rsidRPr="005741F3" w:rsidRDefault="00261781" w:rsidP="00D92CB7">
            <w:pPr>
              <w:rPr>
                <w:sz w:val="18"/>
                <w:szCs w:val="18"/>
              </w:rPr>
            </w:pPr>
            <w:r w:rsidRPr="005741F3">
              <w:rPr>
                <w:sz w:val="18"/>
                <w:szCs w:val="18"/>
              </w:rPr>
              <w:t>Drug/dose</w:t>
            </w:r>
          </w:p>
        </w:tc>
        <w:tc>
          <w:tcPr>
            <w:tcW w:w="1803" w:type="dxa"/>
          </w:tcPr>
          <w:p w14:paraId="08E389C9" w14:textId="77777777" w:rsidR="00261781" w:rsidRPr="005741F3" w:rsidRDefault="00261781" w:rsidP="00D92CB7">
            <w:pP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5741F3">
              <w:rPr>
                <w:sz w:val="18"/>
                <w:szCs w:val="18"/>
              </w:rPr>
              <w:t>Deuc</w:t>
            </w:r>
            <w:proofErr w:type="spellEnd"/>
            <w:r w:rsidRPr="005741F3">
              <w:rPr>
                <w:sz w:val="18"/>
                <w:szCs w:val="18"/>
              </w:rPr>
              <w:t xml:space="preserve"> dose</w:t>
            </w:r>
          </w:p>
        </w:tc>
        <w:tc>
          <w:tcPr>
            <w:tcW w:w="1803" w:type="dxa"/>
          </w:tcPr>
          <w:p w14:paraId="1C299447" w14:textId="77777777" w:rsidR="00261781" w:rsidRPr="005741F3" w:rsidRDefault="00261781" w:rsidP="00D92CB7">
            <w:pPr>
              <w:cnfStyle w:val="100000000000" w:firstRow="1" w:lastRow="0" w:firstColumn="0" w:lastColumn="0" w:oddVBand="0" w:evenVBand="0" w:oddHBand="0" w:evenHBand="0" w:firstRowFirstColumn="0" w:firstRowLastColumn="0" w:lastRowFirstColumn="0" w:lastRowLastColumn="0"/>
              <w:rPr>
                <w:sz w:val="18"/>
                <w:szCs w:val="18"/>
              </w:rPr>
            </w:pPr>
            <w:r w:rsidRPr="005741F3">
              <w:rPr>
                <w:sz w:val="18"/>
                <w:szCs w:val="18"/>
              </w:rPr>
              <w:t>Metabolic process</w:t>
            </w:r>
          </w:p>
        </w:tc>
        <w:tc>
          <w:tcPr>
            <w:tcW w:w="1803" w:type="dxa"/>
          </w:tcPr>
          <w:p w14:paraId="022A1A60" w14:textId="77777777" w:rsidR="00261781" w:rsidRPr="005741F3" w:rsidRDefault="00261781" w:rsidP="00D92CB7">
            <w:pPr>
              <w:cnfStyle w:val="100000000000" w:firstRow="1" w:lastRow="0" w:firstColumn="0" w:lastColumn="0" w:oddVBand="0" w:evenVBand="0" w:oddHBand="0" w:evenHBand="0" w:firstRowFirstColumn="0" w:firstRowLastColumn="0" w:lastRowFirstColumn="0" w:lastRowLastColumn="0"/>
              <w:rPr>
                <w:sz w:val="18"/>
                <w:szCs w:val="18"/>
              </w:rPr>
            </w:pPr>
            <w:r w:rsidRPr="005741F3">
              <w:rPr>
                <w:sz w:val="18"/>
                <w:szCs w:val="18"/>
              </w:rPr>
              <w:t xml:space="preserve">Effect on </w:t>
            </w:r>
            <w:proofErr w:type="spellStart"/>
            <w:r w:rsidRPr="005741F3">
              <w:rPr>
                <w:sz w:val="18"/>
                <w:szCs w:val="18"/>
              </w:rPr>
              <w:t>deuc</w:t>
            </w:r>
            <w:proofErr w:type="spellEnd"/>
          </w:p>
        </w:tc>
        <w:tc>
          <w:tcPr>
            <w:tcW w:w="1804" w:type="dxa"/>
          </w:tcPr>
          <w:p w14:paraId="2442794B" w14:textId="77777777" w:rsidR="00261781" w:rsidRPr="005741F3" w:rsidRDefault="00261781" w:rsidP="00D92CB7">
            <w:pPr>
              <w:cnfStyle w:val="100000000000" w:firstRow="1" w:lastRow="0" w:firstColumn="0" w:lastColumn="0" w:oddVBand="0" w:evenVBand="0" w:oddHBand="0" w:evenHBand="0" w:firstRowFirstColumn="0" w:firstRowLastColumn="0" w:lastRowFirstColumn="0" w:lastRowLastColumn="0"/>
              <w:rPr>
                <w:sz w:val="18"/>
                <w:szCs w:val="18"/>
              </w:rPr>
            </w:pPr>
            <w:r w:rsidRPr="005741F3">
              <w:rPr>
                <w:sz w:val="18"/>
                <w:szCs w:val="18"/>
              </w:rPr>
              <w:t xml:space="preserve">Effect on </w:t>
            </w:r>
            <w:r>
              <w:rPr>
                <w:sz w:val="18"/>
                <w:szCs w:val="18"/>
              </w:rPr>
              <w:t>other</w:t>
            </w:r>
          </w:p>
        </w:tc>
      </w:tr>
      <w:tr w:rsidR="00261781" w14:paraId="222DA7A8" w14:textId="77777777" w:rsidTr="00D92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4990084" w14:textId="6D8457F5" w:rsidR="00261781" w:rsidRPr="005741F3" w:rsidRDefault="00261781" w:rsidP="00D92CB7">
            <w:pPr>
              <w:rPr>
                <w:sz w:val="18"/>
                <w:szCs w:val="18"/>
              </w:rPr>
            </w:pPr>
            <w:r w:rsidRPr="005741F3">
              <w:rPr>
                <w:sz w:val="18"/>
                <w:szCs w:val="18"/>
              </w:rPr>
              <w:t xml:space="preserve">Fluvoxamine 100mg </w:t>
            </w:r>
            <w:r w:rsidR="00BE2B0D">
              <w:rPr>
                <w:sz w:val="18"/>
                <w:szCs w:val="18"/>
              </w:rPr>
              <w:t>daily</w:t>
            </w:r>
          </w:p>
        </w:tc>
        <w:tc>
          <w:tcPr>
            <w:tcW w:w="1803" w:type="dxa"/>
          </w:tcPr>
          <w:p w14:paraId="0CB5B4E7"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sidRPr="005741F3">
              <w:rPr>
                <w:sz w:val="18"/>
                <w:szCs w:val="18"/>
              </w:rPr>
              <w:t xml:space="preserve">Single 12mg </w:t>
            </w:r>
          </w:p>
        </w:tc>
        <w:tc>
          <w:tcPr>
            <w:tcW w:w="1803" w:type="dxa"/>
          </w:tcPr>
          <w:p w14:paraId="31E9B971"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sidRPr="005741F3">
              <w:rPr>
                <w:sz w:val="18"/>
                <w:szCs w:val="18"/>
              </w:rPr>
              <w:t>CYP1A2 inhibitor</w:t>
            </w:r>
          </w:p>
        </w:tc>
        <w:tc>
          <w:tcPr>
            <w:tcW w:w="1803" w:type="dxa"/>
          </w:tcPr>
          <w:p w14:paraId="6E7BEE61"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sidRPr="005741F3">
              <w:rPr>
                <w:sz w:val="18"/>
                <w:szCs w:val="18"/>
              </w:rPr>
              <w:t xml:space="preserve">15% ↓ </w:t>
            </w:r>
            <w:proofErr w:type="spellStart"/>
            <w:r w:rsidRPr="005741F3">
              <w:rPr>
                <w:sz w:val="18"/>
                <w:szCs w:val="18"/>
              </w:rPr>
              <w:t>Cmax</w:t>
            </w:r>
            <w:proofErr w:type="spellEnd"/>
          </w:p>
          <w:p w14:paraId="2374E046"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sidRPr="005741F3">
              <w:rPr>
                <w:sz w:val="18"/>
                <w:szCs w:val="18"/>
              </w:rPr>
              <w:t>&gt;50% ↑ AUC</w:t>
            </w:r>
          </w:p>
          <w:p w14:paraId="55CC9999"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vertAlign w:val="subscript"/>
              </w:rPr>
            </w:pPr>
            <w:r w:rsidRPr="005741F3">
              <w:rPr>
                <w:sz w:val="18"/>
                <w:szCs w:val="18"/>
              </w:rPr>
              <w:t>&gt;40% ↑ T</w:t>
            </w:r>
            <w:r w:rsidRPr="005741F3">
              <w:rPr>
                <w:sz w:val="18"/>
                <w:szCs w:val="18"/>
                <w:vertAlign w:val="subscript"/>
              </w:rPr>
              <w:t>1/2</w:t>
            </w:r>
          </w:p>
        </w:tc>
        <w:tc>
          <w:tcPr>
            <w:tcW w:w="1804" w:type="dxa"/>
          </w:tcPr>
          <w:p w14:paraId="252D56F4"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BMT-153261:</w:t>
            </w:r>
          </w:p>
          <w:p w14:paraId="576D9659"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sidRPr="005741F3">
              <w:rPr>
                <w:sz w:val="18"/>
                <w:szCs w:val="18"/>
              </w:rPr>
              <w:t>&gt;90% ↓</w:t>
            </w:r>
            <w:r>
              <w:rPr>
                <w:sz w:val="18"/>
                <w:szCs w:val="18"/>
              </w:rPr>
              <w:t xml:space="preserve"> </w:t>
            </w:r>
            <w:proofErr w:type="spellStart"/>
            <w:r>
              <w:rPr>
                <w:sz w:val="18"/>
                <w:szCs w:val="18"/>
              </w:rPr>
              <w:t>Cmax</w:t>
            </w:r>
            <w:proofErr w:type="spellEnd"/>
            <w:r>
              <w:rPr>
                <w:sz w:val="18"/>
                <w:szCs w:val="18"/>
              </w:rPr>
              <w:t>, AUC</w:t>
            </w:r>
          </w:p>
        </w:tc>
      </w:tr>
      <w:tr w:rsidR="00261781" w14:paraId="3175889F" w14:textId="77777777" w:rsidTr="00D92CB7">
        <w:tc>
          <w:tcPr>
            <w:cnfStyle w:val="001000000000" w:firstRow="0" w:lastRow="0" w:firstColumn="1" w:lastColumn="0" w:oddVBand="0" w:evenVBand="0" w:oddHBand="0" w:evenHBand="0" w:firstRowFirstColumn="0" w:firstRowLastColumn="0" w:lastRowFirstColumn="0" w:lastRowLastColumn="0"/>
            <w:tcW w:w="1803" w:type="dxa"/>
          </w:tcPr>
          <w:p w14:paraId="4C858AE8" w14:textId="77777777" w:rsidR="00261781" w:rsidRPr="005741F3" w:rsidRDefault="00261781" w:rsidP="00D92CB7">
            <w:pPr>
              <w:rPr>
                <w:sz w:val="18"/>
                <w:szCs w:val="18"/>
              </w:rPr>
            </w:pPr>
            <w:r>
              <w:rPr>
                <w:sz w:val="18"/>
                <w:szCs w:val="18"/>
              </w:rPr>
              <w:t xml:space="preserve">Ritonavir single 100mg </w:t>
            </w:r>
          </w:p>
        </w:tc>
        <w:tc>
          <w:tcPr>
            <w:tcW w:w="1803" w:type="dxa"/>
          </w:tcPr>
          <w:p w14:paraId="3A2ECCEF"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Single 12mg</w:t>
            </w:r>
          </w:p>
        </w:tc>
        <w:tc>
          <w:tcPr>
            <w:tcW w:w="1803" w:type="dxa"/>
          </w:tcPr>
          <w:p w14:paraId="3078C0D2"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CYP1A2 inducer</w:t>
            </w:r>
          </w:p>
          <w:p w14:paraId="238A0385"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p>
        </w:tc>
        <w:tc>
          <w:tcPr>
            <w:tcW w:w="1803" w:type="dxa"/>
          </w:tcPr>
          <w:p w14:paraId="00B5C6E2"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p w14:paraId="589B7D1A"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p>
        </w:tc>
        <w:tc>
          <w:tcPr>
            <w:tcW w:w="1804" w:type="dxa"/>
          </w:tcPr>
          <w:p w14:paraId="601B46B4"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BMT-153261:</w:t>
            </w:r>
          </w:p>
          <w:p w14:paraId="11746127"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sidRPr="005741F3">
              <w:rPr>
                <w:sz w:val="18"/>
                <w:szCs w:val="18"/>
              </w:rPr>
              <w:t>&gt;</w:t>
            </w:r>
            <w:r>
              <w:rPr>
                <w:sz w:val="18"/>
                <w:szCs w:val="18"/>
              </w:rPr>
              <w:t>30</w:t>
            </w:r>
            <w:r w:rsidRPr="005741F3">
              <w:rPr>
                <w:sz w:val="18"/>
                <w:szCs w:val="18"/>
              </w:rPr>
              <w:t xml:space="preserve">% ↑ </w:t>
            </w:r>
            <w:proofErr w:type="spellStart"/>
            <w:r>
              <w:rPr>
                <w:sz w:val="18"/>
                <w:szCs w:val="18"/>
              </w:rPr>
              <w:t>Cmax</w:t>
            </w:r>
            <w:proofErr w:type="spellEnd"/>
            <w:r>
              <w:rPr>
                <w:sz w:val="18"/>
                <w:szCs w:val="18"/>
              </w:rPr>
              <w:t xml:space="preserve">, </w:t>
            </w:r>
            <w:r w:rsidRPr="005741F3">
              <w:rPr>
                <w:sz w:val="18"/>
                <w:szCs w:val="18"/>
              </w:rPr>
              <w:t>AUC</w:t>
            </w:r>
          </w:p>
          <w:p w14:paraId="38BFCF03"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p>
        </w:tc>
      </w:tr>
      <w:tr w:rsidR="00261781" w14:paraId="08D8022C" w14:textId="77777777" w:rsidTr="00D92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5071023" w14:textId="7729B04E" w:rsidR="00261781" w:rsidRPr="005741F3" w:rsidRDefault="00261781" w:rsidP="00D92CB7">
            <w:pPr>
              <w:rPr>
                <w:sz w:val="18"/>
                <w:szCs w:val="18"/>
              </w:rPr>
            </w:pPr>
            <w:r>
              <w:rPr>
                <w:sz w:val="18"/>
                <w:szCs w:val="18"/>
              </w:rPr>
              <w:t xml:space="preserve">Ritonavir 100mg </w:t>
            </w:r>
            <w:r w:rsidR="00BE2B0D">
              <w:rPr>
                <w:sz w:val="18"/>
                <w:szCs w:val="18"/>
              </w:rPr>
              <w:t>daily</w:t>
            </w:r>
          </w:p>
        </w:tc>
        <w:tc>
          <w:tcPr>
            <w:tcW w:w="1803" w:type="dxa"/>
          </w:tcPr>
          <w:p w14:paraId="7B02B00E"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Single 12mg</w:t>
            </w:r>
          </w:p>
        </w:tc>
        <w:tc>
          <w:tcPr>
            <w:tcW w:w="1803" w:type="dxa"/>
          </w:tcPr>
          <w:p w14:paraId="312902C5"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CYP1A2 inducer</w:t>
            </w:r>
          </w:p>
          <w:p w14:paraId="0D5C18CF"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proofErr w:type="spellStart"/>
            <w:r>
              <w:rPr>
                <w:sz w:val="18"/>
                <w:szCs w:val="18"/>
              </w:rPr>
              <w:t>gp</w:t>
            </w:r>
            <w:proofErr w:type="spellEnd"/>
            <w:r>
              <w:rPr>
                <w:sz w:val="18"/>
                <w:szCs w:val="18"/>
              </w:rPr>
              <w:t xml:space="preserve"> inhibitor</w:t>
            </w:r>
          </w:p>
          <w:p w14:paraId="21307D7D"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OCT1 inhibitor</w:t>
            </w:r>
          </w:p>
        </w:tc>
        <w:tc>
          <w:tcPr>
            <w:tcW w:w="1803" w:type="dxa"/>
          </w:tcPr>
          <w:p w14:paraId="5C4AF867"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04" w:type="dxa"/>
          </w:tcPr>
          <w:p w14:paraId="43287902"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BMT-153261:</w:t>
            </w:r>
          </w:p>
          <w:p w14:paraId="02B729A8"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r w:rsidRPr="005741F3">
              <w:rPr>
                <w:sz w:val="18"/>
                <w:szCs w:val="18"/>
              </w:rPr>
              <w:t xml:space="preserve">% ↑ </w:t>
            </w:r>
            <w:proofErr w:type="spellStart"/>
            <w:r>
              <w:rPr>
                <w:sz w:val="18"/>
                <w:szCs w:val="18"/>
              </w:rPr>
              <w:t>Cmax</w:t>
            </w:r>
            <w:proofErr w:type="spellEnd"/>
          </w:p>
          <w:p w14:paraId="47C5C309"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AUC</w:t>
            </w:r>
          </w:p>
        </w:tc>
      </w:tr>
      <w:tr w:rsidR="00261781" w14:paraId="3BF90AC6" w14:textId="77777777" w:rsidTr="00D92CB7">
        <w:tc>
          <w:tcPr>
            <w:cnfStyle w:val="001000000000" w:firstRow="0" w:lastRow="0" w:firstColumn="1" w:lastColumn="0" w:oddVBand="0" w:evenVBand="0" w:oddHBand="0" w:evenHBand="0" w:firstRowFirstColumn="0" w:firstRowLastColumn="0" w:lastRowFirstColumn="0" w:lastRowLastColumn="0"/>
            <w:tcW w:w="1803" w:type="dxa"/>
          </w:tcPr>
          <w:p w14:paraId="61D80A8E" w14:textId="77777777" w:rsidR="00261781" w:rsidRPr="005741F3" w:rsidRDefault="00261781" w:rsidP="00D92CB7">
            <w:pPr>
              <w:rPr>
                <w:sz w:val="18"/>
                <w:szCs w:val="18"/>
              </w:rPr>
            </w:pPr>
            <w:r>
              <w:rPr>
                <w:sz w:val="18"/>
                <w:szCs w:val="18"/>
              </w:rPr>
              <w:t>Ciclosporin single 500mg</w:t>
            </w:r>
          </w:p>
        </w:tc>
        <w:tc>
          <w:tcPr>
            <w:tcW w:w="1803" w:type="dxa"/>
          </w:tcPr>
          <w:p w14:paraId="3819C8BF" w14:textId="441B3D7F"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6mg </w:t>
            </w:r>
            <w:r w:rsidR="00BE2B0D">
              <w:rPr>
                <w:sz w:val="18"/>
                <w:szCs w:val="18"/>
              </w:rPr>
              <w:t>daily</w:t>
            </w:r>
            <w:r>
              <w:rPr>
                <w:sz w:val="18"/>
                <w:szCs w:val="18"/>
              </w:rPr>
              <w:t xml:space="preserve"> (steady state)</w:t>
            </w:r>
          </w:p>
        </w:tc>
        <w:tc>
          <w:tcPr>
            <w:tcW w:w="1803" w:type="dxa"/>
          </w:tcPr>
          <w:p w14:paraId="50371516"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BCRP inhibitor</w:t>
            </w:r>
          </w:p>
          <w:p w14:paraId="6C30D4B1"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w:t>
            </w:r>
            <w:proofErr w:type="spellStart"/>
            <w:r>
              <w:rPr>
                <w:sz w:val="18"/>
                <w:szCs w:val="18"/>
              </w:rPr>
              <w:t>gp</w:t>
            </w:r>
            <w:proofErr w:type="spellEnd"/>
            <w:r>
              <w:rPr>
                <w:sz w:val="18"/>
                <w:szCs w:val="18"/>
              </w:rPr>
              <w:t xml:space="preserve"> inhibitor</w:t>
            </w:r>
          </w:p>
        </w:tc>
        <w:tc>
          <w:tcPr>
            <w:tcW w:w="1803" w:type="dxa"/>
          </w:tcPr>
          <w:p w14:paraId="285C7321"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roofErr w:type="spellStart"/>
            <w:r>
              <w:rPr>
                <w:sz w:val="18"/>
                <w:szCs w:val="18"/>
              </w:rPr>
              <w:t>Cmax</w:t>
            </w:r>
            <w:proofErr w:type="spellEnd"/>
          </w:p>
          <w:p w14:paraId="7DB970F5"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w:t>
            </w:r>
            <w:r w:rsidRPr="005741F3">
              <w:rPr>
                <w:sz w:val="18"/>
                <w:szCs w:val="18"/>
              </w:rPr>
              <w:t>% ↑ AUC</w:t>
            </w:r>
          </w:p>
        </w:tc>
        <w:tc>
          <w:tcPr>
            <w:tcW w:w="1804" w:type="dxa"/>
          </w:tcPr>
          <w:p w14:paraId="4E2F5B24"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BMT-153261:</w:t>
            </w:r>
          </w:p>
          <w:p w14:paraId="09C862E7"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roofErr w:type="spellStart"/>
            <w:r>
              <w:rPr>
                <w:sz w:val="18"/>
                <w:szCs w:val="18"/>
              </w:rPr>
              <w:t>Cmax</w:t>
            </w:r>
            <w:proofErr w:type="spellEnd"/>
          </w:p>
          <w:p w14:paraId="6786DDD4"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w:t>
            </w:r>
            <w:r w:rsidRPr="005741F3">
              <w:rPr>
                <w:sz w:val="18"/>
                <w:szCs w:val="18"/>
              </w:rPr>
              <w:t>% ↑ AUC</w:t>
            </w:r>
          </w:p>
        </w:tc>
      </w:tr>
      <w:tr w:rsidR="00261781" w14:paraId="4810649C" w14:textId="77777777" w:rsidTr="006A6D3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803" w:type="dxa"/>
          </w:tcPr>
          <w:p w14:paraId="5C1F11F7" w14:textId="77777777" w:rsidR="00261781" w:rsidRPr="005741F3" w:rsidRDefault="00261781" w:rsidP="00D92CB7">
            <w:pPr>
              <w:rPr>
                <w:sz w:val="18"/>
                <w:szCs w:val="18"/>
              </w:rPr>
            </w:pPr>
            <w:r>
              <w:rPr>
                <w:sz w:val="18"/>
                <w:szCs w:val="18"/>
              </w:rPr>
              <w:t>Pyrimethamine single 50mg</w:t>
            </w:r>
          </w:p>
        </w:tc>
        <w:tc>
          <w:tcPr>
            <w:tcW w:w="1803" w:type="dxa"/>
          </w:tcPr>
          <w:p w14:paraId="2F0107E0"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Single 6mg</w:t>
            </w:r>
          </w:p>
        </w:tc>
        <w:tc>
          <w:tcPr>
            <w:tcW w:w="1803" w:type="dxa"/>
          </w:tcPr>
          <w:p w14:paraId="5597D95E"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OCT1 inhibitor</w:t>
            </w:r>
          </w:p>
        </w:tc>
        <w:tc>
          <w:tcPr>
            <w:tcW w:w="1803" w:type="dxa"/>
          </w:tcPr>
          <w:p w14:paraId="3D7ABF71"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04" w:type="dxa"/>
          </w:tcPr>
          <w:p w14:paraId="290F3927"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p>
        </w:tc>
      </w:tr>
      <w:tr w:rsidR="00261781" w14:paraId="441CA108" w14:textId="77777777" w:rsidTr="006A6D37">
        <w:trPr>
          <w:trHeight w:val="567"/>
        </w:trPr>
        <w:tc>
          <w:tcPr>
            <w:cnfStyle w:val="001000000000" w:firstRow="0" w:lastRow="0" w:firstColumn="1" w:lastColumn="0" w:oddVBand="0" w:evenVBand="0" w:oddHBand="0" w:evenHBand="0" w:firstRowFirstColumn="0" w:firstRowLastColumn="0" w:lastRowFirstColumn="0" w:lastRowLastColumn="0"/>
            <w:tcW w:w="1803" w:type="dxa"/>
          </w:tcPr>
          <w:p w14:paraId="37F08D8A" w14:textId="4B61F5EE" w:rsidR="00261781" w:rsidRPr="005741F3" w:rsidRDefault="00261781" w:rsidP="00D92CB7">
            <w:pPr>
              <w:rPr>
                <w:sz w:val="18"/>
                <w:szCs w:val="18"/>
              </w:rPr>
            </w:pPr>
            <w:r>
              <w:rPr>
                <w:sz w:val="18"/>
                <w:szCs w:val="18"/>
              </w:rPr>
              <w:t xml:space="preserve">Rabeprazole 20mg </w:t>
            </w:r>
            <w:r w:rsidR="00BE2B0D">
              <w:rPr>
                <w:sz w:val="18"/>
                <w:szCs w:val="18"/>
              </w:rPr>
              <w:t>daily</w:t>
            </w:r>
          </w:p>
        </w:tc>
        <w:tc>
          <w:tcPr>
            <w:tcW w:w="1803" w:type="dxa"/>
          </w:tcPr>
          <w:p w14:paraId="2272AAF2"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Single 12mg</w:t>
            </w:r>
          </w:p>
        </w:tc>
        <w:tc>
          <w:tcPr>
            <w:tcW w:w="1803" w:type="dxa"/>
          </w:tcPr>
          <w:p w14:paraId="2414C827"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PPI (</w:t>
            </w:r>
            <w:r w:rsidRPr="005741F3">
              <w:rPr>
                <w:sz w:val="18"/>
                <w:szCs w:val="18"/>
              </w:rPr>
              <w:t>↑</w:t>
            </w:r>
            <w:r>
              <w:rPr>
                <w:sz w:val="18"/>
                <w:szCs w:val="18"/>
              </w:rPr>
              <w:t xml:space="preserve"> gastric pH)</w:t>
            </w:r>
          </w:p>
        </w:tc>
        <w:tc>
          <w:tcPr>
            <w:tcW w:w="1803" w:type="dxa"/>
          </w:tcPr>
          <w:p w14:paraId="4C4F4986"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804" w:type="dxa"/>
          </w:tcPr>
          <w:p w14:paraId="18C46CDA"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BMT-153261:</w:t>
            </w:r>
          </w:p>
          <w:p w14:paraId="4290B280"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261781" w14:paraId="2AAE9E75" w14:textId="77777777" w:rsidTr="006A6D3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03" w:type="dxa"/>
          </w:tcPr>
          <w:p w14:paraId="195A8327" w14:textId="77777777" w:rsidR="00261781" w:rsidRPr="005741F3" w:rsidRDefault="00261781" w:rsidP="00D92CB7">
            <w:pPr>
              <w:rPr>
                <w:sz w:val="18"/>
                <w:szCs w:val="18"/>
              </w:rPr>
            </w:pPr>
            <w:r>
              <w:rPr>
                <w:sz w:val="18"/>
                <w:szCs w:val="18"/>
              </w:rPr>
              <w:t>Famotidine single 40mg</w:t>
            </w:r>
          </w:p>
        </w:tc>
        <w:tc>
          <w:tcPr>
            <w:tcW w:w="1803" w:type="dxa"/>
          </w:tcPr>
          <w:p w14:paraId="40664171"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Single 6mg</w:t>
            </w:r>
          </w:p>
        </w:tc>
        <w:tc>
          <w:tcPr>
            <w:tcW w:w="1803" w:type="dxa"/>
          </w:tcPr>
          <w:p w14:paraId="2DE95076" w14:textId="77777777" w:rsidR="00261781" w:rsidRPr="00300627"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w:t>
            </w:r>
            <w:r>
              <w:rPr>
                <w:sz w:val="18"/>
                <w:szCs w:val="18"/>
                <w:vertAlign w:val="subscript"/>
              </w:rPr>
              <w:t>2</w:t>
            </w:r>
            <w:r>
              <w:rPr>
                <w:sz w:val="18"/>
                <w:szCs w:val="18"/>
              </w:rPr>
              <w:t xml:space="preserve"> antagonist</w:t>
            </w:r>
          </w:p>
        </w:tc>
        <w:tc>
          <w:tcPr>
            <w:tcW w:w="1803" w:type="dxa"/>
          </w:tcPr>
          <w:p w14:paraId="6AC0927C"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proofErr w:type="spellStart"/>
            <w:r>
              <w:rPr>
                <w:sz w:val="18"/>
                <w:szCs w:val="18"/>
              </w:rPr>
              <w:t>Cmax</w:t>
            </w:r>
            <w:proofErr w:type="spellEnd"/>
            <w:r>
              <w:rPr>
                <w:sz w:val="18"/>
                <w:szCs w:val="18"/>
              </w:rPr>
              <w:t>, AUC, T</w:t>
            </w:r>
            <w:r>
              <w:rPr>
                <w:sz w:val="18"/>
                <w:szCs w:val="18"/>
                <w:vertAlign w:val="subscript"/>
              </w:rPr>
              <w:t>1/2</w:t>
            </w:r>
          </w:p>
          <w:p w14:paraId="78C09428" w14:textId="77777777" w:rsidR="00261781" w:rsidRPr="00300627" w:rsidRDefault="00261781" w:rsidP="00D92CB7">
            <w:pPr>
              <w:cnfStyle w:val="000000100000" w:firstRow="0" w:lastRow="0" w:firstColumn="0" w:lastColumn="0" w:oddVBand="0" w:evenVBand="0" w:oddHBand="1" w:evenHBand="0" w:firstRowFirstColumn="0" w:firstRowLastColumn="0" w:lastRowFirstColumn="0" w:lastRowLastColumn="0"/>
              <w:rPr>
                <w:sz w:val="18"/>
                <w:szCs w:val="18"/>
                <w:vertAlign w:val="subscript"/>
              </w:rPr>
            </w:pPr>
            <w:r w:rsidRPr="005741F3">
              <w:rPr>
                <w:sz w:val="18"/>
                <w:szCs w:val="18"/>
              </w:rPr>
              <w:t>↓</w:t>
            </w:r>
            <w:r>
              <w:rPr>
                <w:sz w:val="18"/>
                <w:szCs w:val="18"/>
              </w:rPr>
              <w:t xml:space="preserve"> </w:t>
            </w:r>
            <w:proofErr w:type="spellStart"/>
            <w:r>
              <w:rPr>
                <w:sz w:val="18"/>
                <w:szCs w:val="18"/>
              </w:rPr>
              <w:t>T</w:t>
            </w:r>
            <w:r>
              <w:rPr>
                <w:sz w:val="18"/>
                <w:szCs w:val="18"/>
                <w:vertAlign w:val="subscript"/>
              </w:rPr>
              <w:t>max</w:t>
            </w:r>
            <w:proofErr w:type="spellEnd"/>
          </w:p>
        </w:tc>
        <w:tc>
          <w:tcPr>
            <w:tcW w:w="1804" w:type="dxa"/>
          </w:tcPr>
          <w:p w14:paraId="0F00BF11"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p>
        </w:tc>
      </w:tr>
      <w:tr w:rsidR="00261781" w14:paraId="65873A69" w14:textId="77777777" w:rsidTr="006A6D37">
        <w:trPr>
          <w:trHeight w:val="551"/>
        </w:trPr>
        <w:tc>
          <w:tcPr>
            <w:cnfStyle w:val="001000000000" w:firstRow="0" w:lastRow="0" w:firstColumn="1" w:lastColumn="0" w:oddVBand="0" w:evenVBand="0" w:oddHBand="0" w:evenHBand="0" w:firstRowFirstColumn="0" w:firstRowLastColumn="0" w:lastRowFirstColumn="0" w:lastRowLastColumn="0"/>
            <w:tcW w:w="1803" w:type="dxa"/>
          </w:tcPr>
          <w:p w14:paraId="0801B996" w14:textId="77777777" w:rsidR="00261781" w:rsidRDefault="00261781" w:rsidP="00D92CB7">
            <w:pPr>
              <w:rPr>
                <w:sz w:val="18"/>
                <w:szCs w:val="18"/>
              </w:rPr>
            </w:pPr>
            <w:r>
              <w:rPr>
                <w:sz w:val="18"/>
                <w:szCs w:val="18"/>
              </w:rPr>
              <w:t>Methotrexate single 7.5mg</w:t>
            </w:r>
          </w:p>
        </w:tc>
        <w:tc>
          <w:tcPr>
            <w:tcW w:w="1803" w:type="dxa"/>
          </w:tcPr>
          <w:p w14:paraId="4539631E" w14:textId="7B9392B8"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12mg </w:t>
            </w:r>
            <w:r w:rsidR="00BE2B0D">
              <w:rPr>
                <w:sz w:val="18"/>
                <w:szCs w:val="18"/>
              </w:rPr>
              <w:t>daily</w:t>
            </w:r>
          </w:p>
        </w:tc>
        <w:tc>
          <w:tcPr>
            <w:tcW w:w="1803" w:type="dxa"/>
          </w:tcPr>
          <w:p w14:paraId="459C5582"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p>
        </w:tc>
        <w:tc>
          <w:tcPr>
            <w:tcW w:w="1803" w:type="dxa"/>
          </w:tcPr>
          <w:p w14:paraId="19892D60"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p>
        </w:tc>
        <w:tc>
          <w:tcPr>
            <w:tcW w:w="1804" w:type="dxa"/>
          </w:tcPr>
          <w:p w14:paraId="3E9E8ADA"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Methotrexate </w:t>
            </w:r>
          </w:p>
          <w:p w14:paraId="634191E7"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261781" w14:paraId="1210461A" w14:textId="77777777" w:rsidTr="006A6D3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03" w:type="dxa"/>
          </w:tcPr>
          <w:p w14:paraId="0FD8B2C7" w14:textId="77777777" w:rsidR="00261781" w:rsidRDefault="00261781" w:rsidP="00D92CB7">
            <w:pPr>
              <w:rPr>
                <w:sz w:val="18"/>
                <w:szCs w:val="18"/>
              </w:rPr>
            </w:pPr>
            <w:r>
              <w:rPr>
                <w:sz w:val="18"/>
                <w:szCs w:val="18"/>
              </w:rPr>
              <w:t>Mycophenolate mofetil single 1g</w:t>
            </w:r>
          </w:p>
        </w:tc>
        <w:tc>
          <w:tcPr>
            <w:tcW w:w="1803" w:type="dxa"/>
          </w:tcPr>
          <w:p w14:paraId="074F2D99" w14:textId="667C44B9"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12mg </w:t>
            </w:r>
            <w:r w:rsidR="00BE2B0D">
              <w:rPr>
                <w:sz w:val="18"/>
                <w:szCs w:val="18"/>
              </w:rPr>
              <w:t>daily</w:t>
            </w:r>
          </w:p>
        </w:tc>
        <w:tc>
          <w:tcPr>
            <w:tcW w:w="1803" w:type="dxa"/>
          </w:tcPr>
          <w:p w14:paraId="03950DFE"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p>
        </w:tc>
        <w:tc>
          <w:tcPr>
            <w:tcW w:w="1803" w:type="dxa"/>
          </w:tcPr>
          <w:p w14:paraId="084680B9"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p>
        </w:tc>
        <w:tc>
          <w:tcPr>
            <w:tcW w:w="1804" w:type="dxa"/>
          </w:tcPr>
          <w:p w14:paraId="13C4FC92"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Mycophenolate</w:t>
            </w:r>
          </w:p>
          <w:p w14:paraId="071A2BD5"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261781" w14:paraId="5CE16CE7" w14:textId="77777777" w:rsidTr="00D92CB7">
        <w:tc>
          <w:tcPr>
            <w:cnfStyle w:val="001000000000" w:firstRow="0" w:lastRow="0" w:firstColumn="1" w:lastColumn="0" w:oddVBand="0" w:evenVBand="0" w:oddHBand="0" w:evenHBand="0" w:firstRowFirstColumn="0" w:firstRowLastColumn="0" w:lastRowFirstColumn="0" w:lastRowLastColumn="0"/>
            <w:tcW w:w="1803" w:type="dxa"/>
          </w:tcPr>
          <w:p w14:paraId="155DFE02" w14:textId="0AF2CF14" w:rsidR="00261781" w:rsidRDefault="00261781" w:rsidP="00D92CB7">
            <w:pPr>
              <w:rPr>
                <w:sz w:val="18"/>
                <w:szCs w:val="18"/>
              </w:rPr>
            </w:pPr>
            <w:r>
              <w:rPr>
                <w:sz w:val="18"/>
                <w:szCs w:val="18"/>
              </w:rPr>
              <w:t xml:space="preserve">Diflunisal 500mg </w:t>
            </w:r>
            <w:r w:rsidR="00BE2B0D">
              <w:rPr>
                <w:sz w:val="18"/>
                <w:szCs w:val="18"/>
              </w:rPr>
              <w:t>twice daily</w:t>
            </w:r>
          </w:p>
        </w:tc>
        <w:tc>
          <w:tcPr>
            <w:tcW w:w="1803" w:type="dxa"/>
          </w:tcPr>
          <w:p w14:paraId="51E64CCC"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Single 6mg</w:t>
            </w:r>
          </w:p>
        </w:tc>
        <w:tc>
          <w:tcPr>
            <w:tcW w:w="1803" w:type="dxa"/>
          </w:tcPr>
          <w:p w14:paraId="0B1CFF2F"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UGT1A9 inhibitor</w:t>
            </w:r>
          </w:p>
        </w:tc>
        <w:tc>
          <w:tcPr>
            <w:tcW w:w="1803" w:type="dxa"/>
          </w:tcPr>
          <w:p w14:paraId="72767614"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roofErr w:type="spellStart"/>
            <w:r>
              <w:rPr>
                <w:sz w:val="18"/>
                <w:szCs w:val="18"/>
              </w:rPr>
              <w:t>Cmax</w:t>
            </w:r>
            <w:proofErr w:type="spellEnd"/>
          </w:p>
          <w:p w14:paraId="459CCC76"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w:t>
            </w:r>
            <w:r w:rsidRPr="005741F3">
              <w:rPr>
                <w:sz w:val="18"/>
                <w:szCs w:val="18"/>
              </w:rPr>
              <w:t>% ↑ AUC</w:t>
            </w:r>
          </w:p>
        </w:tc>
        <w:tc>
          <w:tcPr>
            <w:tcW w:w="1804" w:type="dxa"/>
          </w:tcPr>
          <w:p w14:paraId="2B5C93A0"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BMT-153261:</w:t>
            </w:r>
          </w:p>
          <w:p w14:paraId="199822EA"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&gt;20% </w:t>
            </w:r>
            <w:r w:rsidRPr="005741F3">
              <w:rPr>
                <w:sz w:val="18"/>
                <w:szCs w:val="18"/>
              </w:rPr>
              <w:t xml:space="preserve">↑ </w:t>
            </w:r>
            <w:proofErr w:type="spellStart"/>
            <w:r>
              <w:rPr>
                <w:sz w:val="18"/>
                <w:szCs w:val="18"/>
              </w:rPr>
              <w:t>Cmax</w:t>
            </w:r>
            <w:proofErr w:type="spellEnd"/>
          </w:p>
          <w:p w14:paraId="7C8030EA" w14:textId="77777777" w:rsidR="00261781" w:rsidRPr="005741F3"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&gt;50% </w:t>
            </w:r>
            <w:r w:rsidRPr="005741F3">
              <w:rPr>
                <w:sz w:val="18"/>
                <w:szCs w:val="18"/>
              </w:rPr>
              <w:t>↑ AUC</w:t>
            </w:r>
          </w:p>
        </w:tc>
      </w:tr>
      <w:tr w:rsidR="00261781" w14:paraId="5E03B2E0" w14:textId="77777777" w:rsidTr="00D92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F1BC956" w14:textId="77777777" w:rsidR="00261781" w:rsidRDefault="00261781" w:rsidP="00D92CB7">
            <w:pPr>
              <w:rPr>
                <w:sz w:val="18"/>
                <w:szCs w:val="18"/>
              </w:rPr>
            </w:pPr>
            <w:proofErr w:type="spellStart"/>
            <w:r>
              <w:rPr>
                <w:sz w:val="18"/>
                <w:szCs w:val="18"/>
              </w:rPr>
              <w:t>Loestrin</w:t>
            </w:r>
            <w:proofErr w:type="spellEnd"/>
            <w:r>
              <w:rPr>
                <w:sz w:val="18"/>
                <w:szCs w:val="18"/>
              </w:rPr>
              <w:t xml:space="preserve"> single</w:t>
            </w:r>
          </w:p>
        </w:tc>
        <w:tc>
          <w:tcPr>
            <w:tcW w:w="1803" w:type="dxa"/>
          </w:tcPr>
          <w:p w14:paraId="7807C5E6" w14:textId="10F7193E"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12mg </w:t>
            </w:r>
            <w:r w:rsidR="00BE2B0D">
              <w:rPr>
                <w:sz w:val="18"/>
                <w:szCs w:val="18"/>
              </w:rPr>
              <w:t>twice daily</w:t>
            </w:r>
          </w:p>
        </w:tc>
        <w:tc>
          <w:tcPr>
            <w:tcW w:w="1803" w:type="dxa"/>
          </w:tcPr>
          <w:p w14:paraId="5D400AB4"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p>
        </w:tc>
        <w:tc>
          <w:tcPr>
            <w:tcW w:w="1803" w:type="dxa"/>
          </w:tcPr>
          <w:p w14:paraId="7CE788DC"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p>
        </w:tc>
        <w:tc>
          <w:tcPr>
            <w:tcW w:w="1804" w:type="dxa"/>
          </w:tcPr>
          <w:p w14:paraId="597A4839" w14:textId="77777777" w:rsidR="00261781"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Norethisterone, ethinyl oestradiol</w:t>
            </w:r>
          </w:p>
          <w:p w14:paraId="4331868D" w14:textId="77777777" w:rsidR="00261781" w:rsidRPr="005741F3" w:rsidRDefault="00261781" w:rsidP="00D92CB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261781" w14:paraId="326E78A5" w14:textId="77777777" w:rsidTr="006A6D37">
        <w:trPr>
          <w:trHeight w:val="539"/>
        </w:trPr>
        <w:tc>
          <w:tcPr>
            <w:cnfStyle w:val="001000000000" w:firstRow="0" w:lastRow="0" w:firstColumn="1" w:lastColumn="0" w:oddVBand="0" w:evenVBand="0" w:oddHBand="0" w:evenHBand="0" w:firstRowFirstColumn="0" w:firstRowLastColumn="0" w:lastRowFirstColumn="0" w:lastRowLastColumn="0"/>
            <w:tcW w:w="1803" w:type="dxa"/>
          </w:tcPr>
          <w:p w14:paraId="4EF22B8B" w14:textId="77777777" w:rsidR="00261781" w:rsidRDefault="00261781" w:rsidP="00D92CB7">
            <w:pPr>
              <w:rPr>
                <w:sz w:val="18"/>
                <w:szCs w:val="18"/>
              </w:rPr>
            </w:pPr>
            <w:r>
              <w:rPr>
                <w:sz w:val="18"/>
                <w:szCs w:val="18"/>
              </w:rPr>
              <w:t>Rosuvastatin single 10mg</w:t>
            </w:r>
          </w:p>
        </w:tc>
        <w:tc>
          <w:tcPr>
            <w:tcW w:w="1803" w:type="dxa"/>
          </w:tcPr>
          <w:p w14:paraId="3B7D4A1D" w14:textId="722C74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12mg </w:t>
            </w:r>
            <w:r w:rsidR="00BE2B0D">
              <w:rPr>
                <w:sz w:val="18"/>
                <w:szCs w:val="18"/>
              </w:rPr>
              <w:t>daily</w:t>
            </w:r>
          </w:p>
        </w:tc>
        <w:tc>
          <w:tcPr>
            <w:tcW w:w="1803" w:type="dxa"/>
          </w:tcPr>
          <w:p w14:paraId="50911379"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p>
        </w:tc>
        <w:tc>
          <w:tcPr>
            <w:tcW w:w="1803" w:type="dxa"/>
          </w:tcPr>
          <w:p w14:paraId="68A4FA19"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p>
        </w:tc>
        <w:tc>
          <w:tcPr>
            <w:tcW w:w="1804" w:type="dxa"/>
          </w:tcPr>
          <w:p w14:paraId="1C1B7590"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Rosuvastatin</w:t>
            </w:r>
          </w:p>
          <w:p w14:paraId="6479DF0A" w14:textId="77777777" w:rsidR="00261781" w:rsidRDefault="00261781" w:rsidP="00D92CB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14% </w:t>
            </w:r>
            <w:proofErr w:type="spellStart"/>
            <w:r>
              <w:rPr>
                <w:sz w:val="18"/>
                <w:szCs w:val="18"/>
              </w:rPr>
              <w:t>Cmax</w:t>
            </w:r>
            <w:proofErr w:type="spellEnd"/>
            <w:r>
              <w:rPr>
                <w:sz w:val="18"/>
                <w:szCs w:val="18"/>
              </w:rPr>
              <w:t>, AUC</w:t>
            </w:r>
          </w:p>
        </w:tc>
      </w:tr>
    </w:tbl>
    <w:p w14:paraId="2AC57CBB" w14:textId="3C761878" w:rsidR="006A6D37" w:rsidRPr="006A6D37" w:rsidRDefault="006A6D37" w:rsidP="006A6D37">
      <w:pPr>
        <w:pStyle w:val="Heading5"/>
      </w:pPr>
      <w:r w:rsidRPr="006A6D37">
        <w:t xml:space="preserve">Population </w:t>
      </w:r>
      <w:r w:rsidR="00CD5459">
        <w:t xml:space="preserve">pharmacokinetics </w:t>
      </w:r>
      <w:r w:rsidRPr="006A6D37">
        <w:t>data</w:t>
      </w:r>
    </w:p>
    <w:p w14:paraId="754ED4B1" w14:textId="29025841" w:rsidR="006A6D37" w:rsidRDefault="006A6D37" w:rsidP="006A6D37">
      <w:r>
        <w:t xml:space="preserve">Population pharmacokinetic analyses were performed to characterise the PK of </w:t>
      </w:r>
      <w:proofErr w:type="spellStart"/>
      <w:r>
        <w:t>deucravacitinib</w:t>
      </w:r>
      <w:proofErr w:type="spellEnd"/>
      <w:r>
        <w:t xml:space="preserve"> and BMT-153261 in healthy adults and in adults with moderate to severe psoriasis, to assess the impact of baseline PASI score, baseline eGFR, age, body weight, race, gender, presence or absence of psoriasis,</w:t>
      </w:r>
      <w:r>
        <w:rPr>
          <w:rStyle w:val="FootnoteReference"/>
        </w:rPr>
        <w:footnoteReference w:id="7"/>
      </w:r>
      <w:r>
        <w:t xml:space="preserve"> </w:t>
      </w:r>
      <w:proofErr w:type="spellStart"/>
      <w:r>
        <w:t>deucravacitinib</w:t>
      </w:r>
      <w:proofErr w:type="spellEnd"/>
      <w:r>
        <w:t xml:space="preserve"> formulation,</w:t>
      </w:r>
      <w:r>
        <w:rPr>
          <w:rStyle w:val="FootnoteReference"/>
        </w:rPr>
        <w:footnoteReference w:id="8"/>
      </w:r>
      <w:r>
        <w:t xml:space="preserve"> prandial state and other factors on exposure to </w:t>
      </w:r>
      <w:proofErr w:type="spellStart"/>
      <w:r>
        <w:t>deucravacitinib</w:t>
      </w:r>
      <w:proofErr w:type="spellEnd"/>
      <w:r>
        <w:t>, and to assess the impact of baseline eGFR, age, body weight, race, gender, presence or absence of psoriasis, hepatic impairment and other factors on exposure to BMT-153261.</w:t>
      </w:r>
    </w:p>
    <w:p w14:paraId="6C42846E" w14:textId="64397C9D" w:rsidR="006A6D37" w:rsidRDefault="006A6D37" w:rsidP="006A6D37">
      <w:r>
        <w:t xml:space="preserve">The </w:t>
      </w:r>
      <w:proofErr w:type="spellStart"/>
      <w:r>
        <w:t>deucravacitinib</w:t>
      </w:r>
      <w:proofErr w:type="spellEnd"/>
      <w:r>
        <w:t xml:space="preserve"> dataset included 18,781 values for </w:t>
      </w:r>
      <w:proofErr w:type="spellStart"/>
      <w:r>
        <w:t>deucravacitinib</w:t>
      </w:r>
      <w:proofErr w:type="spellEnd"/>
      <w:r>
        <w:t xml:space="preserve"> concentrations, collected from 1060 adults with psoriasis and 328 adults without psoriasis (including small numbers with </w:t>
      </w:r>
      <w:r>
        <w:lastRenderedPageBreak/>
        <w:t>hepatic impairment or renal impairment), in ten Phase I studies, one Phase II study and two Phase III studies. The BMT-153261 dataset included 13,503 values for BMT-153261 concentrations, collected from 919 adults with psoriasis and 233 adults without psoriasis, in ten Phase I studies, one Phase II study and two Phase III studies.</w:t>
      </w:r>
    </w:p>
    <w:p w14:paraId="4EDF7329" w14:textId="6C728163" w:rsidR="006A6D37" w:rsidRDefault="006A6D37" w:rsidP="006A6D37">
      <w:r>
        <w:t xml:space="preserve">Separate models for </w:t>
      </w:r>
      <w:proofErr w:type="spellStart"/>
      <w:r>
        <w:t>deucravacitinib</w:t>
      </w:r>
      <w:proofErr w:type="spellEnd"/>
      <w:r>
        <w:t xml:space="preserve"> and BMT-1532161 were applied using a nonlinear mixed-effects modelling (NONMEM) software program. Both analyses applied a structural model describing plasma concentrations as a function of dose and time, a random effects model that described interindividual variability in the structural model parameters (clearance, central volume of distribution, intercompartmental clearance, peripheral volume of distribution, absorption rate constant and dose-dependence), as well as </w:t>
      </w:r>
      <w:r w:rsidR="006A5DB1">
        <w:t>clearance</w:t>
      </w:r>
      <w:r>
        <w:t xml:space="preserve"> for individuals with psoriasis, a residual effects model that accounted for the remaining unexplained random variability within individuals and covariate models that described relationships between the structural model parameter values and the covariates.</w:t>
      </w:r>
    </w:p>
    <w:p w14:paraId="6D51C7D4" w14:textId="2DE28521" w:rsidR="006A6D37" w:rsidRDefault="006A6D37" w:rsidP="006A6D37">
      <w:r>
        <w:t>The initial base models were conducted with data from all the listed studies except the Phase III study, Study IM011047 (POETYK-PSO-2</w:t>
      </w:r>
      <w:r w:rsidR="006A5DB1">
        <w:t xml:space="preserve"> trial</w:t>
      </w:r>
      <w:r>
        <w:t>), then re-estimated when the additional data became available.</w:t>
      </w:r>
      <w:r w:rsidRPr="00C96022">
        <w:rPr>
          <w:rFonts w:ascii="TimesNewRoman" w:eastAsia="TimesNewRoman" w:hAnsiTheme="minorHAnsi" w:cs="TimesNewRoman"/>
          <w:sz w:val="20"/>
        </w:rPr>
        <w:t xml:space="preserve"> </w:t>
      </w:r>
      <w:r w:rsidRPr="00C96022">
        <w:t>The full model developed from the first stage was refitted to the entire dataset and served as the starting</w:t>
      </w:r>
      <w:r>
        <w:t xml:space="preserve"> </w:t>
      </w:r>
      <w:r w:rsidRPr="00C96022">
        <w:t>point for backward elimination to obtain the final model. The results from the full model were used to infer the</w:t>
      </w:r>
      <w:r>
        <w:t xml:space="preserve"> </w:t>
      </w:r>
      <w:r w:rsidRPr="00C96022">
        <w:t>covariate effects on the PK parameters.</w:t>
      </w:r>
    </w:p>
    <w:p w14:paraId="756C0B58" w14:textId="53EDC918" w:rsidR="006A6D37" w:rsidRPr="0024300A" w:rsidRDefault="006A6D37" w:rsidP="006A6D37">
      <w:r>
        <w:t xml:space="preserve">Covariates included in the final model for </w:t>
      </w:r>
      <w:proofErr w:type="spellStart"/>
      <w:r>
        <w:t>deucravacitinib</w:t>
      </w:r>
      <w:proofErr w:type="spellEnd"/>
      <w:r>
        <w:t xml:space="preserve"> </w:t>
      </w:r>
      <w:proofErr w:type="gramStart"/>
      <w:r>
        <w:t>were:</w:t>
      </w:r>
      <w:proofErr w:type="gramEnd"/>
      <w:r>
        <w:t xml:space="preserve"> weight, age, baseline eGFR (based on MDRD equation), baseline PASI,</w:t>
      </w:r>
      <w:r>
        <w:rPr>
          <w:rStyle w:val="FootnoteReference"/>
        </w:rPr>
        <w:footnoteReference w:id="9"/>
      </w:r>
      <w:r>
        <w:t xml:space="preserve"> gender and population (psoriasis, healthy adult, renal impairment, hepatic impairment) on </w:t>
      </w:r>
      <w:r w:rsidR="006A5DB1">
        <w:t>clearance</w:t>
      </w:r>
      <w:r>
        <w:t xml:space="preserve">; weight, population, gender and disease duration on </w:t>
      </w:r>
      <w:proofErr w:type="spellStart"/>
      <w:r>
        <w:t>deucravacitinib</w:t>
      </w:r>
      <w:proofErr w:type="spellEnd"/>
      <w:r w:rsidR="006A5DB1">
        <w:t xml:space="preserve"> central volume of distribution</w:t>
      </w:r>
      <w:r>
        <w:t xml:space="preserve">; and formulation and prandial state on </w:t>
      </w:r>
      <w:r w:rsidR="006A5DB1">
        <w:t>absorption rate constant</w:t>
      </w:r>
      <w:r>
        <w:t xml:space="preserve">. Covariates included in the final model for BMT-153261 </w:t>
      </w:r>
      <w:proofErr w:type="gramStart"/>
      <w:r>
        <w:t>were:</w:t>
      </w:r>
      <w:proofErr w:type="gramEnd"/>
      <w:r>
        <w:t xml:space="preserve"> age, hepatic impairment, eGFR and race on </w:t>
      </w:r>
      <w:r w:rsidR="006A5DB1">
        <w:t>clearance</w:t>
      </w:r>
      <w:r>
        <w:t xml:space="preserve">; age, disease status, race and hepatic impairment on BMT-153261 VC and weight (applied </w:t>
      </w:r>
      <w:r>
        <w:rPr>
          <w:i/>
          <w:iCs/>
        </w:rPr>
        <w:t>a priori</w:t>
      </w:r>
      <w:r>
        <w:t xml:space="preserve">) on clearance, </w:t>
      </w:r>
      <w:r w:rsidR="006A5DB1">
        <w:t>central volume of distribution</w:t>
      </w:r>
      <w:r>
        <w:t>,</w:t>
      </w:r>
      <w:r w:rsidR="006A5DB1">
        <w:t xml:space="preserve"> peripheral volume of distribution</w:t>
      </w:r>
      <w:r>
        <w:t xml:space="preserve"> and </w:t>
      </w:r>
      <w:r w:rsidR="006A5DB1">
        <w:t>intercompartmental clearance.</w:t>
      </w:r>
    </w:p>
    <w:p w14:paraId="4CFC2E92" w14:textId="69A84A46" w:rsidR="006A6D37" w:rsidRDefault="006A6D37" w:rsidP="006A6D37">
      <w:r w:rsidRPr="00C96022">
        <w:t xml:space="preserve">The final model </w:t>
      </w:r>
      <w:r>
        <w:t xml:space="preserve">for </w:t>
      </w:r>
      <w:proofErr w:type="spellStart"/>
      <w:r>
        <w:t>deucravacitinib</w:t>
      </w:r>
      <w:proofErr w:type="spellEnd"/>
      <w:r>
        <w:t xml:space="preserve"> </w:t>
      </w:r>
      <w:r w:rsidRPr="00C96022">
        <w:t xml:space="preserve">was </w:t>
      </w:r>
      <w:r>
        <w:t xml:space="preserve">also </w:t>
      </w:r>
      <w:r w:rsidRPr="00C96022">
        <w:t>used to generate Empirical Bayesian Estimate (EBE)</w:t>
      </w:r>
      <w:r>
        <w:t xml:space="preserve"> </w:t>
      </w:r>
      <w:r w:rsidRPr="00C96022">
        <w:t xml:space="preserve">parameter values for each </w:t>
      </w:r>
      <w:r>
        <w:t>individual</w:t>
      </w:r>
      <w:r w:rsidRPr="00C96022">
        <w:t xml:space="preserve"> that were further used </w:t>
      </w:r>
      <w:r>
        <w:t xml:space="preserve">to develop the </w:t>
      </w:r>
      <w:r w:rsidRPr="00C96022">
        <w:t xml:space="preserve">BMT-153261 </w:t>
      </w:r>
      <w:proofErr w:type="spellStart"/>
      <w:r w:rsidRPr="00C96022">
        <w:t>P</w:t>
      </w:r>
      <w:r>
        <w:t>op</w:t>
      </w:r>
      <w:r w:rsidRPr="00C96022">
        <w:t>PK</w:t>
      </w:r>
      <w:proofErr w:type="spellEnd"/>
      <w:r w:rsidRPr="00C96022">
        <w:t xml:space="preserve"> model</w:t>
      </w:r>
      <w:r>
        <w:t>, and t</w:t>
      </w:r>
      <w:r w:rsidRPr="00C96022">
        <w:t xml:space="preserve">he EBE parameter values derived from the final </w:t>
      </w:r>
      <w:proofErr w:type="spellStart"/>
      <w:r w:rsidR="00BE2B0D">
        <w:t>deucravacitinib</w:t>
      </w:r>
      <w:proofErr w:type="spellEnd"/>
      <w:r w:rsidRPr="00C96022">
        <w:t xml:space="preserve"> and BMT-153261 </w:t>
      </w:r>
      <w:proofErr w:type="spellStart"/>
      <w:r w:rsidRPr="00C96022">
        <w:t>P</w:t>
      </w:r>
      <w:r>
        <w:t>op</w:t>
      </w:r>
      <w:r w:rsidRPr="00C96022">
        <w:t>PK</w:t>
      </w:r>
      <w:proofErr w:type="spellEnd"/>
      <w:r w:rsidRPr="00C96022">
        <w:t xml:space="preserve"> models for each </w:t>
      </w:r>
      <w:r>
        <w:t>participant</w:t>
      </w:r>
      <w:r w:rsidRPr="00C96022">
        <w:t xml:space="preserve"> were used</w:t>
      </w:r>
      <w:r>
        <w:t xml:space="preserve"> </w:t>
      </w:r>
      <w:r w:rsidRPr="00C96022">
        <w:t>to simulate exposure (</w:t>
      </w:r>
      <w:r w:rsidR="006A5DB1">
        <w:t>for example</w:t>
      </w:r>
      <w:r w:rsidRPr="00C96022">
        <w:t xml:space="preserve">, </w:t>
      </w:r>
      <w:r w:rsidR="006A5DB1">
        <w:t>minimum concentration</w:t>
      </w:r>
      <w:r w:rsidRPr="00C96022">
        <w:t xml:space="preserve">, </w:t>
      </w:r>
      <w:proofErr w:type="spellStart"/>
      <w:r w:rsidRPr="00C96022">
        <w:t>C</w:t>
      </w:r>
      <w:r w:rsidRPr="00C96022">
        <w:rPr>
          <w:vertAlign w:val="subscript"/>
        </w:rPr>
        <w:t>max</w:t>
      </w:r>
      <w:proofErr w:type="spellEnd"/>
      <w:r w:rsidRPr="00C96022">
        <w:t xml:space="preserve"> and </w:t>
      </w:r>
      <w:r w:rsidR="006A5DB1">
        <w:t>average concentration</w:t>
      </w:r>
      <w:r w:rsidRPr="00C96022">
        <w:t>) of the dosing regimen of interest (6</w:t>
      </w:r>
      <w:r w:rsidR="006A5DB1">
        <w:t> </w:t>
      </w:r>
      <w:r w:rsidRPr="00C96022">
        <w:t xml:space="preserve">mg </w:t>
      </w:r>
      <w:r w:rsidR="00751116">
        <w:t>four time</w:t>
      </w:r>
      <w:r>
        <w:t xml:space="preserve"> daily</w:t>
      </w:r>
      <w:r w:rsidRPr="00C96022">
        <w:t>), and for further</w:t>
      </w:r>
      <w:r>
        <w:t xml:space="preserve"> </w:t>
      </w:r>
      <w:r w:rsidRPr="00C96022">
        <w:t xml:space="preserve">assessment of the impact of intrinsic and extrinsic factors on </w:t>
      </w:r>
      <w:r>
        <w:t xml:space="preserve">the pharmacokinetics of </w:t>
      </w:r>
      <w:proofErr w:type="spellStart"/>
      <w:r>
        <w:t>deucravacitinib</w:t>
      </w:r>
      <w:proofErr w:type="spellEnd"/>
      <w:r w:rsidRPr="00C96022">
        <w:t xml:space="preserve"> and BMT-153261.</w:t>
      </w:r>
      <w:r>
        <w:t xml:space="preserve"> The models were evaluated by assessments of Goodness-of-Fit, Uncertainty of Parameter Estimates, and Visual Predictive Checks.</w:t>
      </w:r>
    </w:p>
    <w:p w14:paraId="01937DC5" w14:textId="1E7742D7" w:rsidR="006A6D37" w:rsidRDefault="006A6D37" w:rsidP="006A6D37">
      <w:proofErr w:type="spellStart"/>
      <w:r w:rsidRPr="00C96022">
        <w:t>Deucravacitinib</w:t>
      </w:r>
      <w:proofErr w:type="spellEnd"/>
      <w:r w:rsidRPr="00C96022">
        <w:t xml:space="preserve"> concentration-time profiles were adequately described with a </w:t>
      </w:r>
      <w:proofErr w:type="gramStart"/>
      <w:r>
        <w:t xml:space="preserve">two </w:t>
      </w:r>
      <w:r w:rsidRPr="00C96022">
        <w:t>compartment</w:t>
      </w:r>
      <w:proofErr w:type="gramEnd"/>
      <w:r>
        <w:t xml:space="preserve"> </w:t>
      </w:r>
      <w:r w:rsidRPr="00C96022">
        <w:t>model with zero</w:t>
      </w:r>
      <w:r>
        <w:t xml:space="preserve"> </w:t>
      </w:r>
      <w:r w:rsidRPr="00C96022">
        <w:t>order followed by first order absorption with a small lag time and linear elimination where the</w:t>
      </w:r>
      <w:r>
        <w:t xml:space="preserve"> </w:t>
      </w:r>
      <w:r w:rsidRPr="00C96022">
        <w:t>bioavailability (logit transformed) was described by a dose-dependent E</w:t>
      </w:r>
      <w:r w:rsidRPr="00C96022">
        <w:rPr>
          <w:vertAlign w:val="subscript"/>
        </w:rPr>
        <w:t xml:space="preserve">max </w:t>
      </w:r>
      <w:r w:rsidRPr="00C96022">
        <w:t>function.</w:t>
      </w:r>
      <w:r>
        <w:t xml:space="preserve"> The sponsor reported that while the included parameter-covariate relationships were statistically significant, none of them were considered clinically important.</w:t>
      </w:r>
    </w:p>
    <w:p w14:paraId="124CA32B" w14:textId="4AF1B227" w:rsidR="006A6D37" w:rsidRDefault="006A6D37" w:rsidP="006A6D37">
      <w:r>
        <w:t>The study reported the following conclusions:</w:t>
      </w:r>
    </w:p>
    <w:p w14:paraId="211C6FBB" w14:textId="63971DD2" w:rsidR="006A6D37" w:rsidRPr="00C45200" w:rsidRDefault="00C45200" w:rsidP="006A6D37">
      <w:pPr>
        <w:ind w:left="720"/>
      </w:pPr>
      <w:r>
        <w:rPr>
          <w:i/>
          <w:iCs/>
        </w:rPr>
        <w:t>‘</w:t>
      </w:r>
      <w:r w:rsidR="006A6D37" w:rsidRPr="00C45200">
        <w:t xml:space="preserve">The effects of intrinsic and extrinsic factors such as race, participant type (Phase </w:t>
      </w:r>
      <w:r w:rsidR="006A5DB1">
        <w:rPr>
          <w:iCs/>
        </w:rPr>
        <w:t>I</w:t>
      </w:r>
      <w:r w:rsidR="006A6D37" w:rsidRPr="00C45200">
        <w:t xml:space="preserve"> participants versus participants with [psoriasis]), baseline PASI, and smoking status on </w:t>
      </w:r>
      <w:proofErr w:type="spellStart"/>
      <w:r w:rsidR="00BE2B0D">
        <w:t>deucravacitinib</w:t>
      </w:r>
      <w:proofErr w:type="spellEnd"/>
      <w:r w:rsidR="006A6D37" w:rsidRPr="00C45200">
        <w:t xml:space="preserve"> exposures were small as geometric mean exposures (</w:t>
      </w:r>
      <w:proofErr w:type="spellStart"/>
      <w:proofErr w:type="gramStart"/>
      <w:r w:rsidR="006A6D37" w:rsidRPr="00C45200">
        <w:t>C</w:t>
      </w:r>
      <w:r w:rsidR="006A6D37" w:rsidRPr="00C45200">
        <w:rPr>
          <w:vertAlign w:val="subscript"/>
        </w:rPr>
        <w:t>max</w:t>
      </w:r>
      <w:r w:rsidRPr="00C45200">
        <w:rPr>
          <w:vertAlign w:val="subscript"/>
        </w:rPr>
        <w:t>,</w:t>
      </w:r>
      <w:r w:rsidR="006A6D37" w:rsidRPr="00C45200">
        <w:rPr>
          <w:vertAlign w:val="subscript"/>
        </w:rPr>
        <w:t>ss</w:t>
      </w:r>
      <w:proofErr w:type="spellEnd"/>
      <w:proofErr w:type="gramEnd"/>
      <w:r w:rsidR="006A6D37" w:rsidRPr="00C45200">
        <w:t xml:space="preserve"> and </w:t>
      </w:r>
      <w:proofErr w:type="spellStart"/>
      <w:r w:rsidR="006A6D37" w:rsidRPr="00C45200">
        <w:t>C</w:t>
      </w:r>
      <w:r w:rsidR="006A6D37" w:rsidRPr="00C45200">
        <w:rPr>
          <w:vertAlign w:val="subscript"/>
        </w:rPr>
        <w:t>avg</w:t>
      </w:r>
      <w:r w:rsidRPr="00C45200">
        <w:rPr>
          <w:vertAlign w:val="subscript"/>
        </w:rPr>
        <w:t>,</w:t>
      </w:r>
      <w:r w:rsidR="006A6D37" w:rsidRPr="00C45200">
        <w:rPr>
          <w:vertAlign w:val="subscript"/>
        </w:rPr>
        <w:t>ss</w:t>
      </w:r>
      <w:proofErr w:type="spellEnd"/>
      <w:r w:rsidR="006A6D37" w:rsidRPr="00C45200">
        <w:t xml:space="preserve">) were comparable and differed by </w:t>
      </w:r>
      <w:r w:rsidR="006A5DB1">
        <w:t>≤</w:t>
      </w:r>
      <w:r w:rsidR="006A6D37" w:rsidRPr="00C45200">
        <w:t xml:space="preserve"> 20% between relevant comparisons.</w:t>
      </w:r>
    </w:p>
    <w:p w14:paraId="5AF7265F" w14:textId="2C7474BB" w:rsidR="006A6D37" w:rsidRPr="00C45200" w:rsidRDefault="006A6D37" w:rsidP="006A6D37">
      <w:pPr>
        <w:ind w:left="720"/>
      </w:pPr>
      <w:r w:rsidRPr="00C45200">
        <w:lastRenderedPageBreak/>
        <w:t xml:space="preserve">Age, body weight, and sex had a modest effect (&lt; 50%) on </w:t>
      </w:r>
      <w:proofErr w:type="spellStart"/>
      <w:r w:rsidR="00BE2B0D">
        <w:t>deucravacitinib</w:t>
      </w:r>
      <w:proofErr w:type="spellEnd"/>
      <w:r w:rsidRPr="00C45200">
        <w:t xml:space="preserve"> exposures (</w:t>
      </w:r>
      <w:proofErr w:type="spellStart"/>
      <w:proofErr w:type="gramStart"/>
      <w:r w:rsidRPr="00C45200">
        <w:t>C</w:t>
      </w:r>
      <w:r w:rsidRPr="00C45200">
        <w:rPr>
          <w:vertAlign w:val="subscript"/>
        </w:rPr>
        <w:t>max</w:t>
      </w:r>
      <w:r w:rsidR="00C45200" w:rsidRPr="00C45200">
        <w:rPr>
          <w:vertAlign w:val="subscript"/>
        </w:rPr>
        <w:t>,</w:t>
      </w:r>
      <w:r w:rsidRPr="00C45200">
        <w:rPr>
          <w:vertAlign w:val="subscript"/>
        </w:rPr>
        <w:t>ss</w:t>
      </w:r>
      <w:proofErr w:type="spellEnd"/>
      <w:proofErr w:type="gramEnd"/>
      <w:r w:rsidRPr="00C45200">
        <w:t xml:space="preserve"> and </w:t>
      </w:r>
      <w:proofErr w:type="spellStart"/>
      <w:r w:rsidRPr="00C45200">
        <w:t>C</w:t>
      </w:r>
      <w:r w:rsidRPr="00C45200">
        <w:rPr>
          <w:vertAlign w:val="subscript"/>
        </w:rPr>
        <w:t>avg</w:t>
      </w:r>
      <w:r w:rsidR="00C45200" w:rsidRPr="00C45200">
        <w:rPr>
          <w:vertAlign w:val="subscript"/>
        </w:rPr>
        <w:t>,</w:t>
      </w:r>
      <w:r w:rsidRPr="00C45200">
        <w:rPr>
          <w:vertAlign w:val="subscript"/>
        </w:rPr>
        <w:t>ss</w:t>
      </w:r>
      <w:proofErr w:type="spellEnd"/>
      <w:r w:rsidRPr="00C45200">
        <w:t>):</w:t>
      </w:r>
    </w:p>
    <w:p w14:paraId="5687ED01" w14:textId="375FE133" w:rsidR="006A6D37" w:rsidRPr="00C45200" w:rsidRDefault="006A6D37" w:rsidP="006A6D37">
      <w:pPr>
        <w:ind w:left="720"/>
      </w:pPr>
      <w:r w:rsidRPr="00C45200">
        <w:t xml:space="preserve">Participants with [psoriasis] aged &gt; 65 years had higher </w:t>
      </w:r>
      <w:proofErr w:type="spellStart"/>
      <w:r w:rsidR="00BE2B0D">
        <w:t>deucravacitinib</w:t>
      </w:r>
      <w:proofErr w:type="spellEnd"/>
      <w:r w:rsidRPr="00C45200">
        <w:t xml:space="preserve"> </w:t>
      </w:r>
      <w:proofErr w:type="spellStart"/>
      <w:proofErr w:type="gramStart"/>
      <w:r w:rsidRPr="00C45200">
        <w:t>C</w:t>
      </w:r>
      <w:r w:rsidRPr="00C45200">
        <w:rPr>
          <w:vertAlign w:val="subscript"/>
        </w:rPr>
        <w:t>max</w:t>
      </w:r>
      <w:r w:rsidR="00C45200" w:rsidRPr="00C45200">
        <w:rPr>
          <w:vertAlign w:val="subscript"/>
        </w:rPr>
        <w:t>,</w:t>
      </w:r>
      <w:r w:rsidRPr="00C45200">
        <w:rPr>
          <w:vertAlign w:val="subscript"/>
        </w:rPr>
        <w:t>ss</w:t>
      </w:r>
      <w:proofErr w:type="spellEnd"/>
      <w:proofErr w:type="gramEnd"/>
      <w:r w:rsidRPr="00C45200">
        <w:t xml:space="preserve"> (19.5%) and </w:t>
      </w:r>
      <w:proofErr w:type="spellStart"/>
      <w:r w:rsidRPr="00C45200">
        <w:t>C</w:t>
      </w:r>
      <w:r w:rsidRPr="00C45200">
        <w:rPr>
          <w:vertAlign w:val="subscript"/>
        </w:rPr>
        <w:t>avg</w:t>
      </w:r>
      <w:r w:rsidR="00C45200" w:rsidRPr="00C45200">
        <w:rPr>
          <w:vertAlign w:val="subscript"/>
        </w:rPr>
        <w:t>,</w:t>
      </w:r>
      <w:r w:rsidRPr="00C45200">
        <w:rPr>
          <w:vertAlign w:val="subscript"/>
        </w:rPr>
        <w:t>ss</w:t>
      </w:r>
      <w:proofErr w:type="spellEnd"/>
      <w:r w:rsidRPr="00C45200">
        <w:t xml:space="preserve"> (31%) compared to those aged 40 to 65 years.</w:t>
      </w:r>
    </w:p>
    <w:p w14:paraId="379C2378" w14:textId="744F3F2F" w:rsidR="006A6D37" w:rsidRPr="00C45200" w:rsidRDefault="006A6D37" w:rsidP="006A6D37">
      <w:pPr>
        <w:ind w:left="720"/>
      </w:pPr>
      <w:r w:rsidRPr="00C45200">
        <w:t xml:space="preserve">Relative to a reference [weight] range of 60 to 90 kg, participants with [psoriasis] with [weight] above 90 kg had a lower </w:t>
      </w:r>
      <w:proofErr w:type="spellStart"/>
      <w:r w:rsidR="00BE2B0D">
        <w:t>deucravacitinib</w:t>
      </w:r>
      <w:proofErr w:type="spellEnd"/>
      <w:r w:rsidRPr="00C45200">
        <w:t xml:space="preserve"> </w:t>
      </w:r>
      <w:proofErr w:type="spellStart"/>
      <w:proofErr w:type="gramStart"/>
      <w:r w:rsidRPr="00C45200">
        <w:t>C</w:t>
      </w:r>
      <w:r w:rsidRPr="00C45200">
        <w:rPr>
          <w:vertAlign w:val="subscript"/>
        </w:rPr>
        <w:t>max</w:t>
      </w:r>
      <w:r w:rsidR="00C45200" w:rsidRPr="00C45200">
        <w:rPr>
          <w:vertAlign w:val="subscript"/>
        </w:rPr>
        <w:t>,</w:t>
      </w:r>
      <w:r w:rsidRPr="00C45200">
        <w:rPr>
          <w:vertAlign w:val="subscript"/>
        </w:rPr>
        <w:t>ss</w:t>
      </w:r>
      <w:proofErr w:type="spellEnd"/>
      <w:proofErr w:type="gramEnd"/>
      <w:r w:rsidRPr="00C45200">
        <w:t xml:space="preserve"> (24.8%) and </w:t>
      </w:r>
      <w:proofErr w:type="spellStart"/>
      <w:r w:rsidRPr="00C45200">
        <w:t>C</w:t>
      </w:r>
      <w:r w:rsidRPr="00C45200">
        <w:rPr>
          <w:vertAlign w:val="subscript"/>
        </w:rPr>
        <w:t>avg</w:t>
      </w:r>
      <w:r w:rsidR="00C45200" w:rsidRPr="00C45200">
        <w:rPr>
          <w:vertAlign w:val="subscript"/>
        </w:rPr>
        <w:t>,</w:t>
      </w:r>
      <w:r w:rsidRPr="00C45200">
        <w:rPr>
          <w:vertAlign w:val="subscript"/>
        </w:rPr>
        <w:t>ss</w:t>
      </w:r>
      <w:proofErr w:type="spellEnd"/>
      <w:r w:rsidRPr="00C45200">
        <w:t xml:space="preserve"> (19.3%). Conversely, participants with [psoriasis] with [weight] below 60 kg had a higher </w:t>
      </w:r>
      <w:proofErr w:type="spellStart"/>
      <w:r w:rsidRPr="00C45200">
        <w:t>Cmaxss</w:t>
      </w:r>
      <w:proofErr w:type="spellEnd"/>
      <w:r w:rsidRPr="00C45200">
        <w:t xml:space="preserve"> (36.4%) and </w:t>
      </w:r>
      <w:proofErr w:type="spellStart"/>
      <w:proofErr w:type="gramStart"/>
      <w:r w:rsidRPr="00C45200">
        <w:t>C</w:t>
      </w:r>
      <w:r w:rsidRPr="00C45200">
        <w:rPr>
          <w:vertAlign w:val="subscript"/>
        </w:rPr>
        <w:t>avg</w:t>
      </w:r>
      <w:r w:rsidR="00C45200" w:rsidRPr="00C45200">
        <w:rPr>
          <w:vertAlign w:val="subscript"/>
        </w:rPr>
        <w:t>,</w:t>
      </w:r>
      <w:r w:rsidRPr="00C45200">
        <w:rPr>
          <w:vertAlign w:val="subscript"/>
        </w:rPr>
        <w:t>ss</w:t>
      </w:r>
      <w:proofErr w:type="spellEnd"/>
      <w:proofErr w:type="gramEnd"/>
      <w:r w:rsidRPr="00C45200">
        <w:t xml:space="preserve"> (24.2%) relative to the reference.</w:t>
      </w:r>
    </w:p>
    <w:p w14:paraId="7C097FD7" w14:textId="283A0233" w:rsidR="006A6D37" w:rsidRPr="001361A1" w:rsidRDefault="006A6D37" w:rsidP="006A6D37">
      <w:pPr>
        <w:ind w:left="720"/>
        <w:rPr>
          <w:i/>
          <w:iCs/>
        </w:rPr>
      </w:pPr>
      <w:r w:rsidRPr="00C45200">
        <w:t xml:space="preserve">Female participants with [psoriasis] were predicted to have a higher </w:t>
      </w:r>
      <w:proofErr w:type="spellStart"/>
      <w:r w:rsidR="00BE2B0D">
        <w:t>deucravacitinib</w:t>
      </w:r>
      <w:proofErr w:type="spellEnd"/>
      <w:r w:rsidRPr="00C45200">
        <w:t xml:space="preserve"> </w:t>
      </w:r>
      <w:proofErr w:type="spellStart"/>
      <w:proofErr w:type="gramStart"/>
      <w:r w:rsidRPr="00C45200">
        <w:t>C</w:t>
      </w:r>
      <w:r w:rsidRPr="00C45200">
        <w:rPr>
          <w:vertAlign w:val="subscript"/>
        </w:rPr>
        <w:t>max</w:t>
      </w:r>
      <w:r w:rsidR="00C45200" w:rsidRPr="00C45200">
        <w:rPr>
          <w:vertAlign w:val="subscript"/>
        </w:rPr>
        <w:t>,</w:t>
      </w:r>
      <w:r w:rsidRPr="00C45200">
        <w:rPr>
          <w:vertAlign w:val="subscript"/>
        </w:rPr>
        <w:t>ss</w:t>
      </w:r>
      <w:proofErr w:type="spellEnd"/>
      <w:proofErr w:type="gramEnd"/>
      <w:r w:rsidRPr="00C45200">
        <w:t xml:space="preserve"> (31.6%) and </w:t>
      </w:r>
      <w:proofErr w:type="spellStart"/>
      <w:r w:rsidRPr="00C45200">
        <w:t>C</w:t>
      </w:r>
      <w:r w:rsidRPr="00C45200">
        <w:rPr>
          <w:vertAlign w:val="subscript"/>
        </w:rPr>
        <w:t>avg</w:t>
      </w:r>
      <w:r w:rsidR="00C45200" w:rsidRPr="00C45200">
        <w:rPr>
          <w:vertAlign w:val="subscript"/>
        </w:rPr>
        <w:t>,</w:t>
      </w:r>
      <w:r w:rsidRPr="00C45200">
        <w:rPr>
          <w:vertAlign w:val="subscript"/>
        </w:rPr>
        <w:t>ss</w:t>
      </w:r>
      <w:proofErr w:type="spellEnd"/>
      <w:r w:rsidRPr="00C45200">
        <w:t xml:space="preserve"> (28.7%) compared to male participants with [psoriasis].</w:t>
      </w:r>
      <w:r w:rsidR="00C45200" w:rsidRPr="0004321E">
        <w:t>’</w:t>
      </w:r>
    </w:p>
    <w:p w14:paraId="137A65BA" w14:textId="20F7EA27" w:rsidR="006A6D37" w:rsidRDefault="006A6D37" w:rsidP="006A6D37">
      <w:r>
        <w:t xml:space="preserve">A </w:t>
      </w:r>
      <w:proofErr w:type="gramStart"/>
      <w:r>
        <w:t>two</w:t>
      </w:r>
      <w:r w:rsidR="00C45200">
        <w:t xml:space="preserve"> </w:t>
      </w:r>
      <w:r>
        <w:t>compartment</w:t>
      </w:r>
      <w:proofErr w:type="gramEnd"/>
      <w:r>
        <w:t xml:space="preserve"> model with linear elimination was able to adequately capture BMT-153261 concentrations in Phase </w:t>
      </w:r>
      <w:r w:rsidR="006A5DB1">
        <w:t>I</w:t>
      </w:r>
      <w:r>
        <w:t xml:space="preserve"> participants or participants with psoriasis. The fraction of </w:t>
      </w:r>
      <w:proofErr w:type="spellStart"/>
      <w:r>
        <w:t>deucravacitinib</w:t>
      </w:r>
      <w:proofErr w:type="spellEnd"/>
      <w:r>
        <w:t xml:space="preserve"> dose that is metaboli</w:t>
      </w:r>
      <w:r w:rsidR="006A5DB1">
        <w:t>s</w:t>
      </w:r>
      <w:r>
        <w:t>ed to BMT-153261was fixed to 0.22 based on results from ADME studies. The sponsor concluded that:</w:t>
      </w:r>
    </w:p>
    <w:p w14:paraId="599D458B" w14:textId="53010049" w:rsidR="006A6D37" w:rsidRPr="00C45200" w:rsidRDefault="00C45200" w:rsidP="006A6D37">
      <w:pPr>
        <w:ind w:left="720"/>
      </w:pPr>
      <w:r w:rsidRPr="00C45200">
        <w:t>‘</w:t>
      </w:r>
      <w:r w:rsidR="006A6D37" w:rsidRPr="00C45200">
        <w:t>The effects of intrinsic and extrinsic factors such as age, sex, race, smoking status, and baseline PASI on BMT-153261 exposures were small as geometric mean exposures (</w:t>
      </w:r>
      <w:proofErr w:type="spellStart"/>
      <w:r w:rsidR="006A6D37" w:rsidRPr="00C45200">
        <w:t>C</w:t>
      </w:r>
      <w:r w:rsidR="006A6D37" w:rsidRPr="006A5DB1">
        <w:rPr>
          <w:vertAlign w:val="subscript"/>
        </w:rPr>
        <w:t>maxss</w:t>
      </w:r>
      <w:proofErr w:type="spellEnd"/>
      <w:r w:rsidR="006A6D37" w:rsidRPr="00C45200">
        <w:t xml:space="preserve"> and </w:t>
      </w:r>
      <w:proofErr w:type="spellStart"/>
      <w:r w:rsidR="006A6D37" w:rsidRPr="00C45200">
        <w:t>C</w:t>
      </w:r>
      <w:r w:rsidR="006A6D37" w:rsidRPr="006A5DB1">
        <w:rPr>
          <w:vertAlign w:val="subscript"/>
        </w:rPr>
        <w:t>avgss</w:t>
      </w:r>
      <w:proofErr w:type="spellEnd"/>
      <w:r w:rsidR="006A6D37" w:rsidRPr="00C45200">
        <w:t xml:space="preserve">) were comparable and differed by </w:t>
      </w:r>
      <w:r w:rsidR="006A5DB1">
        <w:t>≤</w:t>
      </w:r>
      <w:r w:rsidR="006A6D37" w:rsidRPr="00C45200">
        <w:t xml:space="preserve"> 20% between relevant comparisons.</w:t>
      </w:r>
    </w:p>
    <w:p w14:paraId="0181CF73" w14:textId="66D6D6D0" w:rsidR="006A6D37" w:rsidRPr="00C45200" w:rsidRDefault="006A6D37" w:rsidP="006A6D37">
      <w:pPr>
        <w:ind w:left="720"/>
      </w:pPr>
      <w:r w:rsidRPr="00C45200">
        <w:t xml:space="preserve">Baseline body weight and participant type (Phase </w:t>
      </w:r>
      <w:r w:rsidR="006A5DB1">
        <w:t>I</w:t>
      </w:r>
      <w:r w:rsidRPr="00C45200">
        <w:t xml:space="preserve"> participants versus participants with [psoriasis]), had a modest effect (&lt; 50%) on BMT-153261 exposures (</w:t>
      </w:r>
      <w:proofErr w:type="spellStart"/>
      <w:r w:rsidRPr="00C45200">
        <w:t>C</w:t>
      </w:r>
      <w:r w:rsidRPr="006A5DB1">
        <w:rPr>
          <w:vertAlign w:val="subscript"/>
        </w:rPr>
        <w:t>maxss</w:t>
      </w:r>
      <w:proofErr w:type="spellEnd"/>
      <w:r w:rsidRPr="00C45200">
        <w:t xml:space="preserve"> and </w:t>
      </w:r>
      <w:proofErr w:type="spellStart"/>
      <w:r w:rsidRPr="00C45200">
        <w:t>C</w:t>
      </w:r>
      <w:r w:rsidRPr="006A5DB1">
        <w:rPr>
          <w:vertAlign w:val="subscript"/>
        </w:rPr>
        <w:t>avgss</w:t>
      </w:r>
      <w:proofErr w:type="spellEnd"/>
      <w:r w:rsidRPr="00C45200">
        <w:t>).</w:t>
      </w:r>
    </w:p>
    <w:p w14:paraId="6C001C1B" w14:textId="5EAA9A35" w:rsidR="006A6D37" w:rsidRDefault="006A6D37" w:rsidP="006A6D37">
      <w:pPr>
        <w:ind w:left="720"/>
        <w:rPr>
          <w:i/>
          <w:iCs/>
        </w:rPr>
      </w:pPr>
      <w:r w:rsidRPr="00C45200">
        <w:t xml:space="preserve">Relative to a reference </w:t>
      </w:r>
      <w:r w:rsidR="006A5DB1">
        <w:t>weight</w:t>
      </w:r>
      <w:r w:rsidRPr="00C45200">
        <w:t xml:space="preserve"> range of 60 to 90 kg, participants with [psoriasis] with [weight] above 90 kg had a lower BMT-153261 </w:t>
      </w:r>
      <w:proofErr w:type="spellStart"/>
      <w:r w:rsidRPr="00C45200">
        <w:t>C</w:t>
      </w:r>
      <w:r w:rsidRPr="006A5DB1">
        <w:rPr>
          <w:vertAlign w:val="subscript"/>
        </w:rPr>
        <w:t>maxss</w:t>
      </w:r>
      <w:proofErr w:type="spellEnd"/>
      <w:r w:rsidRPr="00C45200">
        <w:t xml:space="preserve"> (24.4%) and </w:t>
      </w:r>
      <w:proofErr w:type="spellStart"/>
      <w:r w:rsidRPr="00C45200">
        <w:t>C</w:t>
      </w:r>
      <w:r w:rsidRPr="006A5DB1">
        <w:rPr>
          <w:vertAlign w:val="subscript"/>
        </w:rPr>
        <w:t>avgss</w:t>
      </w:r>
      <w:proofErr w:type="spellEnd"/>
      <w:r w:rsidRPr="00C45200">
        <w:t xml:space="preserve"> (22.5%). Conversely, participants with [psoriasis] with [weight] below 60 kg had a higher BMT-153261 </w:t>
      </w:r>
      <w:proofErr w:type="spellStart"/>
      <w:r w:rsidRPr="00C45200">
        <w:t>C</w:t>
      </w:r>
      <w:r w:rsidRPr="006A5DB1">
        <w:rPr>
          <w:vertAlign w:val="subscript"/>
        </w:rPr>
        <w:t>maxss</w:t>
      </w:r>
      <w:proofErr w:type="spellEnd"/>
      <w:r w:rsidRPr="00C45200">
        <w:t xml:space="preserve"> (44%) and </w:t>
      </w:r>
      <w:proofErr w:type="spellStart"/>
      <w:r w:rsidRPr="00C45200">
        <w:t>C</w:t>
      </w:r>
      <w:r w:rsidRPr="006A5DB1">
        <w:rPr>
          <w:vertAlign w:val="subscript"/>
        </w:rPr>
        <w:t>avgss</w:t>
      </w:r>
      <w:proofErr w:type="spellEnd"/>
      <w:r w:rsidRPr="00C45200">
        <w:t xml:space="preserve"> (36.9%) relative to the reference</w:t>
      </w:r>
      <w:r w:rsidRPr="004F7907">
        <w:rPr>
          <w:i/>
          <w:iCs/>
        </w:rPr>
        <w:t>.</w:t>
      </w:r>
      <w:r w:rsidR="00C45200" w:rsidRPr="00C45200">
        <w:t>’</w:t>
      </w:r>
    </w:p>
    <w:p w14:paraId="5B4333E4" w14:textId="519AD88C" w:rsidR="006A6D37" w:rsidRPr="004F7907" w:rsidRDefault="006A6D37" w:rsidP="006A6D37">
      <w:r>
        <w:t xml:space="preserve">Based on the population pharmacokinetic analysis, the sponsor considered that no dosage adjustment to the proposed 6mg </w:t>
      </w:r>
      <w:r w:rsidR="00F12435">
        <w:t>daily</w:t>
      </w:r>
      <w:r>
        <w:t xml:space="preserve"> was justified based on any intrinsic or extrinsic factor, other than a recommendation not to use </w:t>
      </w:r>
      <w:proofErr w:type="spellStart"/>
      <w:r>
        <w:t>deucravacitinib</w:t>
      </w:r>
      <w:proofErr w:type="spellEnd"/>
      <w:r>
        <w:t xml:space="preserve"> in patients with severe hepatic impairment. Notably, renal impairment did not appear to have a significant effect on the estimated exposures with the proposed dose.</w:t>
      </w:r>
    </w:p>
    <w:p w14:paraId="707420FB" w14:textId="53477B95" w:rsidR="00CD5459" w:rsidRPr="00CD5459" w:rsidRDefault="00CD5459" w:rsidP="00CD5459">
      <w:pPr>
        <w:pStyle w:val="Heading5"/>
      </w:pPr>
      <w:r w:rsidRPr="00CD5459">
        <w:t>Pharmacodynamics</w:t>
      </w:r>
    </w:p>
    <w:p w14:paraId="32222AF4" w14:textId="345F62BE" w:rsidR="00CD5459" w:rsidRPr="00CD5459" w:rsidRDefault="00CD5459" w:rsidP="00CD5459">
      <w:r w:rsidRPr="00CD5459">
        <w:t>Human pharmacodynamic studies included assessments of inhibition of interferon (IFN</w:t>
      </w:r>
      <w:r w:rsidR="006A5DB1">
        <w:t>)</w:t>
      </w:r>
      <w:r w:rsidRPr="00CD5459">
        <w:t xml:space="preserve">α mediated phosphorylation of STAT5 after single ascending doses of </w:t>
      </w:r>
      <w:proofErr w:type="spellStart"/>
      <w:r w:rsidRPr="00CD5459">
        <w:t>deucravacitinib</w:t>
      </w:r>
      <w:proofErr w:type="spellEnd"/>
      <w:r w:rsidRPr="00CD5459">
        <w:t xml:space="preserve">. Dose dependent inhibition was reported at doses between 1 mg and 10 mg, with maximal inhibition with doses 10 mg and over. In multiple dose studies, maximal inhibition was observed at all doses greater than 2 mg twice daily. In multiple dose studies, </w:t>
      </w:r>
      <w:proofErr w:type="spellStart"/>
      <w:r w:rsidRPr="00CD5459">
        <w:t>deucravacitinib</w:t>
      </w:r>
      <w:proofErr w:type="spellEnd"/>
      <w:r w:rsidRPr="00CD5459">
        <w:t xml:space="preserve"> also inhibited IFNα mediated gene transcription (of interferon-response genes) in a dose</w:t>
      </w:r>
      <w:r w:rsidR="006A5DB1">
        <w:t xml:space="preserve"> </w:t>
      </w:r>
      <w:r w:rsidRPr="00CD5459">
        <w:t>dependent manner.</w:t>
      </w:r>
    </w:p>
    <w:p w14:paraId="63D6B086" w14:textId="3D822F6C" w:rsidR="00CD5459" w:rsidRPr="00CD5459" w:rsidRDefault="00CD5459" w:rsidP="00CD5459">
      <w:r w:rsidRPr="00CD5459">
        <w:t xml:space="preserve">Single and multiple doses of </w:t>
      </w:r>
      <w:proofErr w:type="spellStart"/>
      <w:r w:rsidRPr="00CD5459">
        <w:t>deucravacitinib</w:t>
      </w:r>
      <w:proofErr w:type="spellEnd"/>
      <w:r w:rsidRPr="00CD5459">
        <w:t xml:space="preserve"> inhibited IL-12 and IL-18-</w:t>
      </w:r>
      <w:r w:rsidR="006A5DB1" w:rsidRPr="00CD5459">
        <w:t xml:space="preserve"> </w:t>
      </w:r>
      <w:proofErr w:type="spellStart"/>
      <w:r w:rsidRPr="00CD5459">
        <w:t>IFNγ</w:t>
      </w:r>
      <w:proofErr w:type="spellEnd"/>
      <w:r w:rsidRPr="00CD5459">
        <w:t xml:space="preserve"> production in a dose dependent manner, with maximal inhibition with single doses of 10 mg or greater.</w:t>
      </w:r>
    </w:p>
    <w:p w14:paraId="3E3EF55F" w14:textId="4AA2F6E5" w:rsidR="00CD5459" w:rsidRPr="00CD5459" w:rsidRDefault="00CD5459" w:rsidP="00CD5459">
      <w:r w:rsidRPr="00CD5459">
        <w:t xml:space="preserve">In the Phase II and Phase III studies, </w:t>
      </w:r>
      <w:proofErr w:type="spellStart"/>
      <w:r w:rsidR="007C6683">
        <w:t>deucravacitinib</w:t>
      </w:r>
      <w:proofErr w:type="spellEnd"/>
      <w:r w:rsidRPr="00CD5459">
        <w:t xml:space="preserve"> administration reduced levels of serum biomarkers for the IL-23/T</w:t>
      </w:r>
      <w:r w:rsidR="007C6683">
        <w:t>h</w:t>
      </w:r>
      <w:r w:rsidRPr="00CD5459">
        <w:t>17 pathway, which were associated with psoriasis disease activity. Median levels of IL-17A, IL-19 and β defensin were reduced by 48</w:t>
      </w:r>
      <w:r w:rsidR="007C6683">
        <w:t xml:space="preserve"> to </w:t>
      </w:r>
      <w:r w:rsidRPr="00CD5459">
        <w:t>50%, 72% and 81</w:t>
      </w:r>
      <w:r w:rsidR="007C6683">
        <w:t xml:space="preserve"> to </w:t>
      </w:r>
      <w:r w:rsidRPr="00CD5459">
        <w:t>84%, respectively.</w:t>
      </w:r>
    </w:p>
    <w:p w14:paraId="10581E8C" w14:textId="5B809937" w:rsidR="00CD5459" w:rsidRPr="007C6683" w:rsidRDefault="00CD5459" w:rsidP="007C6683">
      <w:r w:rsidRPr="007C6683">
        <w:t>Exposure</w:t>
      </w:r>
      <w:r w:rsidR="007C6683">
        <w:t xml:space="preserve"> </w:t>
      </w:r>
      <w:r w:rsidRPr="007C6683">
        <w:t xml:space="preserve">response and exposure safety analyses were performed to characterise the relationship between exposures to </w:t>
      </w:r>
      <w:proofErr w:type="spellStart"/>
      <w:r w:rsidRPr="007C6683">
        <w:t>deucravacitinib</w:t>
      </w:r>
      <w:proofErr w:type="spellEnd"/>
      <w:r w:rsidRPr="007C6683">
        <w:t xml:space="preserve"> and its active metabolite and efficacy as </w:t>
      </w:r>
      <w:r w:rsidRPr="007C6683">
        <w:lastRenderedPageBreak/>
        <w:t xml:space="preserve">assessed by </w:t>
      </w:r>
      <w:r w:rsidR="007C6683">
        <w:t>p</w:t>
      </w:r>
      <w:r w:rsidR="007C6683" w:rsidRPr="007C6683">
        <w:t xml:space="preserve">soriasis </w:t>
      </w:r>
      <w:r w:rsidR="007C6683">
        <w:t>a</w:t>
      </w:r>
      <w:r w:rsidR="007C6683" w:rsidRPr="007C6683">
        <w:t xml:space="preserve">rea and </w:t>
      </w:r>
      <w:r w:rsidR="007C6683">
        <w:t>s</w:t>
      </w:r>
      <w:r w:rsidR="007C6683" w:rsidRPr="007C6683">
        <w:t xml:space="preserve">everity </w:t>
      </w:r>
      <w:r w:rsidR="007C6683">
        <w:t>i</w:t>
      </w:r>
      <w:r w:rsidR="007C6683" w:rsidRPr="007C6683">
        <w:t>ndex</w:t>
      </w:r>
      <w:r w:rsidR="007C6683">
        <w:t xml:space="preserve"> (</w:t>
      </w:r>
      <w:r w:rsidRPr="007C6683">
        <w:t>PASI</w:t>
      </w:r>
      <w:r w:rsidR="007C6683">
        <w:t xml:space="preserve">) </w:t>
      </w:r>
      <w:r w:rsidRPr="007C6683">
        <w:t>50/75/90/100</w:t>
      </w:r>
      <w:r w:rsidR="007C6683">
        <w:t>;</w:t>
      </w:r>
      <w:r w:rsidR="007C6683">
        <w:rPr>
          <w:rStyle w:val="FootnoteReference"/>
        </w:rPr>
        <w:footnoteReference w:id="10"/>
      </w:r>
      <w:r w:rsidRPr="007C6683">
        <w:t xml:space="preserve"> and </w:t>
      </w:r>
      <w:r w:rsidR="007C6683">
        <w:t>s</w:t>
      </w:r>
      <w:r w:rsidR="007C6683" w:rsidRPr="007C6683">
        <w:t xml:space="preserve">tatic </w:t>
      </w:r>
      <w:r w:rsidR="007C6683">
        <w:t>p</w:t>
      </w:r>
      <w:r w:rsidR="007C6683" w:rsidRPr="007C6683">
        <w:t xml:space="preserve">hysicians </w:t>
      </w:r>
      <w:r w:rsidR="007C6683">
        <w:t>g</w:t>
      </w:r>
      <w:r w:rsidR="007C6683" w:rsidRPr="007C6683">
        <w:t xml:space="preserve">lobal </w:t>
      </w:r>
      <w:r w:rsidR="007C6683">
        <w:t>a</w:t>
      </w:r>
      <w:r w:rsidR="007C6683" w:rsidRPr="007C6683">
        <w:t>ssessment</w:t>
      </w:r>
      <w:r w:rsidR="007C6683">
        <w:t xml:space="preserve"> (</w:t>
      </w:r>
      <w:proofErr w:type="spellStart"/>
      <w:r w:rsidRPr="007C6683">
        <w:t>sPGA</w:t>
      </w:r>
      <w:proofErr w:type="spellEnd"/>
      <w:r w:rsidR="007C6683">
        <w:t xml:space="preserve">) </w:t>
      </w:r>
      <w:r w:rsidRPr="007C6683">
        <w:t>0/1;</w:t>
      </w:r>
      <w:r w:rsidR="007C6683">
        <w:rPr>
          <w:rStyle w:val="FootnoteReference"/>
        </w:rPr>
        <w:footnoteReference w:id="11"/>
      </w:r>
      <w:r w:rsidRPr="007C6683">
        <w:t xml:space="preserve"> and separately to characterise the relationship between </w:t>
      </w:r>
      <w:proofErr w:type="spellStart"/>
      <w:r w:rsidRPr="007C6683">
        <w:t>deucravacitinib</w:t>
      </w:r>
      <w:proofErr w:type="spellEnd"/>
      <w:r w:rsidRPr="007C6683">
        <w:t xml:space="preserve">/metabolite and selected safety endpoints (infections and infestations, </w:t>
      </w:r>
      <w:r w:rsidR="007C6683" w:rsidRPr="007C6683">
        <w:t>major adverse cardiac event</w:t>
      </w:r>
      <w:r w:rsidRPr="007C6683">
        <w:t xml:space="preserve">, extended </w:t>
      </w:r>
      <w:r w:rsidR="007C6683" w:rsidRPr="007C6683">
        <w:t>major adverse cardiac event</w:t>
      </w:r>
      <w:r w:rsidRPr="007C6683">
        <w:t xml:space="preserve">, serious infections, herpes zoster, malignancy and elevated </w:t>
      </w:r>
      <w:r w:rsidR="00003FF0">
        <w:t>creatine phosphokinase)</w:t>
      </w:r>
      <w:r w:rsidRPr="007C6683">
        <w:t xml:space="preserve">. The models were developed with data from </w:t>
      </w:r>
      <w:r w:rsidR="007C6683">
        <w:t xml:space="preserve">Study </w:t>
      </w:r>
      <w:r w:rsidRPr="007C6683">
        <w:t>IM011011 and the two pivotal efficacy and safety studies.</w:t>
      </w:r>
    </w:p>
    <w:p w14:paraId="1F989CF4" w14:textId="14C23EB3" w:rsidR="00CD5459" w:rsidRPr="00003FF0" w:rsidRDefault="00CD5459" w:rsidP="00003FF0">
      <w:r w:rsidRPr="00003FF0">
        <w:t xml:space="preserve">The </w:t>
      </w:r>
      <w:r w:rsidR="006A5DB1">
        <w:t>exposure-response</w:t>
      </w:r>
      <w:r w:rsidR="006A5DB1" w:rsidRPr="00003FF0">
        <w:t xml:space="preserve"> </w:t>
      </w:r>
      <w:r w:rsidRPr="00003FF0">
        <w:t>efficacy analysis reported that the 6 mg</w:t>
      </w:r>
      <w:r w:rsidR="00003FF0">
        <w:t xml:space="preserve"> </w:t>
      </w:r>
      <w:r w:rsidR="00F12435">
        <w:t>daily</w:t>
      </w:r>
      <w:r w:rsidRPr="00003FF0">
        <w:t xml:space="preserve"> dose achieves near-maximal PASI</w:t>
      </w:r>
      <w:r w:rsidR="00A15F1E">
        <w:t xml:space="preserve"> </w:t>
      </w:r>
      <w:r w:rsidRPr="00003FF0">
        <w:t xml:space="preserve">75 and </w:t>
      </w:r>
      <w:proofErr w:type="spellStart"/>
      <w:r w:rsidRPr="00003FF0">
        <w:t>sPGA</w:t>
      </w:r>
      <w:proofErr w:type="spellEnd"/>
      <w:r w:rsidR="00A15F1E">
        <w:t xml:space="preserve"> </w:t>
      </w:r>
      <w:r w:rsidRPr="00003FF0">
        <w:t xml:space="preserve">0/1 responses with further increases in </w:t>
      </w:r>
      <w:proofErr w:type="spellStart"/>
      <w:r w:rsidRPr="00003FF0">
        <w:t>deucravacitinib</w:t>
      </w:r>
      <w:proofErr w:type="spellEnd"/>
      <w:r w:rsidRPr="00003FF0">
        <w:t xml:space="preserve"> exposures predicted to result in only modest improvements. According to the model a 50% lowering of </w:t>
      </w:r>
      <w:proofErr w:type="spellStart"/>
      <w:r w:rsidRPr="00003FF0">
        <w:t>deucravacitinib</w:t>
      </w:r>
      <w:proofErr w:type="spellEnd"/>
      <w:r w:rsidRPr="00003FF0">
        <w:t xml:space="preserve"> exposure, relative to median exposures achieved with the 6 mg </w:t>
      </w:r>
      <w:r w:rsidR="00F12435">
        <w:t>daily</w:t>
      </w:r>
      <w:r w:rsidRPr="00003FF0">
        <w:t xml:space="preserve"> dose, resulted in a modest reduction in PASI 75 response and </w:t>
      </w:r>
      <w:proofErr w:type="spellStart"/>
      <w:r w:rsidRPr="00003FF0">
        <w:t>sPGA</w:t>
      </w:r>
      <w:proofErr w:type="spellEnd"/>
      <w:r w:rsidR="00A15F1E">
        <w:t xml:space="preserve"> </w:t>
      </w:r>
      <w:r w:rsidRPr="00003FF0">
        <w:t>0/1 response.</w:t>
      </w:r>
    </w:p>
    <w:p w14:paraId="3CCA0A0B" w14:textId="34BAC0A1" w:rsidR="00CD5459" w:rsidRPr="00003FF0" w:rsidRDefault="00CD5459" w:rsidP="00003FF0">
      <w:r w:rsidRPr="00003FF0">
        <w:t xml:space="preserve">The </w:t>
      </w:r>
      <w:r w:rsidR="006A5DB1">
        <w:t>exposure-response</w:t>
      </w:r>
      <w:r w:rsidR="006A5DB1" w:rsidRPr="00003FF0">
        <w:t xml:space="preserve"> </w:t>
      </w:r>
      <w:r w:rsidRPr="00003FF0">
        <w:t>safety analysis did not identify any notable safety trends.</w:t>
      </w:r>
    </w:p>
    <w:p w14:paraId="2DF013D3" w14:textId="77777777" w:rsidR="00CD5459" w:rsidRPr="00003FF0" w:rsidRDefault="00CD5459" w:rsidP="001B774C">
      <w:pPr>
        <w:pStyle w:val="Heading4"/>
      </w:pPr>
      <w:bookmarkStart w:id="50" w:name="_Toc141445519"/>
      <w:r w:rsidRPr="00003FF0">
        <w:t>Efficacy</w:t>
      </w:r>
      <w:bookmarkEnd w:id="50"/>
    </w:p>
    <w:p w14:paraId="6E355898" w14:textId="2BA04054" w:rsidR="00CD5459" w:rsidRPr="00003FF0" w:rsidRDefault="00CD5459" w:rsidP="001B774C">
      <w:pPr>
        <w:pStyle w:val="Heading5"/>
      </w:pPr>
      <w:r w:rsidRPr="00003FF0">
        <w:t>POETYK-PSO-1</w:t>
      </w:r>
      <w:r w:rsidR="00003FF0" w:rsidRPr="00003FF0">
        <w:t xml:space="preserve"> </w:t>
      </w:r>
      <w:proofErr w:type="gramStart"/>
      <w:r w:rsidR="00003FF0" w:rsidRPr="00003FF0">
        <w:t>trial</w:t>
      </w:r>
      <w:proofErr w:type="gramEnd"/>
    </w:p>
    <w:p w14:paraId="0F94C259" w14:textId="7332E9E7" w:rsidR="00CD5459" w:rsidRPr="00003FF0" w:rsidRDefault="00CD5459" w:rsidP="00003FF0">
      <w:r w:rsidRPr="00003FF0">
        <w:t>POETYK-1</w:t>
      </w:r>
      <w:r w:rsidR="00003FF0">
        <w:t xml:space="preserve"> trial</w:t>
      </w:r>
      <w:r w:rsidRPr="00003FF0">
        <w:t xml:space="preserve"> was a Phase </w:t>
      </w:r>
      <w:r w:rsidR="00003FF0">
        <w:t>III</w:t>
      </w:r>
      <w:r w:rsidRPr="00003FF0">
        <w:t>, multicentre, randomi</w:t>
      </w:r>
      <w:r w:rsidR="00003FF0">
        <w:t>s</w:t>
      </w:r>
      <w:r w:rsidRPr="00003FF0">
        <w:t>ed, double</w:t>
      </w:r>
      <w:r w:rsidR="00003FF0">
        <w:t xml:space="preserve"> </w:t>
      </w:r>
      <w:r w:rsidRPr="00003FF0">
        <w:t>blind, double</w:t>
      </w:r>
      <w:r w:rsidR="00003FF0">
        <w:t xml:space="preserve"> </w:t>
      </w:r>
      <w:r w:rsidRPr="00003FF0">
        <w:t xml:space="preserve">dummy, placebo- and active-controlled study to compare the efficacy and safety of </w:t>
      </w:r>
      <w:proofErr w:type="spellStart"/>
      <w:r w:rsidRPr="00003FF0">
        <w:t>deucravacitinib</w:t>
      </w:r>
      <w:proofErr w:type="spellEnd"/>
      <w:r w:rsidRPr="00003FF0">
        <w:t xml:space="preserve"> 6 mg </w:t>
      </w:r>
      <w:r w:rsidR="00F12435">
        <w:t>daily</w:t>
      </w:r>
      <w:r w:rsidRPr="00003FF0">
        <w:t xml:space="preserve"> v</w:t>
      </w:r>
      <w:r w:rsidR="00003FF0">
        <w:t>ersu</w:t>
      </w:r>
      <w:r w:rsidRPr="00003FF0">
        <w:t xml:space="preserve">s placebo and apremilast 30 mg </w:t>
      </w:r>
      <w:r w:rsidR="00003FF0">
        <w:t>twice daily</w:t>
      </w:r>
      <w:r w:rsidRPr="00003FF0">
        <w:t xml:space="preserve"> in 666 adults with moderate</w:t>
      </w:r>
      <w:r w:rsidR="00003FF0">
        <w:t xml:space="preserve"> </w:t>
      </w:r>
      <w:r w:rsidRPr="00003FF0">
        <w:t>to</w:t>
      </w:r>
      <w:r w:rsidR="00003FF0">
        <w:t xml:space="preserve"> </w:t>
      </w:r>
      <w:r w:rsidRPr="00003FF0">
        <w:t>severe plaque psoriasis.</w:t>
      </w:r>
    </w:p>
    <w:p w14:paraId="58F07F03" w14:textId="1E44057E" w:rsidR="00CD5459" w:rsidRPr="00003FF0" w:rsidRDefault="00CD5459" w:rsidP="00003FF0">
      <w:r w:rsidRPr="00003FF0">
        <w:t xml:space="preserve">The primary objective of the study was to assess if </w:t>
      </w:r>
      <w:proofErr w:type="spellStart"/>
      <w:r w:rsidRPr="00003FF0">
        <w:t>deucravacitinib</w:t>
      </w:r>
      <w:proofErr w:type="spellEnd"/>
      <w:r w:rsidRPr="00003FF0">
        <w:t xml:space="preserve"> was superior to placebo at Week 16 in terms of efficacy, applying co-primary endpoints of response rates </w:t>
      </w:r>
      <w:proofErr w:type="spellStart"/>
      <w:r w:rsidR="00003FF0">
        <w:t>sPGA</w:t>
      </w:r>
      <w:proofErr w:type="spellEnd"/>
      <w:r w:rsidRPr="00003FF0">
        <w:t xml:space="preserve"> of psoriasis score of 0 or 1 (</w:t>
      </w:r>
      <w:proofErr w:type="spellStart"/>
      <w:r w:rsidRPr="00003FF0">
        <w:t>sPGA</w:t>
      </w:r>
      <w:proofErr w:type="spellEnd"/>
      <w:r w:rsidRPr="00003FF0">
        <w:t xml:space="preserve"> 0/1, maximum score </w:t>
      </w:r>
      <w:r w:rsidR="00365277" w:rsidRPr="002A6A6D">
        <w:t>4</w:t>
      </w:r>
      <w:r w:rsidRPr="002A6A6D">
        <w:t xml:space="preserve">) </w:t>
      </w:r>
      <w:r w:rsidRPr="00003FF0">
        <w:t>and 75% improvement from baseline PASI (PASI</w:t>
      </w:r>
      <w:r w:rsidR="00003FF0">
        <w:t> </w:t>
      </w:r>
      <w:r w:rsidRPr="00003FF0">
        <w:t>75). The secondary endpoi</w:t>
      </w:r>
      <w:r w:rsidR="00003FF0">
        <w:t>n</w:t>
      </w:r>
      <w:r w:rsidRPr="00003FF0">
        <w:t xml:space="preserve">t was to assess whether </w:t>
      </w:r>
      <w:proofErr w:type="spellStart"/>
      <w:r w:rsidRPr="00003FF0">
        <w:t>deucravacitinib</w:t>
      </w:r>
      <w:proofErr w:type="spellEnd"/>
      <w:r w:rsidRPr="00003FF0">
        <w:t xml:space="preserve"> was superior to the active control, apremilast, at Week 16 and at Week 52. The study schematic of POETYK-1 </w:t>
      </w:r>
      <w:r w:rsidR="00003FF0">
        <w:t xml:space="preserve">trial </w:t>
      </w:r>
      <w:r w:rsidRPr="00003FF0">
        <w:t>is outlined i</w:t>
      </w:r>
      <w:r w:rsidR="00003FF0">
        <w:t xml:space="preserve">n </w:t>
      </w:r>
      <w:r w:rsidR="00003FF0">
        <w:fldChar w:fldCharType="begin"/>
      </w:r>
      <w:r w:rsidR="00003FF0">
        <w:instrText xml:space="preserve"> REF _Ref141268806 \h </w:instrText>
      </w:r>
      <w:r w:rsidR="00003FF0">
        <w:fldChar w:fldCharType="separate"/>
      </w:r>
      <w:r w:rsidR="00C63E2D" w:rsidRPr="00003FF0">
        <w:t xml:space="preserve">Figure </w:t>
      </w:r>
      <w:r w:rsidR="00C63E2D">
        <w:rPr>
          <w:noProof/>
        </w:rPr>
        <w:t>4</w:t>
      </w:r>
      <w:r w:rsidR="00003FF0">
        <w:fldChar w:fldCharType="end"/>
      </w:r>
    </w:p>
    <w:p w14:paraId="1D457626" w14:textId="39DCFD19" w:rsidR="00CD5459" w:rsidRPr="00003FF0" w:rsidRDefault="00CD5459" w:rsidP="00003FF0">
      <w:r w:rsidRPr="00003FF0">
        <w:t>The primary, secondary and additional endpoints are listed in</w:t>
      </w:r>
      <w:r w:rsidR="00003FF0">
        <w:t xml:space="preserve"> </w:t>
      </w:r>
      <w:r w:rsidR="00003FF0">
        <w:fldChar w:fldCharType="begin"/>
      </w:r>
      <w:r w:rsidR="00003FF0">
        <w:instrText xml:space="preserve"> REF _Ref141268817 \h </w:instrText>
      </w:r>
      <w:r w:rsidR="00003FF0">
        <w:fldChar w:fldCharType="separate"/>
      </w:r>
      <w:r w:rsidR="00C63E2D" w:rsidRPr="00751475">
        <w:t xml:space="preserve">Table </w:t>
      </w:r>
      <w:r w:rsidR="00C63E2D">
        <w:rPr>
          <w:noProof/>
        </w:rPr>
        <w:t>4</w:t>
      </w:r>
      <w:r w:rsidR="00003FF0">
        <w:fldChar w:fldCharType="end"/>
      </w:r>
      <w:r w:rsidR="00003FF0">
        <w:t>.</w:t>
      </w:r>
    </w:p>
    <w:p w14:paraId="336825A6" w14:textId="1BF368CD" w:rsidR="00261781" w:rsidRDefault="00003FF0" w:rsidP="00003FF0">
      <w:pPr>
        <w:pStyle w:val="FigureTitle"/>
      </w:pPr>
      <w:bookmarkStart w:id="51" w:name="_Ref141268806"/>
      <w:r w:rsidRPr="00003FF0">
        <w:t xml:space="preserve">Figure </w:t>
      </w:r>
      <w:r>
        <w:fldChar w:fldCharType="begin"/>
      </w:r>
      <w:r>
        <w:instrText>SEQ Figure \* ARABIC</w:instrText>
      </w:r>
      <w:r>
        <w:fldChar w:fldCharType="separate"/>
      </w:r>
      <w:r w:rsidR="00C63E2D">
        <w:rPr>
          <w:noProof/>
        </w:rPr>
        <w:t>4</w:t>
      </w:r>
      <w:r>
        <w:fldChar w:fldCharType="end"/>
      </w:r>
      <w:bookmarkEnd w:id="51"/>
      <w:r w:rsidRPr="00003FF0">
        <w:t>:</w:t>
      </w:r>
      <w:r>
        <w:t xml:space="preserve"> </w:t>
      </w:r>
      <w:r w:rsidRPr="00003FF0">
        <w:t xml:space="preserve">POETYK-1 </w:t>
      </w:r>
      <w:r>
        <w:t xml:space="preserve">trial </w:t>
      </w:r>
      <w:proofErr w:type="gramStart"/>
      <w:r w:rsidRPr="00003FF0">
        <w:t>schematic</w:t>
      </w:r>
      <w:proofErr w:type="gramEnd"/>
    </w:p>
    <w:p w14:paraId="74F26E21" w14:textId="1377EE7D" w:rsidR="00003FF0" w:rsidRPr="00003FF0" w:rsidRDefault="00003FF0" w:rsidP="00003FF0">
      <w:r w:rsidRPr="005F7320">
        <w:rPr>
          <w:noProof/>
          <w:lang w:val="en-US"/>
        </w:rPr>
        <w:drawing>
          <wp:inline distT="0" distB="0" distL="0" distR="0" wp14:anchorId="7B04E6AE" wp14:editId="7636A0AE">
            <wp:extent cx="4437089" cy="2173318"/>
            <wp:effectExtent l="0" t="0" r="1905" b="0"/>
            <wp:docPr id="6" name="Picture 6" descr="POETYK-1 trial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ETYK-1 trial schemat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7089" cy="2173318"/>
                    </a:xfrm>
                    <a:prstGeom prst="rect">
                      <a:avLst/>
                    </a:prstGeom>
                    <a:noFill/>
                    <a:ln>
                      <a:noFill/>
                    </a:ln>
                  </pic:spPr>
                </pic:pic>
              </a:graphicData>
            </a:graphic>
          </wp:inline>
        </w:drawing>
      </w:r>
    </w:p>
    <w:p w14:paraId="5A4F11D5" w14:textId="4091EAD4" w:rsidR="00003FF0" w:rsidRDefault="00003FF0" w:rsidP="00751475">
      <w:pPr>
        <w:pStyle w:val="TableTitle"/>
      </w:pPr>
      <w:bookmarkStart w:id="52" w:name="_Ref141268817"/>
      <w:r w:rsidRPr="00751475">
        <w:lastRenderedPageBreak/>
        <w:t xml:space="preserve">Table </w:t>
      </w:r>
      <w:r>
        <w:fldChar w:fldCharType="begin"/>
      </w:r>
      <w:r>
        <w:instrText>SEQ Table \* ARABIC</w:instrText>
      </w:r>
      <w:r>
        <w:fldChar w:fldCharType="separate"/>
      </w:r>
      <w:r w:rsidR="00616D6B">
        <w:rPr>
          <w:noProof/>
        </w:rPr>
        <w:t>4</w:t>
      </w:r>
      <w:r>
        <w:fldChar w:fldCharType="end"/>
      </w:r>
      <w:bookmarkEnd w:id="52"/>
      <w:r>
        <w:t xml:space="preserve">: </w:t>
      </w:r>
      <w:r w:rsidRPr="00003FF0">
        <w:t>POETYK-1</w:t>
      </w:r>
      <w:r>
        <w:t xml:space="preserve"> trial </w:t>
      </w:r>
      <w:r w:rsidRPr="00003FF0">
        <w:t xml:space="preserve">objectives and </w:t>
      </w:r>
      <w:proofErr w:type="gramStart"/>
      <w:r w:rsidRPr="00003FF0">
        <w:t>endpoints</w:t>
      </w:r>
      <w:proofErr w:type="gramEnd"/>
    </w:p>
    <w:p w14:paraId="4C6137E5" w14:textId="3ADB5E44" w:rsidR="00751475" w:rsidRDefault="00751475" w:rsidP="00751475">
      <w:pPr>
        <w:pStyle w:val="TableTitle"/>
      </w:pPr>
      <w:r w:rsidRPr="00751475">
        <w:rPr>
          <w:noProof/>
        </w:rPr>
        <w:drawing>
          <wp:inline distT="0" distB="0" distL="0" distR="0" wp14:anchorId="17DB4452" wp14:editId="40318AB6">
            <wp:extent cx="5279921" cy="6917635"/>
            <wp:effectExtent l="0" t="0" r="0" b="0"/>
            <wp:docPr id="3" name="Picture 3" descr="POETYK-1 trial objective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ETYK-1 trial objectives and endpoints"/>
                    <pic:cNvPicPr/>
                  </pic:nvPicPr>
                  <pic:blipFill>
                    <a:blip r:embed="rId28"/>
                    <a:stretch>
                      <a:fillRect/>
                    </a:stretch>
                  </pic:blipFill>
                  <pic:spPr>
                    <a:xfrm>
                      <a:off x="0" y="0"/>
                      <a:ext cx="5287132" cy="6927082"/>
                    </a:xfrm>
                    <a:prstGeom prst="rect">
                      <a:avLst/>
                    </a:prstGeom>
                  </pic:spPr>
                </pic:pic>
              </a:graphicData>
            </a:graphic>
          </wp:inline>
        </w:drawing>
      </w:r>
    </w:p>
    <w:p w14:paraId="17F0F7C8" w14:textId="77777777" w:rsidR="00751475" w:rsidRDefault="00751475">
      <w:pPr>
        <w:rPr>
          <w:rFonts w:eastAsia="Cambria" w:cs="Times New Roman"/>
          <w:b/>
          <w:szCs w:val="22"/>
        </w:rPr>
      </w:pPr>
      <w:r>
        <w:br w:type="page"/>
      </w:r>
    </w:p>
    <w:p w14:paraId="0CBC3B09" w14:textId="001DF29C" w:rsidR="00751475" w:rsidRPr="00751475" w:rsidRDefault="00751475" w:rsidP="00751475">
      <w:pPr>
        <w:pStyle w:val="TableTitle"/>
      </w:pPr>
      <w:r w:rsidRPr="00751475">
        <w:lastRenderedPageBreak/>
        <w:t>Table 4: POETYK-1 trial objectives and endpoints</w:t>
      </w:r>
      <w:r>
        <w:t xml:space="preserve">, </w:t>
      </w:r>
      <w:proofErr w:type="gramStart"/>
      <w:r>
        <w:t>continued’</w:t>
      </w:r>
      <w:proofErr w:type="gramEnd"/>
    </w:p>
    <w:p w14:paraId="4ACB9F28" w14:textId="125E7479" w:rsidR="00003FF0" w:rsidRDefault="00751475" w:rsidP="00003FF0">
      <w:pPr>
        <w:rPr>
          <w:noProof/>
        </w:rPr>
      </w:pPr>
      <w:r w:rsidRPr="00751475">
        <w:rPr>
          <w:noProof/>
        </w:rPr>
        <w:t xml:space="preserve"> </w:t>
      </w:r>
      <w:r w:rsidRPr="00751475">
        <w:rPr>
          <w:noProof/>
        </w:rPr>
        <w:drawing>
          <wp:inline distT="0" distB="0" distL="0" distR="0" wp14:anchorId="6F657CFE" wp14:editId="2075F39D">
            <wp:extent cx="5335325" cy="6962869"/>
            <wp:effectExtent l="0" t="0" r="0" b="9525"/>
            <wp:docPr id="4" name="Picture 4" descr="Table 4: POETYK-1 trial objectives and endpoint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4: POETYK-1 trial objectives and endpoints, continued"/>
                    <pic:cNvPicPr/>
                  </pic:nvPicPr>
                  <pic:blipFill>
                    <a:blip r:embed="rId29"/>
                    <a:stretch>
                      <a:fillRect/>
                    </a:stretch>
                  </pic:blipFill>
                  <pic:spPr>
                    <a:xfrm>
                      <a:off x="0" y="0"/>
                      <a:ext cx="5351992" cy="6984620"/>
                    </a:xfrm>
                    <a:prstGeom prst="rect">
                      <a:avLst/>
                    </a:prstGeom>
                  </pic:spPr>
                </pic:pic>
              </a:graphicData>
            </a:graphic>
          </wp:inline>
        </w:drawing>
      </w:r>
    </w:p>
    <w:p w14:paraId="4CA70C5F" w14:textId="73EA1044" w:rsidR="00751475" w:rsidRDefault="00751475">
      <w:r>
        <w:br w:type="page"/>
      </w:r>
    </w:p>
    <w:p w14:paraId="25246C84" w14:textId="77777777" w:rsidR="00751475" w:rsidRPr="00751475" w:rsidRDefault="00751475" w:rsidP="00751475">
      <w:pPr>
        <w:pStyle w:val="TableTitle"/>
      </w:pPr>
      <w:r w:rsidRPr="00751475">
        <w:lastRenderedPageBreak/>
        <w:t>Table 4: POETYK-1 trial objectives and endpoints</w:t>
      </w:r>
      <w:r>
        <w:t xml:space="preserve">, </w:t>
      </w:r>
      <w:proofErr w:type="gramStart"/>
      <w:r>
        <w:t>continued’</w:t>
      </w:r>
      <w:proofErr w:type="gramEnd"/>
    </w:p>
    <w:p w14:paraId="757F065F" w14:textId="738A534F" w:rsidR="00751475" w:rsidRDefault="00751475" w:rsidP="00FE3C36">
      <w:pPr>
        <w:pStyle w:val="TableDescription"/>
        <w:rPr>
          <w:noProof/>
        </w:rPr>
      </w:pPr>
      <w:r w:rsidRPr="00751475">
        <w:rPr>
          <w:noProof/>
        </w:rPr>
        <w:drawing>
          <wp:inline distT="0" distB="0" distL="0" distR="0" wp14:anchorId="77BC7076" wp14:editId="307F5AB0">
            <wp:extent cx="5343996" cy="6941488"/>
            <wp:effectExtent l="0" t="0" r="9525" b="0"/>
            <wp:docPr id="7" name="Picture 7" descr="Table 4: POETYK-1 trial objectives and endpoint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4: POETYK-1 trial objectives and endpoints, continued"/>
                    <pic:cNvPicPr/>
                  </pic:nvPicPr>
                  <pic:blipFill>
                    <a:blip r:embed="rId30"/>
                    <a:stretch>
                      <a:fillRect/>
                    </a:stretch>
                  </pic:blipFill>
                  <pic:spPr>
                    <a:xfrm>
                      <a:off x="0" y="0"/>
                      <a:ext cx="5360583" cy="6963034"/>
                    </a:xfrm>
                    <a:prstGeom prst="rect">
                      <a:avLst/>
                    </a:prstGeom>
                  </pic:spPr>
                </pic:pic>
              </a:graphicData>
            </a:graphic>
          </wp:inline>
        </w:drawing>
      </w:r>
      <w:r w:rsidR="00AF2F63" w:rsidRPr="00AF2F63">
        <w:rPr>
          <w:noProof/>
        </w:rPr>
        <w:t xml:space="preserve"> </w:t>
      </w:r>
    </w:p>
    <w:p w14:paraId="30955206" w14:textId="25F09802" w:rsidR="00FE3C36" w:rsidRDefault="00FE3C36" w:rsidP="00FE3C36">
      <w:pPr>
        <w:pStyle w:val="TableDescription"/>
        <w:rPr>
          <w:noProof/>
        </w:rPr>
      </w:pPr>
      <w:r>
        <w:rPr>
          <w:noProof/>
        </w:rPr>
        <w:t>a PCS and MCS of the SF-36 were reported per the Statistical Analysis Plan. Total score endpoint was reported.</w:t>
      </w:r>
    </w:p>
    <w:p w14:paraId="1A0456ED" w14:textId="3647DA8C" w:rsidR="00FE3C36" w:rsidRDefault="00FE3C36" w:rsidP="00FE3C36">
      <w:pPr>
        <w:pStyle w:val="TableDescription"/>
        <w:rPr>
          <w:noProof/>
        </w:rPr>
      </w:pPr>
      <w:r>
        <w:rPr>
          <w:noProof/>
        </w:rPr>
        <w:t>b CSR is reporting Change from Baseline in the EQ-5D-3L VAS score, per the Statistical Analysis Pan.</w:t>
      </w:r>
    </w:p>
    <w:p w14:paraId="7D9808A5" w14:textId="2AE4772B" w:rsidR="00FE3C36" w:rsidRDefault="00FE3C36" w:rsidP="00FE3C36">
      <w:pPr>
        <w:pStyle w:val="TableDescription"/>
        <w:rPr>
          <w:noProof/>
        </w:rPr>
      </w:pPr>
      <w:r>
        <w:rPr>
          <w:noProof/>
        </w:rPr>
        <w:t>c CSR s reporting Changefrom Baselinein the WLQ At-Work Productiveity Loss Score per the Statistical Analysis Plan.</w:t>
      </w:r>
    </w:p>
    <w:p w14:paraId="19BC6FC2" w14:textId="4C22F127" w:rsidR="00FE3C36" w:rsidRPr="00003FF0" w:rsidRDefault="00FE3C36" w:rsidP="00FE3C36">
      <w:pPr>
        <w:pStyle w:val="TableDescription"/>
      </w:pPr>
      <w:r>
        <w:rPr>
          <w:noProof/>
        </w:rPr>
        <w:t>Abbreviations: BSA – body surface area; DLQI = Dermatology Life Quality Index; EQ-5D-3L = Euro QoL Five Dimensions Questionnaire; HADS = Hospital Anxiety and Depression Scale; MCS = mental component score;; mNAPSI = modified nail psoriasis severity index; PCS = physical component score; PGA-F = Physician’s Gobal Assessment Fingemail; PGI-C = Patient’s Gobal Impression of Change; PGI-S = Patient’s Gobal Impression of Sevreity; pp-PASI = palmoplantar Psoriasis Area and Severity Index; pp-PGA = palmpplantar Physician’s Global Assessment; PRO = patient-repoerted outcome; PSSD = Psoriasis Symptoms and Signs Diary; PSSI = Poriasis Scal</w:t>
      </w:r>
      <w:r w:rsidR="00284738">
        <w:rPr>
          <w:noProof/>
        </w:rPr>
        <w:t xml:space="preserve">p </w:t>
      </w:r>
      <w:r>
        <w:rPr>
          <w:noProof/>
        </w:rPr>
        <w:t>Se</w:t>
      </w:r>
      <w:r w:rsidR="00284738">
        <w:rPr>
          <w:noProof/>
        </w:rPr>
        <w:t>verity Index; SF-36 = 36 items Short Form Health Survey; sPGA = Static Physician’s Global Assessment; ss-PGA = scalp severity Physician’s Gobal Assessment; VAS = visual analog scale; WLQ = Work limitataions questionnaire.</w:t>
      </w:r>
    </w:p>
    <w:p w14:paraId="4445E571" w14:textId="774BF663" w:rsidR="00284738" w:rsidRPr="00284738" w:rsidRDefault="00284738" w:rsidP="00284738">
      <w:r w:rsidRPr="00284738">
        <w:lastRenderedPageBreak/>
        <w:t>The major inclusion criteria were adult males and females who had plaque psoriasis, PASI score ≥</w:t>
      </w:r>
      <w:r w:rsidR="00532C78">
        <w:t> </w:t>
      </w:r>
      <w:r w:rsidRPr="00284738">
        <w:t xml:space="preserve">12, </w:t>
      </w:r>
      <w:proofErr w:type="spellStart"/>
      <w:r w:rsidRPr="00284738">
        <w:t>sPGA</w:t>
      </w:r>
      <w:proofErr w:type="spellEnd"/>
      <w:r w:rsidRPr="00284738">
        <w:t xml:space="preserve"> ≥</w:t>
      </w:r>
      <w:r w:rsidR="00532C78">
        <w:t> </w:t>
      </w:r>
      <w:r w:rsidRPr="00284738">
        <w:t>3, and BSA involvement ≥</w:t>
      </w:r>
      <w:r w:rsidR="00532C78">
        <w:t> </w:t>
      </w:r>
      <w:r w:rsidRPr="00284738">
        <w:t>10% at both Screening Visit and Day</w:t>
      </w:r>
      <w:r w:rsidR="00532C78">
        <w:t> </w:t>
      </w:r>
      <w:r w:rsidRPr="00284738">
        <w:t xml:space="preserve">1, who the investigator deemed candidates for phototherapy or systemic therapy. Plaque psoriasis should have been stable (defined as no morphology changes or significant flares of plaque psoriasis in the opinion of the investigator) for six months or more. The complete list of all inclusion criteria is provided in the clinical evaluation report. The exclusion criteria were typical for this population, excluding from participation those with non-plaque psoriasis; at risk of or currently infected (acute or chronic) with serious or severe infections including herpes zoster, hepatitis B, hepatitis C, </w:t>
      </w:r>
      <w:r w:rsidR="00A15F1E" w:rsidRPr="00A15F1E">
        <w:t>human immunodeficiency virus</w:t>
      </w:r>
      <w:r w:rsidRPr="00284738">
        <w:t xml:space="preserve"> or </w:t>
      </w:r>
      <w:r w:rsidR="00A15F1E" w:rsidRPr="00A15F1E">
        <w:t>tuberculosis</w:t>
      </w:r>
      <w:r w:rsidRPr="00284738">
        <w:t>; with a history of or current immune</w:t>
      </w:r>
      <w:r w:rsidR="00751116">
        <w:t xml:space="preserve"> </w:t>
      </w:r>
      <w:r w:rsidRPr="00284738">
        <w:t>related conditions; serious or severe conditions affecting any major organ system, recent history of malignancy other than resected non-melanoma skin cancer or carcinoma of the cervix. The complete list of exclusion criteria is provided in the clinical evaluation report.</w:t>
      </w:r>
    </w:p>
    <w:p w14:paraId="48800488" w14:textId="7DFDE1ED" w:rsidR="00284738" w:rsidRPr="00284738" w:rsidRDefault="00284738" w:rsidP="00284738">
      <w:r w:rsidRPr="00284738">
        <w:t xml:space="preserve">Tests of significance of </w:t>
      </w:r>
      <w:proofErr w:type="spellStart"/>
      <w:r w:rsidR="00751116">
        <w:t>deucravacitinib</w:t>
      </w:r>
      <w:proofErr w:type="spellEnd"/>
      <w:r w:rsidRPr="00284738">
        <w:t xml:space="preserve"> 6 mg </w:t>
      </w:r>
      <w:r w:rsidR="00F12435">
        <w:t>daily</w:t>
      </w:r>
      <w:r w:rsidRPr="00284738">
        <w:t xml:space="preserve"> v</w:t>
      </w:r>
      <w:r w:rsidR="00751116">
        <w:t>ersus</w:t>
      </w:r>
      <w:r w:rsidRPr="00284738">
        <w:t xml:space="preserve"> placebo at Week 16 for the co</w:t>
      </w:r>
      <w:r w:rsidR="00751116">
        <w:noBreakHyphen/>
      </w:r>
      <w:r w:rsidRPr="00284738">
        <w:t xml:space="preserve">primary endpoints were </w:t>
      </w:r>
      <w:r w:rsidR="00751116">
        <w:t xml:space="preserve">two </w:t>
      </w:r>
      <w:r w:rsidRPr="00284738">
        <w:t xml:space="preserve">sided with a significance level of 0.05. </w:t>
      </w:r>
      <w:proofErr w:type="gramStart"/>
      <w:r w:rsidRPr="00284738">
        <w:t>Two</w:t>
      </w:r>
      <w:r w:rsidR="00751116">
        <w:t xml:space="preserve"> </w:t>
      </w:r>
      <w:r w:rsidRPr="00284738">
        <w:t>sided</w:t>
      </w:r>
      <w:proofErr w:type="gramEnd"/>
      <w:r w:rsidRPr="00284738">
        <w:t xml:space="preserve"> 95% CI were provided for all efficacy estimates. Both co-primary endpoints needed to demonstrate statistical significance to result in a successful study. Once both co-primary endpoints were found to be statistically significant, a hierarchical testing approach was used for testing the key secondary endpoints. Analysis of covariance models were used to compare the differences between </w:t>
      </w:r>
      <w:proofErr w:type="spellStart"/>
      <w:r w:rsidR="00751116">
        <w:t>deucravacitinib</w:t>
      </w:r>
      <w:proofErr w:type="spellEnd"/>
      <w:r w:rsidRPr="00284738">
        <w:t xml:space="preserve"> 6</w:t>
      </w:r>
      <w:r w:rsidR="00A15F1E">
        <w:t> </w:t>
      </w:r>
      <w:r w:rsidRPr="00284738">
        <w:t xml:space="preserve">mg </w:t>
      </w:r>
      <w:r w:rsidR="00F12435">
        <w:t>daily</w:t>
      </w:r>
      <w:r w:rsidRPr="00284738">
        <w:t xml:space="preserve"> and placebo or between </w:t>
      </w:r>
      <w:proofErr w:type="spellStart"/>
      <w:r w:rsidR="00751116">
        <w:t>deucravacitinib</w:t>
      </w:r>
      <w:proofErr w:type="spellEnd"/>
      <w:r w:rsidRPr="00284738">
        <w:t xml:space="preserve"> 6</w:t>
      </w:r>
      <w:r w:rsidR="00751116">
        <w:t xml:space="preserve"> mg</w:t>
      </w:r>
      <w:r w:rsidRPr="00284738">
        <w:t xml:space="preserve"> </w:t>
      </w:r>
      <w:r w:rsidR="00751116">
        <w:t>four times a day</w:t>
      </w:r>
      <w:r w:rsidRPr="00284738">
        <w:t xml:space="preserve"> and apremilast at each timepoint of comparison. Non-responder imputation or modified baseline observation carried forward was applied to missing values as appropriate. Sensitivity analyses included multiple imputation and tipping point methods.</w:t>
      </w:r>
    </w:p>
    <w:p w14:paraId="723A9F22" w14:textId="00ED8F6E" w:rsidR="00284738" w:rsidRPr="00751116" w:rsidRDefault="00284738" w:rsidP="00751116">
      <w:r w:rsidRPr="00751116">
        <w:t xml:space="preserve">Overall, 666 adults were randomized in a 2:1:1 ratio to one of the three treatment groups (332, 166 and 168 participants to </w:t>
      </w:r>
      <w:proofErr w:type="spellStart"/>
      <w:r w:rsidR="00751116" w:rsidRPr="00751116">
        <w:t>deucravacitinib</w:t>
      </w:r>
      <w:proofErr w:type="spellEnd"/>
      <w:r w:rsidRPr="00751116">
        <w:t xml:space="preserve"> 6 mg </w:t>
      </w:r>
      <w:r w:rsidR="00F12435">
        <w:t>daily</w:t>
      </w:r>
      <w:r w:rsidRPr="00751116">
        <w:t>, placebo and apremilast, respectively), and 665 participants were treated across all groups (one participant in the placebo group was not treated).</w:t>
      </w:r>
    </w:p>
    <w:p w14:paraId="4DF7D15D" w14:textId="394E77EF" w:rsidR="00284738" w:rsidRPr="00284738" w:rsidRDefault="00284738" w:rsidP="00284738">
      <w:r w:rsidRPr="00284738">
        <w:t xml:space="preserve">Most participants completed the </w:t>
      </w:r>
      <w:proofErr w:type="gramStart"/>
      <w:r w:rsidRPr="00284738">
        <w:t>placebo</w:t>
      </w:r>
      <w:r w:rsidR="001B774C">
        <w:t xml:space="preserve"> </w:t>
      </w:r>
      <w:r w:rsidRPr="00284738">
        <w:t>controlled</w:t>
      </w:r>
      <w:proofErr w:type="gramEnd"/>
      <w:r w:rsidRPr="00284738">
        <w:t xml:space="preserve"> period. Completion rates in the </w:t>
      </w:r>
      <w:proofErr w:type="spellStart"/>
      <w:r w:rsidR="001B774C" w:rsidRPr="00751116">
        <w:t>deucravacitinib</w:t>
      </w:r>
      <w:proofErr w:type="spellEnd"/>
      <w:r w:rsidRPr="00284738">
        <w:t xml:space="preserve"> group were somewhat higher than in the placebo and apremilast treatment groups (92.5%, 87.9% and 86.3% respectively). Adverse events (AEs) were the most common reason for discontinuations (1.5%, 4.2%, and 6.0%, respectively).</w:t>
      </w:r>
    </w:p>
    <w:p w14:paraId="3727B9EC" w14:textId="192123E6" w:rsidR="00284738" w:rsidRPr="00284738" w:rsidRDefault="00284738" w:rsidP="00284738">
      <w:r w:rsidRPr="00284738">
        <w:t xml:space="preserve">Overall, 535 (80.3%) participants completed the study (Week 0 </w:t>
      </w:r>
      <w:r w:rsidR="001B774C">
        <w:t>to</w:t>
      </w:r>
      <w:r w:rsidRPr="00284738">
        <w:t xml:space="preserve"> 52), of which 517 (77.6%) participants rolled over to the </w:t>
      </w:r>
      <w:proofErr w:type="gramStart"/>
      <w:r w:rsidRPr="00284738">
        <w:t>long</w:t>
      </w:r>
      <w:r w:rsidR="001B774C">
        <w:t xml:space="preserve"> </w:t>
      </w:r>
      <w:r w:rsidRPr="00284738">
        <w:t>term</w:t>
      </w:r>
      <w:proofErr w:type="gramEnd"/>
      <w:r w:rsidRPr="00284738">
        <w:t xml:space="preserve"> extension study (</w:t>
      </w:r>
      <w:r w:rsidR="00637A42">
        <w:t xml:space="preserve">Study </w:t>
      </w:r>
      <w:r w:rsidRPr="00284738">
        <w:t>IM011075). The most common reasons for discontinuation from the study overall were: 62 (9.3%) participants due to withdrawal by participant, 27 (4.1%) participants due to AEs, and 21 (3.2%) participants lost to follow up. The most common protocol deviations included noncompliance with treatment (defined as &lt; 75% study treatment compliance during the first 16 weeks of the study) with similar incidence across treatment groups.</w:t>
      </w:r>
    </w:p>
    <w:p w14:paraId="0A14641C" w14:textId="2BDD1623" w:rsidR="00284738" w:rsidRPr="00284738" w:rsidRDefault="00284738" w:rsidP="001B774C">
      <w:pPr>
        <w:pStyle w:val="Heading6"/>
        <w:rPr>
          <w:rFonts w:eastAsia="TimesNewRoman"/>
        </w:rPr>
      </w:pPr>
      <w:r w:rsidRPr="00284738">
        <w:rPr>
          <w:rFonts w:eastAsia="TimesNewRoman"/>
        </w:rPr>
        <w:t>Results</w:t>
      </w:r>
    </w:p>
    <w:p w14:paraId="4B5143B0" w14:textId="174E347B" w:rsidR="00284738" w:rsidRPr="00284738" w:rsidRDefault="00284738" w:rsidP="00284738">
      <w:r w:rsidRPr="00284738">
        <w:t xml:space="preserve">Baseline demographic, disease features and treatment history were comparable in the three treatment groups. Most participants (78.7%) had an </w:t>
      </w:r>
      <w:proofErr w:type="spellStart"/>
      <w:r w:rsidRPr="00284738">
        <w:t>sPGA</w:t>
      </w:r>
      <w:proofErr w:type="spellEnd"/>
      <w:r w:rsidRPr="00284738">
        <w:t xml:space="preserve"> score of 3 (moderate disease), and the remaining 21.2% of participants had an </w:t>
      </w:r>
      <w:proofErr w:type="spellStart"/>
      <w:r w:rsidRPr="00284738">
        <w:t>sPGA</w:t>
      </w:r>
      <w:proofErr w:type="spellEnd"/>
      <w:r w:rsidRPr="00284738">
        <w:t xml:space="preserve"> score of 4 (severe disease). The mean PASI score was 21.4 and 43.4% of participants had PASI </w:t>
      </w:r>
      <w:r w:rsidR="00A15F1E">
        <w:t>greater than</w:t>
      </w:r>
      <w:r w:rsidRPr="00284738">
        <w:t xml:space="preserve"> 20. Mean BSA involvement was 26.3% across treatment groups and 48.5% of participants had BSA involvement </w:t>
      </w:r>
      <w:r w:rsidR="00A15F1E">
        <w:t>greater than</w:t>
      </w:r>
      <w:r w:rsidRPr="00284738">
        <w:t xml:space="preserve"> 20%. Most participants (88.9%) had scalp psoriasis present at </w:t>
      </w:r>
      <w:r w:rsidR="001B774C">
        <w:t>B</w:t>
      </w:r>
      <w:r w:rsidRPr="00284738">
        <w:t>aseline; 38.3% participants had fingernail psoriasis, and 13.8% participants had palmoplantar psoriasis present at baseline. Overall, 62.8% (418</w:t>
      </w:r>
      <w:r w:rsidR="001B774C">
        <w:t xml:space="preserve"> out of</w:t>
      </w:r>
      <w:r w:rsidRPr="00284738">
        <w:t xml:space="preserve"> 666) had received any prior systemic treatment (including biologic and/or non-biologic systemic treatment); 38.9% (259</w:t>
      </w:r>
      <w:r w:rsidR="001B774C">
        <w:t xml:space="preserve"> out of </w:t>
      </w:r>
      <w:r w:rsidRPr="00284738">
        <w:t>666) had received a prior biologic systemic treatment and 23.9% (159</w:t>
      </w:r>
      <w:r w:rsidR="001B774C">
        <w:t xml:space="preserve"> out of </w:t>
      </w:r>
      <w:r w:rsidRPr="00284738">
        <w:t xml:space="preserve">666) had received a prior non-biologic systemic </w:t>
      </w:r>
      <w:r w:rsidRPr="00284738">
        <w:lastRenderedPageBreak/>
        <w:t xml:space="preserve">treatment and had never received a prior biologic treatment. In addition, 37.2% (248 </w:t>
      </w:r>
      <w:r w:rsidR="001B774C">
        <w:t xml:space="preserve">out </w:t>
      </w:r>
      <w:r w:rsidRPr="00284738">
        <w:t>of 666) reported no prior systemic treatment and 35.9% (239</w:t>
      </w:r>
      <w:r w:rsidR="001B774C">
        <w:t xml:space="preserve"> out</w:t>
      </w:r>
      <w:r w:rsidRPr="00284738">
        <w:t xml:space="preserve"> of 666) of participants received prior phototherapy.</w:t>
      </w:r>
    </w:p>
    <w:p w14:paraId="079E95A7" w14:textId="522A42E1" w:rsidR="00284738" w:rsidRDefault="00284738" w:rsidP="001B774C">
      <w:proofErr w:type="spellStart"/>
      <w:r w:rsidRPr="00284738">
        <w:t>Deucravacitinib</w:t>
      </w:r>
      <w:proofErr w:type="spellEnd"/>
      <w:r w:rsidRPr="00284738">
        <w:t xml:space="preserve"> was statistically significantly superior to placebo in achieving the co-primary efficacy outcomes. In the </w:t>
      </w:r>
      <w:proofErr w:type="spellStart"/>
      <w:r w:rsidRPr="00284738">
        <w:t>deucravacitinib</w:t>
      </w:r>
      <w:proofErr w:type="spellEnd"/>
      <w:r w:rsidRPr="00284738">
        <w:t xml:space="preserve"> treatment group, 53.6% of participants achieved </w:t>
      </w:r>
      <w:proofErr w:type="spellStart"/>
      <w:r w:rsidRPr="00284738">
        <w:t>sPGA</w:t>
      </w:r>
      <w:proofErr w:type="spellEnd"/>
      <w:r w:rsidRPr="00284738">
        <w:t xml:space="preserve"> response of 0 or 1 at </w:t>
      </w:r>
      <w:r w:rsidR="001B774C">
        <w:t>W</w:t>
      </w:r>
      <w:r w:rsidRPr="00284738">
        <w:t>eek 16, compared to 7.2% in the placebo treatment group (</w:t>
      </w:r>
      <w:r w:rsidR="00A15F1E">
        <w:t>odds ratio (</w:t>
      </w:r>
      <w:r w:rsidRPr="00284738">
        <w:t>OR</w:t>
      </w:r>
      <w:r w:rsidR="00A15F1E">
        <w:t>)</w:t>
      </w:r>
      <w:r w:rsidR="001B774C">
        <w:t xml:space="preserve"> </w:t>
      </w:r>
      <w:r w:rsidRPr="00284738">
        <w:t>=</w:t>
      </w:r>
      <w:r w:rsidR="001B774C">
        <w:t xml:space="preserve"> </w:t>
      </w:r>
      <w:r w:rsidRPr="00284738">
        <w:t>18.71 (95% CI: 9.51, 36.81), p&lt;</w:t>
      </w:r>
      <w:r w:rsidR="001B774C">
        <w:t xml:space="preserve"> </w:t>
      </w:r>
      <w:r w:rsidRPr="00284738">
        <w:t xml:space="preserve">0.0001). In the </w:t>
      </w:r>
      <w:proofErr w:type="spellStart"/>
      <w:r w:rsidRPr="00284738">
        <w:t>deucravacitinib</w:t>
      </w:r>
      <w:proofErr w:type="spellEnd"/>
      <w:r w:rsidRPr="00284738">
        <w:t xml:space="preserve"> group, 58.4% of participants achieved a 75% improvement in PASI score at </w:t>
      </w:r>
      <w:r w:rsidR="001B774C">
        <w:t>W</w:t>
      </w:r>
      <w:r w:rsidRPr="00284738">
        <w:t>eek 16, compared to 12.7% in the placebo group (OR</w:t>
      </w:r>
      <w:r w:rsidR="001B774C">
        <w:t> </w:t>
      </w:r>
      <w:r w:rsidRPr="00284738">
        <w:t>=</w:t>
      </w:r>
      <w:r w:rsidR="001B774C">
        <w:t> </w:t>
      </w:r>
      <w:r w:rsidRPr="00284738">
        <w:t>11.09 (95% CI: 6.49, 18.95), p&lt;</w:t>
      </w:r>
      <w:r w:rsidR="001B774C">
        <w:t xml:space="preserve"> </w:t>
      </w:r>
      <w:r w:rsidRPr="00284738">
        <w:t>0.0001</w:t>
      </w:r>
      <w:r w:rsidR="001B774C">
        <w:t xml:space="preserve">, </w:t>
      </w:r>
      <w:r w:rsidR="001B774C">
        <w:fldChar w:fldCharType="begin"/>
      </w:r>
      <w:r w:rsidR="001B774C">
        <w:instrText xml:space="preserve"> REF _Ref141351055 \h </w:instrText>
      </w:r>
      <w:r w:rsidR="001B774C">
        <w:fldChar w:fldCharType="separate"/>
      </w:r>
      <w:r w:rsidR="00C63E2D" w:rsidRPr="001B774C">
        <w:t xml:space="preserve">Table </w:t>
      </w:r>
      <w:r w:rsidR="00C63E2D">
        <w:rPr>
          <w:noProof/>
        </w:rPr>
        <w:t>5</w:t>
      </w:r>
      <w:r w:rsidR="001B774C">
        <w:fldChar w:fldCharType="end"/>
      </w:r>
      <w:r w:rsidR="001B774C">
        <w:t>).</w:t>
      </w:r>
    </w:p>
    <w:p w14:paraId="66C05B86" w14:textId="43598B45" w:rsidR="001B774C" w:rsidRDefault="001B774C" w:rsidP="001B774C">
      <w:pPr>
        <w:pStyle w:val="TableTitle"/>
      </w:pPr>
      <w:bookmarkStart w:id="53" w:name="_Ref141351055"/>
      <w:r w:rsidRPr="001B774C">
        <w:t xml:space="preserve">Table </w:t>
      </w:r>
      <w:r>
        <w:fldChar w:fldCharType="begin"/>
      </w:r>
      <w:r>
        <w:instrText>SEQ Table \* ARABIC</w:instrText>
      </w:r>
      <w:r>
        <w:fldChar w:fldCharType="separate"/>
      </w:r>
      <w:r w:rsidR="00616D6B">
        <w:rPr>
          <w:noProof/>
        </w:rPr>
        <w:t>5</w:t>
      </w:r>
      <w:r>
        <w:fldChar w:fldCharType="end"/>
      </w:r>
      <w:bookmarkEnd w:id="53"/>
      <w:r>
        <w:t>: POETYK-1 trial Response rates for the co-primary efficacy outcomes</w:t>
      </w:r>
    </w:p>
    <w:p w14:paraId="57BFCF14" w14:textId="6659F41A" w:rsidR="001B774C" w:rsidRDefault="001B774C" w:rsidP="001B774C">
      <w:r w:rsidRPr="00057745">
        <w:rPr>
          <w:noProof/>
        </w:rPr>
        <w:drawing>
          <wp:inline distT="0" distB="0" distL="0" distR="0" wp14:anchorId="2A216A73" wp14:editId="0E14FCF8">
            <wp:extent cx="5534108" cy="1666007"/>
            <wp:effectExtent l="0" t="0" r="0" b="0"/>
            <wp:docPr id="5" name="Picture 5" descr="POETYK-1 trial Response rates for the co-prim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ETYK-1 trial Response rates for the co-primary efficacy outcomes"/>
                    <pic:cNvPicPr>
                      <a:picLocks noChangeAspect="1" noChangeArrowheads="1"/>
                    </pic:cNvPicPr>
                  </pic:nvPicPr>
                  <pic:blipFill rotWithShape="1">
                    <a:blip r:embed="rId31">
                      <a:extLst>
                        <a:ext uri="{28A0092B-C50C-407E-A947-70E740481C1C}">
                          <a14:useLocalDpi xmlns:a14="http://schemas.microsoft.com/office/drawing/2010/main" val="0"/>
                        </a:ext>
                      </a:extLst>
                    </a:blip>
                    <a:srcRect b="10441"/>
                    <a:stretch/>
                  </pic:blipFill>
                  <pic:spPr bwMode="auto">
                    <a:xfrm>
                      <a:off x="0" y="0"/>
                      <a:ext cx="5542979" cy="1668678"/>
                    </a:xfrm>
                    <a:prstGeom prst="rect">
                      <a:avLst/>
                    </a:prstGeom>
                    <a:noFill/>
                    <a:ln>
                      <a:noFill/>
                    </a:ln>
                    <a:extLst>
                      <a:ext uri="{53640926-AAD7-44D8-BBD7-CCE9431645EC}">
                        <a14:shadowObscured xmlns:a14="http://schemas.microsoft.com/office/drawing/2010/main"/>
                      </a:ext>
                    </a:extLst>
                  </pic:spPr>
                </pic:pic>
              </a:graphicData>
            </a:graphic>
          </wp:inline>
        </w:drawing>
      </w:r>
    </w:p>
    <w:p w14:paraId="23F680F5" w14:textId="020F7F41" w:rsidR="001B774C" w:rsidRDefault="001B774C" w:rsidP="001B774C">
      <w:proofErr w:type="spellStart"/>
      <w:r w:rsidRPr="001B774C">
        <w:t>Deucravacitinib</w:t>
      </w:r>
      <w:proofErr w:type="spellEnd"/>
      <w:r w:rsidRPr="001B774C">
        <w:t xml:space="preserve"> was also statistically significantly superior to placebo, and to apremilast, in achieving most of the ranked key secondary endpoints</w:t>
      </w:r>
      <w:r>
        <w:t xml:space="preserve"> (</w:t>
      </w:r>
      <w:r>
        <w:fldChar w:fldCharType="begin"/>
      </w:r>
      <w:r>
        <w:instrText xml:space="preserve"> REF _Ref141351134 \h </w:instrText>
      </w:r>
      <w:r>
        <w:fldChar w:fldCharType="separate"/>
      </w:r>
      <w:r w:rsidR="00C63E2D" w:rsidRPr="001B774C">
        <w:t xml:space="preserve">Table </w:t>
      </w:r>
      <w:r w:rsidR="00C63E2D">
        <w:rPr>
          <w:noProof/>
        </w:rPr>
        <w:t>6</w:t>
      </w:r>
      <w:r>
        <w:fldChar w:fldCharType="end"/>
      </w:r>
      <w:r>
        <w:t xml:space="preserve">, </w:t>
      </w:r>
      <w:r>
        <w:fldChar w:fldCharType="begin"/>
      </w:r>
      <w:r>
        <w:instrText xml:space="preserve"> REF _Ref141351140 \h </w:instrText>
      </w:r>
      <w:r>
        <w:fldChar w:fldCharType="separate"/>
      </w:r>
      <w:r w:rsidR="00C63E2D" w:rsidRPr="001B774C">
        <w:t xml:space="preserve">Table </w:t>
      </w:r>
      <w:r w:rsidR="00C63E2D">
        <w:rPr>
          <w:noProof/>
        </w:rPr>
        <w:t>7</w:t>
      </w:r>
      <w:r>
        <w:fldChar w:fldCharType="end"/>
      </w:r>
      <w:r>
        <w:t>)</w:t>
      </w:r>
      <w:r w:rsidRPr="001B774C">
        <w:t xml:space="preserve">. The first secondary endpoint that failed to achieve statistical significance against placebo was improvement in the fingernail psoriasis PGA score (PGA-F 0/1) at </w:t>
      </w:r>
      <w:r>
        <w:t>W</w:t>
      </w:r>
      <w:r w:rsidRPr="001B774C">
        <w:t>eek 16. The first secondary endpoint that failed to achieve statistical significance against apremilast was the patient-reported outcome for improvement in the PSSD at 16 weeks.</w:t>
      </w:r>
    </w:p>
    <w:p w14:paraId="084C9A67" w14:textId="6BDA5949" w:rsidR="001B774C" w:rsidRDefault="001B774C" w:rsidP="001B774C">
      <w:pPr>
        <w:pStyle w:val="TableTitle"/>
      </w:pPr>
      <w:bookmarkStart w:id="54" w:name="_Ref141351134"/>
      <w:r w:rsidRPr="001B774C">
        <w:t xml:space="preserve">Table </w:t>
      </w:r>
      <w:r>
        <w:fldChar w:fldCharType="begin"/>
      </w:r>
      <w:r>
        <w:instrText>SEQ Table \* ARABIC</w:instrText>
      </w:r>
      <w:r>
        <w:fldChar w:fldCharType="separate"/>
      </w:r>
      <w:r w:rsidR="00616D6B">
        <w:rPr>
          <w:noProof/>
        </w:rPr>
        <w:t>6</w:t>
      </w:r>
      <w:r>
        <w:fldChar w:fldCharType="end"/>
      </w:r>
      <w:bookmarkEnd w:id="54"/>
      <w:r w:rsidRPr="001B774C">
        <w:t>:</w:t>
      </w:r>
      <w:r>
        <w:t xml:space="preserve"> </w:t>
      </w:r>
      <w:r w:rsidRPr="001B774C">
        <w:t xml:space="preserve">POETYK-1 </w:t>
      </w:r>
      <w:r>
        <w:t xml:space="preserve">trial </w:t>
      </w:r>
      <w:r w:rsidRPr="001B774C">
        <w:t>Response rates v</w:t>
      </w:r>
      <w:r>
        <w:t>ersus</w:t>
      </w:r>
      <w:r w:rsidRPr="001B774C">
        <w:t xml:space="preserve"> placebo at </w:t>
      </w:r>
      <w:r>
        <w:t>W</w:t>
      </w:r>
      <w:r w:rsidRPr="001B774C">
        <w:t>eek 16</w:t>
      </w:r>
    </w:p>
    <w:p w14:paraId="7C43B03D" w14:textId="7DF67E63" w:rsidR="001B774C" w:rsidRDefault="001B774C" w:rsidP="001B774C">
      <w:r w:rsidRPr="00BF3091">
        <w:rPr>
          <w:rFonts w:ascii="Calibri" w:eastAsia="TimesNewRoman" w:hAnsi="Calibri" w:cs="Calibri"/>
          <w:b/>
          <w:noProof/>
          <w:color w:val="000000"/>
          <w:sz w:val="20"/>
          <w:lang w:val="en-US"/>
        </w:rPr>
        <w:drawing>
          <wp:inline distT="0" distB="0" distL="0" distR="0" wp14:anchorId="745BA588" wp14:editId="0DBB6930">
            <wp:extent cx="5381625" cy="1453515"/>
            <wp:effectExtent l="0" t="0" r="9525" b="0"/>
            <wp:docPr id="16" name="Picture 16" descr="POETYK-1 trial Response rates versus placebo at We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ETYK-1 trial Response rates versus placebo at Week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6810" cy="1463018"/>
                    </a:xfrm>
                    <a:prstGeom prst="rect">
                      <a:avLst/>
                    </a:prstGeom>
                    <a:noFill/>
                    <a:ln>
                      <a:noFill/>
                    </a:ln>
                  </pic:spPr>
                </pic:pic>
              </a:graphicData>
            </a:graphic>
          </wp:inline>
        </w:drawing>
      </w:r>
    </w:p>
    <w:p w14:paraId="5AE20936" w14:textId="336A2C19" w:rsidR="001B774C" w:rsidRDefault="001B774C" w:rsidP="001B774C">
      <w:pPr>
        <w:pStyle w:val="TableTitle"/>
      </w:pPr>
      <w:bookmarkStart w:id="55" w:name="_Ref141351140"/>
      <w:r w:rsidRPr="001B774C">
        <w:lastRenderedPageBreak/>
        <w:t xml:space="preserve">Table </w:t>
      </w:r>
      <w:r>
        <w:fldChar w:fldCharType="begin"/>
      </w:r>
      <w:r>
        <w:instrText>SEQ Table \* ARABIC</w:instrText>
      </w:r>
      <w:r>
        <w:fldChar w:fldCharType="separate"/>
      </w:r>
      <w:r w:rsidR="00616D6B">
        <w:rPr>
          <w:noProof/>
        </w:rPr>
        <w:t>7</w:t>
      </w:r>
      <w:r>
        <w:fldChar w:fldCharType="end"/>
      </w:r>
      <w:bookmarkEnd w:id="55"/>
      <w:r>
        <w:t>: POETYK-1 trial Response rates versus apremilast</w:t>
      </w:r>
    </w:p>
    <w:p w14:paraId="0FA52D6D" w14:textId="68E5BF1B" w:rsidR="001B774C" w:rsidRDefault="001B774C" w:rsidP="001B774C">
      <w:r w:rsidRPr="00BF3091">
        <w:rPr>
          <w:rFonts w:ascii="Calibri" w:eastAsia="TimesNewRoman" w:hAnsi="Calibri" w:cs="Calibri"/>
          <w:b/>
          <w:noProof/>
          <w:color w:val="000000"/>
          <w:sz w:val="20"/>
          <w:lang w:val="en-US"/>
        </w:rPr>
        <w:drawing>
          <wp:inline distT="0" distB="0" distL="0" distR="0" wp14:anchorId="03A45684" wp14:editId="2D5C1D67">
            <wp:extent cx="5430741" cy="2599848"/>
            <wp:effectExtent l="0" t="0" r="0" b="0"/>
            <wp:docPr id="17" name="Picture 17" descr="POETYK-1 trial Response rates versus apremi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OETYK-1 trial Response rates versus apremila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4589" cy="2601690"/>
                    </a:xfrm>
                    <a:prstGeom prst="rect">
                      <a:avLst/>
                    </a:prstGeom>
                    <a:noFill/>
                    <a:ln>
                      <a:noFill/>
                    </a:ln>
                  </pic:spPr>
                </pic:pic>
              </a:graphicData>
            </a:graphic>
          </wp:inline>
        </w:drawing>
      </w:r>
    </w:p>
    <w:p w14:paraId="50E16292" w14:textId="0070061B" w:rsidR="00650A17" w:rsidRDefault="00650A17" w:rsidP="001B774C">
      <w:r w:rsidRPr="00BF3091">
        <w:rPr>
          <w:rFonts w:ascii="Calibri" w:eastAsia="TimesNewRoman" w:hAnsi="Calibri" w:cs="Calibri"/>
          <w:b/>
          <w:noProof/>
          <w:color w:val="000000"/>
          <w:sz w:val="20"/>
          <w:lang w:val="en-US"/>
        </w:rPr>
        <w:drawing>
          <wp:inline distT="0" distB="0" distL="0" distR="0" wp14:anchorId="64A6EBC9" wp14:editId="7354B0F6">
            <wp:extent cx="5472370" cy="1155939"/>
            <wp:effectExtent l="0" t="0" r="0" b="6350"/>
            <wp:docPr id="8" name="Picture 8" descr="POETYK-1 trial Response rates versus apremi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ETYK-1 trial Response rates versus apremila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2412" cy="1170734"/>
                    </a:xfrm>
                    <a:prstGeom prst="rect">
                      <a:avLst/>
                    </a:prstGeom>
                    <a:noFill/>
                    <a:ln>
                      <a:noFill/>
                    </a:ln>
                  </pic:spPr>
                </pic:pic>
              </a:graphicData>
            </a:graphic>
          </wp:inline>
        </w:drawing>
      </w:r>
    </w:p>
    <w:p w14:paraId="76D78DBD" w14:textId="03722C54" w:rsidR="001B774C" w:rsidRDefault="001B774C" w:rsidP="001B774C">
      <w:r>
        <w:t xml:space="preserve">Sensitivity analyses supported the primary analyses. Response curves over time favouring </w:t>
      </w:r>
      <w:proofErr w:type="spellStart"/>
      <w:r>
        <w:t>deucravacitinib</w:t>
      </w:r>
      <w:proofErr w:type="spellEnd"/>
      <w:r>
        <w:t xml:space="preserve">, subgroup analyses and assessments of long-term efficacy of </w:t>
      </w:r>
      <w:proofErr w:type="spellStart"/>
      <w:r>
        <w:t>deucravacitinib</w:t>
      </w:r>
      <w:proofErr w:type="spellEnd"/>
      <w:r>
        <w:t xml:space="preserve"> were also supportive.</w:t>
      </w:r>
    </w:p>
    <w:p w14:paraId="46657A8E" w14:textId="4A08BB61" w:rsidR="001B774C" w:rsidRDefault="001B774C" w:rsidP="001B774C">
      <w:pPr>
        <w:pStyle w:val="Heading5"/>
      </w:pPr>
      <w:r>
        <w:t xml:space="preserve">POETYK-PSO-2 </w:t>
      </w:r>
      <w:proofErr w:type="gramStart"/>
      <w:r>
        <w:t>trial</w:t>
      </w:r>
      <w:proofErr w:type="gramEnd"/>
    </w:p>
    <w:p w14:paraId="58357A71" w14:textId="5480844A" w:rsidR="001B774C" w:rsidRDefault="001B774C" w:rsidP="001B774C">
      <w:r>
        <w:t xml:space="preserve">POETYK-2 trial was also a Phase III, multi centre, randomised, double blind, double dummy, placebo- and active-controlled study to compare the efficacy and safety of </w:t>
      </w:r>
      <w:proofErr w:type="spellStart"/>
      <w:r>
        <w:t>deucravacitinib</w:t>
      </w:r>
      <w:proofErr w:type="spellEnd"/>
      <w:r>
        <w:t xml:space="preserve"> 6 mg </w:t>
      </w:r>
      <w:r w:rsidR="00F12435">
        <w:t>daily</w:t>
      </w:r>
      <w:r>
        <w:t xml:space="preserve"> versus placebo and apremilast 30 mg twice daily in adults with moderate to severe plaque psoriasis, which beyond the first 16 weeks intended to assess the response to withdrawal and retreatment with </w:t>
      </w:r>
      <w:proofErr w:type="spellStart"/>
      <w:r>
        <w:t>deucravacitinib</w:t>
      </w:r>
      <w:proofErr w:type="spellEnd"/>
      <w:r>
        <w:t xml:space="preserve"> in the maintenance phase (</w:t>
      </w:r>
      <w:r w:rsidR="00F12435">
        <w:fldChar w:fldCharType="begin"/>
      </w:r>
      <w:r w:rsidR="00F12435">
        <w:instrText xml:space="preserve"> REF _Ref141351353 \h </w:instrText>
      </w:r>
      <w:r w:rsidR="00F12435">
        <w:fldChar w:fldCharType="separate"/>
      </w:r>
      <w:r w:rsidR="00C63E2D" w:rsidRPr="00F12435">
        <w:t xml:space="preserve">Figure </w:t>
      </w:r>
      <w:r w:rsidR="00C63E2D">
        <w:rPr>
          <w:noProof/>
        </w:rPr>
        <w:t>5</w:t>
      </w:r>
      <w:r w:rsidR="00F12435">
        <w:fldChar w:fldCharType="end"/>
      </w:r>
      <w:r>
        <w:t>).</w:t>
      </w:r>
    </w:p>
    <w:p w14:paraId="59660C28" w14:textId="6DA0FF54" w:rsidR="001B774C" w:rsidRDefault="001B774C" w:rsidP="00F12435">
      <w:pPr>
        <w:pStyle w:val="FigureTitle"/>
        <w:keepNext/>
      </w:pPr>
      <w:bookmarkStart w:id="56" w:name="_Ref141351353"/>
      <w:r w:rsidRPr="00F12435">
        <w:lastRenderedPageBreak/>
        <w:t xml:space="preserve">Figure </w:t>
      </w:r>
      <w:r>
        <w:fldChar w:fldCharType="begin"/>
      </w:r>
      <w:r>
        <w:instrText>SEQ Figure \* ARABIC</w:instrText>
      </w:r>
      <w:r>
        <w:fldChar w:fldCharType="separate"/>
      </w:r>
      <w:r w:rsidR="00C63E2D">
        <w:rPr>
          <w:noProof/>
        </w:rPr>
        <w:t>5</w:t>
      </w:r>
      <w:r>
        <w:fldChar w:fldCharType="end"/>
      </w:r>
      <w:bookmarkEnd w:id="56"/>
      <w:r w:rsidRPr="00F12435">
        <w:t>:</w:t>
      </w:r>
      <w:r>
        <w:t xml:space="preserve"> </w:t>
      </w:r>
      <w:r w:rsidR="00F12435" w:rsidRPr="00F12435">
        <w:t xml:space="preserve">POETYK-2 </w:t>
      </w:r>
      <w:r w:rsidR="00F12435">
        <w:t>trial</w:t>
      </w:r>
      <w:r w:rsidR="00F12435" w:rsidRPr="00F12435">
        <w:t xml:space="preserve"> </w:t>
      </w:r>
      <w:proofErr w:type="gramStart"/>
      <w:r w:rsidR="00F12435" w:rsidRPr="00F12435">
        <w:t>schematic</w:t>
      </w:r>
      <w:proofErr w:type="gramEnd"/>
    </w:p>
    <w:p w14:paraId="60D507DA" w14:textId="36ADA147" w:rsidR="001B774C" w:rsidRDefault="00F12435" w:rsidP="00F12435">
      <w:r w:rsidRPr="00AA428F">
        <w:rPr>
          <w:noProof/>
          <w:lang w:val="en-US"/>
        </w:rPr>
        <w:drawing>
          <wp:inline distT="0" distB="0" distL="0" distR="0" wp14:anchorId="75139A07" wp14:editId="6B81949E">
            <wp:extent cx="5430741" cy="3824677"/>
            <wp:effectExtent l="0" t="0" r="0" b="4445"/>
            <wp:docPr id="9" name="Picture 9" descr="POETYK-2 trial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ETYK-2 trial schem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3220" cy="3826423"/>
                    </a:xfrm>
                    <a:prstGeom prst="rect">
                      <a:avLst/>
                    </a:prstGeom>
                    <a:noFill/>
                    <a:ln>
                      <a:noFill/>
                    </a:ln>
                  </pic:spPr>
                </pic:pic>
              </a:graphicData>
            </a:graphic>
          </wp:inline>
        </w:drawing>
      </w:r>
    </w:p>
    <w:p w14:paraId="6175A88F" w14:textId="57E37032" w:rsidR="00F12435" w:rsidRDefault="00F12435" w:rsidP="00F12435">
      <w:r>
        <w:t xml:space="preserve">At Week 16, participants originally randomized to placebo were switched to (blinded) </w:t>
      </w:r>
      <w:proofErr w:type="spellStart"/>
      <w:r>
        <w:t>deucravacitinib</w:t>
      </w:r>
      <w:proofErr w:type="spellEnd"/>
      <w:r>
        <w:t xml:space="preserve"> 6mg daily and maintained on this treatment until the end of study.</w:t>
      </w:r>
    </w:p>
    <w:p w14:paraId="79D0637E" w14:textId="710348B3" w:rsidR="00F12435" w:rsidRDefault="00F12435" w:rsidP="00F12435">
      <w:r>
        <w:t>At Week 24 participants were assessed for PASI response and were managed as follows:</w:t>
      </w:r>
    </w:p>
    <w:p w14:paraId="4A85C80B" w14:textId="363C0397" w:rsidR="00F12435" w:rsidRDefault="00F12435" w:rsidP="00F12435">
      <w:pPr>
        <w:pStyle w:val="ListBullet"/>
      </w:pPr>
      <w:r>
        <w:t>Participants originally randomi</w:t>
      </w:r>
      <w:r w:rsidR="00A15F1E">
        <w:t>s</w:t>
      </w:r>
      <w:r>
        <w:t xml:space="preserve">ed to </w:t>
      </w:r>
      <w:proofErr w:type="spellStart"/>
      <w:r>
        <w:t>deucravacitinib</w:t>
      </w:r>
      <w:proofErr w:type="spellEnd"/>
      <w:r>
        <w:t xml:space="preserve">, who did not achieve PASI 75 response, continued to receive </w:t>
      </w:r>
      <w:proofErr w:type="spellStart"/>
      <w:r>
        <w:t>deucravacitinib</w:t>
      </w:r>
      <w:proofErr w:type="spellEnd"/>
      <w:r>
        <w:t>. Participants originally randomi</w:t>
      </w:r>
      <w:r w:rsidR="00A15F1E">
        <w:t>s</w:t>
      </w:r>
      <w:r>
        <w:t xml:space="preserve">ed to </w:t>
      </w:r>
      <w:proofErr w:type="spellStart"/>
      <w:r>
        <w:t>deucravacitinib</w:t>
      </w:r>
      <w:proofErr w:type="spellEnd"/>
      <w:r>
        <w:t xml:space="preserve">, who achieved PASI 75 response, were re-randomised in a 1:1 ratio to either </w:t>
      </w:r>
      <w:proofErr w:type="spellStart"/>
      <w:r>
        <w:t>deucravacitinib</w:t>
      </w:r>
      <w:proofErr w:type="spellEnd"/>
      <w:r>
        <w:t xml:space="preserve"> or placebo. If participants re-randomized to placebo experienced a relapse (at least a 50% loss of Week 24 PASI percent improvement from Baseline) at any visit during this period, they were to be switched back to </w:t>
      </w:r>
      <w:proofErr w:type="spellStart"/>
      <w:r>
        <w:t>deucravacitinib</w:t>
      </w:r>
      <w:proofErr w:type="spellEnd"/>
      <w:r>
        <w:t xml:space="preserve"> through Week 52.</w:t>
      </w:r>
    </w:p>
    <w:p w14:paraId="09581DCC" w14:textId="7562EE1B" w:rsidR="00F12435" w:rsidRDefault="00F12435" w:rsidP="00F12435">
      <w:pPr>
        <w:pStyle w:val="ListBullet"/>
      </w:pPr>
      <w:r>
        <w:t xml:space="preserve">Participants originally randomised to apremilast who did not achieve PASI 75 response at Week 24, were switched to </w:t>
      </w:r>
      <w:proofErr w:type="spellStart"/>
      <w:r>
        <w:t>deucravacitinib</w:t>
      </w:r>
      <w:proofErr w:type="spellEnd"/>
      <w:r>
        <w:t xml:space="preserve">. Participants originally randomized to apremilast who achieved PASI 75 response, were switched to placebo. If participants re-randomised to placebo experienced a relapse at any visit during this period, they were to be switched to </w:t>
      </w:r>
      <w:proofErr w:type="spellStart"/>
      <w:r>
        <w:t>deucravacitinib</w:t>
      </w:r>
      <w:proofErr w:type="spellEnd"/>
      <w:r>
        <w:t xml:space="preserve"> through Week 52.</w:t>
      </w:r>
    </w:p>
    <w:p w14:paraId="147BDFBF" w14:textId="3CA07353" w:rsidR="00F12435" w:rsidRDefault="00F12435" w:rsidP="00F12435">
      <w:pPr>
        <w:pStyle w:val="ListBullet"/>
      </w:pPr>
      <w:r>
        <w:t xml:space="preserve">All participants originally randomised to placebo at Week 0 and switched to </w:t>
      </w:r>
      <w:proofErr w:type="spellStart"/>
      <w:r>
        <w:t>deucravacitinib</w:t>
      </w:r>
      <w:proofErr w:type="spellEnd"/>
      <w:r>
        <w:t xml:space="preserve"> at Week 16 remained on </w:t>
      </w:r>
      <w:proofErr w:type="spellStart"/>
      <w:r>
        <w:t>deucravacitinib</w:t>
      </w:r>
      <w:proofErr w:type="spellEnd"/>
      <w:r>
        <w:t xml:space="preserve"> through Week 52.</w:t>
      </w:r>
    </w:p>
    <w:p w14:paraId="6F43648C" w14:textId="05CD6FD9" w:rsidR="00F12435" w:rsidRDefault="00F12435" w:rsidP="00F12435">
      <w:pPr>
        <w:pStyle w:val="ListBullet"/>
      </w:pPr>
      <w:r>
        <w:t xml:space="preserve">Participants who had a </w:t>
      </w:r>
      <w:proofErr w:type="spellStart"/>
      <w:r>
        <w:t>sPGA</w:t>
      </w:r>
      <w:proofErr w:type="spellEnd"/>
      <w:r>
        <w:t xml:space="preserve"> </w:t>
      </w:r>
      <w:r w:rsidR="00A15F1E">
        <w:t>of at least</w:t>
      </w:r>
      <w:r>
        <w:t xml:space="preserve"> 3 or </w:t>
      </w:r>
      <w:r w:rsidR="00A15F1E">
        <w:t>s</w:t>
      </w:r>
      <w:r w:rsidR="00A15F1E" w:rsidRPr="00A15F1E">
        <w:t>calp</w:t>
      </w:r>
      <w:r w:rsidR="00A15F1E">
        <w:t xml:space="preserve"> s</w:t>
      </w:r>
      <w:r w:rsidR="00A15F1E" w:rsidRPr="00A15F1E">
        <w:t>pecific</w:t>
      </w:r>
      <w:r>
        <w:t xml:space="preserve">-PGA </w:t>
      </w:r>
      <w:r w:rsidR="00A15F1E">
        <w:t>of at least</w:t>
      </w:r>
      <w:r>
        <w:t xml:space="preserve"> 3 were permitted to start treatment with restricted topicals or shampoos on the body and scalp lesions at Week 24 and continue these treatments through Week 52, at the investigator’s discretion. These treatments may have been only initiated at Week 24, and not at earlier or subsequent time points.</w:t>
      </w:r>
    </w:p>
    <w:p w14:paraId="0775379D" w14:textId="35488983" w:rsidR="00F12435" w:rsidRDefault="00F12435" w:rsidP="00F12435">
      <w:r>
        <w:t xml:space="preserve">Participants concluded the treatment period of the study at Week 52, but eligible participants could continue treatment under a separate </w:t>
      </w:r>
      <w:r w:rsidR="00637A42">
        <w:t xml:space="preserve">long term extension </w:t>
      </w:r>
      <w:r>
        <w:t>protocol IM011075 (approximately 5 years).</w:t>
      </w:r>
    </w:p>
    <w:p w14:paraId="36E3331D" w14:textId="122251D8" w:rsidR="00F12435" w:rsidRDefault="00F12435" w:rsidP="00F12435">
      <w:pPr>
        <w:pStyle w:val="Heading6"/>
      </w:pPr>
      <w:r>
        <w:lastRenderedPageBreak/>
        <w:t>Inclusion and exclusion criteria were the same as in POETYK-</w:t>
      </w:r>
      <w:proofErr w:type="gramStart"/>
      <w:r>
        <w:t>1.trial</w:t>
      </w:r>
      <w:proofErr w:type="gramEnd"/>
    </w:p>
    <w:p w14:paraId="452CB866" w14:textId="4540A40E" w:rsidR="00F12435" w:rsidRDefault="00F12435" w:rsidP="00F12435">
      <w:r>
        <w:t xml:space="preserve">Essentially the same efficacy outcomes were assessed as in POETYK-1 trial, but additional endpoints were included to evaluate the maintenance and durability of efficacy of </w:t>
      </w:r>
      <w:proofErr w:type="spellStart"/>
      <w:r>
        <w:t>deucravacitinib</w:t>
      </w:r>
      <w:proofErr w:type="spellEnd"/>
      <w:r>
        <w:t xml:space="preserve"> during the randomized withdrawal period through Week 52 among Week 24 PASI 75 responders </w:t>
      </w:r>
      <w:proofErr w:type="gramStart"/>
      <w:r>
        <w:t>continuing on</w:t>
      </w:r>
      <w:proofErr w:type="gramEnd"/>
      <w:r>
        <w:t xml:space="preserve"> treatment compared with those re-randomised to placebo. The additional endpoints </w:t>
      </w:r>
      <w:proofErr w:type="gramStart"/>
      <w:r>
        <w:t>were</w:t>
      </w:r>
      <w:proofErr w:type="gramEnd"/>
    </w:p>
    <w:p w14:paraId="5FAB0B3A" w14:textId="4D8758DC" w:rsidR="00F12435" w:rsidRDefault="00F12435" w:rsidP="00F12435">
      <w:pPr>
        <w:pStyle w:val="ListBullet"/>
      </w:pPr>
      <w:r>
        <w:t>Maintenance of PASI 75 response at Week 52</w:t>
      </w:r>
    </w:p>
    <w:p w14:paraId="3FDA98AC" w14:textId="0E95B2DC" w:rsidR="00F12435" w:rsidRDefault="00F12435" w:rsidP="00F12435">
      <w:pPr>
        <w:pStyle w:val="ListBullet"/>
      </w:pPr>
      <w:r>
        <w:t xml:space="preserve">Maintenance of </w:t>
      </w:r>
      <w:proofErr w:type="spellStart"/>
      <w:r>
        <w:t>sPGA</w:t>
      </w:r>
      <w:proofErr w:type="spellEnd"/>
      <w:r>
        <w:t xml:space="preserve"> 0/1 response at Week 52 among participants with a Week 24 </w:t>
      </w:r>
      <w:proofErr w:type="spellStart"/>
      <w:r>
        <w:t>sPGA</w:t>
      </w:r>
      <w:proofErr w:type="spellEnd"/>
      <w:r>
        <w:t xml:space="preserve"> 0/1 response</w:t>
      </w:r>
    </w:p>
    <w:p w14:paraId="401FC7D7" w14:textId="659180BB" w:rsidR="00F12435" w:rsidRDefault="00F12435" w:rsidP="00F12435">
      <w:pPr>
        <w:pStyle w:val="ListBullet"/>
      </w:pPr>
      <w:r>
        <w:t xml:space="preserve">Disease relapse (proportion of participants with </w:t>
      </w:r>
      <w:r w:rsidR="00A15F1E">
        <w:t>at least</w:t>
      </w:r>
      <w:r>
        <w:t xml:space="preserve"> 50% loss of Week 24 PASI percent improvement from baseline)</w:t>
      </w:r>
    </w:p>
    <w:p w14:paraId="1E425647" w14:textId="3313260E" w:rsidR="00F12435" w:rsidRDefault="00F12435" w:rsidP="00F12435">
      <w:pPr>
        <w:pStyle w:val="ListBullet"/>
      </w:pPr>
      <w:r>
        <w:t>Time to relapse until Week 52</w:t>
      </w:r>
    </w:p>
    <w:p w14:paraId="71F4AD18" w14:textId="0C772214" w:rsidR="00F12435" w:rsidRDefault="00F12435" w:rsidP="00F12435">
      <w:pPr>
        <w:pStyle w:val="ListBullet"/>
      </w:pPr>
      <w:r>
        <w:t xml:space="preserve">Disease rebound (proportion of participants with worsening of psoriasis over baseline [measured as a PASI score </w:t>
      </w:r>
      <w:r w:rsidR="00A15F1E">
        <w:t>greater than</w:t>
      </w:r>
      <w:r>
        <w:t xml:space="preserve"> 125% over baseline PASI score] or new pustular, erythrodermic or more inflammatory psoriasis occurring within </w:t>
      </w:r>
      <w:r w:rsidR="00A15F1E">
        <w:t>two</w:t>
      </w:r>
      <w:r>
        <w:t xml:space="preserve"> months of stopping therapy) in participants re-randomi</w:t>
      </w:r>
      <w:r w:rsidR="00A15F1E">
        <w:t>s</w:t>
      </w:r>
      <w:r>
        <w:t xml:space="preserve">ed to </w:t>
      </w:r>
      <w:proofErr w:type="gramStart"/>
      <w:r>
        <w:t>placebo</w:t>
      </w:r>
      <w:proofErr w:type="gramEnd"/>
    </w:p>
    <w:p w14:paraId="52A1609D" w14:textId="611BF044" w:rsidR="00F12435" w:rsidRDefault="00F12435" w:rsidP="00F12435">
      <w:pPr>
        <w:pStyle w:val="ListBullet"/>
      </w:pPr>
      <w:r>
        <w:t xml:space="preserve">Time to rebound in participants re-randomised to </w:t>
      </w:r>
      <w:proofErr w:type="gramStart"/>
      <w:r>
        <w:t>placebo</w:t>
      </w:r>
      <w:proofErr w:type="gramEnd"/>
    </w:p>
    <w:p w14:paraId="14043A49" w14:textId="0BB55783" w:rsidR="00F12435" w:rsidRDefault="00F12435" w:rsidP="00F12435">
      <w:pPr>
        <w:pStyle w:val="ListBullet"/>
      </w:pPr>
      <w:r>
        <w:t xml:space="preserve">Recapture rate (PASI 75 response at Week 52) in participants re-randomised to placebo who are retreated with </w:t>
      </w:r>
      <w:proofErr w:type="spellStart"/>
      <w:r>
        <w:t>deucravacitinib</w:t>
      </w:r>
      <w:proofErr w:type="spellEnd"/>
      <w:r>
        <w:t xml:space="preserve"> 6 mg daily after relapse.</w:t>
      </w:r>
    </w:p>
    <w:p w14:paraId="013CAE6F" w14:textId="12477E77" w:rsidR="00F12435" w:rsidRDefault="00F12435" w:rsidP="00F12435">
      <w:r>
        <w:t xml:space="preserve">Most of the 1018 participants who were randomised and received treatment completed the </w:t>
      </w:r>
      <w:proofErr w:type="gramStart"/>
      <w:r>
        <w:t>placebo controlled</w:t>
      </w:r>
      <w:proofErr w:type="gramEnd"/>
      <w:r>
        <w:t xml:space="preserve"> period (89.4%, 83.5% and 85.4% in the </w:t>
      </w:r>
      <w:proofErr w:type="spellStart"/>
      <w:r>
        <w:t>deucravacitinib</w:t>
      </w:r>
      <w:proofErr w:type="spellEnd"/>
      <w:r>
        <w:t>, placebo, and apremilast treatment groups, respectively). The most common reasons for discontinuation were AEs (2.2%, 2.8%, and 4.7%), ‘other’ reasons (2.5%, 3.5%, 2.8%), and withdrawal by participant (2.7%, 3.5%, 3.5%).</w:t>
      </w:r>
    </w:p>
    <w:p w14:paraId="0FFC7660" w14:textId="3044DD0C" w:rsidR="00F12435" w:rsidRDefault="00F12435" w:rsidP="00F12435">
      <w:r>
        <w:t xml:space="preserve">Overall, 884 participants entered the weeks 16 to 24 period. Of these, 455 were participants originally randomised to </w:t>
      </w:r>
      <w:proofErr w:type="spellStart"/>
      <w:r>
        <w:t>deucravacitinib</w:t>
      </w:r>
      <w:proofErr w:type="spellEnd"/>
      <w:r>
        <w:t xml:space="preserve"> and </w:t>
      </w:r>
      <w:proofErr w:type="gramStart"/>
      <w:r>
        <w:t>continued on</w:t>
      </w:r>
      <w:proofErr w:type="gramEnd"/>
      <w:r>
        <w:t xml:space="preserve"> </w:t>
      </w:r>
      <w:proofErr w:type="spellStart"/>
      <w:r>
        <w:t>deucravacitinib</w:t>
      </w:r>
      <w:proofErr w:type="spellEnd"/>
      <w:r>
        <w:t xml:space="preserve">, 212 were participants originally administered placebo then switched to </w:t>
      </w:r>
      <w:proofErr w:type="spellStart"/>
      <w:r>
        <w:t>deucravacitinib</w:t>
      </w:r>
      <w:proofErr w:type="spellEnd"/>
      <w:r>
        <w:t xml:space="preserve"> at 16 weeks and 217 were participants originally randomised to apremilast and continued on apremilast until Week 24.</w:t>
      </w:r>
    </w:p>
    <w:p w14:paraId="6355EE22" w14:textId="5CD0D416" w:rsidR="00F12435" w:rsidRDefault="00F12435" w:rsidP="00F12435">
      <w:r>
        <w:t>At Week 24, 860 continued into the next phase of the study:</w:t>
      </w:r>
    </w:p>
    <w:p w14:paraId="729D689A" w14:textId="03C26AA3" w:rsidR="00F12435" w:rsidRDefault="00F12435" w:rsidP="00F12435">
      <w:pPr>
        <w:pStyle w:val="ListBullet"/>
      </w:pPr>
      <w:r>
        <w:t xml:space="preserve">212 who switched from placebo to </w:t>
      </w:r>
      <w:proofErr w:type="spellStart"/>
      <w:r>
        <w:t>deucravacitinib</w:t>
      </w:r>
      <w:proofErr w:type="spellEnd"/>
      <w:r>
        <w:t xml:space="preserve"> at Week 16 (PBO/DEUC/DEUC group</w:t>
      </w:r>
      <w:proofErr w:type="gramStart"/>
      <w:r>
        <w:t>);</w:t>
      </w:r>
      <w:proofErr w:type="gramEnd"/>
    </w:p>
    <w:p w14:paraId="1BC2C0CD" w14:textId="1E7C42BE" w:rsidR="00F12435" w:rsidRDefault="00F12435" w:rsidP="00F12435">
      <w:pPr>
        <w:pStyle w:val="ListBullet"/>
      </w:pPr>
      <w:r>
        <w:t xml:space="preserve">142 participants originally randomised to </w:t>
      </w:r>
      <w:proofErr w:type="spellStart"/>
      <w:r>
        <w:t>deucravacitinib</w:t>
      </w:r>
      <w:proofErr w:type="spellEnd"/>
      <w:r>
        <w:t xml:space="preserve"> who failed to achieve PASI 75 at Week 24 continued on </w:t>
      </w:r>
      <w:proofErr w:type="spellStart"/>
      <w:r>
        <w:t>deucravacitinib</w:t>
      </w:r>
      <w:proofErr w:type="spellEnd"/>
      <w:r>
        <w:t xml:space="preserve"> without re-randomisation (DEUC/DEUC/DEUC, </w:t>
      </w:r>
      <w:proofErr w:type="spellStart"/>
      <w:r>
        <w:t>nrr</w:t>
      </w:r>
      <w:proofErr w:type="spellEnd"/>
      <w:r w:rsidR="00A15F1E">
        <w:t xml:space="preserve"> group</w:t>
      </w:r>
      <w:proofErr w:type="gramStart"/>
      <w:r>
        <w:t>);</w:t>
      </w:r>
      <w:proofErr w:type="gramEnd"/>
      <w:r>
        <w:t xml:space="preserve"> </w:t>
      </w:r>
    </w:p>
    <w:p w14:paraId="196B3ED5" w14:textId="2807083A" w:rsidR="00F12435" w:rsidRDefault="00F12435" w:rsidP="00F12435">
      <w:pPr>
        <w:pStyle w:val="ListBullet"/>
      </w:pPr>
      <w:r>
        <w:t xml:space="preserve">148 participants originally randomized to </w:t>
      </w:r>
      <w:proofErr w:type="spellStart"/>
      <w:r>
        <w:t>deucravacitinib</w:t>
      </w:r>
      <w:proofErr w:type="spellEnd"/>
      <w:r>
        <w:t xml:space="preserve"> who achieved PASI 75 at Week 24 and re-randomised to continue </w:t>
      </w:r>
      <w:proofErr w:type="spellStart"/>
      <w:r>
        <w:t>deucravacitinib</w:t>
      </w:r>
      <w:proofErr w:type="spellEnd"/>
      <w:r>
        <w:t xml:space="preserve"> (DEUC/DEUC/DEUC, </w:t>
      </w:r>
      <w:proofErr w:type="spellStart"/>
      <w:r>
        <w:t>rr</w:t>
      </w:r>
      <w:proofErr w:type="spellEnd"/>
      <w:r w:rsidR="00A15F1E">
        <w:t xml:space="preserve"> group</w:t>
      </w:r>
      <w:proofErr w:type="gramStart"/>
      <w:r>
        <w:t>);</w:t>
      </w:r>
      <w:proofErr w:type="gramEnd"/>
    </w:p>
    <w:p w14:paraId="42563A5C" w14:textId="0652C945" w:rsidR="00F12435" w:rsidRDefault="00F12435" w:rsidP="00F12435">
      <w:pPr>
        <w:pStyle w:val="ListBullet"/>
      </w:pPr>
      <w:r>
        <w:t xml:space="preserve">150 participants originally randomized to </w:t>
      </w:r>
      <w:proofErr w:type="spellStart"/>
      <w:r>
        <w:t>deucravacitinib</w:t>
      </w:r>
      <w:proofErr w:type="spellEnd"/>
      <w:r>
        <w:t xml:space="preserve"> who achieved PASI 75 at Week 24 and re-randomised to placebo (DEUC/DEUC/PBO</w:t>
      </w:r>
      <w:r w:rsidR="00A15F1E">
        <w:t xml:space="preserve"> group</w:t>
      </w:r>
      <w:proofErr w:type="gramStart"/>
      <w:r>
        <w:t>);</w:t>
      </w:r>
      <w:proofErr w:type="gramEnd"/>
    </w:p>
    <w:p w14:paraId="0109B21E" w14:textId="162A32CC" w:rsidR="00F12435" w:rsidRDefault="00F12435" w:rsidP="00F12435">
      <w:pPr>
        <w:pStyle w:val="ListBullet"/>
      </w:pPr>
      <w:r>
        <w:t>111 participants originally randomized to apremilast who failed to achieve PASI</w:t>
      </w:r>
      <w:r w:rsidR="00B630A1">
        <w:t xml:space="preserve"> </w:t>
      </w:r>
      <w:r>
        <w:t xml:space="preserve">75 at </w:t>
      </w:r>
      <w:r w:rsidR="00B630A1">
        <w:t>W</w:t>
      </w:r>
      <w:r>
        <w:t xml:space="preserve">eek 24 switched to (blinded) </w:t>
      </w:r>
      <w:proofErr w:type="spellStart"/>
      <w:r>
        <w:t>deucravacitinib</w:t>
      </w:r>
      <w:proofErr w:type="spellEnd"/>
      <w:r>
        <w:t xml:space="preserve"> (APR/APR/DEUC</w:t>
      </w:r>
      <w:r w:rsidR="00A15F1E">
        <w:t xml:space="preserve"> group</w:t>
      </w:r>
      <w:r>
        <w:t>); and</w:t>
      </w:r>
    </w:p>
    <w:p w14:paraId="6C02E271" w14:textId="17D8652E" w:rsidR="00F12435" w:rsidRDefault="00F12435" w:rsidP="00F12435">
      <w:pPr>
        <w:pStyle w:val="ListBullet"/>
      </w:pPr>
      <w:r>
        <w:t>97 participants originally randomized to apremilast who achieved PASI</w:t>
      </w:r>
      <w:r w:rsidR="00B630A1">
        <w:t xml:space="preserve"> </w:t>
      </w:r>
      <w:r>
        <w:t xml:space="preserve">75 at </w:t>
      </w:r>
      <w:r w:rsidR="00B630A1">
        <w:t>W</w:t>
      </w:r>
      <w:r>
        <w:t>eek 24 switched to (blinded) placebo (APR/APR/PBO</w:t>
      </w:r>
      <w:r w:rsidR="00A15F1E">
        <w:t xml:space="preserve"> group</w:t>
      </w:r>
      <w:r>
        <w:t>).</w:t>
      </w:r>
    </w:p>
    <w:p w14:paraId="45B5F613" w14:textId="31F0FF22" w:rsidR="00F12435" w:rsidRDefault="00F12435" w:rsidP="00F12435">
      <w:r>
        <w:lastRenderedPageBreak/>
        <w:t xml:space="preserve">Between </w:t>
      </w:r>
      <w:r w:rsidR="00B630A1">
        <w:t>W</w:t>
      </w:r>
      <w:r>
        <w:t>eeks 24 and 52, a total 33 participants randomi</w:t>
      </w:r>
      <w:r w:rsidR="00B630A1">
        <w:t>s</w:t>
      </w:r>
      <w:r>
        <w:t xml:space="preserve">ed to placebo treatment were switched to </w:t>
      </w:r>
      <w:proofErr w:type="spellStart"/>
      <w:r>
        <w:t>deucravacitinib</w:t>
      </w:r>
      <w:proofErr w:type="spellEnd"/>
      <w:r>
        <w:t xml:space="preserve"> following a relapse, of these 17 were in the DEUC/DEUC/PBO group and 16 were in the APR/APR/PBO group. An additional 106 participants who experienced relapse while on placebo were not switched to </w:t>
      </w:r>
      <w:proofErr w:type="spellStart"/>
      <w:r>
        <w:t>deucravacitinib</w:t>
      </w:r>
      <w:proofErr w:type="spellEnd"/>
      <w:r>
        <w:t xml:space="preserve"> because of a system failure. This affected the assessment of retreatment efficacy. Seventeen participants discontinued in this phase for COVID-19 related reasons. Protocol deviations were uncommon (5.7%) and predominantly related to failure to return pill bottles for assessments of treatment compliance.</w:t>
      </w:r>
    </w:p>
    <w:p w14:paraId="70AE0101" w14:textId="1D69E950" w:rsidR="00F12435" w:rsidRDefault="00F12435" w:rsidP="00B630A1">
      <w:pPr>
        <w:pStyle w:val="Heading6"/>
      </w:pPr>
      <w:r>
        <w:t>Results</w:t>
      </w:r>
    </w:p>
    <w:p w14:paraId="5E6975DA" w14:textId="688954D9" w:rsidR="00F12435" w:rsidRDefault="00F12435" w:rsidP="00F12435">
      <w:r>
        <w:t xml:space="preserve">Baseline demographic, disease features and treatment history were comparable in the three treatment groups except that the proportion of males was somewhat higher in the placebo treatment group (71%) than in the </w:t>
      </w:r>
      <w:proofErr w:type="spellStart"/>
      <w:r>
        <w:t>deucravacitinib</w:t>
      </w:r>
      <w:proofErr w:type="spellEnd"/>
      <w:r>
        <w:t xml:space="preserve"> (65.8%) or apremilast (61.8%) groups. Most patients (80.5%) had a </w:t>
      </w:r>
      <w:proofErr w:type="spellStart"/>
      <w:r>
        <w:t>sPGA</w:t>
      </w:r>
      <w:proofErr w:type="spellEnd"/>
      <w:r>
        <w:t xml:space="preserve"> score of 3 (moderate disease) while the remaining 19.5% of participants had an </w:t>
      </w:r>
      <w:proofErr w:type="spellStart"/>
      <w:r>
        <w:t>sPGA</w:t>
      </w:r>
      <w:proofErr w:type="spellEnd"/>
      <w:r>
        <w:t xml:space="preserve"> score of 4 (severe disease). The mean PASI score was 21.04 and 41.9% of participants had PASI </w:t>
      </w:r>
      <w:r w:rsidR="00A15F1E">
        <w:t>greater than</w:t>
      </w:r>
      <w:r>
        <w:t xml:space="preserve"> 20 (severe disease). Mean BSA involvement was 26.5% across treatment groups and 50.6% of participants had BSA involvement </w:t>
      </w:r>
      <w:r w:rsidR="00A15F1E">
        <w:t>greater than</w:t>
      </w:r>
      <w:r w:rsidR="00B630A1">
        <w:t xml:space="preserve"> </w:t>
      </w:r>
      <w:r>
        <w:t>20%. Most participants (86.1%) had a history of scalp psoriasis; 44.5% had a history of fingernail psoriasis, and 18% had a history of palmoplantar psoriasis. The prior treatment experience was generally consistent across treatment groups.</w:t>
      </w:r>
    </w:p>
    <w:p w14:paraId="3E10EB92" w14:textId="0408B26B" w:rsidR="00F12435" w:rsidRDefault="00F12435" w:rsidP="00F12435">
      <w:r>
        <w:t>As in POETYK-1</w:t>
      </w:r>
      <w:r w:rsidR="00B630A1">
        <w:t xml:space="preserve"> trial</w:t>
      </w:r>
      <w:r>
        <w:t xml:space="preserve">, </w:t>
      </w:r>
      <w:proofErr w:type="spellStart"/>
      <w:r>
        <w:t>deucravacitinib</w:t>
      </w:r>
      <w:proofErr w:type="spellEnd"/>
      <w:r>
        <w:t xml:space="preserve"> was statistically significantly superior to placebo in achieving the co-primary efficacy outcomes. In the </w:t>
      </w:r>
      <w:proofErr w:type="spellStart"/>
      <w:r>
        <w:t>deucravacitinib</w:t>
      </w:r>
      <w:proofErr w:type="spellEnd"/>
      <w:r>
        <w:t xml:space="preserve"> treatment group, 49.5% of participants achieved </w:t>
      </w:r>
      <w:proofErr w:type="spellStart"/>
      <w:r>
        <w:t>sPGA</w:t>
      </w:r>
      <w:proofErr w:type="spellEnd"/>
      <w:r>
        <w:t xml:space="preserve"> response of 0 or 1 at </w:t>
      </w:r>
      <w:r w:rsidR="00B630A1">
        <w:t>W</w:t>
      </w:r>
      <w:r>
        <w:t>eek 16, compared to 8.6% in the placebo treatment group (OR</w:t>
      </w:r>
      <w:r w:rsidR="00B630A1">
        <w:t xml:space="preserve"> </w:t>
      </w:r>
      <w:r>
        <w:t>=</w:t>
      </w:r>
      <w:r w:rsidR="00B630A1">
        <w:t xml:space="preserve"> </w:t>
      </w:r>
      <w:r>
        <w:t>10.55 (95% CI: 6.54,17), p&lt;</w:t>
      </w:r>
      <w:r w:rsidR="00B630A1">
        <w:t xml:space="preserve"> </w:t>
      </w:r>
      <w:r>
        <w:t xml:space="preserve">0.0001). In the </w:t>
      </w:r>
      <w:proofErr w:type="spellStart"/>
      <w:r>
        <w:t>deucravacitinib</w:t>
      </w:r>
      <w:proofErr w:type="spellEnd"/>
      <w:r>
        <w:t xml:space="preserve"> group, 53% of participants achieved a 75% improvement in PASI score at </w:t>
      </w:r>
      <w:r w:rsidR="00B630A1">
        <w:t>W</w:t>
      </w:r>
      <w:r>
        <w:t>eek 16, compared to 9.4% in the placebo group (OR</w:t>
      </w:r>
      <w:r w:rsidR="00B630A1">
        <w:t xml:space="preserve"> </w:t>
      </w:r>
      <w:r>
        <w:t>=</w:t>
      </w:r>
      <w:r w:rsidR="00B630A1">
        <w:t xml:space="preserve"> </w:t>
      </w:r>
      <w:r>
        <w:t>10.49 (95% CI: 6.65, 16.55), p&lt;</w:t>
      </w:r>
      <w:r w:rsidR="00B630A1">
        <w:t xml:space="preserve"> </w:t>
      </w:r>
      <w:r>
        <w:t xml:space="preserve">0.0001). </w:t>
      </w:r>
      <w:proofErr w:type="spellStart"/>
      <w:r>
        <w:t>Deucravacitinib</w:t>
      </w:r>
      <w:proofErr w:type="spellEnd"/>
      <w:r>
        <w:t xml:space="preserve"> was also statistically significantly superior to placebo, and to apremilast, in achieving most of the ranked key secondary endpoints</w:t>
      </w:r>
      <w:r w:rsidR="00B630A1">
        <w:t xml:space="preserve"> (</w:t>
      </w:r>
      <w:r w:rsidR="00B630A1">
        <w:fldChar w:fldCharType="begin"/>
      </w:r>
      <w:r w:rsidR="00B630A1">
        <w:instrText xml:space="preserve"> REF _Ref141352052 \h </w:instrText>
      </w:r>
      <w:r w:rsidR="00B630A1">
        <w:fldChar w:fldCharType="separate"/>
      </w:r>
      <w:r w:rsidR="00C63E2D" w:rsidRPr="00B630A1">
        <w:t xml:space="preserve">Table </w:t>
      </w:r>
      <w:r w:rsidR="00C63E2D">
        <w:rPr>
          <w:noProof/>
        </w:rPr>
        <w:t>8</w:t>
      </w:r>
      <w:r w:rsidR="00B630A1">
        <w:fldChar w:fldCharType="end"/>
      </w:r>
      <w:r w:rsidR="00B630A1">
        <w:t>)</w:t>
      </w:r>
      <w:r>
        <w:t>.</w:t>
      </w:r>
    </w:p>
    <w:p w14:paraId="24093156" w14:textId="0A1EC445" w:rsidR="00B630A1" w:rsidRDefault="00B630A1" w:rsidP="00B630A1">
      <w:pPr>
        <w:pStyle w:val="TableTitle"/>
      </w:pPr>
      <w:bookmarkStart w:id="57" w:name="_Ref141352052"/>
      <w:r w:rsidRPr="00B630A1">
        <w:lastRenderedPageBreak/>
        <w:t xml:space="preserve">Table </w:t>
      </w:r>
      <w:r>
        <w:fldChar w:fldCharType="begin"/>
      </w:r>
      <w:r>
        <w:instrText>SEQ Table \* ARABIC</w:instrText>
      </w:r>
      <w:r>
        <w:fldChar w:fldCharType="separate"/>
      </w:r>
      <w:r w:rsidR="00616D6B">
        <w:rPr>
          <w:noProof/>
        </w:rPr>
        <w:t>8</w:t>
      </w:r>
      <w:r>
        <w:fldChar w:fldCharType="end"/>
      </w:r>
      <w:bookmarkEnd w:id="57"/>
      <w:r>
        <w:t xml:space="preserve">: POETYK-2 trial Key secondary </w:t>
      </w:r>
      <w:proofErr w:type="gramStart"/>
      <w:r>
        <w:t>outcomes</w:t>
      </w:r>
      <w:proofErr w:type="gramEnd"/>
    </w:p>
    <w:p w14:paraId="26850BBF" w14:textId="31AD2A8D" w:rsidR="00B630A1" w:rsidRDefault="00B630A1" w:rsidP="00B630A1">
      <w:r w:rsidRPr="008F33C1">
        <w:rPr>
          <w:rFonts w:ascii="Calibri" w:hAnsi="Calibri" w:cs="Calibri"/>
          <w:b/>
          <w:noProof/>
          <w:sz w:val="20"/>
          <w:lang w:val="en-US"/>
        </w:rPr>
        <w:drawing>
          <wp:inline distT="0" distB="0" distL="0" distR="0" wp14:anchorId="3A6BFD27" wp14:editId="3B491BE9">
            <wp:extent cx="5625216" cy="2878372"/>
            <wp:effectExtent l="0" t="0" r="0" b="0"/>
            <wp:docPr id="10" name="Picture 10" descr="POETYK-2 trial Key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ETYK-2 trial Key secondary outcom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252" cy="2914209"/>
                    </a:xfrm>
                    <a:prstGeom prst="rect">
                      <a:avLst/>
                    </a:prstGeom>
                    <a:noFill/>
                    <a:ln>
                      <a:noFill/>
                    </a:ln>
                  </pic:spPr>
                </pic:pic>
              </a:graphicData>
            </a:graphic>
          </wp:inline>
        </w:drawing>
      </w:r>
      <w:r w:rsidRPr="008F33C1">
        <w:rPr>
          <w:rFonts w:ascii="TimesNewRoman" w:eastAsia="TimesNewRoman" w:hAnsiTheme="minorHAnsi" w:cs="TimesNewRoman"/>
          <w:noProof/>
          <w:sz w:val="24"/>
          <w:szCs w:val="24"/>
          <w:lang w:val="en-US"/>
        </w:rPr>
        <w:drawing>
          <wp:inline distT="0" distB="0" distL="0" distR="0" wp14:anchorId="555F9040" wp14:editId="77D30D4C">
            <wp:extent cx="5731510" cy="1600200"/>
            <wp:effectExtent l="0" t="0" r="2540" b="0"/>
            <wp:docPr id="14" name="Picture 14" descr="POETYK-2 trial Key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OETYK-2 trial Key secondary outcom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600200"/>
                    </a:xfrm>
                    <a:prstGeom prst="rect">
                      <a:avLst/>
                    </a:prstGeom>
                    <a:noFill/>
                    <a:ln>
                      <a:noFill/>
                    </a:ln>
                  </pic:spPr>
                </pic:pic>
              </a:graphicData>
            </a:graphic>
          </wp:inline>
        </w:drawing>
      </w:r>
    </w:p>
    <w:p w14:paraId="6383A9EE" w14:textId="46AF54FB" w:rsidR="00B630A1" w:rsidRPr="00B630A1" w:rsidRDefault="00B630A1" w:rsidP="00B630A1">
      <w:r w:rsidRPr="00B630A1">
        <w:t xml:space="preserve">The first secondary endpoint that failed to achieve statistical significance against placebo was improvement in the fingernail psoriasis PGA score (PGA-F 0/1) at </w:t>
      </w:r>
      <w:r>
        <w:t>W</w:t>
      </w:r>
      <w:r w:rsidRPr="00B630A1">
        <w:t xml:space="preserve">eek 16. The first secondary endpoint that failed to achieve statistical significance against apremilast was the patient-reported outcome for improvement in the PSSD at 16 weeks. Sensitivity analyses supported the primary analyses. Response curves over time favouring </w:t>
      </w:r>
      <w:proofErr w:type="spellStart"/>
      <w:r w:rsidRPr="00B630A1">
        <w:t>deucravacitinib</w:t>
      </w:r>
      <w:proofErr w:type="spellEnd"/>
      <w:r w:rsidRPr="00B630A1">
        <w:t xml:space="preserve">, subgroup analyses and assessments of long-term efficacy of </w:t>
      </w:r>
      <w:proofErr w:type="spellStart"/>
      <w:r w:rsidRPr="00B630A1">
        <w:t>deucravacitinib</w:t>
      </w:r>
      <w:proofErr w:type="spellEnd"/>
      <w:r w:rsidRPr="00B630A1">
        <w:t xml:space="preserve"> were also supportive.</w:t>
      </w:r>
    </w:p>
    <w:p w14:paraId="4D1AEF5E" w14:textId="7BE4243C" w:rsidR="00B630A1" w:rsidRPr="00B630A1" w:rsidRDefault="00B630A1" w:rsidP="00B630A1">
      <w:r w:rsidRPr="00B630A1">
        <w:t xml:space="preserve">Regarding the maintenance of responses to </w:t>
      </w:r>
      <w:proofErr w:type="spellStart"/>
      <w:r w:rsidRPr="00B630A1">
        <w:t>deucravacitinib</w:t>
      </w:r>
      <w:proofErr w:type="spellEnd"/>
      <w:r w:rsidRPr="00B630A1">
        <w:t>, 70.3% of participants in the DEUC/DEUC/</w:t>
      </w:r>
      <w:proofErr w:type="spellStart"/>
      <w:proofErr w:type="gramStart"/>
      <w:r w:rsidRPr="00B630A1">
        <w:t>DEUC,rr</w:t>
      </w:r>
      <w:proofErr w:type="spellEnd"/>
      <w:proofErr w:type="gramEnd"/>
      <w:r w:rsidRPr="00B630A1">
        <w:t xml:space="preserve"> group had </w:t>
      </w:r>
      <w:proofErr w:type="spellStart"/>
      <w:r w:rsidRPr="00B630A1">
        <w:t>sPGA</w:t>
      </w:r>
      <w:proofErr w:type="spellEnd"/>
      <w:r w:rsidRPr="00B630A1">
        <w:t xml:space="preserve"> 0/1 at </w:t>
      </w:r>
      <w:r>
        <w:t>W</w:t>
      </w:r>
      <w:r w:rsidRPr="00B630A1">
        <w:t>eek 52, compared to 23.5% in the DEUC/DEUC/PRO group; PASI</w:t>
      </w:r>
      <w:r>
        <w:t xml:space="preserve"> </w:t>
      </w:r>
      <w:r w:rsidRPr="00B630A1">
        <w:t xml:space="preserve">75 responses at 52 weeks in the same groups were 80.4% and 31.3%, respectively. Of the responders to </w:t>
      </w:r>
      <w:proofErr w:type="spellStart"/>
      <w:r w:rsidRPr="00B630A1">
        <w:t>deucravacitinib</w:t>
      </w:r>
      <w:proofErr w:type="spellEnd"/>
      <w:r w:rsidRPr="00B630A1">
        <w:t xml:space="preserve"> at </w:t>
      </w:r>
      <w:r>
        <w:t>W</w:t>
      </w:r>
      <w:r w:rsidRPr="00B630A1">
        <w:t>eek 24, 46.6% in the DEUC/DEUC/</w:t>
      </w:r>
      <w:proofErr w:type="spellStart"/>
      <w:proofErr w:type="gramStart"/>
      <w:r w:rsidRPr="00B630A1">
        <w:t>DEUC,rr</w:t>
      </w:r>
      <w:proofErr w:type="spellEnd"/>
      <w:proofErr w:type="gramEnd"/>
      <w:r w:rsidRPr="00B630A1">
        <w:t xml:space="preserve"> group compared to 87.4% in the DEUC/DEUC/PRO group lost the </w:t>
      </w:r>
      <w:proofErr w:type="spellStart"/>
      <w:r w:rsidRPr="00B630A1">
        <w:t>sPGA</w:t>
      </w:r>
      <w:proofErr w:type="spellEnd"/>
      <w:r w:rsidRPr="00B630A1">
        <w:t xml:space="preserve"> 0/1 response; 26.9% in the DEUC/DEUC/</w:t>
      </w:r>
      <w:proofErr w:type="spellStart"/>
      <w:r w:rsidRPr="00B630A1">
        <w:t>DEUC,rr</w:t>
      </w:r>
      <w:proofErr w:type="spellEnd"/>
      <w:r w:rsidRPr="00B630A1">
        <w:t xml:space="preserve"> group compared to 78.7% in the DEUC/DEUC/PRO group lost the PASI</w:t>
      </w:r>
      <w:r>
        <w:t xml:space="preserve"> </w:t>
      </w:r>
      <w:r w:rsidRPr="00B630A1">
        <w:t>75 response. In the same comparator groups, 5.5% in the DEUC/DEUC/</w:t>
      </w:r>
      <w:proofErr w:type="spellStart"/>
      <w:proofErr w:type="gramStart"/>
      <w:r w:rsidRPr="00B630A1">
        <w:t>DEUC,rr</w:t>
      </w:r>
      <w:proofErr w:type="spellEnd"/>
      <w:proofErr w:type="gramEnd"/>
      <w:r w:rsidRPr="00B630A1">
        <w:t xml:space="preserve"> group experienced relapse by </w:t>
      </w:r>
      <w:r>
        <w:t>W</w:t>
      </w:r>
      <w:r w:rsidRPr="00B630A1">
        <w:t xml:space="preserve">eek 52, whereas 45.4% in the DEUC/DEUC/PRO group experienced relapse by </w:t>
      </w:r>
      <w:r>
        <w:t>W</w:t>
      </w:r>
      <w:r w:rsidRPr="00B630A1">
        <w:t>eek 52.</w:t>
      </w:r>
    </w:p>
    <w:p w14:paraId="1D5DD62C" w14:textId="13E19141" w:rsidR="00B630A1" w:rsidRPr="00B630A1" w:rsidRDefault="00B630A1" w:rsidP="00B630A1">
      <w:r w:rsidRPr="00B630A1">
        <w:t xml:space="preserve">In the groups originally treated with apremilast and achieved </w:t>
      </w:r>
      <w:proofErr w:type="spellStart"/>
      <w:r w:rsidRPr="00B630A1">
        <w:t>sPGA</w:t>
      </w:r>
      <w:proofErr w:type="spellEnd"/>
      <w:r w:rsidRPr="00B630A1">
        <w:t xml:space="preserve"> 0/1 and PASI</w:t>
      </w:r>
      <w:r>
        <w:t xml:space="preserve"> </w:t>
      </w:r>
      <w:r w:rsidRPr="00B630A1">
        <w:t xml:space="preserve">75, 89.9% in the </w:t>
      </w:r>
      <w:proofErr w:type="gramStart"/>
      <w:r w:rsidRPr="00B630A1">
        <w:t>APR:APR</w:t>
      </w:r>
      <w:proofErr w:type="gramEnd"/>
      <w:r w:rsidRPr="00B630A1">
        <w:t xml:space="preserve">:PBO group lost </w:t>
      </w:r>
      <w:proofErr w:type="spellStart"/>
      <w:r w:rsidRPr="00B630A1">
        <w:t>sPGA</w:t>
      </w:r>
      <w:proofErr w:type="spellEnd"/>
      <w:r w:rsidRPr="00B630A1">
        <w:t xml:space="preserve"> 0/1 response, 80% lost PASI75 response by </w:t>
      </w:r>
      <w:r>
        <w:t>W</w:t>
      </w:r>
      <w:r w:rsidRPr="00B630A1">
        <w:t xml:space="preserve">eek 52 and 50.5% experienced relapse by </w:t>
      </w:r>
      <w:r>
        <w:t>W</w:t>
      </w:r>
      <w:r w:rsidRPr="00B630A1">
        <w:t>eek 52.</w:t>
      </w:r>
    </w:p>
    <w:p w14:paraId="33EE147A" w14:textId="4F8E2668" w:rsidR="00B630A1" w:rsidRPr="00B630A1" w:rsidRDefault="00B630A1" w:rsidP="00B630A1">
      <w:r w:rsidRPr="00B630A1">
        <w:t xml:space="preserve">Several other analyses were supportive of efficacy, including maintenance and durability of response claims for </w:t>
      </w:r>
      <w:proofErr w:type="spellStart"/>
      <w:r w:rsidRPr="00B630A1">
        <w:t>deucravacitinib</w:t>
      </w:r>
      <w:proofErr w:type="spellEnd"/>
      <w:r w:rsidRPr="00B630A1">
        <w:t>.</w:t>
      </w:r>
    </w:p>
    <w:p w14:paraId="4F945287" w14:textId="05E2B129" w:rsidR="00B630A1" w:rsidRPr="00B630A1" w:rsidRDefault="00B630A1" w:rsidP="00B630A1">
      <w:r w:rsidRPr="00B630A1">
        <w:t>The open</w:t>
      </w:r>
      <w:r>
        <w:t xml:space="preserve"> </w:t>
      </w:r>
      <w:r w:rsidRPr="00B630A1">
        <w:t>label extension study</w:t>
      </w:r>
      <w:r w:rsidR="00A87ACD">
        <w:t>, Study</w:t>
      </w:r>
      <w:r w:rsidRPr="00B630A1">
        <w:t xml:space="preserve"> </w:t>
      </w:r>
      <w:r w:rsidR="00FF2B9F" w:rsidRPr="00616D6B">
        <w:t xml:space="preserve">IM011075 </w:t>
      </w:r>
      <w:r w:rsidRPr="00B630A1">
        <w:t xml:space="preserve">provided supportive evidence for long term maintenance of efficacy: participants who were last treated with </w:t>
      </w:r>
      <w:proofErr w:type="spellStart"/>
      <w:r w:rsidRPr="00B630A1">
        <w:t>deucravacitinib</w:t>
      </w:r>
      <w:proofErr w:type="spellEnd"/>
      <w:r w:rsidRPr="00B630A1">
        <w:t xml:space="preserve"> in their </w:t>
      </w:r>
      <w:r w:rsidRPr="00B630A1">
        <w:lastRenderedPageBreak/>
        <w:t xml:space="preserve">respective parent study maintained </w:t>
      </w:r>
      <w:proofErr w:type="spellStart"/>
      <w:r w:rsidRPr="00B630A1">
        <w:t>sPGA</w:t>
      </w:r>
      <w:proofErr w:type="spellEnd"/>
      <w:r w:rsidRPr="00B630A1">
        <w:t xml:space="preserve"> 0/1 and PASI</w:t>
      </w:r>
      <w:r>
        <w:t xml:space="preserve"> </w:t>
      </w:r>
      <w:r w:rsidRPr="00B630A1">
        <w:t xml:space="preserve">75 response rates up to </w:t>
      </w:r>
      <w:r>
        <w:t>W</w:t>
      </w:r>
      <w:r w:rsidRPr="00B630A1">
        <w:t>eek 60 of open</w:t>
      </w:r>
      <w:r>
        <w:t xml:space="preserve"> </w:t>
      </w:r>
      <w:r w:rsidRPr="00B630A1">
        <w:t xml:space="preserve">label treatment in the </w:t>
      </w:r>
      <w:proofErr w:type="gramStart"/>
      <w:r w:rsidR="00637A42">
        <w:t>long term</w:t>
      </w:r>
      <w:proofErr w:type="gramEnd"/>
      <w:r w:rsidR="00637A42">
        <w:t xml:space="preserve"> extension</w:t>
      </w:r>
      <w:r w:rsidRPr="00B630A1">
        <w:t xml:space="preserve"> study. Participants who were last treated with apremilast in their respective parent study and switched to </w:t>
      </w:r>
      <w:proofErr w:type="spellStart"/>
      <w:r w:rsidRPr="00B630A1">
        <w:t>deucravacitinib</w:t>
      </w:r>
      <w:proofErr w:type="spellEnd"/>
      <w:r w:rsidRPr="00B630A1">
        <w:t xml:space="preserve"> also maintained </w:t>
      </w:r>
      <w:proofErr w:type="spellStart"/>
      <w:r w:rsidRPr="00B630A1">
        <w:t>sPGA</w:t>
      </w:r>
      <w:proofErr w:type="spellEnd"/>
      <w:r w:rsidRPr="00B630A1">
        <w:t xml:space="preserve"> 0/1 and PASI 75 response rates. Participants who were last treated with placebo in their respective parent study and switched to </w:t>
      </w:r>
      <w:proofErr w:type="spellStart"/>
      <w:r w:rsidRPr="00B630A1">
        <w:t>deucravacitinib</w:t>
      </w:r>
      <w:proofErr w:type="spellEnd"/>
      <w:r w:rsidRPr="00B630A1">
        <w:t xml:space="preserve"> in the </w:t>
      </w:r>
      <w:proofErr w:type="gramStart"/>
      <w:r w:rsidR="00637A42">
        <w:t>long term</w:t>
      </w:r>
      <w:proofErr w:type="gramEnd"/>
      <w:r w:rsidR="00637A42">
        <w:t xml:space="preserve"> extension</w:t>
      </w:r>
      <w:r w:rsidRPr="00B630A1">
        <w:t xml:space="preserve"> experienced increases in </w:t>
      </w:r>
      <w:proofErr w:type="spellStart"/>
      <w:r w:rsidRPr="00B630A1">
        <w:t>sPGA</w:t>
      </w:r>
      <w:proofErr w:type="spellEnd"/>
      <w:r w:rsidRPr="00B630A1">
        <w:t xml:space="preserve"> 0/1 and PASI</w:t>
      </w:r>
      <w:r>
        <w:t xml:space="preserve"> </w:t>
      </w:r>
      <w:r w:rsidRPr="00B630A1">
        <w:t xml:space="preserve">75 rates up to Week 16 that were maintained through Week 60. In this group </w:t>
      </w:r>
      <w:proofErr w:type="spellStart"/>
      <w:r w:rsidRPr="00B630A1">
        <w:t>sPGA</w:t>
      </w:r>
      <w:proofErr w:type="spellEnd"/>
      <w:r w:rsidRPr="00B630A1">
        <w:t xml:space="preserve"> 0/1 rates were 25.4%, 63.6%, 74.2%, 66% and 61.5% at </w:t>
      </w:r>
      <w:r>
        <w:t>W</w:t>
      </w:r>
      <w:r w:rsidRPr="00B630A1">
        <w:t xml:space="preserve">eek 0, </w:t>
      </w:r>
      <w:r>
        <w:t>W</w:t>
      </w:r>
      <w:r w:rsidRPr="00B630A1">
        <w:t>eek 8, 16, 48 and 60, respectively; PASI 75 response rates were 34.5%, 71.3%, 84.0%, 89% and 80.8%, respectively.</w:t>
      </w:r>
    </w:p>
    <w:p w14:paraId="082EE674" w14:textId="401DB42F" w:rsidR="00B630A1" w:rsidRPr="00B630A1" w:rsidRDefault="00B630A1" w:rsidP="00B630A1">
      <w:pPr>
        <w:pStyle w:val="Heading4"/>
      </w:pPr>
      <w:bookmarkStart w:id="58" w:name="_Toc141445520"/>
      <w:r w:rsidRPr="00B630A1">
        <w:t>Safety</w:t>
      </w:r>
      <w:bookmarkEnd w:id="58"/>
    </w:p>
    <w:p w14:paraId="0A4BA8B7" w14:textId="769A91FE" w:rsidR="00B630A1" w:rsidRPr="00B630A1" w:rsidRDefault="00B630A1" w:rsidP="00B630A1">
      <w:r w:rsidRPr="00B630A1">
        <w:t xml:space="preserve">The main studies providing safety data included two pivotal Phase </w:t>
      </w:r>
      <w:r>
        <w:t>III</w:t>
      </w:r>
      <w:r w:rsidRPr="00B630A1">
        <w:t xml:space="preserve"> studies</w:t>
      </w:r>
      <w:r>
        <w:t>,</w:t>
      </w:r>
      <w:r w:rsidRPr="00B630A1">
        <w:t xml:space="preserve"> POETYK-1</w:t>
      </w:r>
      <w:r>
        <w:t xml:space="preserve"> trial, </w:t>
      </w:r>
      <w:r w:rsidRPr="00B630A1">
        <w:t>POETYK-2</w:t>
      </w:r>
      <w:r>
        <w:t xml:space="preserve"> trial</w:t>
      </w:r>
      <w:r w:rsidRPr="00B630A1">
        <w:t xml:space="preserve"> and one open</w:t>
      </w:r>
      <w:r>
        <w:t xml:space="preserve"> </w:t>
      </w:r>
      <w:r w:rsidRPr="00B630A1">
        <w:t xml:space="preserve">label, </w:t>
      </w:r>
      <w:r w:rsidR="00637A42">
        <w:t>long term extension</w:t>
      </w:r>
      <w:r w:rsidRPr="00B630A1">
        <w:t xml:space="preserve"> Phase </w:t>
      </w:r>
      <w:r>
        <w:t>III</w:t>
      </w:r>
      <w:r w:rsidRPr="00B630A1">
        <w:t xml:space="preserve"> study</w:t>
      </w:r>
      <w:r>
        <w:t>,</w:t>
      </w:r>
      <w:r w:rsidRPr="00B630A1">
        <w:t xml:space="preserve"> </w:t>
      </w:r>
      <w:r>
        <w:t xml:space="preserve">Study </w:t>
      </w:r>
      <w:r w:rsidRPr="00B630A1">
        <w:t xml:space="preserve">IM011075. Supportive safety data was also provided by a Phase </w:t>
      </w:r>
      <w:r>
        <w:t>II</w:t>
      </w:r>
      <w:r w:rsidRPr="00B630A1">
        <w:t xml:space="preserve"> clinical trial in psoriasis (</w:t>
      </w:r>
      <w:r>
        <w:t>Study</w:t>
      </w:r>
      <w:r w:rsidR="00A87ACD">
        <w:t> </w:t>
      </w:r>
      <w:r w:rsidRPr="00B630A1">
        <w:t xml:space="preserve">IM011011), a Phase </w:t>
      </w:r>
      <w:r>
        <w:t>II</w:t>
      </w:r>
      <w:r w:rsidRPr="00B630A1">
        <w:t xml:space="preserve"> clinical trial in adults with psoriatic arthritis (</w:t>
      </w:r>
      <w:r>
        <w:t>Study</w:t>
      </w:r>
      <w:r w:rsidR="00A87ACD">
        <w:t> </w:t>
      </w:r>
      <w:r w:rsidRPr="00B630A1">
        <w:t xml:space="preserve">IM011084, Part A) and the 18 clinical pharmacology studies. Further supportive safety information was provided from ongoing studies with </w:t>
      </w:r>
      <w:proofErr w:type="spellStart"/>
      <w:r w:rsidRPr="00B630A1">
        <w:t>deucravacitinib</w:t>
      </w:r>
      <w:proofErr w:type="spellEnd"/>
      <w:r w:rsidRPr="00B630A1">
        <w:t xml:space="preserve"> in patients with psoriasis and non-psoriasis indications. The provided narratives, which were not included in the integrated safety analysis, referred to deaths, serious adverse events, and adverse events leading to treatment discontinuation, and from the unblinded studies also suspected unexpected serious adverse reactions and any pregnancy outcomes.</w:t>
      </w:r>
    </w:p>
    <w:p w14:paraId="13942D47" w14:textId="75014EB7" w:rsidR="00B630A1" w:rsidRPr="00B630A1" w:rsidRDefault="00B630A1" w:rsidP="00B630A1">
      <w:r w:rsidRPr="00B630A1">
        <w:t xml:space="preserve">Safety evaluations included general medical history (including history of tobacco use), psoriasis-related history including prior systemic treatment, other prior and concomitant treatments, physical examinations and measurements, vital signs, electrocardiograms, chest imaging, and laboratory tests. Pre-specified AEs of interest, which represent potential safety concerns related to the drug’s mechanism of action, observations from prior clinical studies with </w:t>
      </w:r>
      <w:proofErr w:type="spellStart"/>
      <w:r>
        <w:t>deucravacitinib</w:t>
      </w:r>
      <w:proofErr w:type="spellEnd"/>
      <w:r>
        <w:t xml:space="preserve"> </w:t>
      </w:r>
      <w:r w:rsidRPr="00B630A1">
        <w:t>and with inhibitors of IL-23, IL-12, and/or IL-17, and/or the underlying disease state included infections, skin events, malignancy, cardiac events, thromboembolic events, and suicidal ideation and behaviour.</w:t>
      </w:r>
    </w:p>
    <w:p w14:paraId="3699CA7F" w14:textId="2E476FB6" w:rsidR="00B630A1" w:rsidRPr="00B630A1" w:rsidRDefault="00B630A1" w:rsidP="00B630A1">
      <w:r w:rsidRPr="00B630A1">
        <w:t>The integrated safety analysis was done in two safety pools:</w:t>
      </w:r>
    </w:p>
    <w:p w14:paraId="44FA2B79" w14:textId="65922C11" w:rsidR="00B630A1" w:rsidRPr="00B630A1" w:rsidRDefault="00B630A1" w:rsidP="00B630A1">
      <w:pPr>
        <w:pStyle w:val="ListBullet"/>
      </w:pPr>
      <w:r w:rsidRPr="00B630A1">
        <w:t xml:space="preserve">A </w:t>
      </w:r>
      <w:r>
        <w:t>c</w:t>
      </w:r>
      <w:r w:rsidRPr="00B630A1">
        <w:t xml:space="preserve">ontrolled </w:t>
      </w:r>
      <w:r>
        <w:t>s</w:t>
      </w:r>
      <w:r w:rsidRPr="00B630A1">
        <w:t xml:space="preserve">afety </w:t>
      </w:r>
      <w:r>
        <w:t>p</w:t>
      </w:r>
      <w:r w:rsidRPr="00B630A1">
        <w:t>ool drawn from active and placebo-controlled periods of POETYK-1 and POETYK-2</w:t>
      </w:r>
      <w:r>
        <w:t xml:space="preserve"> trials</w:t>
      </w:r>
      <w:r w:rsidRPr="00B630A1">
        <w:t>, which had identical eligibility criteria and were of identical study designs until Week 24.</w:t>
      </w:r>
    </w:p>
    <w:p w14:paraId="4C62A9C8" w14:textId="0BE3899F" w:rsidR="00B630A1" w:rsidRPr="00B630A1" w:rsidRDefault="00B630A1" w:rsidP="00B630A1">
      <w:pPr>
        <w:pStyle w:val="ListBullet"/>
      </w:pPr>
      <w:r w:rsidRPr="00B630A1">
        <w:t xml:space="preserve">A Phase </w:t>
      </w:r>
      <w:r>
        <w:t>III</w:t>
      </w:r>
      <w:r w:rsidRPr="00B630A1">
        <w:t xml:space="preserve"> </w:t>
      </w:r>
      <w:r>
        <w:t>s</w:t>
      </w:r>
      <w:r w:rsidRPr="00B630A1">
        <w:t xml:space="preserve">afety </w:t>
      </w:r>
      <w:r>
        <w:t>p</w:t>
      </w:r>
      <w:r w:rsidRPr="00B630A1">
        <w:t>ool drawn from the uncontrolled periods of POETYK-1 and POETYK-2</w:t>
      </w:r>
      <w:r>
        <w:t xml:space="preserve"> trials</w:t>
      </w:r>
      <w:r w:rsidRPr="00B630A1">
        <w:t>, and from the extension study (</w:t>
      </w:r>
      <w:r>
        <w:t xml:space="preserve">Study </w:t>
      </w:r>
      <w:r w:rsidRPr="00B630A1">
        <w:t xml:space="preserve">IM011075) up to the safety </w:t>
      </w:r>
      <w:proofErr w:type="spellStart"/>
      <w:r w:rsidRPr="00B630A1">
        <w:t>cutoff</w:t>
      </w:r>
      <w:proofErr w:type="spellEnd"/>
      <w:r w:rsidRPr="00B630A1">
        <w:t xml:space="preserve"> date of 15</w:t>
      </w:r>
      <w:r w:rsidR="00A87ACD">
        <w:t> </w:t>
      </w:r>
      <w:r>
        <w:t>June</w:t>
      </w:r>
      <w:r w:rsidR="00A87ACD">
        <w:t> </w:t>
      </w:r>
      <w:r w:rsidRPr="00B630A1">
        <w:t>2021.</w:t>
      </w:r>
    </w:p>
    <w:p w14:paraId="00183BEC" w14:textId="122C7816" w:rsidR="00B630A1" w:rsidRPr="00B630A1" w:rsidRDefault="00B630A1" w:rsidP="00B630A1">
      <w:r w:rsidRPr="00B630A1">
        <w:t xml:space="preserve">In the Phase </w:t>
      </w:r>
      <w:r>
        <w:t>III</w:t>
      </w:r>
      <w:r w:rsidRPr="00B630A1">
        <w:t xml:space="preserve"> safety pool 1519 participants received at least one dose of </w:t>
      </w:r>
      <w:proofErr w:type="spellStart"/>
      <w:r w:rsidRPr="00B630A1">
        <w:t>deucravacitinib</w:t>
      </w:r>
      <w:proofErr w:type="spellEnd"/>
      <w:r w:rsidRPr="00B630A1">
        <w:t xml:space="preserve"> 6</w:t>
      </w:r>
      <w:r w:rsidR="00A87ACD">
        <w:t> </w:t>
      </w:r>
      <w:r w:rsidRPr="00B630A1">
        <w:t xml:space="preserve">mg with a total exposure of 2166.9 patient-years. Of these, 1317 participants had a total exposure to </w:t>
      </w:r>
      <w:proofErr w:type="spellStart"/>
      <w:r w:rsidRPr="00B630A1">
        <w:t>deucravacitinib</w:t>
      </w:r>
      <w:proofErr w:type="spellEnd"/>
      <w:r w:rsidRPr="00B630A1">
        <w:t xml:space="preserve"> of at least 26 weeks and 1312 received continuous exposure for at least 26</w:t>
      </w:r>
      <w:r>
        <w:t> </w:t>
      </w:r>
      <w:r w:rsidRPr="00B630A1">
        <w:t>weeks, 1141 had total exposure of at least 52 weeks and 1068 had continuous exposure for at least 52 weeks, and 296 participants had total exposure of at least 104 week</w:t>
      </w:r>
      <w:r>
        <w:t>s (</w:t>
      </w:r>
      <w:r>
        <w:fldChar w:fldCharType="begin"/>
      </w:r>
      <w:r>
        <w:instrText xml:space="preserve"> REF _Ref141352488 \h </w:instrText>
      </w:r>
      <w:r>
        <w:fldChar w:fldCharType="separate"/>
      </w:r>
      <w:r w:rsidR="00C63E2D" w:rsidRPr="00B630A1">
        <w:t xml:space="preserve">Table </w:t>
      </w:r>
      <w:r w:rsidR="00C63E2D">
        <w:rPr>
          <w:noProof/>
        </w:rPr>
        <w:t>9</w:t>
      </w:r>
      <w:r>
        <w:fldChar w:fldCharType="end"/>
      </w:r>
      <w:r>
        <w:t>)</w:t>
      </w:r>
      <w:r w:rsidRPr="00B630A1">
        <w:t xml:space="preserve">. The mean and median durations of exposure to </w:t>
      </w:r>
      <w:proofErr w:type="spellStart"/>
      <w:r w:rsidRPr="00B630A1">
        <w:t>deucravacitinib</w:t>
      </w:r>
      <w:proofErr w:type="spellEnd"/>
      <w:r w:rsidRPr="00B630A1">
        <w:t xml:space="preserve"> were 521 and 588 days, respectively.</w:t>
      </w:r>
    </w:p>
    <w:p w14:paraId="3CBF6D2E" w14:textId="7A4C85E7" w:rsidR="00B630A1" w:rsidRPr="00B630A1" w:rsidRDefault="00B630A1" w:rsidP="00B630A1">
      <w:r w:rsidRPr="00B630A1">
        <w:t xml:space="preserve">In the </w:t>
      </w:r>
      <w:r>
        <w:t>c</w:t>
      </w:r>
      <w:r w:rsidRPr="00B630A1">
        <w:t xml:space="preserve">ontrolled safety pool, a total of 1364 participants received at least one dose of </w:t>
      </w:r>
      <w:proofErr w:type="spellStart"/>
      <w:r w:rsidRPr="00B630A1">
        <w:t>deucravacitinib</w:t>
      </w:r>
      <w:proofErr w:type="spellEnd"/>
      <w:r w:rsidRPr="00B630A1">
        <w:t xml:space="preserve">, 666 received at least one dose of placebo, and 422 received at least one dose of apremilast. The mean duration of exposure was consistent across the treatment groups, with a median duration of exposure of 112 days (16 weeks) for each group during the </w:t>
      </w:r>
      <w:proofErr w:type="gramStart"/>
      <w:r>
        <w:t>p</w:t>
      </w:r>
      <w:r w:rsidRPr="00B630A1">
        <w:t>lacebo</w:t>
      </w:r>
      <w:r>
        <w:t xml:space="preserve"> </w:t>
      </w:r>
      <w:r w:rsidRPr="00B630A1">
        <w:t>controlled</w:t>
      </w:r>
      <w:proofErr w:type="gramEnd"/>
      <w:r w:rsidRPr="00B630A1">
        <w:t xml:space="preserve"> </w:t>
      </w:r>
      <w:r>
        <w:t>p</w:t>
      </w:r>
      <w:r w:rsidRPr="00B630A1">
        <w:t>eriod.</w:t>
      </w:r>
    </w:p>
    <w:p w14:paraId="46BF060A" w14:textId="667516E0" w:rsidR="00B630A1" w:rsidRDefault="00B630A1" w:rsidP="00B630A1">
      <w:pPr>
        <w:pStyle w:val="TableTitle"/>
      </w:pPr>
      <w:bookmarkStart w:id="59" w:name="_Ref141352488"/>
      <w:r w:rsidRPr="00B630A1">
        <w:lastRenderedPageBreak/>
        <w:t xml:space="preserve">Table </w:t>
      </w:r>
      <w:r>
        <w:fldChar w:fldCharType="begin"/>
      </w:r>
      <w:r>
        <w:instrText>SEQ Table \* ARABIC</w:instrText>
      </w:r>
      <w:r>
        <w:fldChar w:fldCharType="separate"/>
      </w:r>
      <w:r w:rsidR="00616D6B">
        <w:rPr>
          <w:noProof/>
        </w:rPr>
        <w:t>9</w:t>
      </w:r>
      <w:r>
        <w:fldChar w:fldCharType="end"/>
      </w:r>
      <w:bookmarkEnd w:id="59"/>
      <w:r>
        <w:t xml:space="preserve">: Exposure to </w:t>
      </w:r>
      <w:proofErr w:type="spellStart"/>
      <w:r>
        <w:t>deucravacitinib</w:t>
      </w:r>
      <w:proofErr w:type="spellEnd"/>
      <w:r>
        <w:t xml:space="preserve"> by safety pool in psoriasis studies</w:t>
      </w:r>
    </w:p>
    <w:p w14:paraId="4D5146A1" w14:textId="6674A197" w:rsidR="00B630A1" w:rsidRDefault="00B630A1" w:rsidP="00B630A1">
      <w:pPr>
        <w:pStyle w:val="Caption"/>
      </w:pPr>
      <w:r w:rsidRPr="00436635">
        <w:rPr>
          <w:noProof/>
        </w:rPr>
        <w:drawing>
          <wp:inline distT="0" distB="0" distL="0" distR="0" wp14:anchorId="5C4AA32E" wp14:editId="4405A76B">
            <wp:extent cx="5251450" cy="3188473"/>
            <wp:effectExtent l="0" t="0" r="6350" b="0"/>
            <wp:docPr id="15" name="Picture 15" descr="Exposure to deucravacitinib by safety pool in psoriasi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posure to deucravacitinib by safety pool in psoriasis studies"/>
                    <pic:cNvPicPr>
                      <a:picLocks noChangeAspect="1" noChangeArrowheads="1"/>
                    </pic:cNvPicPr>
                  </pic:nvPicPr>
                  <pic:blipFill rotWithShape="1">
                    <a:blip r:embed="rId38">
                      <a:extLst>
                        <a:ext uri="{28A0092B-C50C-407E-A947-70E740481C1C}">
                          <a14:useLocalDpi xmlns:a14="http://schemas.microsoft.com/office/drawing/2010/main" val="0"/>
                        </a:ext>
                      </a:extLst>
                    </a:blip>
                    <a:srcRect b="9853"/>
                    <a:stretch/>
                  </pic:blipFill>
                  <pic:spPr bwMode="auto">
                    <a:xfrm>
                      <a:off x="0" y="0"/>
                      <a:ext cx="5251450" cy="3188473"/>
                    </a:xfrm>
                    <a:prstGeom prst="rect">
                      <a:avLst/>
                    </a:prstGeom>
                    <a:noFill/>
                    <a:ln>
                      <a:noFill/>
                    </a:ln>
                    <a:extLst>
                      <a:ext uri="{53640926-AAD7-44D8-BBD7-CCE9431645EC}">
                        <a14:shadowObscured xmlns:a14="http://schemas.microsoft.com/office/drawing/2010/main"/>
                      </a:ext>
                    </a:extLst>
                  </pic:spPr>
                </pic:pic>
              </a:graphicData>
            </a:graphic>
          </wp:inline>
        </w:drawing>
      </w:r>
      <w:r w:rsidRPr="00436635">
        <w:rPr>
          <w:noProof/>
        </w:rPr>
        <w:drawing>
          <wp:inline distT="0" distB="0" distL="0" distR="0" wp14:anchorId="64D7480A" wp14:editId="035AE6C5">
            <wp:extent cx="5251450" cy="165597"/>
            <wp:effectExtent l="0" t="0" r="0" b="6350"/>
            <wp:docPr id="18" name="Picture 18" descr="Exposure to deucravacitinib by safety pool in psoriasi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posure to deucravacitinib by safety pool in psoriasis studies"/>
                    <pic:cNvPicPr>
                      <a:picLocks noChangeAspect="1" noChangeArrowheads="1"/>
                    </pic:cNvPicPr>
                  </pic:nvPicPr>
                  <pic:blipFill rotWithShape="1">
                    <a:blip r:embed="rId38">
                      <a:extLst>
                        <a:ext uri="{28A0092B-C50C-407E-A947-70E740481C1C}">
                          <a14:useLocalDpi xmlns:a14="http://schemas.microsoft.com/office/drawing/2010/main" val="0"/>
                        </a:ext>
                      </a:extLst>
                    </a:blip>
                    <a:srcRect t="95318"/>
                    <a:stretch/>
                  </pic:blipFill>
                  <pic:spPr bwMode="auto">
                    <a:xfrm>
                      <a:off x="0" y="0"/>
                      <a:ext cx="5251450" cy="165597"/>
                    </a:xfrm>
                    <a:prstGeom prst="rect">
                      <a:avLst/>
                    </a:prstGeom>
                    <a:noFill/>
                    <a:ln>
                      <a:noFill/>
                    </a:ln>
                    <a:extLst>
                      <a:ext uri="{53640926-AAD7-44D8-BBD7-CCE9431645EC}">
                        <a14:shadowObscured xmlns:a14="http://schemas.microsoft.com/office/drawing/2010/main"/>
                      </a:ext>
                    </a:extLst>
                  </pic:spPr>
                </pic:pic>
              </a:graphicData>
            </a:graphic>
          </wp:inline>
        </w:drawing>
      </w:r>
    </w:p>
    <w:p w14:paraId="236802B6" w14:textId="76645DBD" w:rsidR="00B630A1" w:rsidRDefault="00B630A1" w:rsidP="00B630A1">
      <w:r w:rsidRPr="00B630A1">
        <w:t xml:space="preserve">In the controlled safety pool, </w:t>
      </w:r>
      <w:r w:rsidR="00431975">
        <w:t>AE</w:t>
      </w:r>
      <w:r w:rsidRPr="00B630A1">
        <w:t xml:space="preserve"> irrespective of relationship to treatment were more frequent in the </w:t>
      </w:r>
      <w:proofErr w:type="spellStart"/>
      <w:r w:rsidRPr="00B630A1">
        <w:t>deucravacitinib</w:t>
      </w:r>
      <w:proofErr w:type="spellEnd"/>
      <w:r w:rsidRPr="00B630A1">
        <w:t>- (55.7%) and apremilast-treated (57.6%) arms than in the placebo</w:t>
      </w:r>
      <w:r w:rsidR="00431975">
        <w:t xml:space="preserve"> </w:t>
      </w:r>
      <w:r w:rsidRPr="00B630A1">
        <w:t>treated arm (49.6%</w:t>
      </w:r>
      <w:r w:rsidR="00431975">
        <w:t xml:space="preserve">, </w:t>
      </w:r>
      <w:r w:rsidR="00431975">
        <w:fldChar w:fldCharType="begin"/>
      </w:r>
      <w:r w:rsidR="00431975">
        <w:instrText xml:space="preserve"> REF _Ref141352576 \h </w:instrText>
      </w:r>
      <w:r w:rsidR="00431975">
        <w:fldChar w:fldCharType="separate"/>
      </w:r>
      <w:r w:rsidR="00C63E2D" w:rsidRPr="00431975">
        <w:t xml:space="preserve">Table </w:t>
      </w:r>
      <w:r w:rsidR="00C63E2D">
        <w:rPr>
          <w:noProof/>
        </w:rPr>
        <w:t>10</w:t>
      </w:r>
      <w:r w:rsidR="00431975">
        <w:fldChar w:fldCharType="end"/>
      </w:r>
      <w:r w:rsidR="00431975">
        <w:t>)</w:t>
      </w:r>
      <w:r w:rsidRPr="00B630A1">
        <w:t>. Similarly, treatment-related AEs were also more frequent in the active treatment arms. This general pattern was maintained over the 52-week treatment period.</w:t>
      </w:r>
    </w:p>
    <w:p w14:paraId="6A46D6A1" w14:textId="1753B0BD" w:rsidR="00431975" w:rsidRDefault="00B630A1" w:rsidP="00431975">
      <w:pPr>
        <w:pStyle w:val="TableTitle"/>
      </w:pPr>
      <w:bookmarkStart w:id="60" w:name="_Ref141352576"/>
      <w:r w:rsidRPr="00431975">
        <w:t xml:space="preserve">Table </w:t>
      </w:r>
      <w:r>
        <w:fldChar w:fldCharType="begin"/>
      </w:r>
      <w:r>
        <w:instrText>SEQ Table \* ARABIC</w:instrText>
      </w:r>
      <w:r>
        <w:fldChar w:fldCharType="separate"/>
      </w:r>
      <w:r w:rsidR="00616D6B">
        <w:rPr>
          <w:noProof/>
        </w:rPr>
        <w:t>10</w:t>
      </w:r>
      <w:r>
        <w:fldChar w:fldCharType="end"/>
      </w:r>
      <w:bookmarkEnd w:id="60"/>
      <w:r w:rsidR="00431975">
        <w:t>: Overall safety summary – controlled safety pool (Week 0 to 16)</w:t>
      </w:r>
    </w:p>
    <w:p w14:paraId="7AED1627" w14:textId="625E184F" w:rsidR="00431975" w:rsidRDefault="00431975" w:rsidP="00431975">
      <w:r w:rsidRPr="007B4370">
        <w:rPr>
          <w:noProof/>
        </w:rPr>
        <w:drawing>
          <wp:inline distT="0" distB="0" distL="0" distR="0" wp14:anchorId="5318DDFB" wp14:editId="7BDF0051">
            <wp:extent cx="5731510" cy="2128105"/>
            <wp:effectExtent l="0" t="0" r="2540" b="5715"/>
            <wp:docPr id="25" name="Picture 25" descr="Overall safety summary – controlled safety pool (Week 0 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verall safety summary – controlled safety pool (Week 0 to 16)"/>
                    <pic:cNvPicPr>
                      <a:picLocks noChangeAspect="1" noChangeArrowheads="1"/>
                    </pic:cNvPicPr>
                  </pic:nvPicPr>
                  <pic:blipFill rotWithShape="1">
                    <a:blip r:embed="rId39">
                      <a:extLst>
                        <a:ext uri="{28A0092B-C50C-407E-A947-70E740481C1C}">
                          <a14:useLocalDpi xmlns:a14="http://schemas.microsoft.com/office/drawing/2010/main" val="0"/>
                        </a:ext>
                      </a:extLst>
                    </a:blip>
                    <a:srcRect t="-1680" b="11759"/>
                    <a:stretch/>
                  </pic:blipFill>
                  <pic:spPr bwMode="auto">
                    <a:xfrm>
                      <a:off x="0" y="0"/>
                      <a:ext cx="5731510" cy="2128105"/>
                    </a:xfrm>
                    <a:prstGeom prst="rect">
                      <a:avLst/>
                    </a:prstGeom>
                    <a:noFill/>
                    <a:ln>
                      <a:noFill/>
                    </a:ln>
                    <a:extLst>
                      <a:ext uri="{53640926-AAD7-44D8-BBD7-CCE9431645EC}">
                        <a14:shadowObscured xmlns:a14="http://schemas.microsoft.com/office/drawing/2010/main"/>
                      </a:ext>
                    </a:extLst>
                  </pic:spPr>
                </pic:pic>
              </a:graphicData>
            </a:graphic>
          </wp:inline>
        </w:drawing>
      </w:r>
    </w:p>
    <w:p w14:paraId="567A50E4" w14:textId="2FE93228" w:rsidR="00431975" w:rsidRPr="00431975" w:rsidRDefault="00431975" w:rsidP="00431975">
      <w:r w:rsidRPr="00431975">
        <w:t xml:space="preserve">In the </w:t>
      </w:r>
      <w:proofErr w:type="spellStart"/>
      <w:r w:rsidRPr="00431975">
        <w:t>deucravacitinib</w:t>
      </w:r>
      <w:proofErr w:type="spellEnd"/>
      <w:r w:rsidRPr="00431975">
        <w:t>- and placebo-treated arms, the MedDRA System Organ Classification (SOC) with most frequently reported AEs in the placebo-controlled period was infections and infestations (29.1% and 21.5%, respectively). In the apremilast</w:t>
      </w:r>
      <w:r>
        <w:t xml:space="preserve"> </w:t>
      </w:r>
      <w:r w:rsidRPr="00431975">
        <w:t xml:space="preserve">treated arm, infections and infestations were recorded by 22% but the most frequently reported AEs were in the SOC gastrointestinal disorders (25.8%), with incidence rates around twice as high as reported in the </w:t>
      </w:r>
      <w:proofErr w:type="spellStart"/>
      <w:r w:rsidRPr="00431975">
        <w:t>deucravacitinib</w:t>
      </w:r>
      <w:proofErr w:type="spellEnd"/>
      <w:r w:rsidRPr="00431975">
        <w:t xml:space="preserve">- and placebo-treated arms. AE reports in the SOC skin and subcutaneous tissues were higher in the </w:t>
      </w:r>
      <w:proofErr w:type="spellStart"/>
      <w:r w:rsidRPr="00431975">
        <w:t>deucravacitinib</w:t>
      </w:r>
      <w:proofErr w:type="spellEnd"/>
      <w:r w:rsidRPr="00431975">
        <w:t xml:space="preserve"> arm (8.9%) than in placebo (5.3%) or apremilast (5.9%) arms. Other SOC with AE reports </w:t>
      </w:r>
      <w:r w:rsidR="00A87ACD">
        <w:t>of at least</w:t>
      </w:r>
      <w:r>
        <w:t xml:space="preserve"> </w:t>
      </w:r>
      <w:r w:rsidRPr="00431975">
        <w:t xml:space="preserve">5% in the </w:t>
      </w:r>
      <w:proofErr w:type="spellStart"/>
      <w:r w:rsidRPr="00431975">
        <w:t>deucravacitinib</w:t>
      </w:r>
      <w:proofErr w:type="spellEnd"/>
      <w:r w:rsidRPr="00431975">
        <w:t>-treated arm were musculoskeletal and connective tissue disorders (7.8%), nervous system disorders (7.2%) and investigations (6.2%).</w:t>
      </w:r>
    </w:p>
    <w:p w14:paraId="2D7E2A3F" w14:textId="29924DBA" w:rsidR="00431975" w:rsidRPr="00431975" w:rsidRDefault="00431975" w:rsidP="00431975">
      <w:r w:rsidRPr="00431975">
        <w:lastRenderedPageBreak/>
        <w:t xml:space="preserve">The most frequently reported AE by preferred term (PT) in any treatment arm during the </w:t>
      </w:r>
      <w:proofErr w:type="gramStart"/>
      <w:r w:rsidRPr="00431975">
        <w:t>16</w:t>
      </w:r>
      <w:r w:rsidR="00A87ACD">
        <w:t> </w:t>
      </w:r>
      <w:r w:rsidRPr="00431975">
        <w:t>week</w:t>
      </w:r>
      <w:proofErr w:type="gramEnd"/>
      <w:r w:rsidRPr="00431975">
        <w:t xml:space="preserve"> placebo</w:t>
      </w:r>
      <w:r>
        <w:t xml:space="preserve"> </w:t>
      </w:r>
      <w:r w:rsidRPr="00431975">
        <w:t xml:space="preserve">controlled period were nasopharyngitis in the </w:t>
      </w:r>
      <w:proofErr w:type="spellStart"/>
      <w:r w:rsidRPr="00431975">
        <w:t>deucravacitinib</w:t>
      </w:r>
      <w:proofErr w:type="spellEnd"/>
      <w:r w:rsidRPr="00431975">
        <w:t xml:space="preserve"> (9%) and placebo (8.6%), and diarrhoea (11.8%), headache (10.7%) and nausea (10%) in the apremilast arm. By PT, upper respiratory tract infection was slightly more frequently reported in the </w:t>
      </w:r>
      <w:proofErr w:type="spellStart"/>
      <w:r w:rsidRPr="00431975">
        <w:t>deucravacitinib</w:t>
      </w:r>
      <w:proofErr w:type="spellEnd"/>
      <w:r w:rsidRPr="00431975">
        <w:t xml:space="preserve"> group (5.5%) than in either the placebo (4.1%) or apremilast (4%) groups. Additional analyses applying customised groupings of related PTs confirmed that participants treated with </w:t>
      </w:r>
      <w:proofErr w:type="spellStart"/>
      <w:r w:rsidRPr="00431975">
        <w:t>deucravacitinib</w:t>
      </w:r>
      <w:proofErr w:type="spellEnd"/>
      <w:r w:rsidRPr="00431975">
        <w:t xml:space="preserve"> generally reported a higher incidence of URTIs (18.9%, 16.6% and 14.8% in </w:t>
      </w:r>
      <w:proofErr w:type="spellStart"/>
      <w:r w:rsidRPr="00431975">
        <w:t>deucravacitinib</w:t>
      </w:r>
      <w:proofErr w:type="spellEnd"/>
      <w:r w:rsidRPr="00431975">
        <w:t>, apremilast and placebo groups, respectively), acneiform rash (3.6%, 0.9% and 0.2%, respectively), oral ulcers (1.9%, 0% and 0%, respectively) and herpes simplex infection (2%, 0.5% and 0.2%, respectively) than participants treated with placebo or apremilast.</w:t>
      </w:r>
    </w:p>
    <w:p w14:paraId="5C27908C" w14:textId="27FAD27E" w:rsidR="00431975" w:rsidRPr="00431975" w:rsidRDefault="00431975" w:rsidP="00431975">
      <w:r w:rsidRPr="00431975">
        <w:t xml:space="preserve">There were no clinically meaningful changes from baseline in haematology or chemistry parameters, including creatinine phosphokinase and lipids. Laboratory abnormalities were infrequent, balanced across the </w:t>
      </w:r>
      <w:proofErr w:type="spellStart"/>
      <w:r w:rsidRPr="00431975">
        <w:t>deucravacitinib</w:t>
      </w:r>
      <w:proofErr w:type="spellEnd"/>
      <w:r w:rsidRPr="00431975">
        <w:t xml:space="preserve">, placebo, and apremilast treatment groups, and showed no evidence of organ toxicity. Laboratory abnormalities observed were mostly associated with transient changes generally not leading to dose interruption or discontinuation. Creatinine phosphokinase elevations of </w:t>
      </w:r>
      <w:r w:rsidR="00A87ACD">
        <w:t>at least</w:t>
      </w:r>
      <w:r w:rsidRPr="00431975">
        <w:t xml:space="preserve"> 2.5x </w:t>
      </w:r>
      <w:r w:rsidR="00A87ACD">
        <w:t>upper limit of normal</w:t>
      </w:r>
      <w:r w:rsidRPr="00431975">
        <w:t xml:space="preserve"> (Grade 2 elevation) were categorized as events of interest and occurred more frequently in the </w:t>
      </w:r>
      <w:proofErr w:type="spellStart"/>
      <w:r>
        <w:t>deucravacitinib</w:t>
      </w:r>
      <w:proofErr w:type="spellEnd"/>
      <w:r w:rsidRPr="00431975">
        <w:t xml:space="preserve"> treatment group.</w:t>
      </w:r>
    </w:p>
    <w:p w14:paraId="74E126A5" w14:textId="7F497EF7" w:rsidR="00431975" w:rsidRPr="00431975" w:rsidRDefault="00431975" w:rsidP="00431975">
      <w:r w:rsidRPr="00431975">
        <w:t>Reports of serious AEs (SAEs) were relatively low in the 16</w:t>
      </w:r>
      <w:r>
        <w:t xml:space="preserve"> </w:t>
      </w:r>
      <w:r w:rsidRPr="00431975">
        <w:t>week placebo</w:t>
      </w:r>
      <w:r>
        <w:t xml:space="preserve"> </w:t>
      </w:r>
      <w:r w:rsidRPr="00431975">
        <w:t>controlled period</w:t>
      </w:r>
      <w:r>
        <w:t xml:space="preserve"> (</w:t>
      </w:r>
      <w:r>
        <w:fldChar w:fldCharType="begin"/>
      </w:r>
      <w:r>
        <w:instrText xml:space="preserve"> REF _Ref141352576 \h </w:instrText>
      </w:r>
      <w:r>
        <w:fldChar w:fldCharType="separate"/>
      </w:r>
      <w:r w:rsidR="00C63E2D" w:rsidRPr="00431975">
        <w:t xml:space="preserve">Table </w:t>
      </w:r>
      <w:r w:rsidR="00C63E2D">
        <w:rPr>
          <w:noProof/>
        </w:rPr>
        <w:t>10</w:t>
      </w:r>
      <w:r>
        <w:fldChar w:fldCharType="end"/>
      </w:r>
      <w:r>
        <w:t>)</w:t>
      </w:r>
      <w:r w:rsidRPr="00431975">
        <w:t>; over the 52</w:t>
      </w:r>
      <w:r>
        <w:t xml:space="preserve"> </w:t>
      </w:r>
      <w:r w:rsidRPr="00431975">
        <w:t xml:space="preserve">week study period, few SAEs were reported by more than one participant in any treatment arm but more frequently in the </w:t>
      </w:r>
      <w:proofErr w:type="spellStart"/>
      <w:r w:rsidRPr="00431975">
        <w:t>deucravacitinib</w:t>
      </w:r>
      <w:proofErr w:type="spellEnd"/>
      <w:r w:rsidRPr="00431975">
        <w:t xml:space="preserve"> arm</w:t>
      </w:r>
      <w:r>
        <w:t xml:space="preserve"> (</w:t>
      </w:r>
      <w:r>
        <w:fldChar w:fldCharType="begin"/>
      </w:r>
      <w:r>
        <w:instrText xml:space="preserve"> REF _Ref141352759 \h </w:instrText>
      </w:r>
      <w:r>
        <w:fldChar w:fldCharType="separate"/>
      </w:r>
      <w:r w:rsidR="00C63E2D" w:rsidRPr="00431975">
        <w:t xml:space="preserve">Table </w:t>
      </w:r>
      <w:r w:rsidR="00C63E2D">
        <w:rPr>
          <w:noProof/>
        </w:rPr>
        <w:t>11</w:t>
      </w:r>
      <w:r>
        <w:fldChar w:fldCharType="end"/>
      </w:r>
      <w:r>
        <w:t>).</w:t>
      </w:r>
    </w:p>
    <w:p w14:paraId="23CBD2AF" w14:textId="6292E68A" w:rsidR="00431975" w:rsidRDefault="00431975" w:rsidP="00431975">
      <w:pPr>
        <w:pStyle w:val="TableTitle"/>
      </w:pPr>
      <w:bookmarkStart w:id="61" w:name="_Ref141352759"/>
      <w:r w:rsidRPr="00431975">
        <w:t xml:space="preserve">Table </w:t>
      </w:r>
      <w:r>
        <w:fldChar w:fldCharType="begin"/>
      </w:r>
      <w:r>
        <w:instrText>SEQ Table \* ARABIC</w:instrText>
      </w:r>
      <w:r>
        <w:fldChar w:fldCharType="separate"/>
      </w:r>
      <w:r w:rsidR="00616D6B">
        <w:rPr>
          <w:noProof/>
        </w:rPr>
        <w:t>11</w:t>
      </w:r>
      <w:r>
        <w:fldChar w:fldCharType="end"/>
      </w:r>
      <w:bookmarkEnd w:id="61"/>
      <w:r>
        <w:t>: Serious adverse events in at least two participants in any treatment group over Weeks 0 to 52 Controlled Safety Pool</w:t>
      </w:r>
    </w:p>
    <w:p w14:paraId="4ED78430" w14:textId="34247B42" w:rsidR="00431975" w:rsidRDefault="00431975" w:rsidP="00431975">
      <w:pPr>
        <w:pStyle w:val="Caption"/>
      </w:pPr>
      <w:r w:rsidRPr="007925AC">
        <w:rPr>
          <w:noProof/>
        </w:rPr>
        <w:drawing>
          <wp:inline distT="0" distB="0" distL="0" distR="0" wp14:anchorId="00CFB1C7" wp14:editId="024E41ED">
            <wp:extent cx="5701942" cy="2385391"/>
            <wp:effectExtent l="0" t="0" r="0" b="0"/>
            <wp:docPr id="31" name="Picture 31" descr="Table 11: Serious adverse events in at least two participants in any treatment group over Weeks 0 to 52 Controlled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11: Serious adverse events in at least two participants in any treatment group over Weeks 0 to 52 Controlled Safety Poo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7282" cy="2416909"/>
                    </a:xfrm>
                    <a:prstGeom prst="rect">
                      <a:avLst/>
                    </a:prstGeom>
                    <a:noFill/>
                    <a:ln>
                      <a:noFill/>
                    </a:ln>
                  </pic:spPr>
                </pic:pic>
              </a:graphicData>
            </a:graphic>
          </wp:inline>
        </w:drawing>
      </w:r>
    </w:p>
    <w:p w14:paraId="7DE45CD4" w14:textId="795D7BB1" w:rsidR="00431975" w:rsidRPr="00431975" w:rsidRDefault="00431975" w:rsidP="00431975">
      <w:r w:rsidRPr="00431975">
        <w:t xml:space="preserve">Exposure-adjusted incidence rates (EAIR) calculated over the total </w:t>
      </w:r>
      <w:proofErr w:type="gramStart"/>
      <w:r w:rsidRPr="00431975">
        <w:t>52</w:t>
      </w:r>
      <w:r w:rsidR="00117A74">
        <w:t xml:space="preserve"> </w:t>
      </w:r>
      <w:r w:rsidRPr="00431975">
        <w:t>week</w:t>
      </w:r>
      <w:proofErr w:type="gramEnd"/>
      <w:r w:rsidRPr="00431975">
        <w:t xml:space="preserve"> exposure period of the controlled study safety pool, and from the Phase </w:t>
      </w:r>
      <w:r w:rsidR="00117A74">
        <w:t>III</w:t>
      </w:r>
      <w:r w:rsidRPr="00431975">
        <w:t xml:space="preserve"> safety pool did not flag any new or significant issues. The EAIR of AEs trended to be lower over the longer evaluation periods than reported in the placebo-controlled (and apremilast</w:t>
      </w:r>
      <w:r w:rsidR="00117A74">
        <w:t xml:space="preserve"> </w:t>
      </w:r>
      <w:r w:rsidRPr="00431975">
        <w:t>controlled) periods.</w:t>
      </w:r>
    </w:p>
    <w:p w14:paraId="3CCA3BDC" w14:textId="62C3357A" w:rsidR="00431975" w:rsidRPr="00431975" w:rsidRDefault="00431975" w:rsidP="00431975">
      <w:r w:rsidRPr="00431975">
        <w:t>Four deaths were reported in POETYK-1 and POETYK-2</w:t>
      </w:r>
      <w:r>
        <w:t xml:space="preserve"> trials</w:t>
      </w:r>
      <w:r w:rsidRPr="00431975">
        <w:t xml:space="preserve">. One </w:t>
      </w:r>
      <w:proofErr w:type="gramStart"/>
      <w:r w:rsidRPr="00431975">
        <w:t>75 y</w:t>
      </w:r>
      <w:r w:rsidR="00117A74">
        <w:t>ear old</w:t>
      </w:r>
      <w:proofErr w:type="gramEnd"/>
      <w:r w:rsidRPr="00431975">
        <w:t xml:space="preserve"> female in the </w:t>
      </w:r>
      <w:proofErr w:type="spellStart"/>
      <w:r w:rsidRPr="00431975">
        <w:t>deucravacitinib</w:t>
      </w:r>
      <w:proofErr w:type="spellEnd"/>
      <w:r w:rsidRPr="00431975">
        <w:t xml:space="preserve"> group had multiple episodes of cardiac arrest on </w:t>
      </w:r>
      <w:r w:rsidR="00117A74">
        <w:t>D</w:t>
      </w:r>
      <w:r w:rsidRPr="00431975">
        <w:t xml:space="preserve">ay 12 and was resuscitated and died on </w:t>
      </w:r>
      <w:r w:rsidR="00117A74">
        <w:t>D</w:t>
      </w:r>
      <w:r w:rsidRPr="00431975">
        <w:t xml:space="preserve">ay 13. This patient had discontinued </w:t>
      </w:r>
      <w:proofErr w:type="spellStart"/>
      <w:r w:rsidRPr="00431975">
        <w:t>deucravacitinib</w:t>
      </w:r>
      <w:proofErr w:type="spellEnd"/>
      <w:r w:rsidRPr="00431975">
        <w:t xml:space="preserve"> on </w:t>
      </w:r>
      <w:r w:rsidR="00117A74">
        <w:t>D</w:t>
      </w:r>
      <w:r w:rsidRPr="00431975">
        <w:t xml:space="preserve">ay 4 as she was taking leflunomide (prohibited by protocol) and was withdrawn from the study. Relevant medical history included hypertension, prior cerebrovascular accident (CVA) and cardiac pacemaker. A </w:t>
      </w:r>
      <w:proofErr w:type="gramStart"/>
      <w:r w:rsidRPr="00431975">
        <w:t>54 y</w:t>
      </w:r>
      <w:r w:rsidR="00117A74">
        <w:t>ear old</w:t>
      </w:r>
      <w:proofErr w:type="gramEnd"/>
      <w:r w:rsidRPr="00431975">
        <w:t xml:space="preserve"> male in the </w:t>
      </w:r>
      <w:proofErr w:type="spellStart"/>
      <w:r w:rsidRPr="00431975">
        <w:t>deucravacitinib</w:t>
      </w:r>
      <w:proofErr w:type="spellEnd"/>
      <w:r w:rsidRPr="00431975">
        <w:t xml:space="preserve"> group had a poorly differentiated hepatocellular carcinoma diagnosed following investigations for </w:t>
      </w:r>
      <w:r w:rsidR="00117A74">
        <w:t>gastrointestinal</w:t>
      </w:r>
      <w:r w:rsidRPr="00431975">
        <w:t xml:space="preserve"> symptoms on </w:t>
      </w:r>
      <w:r w:rsidR="00117A74">
        <w:t>D</w:t>
      </w:r>
      <w:r w:rsidRPr="00431975">
        <w:t xml:space="preserve">ay 212 and </w:t>
      </w:r>
      <w:r w:rsidRPr="00431975">
        <w:lastRenderedPageBreak/>
        <w:t xml:space="preserve">died at home on </w:t>
      </w:r>
      <w:r w:rsidR="00117A74">
        <w:t>D</w:t>
      </w:r>
      <w:r w:rsidRPr="00431975">
        <w:t xml:space="preserve">ay 298. A </w:t>
      </w:r>
      <w:proofErr w:type="gramStart"/>
      <w:r w:rsidRPr="00431975">
        <w:t>57 y</w:t>
      </w:r>
      <w:r w:rsidR="00117A74">
        <w:t>ear old</w:t>
      </w:r>
      <w:proofErr w:type="gramEnd"/>
      <w:r w:rsidRPr="00431975">
        <w:t xml:space="preserve"> female in the placebo group with hypertensive disease, obesity and sleep apnoea died on </w:t>
      </w:r>
      <w:r w:rsidR="00117A74">
        <w:t>D</w:t>
      </w:r>
      <w:r w:rsidRPr="00431975">
        <w:t xml:space="preserve">ay 23 (placebo was ceased on </w:t>
      </w:r>
      <w:r w:rsidR="00117A74">
        <w:t>D</w:t>
      </w:r>
      <w:r w:rsidRPr="00431975">
        <w:t>ay 17), and a 76 y</w:t>
      </w:r>
      <w:r w:rsidR="00117A74">
        <w:t>ear old</w:t>
      </w:r>
      <w:r w:rsidRPr="00431975">
        <w:t xml:space="preserve"> male in the apremilast group was diagnosed with lung cancer on </w:t>
      </w:r>
      <w:r w:rsidR="00117A74">
        <w:t>D</w:t>
      </w:r>
      <w:r w:rsidRPr="00431975">
        <w:t xml:space="preserve">ay 109 and developed a </w:t>
      </w:r>
      <w:r w:rsidR="00117A74">
        <w:t>gastrointestinal</w:t>
      </w:r>
      <w:r w:rsidRPr="00431975">
        <w:t xml:space="preserve"> bleed on </w:t>
      </w:r>
      <w:r w:rsidR="00117A74">
        <w:t>D</w:t>
      </w:r>
      <w:r w:rsidRPr="00431975">
        <w:t xml:space="preserve">ay 135, investigation identified a </w:t>
      </w:r>
      <w:r w:rsidR="00117A74">
        <w:t>gastrointestinal</w:t>
      </w:r>
      <w:r w:rsidRPr="00431975">
        <w:t xml:space="preserve"> arteriovenous malformation. All deaths were considered unrelated to study treatment.</w:t>
      </w:r>
    </w:p>
    <w:p w14:paraId="356730BA" w14:textId="591CA6FC" w:rsidR="00431975" w:rsidRPr="00431975" w:rsidRDefault="00431975" w:rsidP="00431975">
      <w:r w:rsidRPr="00431975">
        <w:t xml:space="preserve">Six deaths were reported in the </w:t>
      </w:r>
      <w:proofErr w:type="gramStart"/>
      <w:r w:rsidR="00637A42">
        <w:t>long term</w:t>
      </w:r>
      <w:proofErr w:type="gramEnd"/>
      <w:r w:rsidR="00637A42">
        <w:t xml:space="preserve"> extension</w:t>
      </w:r>
      <w:r w:rsidRPr="00431975">
        <w:t xml:space="preserve"> study (as of 15 June 2021). Five of the six deaths in the </w:t>
      </w:r>
      <w:r w:rsidR="00637A42">
        <w:t>long term extension</w:t>
      </w:r>
      <w:r w:rsidRPr="00431975">
        <w:t xml:space="preserve"> study were due to COVID-19 (58 y</w:t>
      </w:r>
      <w:r w:rsidR="00117A74">
        <w:t>ear old</w:t>
      </w:r>
      <w:r w:rsidRPr="00431975">
        <w:t xml:space="preserve"> male, D</w:t>
      </w:r>
      <w:r w:rsidR="00117A74">
        <w:t xml:space="preserve">ay </w:t>
      </w:r>
      <w:r w:rsidRPr="00431975">
        <w:t xml:space="preserve">157 of </w:t>
      </w:r>
      <w:r w:rsidR="00637A42">
        <w:t>long term extension</w:t>
      </w:r>
      <w:r w:rsidRPr="00431975">
        <w:t xml:space="preserve"> (515 days on </w:t>
      </w:r>
      <w:proofErr w:type="spellStart"/>
      <w:r w:rsidRPr="00431975">
        <w:t>deucravacitinib</w:t>
      </w:r>
      <w:proofErr w:type="spellEnd"/>
      <w:r w:rsidRPr="00431975">
        <w:t>); 84 y</w:t>
      </w:r>
      <w:r w:rsidR="00117A74">
        <w:t>ear old</w:t>
      </w:r>
      <w:r w:rsidRPr="00431975">
        <w:t xml:space="preserve"> male </w:t>
      </w:r>
      <w:r w:rsidR="00117A74">
        <w:t>D</w:t>
      </w:r>
      <w:r w:rsidRPr="00431975">
        <w:t xml:space="preserve">ay 111 of </w:t>
      </w:r>
      <w:r w:rsidR="00637A42">
        <w:t>long term extension</w:t>
      </w:r>
      <w:r w:rsidRPr="00431975">
        <w:t xml:space="preserve"> (476 days on </w:t>
      </w:r>
      <w:proofErr w:type="spellStart"/>
      <w:r w:rsidRPr="00431975">
        <w:t>deucravacitinib</w:t>
      </w:r>
      <w:proofErr w:type="spellEnd"/>
      <w:r w:rsidRPr="00431975">
        <w:t>), multiple comorbidities; 61 y</w:t>
      </w:r>
      <w:r w:rsidR="00117A74">
        <w:t>ear old</w:t>
      </w:r>
      <w:r w:rsidRPr="00431975">
        <w:t xml:space="preserve"> male </w:t>
      </w:r>
      <w:r w:rsidR="00117A74">
        <w:t>D</w:t>
      </w:r>
      <w:r w:rsidRPr="00431975">
        <w:t xml:space="preserve">ay 274 of </w:t>
      </w:r>
      <w:r w:rsidR="00637A42">
        <w:t>long term extension</w:t>
      </w:r>
      <w:r w:rsidRPr="00431975">
        <w:t xml:space="preserve"> (639 days on </w:t>
      </w:r>
      <w:proofErr w:type="spellStart"/>
      <w:r w:rsidRPr="00431975">
        <w:t>deucravacitinib</w:t>
      </w:r>
      <w:proofErr w:type="spellEnd"/>
      <w:r w:rsidRPr="00431975">
        <w:t xml:space="preserve">), Type 2 </w:t>
      </w:r>
      <w:r w:rsidR="00117A74" w:rsidRPr="00117A74">
        <w:t>diabetes mellitus</w:t>
      </w:r>
      <w:r w:rsidRPr="00431975">
        <w:t>, hypertension, hypercholesterolaemia; 64 y</w:t>
      </w:r>
      <w:r w:rsidR="00117A74">
        <w:t>ear old</w:t>
      </w:r>
      <w:r w:rsidRPr="00431975">
        <w:t xml:space="preserve"> female </w:t>
      </w:r>
      <w:r w:rsidR="00117A74">
        <w:t>D</w:t>
      </w:r>
      <w:r w:rsidRPr="00431975">
        <w:t xml:space="preserve">ay 203 of </w:t>
      </w:r>
      <w:r w:rsidR="00637A42">
        <w:t>long term extension</w:t>
      </w:r>
      <w:r w:rsidRPr="00431975">
        <w:t>; apremilast for first 24 weeks, comorbid diabetes, asthma, sleep apnoea and others; 68 y</w:t>
      </w:r>
      <w:r w:rsidR="00117A74">
        <w:t>ear old</w:t>
      </w:r>
      <w:r w:rsidRPr="00431975">
        <w:t xml:space="preserve"> male </w:t>
      </w:r>
      <w:r w:rsidR="00117A74">
        <w:t>D</w:t>
      </w:r>
      <w:r w:rsidRPr="00431975">
        <w:t xml:space="preserve">ay 186 of </w:t>
      </w:r>
      <w:r w:rsidR="00637A42">
        <w:t>long term extension</w:t>
      </w:r>
      <w:r w:rsidRPr="00431975">
        <w:t xml:space="preserve">, had been on apremilast to </w:t>
      </w:r>
      <w:r w:rsidR="00117A74">
        <w:t>W</w:t>
      </w:r>
      <w:r w:rsidRPr="00431975">
        <w:t xml:space="preserve">eek 24 and then placebo to </w:t>
      </w:r>
      <w:r w:rsidR="00117A74">
        <w:t>W</w:t>
      </w:r>
      <w:r w:rsidRPr="00431975">
        <w:t xml:space="preserve">eek 52 of parent trial). One death in the </w:t>
      </w:r>
      <w:proofErr w:type="gramStart"/>
      <w:r w:rsidR="00637A42">
        <w:t>long term</w:t>
      </w:r>
      <w:proofErr w:type="gramEnd"/>
      <w:r w:rsidR="00637A42">
        <w:t xml:space="preserve"> extension</w:t>
      </w:r>
      <w:r w:rsidRPr="00431975">
        <w:t xml:space="preserve"> was attributed to a ruptured thoracic aortic aneurysm. This </w:t>
      </w:r>
      <w:proofErr w:type="gramStart"/>
      <w:r w:rsidRPr="00431975">
        <w:t>58 y</w:t>
      </w:r>
      <w:r w:rsidR="00117A74">
        <w:t>ear old</w:t>
      </w:r>
      <w:proofErr w:type="gramEnd"/>
      <w:r w:rsidRPr="00431975">
        <w:t xml:space="preserve"> male had been in the PBO/DEUC arm of POETYK-1</w:t>
      </w:r>
      <w:r w:rsidR="00117A74">
        <w:t xml:space="preserve"> trial</w:t>
      </w:r>
      <w:r w:rsidRPr="00431975">
        <w:t>, and had comorbidities of hypertension, obesity, sinus tachycardia and smoking, and had also experienced AEs including chronic pancreatitis, chronic cholecystitis, liver haemangioma, nasopharyngitis, respiratory disorder and AST increased.</w:t>
      </w:r>
    </w:p>
    <w:p w14:paraId="52C52630" w14:textId="7EBD48C1" w:rsidR="00431975" w:rsidRPr="00431975" w:rsidRDefault="00431975" w:rsidP="00117A74">
      <w:pPr>
        <w:pStyle w:val="Heading5"/>
      </w:pPr>
      <w:r w:rsidRPr="00431975">
        <w:t>Adverse events of interest</w:t>
      </w:r>
    </w:p>
    <w:p w14:paraId="7056D860" w14:textId="3292406F" w:rsidR="00431975" w:rsidRPr="00431975" w:rsidRDefault="00431975" w:rsidP="00431975">
      <w:r w:rsidRPr="00431975">
        <w:t xml:space="preserve">Adjudication </w:t>
      </w:r>
      <w:r w:rsidR="00117A74">
        <w:t>c</w:t>
      </w:r>
      <w:r w:rsidRPr="00431975">
        <w:t xml:space="preserve">ommittees were used to adjudicate specified AEs during the studies, specifically an Infection Adjudication Committee, Cardiovascular Adjudication Committee, and Suicidal Ideation and </w:t>
      </w:r>
      <w:proofErr w:type="spellStart"/>
      <w:r w:rsidRPr="00431975">
        <w:t>Behavior</w:t>
      </w:r>
      <w:proofErr w:type="spellEnd"/>
      <w:r w:rsidRPr="00431975">
        <w:t xml:space="preserve"> Adjudication Committee. Each committee was distinct from the Data Monitoring Committee, and each was composed of individuals with relevant expertise. Adjudication Committee members were not investigators in the study and were blinded to participant treatment assignment.</w:t>
      </w:r>
    </w:p>
    <w:p w14:paraId="4EB7CC04" w14:textId="77777777" w:rsidR="00431975" w:rsidRPr="00431975" w:rsidRDefault="00431975" w:rsidP="00A87ACD">
      <w:pPr>
        <w:pStyle w:val="Heading6"/>
      </w:pPr>
      <w:r w:rsidRPr="00431975">
        <w:t>Skin and subcutaneous tissues</w:t>
      </w:r>
    </w:p>
    <w:p w14:paraId="7C1A9A14" w14:textId="47F3F9A2" w:rsidR="00431975" w:rsidRPr="00431975" w:rsidRDefault="00431975" w:rsidP="00431975">
      <w:r w:rsidRPr="00431975">
        <w:t xml:space="preserve">The incidence of skin </w:t>
      </w:r>
      <w:r w:rsidR="00A87ACD">
        <w:t>adverse event of interest (AEI)</w:t>
      </w:r>
      <w:r w:rsidRPr="00431975">
        <w:t xml:space="preserve"> in the </w:t>
      </w:r>
      <w:proofErr w:type="gramStart"/>
      <w:r w:rsidRPr="00431975">
        <w:t>16</w:t>
      </w:r>
      <w:r w:rsidR="00117A74">
        <w:t xml:space="preserve"> </w:t>
      </w:r>
      <w:r w:rsidRPr="00431975">
        <w:t>week</w:t>
      </w:r>
      <w:proofErr w:type="gramEnd"/>
      <w:r w:rsidRPr="00431975">
        <w:t xml:space="preserve"> placebo</w:t>
      </w:r>
      <w:r w:rsidR="00117A74">
        <w:t xml:space="preserve"> </w:t>
      </w:r>
      <w:r w:rsidRPr="00431975">
        <w:t xml:space="preserve">controlled period was higher in the </w:t>
      </w:r>
      <w:proofErr w:type="spellStart"/>
      <w:r w:rsidRPr="00431975">
        <w:t>deucravacitinib</w:t>
      </w:r>
      <w:proofErr w:type="spellEnd"/>
      <w:r w:rsidRPr="00431975">
        <w:t xml:space="preserve"> group (8.6%) compared with the placebo (2.4%) and apremilast (2.8%) groups. The most common events were folliculitis and acne which typically occurred on the face, chest or back, and resolved spontaneously or with topical or oral antimicrobial treatments and mostly occurred within the first eight weeks of treatment. None of the skin AEIs was serious. Skin AEIs rarely led to discontinuation of study treatment with one event each of folliculitis and rosacea in the </w:t>
      </w:r>
      <w:proofErr w:type="spellStart"/>
      <w:r w:rsidRPr="00431975">
        <w:t>deucravacitinib</w:t>
      </w:r>
      <w:proofErr w:type="spellEnd"/>
      <w:r w:rsidRPr="00431975">
        <w:t xml:space="preserve"> group and one event of rash in the apremilast group leading to treatment discontinuation. EAIR of skin infections remained higher in the </w:t>
      </w:r>
      <w:proofErr w:type="spellStart"/>
      <w:r w:rsidRPr="00431975">
        <w:t>deucravacitinib</w:t>
      </w:r>
      <w:proofErr w:type="spellEnd"/>
      <w:r w:rsidRPr="00431975">
        <w:t xml:space="preserve"> group than in the apremilast group throughout the </w:t>
      </w:r>
      <w:proofErr w:type="gramStart"/>
      <w:r w:rsidRPr="00431975">
        <w:t>52</w:t>
      </w:r>
      <w:r w:rsidR="00117A74">
        <w:t xml:space="preserve"> </w:t>
      </w:r>
      <w:r w:rsidRPr="00431975">
        <w:t>week</w:t>
      </w:r>
      <w:proofErr w:type="gramEnd"/>
      <w:r w:rsidRPr="00431975">
        <w:t xml:space="preserve"> study period, and in the long</w:t>
      </w:r>
      <w:r w:rsidR="00117A74">
        <w:t xml:space="preserve"> </w:t>
      </w:r>
      <w:r w:rsidRPr="00431975">
        <w:t>term extension study. There was no evidence of increasing incidence with increasing exposure time.</w:t>
      </w:r>
    </w:p>
    <w:p w14:paraId="2395EF4C" w14:textId="77777777" w:rsidR="00431975" w:rsidRPr="00431975" w:rsidRDefault="00431975" w:rsidP="00A87ACD">
      <w:pPr>
        <w:pStyle w:val="Heading6"/>
      </w:pPr>
      <w:r w:rsidRPr="00431975">
        <w:t>Infections and infestations</w:t>
      </w:r>
    </w:p>
    <w:p w14:paraId="4A09FE2A" w14:textId="13F63A08" w:rsidR="00431975" w:rsidRPr="00431975" w:rsidRDefault="00431975" w:rsidP="00431975">
      <w:r w:rsidRPr="00431975">
        <w:t xml:space="preserve">As reported above, during the </w:t>
      </w:r>
      <w:proofErr w:type="gramStart"/>
      <w:r w:rsidRPr="00431975">
        <w:t>16</w:t>
      </w:r>
      <w:r w:rsidR="00117A74">
        <w:t xml:space="preserve"> </w:t>
      </w:r>
      <w:r w:rsidRPr="00431975">
        <w:t>week</w:t>
      </w:r>
      <w:proofErr w:type="gramEnd"/>
      <w:r w:rsidRPr="00431975">
        <w:t xml:space="preserve"> placebo</w:t>
      </w:r>
      <w:r w:rsidR="00117A74">
        <w:t xml:space="preserve"> </w:t>
      </w:r>
      <w:r w:rsidRPr="00431975">
        <w:t xml:space="preserve">controlled period the incidence of AEs in the SOC of infections and infestations was higher in the </w:t>
      </w:r>
      <w:proofErr w:type="spellStart"/>
      <w:r w:rsidRPr="00431975">
        <w:t>deucravacitinib</w:t>
      </w:r>
      <w:proofErr w:type="spellEnd"/>
      <w:r w:rsidRPr="00431975">
        <w:t xml:space="preserve"> group compared with placebo and apremilast groups. The most common AE was nasopharyngitis and the second most common infection AE was upper respiratory tract infection. Folliculitis, oral herpes, pharyngitis, viral </w:t>
      </w:r>
      <w:r w:rsidR="00117A74">
        <w:t>upper respiratory tract infection</w:t>
      </w:r>
      <w:r w:rsidRPr="00431975">
        <w:t xml:space="preserve">, sinusitis and urinary tract infection were all more frequently reported in the </w:t>
      </w:r>
      <w:proofErr w:type="spellStart"/>
      <w:r w:rsidRPr="00431975">
        <w:t>deucravacitinib</w:t>
      </w:r>
      <w:proofErr w:type="spellEnd"/>
      <w:r w:rsidRPr="00431975">
        <w:t xml:space="preserve"> group. Overall, the infection AEs were predominantly mild or moderate in severity. Over the longer study periods the EAIRs of infections (including pharyngitis, viral </w:t>
      </w:r>
      <w:r w:rsidR="00117A74">
        <w:t>upper respiratory tract infection</w:t>
      </w:r>
      <w:r w:rsidRPr="00431975">
        <w:t xml:space="preserve">, urinary tract infections, oral herpes, bronchitis, and folliculitis) remained higher in the </w:t>
      </w:r>
      <w:proofErr w:type="spellStart"/>
      <w:r w:rsidRPr="00431975">
        <w:t>deucravacitinib</w:t>
      </w:r>
      <w:proofErr w:type="spellEnd"/>
      <w:r w:rsidRPr="00431975">
        <w:t xml:space="preserve"> group compared to </w:t>
      </w:r>
      <w:r w:rsidRPr="00431975">
        <w:lastRenderedPageBreak/>
        <w:t>apremilast group, although the EAIR of serious infections were comparable in the two groups. There was no evidence of increasing rates of infection AEs with longer exposure. Common severe AEs in the long-term extension study were COVID-19 related infections (1.6%) and COVID-19 pneumonia (0.8%).</w:t>
      </w:r>
    </w:p>
    <w:p w14:paraId="7C687D00" w14:textId="6CD8585A" w:rsidR="00431975" w:rsidRPr="00431975" w:rsidRDefault="00431975" w:rsidP="00431975">
      <w:r w:rsidRPr="00431975">
        <w:t xml:space="preserve">Based on the mechanism of action of </w:t>
      </w:r>
      <w:proofErr w:type="spellStart"/>
      <w:r w:rsidR="00117A74">
        <w:t>deucravacitinib</w:t>
      </w:r>
      <w:proofErr w:type="spellEnd"/>
      <w:r w:rsidR="00117A74">
        <w:t xml:space="preserve"> </w:t>
      </w:r>
      <w:r w:rsidRPr="00431975">
        <w:t xml:space="preserve">and the safety profiles of antibodies targeting cytokines whose signalling is mediated by TYK2, AEs of herpes zoster, influenza, opportunistic infections, and tuberculosis were pre-specified as infection AEIs in the Phase </w:t>
      </w:r>
      <w:r w:rsidR="00117A74">
        <w:t>III</w:t>
      </w:r>
      <w:r w:rsidRPr="00431975">
        <w:t xml:space="preserve"> studies. Review of reported influenza cases by the adjudication committee did not confirm higher rates of influenza in patients treated with </w:t>
      </w:r>
      <w:proofErr w:type="spellStart"/>
      <w:r w:rsidRPr="00431975">
        <w:t>deucravacitinib</w:t>
      </w:r>
      <w:proofErr w:type="spellEnd"/>
      <w:r w:rsidRPr="00431975">
        <w:t xml:space="preserve"> compared to placebo and apremilast. Reports of herpes simplex were more common in </w:t>
      </w:r>
      <w:proofErr w:type="spellStart"/>
      <w:r w:rsidRPr="00431975">
        <w:t>deucravacitinib</w:t>
      </w:r>
      <w:proofErr w:type="spellEnd"/>
      <w:r w:rsidRPr="00431975">
        <w:t xml:space="preserve"> treated patients. While the EAIR of herpes simplex in </w:t>
      </w:r>
      <w:proofErr w:type="spellStart"/>
      <w:r w:rsidRPr="00431975">
        <w:t>deucravacitinib</w:t>
      </w:r>
      <w:proofErr w:type="spellEnd"/>
      <w:r w:rsidRPr="00431975">
        <w:t xml:space="preserve"> treated participants decreased over longer exposure times, they remained higher than in the apremilast group.</w:t>
      </w:r>
    </w:p>
    <w:p w14:paraId="4F9070D8" w14:textId="24D8AA9F" w:rsidR="00431975" w:rsidRPr="00431975" w:rsidRDefault="00431975" w:rsidP="00431975">
      <w:r w:rsidRPr="00431975">
        <w:t xml:space="preserve">Reports of herpes zoster infections were comparable between participants treated with </w:t>
      </w:r>
      <w:proofErr w:type="spellStart"/>
      <w:r w:rsidRPr="00431975">
        <w:t>deucravacitinib</w:t>
      </w:r>
      <w:proofErr w:type="spellEnd"/>
      <w:r w:rsidRPr="00431975">
        <w:t xml:space="preserve"> and placebo during the placebo-controlled period, and a total of 15 participants in the Phase </w:t>
      </w:r>
      <w:r w:rsidR="00117A74">
        <w:t>III</w:t>
      </w:r>
      <w:r w:rsidRPr="00431975">
        <w:t xml:space="preserve"> safety pool had confirmed AE of herpes zoster. Most reports were while taking </w:t>
      </w:r>
      <w:proofErr w:type="spellStart"/>
      <w:r w:rsidRPr="00431975">
        <w:t>deucravacitinib</w:t>
      </w:r>
      <w:proofErr w:type="spellEnd"/>
      <w:r w:rsidRPr="00431975">
        <w:t xml:space="preserve">, with one study participant experiencing one episode while taking placebo and a second event while on </w:t>
      </w:r>
      <w:proofErr w:type="spellStart"/>
      <w:r w:rsidRPr="00431975">
        <w:t>deucravacitinib</w:t>
      </w:r>
      <w:proofErr w:type="spellEnd"/>
      <w:r w:rsidRPr="00431975">
        <w:t>; four participants reported herpes zoster while taking apremilast.</w:t>
      </w:r>
    </w:p>
    <w:p w14:paraId="7345F471" w14:textId="77777777" w:rsidR="00431975" w:rsidRPr="00431975" w:rsidRDefault="00431975" w:rsidP="00431975">
      <w:r w:rsidRPr="00431975">
        <w:t>Reports of opportunistic infections, and of tuberculosis were infrequent across the study.</w:t>
      </w:r>
    </w:p>
    <w:p w14:paraId="5DBF9B6B" w14:textId="352DECE2" w:rsidR="00431975" w:rsidRPr="00431975" w:rsidRDefault="00431975" w:rsidP="00A87ACD">
      <w:pPr>
        <w:pStyle w:val="Heading6"/>
      </w:pPr>
      <w:r w:rsidRPr="00431975">
        <w:t xml:space="preserve">Malignancies including non-melanoma skin </w:t>
      </w:r>
      <w:proofErr w:type="gramStart"/>
      <w:r w:rsidRPr="00431975">
        <w:t>cancers</w:t>
      </w:r>
      <w:proofErr w:type="gramEnd"/>
    </w:p>
    <w:p w14:paraId="1ABA4831" w14:textId="3CAD71A9" w:rsidR="00431975" w:rsidRPr="00431975" w:rsidRDefault="00431975" w:rsidP="00431975">
      <w:r w:rsidRPr="00431975">
        <w:t xml:space="preserve">No malignancies were reported in the </w:t>
      </w:r>
      <w:proofErr w:type="spellStart"/>
      <w:r w:rsidRPr="00431975">
        <w:t>deucravacitinib</w:t>
      </w:r>
      <w:proofErr w:type="spellEnd"/>
      <w:r w:rsidR="00117A74">
        <w:t xml:space="preserve"> </w:t>
      </w:r>
      <w:r w:rsidRPr="00431975">
        <w:t>treated patients, and one malignancy (lung adenocarcinoma) was reported in an apremilast</w:t>
      </w:r>
      <w:r w:rsidR="00117A74">
        <w:t xml:space="preserve"> </w:t>
      </w:r>
      <w:r w:rsidRPr="00431975">
        <w:t xml:space="preserve">treated patient, during the controlled safety pool </w:t>
      </w:r>
      <w:proofErr w:type="gramStart"/>
      <w:r w:rsidRPr="00431975">
        <w:t>16</w:t>
      </w:r>
      <w:r w:rsidR="00117A74">
        <w:t xml:space="preserve"> </w:t>
      </w:r>
      <w:r w:rsidRPr="00431975">
        <w:t>week</w:t>
      </w:r>
      <w:proofErr w:type="gramEnd"/>
      <w:r w:rsidRPr="00431975">
        <w:t xml:space="preserve"> placebo</w:t>
      </w:r>
      <w:r w:rsidR="00117A74">
        <w:t xml:space="preserve"> </w:t>
      </w:r>
      <w:r w:rsidRPr="00431975">
        <w:t xml:space="preserve">controlled period. Over the </w:t>
      </w:r>
      <w:proofErr w:type="gramStart"/>
      <w:r w:rsidRPr="00431975">
        <w:t>52</w:t>
      </w:r>
      <w:r w:rsidR="00117A74">
        <w:t xml:space="preserve"> </w:t>
      </w:r>
      <w:r w:rsidRPr="00431975">
        <w:t>week</w:t>
      </w:r>
      <w:proofErr w:type="gramEnd"/>
      <w:r w:rsidRPr="00431975">
        <w:t xml:space="preserve"> exposure period, seven non</w:t>
      </w:r>
      <w:r w:rsidR="00513E48">
        <w:noBreakHyphen/>
      </w:r>
      <w:r w:rsidRPr="00431975">
        <w:t>melanoma skin cancers (NMSC) were reported among participants originally randomi</w:t>
      </w:r>
      <w:r w:rsidR="00513E48">
        <w:t>s</w:t>
      </w:r>
      <w:r w:rsidRPr="00431975">
        <w:t xml:space="preserve">ed to </w:t>
      </w:r>
      <w:proofErr w:type="spellStart"/>
      <w:r w:rsidRPr="00431975">
        <w:t>deucravacitinib</w:t>
      </w:r>
      <w:proofErr w:type="spellEnd"/>
      <w:r w:rsidRPr="00431975">
        <w:t>, none from those originally randomized to placebo, and one from those originally randomi</w:t>
      </w:r>
      <w:r w:rsidR="00513E48">
        <w:t>s</w:t>
      </w:r>
      <w:r w:rsidRPr="00431975">
        <w:t>ed to apremilast. Furthermore, among participants originally randomi</w:t>
      </w:r>
      <w:r w:rsidR="00513E48">
        <w:t>s</w:t>
      </w:r>
      <w:r w:rsidRPr="00431975">
        <w:t xml:space="preserve">ed to </w:t>
      </w:r>
      <w:proofErr w:type="spellStart"/>
      <w:r w:rsidRPr="00431975">
        <w:t>deucravacitinib</w:t>
      </w:r>
      <w:proofErr w:type="spellEnd"/>
      <w:r w:rsidRPr="00431975">
        <w:t xml:space="preserve">, one reported breast cancer, one reported hepatocellular cancer and one reported Hodgkin’s disease during the </w:t>
      </w:r>
      <w:proofErr w:type="gramStart"/>
      <w:r w:rsidRPr="00431975">
        <w:t>52</w:t>
      </w:r>
      <w:r w:rsidR="00513E48">
        <w:t xml:space="preserve"> </w:t>
      </w:r>
      <w:r w:rsidRPr="00431975">
        <w:t>week</w:t>
      </w:r>
      <w:proofErr w:type="gramEnd"/>
      <w:r w:rsidRPr="00431975">
        <w:t xml:space="preserve"> exposure period, whereas no new malignancies were identified among the participants originally randomized to placebo or apremilast. Noting that study participants were re-randomi</w:t>
      </w:r>
      <w:r w:rsidR="00513E48">
        <w:t>s</w:t>
      </w:r>
      <w:r w:rsidRPr="00431975">
        <w:t xml:space="preserve">ed at </w:t>
      </w:r>
      <w:r w:rsidR="00513E48">
        <w:t>W</w:t>
      </w:r>
      <w:r w:rsidRPr="00431975">
        <w:t xml:space="preserve">eek 16 or </w:t>
      </w:r>
      <w:r w:rsidR="00513E48">
        <w:t>W</w:t>
      </w:r>
      <w:r w:rsidRPr="00431975">
        <w:t xml:space="preserve">eek 24, and may therefore have had varying exposures to </w:t>
      </w:r>
      <w:proofErr w:type="spellStart"/>
      <w:r w:rsidRPr="00431975">
        <w:t>deucravacitinib</w:t>
      </w:r>
      <w:proofErr w:type="spellEnd"/>
      <w:r w:rsidRPr="00431975">
        <w:t xml:space="preserve">, apremilast or placebo over the </w:t>
      </w:r>
      <w:proofErr w:type="gramStart"/>
      <w:r w:rsidRPr="00431975">
        <w:t>52</w:t>
      </w:r>
      <w:r w:rsidR="00513E48">
        <w:t xml:space="preserve"> </w:t>
      </w:r>
      <w:r w:rsidRPr="00431975">
        <w:t>week</w:t>
      </w:r>
      <w:proofErr w:type="gramEnd"/>
      <w:r w:rsidRPr="00431975">
        <w:t xml:space="preserve"> period, EAIR were provided</w:t>
      </w:r>
      <w:r w:rsidR="00513E48">
        <w:t xml:space="preserve"> (</w:t>
      </w:r>
      <w:r w:rsidR="00A87ACD">
        <w:fldChar w:fldCharType="begin"/>
      </w:r>
      <w:r w:rsidR="00A87ACD">
        <w:instrText xml:space="preserve"> REF _Ref141444932 \h </w:instrText>
      </w:r>
      <w:r w:rsidR="00A87ACD">
        <w:fldChar w:fldCharType="separate"/>
      </w:r>
      <w:r w:rsidR="00C63E2D" w:rsidRPr="00513E48">
        <w:t xml:space="preserve">Table </w:t>
      </w:r>
      <w:r w:rsidR="00C63E2D">
        <w:rPr>
          <w:noProof/>
        </w:rPr>
        <w:t>12</w:t>
      </w:r>
      <w:r w:rsidR="00A87ACD">
        <w:fldChar w:fldCharType="end"/>
      </w:r>
      <w:r w:rsidR="00513E48">
        <w:t>)</w:t>
      </w:r>
      <w:r w:rsidRPr="00431975">
        <w:t>. The EAIR for individual malignancies in participants originally randomi</w:t>
      </w:r>
      <w:r w:rsidR="00513E48">
        <w:t>s</w:t>
      </w:r>
      <w:r w:rsidRPr="00431975">
        <w:t xml:space="preserve">ed to </w:t>
      </w:r>
      <w:proofErr w:type="spellStart"/>
      <w:r w:rsidRPr="00431975">
        <w:t>deucravacitinib</w:t>
      </w:r>
      <w:proofErr w:type="spellEnd"/>
      <w:r w:rsidRPr="00431975">
        <w:t xml:space="preserve"> were comparable to or lower than the EAIR in patients originally randomi</w:t>
      </w:r>
      <w:r w:rsidR="00513E48">
        <w:t>s</w:t>
      </w:r>
      <w:r w:rsidRPr="00431975">
        <w:t xml:space="preserve">ed </w:t>
      </w:r>
      <w:proofErr w:type="gramStart"/>
      <w:r w:rsidRPr="00431975">
        <w:t>to</w:t>
      </w:r>
      <w:proofErr w:type="gramEnd"/>
      <w:r w:rsidRPr="00431975">
        <w:t xml:space="preserve"> apremilast.</w:t>
      </w:r>
    </w:p>
    <w:p w14:paraId="25F48510" w14:textId="7A37C5CB" w:rsidR="00513E48" w:rsidRDefault="00513E48" w:rsidP="00513E48">
      <w:pPr>
        <w:pStyle w:val="TableTitle"/>
      </w:pPr>
      <w:bookmarkStart w:id="62" w:name="_Ref141444932"/>
      <w:r w:rsidRPr="00513E48">
        <w:lastRenderedPageBreak/>
        <w:t xml:space="preserve">Table </w:t>
      </w:r>
      <w:r>
        <w:fldChar w:fldCharType="begin"/>
      </w:r>
      <w:r>
        <w:instrText>SEQ Table \* ARABIC</w:instrText>
      </w:r>
      <w:r>
        <w:fldChar w:fldCharType="separate"/>
      </w:r>
      <w:r w:rsidR="00616D6B">
        <w:rPr>
          <w:noProof/>
        </w:rPr>
        <w:t>12</w:t>
      </w:r>
      <w:r>
        <w:fldChar w:fldCharType="end"/>
      </w:r>
      <w:bookmarkEnd w:id="62"/>
      <w:r>
        <w:t>: Malignancy events – controlled safety pool (W0-52), exposure-adjusted incidence rates</w:t>
      </w:r>
    </w:p>
    <w:p w14:paraId="76995DD4" w14:textId="1BCD91D4" w:rsidR="00431975" w:rsidRDefault="00513E48" w:rsidP="00513E48">
      <w:pPr>
        <w:pStyle w:val="Caption"/>
      </w:pPr>
      <w:r w:rsidRPr="003A3372">
        <w:rPr>
          <w:noProof/>
        </w:rPr>
        <w:drawing>
          <wp:inline distT="0" distB="0" distL="0" distR="0" wp14:anchorId="145D9109" wp14:editId="01AF9DB5">
            <wp:extent cx="6030289" cy="3251835"/>
            <wp:effectExtent l="0" t="0" r="8890" b="5715"/>
            <wp:docPr id="26" name="Picture 26" descr="Malignancy events – controlled safety pool (W0-52), exposure-adjusted incidenc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lignancy events – controlled safety pool (W0-52), exposure-adjusted incidence rates"/>
                    <pic:cNvPicPr>
                      <a:picLocks noChangeAspect="1" noChangeArrowheads="1"/>
                    </pic:cNvPicPr>
                  </pic:nvPicPr>
                  <pic:blipFill rotWithShape="1">
                    <a:blip r:embed="rId41">
                      <a:extLst>
                        <a:ext uri="{28A0092B-C50C-407E-A947-70E740481C1C}">
                          <a14:useLocalDpi xmlns:a14="http://schemas.microsoft.com/office/drawing/2010/main" val="0"/>
                        </a:ext>
                      </a:extLst>
                    </a:blip>
                    <a:srcRect l="972" r="1775" b="2541"/>
                    <a:stretch/>
                  </pic:blipFill>
                  <pic:spPr bwMode="auto">
                    <a:xfrm>
                      <a:off x="0" y="0"/>
                      <a:ext cx="6033977" cy="3253824"/>
                    </a:xfrm>
                    <a:prstGeom prst="rect">
                      <a:avLst/>
                    </a:prstGeom>
                    <a:noFill/>
                    <a:ln>
                      <a:noFill/>
                    </a:ln>
                    <a:extLst>
                      <a:ext uri="{53640926-AAD7-44D8-BBD7-CCE9431645EC}">
                        <a14:shadowObscured xmlns:a14="http://schemas.microsoft.com/office/drawing/2010/main"/>
                      </a:ext>
                    </a:extLst>
                  </pic:spPr>
                </pic:pic>
              </a:graphicData>
            </a:graphic>
          </wp:inline>
        </w:drawing>
      </w:r>
    </w:p>
    <w:p w14:paraId="63C11E9A" w14:textId="13F03F8B" w:rsidR="00513E48" w:rsidRPr="00513E48" w:rsidRDefault="00513E48" w:rsidP="00513E48">
      <w:r w:rsidRPr="00513E48">
        <w:t>Most participants who reported malignancies had at least one recognised risk factor, for example, most participants who reported NMSC had had a previous NMSC; the participant with hepatocellular carcinoma had a history of hepatitis C with cirrhosis.</w:t>
      </w:r>
    </w:p>
    <w:p w14:paraId="02BFED6A" w14:textId="4BB2E47D" w:rsidR="00513E48" w:rsidRPr="00513E48" w:rsidRDefault="00513E48" w:rsidP="00513E48">
      <w:r w:rsidRPr="00513E48">
        <w:t xml:space="preserve">Three additional cases of lymphoma were reported in the Phase </w:t>
      </w:r>
      <w:r w:rsidR="00A87ACD">
        <w:t>III</w:t>
      </w:r>
      <w:r w:rsidRPr="00513E48">
        <w:t xml:space="preserve"> safety pool. Expert reviews of individual cases could not definitely conclude that there was a relationship with </w:t>
      </w:r>
      <w:proofErr w:type="spellStart"/>
      <w:r w:rsidRPr="00513E48">
        <w:t>deucravacitinib</w:t>
      </w:r>
      <w:proofErr w:type="spellEnd"/>
      <w:r w:rsidRPr="00513E48">
        <w:t xml:space="preserve"> use.</w:t>
      </w:r>
    </w:p>
    <w:p w14:paraId="1803AB77" w14:textId="77777777" w:rsidR="00513E48" w:rsidRPr="00513E48" w:rsidRDefault="00513E48" w:rsidP="00513E48">
      <w:r w:rsidRPr="00513E48">
        <w:t xml:space="preserve">Indirect comparisons with malignancy rates in the general population of adults with psoriasis did not identify higher rates in the </w:t>
      </w:r>
      <w:proofErr w:type="spellStart"/>
      <w:r w:rsidRPr="00513E48">
        <w:t>deucravacitinib</w:t>
      </w:r>
      <w:proofErr w:type="spellEnd"/>
      <w:r w:rsidRPr="00513E48">
        <w:t>-treated population.</w:t>
      </w:r>
    </w:p>
    <w:p w14:paraId="3A00969C" w14:textId="77777777" w:rsidR="00513E48" w:rsidRDefault="00513E48" w:rsidP="00A87ACD">
      <w:pPr>
        <w:pStyle w:val="Heading6"/>
      </w:pPr>
      <w:r w:rsidRPr="00513E48">
        <w:t>Major adverse cardiovascular events</w:t>
      </w:r>
    </w:p>
    <w:p w14:paraId="23FFA2E1" w14:textId="75EBF7EF" w:rsidR="00513E48" w:rsidRDefault="00513E48" w:rsidP="00513E48">
      <w:r>
        <w:t>Nonfatal myocardial infarction, nonfatal stroke and cardiovascular death were defined as MACE by the adjudication committee, and MACE plus unstable angina requiring hospitali</w:t>
      </w:r>
      <w:r w:rsidR="00A87ACD">
        <w:t>s</w:t>
      </w:r>
      <w:r>
        <w:t xml:space="preserve">ation was defined as extended MACE. The committee also reviewed reports of other cardiovascular events including revascularization procedures, heart failure, dysrhythmias, heart blocks, thrombotic </w:t>
      </w:r>
      <w:proofErr w:type="gramStart"/>
      <w:r>
        <w:t>events</w:t>
      </w:r>
      <w:proofErr w:type="gramEnd"/>
      <w:r>
        <w:t xml:space="preserve"> and deaths.</w:t>
      </w:r>
    </w:p>
    <w:p w14:paraId="2118454B" w14:textId="0E581E85" w:rsidR="00513E48" w:rsidRPr="00B51946" w:rsidRDefault="00513E48" w:rsidP="00513E48">
      <w:pPr>
        <w:rPr>
          <w:lang w:val="en-US"/>
        </w:rPr>
      </w:pPr>
      <w:r>
        <w:t xml:space="preserve">In the controlled safety pool, Week 0 to 16, SAEs were adjudicated as MACE in two participants in the </w:t>
      </w:r>
      <w:proofErr w:type="spellStart"/>
      <w:r>
        <w:t>deucravacitinib</w:t>
      </w:r>
      <w:proofErr w:type="spellEnd"/>
      <w:r>
        <w:t xml:space="preserve"> group (EAIR 0.8/100 p-y), three participants in the placebo group (2.4/100 p-y), and one participant in the apremilast group (0.8/100 p-y, </w:t>
      </w:r>
      <w:r>
        <w:fldChar w:fldCharType="begin"/>
      </w:r>
      <w:r>
        <w:instrText xml:space="preserve"> REF _Ref141354989 \h </w:instrText>
      </w:r>
      <w:r>
        <w:fldChar w:fldCharType="separate"/>
      </w:r>
      <w:r w:rsidR="00C63E2D" w:rsidRPr="00513E48">
        <w:t xml:space="preserve">Table </w:t>
      </w:r>
      <w:r w:rsidR="00C63E2D">
        <w:rPr>
          <w:noProof/>
        </w:rPr>
        <w:t>13</w:t>
      </w:r>
      <w:r>
        <w:fldChar w:fldCharType="end"/>
      </w:r>
      <w:r>
        <w:t xml:space="preserve">). One additional MACE was reported in each of the </w:t>
      </w:r>
      <w:proofErr w:type="spellStart"/>
      <w:r>
        <w:t>deucravacitinib</w:t>
      </w:r>
      <w:proofErr w:type="spellEnd"/>
      <w:r>
        <w:t xml:space="preserve"> and apremilast groups up to 52</w:t>
      </w:r>
      <w:r w:rsidR="00C63E2D">
        <w:t> </w:t>
      </w:r>
      <w:r>
        <w:t>weeks of the study. All the participants considered to have had a MACE carried additional risk factors for cardiovascular disease, and investigators considered the event unrelated to study medication. Eleven adjudicated other cardiovascular events were reported by 11 participants (all originally randomi</w:t>
      </w:r>
      <w:r w:rsidR="00C63E2D">
        <w:t>s</w:t>
      </w:r>
      <w:r>
        <w:t xml:space="preserve">ed to </w:t>
      </w:r>
      <w:proofErr w:type="spellStart"/>
      <w:r>
        <w:t>deucravacitinib</w:t>
      </w:r>
      <w:proofErr w:type="spellEnd"/>
      <w:r>
        <w:t xml:space="preserve">) during the 52-week exposure period; these included </w:t>
      </w:r>
      <w:r w:rsidRPr="00B51946">
        <w:rPr>
          <w:lang w:val="en-US"/>
        </w:rPr>
        <w:t>atrial fibrillation</w:t>
      </w:r>
      <w:r>
        <w:rPr>
          <w:lang w:val="en-US"/>
        </w:rPr>
        <w:t xml:space="preserve"> (two cases)</w:t>
      </w:r>
      <w:r w:rsidRPr="00B51946">
        <w:rPr>
          <w:lang w:val="en-US"/>
        </w:rPr>
        <w:t>, pericarditis</w:t>
      </w:r>
      <w:r>
        <w:rPr>
          <w:lang w:val="en-US"/>
        </w:rPr>
        <w:t xml:space="preserve"> (two cases)</w:t>
      </w:r>
      <w:r w:rsidRPr="00B51946">
        <w:rPr>
          <w:lang w:val="en-US"/>
        </w:rPr>
        <w:t>, aortic dissection, arteriosclerosis coronary artery, malignant hypertension, myocardial ischemia, transient ischemic attack, ventricular tachycardia shock, supraventricular tachycardia</w:t>
      </w:r>
      <w:r>
        <w:rPr>
          <w:lang w:val="en-US"/>
        </w:rPr>
        <w:t xml:space="preserve"> (one case each)</w:t>
      </w:r>
      <w:r w:rsidRPr="00B51946">
        <w:rPr>
          <w:lang w:val="en-US"/>
        </w:rPr>
        <w:t>.</w:t>
      </w:r>
      <w:r>
        <w:rPr>
          <w:lang w:val="en-US"/>
        </w:rPr>
        <w:t xml:space="preserve"> The EAIR for these events (combined) was 1.2/100 p-y. One patient originally randomized to placebo experienced a pericardial effusion.</w:t>
      </w:r>
    </w:p>
    <w:p w14:paraId="38603587" w14:textId="003B74EC" w:rsidR="00513E48" w:rsidRDefault="00513E48" w:rsidP="00513E48">
      <w:pPr>
        <w:pStyle w:val="TableTitle"/>
      </w:pPr>
      <w:bookmarkStart w:id="63" w:name="_Ref141354989"/>
      <w:r w:rsidRPr="00513E48">
        <w:lastRenderedPageBreak/>
        <w:t xml:space="preserve">Table </w:t>
      </w:r>
      <w:r>
        <w:fldChar w:fldCharType="begin"/>
      </w:r>
      <w:r>
        <w:instrText>SEQ Table \* ARABIC</w:instrText>
      </w:r>
      <w:r>
        <w:fldChar w:fldCharType="separate"/>
      </w:r>
      <w:r w:rsidR="00616D6B">
        <w:rPr>
          <w:noProof/>
        </w:rPr>
        <w:t>13</w:t>
      </w:r>
      <w:r>
        <w:fldChar w:fldCharType="end"/>
      </w:r>
      <w:bookmarkEnd w:id="63"/>
      <w:r>
        <w:t xml:space="preserve">: </w:t>
      </w:r>
      <w:r w:rsidRPr="00513E48">
        <w:t xml:space="preserve">Adjudicated </w:t>
      </w:r>
      <w:r w:rsidR="00C63E2D">
        <w:t>m</w:t>
      </w:r>
      <w:r w:rsidR="00C63E2D" w:rsidRPr="007D7DB4">
        <w:t>ajor adverse cardiac events</w:t>
      </w:r>
      <w:r w:rsidRPr="00513E48">
        <w:t xml:space="preserve"> and extended </w:t>
      </w:r>
      <w:r w:rsidR="00C63E2D">
        <w:t>m</w:t>
      </w:r>
      <w:r w:rsidR="00C63E2D" w:rsidRPr="007D7DB4">
        <w:t>ajor adverse cardiac events</w:t>
      </w:r>
      <w:r w:rsidR="00C63E2D">
        <w:t xml:space="preserve"> </w:t>
      </w:r>
      <w:r w:rsidRPr="00513E48">
        <w:t xml:space="preserve">in the </w:t>
      </w:r>
      <w:r>
        <w:t>c</w:t>
      </w:r>
      <w:r w:rsidRPr="00513E48">
        <w:t xml:space="preserve">ontrolled safety </w:t>
      </w:r>
      <w:proofErr w:type="gramStart"/>
      <w:r w:rsidRPr="00513E48">
        <w:t>pool</w:t>
      </w:r>
      <w:proofErr w:type="gramEnd"/>
    </w:p>
    <w:p w14:paraId="6989D71F" w14:textId="6A7BC584" w:rsidR="00513E48" w:rsidRDefault="00513E48" w:rsidP="00513E48">
      <w:r w:rsidRPr="007A1D50">
        <w:rPr>
          <w:noProof/>
        </w:rPr>
        <w:drawing>
          <wp:inline distT="0" distB="0" distL="0" distR="0" wp14:anchorId="13F8A618" wp14:editId="613DD9E0">
            <wp:extent cx="5425044" cy="2568271"/>
            <wp:effectExtent l="0" t="0" r="4445" b="3810"/>
            <wp:docPr id="256" name="Picture 256" descr="Adjudicated major adverse cardiac events and extended major adverse cardiac events in the controlled safet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djudicated major adverse cardiac events and extended major adverse cardiac events in the controlled safety po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8690" cy="2569997"/>
                    </a:xfrm>
                    <a:prstGeom prst="rect">
                      <a:avLst/>
                    </a:prstGeom>
                    <a:noFill/>
                    <a:ln>
                      <a:noFill/>
                    </a:ln>
                  </pic:spPr>
                </pic:pic>
              </a:graphicData>
            </a:graphic>
          </wp:inline>
        </w:drawing>
      </w:r>
    </w:p>
    <w:p w14:paraId="7E5FD8A5" w14:textId="62A215BE" w:rsidR="00513E48" w:rsidRDefault="00513E48" w:rsidP="00513E48">
      <w:r w:rsidRPr="00317856">
        <w:rPr>
          <w:lang w:val="en-US"/>
        </w:rPr>
        <w:t xml:space="preserve">In the Phase </w:t>
      </w:r>
      <w:r>
        <w:rPr>
          <w:lang w:val="en-US"/>
        </w:rPr>
        <w:t>III</w:t>
      </w:r>
      <w:r w:rsidRPr="00317856">
        <w:rPr>
          <w:lang w:val="en-US"/>
        </w:rPr>
        <w:t xml:space="preserve"> safety pool, adjudicated MACE events were reported in 9</w:t>
      </w:r>
      <w:r>
        <w:rPr>
          <w:lang w:val="en-US"/>
        </w:rPr>
        <w:t xml:space="preserve"> out of </w:t>
      </w:r>
      <w:r w:rsidRPr="00317856">
        <w:rPr>
          <w:lang w:val="en-US"/>
        </w:rPr>
        <w:t>1519</w:t>
      </w:r>
      <w:r>
        <w:rPr>
          <w:lang w:val="en-US"/>
        </w:rPr>
        <w:t xml:space="preserve"> study participants</w:t>
      </w:r>
      <w:r w:rsidRPr="00317856">
        <w:rPr>
          <w:lang w:val="en-US"/>
        </w:rPr>
        <w:t xml:space="preserve"> (EAIR 0.4/100 p-y) and extended MACE in 11</w:t>
      </w:r>
      <w:r w:rsidR="00C63E2D">
        <w:rPr>
          <w:lang w:val="en-US"/>
        </w:rPr>
        <w:t xml:space="preserve"> out of </w:t>
      </w:r>
      <w:r w:rsidRPr="00317856">
        <w:rPr>
          <w:lang w:val="en-US"/>
        </w:rPr>
        <w:t xml:space="preserve">1519 </w:t>
      </w:r>
      <w:r>
        <w:rPr>
          <w:lang w:val="en-US"/>
        </w:rPr>
        <w:t>participants</w:t>
      </w:r>
      <w:r w:rsidRPr="00317856">
        <w:rPr>
          <w:lang w:val="en-US"/>
        </w:rPr>
        <w:t xml:space="preserve"> (EAIR 0.5/100 p-y; these rates were consistent with the rates observed in the </w:t>
      </w:r>
      <w:r>
        <w:rPr>
          <w:lang w:val="en-US"/>
        </w:rPr>
        <w:t>c</w:t>
      </w:r>
      <w:r w:rsidRPr="00317856">
        <w:rPr>
          <w:lang w:val="en-US"/>
        </w:rPr>
        <w:t xml:space="preserve">ontrolled </w:t>
      </w:r>
      <w:r>
        <w:rPr>
          <w:lang w:val="en-US"/>
        </w:rPr>
        <w:t>s</w:t>
      </w:r>
      <w:r w:rsidRPr="00317856">
        <w:rPr>
          <w:lang w:val="en-US"/>
        </w:rPr>
        <w:t xml:space="preserve">afety </w:t>
      </w:r>
      <w:r>
        <w:rPr>
          <w:lang w:val="en-US"/>
        </w:rPr>
        <w:t>p</w:t>
      </w:r>
      <w:r w:rsidRPr="00317856">
        <w:rPr>
          <w:lang w:val="en-US"/>
        </w:rPr>
        <w:t>ool (Week 0</w:t>
      </w:r>
      <w:r>
        <w:rPr>
          <w:lang w:val="en-US"/>
        </w:rPr>
        <w:t xml:space="preserve"> to </w:t>
      </w:r>
      <w:r w:rsidRPr="00317856">
        <w:rPr>
          <w:lang w:val="en-US"/>
        </w:rPr>
        <w:t>52)</w:t>
      </w:r>
      <w:r w:rsidRPr="00317856">
        <w:rPr>
          <w:b/>
          <w:lang w:val="en-US"/>
        </w:rPr>
        <w:t>.</w:t>
      </w:r>
      <w:r>
        <w:rPr>
          <w:b/>
          <w:lang w:val="en-US"/>
        </w:rPr>
        <w:t xml:space="preserve"> </w:t>
      </w:r>
      <w:r>
        <w:t xml:space="preserve">Of note, four MACE or extended MACE events occurred in males younger than 50 years of age (one during treatment with apremilast), and one </w:t>
      </w:r>
      <w:proofErr w:type="gramStart"/>
      <w:r>
        <w:t xml:space="preserve">34 </w:t>
      </w:r>
      <w:r w:rsidR="00C63E2D">
        <w:t>year old</w:t>
      </w:r>
      <w:proofErr w:type="gramEnd"/>
      <w:r>
        <w:t xml:space="preserve"> female with a history of smoking </w:t>
      </w:r>
      <w:r w:rsidR="00C63E2D">
        <w:t>less than</w:t>
      </w:r>
      <w:r>
        <w:t xml:space="preserve"> 10 cigarettes a day experienced an ischaemic stroke while taking </w:t>
      </w:r>
      <w:proofErr w:type="spellStart"/>
      <w:r>
        <w:t>deucravacitinib</w:t>
      </w:r>
      <w:proofErr w:type="spellEnd"/>
      <w:r>
        <w:t>.</w:t>
      </w:r>
    </w:p>
    <w:p w14:paraId="3E073691" w14:textId="77777777" w:rsidR="00513E48" w:rsidRDefault="00513E48" w:rsidP="00513E48">
      <w:pPr>
        <w:rPr>
          <w:bCs/>
          <w:lang w:val="en-US"/>
        </w:rPr>
      </w:pPr>
      <w:r>
        <w:rPr>
          <w:bCs/>
          <w:lang w:val="en-US"/>
        </w:rPr>
        <w:t xml:space="preserve">The sponsor considered that the rates of cardiovascular events in the </w:t>
      </w:r>
      <w:proofErr w:type="spellStart"/>
      <w:r>
        <w:rPr>
          <w:bCs/>
          <w:lang w:val="en-US"/>
        </w:rPr>
        <w:t>deucravacitinib</w:t>
      </w:r>
      <w:proofErr w:type="spellEnd"/>
      <w:r>
        <w:rPr>
          <w:bCs/>
          <w:lang w:val="en-US"/>
        </w:rPr>
        <w:t xml:space="preserve"> psoriasis studies were comparable to the rates reported in the general psoriasis population.</w:t>
      </w:r>
    </w:p>
    <w:p w14:paraId="35C51FA2" w14:textId="77777777" w:rsidR="00513E48" w:rsidRDefault="00513E48" w:rsidP="00513E48">
      <w:pPr>
        <w:pStyle w:val="Heading6"/>
        <w:rPr>
          <w:lang w:val="en-US"/>
        </w:rPr>
      </w:pPr>
      <w:r>
        <w:rPr>
          <w:lang w:val="en-US"/>
        </w:rPr>
        <w:t>Thromboembolic disease (venous or arterial)</w:t>
      </w:r>
    </w:p>
    <w:p w14:paraId="665B6437" w14:textId="1B60CBC0" w:rsidR="00513E48" w:rsidRDefault="00513E48" w:rsidP="00513E48">
      <w:pPr>
        <w:rPr>
          <w:bCs/>
          <w:lang w:val="en-US"/>
        </w:rPr>
      </w:pPr>
      <w:r>
        <w:rPr>
          <w:bCs/>
          <w:lang w:val="en-US"/>
        </w:rPr>
        <w:t xml:space="preserve">No venous thromboembolic events were reported in the controlled safety pool during the </w:t>
      </w:r>
      <w:proofErr w:type="gramStart"/>
      <w:r>
        <w:rPr>
          <w:bCs/>
          <w:lang w:val="en-US"/>
        </w:rPr>
        <w:t>placebo controlled</w:t>
      </w:r>
      <w:proofErr w:type="gramEnd"/>
      <w:r>
        <w:rPr>
          <w:bCs/>
          <w:lang w:val="en-US"/>
        </w:rPr>
        <w:t xml:space="preserve"> period. Over the </w:t>
      </w:r>
      <w:proofErr w:type="gramStart"/>
      <w:r>
        <w:rPr>
          <w:bCs/>
          <w:lang w:val="en-US"/>
        </w:rPr>
        <w:t>52 week</w:t>
      </w:r>
      <w:proofErr w:type="gramEnd"/>
      <w:r>
        <w:rPr>
          <w:bCs/>
          <w:lang w:val="en-US"/>
        </w:rPr>
        <w:t xml:space="preserve"> study period, one participant in the </w:t>
      </w:r>
      <w:proofErr w:type="spellStart"/>
      <w:r>
        <w:rPr>
          <w:bCs/>
          <w:lang w:val="en-US"/>
        </w:rPr>
        <w:t>deucravacitinib</w:t>
      </w:r>
      <w:proofErr w:type="spellEnd"/>
      <w:r>
        <w:rPr>
          <w:bCs/>
          <w:lang w:val="en-US"/>
        </w:rPr>
        <w:t xml:space="preserve"> group experienced a non-serious deep vein thrombosis of a radial vein associated with intravascular cannulation. A second participant in the </w:t>
      </w:r>
      <w:proofErr w:type="spellStart"/>
      <w:r>
        <w:rPr>
          <w:bCs/>
          <w:lang w:val="en-US"/>
        </w:rPr>
        <w:t>deucravacitinib</w:t>
      </w:r>
      <w:proofErr w:type="spellEnd"/>
      <w:r>
        <w:rPr>
          <w:bCs/>
          <w:lang w:val="en-US"/>
        </w:rPr>
        <w:t xml:space="preserve"> group experienced a SAE of aortic dissection and coincident pulmonary embolism. The EAIR for the combined events was 0.1/100 p-y. No thromboembolic events were reported in the groups originally </w:t>
      </w:r>
      <w:proofErr w:type="spellStart"/>
      <w:r>
        <w:rPr>
          <w:bCs/>
          <w:lang w:val="en-US"/>
        </w:rPr>
        <w:t>randomised</w:t>
      </w:r>
      <w:proofErr w:type="spellEnd"/>
      <w:r>
        <w:rPr>
          <w:bCs/>
          <w:lang w:val="en-US"/>
        </w:rPr>
        <w:t xml:space="preserve"> to placebo or apremilast. An SAE of deep vein thrombosis in a participant with comorbid COVID-19 infection and thrombophlebitis was reported in the Phase III safety pool.</w:t>
      </w:r>
    </w:p>
    <w:p w14:paraId="5B206E11" w14:textId="259757C5" w:rsidR="00513E48" w:rsidRDefault="00513E48" w:rsidP="00513E48">
      <w:pPr>
        <w:rPr>
          <w:bCs/>
          <w:lang w:val="en-US"/>
        </w:rPr>
      </w:pPr>
      <w:r>
        <w:rPr>
          <w:bCs/>
          <w:lang w:val="en-US"/>
        </w:rPr>
        <w:t xml:space="preserve">In the </w:t>
      </w:r>
      <w:proofErr w:type="gramStart"/>
      <w:r>
        <w:rPr>
          <w:bCs/>
          <w:lang w:val="en-US"/>
        </w:rPr>
        <w:t>placebo controlled</w:t>
      </w:r>
      <w:proofErr w:type="gramEnd"/>
      <w:r>
        <w:rPr>
          <w:bCs/>
          <w:lang w:val="en-US"/>
        </w:rPr>
        <w:t xml:space="preserve"> period of the two pivotal studies, one 66 year old male in the placebo treated group developed an iliac artery occlusion on Day 24. Subsequently the male had vascular surgery on Day 106 for another, peripheral arterial, occlusion. A </w:t>
      </w:r>
      <w:proofErr w:type="gramStart"/>
      <w:r>
        <w:rPr>
          <w:bCs/>
          <w:lang w:val="en-US"/>
        </w:rPr>
        <w:t>55 year old</w:t>
      </w:r>
      <w:proofErr w:type="gramEnd"/>
      <w:r>
        <w:rPr>
          <w:bCs/>
          <w:lang w:val="en-US"/>
        </w:rPr>
        <w:t xml:space="preserve"> female in the apremilast group also experienced peripheral arterial occlusion on Day 9 and Day 23 of treatment. There were no arterial thrombotic events during the </w:t>
      </w:r>
      <w:proofErr w:type="gramStart"/>
      <w:r>
        <w:rPr>
          <w:bCs/>
          <w:lang w:val="en-US"/>
        </w:rPr>
        <w:t>placebo controlled</w:t>
      </w:r>
      <w:proofErr w:type="gramEnd"/>
      <w:r>
        <w:rPr>
          <w:bCs/>
          <w:lang w:val="en-US"/>
        </w:rPr>
        <w:t xml:space="preserve"> period in participants treated with </w:t>
      </w:r>
      <w:proofErr w:type="spellStart"/>
      <w:r>
        <w:rPr>
          <w:bCs/>
          <w:lang w:val="en-US"/>
        </w:rPr>
        <w:t>deucravacitinib</w:t>
      </w:r>
      <w:proofErr w:type="spellEnd"/>
      <w:r>
        <w:rPr>
          <w:bCs/>
          <w:lang w:val="en-US"/>
        </w:rPr>
        <w:t xml:space="preserve">. Two additional reports of arterial thrombosis were made during the Week 0 to 52 period, both participants were taking </w:t>
      </w:r>
      <w:proofErr w:type="spellStart"/>
      <w:r>
        <w:rPr>
          <w:bCs/>
          <w:lang w:val="en-US"/>
        </w:rPr>
        <w:t>deucravacitinib</w:t>
      </w:r>
      <w:proofErr w:type="spellEnd"/>
      <w:r>
        <w:rPr>
          <w:bCs/>
          <w:lang w:val="en-US"/>
        </w:rPr>
        <w:t xml:space="preserve"> at the time. A </w:t>
      </w:r>
      <w:proofErr w:type="gramStart"/>
      <w:r>
        <w:rPr>
          <w:bCs/>
          <w:lang w:val="en-US"/>
        </w:rPr>
        <w:t>64 year old</w:t>
      </w:r>
      <w:proofErr w:type="gramEnd"/>
      <w:r>
        <w:rPr>
          <w:bCs/>
          <w:lang w:val="en-US"/>
        </w:rPr>
        <w:t xml:space="preserve"> male developed right popliteal arterial thrombosis (Day 189, 77 days on </w:t>
      </w:r>
      <w:proofErr w:type="spellStart"/>
      <w:r>
        <w:rPr>
          <w:bCs/>
          <w:lang w:val="en-US"/>
        </w:rPr>
        <w:t>deucravacitinib</w:t>
      </w:r>
      <w:proofErr w:type="spellEnd"/>
      <w:r>
        <w:rPr>
          <w:bCs/>
          <w:lang w:val="en-US"/>
        </w:rPr>
        <w:t xml:space="preserve">) and a 57 year old male was diagnosed with </w:t>
      </w:r>
      <w:proofErr w:type="spellStart"/>
      <w:r>
        <w:rPr>
          <w:bCs/>
          <w:lang w:val="en-US"/>
        </w:rPr>
        <w:t>Leriche</w:t>
      </w:r>
      <w:proofErr w:type="spellEnd"/>
      <w:r>
        <w:rPr>
          <w:bCs/>
          <w:lang w:val="en-US"/>
        </w:rPr>
        <w:t xml:space="preserve"> syndrome (obstruction of common femoral and superficial femoral arteries) on Day 261.</w:t>
      </w:r>
    </w:p>
    <w:p w14:paraId="062B6516" w14:textId="045A3A69" w:rsidR="00513E48" w:rsidRDefault="00513E48" w:rsidP="00513E48">
      <w:pPr>
        <w:rPr>
          <w:bCs/>
          <w:lang w:val="en-US"/>
        </w:rPr>
      </w:pPr>
      <w:r>
        <w:rPr>
          <w:bCs/>
          <w:lang w:val="en-US"/>
        </w:rPr>
        <w:t xml:space="preserve">All affected participants had additional risks for thromboembolic disease. The sponsor indicated that the EAIR for </w:t>
      </w:r>
      <w:r w:rsidR="00C63E2D">
        <w:rPr>
          <w:bCs/>
          <w:lang w:val="en-US"/>
        </w:rPr>
        <w:t>v</w:t>
      </w:r>
      <w:r w:rsidR="00C63E2D" w:rsidRPr="00C63E2D">
        <w:rPr>
          <w:bCs/>
          <w:lang w:val="en-US"/>
        </w:rPr>
        <w:t>enous thromboembolism</w:t>
      </w:r>
      <w:r>
        <w:rPr>
          <w:bCs/>
          <w:lang w:val="en-US"/>
        </w:rPr>
        <w:t xml:space="preserve"> in the clinical studies were comparable to the patient population with psoriasis.</w:t>
      </w:r>
    </w:p>
    <w:p w14:paraId="3D3F29BB" w14:textId="77777777" w:rsidR="00513E48" w:rsidRPr="00513E48" w:rsidRDefault="00513E48" w:rsidP="007F705E">
      <w:pPr>
        <w:pStyle w:val="Heading6"/>
      </w:pPr>
      <w:r w:rsidRPr="00513E48">
        <w:lastRenderedPageBreak/>
        <w:t>Depression and suicidal ideation</w:t>
      </w:r>
    </w:p>
    <w:p w14:paraId="3B30C659" w14:textId="77777777" w:rsidR="00513E48" w:rsidRPr="00513E48" w:rsidRDefault="00513E48" w:rsidP="00513E48">
      <w:r w:rsidRPr="00513E48">
        <w:t xml:space="preserve">The most frequently reported psychiatric AEs in the </w:t>
      </w:r>
      <w:proofErr w:type="spellStart"/>
      <w:r w:rsidRPr="00513E48">
        <w:t>deucravacitinib</w:t>
      </w:r>
      <w:proofErr w:type="spellEnd"/>
      <w:r w:rsidRPr="00513E48">
        <w:t xml:space="preserve"> group were depression and insomnia, and in the apremilast group were insomnia and anxiety across the safety pools. Overall, reports in the SOC of psychiatric disorders were comparable to rates reported in the patient population with psoriasis. There were no SAEs reported. Reporting rates did not appear to increase or decrease with longer exposure to </w:t>
      </w:r>
      <w:proofErr w:type="spellStart"/>
      <w:r w:rsidRPr="00513E48">
        <w:t>deucravacitinib</w:t>
      </w:r>
      <w:proofErr w:type="spellEnd"/>
      <w:r w:rsidRPr="00513E48">
        <w:t>. The adjudication committee confirmed three AEs of suicidal ideation, one in each treatment group.</w:t>
      </w:r>
    </w:p>
    <w:p w14:paraId="59360EE2" w14:textId="77777777" w:rsidR="00513E48" w:rsidRPr="00513E48" w:rsidRDefault="00513E48" w:rsidP="007F705E">
      <w:pPr>
        <w:pStyle w:val="Heading6"/>
      </w:pPr>
      <w:r w:rsidRPr="00513E48">
        <w:t>Diverticulitis and gastrointestinal perforation</w:t>
      </w:r>
    </w:p>
    <w:p w14:paraId="09E5EA0B" w14:textId="6821A189" w:rsidR="00513E48" w:rsidRPr="00513E48" w:rsidRDefault="00513E48" w:rsidP="007F705E">
      <w:r w:rsidRPr="00513E48">
        <w:t xml:space="preserve">Diverticulitis and gastrointestinal perforation were not considered AEIs during the psoriasis study. The TGA and major international regulators are currently investigating, among other concerns, an apparent increased risk of diverticulitis and gastrointestinal perforation with the use of registered JAK inhibitors. In view of the ongoing review, it was considered appropriate to examine the safety data from the psoriasis program for possible signals. During the placebo-controlled periods of the pivotal Phase </w:t>
      </w:r>
      <w:r w:rsidR="00C63E2D">
        <w:t>III</w:t>
      </w:r>
      <w:r w:rsidRPr="00513E48">
        <w:t xml:space="preserve"> studies, SAEs of diverticulitis were reported in one participant in the </w:t>
      </w:r>
      <w:proofErr w:type="spellStart"/>
      <w:r w:rsidRPr="00513E48">
        <w:t>deucravacitinib</w:t>
      </w:r>
      <w:proofErr w:type="spellEnd"/>
      <w:r w:rsidRPr="00513E48">
        <w:t xml:space="preserve"> arm and one participant in the placebo arm, with no reports in the apremilast arm, whereas gastrointestinal haemorrhage was reported by one participant in the </w:t>
      </w:r>
      <w:proofErr w:type="spellStart"/>
      <w:r w:rsidRPr="00513E48">
        <w:t>deucravacitinib</w:t>
      </w:r>
      <w:proofErr w:type="spellEnd"/>
      <w:r w:rsidRPr="00513E48">
        <w:t xml:space="preserve"> arm and one in the apremilast arm. A small intestinal perforation was reported in the placebo arm</w:t>
      </w:r>
      <w:r w:rsidR="007F705E">
        <w:t xml:space="preserve"> (</w:t>
      </w:r>
      <w:r w:rsidR="007F705E">
        <w:fldChar w:fldCharType="begin"/>
      </w:r>
      <w:r w:rsidR="007F705E">
        <w:instrText xml:space="preserve"> REF _Ref141355403 \h </w:instrText>
      </w:r>
      <w:r w:rsidR="007F705E">
        <w:fldChar w:fldCharType="separate"/>
      </w:r>
      <w:r w:rsidR="00C63E2D" w:rsidRPr="007F705E">
        <w:t xml:space="preserve">Table </w:t>
      </w:r>
      <w:r w:rsidR="00C63E2D">
        <w:rPr>
          <w:noProof/>
        </w:rPr>
        <w:t>14</w:t>
      </w:r>
      <w:r w:rsidR="007F705E">
        <w:fldChar w:fldCharType="end"/>
      </w:r>
      <w:r w:rsidR="007F705E">
        <w:t>)</w:t>
      </w:r>
      <w:r w:rsidRPr="00513E48">
        <w:t>. In the 24</w:t>
      </w:r>
      <w:r w:rsidR="007F705E">
        <w:t xml:space="preserve"> w</w:t>
      </w:r>
      <w:r w:rsidRPr="00513E48">
        <w:t xml:space="preserve">eek apremilast-controlled arm, EAIR in patients taking </w:t>
      </w:r>
      <w:proofErr w:type="spellStart"/>
      <w:r w:rsidRPr="00513E48">
        <w:t>deucravacitinib</w:t>
      </w:r>
      <w:proofErr w:type="spellEnd"/>
      <w:r w:rsidRPr="00513E48">
        <w:t xml:space="preserve"> were estimated at 0.3/100 p-y for diverticulitis and for gastrointestinal haemorrhage</w:t>
      </w:r>
      <w:r w:rsidR="00616D6B">
        <w:t xml:space="preserve"> (</w:t>
      </w:r>
      <w:r w:rsidR="00616D6B">
        <w:fldChar w:fldCharType="begin"/>
      </w:r>
      <w:r w:rsidR="00616D6B">
        <w:instrText xml:space="preserve"> REF _Ref142397630 \h </w:instrText>
      </w:r>
      <w:r w:rsidR="00616D6B">
        <w:fldChar w:fldCharType="separate"/>
      </w:r>
      <w:r w:rsidR="00616D6B" w:rsidRPr="00616D6B">
        <w:t>Table 15</w:t>
      </w:r>
      <w:r w:rsidR="00616D6B">
        <w:fldChar w:fldCharType="end"/>
      </w:r>
      <w:r w:rsidR="00616D6B">
        <w:t>)</w:t>
      </w:r>
      <w:r w:rsidRPr="00513E48">
        <w:t>.</w:t>
      </w:r>
    </w:p>
    <w:p w14:paraId="29553B1C" w14:textId="5744947C" w:rsidR="00513E48" w:rsidRDefault="00513E48" w:rsidP="007F705E">
      <w:pPr>
        <w:pStyle w:val="TableTitle"/>
      </w:pPr>
      <w:bookmarkStart w:id="64" w:name="_Ref141355403"/>
      <w:r w:rsidRPr="007F705E">
        <w:t xml:space="preserve">Table </w:t>
      </w:r>
      <w:r>
        <w:fldChar w:fldCharType="begin"/>
      </w:r>
      <w:r>
        <w:instrText>SEQ Table \* ARABIC</w:instrText>
      </w:r>
      <w:r>
        <w:fldChar w:fldCharType="separate"/>
      </w:r>
      <w:r w:rsidR="00616D6B">
        <w:rPr>
          <w:noProof/>
        </w:rPr>
        <w:t>14</w:t>
      </w:r>
      <w:r>
        <w:fldChar w:fldCharType="end"/>
      </w:r>
      <w:bookmarkEnd w:id="64"/>
      <w:r>
        <w:t>: Summary of clinical safety – Serious Adverse Event Summary, Controlled Safety Pool, Week 0 – Week 16, Diverticulitis, gastrointestinal perforation</w:t>
      </w:r>
    </w:p>
    <w:p w14:paraId="5278CFCA" w14:textId="7715205B" w:rsidR="00616D6B" w:rsidRDefault="007F705E" w:rsidP="007F705E">
      <w:pPr>
        <w:rPr>
          <w:noProof/>
        </w:rPr>
      </w:pPr>
      <w:r w:rsidRPr="007F705E">
        <w:rPr>
          <w:noProof/>
        </w:rPr>
        <w:drawing>
          <wp:inline distT="0" distB="0" distL="0" distR="0" wp14:anchorId="488CEA2E" wp14:editId="6BAE4054">
            <wp:extent cx="5759450" cy="1089328"/>
            <wp:effectExtent l="0" t="0" r="0" b="0"/>
            <wp:docPr id="19" name="Picture 19" descr="Summary of clinical safety – Serious Adverse Event Summary, Controlled Safety Pool, Week 0 – Week 16, Diverticulitis, gastrointestinal perf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mmary of clinical safety – Serious Adverse Event Summary, Controlled Safety Pool, Week 0 – Week 16, Diverticulitis, gastrointestinal perforation"/>
                    <pic:cNvPicPr/>
                  </pic:nvPicPr>
                  <pic:blipFill>
                    <a:blip r:embed="rId43"/>
                    <a:stretch>
                      <a:fillRect/>
                    </a:stretch>
                  </pic:blipFill>
                  <pic:spPr>
                    <a:xfrm>
                      <a:off x="0" y="0"/>
                      <a:ext cx="5768060" cy="1090956"/>
                    </a:xfrm>
                    <a:prstGeom prst="rect">
                      <a:avLst/>
                    </a:prstGeom>
                  </pic:spPr>
                </pic:pic>
              </a:graphicData>
            </a:graphic>
          </wp:inline>
        </w:drawing>
      </w:r>
    </w:p>
    <w:p w14:paraId="00873674" w14:textId="7B026CBC" w:rsidR="00616D6B" w:rsidRDefault="00616D6B" w:rsidP="00616D6B">
      <w:pPr>
        <w:pStyle w:val="TableTitle"/>
        <w:rPr>
          <w:noProof/>
        </w:rPr>
      </w:pPr>
      <w:bookmarkStart w:id="65" w:name="_Ref142397630"/>
      <w:r w:rsidRPr="00616D6B">
        <w:t xml:space="preserve">Table </w:t>
      </w:r>
      <w:fldSimple w:instr=" SEQ Table \* ARABIC ">
        <w:r w:rsidRPr="00616D6B">
          <w:t>15</w:t>
        </w:r>
      </w:fldSimple>
      <w:bookmarkEnd w:id="65"/>
      <w:r>
        <w:t xml:space="preserve">: </w:t>
      </w:r>
      <w:r w:rsidRPr="00C978B3">
        <w:t xml:space="preserve">Summary of clinical safety - Serious Adverse Events, Controlled Safety Pool, Week 0 - 24, Subjects Who Were Randomized to and Continued on the Same Active Treatment Groups, Diverticulitis, gastrointestinal </w:t>
      </w:r>
      <w:proofErr w:type="gramStart"/>
      <w:r w:rsidRPr="00C978B3">
        <w:t>perforation</w:t>
      </w:r>
      <w:proofErr w:type="gramEnd"/>
    </w:p>
    <w:p w14:paraId="60C6E656" w14:textId="0CF13E78" w:rsidR="007F705E" w:rsidRDefault="007F705E" w:rsidP="007F705E">
      <w:pPr>
        <w:rPr>
          <w:noProof/>
        </w:rPr>
      </w:pPr>
      <w:r w:rsidRPr="007F705E">
        <w:rPr>
          <w:noProof/>
        </w:rPr>
        <w:drawing>
          <wp:inline distT="0" distB="0" distL="0" distR="0" wp14:anchorId="3E5A8584" wp14:editId="3F0EAE34">
            <wp:extent cx="5759450" cy="1323340"/>
            <wp:effectExtent l="0" t="0" r="0" b="0"/>
            <wp:docPr id="20" name="Picture 20" descr="Table 15: Summary of clinical safety - Serious Adverse Events, Controlled Safety Pool, Week 0 - 24, Subjects Who Were Randomized to and Continued on the Same Active Treatment Groups, Diverticulitis, gastrointestinal perf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15: Summary of clinical safety - Serious Adverse Events, Controlled Safety Pool, Week 0 - 24, Subjects Who Were Randomized to and Continued on the Same Active Treatment Groups, Diverticulitis, gastrointestinal perforation"/>
                    <pic:cNvPicPr/>
                  </pic:nvPicPr>
                  <pic:blipFill>
                    <a:blip r:embed="rId44"/>
                    <a:stretch>
                      <a:fillRect/>
                    </a:stretch>
                  </pic:blipFill>
                  <pic:spPr>
                    <a:xfrm>
                      <a:off x="0" y="0"/>
                      <a:ext cx="5759450" cy="1323340"/>
                    </a:xfrm>
                    <a:prstGeom prst="rect">
                      <a:avLst/>
                    </a:prstGeom>
                  </pic:spPr>
                </pic:pic>
              </a:graphicData>
            </a:graphic>
          </wp:inline>
        </w:drawing>
      </w:r>
    </w:p>
    <w:p w14:paraId="7EF3C01D" w14:textId="77777777" w:rsidR="007F705E" w:rsidRPr="007F705E" w:rsidRDefault="007F705E" w:rsidP="007F705E">
      <w:pPr>
        <w:pStyle w:val="Heading6"/>
      </w:pPr>
      <w:r w:rsidRPr="007F705E">
        <w:t>All-cause mortality</w:t>
      </w:r>
    </w:p>
    <w:p w14:paraId="681E1EE1" w14:textId="7A90D5EE" w:rsidR="007F705E" w:rsidRPr="007F705E" w:rsidRDefault="007F705E" w:rsidP="007F705E">
      <w:r w:rsidRPr="007F705E">
        <w:t xml:space="preserve">In addition to the deaths that were reported in the psoriasis treatment program, the sponsor provided safety narratives for deaths that were reported in other ongoing studies with </w:t>
      </w:r>
      <w:proofErr w:type="spellStart"/>
      <w:r w:rsidRPr="007F705E">
        <w:t>deucravacitinib</w:t>
      </w:r>
      <w:proofErr w:type="spellEnd"/>
      <w:r w:rsidRPr="007F705E">
        <w:t xml:space="preserve">. A total of seven deaths were reported in blinded, ongoing studies in psoriatic arthritis, ulcerative colitis, Crohn’s disease, lupus nephritis and systemic lupus erythematosus. An </w:t>
      </w:r>
      <w:proofErr w:type="gramStart"/>
      <w:r w:rsidRPr="007F705E">
        <w:t>18 y</w:t>
      </w:r>
      <w:r>
        <w:t>ear old</w:t>
      </w:r>
      <w:proofErr w:type="gramEnd"/>
      <w:r w:rsidRPr="007F705E">
        <w:t xml:space="preserve"> female with </w:t>
      </w:r>
      <w:r w:rsidR="00C63E2D" w:rsidRPr="007F705E">
        <w:t>systemic lupus erythematosus</w:t>
      </w:r>
      <w:r w:rsidRPr="007F705E">
        <w:t xml:space="preserve"> developed a toxic skin eruption on </w:t>
      </w:r>
      <w:r>
        <w:t>D</w:t>
      </w:r>
      <w:r w:rsidRPr="007F705E">
        <w:t xml:space="preserve">ay 2 of blinded study treatment, study treatment was withdrawn on </w:t>
      </w:r>
      <w:r>
        <w:t>D</w:t>
      </w:r>
      <w:r w:rsidRPr="007F705E">
        <w:t xml:space="preserve">ay 3. The eruption was treated with acyclovir, </w:t>
      </w:r>
      <w:proofErr w:type="gramStart"/>
      <w:r w:rsidRPr="007F705E">
        <w:t>ceftriaxone</w:t>
      </w:r>
      <w:proofErr w:type="gramEnd"/>
      <w:r w:rsidRPr="007F705E">
        <w:t xml:space="preserve"> and doxycycline, was later diagnosed as </w:t>
      </w:r>
      <w:r>
        <w:t>‘</w:t>
      </w:r>
      <w:r w:rsidRPr="007F705E">
        <w:t xml:space="preserve">herpes simplex, </w:t>
      </w:r>
      <w:r w:rsidRPr="007F705E">
        <w:lastRenderedPageBreak/>
        <w:t>complicated by pyoderma</w:t>
      </w:r>
      <w:r>
        <w:t>’</w:t>
      </w:r>
      <w:r w:rsidRPr="007F705E">
        <w:t xml:space="preserve"> which resolved. She did not recommence study treatment and died three months later with pulmonary heart disease. Relationship to study treatment could not be ascertained. A </w:t>
      </w:r>
      <w:proofErr w:type="gramStart"/>
      <w:r w:rsidRPr="007F705E">
        <w:t>51 y</w:t>
      </w:r>
      <w:r>
        <w:t>ear old</w:t>
      </w:r>
      <w:proofErr w:type="gramEnd"/>
      <w:r w:rsidRPr="007F705E">
        <w:t xml:space="preserve"> female with Crohn’s disease and co-morbid Type 2 diabetes, hyperlipidaemia, hypertension, obesity, and other conditions experienced cardiac arrest at home 36 days after discontinuing blinded drug therapy owing to Crohn’s disease flare, diabetic foot infection and cellulitis on </w:t>
      </w:r>
      <w:r>
        <w:t>D</w:t>
      </w:r>
      <w:r w:rsidRPr="007F705E">
        <w:t xml:space="preserve">ay 21 of the trial. An autopsy identified atherosclerosis of one of the coronary arteries. A </w:t>
      </w:r>
      <w:proofErr w:type="gramStart"/>
      <w:r w:rsidRPr="007F705E">
        <w:t>38 y</w:t>
      </w:r>
      <w:r>
        <w:t>ear old</w:t>
      </w:r>
      <w:proofErr w:type="gramEnd"/>
      <w:r w:rsidRPr="007F705E">
        <w:t xml:space="preserve"> male with </w:t>
      </w:r>
      <w:r w:rsidR="00C63E2D" w:rsidRPr="007F705E">
        <w:t>ulcerative colitis</w:t>
      </w:r>
      <w:r w:rsidRPr="007F705E">
        <w:t xml:space="preserve"> died on </w:t>
      </w:r>
      <w:r>
        <w:t>D</w:t>
      </w:r>
      <w:r w:rsidRPr="007F705E">
        <w:t xml:space="preserve">ay 135 (blinded therapy </w:t>
      </w:r>
      <w:r>
        <w:t>D</w:t>
      </w:r>
      <w:r w:rsidRPr="007F705E">
        <w:t>ay 0</w:t>
      </w:r>
      <w:r>
        <w:t xml:space="preserve"> to </w:t>
      </w:r>
      <w:r w:rsidRPr="007F705E">
        <w:t>84, open</w:t>
      </w:r>
      <w:r>
        <w:t xml:space="preserve"> </w:t>
      </w:r>
      <w:r w:rsidRPr="007F705E">
        <w:t xml:space="preserve">label </w:t>
      </w:r>
      <w:proofErr w:type="spellStart"/>
      <w:r w:rsidRPr="007F705E">
        <w:t>deucravacitinib</w:t>
      </w:r>
      <w:proofErr w:type="spellEnd"/>
      <w:r w:rsidRPr="007F705E">
        <w:t xml:space="preserve"> from </w:t>
      </w:r>
      <w:r>
        <w:t>D</w:t>
      </w:r>
      <w:r w:rsidRPr="007F705E">
        <w:t>ay 85</w:t>
      </w:r>
      <w:r>
        <w:t xml:space="preserve"> to </w:t>
      </w:r>
      <w:r w:rsidRPr="007F705E">
        <w:t>129) after hospitali</w:t>
      </w:r>
      <w:r>
        <w:t>s</w:t>
      </w:r>
      <w:r w:rsidRPr="007F705E">
        <w:t xml:space="preserve">ation on </w:t>
      </w:r>
      <w:r>
        <w:t>D</w:t>
      </w:r>
      <w:r w:rsidRPr="007F705E">
        <w:t xml:space="preserve">ay 129 for confirmed COVID-19 pneumonia. There were no known underlying co-morbidities. The </w:t>
      </w:r>
      <w:r>
        <w:t>s</w:t>
      </w:r>
      <w:r w:rsidRPr="007F705E">
        <w:t xml:space="preserve">ponsor considers the death unrelated to study drug. A </w:t>
      </w:r>
      <w:proofErr w:type="gramStart"/>
      <w:r w:rsidRPr="007F705E">
        <w:t>52 y</w:t>
      </w:r>
      <w:r>
        <w:t>ear old</w:t>
      </w:r>
      <w:proofErr w:type="gramEnd"/>
      <w:r w:rsidRPr="007F705E">
        <w:t xml:space="preserve"> man with </w:t>
      </w:r>
      <w:r w:rsidR="00C63E2D" w:rsidRPr="007F705E">
        <w:t>ulcerative colitis</w:t>
      </w:r>
      <w:r w:rsidRPr="007F705E">
        <w:t xml:space="preserve"> died between </w:t>
      </w:r>
      <w:r>
        <w:t>D</w:t>
      </w:r>
      <w:r w:rsidRPr="007F705E">
        <w:t xml:space="preserve">ay 61 and </w:t>
      </w:r>
      <w:r>
        <w:t>D</w:t>
      </w:r>
      <w:r w:rsidRPr="007F705E">
        <w:t xml:space="preserve">ay 77 with confirmed COVID-19 pneumonia. The man had been taking blinded drug therapy between </w:t>
      </w:r>
      <w:r>
        <w:t>D</w:t>
      </w:r>
      <w:r w:rsidRPr="007F705E">
        <w:t xml:space="preserve">ay 0 and </w:t>
      </w:r>
      <w:r>
        <w:t>D</w:t>
      </w:r>
      <w:r w:rsidRPr="007F705E">
        <w:t xml:space="preserve">ay 47 and had been hospitalised in intensive care since </w:t>
      </w:r>
      <w:r>
        <w:t>D</w:t>
      </w:r>
      <w:r w:rsidRPr="007F705E">
        <w:t xml:space="preserve">ay 52, commencing ECMO on </w:t>
      </w:r>
      <w:r>
        <w:t>D</w:t>
      </w:r>
      <w:r w:rsidRPr="007F705E">
        <w:t xml:space="preserve">ay 61. The sponsor considered the death unrelated to study treatment. A </w:t>
      </w:r>
      <w:proofErr w:type="gramStart"/>
      <w:r w:rsidRPr="007F705E">
        <w:t>63 y</w:t>
      </w:r>
      <w:r>
        <w:t>ear old</w:t>
      </w:r>
      <w:proofErr w:type="gramEnd"/>
      <w:r w:rsidRPr="007F705E">
        <w:t xml:space="preserve"> female with psoriatic arthritis in a blinded trial of </w:t>
      </w:r>
      <w:proofErr w:type="spellStart"/>
      <w:r w:rsidRPr="007F705E">
        <w:t>deucravacitinib</w:t>
      </w:r>
      <w:proofErr w:type="spellEnd"/>
      <w:r w:rsidRPr="007F705E">
        <w:t xml:space="preserve"> died as a result of road traffic accident on </w:t>
      </w:r>
      <w:r>
        <w:t>D</w:t>
      </w:r>
      <w:r w:rsidRPr="007F705E">
        <w:t>ay 192.</w:t>
      </w:r>
    </w:p>
    <w:p w14:paraId="669391CD" w14:textId="19DAF069" w:rsidR="007F705E" w:rsidRPr="007F705E" w:rsidRDefault="007F705E" w:rsidP="007F705E">
      <w:r w:rsidRPr="007F705E">
        <w:t xml:space="preserve">A </w:t>
      </w:r>
      <w:proofErr w:type="gramStart"/>
      <w:r w:rsidRPr="007F705E">
        <w:t>53 y</w:t>
      </w:r>
      <w:r>
        <w:t>ear old</w:t>
      </w:r>
      <w:proofErr w:type="gramEnd"/>
      <w:r w:rsidRPr="007F705E">
        <w:t xml:space="preserve"> female with </w:t>
      </w:r>
      <w:r w:rsidR="00C63E2D" w:rsidRPr="007F705E">
        <w:t>systemic lupus erythematosus</w:t>
      </w:r>
      <w:r w:rsidRPr="007F705E">
        <w:t xml:space="preserve"> who was enrolled in a long-term extension study, with no known cardiac risk factors, and co-morbid illness not directly related to cardiac disease, experienced cardiogenic shock and acute myocardial infarction on </w:t>
      </w:r>
      <w:r>
        <w:t>D</w:t>
      </w:r>
      <w:r w:rsidRPr="007F705E">
        <w:t xml:space="preserve">ay 68 of </w:t>
      </w:r>
      <w:proofErr w:type="spellStart"/>
      <w:r w:rsidRPr="007F705E">
        <w:t>deucravacitinib</w:t>
      </w:r>
      <w:proofErr w:type="spellEnd"/>
      <w:r w:rsidRPr="007F705E">
        <w:t xml:space="preserve"> treatment (dose blinded in this study). Her condition deteriorated resulting in death on </w:t>
      </w:r>
      <w:r>
        <w:t>D</w:t>
      </w:r>
      <w:r w:rsidRPr="007F705E">
        <w:t xml:space="preserve">ay 69 despite treatment with vasopressors, </w:t>
      </w:r>
      <w:proofErr w:type="gramStart"/>
      <w:r w:rsidRPr="007F705E">
        <w:t>thrombolysis</w:t>
      </w:r>
      <w:proofErr w:type="gramEnd"/>
      <w:r w:rsidRPr="007F705E">
        <w:t xml:space="preserve"> and mechanical ventilation.</w:t>
      </w:r>
    </w:p>
    <w:p w14:paraId="2858B006" w14:textId="7356FBD5" w:rsidR="00C22214" w:rsidRDefault="00C22214" w:rsidP="00C22214">
      <w:pPr>
        <w:pStyle w:val="Heading3"/>
        <w:rPr>
          <w:lang w:eastAsia="en-AU"/>
        </w:rPr>
      </w:pPr>
      <w:bookmarkStart w:id="66" w:name="_Toc314842514"/>
      <w:bookmarkStart w:id="67" w:name="_Toc103679298"/>
      <w:bookmarkStart w:id="68" w:name="_Toc141445521"/>
      <w:r>
        <w:rPr>
          <w:lang w:eastAsia="en-AU"/>
        </w:rPr>
        <w:t>Risk management plan</w:t>
      </w:r>
      <w:bookmarkEnd w:id="66"/>
      <w:bookmarkEnd w:id="67"/>
      <w:bookmarkEnd w:id="68"/>
    </w:p>
    <w:p w14:paraId="6FC5A82A" w14:textId="33144CD8" w:rsidR="007F705E" w:rsidRDefault="003C4D67" w:rsidP="00C22214">
      <w:pPr>
        <w:rPr>
          <w:szCs w:val="22"/>
        </w:rPr>
      </w:pPr>
      <w:bookmarkStart w:id="69" w:name="_Toc247691531"/>
      <w:bookmarkStart w:id="70" w:name="_Toc314842515"/>
      <w:r>
        <w:t>The sponsor</w:t>
      </w:r>
      <w:r w:rsidR="007F705E" w:rsidRPr="00EB4187">
        <w:t xml:space="preserve"> has submitted </w:t>
      </w:r>
      <w:r>
        <w:t>E</w:t>
      </w:r>
      <w:r w:rsidR="00C63E2D">
        <w:t>U</w:t>
      </w:r>
      <w:r w:rsidR="007F705E" w:rsidRPr="00EB4187">
        <w:t>-</w:t>
      </w:r>
      <w:r>
        <w:t>risk management plan (</w:t>
      </w:r>
      <w:r w:rsidR="007F705E" w:rsidRPr="00EB4187">
        <w:t>RMP</w:t>
      </w:r>
      <w:r>
        <w:t>)</w:t>
      </w:r>
      <w:r w:rsidR="007F705E" w:rsidRPr="00EB4187">
        <w:t xml:space="preserve"> version 1.0 (02 </w:t>
      </w:r>
      <w:r>
        <w:t>September</w:t>
      </w:r>
      <w:r w:rsidR="007F705E" w:rsidRPr="00EB4187">
        <w:t xml:space="preserve"> 2021; </w:t>
      </w:r>
      <w:r>
        <w:t>data lock point (</w:t>
      </w:r>
      <w:r w:rsidR="007F705E" w:rsidRPr="00EB4187">
        <w:t>DLP</w:t>
      </w:r>
      <w:r>
        <w:t>)</w:t>
      </w:r>
      <w:r w:rsidR="007F705E" w:rsidRPr="00EB4187">
        <w:t xml:space="preserve"> 15 Jun</w:t>
      </w:r>
      <w:r>
        <w:t>e</w:t>
      </w:r>
      <w:r w:rsidR="007F705E" w:rsidRPr="00EB4187">
        <w:t xml:space="preserve"> 2021) and </w:t>
      </w:r>
      <w:r>
        <w:t>Australia specific annex (</w:t>
      </w:r>
      <w:r w:rsidR="007F705E" w:rsidRPr="00EB4187">
        <w:t>ASA</w:t>
      </w:r>
      <w:r>
        <w:t>)</w:t>
      </w:r>
      <w:r w:rsidR="007F705E" w:rsidRPr="00EB4187">
        <w:t xml:space="preserve"> version 1.0 (20 </w:t>
      </w:r>
      <w:r>
        <w:t>September</w:t>
      </w:r>
      <w:r w:rsidR="007F705E" w:rsidRPr="00EB4187">
        <w:t xml:space="preserve"> 2021) in support of this </w:t>
      </w:r>
      <w:proofErr w:type="gramStart"/>
      <w:r w:rsidR="007F705E" w:rsidRPr="00EB4187">
        <w:t>application</w:t>
      </w:r>
      <w:proofErr w:type="gramEnd"/>
    </w:p>
    <w:p w14:paraId="39F3CD1D" w14:textId="51CEBA38" w:rsidR="0072003B" w:rsidRPr="00BD5DBD" w:rsidRDefault="007F705E" w:rsidP="00C22214">
      <w:pPr>
        <w:rPr>
          <w:szCs w:val="22"/>
        </w:rPr>
      </w:pPr>
      <w:r>
        <w:rPr>
          <w:szCs w:val="22"/>
        </w:rPr>
        <w:t>T</w:t>
      </w:r>
      <w:r w:rsidR="00C22214" w:rsidRPr="00BD5DBD">
        <w:rPr>
          <w:szCs w:val="22"/>
        </w:rPr>
        <w: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C63E2D" w:rsidRPr="00C63E2D">
        <w:rPr>
          <w:szCs w:val="22"/>
        </w:rPr>
        <w:t xml:space="preserve">Table </w:t>
      </w:r>
      <w:r w:rsidR="00C63E2D" w:rsidRPr="00C63E2D">
        <w:rPr>
          <w:noProof/>
          <w:szCs w:val="22"/>
        </w:rPr>
        <w:t>15</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5068EAD8" w:rsidR="006A277A" w:rsidRDefault="00C22214" w:rsidP="00C22214">
      <w:pPr>
        <w:pStyle w:val="TableTitle"/>
      </w:pPr>
      <w:bookmarkStart w:id="71" w:name="_Ref97629131"/>
      <w:r>
        <w:t xml:space="preserve">Table </w:t>
      </w:r>
      <w:r>
        <w:fldChar w:fldCharType="begin"/>
      </w:r>
      <w:r>
        <w:instrText>SEQ Table \* ARABIC</w:instrText>
      </w:r>
      <w:r>
        <w:fldChar w:fldCharType="separate"/>
      </w:r>
      <w:r w:rsidR="00616D6B">
        <w:rPr>
          <w:noProof/>
        </w:rPr>
        <w:t>16</w:t>
      </w:r>
      <w:r>
        <w:fldChar w:fldCharType="end"/>
      </w:r>
      <w:bookmarkEnd w:id="71"/>
      <w:r>
        <w:t>: Summary of safety concerns</w:t>
      </w:r>
      <w:r w:rsidR="006351D9">
        <w:t xml:space="preserve"> </w:t>
      </w:r>
    </w:p>
    <w:tbl>
      <w:tblPr>
        <w:tblStyle w:val="TableTGAblue2023"/>
        <w:tblW w:w="5000" w:type="pct"/>
        <w:tblLook w:val="04A0" w:firstRow="1" w:lastRow="0" w:firstColumn="1" w:lastColumn="0" w:noHBand="0" w:noVBand="1"/>
      </w:tblPr>
      <w:tblGrid>
        <w:gridCol w:w="2166"/>
        <w:gridCol w:w="2581"/>
        <w:gridCol w:w="949"/>
        <w:gridCol w:w="1221"/>
        <w:gridCol w:w="949"/>
        <w:gridCol w:w="1194"/>
      </w:tblGrid>
      <w:tr w:rsidR="003C4D67" w:rsidRPr="00BF52F4" w14:paraId="3BD791C1" w14:textId="77777777" w:rsidTr="003C4D67">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619" w:type="pct"/>
            <w:gridSpan w:val="2"/>
            <w:vMerge w:val="restart"/>
          </w:tcPr>
          <w:p w14:paraId="755BFEB2" w14:textId="77777777" w:rsidR="003C4D67" w:rsidRPr="00BF52F4" w:rsidRDefault="003C4D67" w:rsidP="00D92CB7">
            <w:pPr>
              <w:pStyle w:val="Tabletext0"/>
              <w:rPr>
                <w:b w:val="0"/>
                <w:kern w:val="0"/>
              </w:rPr>
            </w:pPr>
            <w:bookmarkStart w:id="72" w:name="_Toc103679299"/>
            <w:r w:rsidRPr="00BF52F4">
              <w:rPr>
                <w:kern w:val="0"/>
              </w:rPr>
              <w:t>Summary of safety concerns</w:t>
            </w:r>
          </w:p>
        </w:tc>
        <w:tc>
          <w:tcPr>
            <w:tcW w:w="1198" w:type="pct"/>
            <w:gridSpan w:val="2"/>
          </w:tcPr>
          <w:p w14:paraId="6546EA3F" w14:textId="77777777" w:rsidR="003C4D67" w:rsidRPr="00BF52F4" w:rsidRDefault="003C4D67" w:rsidP="00D92CB7">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1184" w:type="pct"/>
            <w:gridSpan w:val="2"/>
          </w:tcPr>
          <w:p w14:paraId="6C956F31" w14:textId="77777777" w:rsidR="003C4D67" w:rsidRPr="00BF52F4" w:rsidRDefault="003C4D67" w:rsidP="00D92CB7">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3C4D67" w:rsidRPr="00BF52F4" w14:paraId="5B1A9DFD" w14:textId="77777777" w:rsidTr="003C4D67">
        <w:trPr>
          <w:trHeight w:val="150"/>
        </w:trPr>
        <w:tc>
          <w:tcPr>
            <w:cnfStyle w:val="001000000000" w:firstRow="0" w:lastRow="0" w:firstColumn="1" w:lastColumn="0" w:oddVBand="0" w:evenVBand="0" w:oddHBand="0" w:evenHBand="0" w:firstRowFirstColumn="0" w:firstRowLastColumn="0" w:lastRowFirstColumn="0" w:lastRowLastColumn="0"/>
            <w:tcW w:w="2619" w:type="pct"/>
            <w:gridSpan w:val="2"/>
            <w:vMerge/>
          </w:tcPr>
          <w:p w14:paraId="57FF62C4" w14:textId="77777777" w:rsidR="003C4D67" w:rsidRPr="00BF52F4" w:rsidRDefault="003C4D67" w:rsidP="00D92CB7">
            <w:pPr>
              <w:pStyle w:val="Tabletext0"/>
              <w:rPr>
                <w:b/>
                <w:kern w:val="0"/>
              </w:rPr>
            </w:pPr>
          </w:p>
        </w:tc>
        <w:tc>
          <w:tcPr>
            <w:tcW w:w="524" w:type="pct"/>
          </w:tcPr>
          <w:p w14:paraId="7B7CE83E" w14:textId="77777777" w:rsidR="003C4D67" w:rsidRPr="00BF52F4" w:rsidRDefault="003C4D67" w:rsidP="00D92CB7">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74" w:type="pct"/>
          </w:tcPr>
          <w:p w14:paraId="01E69A13" w14:textId="77777777" w:rsidR="003C4D67" w:rsidRPr="00BF52F4" w:rsidRDefault="003C4D67" w:rsidP="00D92CB7">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524" w:type="pct"/>
          </w:tcPr>
          <w:p w14:paraId="06B16EA6" w14:textId="77777777" w:rsidR="003C4D67" w:rsidRPr="00BF52F4" w:rsidRDefault="003C4D67" w:rsidP="00D92CB7">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60" w:type="pct"/>
          </w:tcPr>
          <w:p w14:paraId="5FEE7C12" w14:textId="77777777" w:rsidR="003C4D67" w:rsidRPr="00BF52F4" w:rsidRDefault="003C4D67" w:rsidP="00D92CB7">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3C4D67" w:rsidRPr="00BF52F4" w14:paraId="57B287EC" w14:textId="77777777" w:rsidTr="003C4D67">
        <w:trPr>
          <w:trHeight w:val="137"/>
        </w:trPr>
        <w:tc>
          <w:tcPr>
            <w:cnfStyle w:val="001000000000" w:firstRow="0" w:lastRow="0" w:firstColumn="1" w:lastColumn="0" w:oddVBand="0" w:evenVBand="0" w:oddHBand="0" w:evenHBand="0" w:firstRowFirstColumn="0" w:firstRowLastColumn="0" w:lastRowFirstColumn="0" w:lastRowLastColumn="0"/>
            <w:tcW w:w="1195" w:type="pct"/>
          </w:tcPr>
          <w:p w14:paraId="272BCD33" w14:textId="77777777" w:rsidR="003C4D67" w:rsidRPr="00BF52F4" w:rsidRDefault="003C4D67" w:rsidP="003C4D67">
            <w:pPr>
              <w:pStyle w:val="Tabletext0"/>
              <w:ind w:left="0"/>
              <w:rPr>
                <w:b/>
                <w:kern w:val="0"/>
              </w:rPr>
            </w:pPr>
            <w:r w:rsidRPr="00BF52F4">
              <w:rPr>
                <w:b/>
                <w:kern w:val="0"/>
              </w:rPr>
              <w:t>Important identified risks</w:t>
            </w:r>
          </w:p>
        </w:tc>
        <w:tc>
          <w:tcPr>
            <w:tcW w:w="1423" w:type="pct"/>
          </w:tcPr>
          <w:p w14:paraId="566BF2A5" w14:textId="77777777" w:rsidR="003C4D67" w:rsidRPr="00BF52F4" w:rsidRDefault="003C4D67" w:rsidP="003C4D67">
            <w:pPr>
              <w:pStyle w:val="Tabletext0"/>
              <w:ind w:left="0"/>
              <w:cnfStyle w:val="000000000000" w:firstRow="0" w:lastRow="0" w:firstColumn="0" w:lastColumn="0" w:oddVBand="0" w:evenVBand="0" w:oddHBand="0" w:evenHBand="0" w:firstRowFirstColumn="0" w:firstRowLastColumn="0" w:lastRowFirstColumn="0" w:lastRowLastColumn="0"/>
              <w:rPr>
                <w:kern w:val="0"/>
              </w:rPr>
            </w:pPr>
            <w:r>
              <w:rPr>
                <w:kern w:val="0"/>
              </w:rPr>
              <w:t>None</w:t>
            </w:r>
          </w:p>
        </w:tc>
        <w:tc>
          <w:tcPr>
            <w:tcW w:w="524" w:type="pct"/>
          </w:tcPr>
          <w:p w14:paraId="06488AF9"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kern w:val="0"/>
              </w:rPr>
              <w:t>–</w:t>
            </w:r>
          </w:p>
        </w:tc>
        <w:tc>
          <w:tcPr>
            <w:tcW w:w="674" w:type="pct"/>
          </w:tcPr>
          <w:p w14:paraId="28081C92"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kern w:val="0"/>
              </w:rPr>
              <w:t>–</w:t>
            </w:r>
          </w:p>
        </w:tc>
        <w:tc>
          <w:tcPr>
            <w:tcW w:w="524" w:type="pct"/>
          </w:tcPr>
          <w:p w14:paraId="5A3CC3A9"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kern w:val="0"/>
              </w:rPr>
              <w:t>–</w:t>
            </w:r>
          </w:p>
        </w:tc>
        <w:tc>
          <w:tcPr>
            <w:tcW w:w="660" w:type="pct"/>
          </w:tcPr>
          <w:p w14:paraId="682B1431"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kern w:val="0"/>
              </w:rPr>
              <w:t>–</w:t>
            </w:r>
          </w:p>
        </w:tc>
      </w:tr>
      <w:tr w:rsidR="003C4D67" w:rsidRPr="00BF52F4" w14:paraId="45731877" w14:textId="77777777" w:rsidTr="003C4D67">
        <w:trPr>
          <w:trHeight w:val="159"/>
        </w:trPr>
        <w:tc>
          <w:tcPr>
            <w:cnfStyle w:val="001000000000" w:firstRow="0" w:lastRow="0" w:firstColumn="1" w:lastColumn="0" w:oddVBand="0" w:evenVBand="0" w:oddHBand="0" w:evenHBand="0" w:firstRowFirstColumn="0" w:firstRowLastColumn="0" w:lastRowFirstColumn="0" w:lastRowLastColumn="0"/>
            <w:tcW w:w="1195" w:type="pct"/>
            <w:vMerge w:val="restart"/>
          </w:tcPr>
          <w:p w14:paraId="771546B1" w14:textId="77777777" w:rsidR="003C4D67" w:rsidRPr="00BF52F4" w:rsidRDefault="003C4D67" w:rsidP="003C4D67">
            <w:pPr>
              <w:pStyle w:val="Tabletext0"/>
              <w:ind w:left="0"/>
              <w:rPr>
                <w:b/>
                <w:kern w:val="0"/>
              </w:rPr>
            </w:pPr>
            <w:r w:rsidRPr="00BF52F4">
              <w:rPr>
                <w:b/>
                <w:kern w:val="0"/>
              </w:rPr>
              <w:t>Important potential risks</w:t>
            </w:r>
          </w:p>
        </w:tc>
        <w:tc>
          <w:tcPr>
            <w:tcW w:w="1423" w:type="pct"/>
          </w:tcPr>
          <w:p w14:paraId="0645EBF7" w14:textId="77777777" w:rsidR="003C4D67" w:rsidRPr="00BF52F4" w:rsidRDefault="003C4D67" w:rsidP="003C4D67">
            <w:pPr>
              <w:pStyle w:val="Tabletext0"/>
              <w:ind w:left="0"/>
              <w:cnfStyle w:val="000000000000" w:firstRow="0" w:lastRow="0" w:firstColumn="0" w:lastColumn="0" w:oddVBand="0" w:evenVBand="0" w:oddHBand="0" w:evenHBand="0" w:firstRowFirstColumn="0" w:firstRowLastColumn="0" w:lastRowFirstColumn="0" w:lastRowLastColumn="0"/>
              <w:rPr>
                <w:kern w:val="0"/>
              </w:rPr>
            </w:pPr>
            <w:r>
              <w:rPr>
                <w:kern w:val="0"/>
              </w:rPr>
              <w:t>Serious infections</w:t>
            </w:r>
          </w:p>
        </w:tc>
        <w:tc>
          <w:tcPr>
            <w:tcW w:w="524" w:type="pct"/>
          </w:tcPr>
          <w:p w14:paraId="437A195A" w14:textId="77777777" w:rsidR="003C4D67" w:rsidRPr="00362EB9"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62EB9">
              <w:rPr>
                <w:rFonts w:ascii="Wingdings" w:eastAsia="Wingdings" w:hAnsi="Wingdings" w:cs="Wingdings"/>
                <w:kern w:val="0"/>
              </w:rPr>
              <w:t>ü</w:t>
            </w:r>
          </w:p>
        </w:tc>
        <w:tc>
          <w:tcPr>
            <w:tcW w:w="674" w:type="pct"/>
          </w:tcPr>
          <w:p w14:paraId="3E2B7B7F" w14:textId="77777777" w:rsidR="003C4D67" w:rsidRPr="001655C1"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655C1">
              <w:rPr>
                <w:rFonts w:ascii="Wingdings" w:eastAsia="Wingdings" w:hAnsi="Wingdings" w:cs="Wingdings"/>
                <w:kern w:val="0"/>
              </w:rPr>
              <w:t>ü</w:t>
            </w:r>
            <w:r w:rsidRPr="001655C1">
              <w:rPr>
                <w:rFonts w:asciiTheme="majorHAnsi" w:hAnsiTheme="majorHAnsi"/>
                <w:kern w:val="0"/>
                <w:szCs w:val="20"/>
              </w:rPr>
              <w:t>*</w:t>
            </w:r>
          </w:p>
        </w:tc>
        <w:tc>
          <w:tcPr>
            <w:tcW w:w="524" w:type="pct"/>
          </w:tcPr>
          <w:p w14:paraId="252D7CE6"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rFonts w:ascii="Wingdings" w:eastAsia="Wingdings" w:hAnsi="Wingdings" w:cs="Wingdings"/>
                <w:kern w:val="0"/>
              </w:rPr>
              <w:t>ü</w:t>
            </w:r>
          </w:p>
        </w:tc>
        <w:tc>
          <w:tcPr>
            <w:tcW w:w="660" w:type="pct"/>
          </w:tcPr>
          <w:p w14:paraId="5D1D3B26"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kern w:val="0"/>
              </w:rPr>
              <w:t>–</w:t>
            </w:r>
          </w:p>
        </w:tc>
      </w:tr>
      <w:tr w:rsidR="003C4D67" w:rsidRPr="00BF52F4" w14:paraId="71CA27CC" w14:textId="77777777" w:rsidTr="003C4D67">
        <w:trPr>
          <w:trHeight w:val="122"/>
        </w:trPr>
        <w:tc>
          <w:tcPr>
            <w:cnfStyle w:val="001000000000" w:firstRow="0" w:lastRow="0" w:firstColumn="1" w:lastColumn="0" w:oddVBand="0" w:evenVBand="0" w:oddHBand="0" w:evenHBand="0" w:firstRowFirstColumn="0" w:firstRowLastColumn="0" w:lastRowFirstColumn="0" w:lastRowLastColumn="0"/>
            <w:tcW w:w="1195" w:type="pct"/>
            <w:vMerge/>
          </w:tcPr>
          <w:p w14:paraId="6B7E6A24" w14:textId="77777777" w:rsidR="003C4D67" w:rsidRPr="00BF52F4" w:rsidRDefault="003C4D67" w:rsidP="003C4D67">
            <w:pPr>
              <w:pStyle w:val="Tabletext0"/>
              <w:rPr>
                <w:b/>
                <w:kern w:val="0"/>
              </w:rPr>
            </w:pPr>
          </w:p>
        </w:tc>
        <w:tc>
          <w:tcPr>
            <w:tcW w:w="1423" w:type="pct"/>
          </w:tcPr>
          <w:p w14:paraId="6BBAC9E8" w14:textId="77777777" w:rsidR="003C4D67" w:rsidRPr="00BF52F4" w:rsidRDefault="003C4D67" w:rsidP="003C4D67">
            <w:pPr>
              <w:pStyle w:val="Tabletext0"/>
              <w:ind w:left="0"/>
              <w:cnfStyle w:val="000000000000" w:firstRow="0" w:lastRow="0" w:firstColumn="0" w:lastColumn="0" w:oddVBand="0" w:evenVBand="0" w:oddHBand="0" w:evenHBand="0" w:firstRowFirstColumn="0" w:firstRowLastColumn="0" w:lastRowFirstColumn="0" w:lastRowLastColumn="0"/>
              <w:rPr>
                <w:kern w:val="0"/>
              </w:rPr>
            </w:pPr>
            <w:r>
              <w:rPr>
                <w:kern w:val="0"/>
              </w:rPr>
              <w:t>Malignancies</w:t>
            </w:r>
          </w:p>
        </w:tc>
        <w:tc>
          <w:tcPr>
            <w:tcW w:w="524" w:type="pct"/>
          </w:tcPr>
          <w:p w14:paraId="77E0B998" w14:textId="77777777" w:rsidR="003C4D67" w:rsidRPr="00362EB9"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62EB9">
              <w:rPr>
                <w:rFonts w:ascii="Wingdings" w:eastAsia="Wingdings" w:hAnsi="Wingdings" w:cs="Wingdings"/>
                <w:kern w:val="0"/>
              </w:rPr>
              <w:t>ü</w:t>
            </w:r>
          </w:p>
        </w:tc>
        <w:tc>
          <w:tcPr>
            <w:tcW w:w="674" w:type="pct"/>
          </w:tcPr>
          <w:p w14:paraId="033D0737" w14:textId="77777777" w:rsidR="003C4D67" w:rsidRPr="001655C1"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655C1">
              <w:rPr>
                <w:rFonts w:ascii="Wingdings" w:eastAsia="Wingdings" w:hAnsi="Wingdings" w:cs="Wingdings"/>
                <w:kern w:val="0"/>
              </w:rPr>
              <w:t>ü</w:t>
            </w:r>
            <w:r w:rsidRPr="001655C1">
              <w:rPr>
                <w:rFonts w:asciiTheme="majorHAnsi" w:hAnsiTheme="majorHAnsi"/>
                <w:kern w:val="0"/>
                <w:szCs w:val="20"/>
              </w:rPr>
              <w:t>*</w:t>
            </w:r>
          </w:p>
        </w:tc>
        <w:tc>
          <w:tcPr>
            <w:tcW w:w="524" w:type="pct"/>
          </w:tcPr>
          <w:p w14:paraId="574A7A5B"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rFonts w:ascii="Wingdings" w:eastAsia="Wingdings" w:hAnsi="Wingdings" w:cs="Wingdings"/>
                <w:kern w:val="0"/>
              </w:rPr>
              <w:t>ü</w:t>
            </w:r>
          </w:p>
        </w:tc>
        <w:tc>
          <w:tcPr>
            <w:tcW w:w="660" w:type="pct"/>
          </w:tcPr>
          <w:p w14:paraId="5F44E9CC"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kern w:val="0"/>
              </w:rPr>
              <w:t>–</w:t>
            </w:r>
          </w:p>
        </w:tc>
      </w:tr>
      <w:tr w:rsidR="003C4D67" w:rsidRPr="00BF52F4" w14:paraId="2BF2AE2A" w14:textId="77777777" w:rsidTr="003C4D67">
        <w:trPr>
          <w:trHeight w:val="178"/>
        </w:trPr>
        <w:tc>
          <w:tcPr>
            <w:cnfStyle w:val="001000000000" w:firstRow="0" w:lastRow="0" w:firstColumn="1" w:lastColumn="0" w:oddVBand="0" w:evenVBand="0" w:oddHBand="0" w:evenHBand="0" w:firstRowFirstColumn="0" w:firstRowLastColumn="0" w:lastRowFirstColumn="0" w:lastRowLastColumn="0"/>
            <w:tcW w:w="1195" w:type="pct"/>
            <w:vMerge w:val="restart"/>
          </w:tcPr>
          <w:p w14:paraId="7365C481" w14:textId="77777777" w:rsidR="003C4D67" w:rsidRPr="00BF52F4" w:rsidRDefault="003C4D67" w:rsidP="003C4D67">
            <w:pPr>
              <w:pStyle w:val="Tabletext0"/>
              <w:ind w:left="0"/>
              <w:rPr>
                <w:b/>
                <w:kern w:val="0"/>
              </w:rPr>
            </w:pPr>
            <w:r w:rsidRPr="00BF52F4">
              <w:rPr>
                <w:b/>
                <w:kern w:val="0"/>
              </w:rPr>
              <w:t>Missing information</w:t>
            </w:r>
          </w:p>
        </w:tc>
        <w:tc>
          <w:tcPr>
            <w:tcW w:w="1423" w:type="pct"/>
          </w:tcPr>
          <w:p w14:paraId="22306B65" w14:textId="77777777" w:rsidR="003C4D67" w:rsidRPr="00BF52F4" w:rsidRDefault="003C4D67" w:rsidP="003C4D67">
            <w:pPr>
              <w:pStyle w:val="Tabletext0"/>
              <w:ind w:left="0"/>
              <w:cnfStyle w:val="000000000000" w:firstRow="0" w:lastRow="0" w:firstColumn="0" w:lastColumn="0" w:oddVBand="0" w:evenVBand="0" w:oddHBand="0" w:evenHBand="0" w:firstRowFirstColumn="0" w:firstRowLastColumn="0" w:lastRowFirstColumn="0" w:lastRowLastColumn="0"/>
              <w:rPr>
                <w:kern w:val="0"/>
              </w:rPr>
            </w:pPr>
            <w:r>
              <w:rPr>
                <w:kern w:val="0"/>
              </w:rPr>
              <w:t>Use in pregnancy and lactation</w:t>
            </w:r>
          </w:p>
        </w:tc>
        <w:tc>
          <w:tcPr>
            <w:tcW w:w="524" w:type="pct"/>
          </w:tcPr>
          <w:p w14:paraId="3694D623" w14:textId="77777777" w:rsidR="003C4D67" w:rsidRPr="00362EB9"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62EB9">
              <w:rPr>
                <w:rFonts w:ascii="Wingdings" w:eastAsia="Wingdings" w:hAnsi="Wingdings" w:cs="Wingdings"/>
                <w:kern w:val="0"/>
              </w:rPr>
              <w:t>ü</w:t>
            </w:r>
          </w:p>
        </w:tc>
        <w:tc>
          <w:tcPr>
            <w:tcW w:w="674" w:type="pct"/>
          </w:tcPr>
          <w:p w14:paraId="06E7CB65" w14:textId="77777777" w:rsidR="003C4D67" w:rsidRPr="001655C1"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655C1">
              <w:rPr>
                <w:kern w:val="0"/>
              </w:rPr>
              <w:t>–</w:t>
            </w:r>
          </w:p>
        </w:tc>
        <w:tc>
          <w:tcPr>
            <w:tcW w:w="524" w:type="pct"/>
          </w:tcPr>
          <w:p w14:paraId="05728A88" w14:textId="77777777" w:rsidR="003C4D67" w:rsidRPr="00A364DC"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highlight w:val="yellow"/>
              </w:rPr>
            </w:pPr>
            <w:r w:rsidRPr="001149F7">
              <w:rPr>
                <w:rFonts w:ascii="Wingdings" w:eastAsia="Wingdings" w:hAnsi="Wingdings" w:cs="Wingdings"/>
                <w:kern w:val="0"/>
              </w:rPr>
              <w:t>ü</w:t>
            </w:r>
          </w:p>
        </w:tc>
        <w:tc>
          <w:tcPr>
            <w:tcW w:w="660" w:type="pct"/>
          </w:tcPr>
          <w:p w14:paraId="163936A9"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kern w:val="0"/>
              </w:rPr>
              <w:t>–</w:t>
            </w:r>
          </w:p>
        </w:tc>
      </w:tr>
      <w:tr w:rsidR="003C4D67" w:rsidRPr="00BF52F4" w14:paraId="57D0473D" w14:textId="77777777" w:rsidTr="003C4D67">
        <w:trPr>
          <w:trHeight w:val="103"/>
        </w:trPr>
        <w:tc>
          <w:tcPr>
            <w:cnfStyle w:val="001000000000" w:firstRow="0" w:lastRow="0" w:firstColumn="1" w:lastColumn="0" w:oddVBand="0" w:evenVBand="0" w:oddHBand="0" w:evenHBand="0" w:firstRowFirstColumn="0" w:firstRowLastColumn="0" w:lastRowFirstColumn="0" w:lastRowLastColumn="0"/>
            <w:tcW w:w="1195" w:type="pct"/>
            <w:vMerge/>
          </w:tcPr>
          <w:p w14:paraId="181040A6" w14:textId="77777777" w:rsidR="003C4D67" w:rsidRPr="00BF52F4" w:rsidRDefault="003C4D67" w:rsidP="003C4D67">
            <w:pPr>
              <w:pStyle w:val="Tabletext0"/>
              <w:rPr>
                <w:kern w:val="0"/>
              </w:rPr>
            </w:pPr>
          </w:p>
        </w:tc>
        <w:tc>
          <w:tcPr>
            <w:tcW w:w="1423" w:type="pct"/>
          </w:tcPr>
          <w:p w14:paraId="428CED68" w14:textId="77777777" w:rsidR="003C4D67" w:rsidRPr="00BF52F4" w:rsidRDefault="003C4D67" w:rsidP="003C4D67">
            <w:pPr>
              <w:pStyle w:val="Tabletext0"/>
              <w:ind w:left="0"/>
              <w:cnfStyle w:val="000000000000" w:firstRow="0" w:lastRow="0" w:firstColumn="0" w:lastColumn="0" w:oddVBand="0" w:evenVBand="0" w:oddHBand="0" w:evenHBand="0" w:firstRowFirstColumn="0" w:firstRowLastColumn="0" w:lastRowFirstColumn="0" w:lastRowLastColumn="0"/>
              <w:rPr>
                <w:kern w:val="0"/>
              </w:rPr>
            </w:pPr>
            <w:r>
              <w:rPr>
                <w:kern w:val="0"/>
              </w:rPr>
              <w:t>Long-term safety</w:t>
            </w:r>
          </w:p>
        </w:tc>
        <w:tc>
          <w:tcPr>
            <w:tcW w:w="524" w:type="pct"/>
          </w:tcPr>
          <w:p w14:paraId="337C851A" w14:textId="77777777" w:rsidR="003C4D67" w:rsidRPr="00362EB9"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62EB9">
              <w:rPr>
                <w:rFonts w:ascii="Wingdings" w:eastAsia="Wingdings" w:hAnsi="Wingdings" w:cs="Wingdings"/>
                <w:kern w:val="0"/>
              </w:rPr>
              <w:t>ü</w:t>
            </w:r>
          </w:p>
        </w:tc>
        <w:tc>
          <w:tcPr>
            <w:tcW w:w="674" w:type="pct"/>
          </w:tcPr>
          <w:p w14:paraId="4B0AF383" w14:textId="77777777" w:rsidR="003C4D67" w:rsidRPr="001655C1"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655C1">
              <w:rPr>
                <w:rFonts w:ascii="Wingdings" w:eastAsia="Wingdings" w:hAnsi="Wingdings" w:cs="Wingdings"/>
                <w:kern w:val="0"/>
              </w:rPr>
              <w:t>ü</w:t>
            </w:r>
            <w:r w:rsidRPr="001655C1">
              <w:rPr>
                <w:rFonts w:asciiTheme="majorHAnsi" w:hAnsiTheme="majorHAnsi"/>
                <w:kern w:val="0"/>
                <w:szCs w:val="20"/>
              </w:rPr>
              <w:t>*</w:t>
            </w:r>
          </w:p>
        </w:tc>
        <w:tc>
          <w:tcPr>
            <w:tcW w:w="524" w:type="pct"/>
          </w:tcPr>
          <w:p w14:paraId="7E2CC3D9" w14:textId="77777777" w:rsidR="003C4D67" w:rsidRPr="00A364DC"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highlight w:val="yellow"/>
              </w:rPr>
            </w:pPr>
            <w:r w:rsidRPr="00157080">
              <w:rPr>
                <w:kern w:val="0"/>
              </w:rPr>
              <w:t>–</w:t>
            </w:r>
          </w:p>
        </w:tc>
        <w:tc>
          <w:tcPr>
            <w:tcW w:w="660" w:type="pct"/>
          </w:tcPr>
          <w:p w14:paraId="1662652E" w14:textId="77777777" w:rsidR="003C4D67" w:rsidRPr="001149F7" w:rsidRDefault="003C4D67" w:rsidP="00D92CB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149F7">
              <w:rPr>
                <w:kern w:val="0"/>
              </w:rPr>
              <w:t>–</w:t>
            </w:r>
          </w:p>
        </w:tc>
      </w:tr>
    </w:tbl>
    <w:p w14:paraId="04D27A73" w14:textId="77777777" w:rsidR="003C4D67" w:rsidRPr="001655C1" w:rsidRDefault="003C4D67" w:rsidP="003C4D67">
      <w:pPr>
        <w:pStyle w:val="TableDescription"/>
      </w:pPr>
      <w:r w:rsidRPr="001655C1">
        <w:t>* Study IM011075 (includes Australian patients)</w:t>
      </w:r>
      <w:r w:rsidRPr="00157080">
        <w:t xml:space="preserve"> </w:t>
      </w:r>
      <w:r>
        <w:t xml:space="preserve">and </w:t>
      </w:r>
      <w:r w:rsidRPr="001655C1">
        <w:t xml:space="preserve">Study IM011194 </w:t>
      </w:r>
    </w:p>
    <w:p w14:paraId="6331BC62" w14:textId="77777777" w:rsidR="003C4D67" w:rsidRDefault="003C4D67" w:rsidP="003C4D67">
      <w:r w:rsidRPr="003C4D67">
        <w:t>The RMP evaluation considered the summary of safety concerns acceptable, noting that any safety concerns raised by the nonclinical evaluator should be assessed by the sponsor for inclusion in RMP or ASA updates.</w:t>
      </w:r>
    </w:p>
    <w:p w14:paraId="244EC2F0" w14:textId="0E68BD45" w:rsidR="003C4D67" w:rsidRPr="003C4D67" w:rsidRDefault="003C4D67" w:rsidP="003C4D67">
      <w:r w:rsidRPr="003C4D67">
        <w:t xml:space="preserve">Routine and additional pharmacovigilance is proposed, in line with the EU-RMP. Additional pharmacovigilance activities include one ongoing and one planned post authorisation study to further characterise the safety profile of </w:t>
      </w:r>
      <w:proofErr w:type="spellStart"/>
      <w:r w:rsidRPr="003C4D67">
        <w:t>deucravacitinib</w:t>
      </w:r>
      <w:proofErr w:type="spellEnd"/>
      <w:r w:rsidRPr="003C4D67">
        <w:t>. Minor changes to the pharmacovigilance plan in the ASA have been requested, to be included in the next ASA update.</w:t>
      </w:r>
    </w:p>
    <w:p w14:paraId="0D849D18" w14:textId="2E13A1C3" w:rsidR="003C4D67" w:rsidRDefault="003C4D67" w:rsidP="003C4D67">
      <w:r w:rsidRPr="003C4D67">
        <w:lastRenderedPageBreak/>
        <w:t xml:space="preserve">Routine risk minimisation activities only are proposed to address all safety concerns. At </w:t>
      </w:r>
      <w:r>
        <w:t>second round evaluation</w:t>
      </w:r>
      <w:r w:rsidRPr="003C4D67">
        <w:t>, amendments were made to the CMI as requested. The risk management plan is considered is acceptable.</w:t>
      </w:r>
    </w:p>
    <w:p w14:paraId="012885FC" w14:textId="65A33D57" w:rsidR="003C4D67" w:rsidRPr="00402268" w:rsidRDefault="003C4D67" w:rsidP="003C4D67">
      <w:pPr>
        <w:pStyle w:val="Bulletlist"/>
        <w:numPr>
          <w:ilvl w:val="0"/>
          <w:numId w:val="0"/>
        </w:numPr>
      </w:pPr>
      <w:r w:rsidRPr="00402268">
        <w:t xml:space="preserve">The sponsor </w:t>
      </w:r>
      <w:r>
        <w:t>was recommended to r</w:t>
      </w:r>
      <w:r w:rsidRPr="00402268">
        <w:t xml:space="preserve">eference event-specific follow-up questionnaires for </w:t>
      </w:r>
      <w:r>
        <w:t>‘</w:t>
      </w:r>
      <w:r w:rsidRPr="00402268">
        <w:t>Pregnancy</w:t>
      </w:r>
      <w:r>
        <w:t>’</w:t>
      </w:r>
      <w:r w:rsidRPr="00402268">
        <w:t xml:space="preserve">, </w:t>
      </w:r>
      <w:r>
        <w:t>‘</w:t>
      </w:r>
      <w:r w:rsidRPr="00402268">
        <w:t>Malignancies</w:t>
      </w:r>
      <w:r>
        <w:t>’</w:t>
      </w:r>
      <w:r w:rsidRPr="00402268">
        <w:t xml:space="preserve">, and </w:t>
      </w:r>
      <w:r>
        <w:t>‘</w:t>
      </w:r>
      <w:r w:rsidRPr="00402268">
        <w:t>Infections/Opportunistic Infections</w:t>
      </w:r>
      <w:r>
        <w:t>’</w:t>
      </w:r>
      <w:r w:rsidRPr="00402268">
        <w:t xml:space="preserve"> as part of routine pharmacovigilance in the ASA</w:t>
      </w:r>
      <w:r>
        <w:t xml:space="preserve">. This may be included in the next revision of the ASA. </w:t>
      </w:r>
      <w:r w:rsidRPr="00402268">
        <w:t>The sponsor should continue to evaluate whether these general questionnaires are appropriate for the product-specific risks.</w:t>
      </w:r>
    </w:p>
    <w:p w14:paraId="0AA8BC6A" w14:textId="6CCDC697" w:rsidR="003C4D67" w:rsidRPr="00402268" w:rsidRDefault="003C4D67" w:rsidP="003C4D67">
      <w:pPr>
        <w:pStyle w:val="Bulletlist"/>
        <w:numPr>
          <w:ilvl w:val="0"/>
          <w:numId w:val="0"/>
        </w:numPr>
      </w:pPr>
      <w:r w:rsidRPr="00402268">
        <w:t>The sponsor agreed to include planned US post-marketing study</w:t>
      </w:r>
      <w:r w:rsidR="00C63E2D">
        <w:t xml:space="preserve">, Study </w:t>
      </w:r>
      <w:r w:rsidRPr="00402268">
        <w:t>IM011201 in the ASA.</w:t>
      </w:r>
      <w:r>
        <w:t xml:space="preserve"> </w:t>
      </w:r>
      <w:r w:rsidRPr="00402268">
        <w:t xml:space="preserve">The sponsor </w:t>
      </w:r>
      <w:r>
        <w:t>was also requested to</w:t>
      </w:r>
      <w:r w:rsidRPr="00402268">
        <w:t xml:space="preserve"> add study IM011193 to the additional pharmacovigilance activities table in the ASA, including details of the planned completion date of these studies (when known). Any safety findings from the studies should be reflected in a revised RMP/ASA as appropriate.</w:t>
      </w:r>
    </w:p>
    <w:p w14:paraId="0650D3E7" w14:textId="77777777" w:rsidR="003C4D67" w:rsidRPr="003C4D67" w:rsidRDefault="003C4D67" w:rsidP="003C4D67">
      <w:pPr>
        <w:pStyle w:val="Heading4"/>
      </w:pPr>
      <w:bookmarkStart w:id="73" w:name="_Toc141445522"/>
      <w:r w:rsidRPr="003C4D67">
        <w:t>RMP evaluator recommendations regarding condition/s of registration</w:t>
      </w:r>
      <w:bookmarkEnd w:id="73"/>
    </w:p>
    <w:p w14:paraId="65DDF608" w14:textId="29F79F2B" w:rsidR="003C4D67" w:rsidRPr="003C4D67" w:rsidRDefault="003C4D67" w:rsidP="003C4D67">
      <w:r w:rsidRPr="003C4D67">
        <w:t xml:space="preserve">Any changes to which the sponsor has agreed should be included in a revised RMP and ASA. However, irrespective of </w:t>
      </w:r>
      <w:proofErr w:type="gramStart"/>
      <w:r w:rsidRPr="003C4D67">
        <w:t>whether or not</w:t>
      </w:r>
      <w:proofErr w:type="gramEnd"/>
      <w:r w:rsidRPr="003C4D67">
        <w:t xml:space="preserve"> they are included in the currently available version of the RMP document, the agreed changes become part of the risk management system.</w:t>
      </w:r>
    </w:p>
    <w:p w14:paraId="0F348071" w14:textId="77777777" w:rsidR="003C4D67" w:rsidRPr="003C4D67" w:rsidRDefault="003C4D67" w:rsidP="003C4D67">
      <w:r w:rsidRPr="003C4D67">
        <w:t xml:space="preserve">The suggested wording is: </w:t>
      </w:r>
    </w:p>
    <w:p w14:paraId="6C301DA7" w14:textId="5B396795" w:rsidR="003C4D67" w:rsidRPr="003C4D67" w:rsidRDefault="003C4D67" w:rsidP="003C4D67">
      <w:pPr>
        <w:ind w:left="720"/>
      </w:pPr>
      <w:r>
        <w:t>‘</w:t>
      </w:r>
      <w:r w:rsidRPr="003C4D67">
        <w:t xml:space="preserve">The </w:t>
      </w:r>
      <w:proofErr w:type="spellStart"/>
      <w:r w:rsidRPr="003C4D67">
        <w:t>Sotyktu</w:t>
      </w:r>
      <w:proofErr w:type="spellEnd"/>
      <w:r w:rsidRPr="003C4D67">
        <w:t xml:space="preserve"> (</w:t>
      </w:r>
      <w:proofErr w:type="spellStart"/>
      <w:r w:rsidRPr="003C4D67">
        <w:t>deucravacitinib</w:t>
      </w:r>
      <w:proofErr w:type="spellEnd"/>
      <w:r w:rsidRPr="003C4D67">
        <w:t xml:space="preserve">) EU-RMP (version 1.0, dated 02 September 2021, </w:t>
      </w:r>
      <w:r w:rsidR="00C63E2D">
        <w:t xml:space="preserve">DLP </w:t>
      </w:r>
      <w:r w:rsidRPr="003C4D67">
        <w:t>15</w:t>
      </w:r>
      <w:r w:rsidR="00C63E2D">
        <w:t> </w:t>
      </w:r>
      <w:r w:rsidRPr="003C4D67">
        <w:t xml:space="preserve">June 2021), with </w:t>
      </w:r>
      <w:r w:rsidR="00C63E2D">
        <w:t>ASA</w:t>
      </w:r>
      <w:r w:rsidRPr="003C4D67">
        <w:t xml:space="preserve"> (version 1.0, dated 20 September 2021), included with submission PM-2021-04758-1-1, and any subsequent revisions, as agreed with the TGA will be implemented in Australia.</w:t>
      </w:r>
      <w:r>
        <w:t>’</w:t>
      </w:r>
    </w:p>
    <w:p w14:paraId="0CEE8F20" w14:textId="77777777" w:rsidR="003C4D67" w:rsidRPr="003C4D67" w:rsidRDefault="003C4D67" w:rsidP="003C4D67">
      <w:r w:rsidRPr="003C4D67">
        <w:t>The following wording is recommended for the PSUR requirement:</w:t>
      </w:r>
    </w:p>
    <w:p w14:paraId="36F5710D" w14:textId="01B8B29B" w:rsidR="003C4D67" w:rsidRPr="003C4D67" w:rsidRDefault="003C4D67" w:rsidP="003C4D67">
      <w:pPr>
        <w:ind w:left="720"/>
      </w:pPr>
      <w:r>
        <w:t>‘</w:t>
      </w:r>
      <w:r w:rsidRPr="003C4D67">
        <w:t xml:space="preserve">An obligatory component of risk management plans is routine pharmacovigilance. Routine pharmacovigilance includes the submission of periodic safety update reports (PSURs). </w:t>
      </w:r>
    </w:p>
    <w:p w14:paraId="00FEE2EF" w14:textId="37975A97" w:rsidR="003C4D67" w:rsidRPr="003C4D67" w:rsidRDefault="003C4D67" w:rsidP="003C4D67">
      <w:pPr>
        <w:ind w:left="720"/>
      </w:pPr>
      <w:r w:rsidRPr="003C4D67">
        <w:t>Unless agreed separately between the supplier who is the recipient of the approval and the TGA, the first report must be submitted to TGA no later than 15 calendar months after the date of th</w:t>
      </w:r>
      <w:r w:rsidR="00C63E2D">
        <w:t>e</w:t>
      </w:r>
      <w:r w:rsidRPr="003C4D67">
        <w:t xml:space="preserve"> approval letter. The subsequent reports must be submitted no less frequently than annually from the date of the first submitted report until the period covered by such reports is not less than three years from the date of th</w:t>
      </w:r>
      <w:r w:rsidR="00C63E2D">
        <w:t>e</w:t>
      </w:r>
      <w:r w:rsidRPr="003C4D67">
        <w:t xml:space="preserve"> approval letter. The annual submission may be made up of two PSURs each covering six months. If the sponsor wishes, the </w:t>
      </w:r>
      <w:proofErr w:type="gramStart"/>
      <w:r w:rsidRPr="003C4D67">
        <w:t>six monthly</w:t>
      </w:r>
      <w:proofErr w:type="gramEnd"/>
      <w:r w:rsidRPr="003C4D67">
        <w:t xml:space="preserve"> reports may be submitted separately as they become available.</w:t>
      </w:r>
    </w:p>
    <w:p w14:paraId="4D548AD1" w14:textId="629AD259" w:rsidR="003C4D67" w:rsidRPr="003C4D67" w:rsidRDefault="003C4D67" w:rsidP="003C4D67">
      <w:pPr>
        <w:ind w:left="720"/>
      </w:pPr>
      <w:r w:rsidRPr="003C4D67">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w:t>
      </w:r>
      <w:r w:rsidR="00C63E2D">
        <w:t>the</w:t>
      </w:r>
      <w:r w:rsidRPr="003C4D67">
        <w:t xml:space="preserve"> approval letter.</w:t>
      </w:r>
    </w:p>
    <w:p w14:paraId="3F5E6345" w14:textId="11A99088" w:rsidR="003C4D67" w:rsidRPr="003C4D67" w:rsidRDefault="003C4D67" w:rsidP="003C4D67">
      <w:pPr>
        <w:ind w:left="720"/>
      </w:pPr>
      <w:r w:rsidRPr="003C4D67">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r>
        <w:t>’</w:t>
      </w:r>
    </w:p>
    <w:p w14:paraId="23133039" w14:textId="311A59A5" w:rsidR="003C4D67" w:rsidRPr="003C4D67" w:rsidRDefault="003C4D67" w:rsidP="003C4D67">
      <w:r w:rsidRPr="003C4D67">
        <w:lastRenderedPageBreak/>
        <w:t xml:space="preserve">As </w:t>
      </w:r>
      <w:proofErr w:type="spellStart"/>
      <w:r w:rsidRPr="003C4D67">
        <w:t>Sotyktu</w:t>
      </w:r>
      <w:proofErr w:type="spellEnd"/>
      <w:r w:rsidRPr="003C4D67">
        <w:t xml:space="preserve"> is a new chemical entity it should be included in the Black Triangle Scheme as a condition of registration. The following wording is recommended for the condition of registration:</w:t>
      </w:r>
    </w:p>
    <w:p w14:paraId="322DD299" w14:textId="292CBEEE" w:rsidR="003C4D67" w:rsidRPr="003C4D67" w:rsidRDefault="003C4D67" w:rsidP="003C4D67">
      <w:pPr>
        <w:ind w:left="720"/>
      </w:pPr>
      <w:r>
        <w:t>‘</w:t>
      </w:r>
      <w:proofErr w:type="spellStart"/>
      <w:r w:rsidRPr="003C4D67">
        <w:t>Sotyktu</w:t>
      </w:r>
      <w:proofErr w:type="spellEnd"/>
      <w:r w:rsidRPr="003C4D67">
        <w:t xml:space="preserve"> (</w:t>
      </w:r>
      <w:proofErr w:type="spellStart"/>
      <w:r w:rsidRPr="003C4D67">
        <w:t>deucravacitinib</w:t>
      </w:r>
      <w:proofErr w:type="spellEnd"/>
      <w:r w:rsidRPr="003C4D67">
        <w:t xml:space="preserve">) is to be included in the Black Triangle Scheme. The PI and CMI for </w:t>
      </w:r>
      <w:proofErr w:type="spellStart"/>
      <w:r w:rsidRPr="003C4D67">
        <w:t>Sotyktu</w:t>
      </w:r>
      <w:proofErr w:type="spellEnd"/>
      <w:r w:rsidRPr="003C4D67">
        <w:t xml:space="preserve"> must include the black triangle symbol and mandatory accompanying text for five years, which starts from the date that the sponsor notifies the TGA of supply of the product.</w:t>
      </w:r>
      <w:r>
        <w:t>’</w:t>
      </w:r>
    </w:p>
    <w:p w14:paraId="74A4F87F" w14:textId="158AEBCC" w:rsidR="00C22214" w:rsidRDefault="00C22214" w:rsidP="00C22214">
      <w:pPr>
        <w:pStyle w:val="Heading3"/>
      </w:pPr>
      <w:bookmarkStart w:id="74" w:name="_Toc141445523"/>
      <w:r>
        <w:t>Risk-benefit analysis</w:t>
      </w:r>
      <w:bookmarkEnd w:id="69"/>
      <w:bookmarkEnd w:id="70"/>
      <w:bookmarkEnd w:id="72"/>
      <w:bookmarkEnd w:id="74"/>
    </w:p>
    <w:p w14:paraId="77DE2655" w14:textId="77777777" w:rsidR="00C22214" w:rsidRDefault="00C22214" w:rsidP="00C22214">
      <w:pPr>
        <w:pStyle w:val="Heading4"/>
      </w:pPr>
      <w:bookmarkStart w:id="75" w:name="_Toc98931932"/>
      <w:bookmarkStart w:id="76" w:name="_Toc141445524"/>
      <w:r>
        <w:t>Delegate’s considerations</w:t>
      </w:r>
      <w:bookmarkEnd w:id="75"/>
      <w:bookmarkEnd w:id="76"/>
    </w:p>
    <w:p w14:paraId="77689D93" w14:textId="6A68AB03" w:rsidR="003C4D67" w:rsidRPr="003C4D67" w:rsidRDefault="003C4D67" w:rsidP="003C4D67">
      <w:r w:rsidRPr="003C4D67">
        <w:t xml:space="preserve">Results from the submitted studies confirmed that oral administration of </w:t>
      </w:r>
      <w:proofErr w:type="spellStart"/>
      <w:r w:rsidR="00BE2B0D">
        <w:t>deucravacitinib</w:t>
      </w:r>
      <w:proofErr w:type="spellEnd"/>
      <w:r w:rsidRPr="003C4D67">
        <w:t xml:space="preserve"> 6 mg </w:t>
      </w:r>
      <w:r w:rsidR="00BE2B0D">
        <w:t>daily</w:t>
      </w:r>
      <w:r w:rsidRPr="003C4D67">
        <w:t xml:space="preserve"> is effective in the treatment of patients with moderate</w:t>
      </w:r>
      <w:r w:rsidR="00C63E2D">
        <w:t xml:space="preserve"> </w:t>
      </w:r>
      <w:r w:rsidRPr="003C4D67">
        <w:t>to</w:t>
      </w:r>
      <w:r w:rsidR="00C63E2D">
        <w:t xml:space="preserve"> </w:t>
      </w:r>
      <w:r w:rsidRPr="003C4D67">
        <w:t xml:space="preserve">severe psoriasis who are candidates for systemic therapy. In these studies, clinically meaningful improvements in the signs and symptoms of plaque psoriasis, scalp psoriasis, and associated improvements in disease-related patient-reported symptoms and quality of life measures were observed with </w:t>
      </w:r>
      <w:proofErr w:type="spellStart"/>
      <w:r w:rsidR="00BE2B0D">
        <w:t>deucravacitinib</w:t>
      </w:r>
      <w:proofErr w:type="spellEnd"/>
      <w:r w:rsidRPr="003C4D67">
        <w:t xml:space="preserve"> compared with placebo and </w:t>
      </w:r>
      <w:proofErr w:type="spellStart"/>
      <w:r w:rsidR="00BE2B0D">
        <w:t>deucravacitinib</w:t>
      </w:r>
      <w:proofErr w:type="spellEnd"/>
      <w:r w:rsidRPr="003C4D67">
        <w:t xml:space="preserve"> compared with apremilast, an approved oral treatment for moderate-to-severe psoriasis. The efficacy was observed in all subgroups with evidence to support maintenance and durability of response. </w:t>
      </w:r>
    </w:p>
    <w:p w14:paraId="0371FF60" w14:textId="77777777" w:rsidR="003C4D67" w:rsidRPr="003C4D67" w:rsidRDefault="003C4D67" w:rsidP="003C4D67">
      <w:r w:rsidRPr="003C4D67">
        <w:t xml:space="preserve">Adverse events assessed as possibly related to </w:t>
      </w:r>
      <w:proofErr w:type="spellStart"/>
      <w:r w:rsidRPr="003C4D67">
        <w:t>deucravacitinib</w:t>
      </w:r>
      <w:proofErr w:type="spellEnd"/>
      <w:r w:rsidRPr="003C4D67">
        <w:t xml:space="preserve"> were not unexpected given the mechanism of action and include upper respiratory infections, acneiform rash, herpes simplex infection, oral ulcers, folliculitis, and herpes zoster infection. Although there was a higher rate of these events in the </w:t>
      </w:r>
      <w:proofErr w:type="spellStart"/>
      <w:r w:rsidRPr="003C4D67">
        <w:t>deucravacitinib</w:t>
      </w:r>
      <w:proofErr w:type="spellEnd"/>
      <w:r w:rsidRPr="003C4D67">
        <w:t xml:space="preserve"> treatment group compared with the placebo and apremilast groups, these events were predominantly mild or moderate in severity, only one AE of upper respiratory infection was serious, and none lead to discontinuation with no evidence of increased risk of these events with long-term use. </w:t>
      </w:r>
    </w:p>
    <w:p w14:paraId="475EB9CD" w14:textId="77777777" w:rsidR="003C4D67" w:rsidRPr="003C4D67" w:rsidRDefault="003C4D67" w:rsidP="003C4D67">
      <w:r w:rsidRPr="003C4D67">
        <w:t xml:space="preserve">Reports of serious adverse events and deaths while on study were infrequent. No death was considered likely to be associated with </w:t>
      </w:r>
      <w:proofErr w:type="spellStart"/>
      <w:r w:rsidRPr="003C4D67">
        <w:t>deucravacitinib</w:t>
      </w:r>
      <w:proofErr w:type="spellEnd"/>
      <w:r w:rsidRPr="003C4D67">
        <w:t xml:space="preserve"> exposure, however analyses, particularly in the long-term extension studies, may have been complicated by the high number of COVID-19 infections in the study population. The relatively young age at which four study participants experienced MACE events may be a function of increased cardiovascular risk in patients with psoriasis but could merit further consideration. The increased incidence of malignancies, including NMSCs and lymphomas in the </w:t>
      </w:r>
      <w:proofErr w:type="spellStart"/>
      <w:r w:rsidRPr="003C4D67">
        <w:t>deucravacitinib</w:t>
      </w:r>
      <w:proofErr w:type="spellEnd"/>
      <w:r w:rsidRPr="003C4D67">
        <w:t xml:space="preserve"> group should be noted, notwithstanding the presence of additional risk factors.</w:t>
      </w:r>
    </w:p>
    <w:p w14:paraId="180AC298" w14:textId="3E9BB986" w:rsidR="003C4D67" w:rsidRPr="003C4D67" w:rsidRDefault="003C4D67" w:rsidP="003C4D67">
      <w:r w:rsidRPr="003C4D67">
        <w:t xml:space="preserve">While efficacy of </w:t>
      </w:r>
      <w:proofErr w:type="spellStart"/>
      <w:r w:rsidRPr="003C4D67">
        <w:t>deucravacitinib</w:t>
      </w:r>
      <w:proofErr w:type="spellEnd"/>
      <w:r w:rsidRPr="003C4D67">
        <w:t xml:space="preserve"> has been confirmed, and no apparent significant safety issues have been identified in the clinical studies to date, it is not completely clear to this delegate that the targeted mechanism of action of </w:t>
      </w:r>
      <w:proofErr w:type="spellStart"/>
      <w:r w:rsidRPr="003C4D67">
        <w:t>deucravacitinib</w:t>
      </w:r>
      <w:proofErr w:type="spellEnd"/>
      <w:r w:rsidRPr="003C4D67">
        <w:t xml:space="preserve"> on TYK2 is sufficient to support claims by the sponsor that distinguish </w:t>
      </w:r>
      <w:proofErr w:type="spellStart"/>
      <w:r w:rsidRPr="003C4D67">
        <w:t>deucravacitinib</w:t>
      </w:r>
      <w:proofErr w:type="spellEnd"/>
      <w:r w:rsidRPr="003C4D67">
        <w:t xml:space="preserve"> from other JAK inhibitor drugs and class-based risks that are being investigated. Selection of the proposed dose of 6mg </w:t>
      </w:r>
      <w:proofErr w:type="spellStart"/>
      <w:r w:rsidRPr="003C4D67">
        <w:t>deucravacitinib</w:t>
      </w:r>
      <w:proofErr w:type="spellEnd"/>
      <w:r w:rsidRPr="003C4D67">
        <w:t xml:space="preserve"> daily was based on a population pharmacokinetic model that was developed after results of the first pivotal study had been completed. Phase </w:t>
      </w:r>
      <w:r w:rsidR="00C63E2D">
        <w:t>I</w:t>
      </w:r>
      <w:r w:rsidRPr="003C4D67">
        <w:t xml:space="preserve"> and </w:t>
      </w:r>
      <w:r w:rsidR="00C63E2D">
        <w:t>II</w:t>
      </w:r>
      <w:r w:rsidRPr="003C4D67">
        <w:t xml:space="preserve"> studies used a range of different doses and formulations, and some studies, specifically those examining the role of </w:t>
      </w:r>
      <w:proofErr w:type="spellStart"/>
      <w:r w:rsidRPr="003C4D67">
        <w:t>deucravacitinib</w:t>
      </w:r>
      <w:proofErr w:type="spellEnd"/>
      <w:r w:rsidRPr="003C4D67">
        <w:t xml:space="preserve"> metabolites did not use validated measurement techniques. The sponsor has stated that the single ascending dose or multiple ascending dose sub-studies of the key PK study</w:t>
      </w:r>
      <w:r w:rsidR="00C63E2D">
        <w:t>, Study </w:t>
      </w:r>
      <w:r w:rsidRPr="003C4D67">
        <w:t>IM011011 were not “optimally designed nor powered to confirm the presence or absence of meaningful departures from dose proportionality” which may challenge the validity of assumptions were made in choosing a therapeutic dose.</w:t>
      </w:r>
    </w:p>
    <w:p w14:paraId="3916F296" w14:textId="77777777" w:rsidR="00C22214" w:rsidRDefault="00C22214" w:rsidP="00C22214">
      <w:pPr>
        <w:pStyle w:val="Heading4"/>
      </w:pPr>
      <w:bookmarkStart w:id="77" w:name="_Toc98931933"/>
      <w:bookmarkStart w:id="78" w:name="_Toc141445525"/>
      <w:r w:rsidRPr="00D23139">
        <w:lastRenderedPageBreak/>
        <w:t xml:space="preserve">Proposed </w:t>
      </w:r>
      <w:proofErr w:type="gramStart"/>
      <w:r w:rsidRPr="00D23139">
        <w:t>action</w:t>
      </w:r>
      <w:bookmarkEnd w:id="77"/>
      <w:bookmarkEnd w:id="78"/>
      <w:proofErr w:type="gramEnd"/>
    </w:p>
    <w:p w14:paraId="1A8D0495" w14:textId="2053B285" w:rsidR="003C4D67" w:rsidRDefault="003C4D67" w:rsidP="003C4D67">
      <w:r w:rsidRPr="003C4D67">
        <w:t xml:space="preserve">Notwithstanding the Delegate’s concerns about the early clinical program in psoriasis, </w:t>
      </w:r>
      <w:proofErr w:type="spellStart"/>
      <w:r w:rsidRPr="003C4D67">
        <w:t>deucravacitinib</w:t>
      </w:r>
      <w:proofErr w:type="spellEnd"/>
      <w:r w:rsidRPr="003C4D67">
        <w:t xml:space="preserve"> has shown superior efficacy over placebo and apremilast for the treatment of moderate to severe psoriasis, and all evaluators of the submitted dossier were supportive of registration of </w:t>
      </w:r>
      <w:proofErr w:type="spellStart"/>
      <w:r w:rsidRPr="003C4D67">
        <w:t>deucravacitinib</w:t>
      </w:r>
      <w:proofErr w:type="spellEnd"/>
      <w:r w:rsidRPr="003C4D67">
        <w:t>, and the proposed indication</w:t>
      </w:r>
      <w:r>
        <w:t>:</w:t>
      </w:r>
    </w:p>
    <w:p w14:paraId="4B28B898" w14:textId="620766C3" w:rsidR="003C4D67" w:rsidRPr="003C4D67" w:rsidRDefault="003C4D67" w:rsidP="003C4D67">
      <w:pPr>
        <w:ind w:left="720"/>
        <w:rPr>
          <w:i/>
          <w:iCs/>
        </w:rPr>
      </w:pPr>
      <w:proofErr w:type="spellStart"/>
      <w:r w:rsidRPr="003C4D67">
        <w:rPr>
          <w:i/>
          <w:iCs/>
        </w:rPr>
        <w:t>S</w:t>
      </w:r>
      <w:r>
        <w:rPr>
          <w:i/>
          <w:iCs/>
        </w:rPr>
        <w:t>otyktu</w:t>
      </w:r>
      <w:proofErr w:type="spellEnd"/>
      <w:r w:rsidRPr="003C4D67">
        <w:rPr>
          <w:i/>
          <w:iCs/>
        </w:rPr>
        <w:t xml:space="preserve"> is indicated for the treatment of adult patients with moderate to severe plaque psoriasis who are candidates for systemic therapy or phototherapy</w:t>
      </w:r>
      <w:r>
        <w:rPr>
          <w:i/>
          <w:iCs/>
        </w:rPr>
        <w:t>.</w:t>
      </w:r>
    </w:p>
    <w:p w14:paraId="07994E9B" w14:textId="77777777" w:rsidR="00C22214" w:rsidRDefault="00C22214" w:rsidP="00C22214">
      <w:pPr>
        <w:pStyle w:val="Heading4"/>
      </w:pPr>
      <w:bookmarkStart w:id="79" w:name="_Toc98931934"/>
      <w:bookmarkStart w:id="80" w:name="_Toc141445526"/>
      <w:r>
        <w:t>Questions for the sponsor</w:t>
      </w:r>
      <w:bookmarkEnd w:id="79"/>
      <w:bookmarkEnd w:id="80"/>
    </w:p>
    <w:p w14:paraId="1F694596" w14:textId="77777777" w:rsidR="00C22214" w:rsidRPr="00166889" w:rsidRDefault="00C22214" w:rsidP="00C22214">
      <w:pPr>
        <w:rPr>
          <w:szCs w:val="22"/>
        </w:rPr>
      </w:pPr>
      <w:r w:rsidRPr="00166889">
        <w:rPr>
          <w:szCs w:val="22"/>
        </w:rPr>
        <w:t>The sponsor provided the following response to questions from the Delegate.</w:t>
      </w:r>
    </w:p>
    <w:p w14:paraId="341512DC" w14:textId="3412C90B" w:rsidR="003C4D67" w:rsidRPr="00166889" w:rsidRDefault="003C4D67" w:rsidP="003C4D67">
      <w:pPr>
        <w:pStyle w:val="Numberbullet0"/>
        <w:rPr>
          <w:b/>
          <w:bCs/>
          <w:i/>
          <w:iCs/>
        </w:rPr>
      </w:pPr>
      <w:r w:rsidRPr="00166889">
        <w:rPr>
          <w:b/>
          <w:bCs/>
          <w:i/>
          <w:iCs/>
        </w:rPr>
        <w:t xml:space="preserve">Please clarify why the activity of the active metabolite BMS-153261 is not considered to significantly contribute to the efficacy of </w:t>
      </w:r>
      <w:proofErr w:type="spellStart"/>
      <w:r w:rsidRPr="00166889">
        <w:rPr>
          <w:b/>
          <w:bCs/>
          <w:i/>
          <w:iCs/>
        </w:rPr>
        <w:t>deucravacitinib</w:t>
      </w:r>
      <w:proofErr w:type="spellEnd"/>
      <w:r w:rsidRPr="00166889">
        <w:rPr>
          <w:b/>
          <w:bCs/>
          <w:i/>
          <w:iCs/>
        </w:rPr>
        <w:t>.</w:t>
      </w:r>
    </w:p>
    <w:p w14:paraId="3B88825F" w14:textId="786050E5" w:rsidR="00166889" w:rsidRDefault="00166889" w:rsidP="00166889">
      <w:r>
        <w:t>In subjects with psoriasis, the projected steady state exposure (average plasma concentration at steady state [</w:t>
      </w:r>
      <w:proofErr w:type="spellStart"/>
      <w:r>
        <w:t>C</w:t>
      </w:r>
      <w:r w:rsidRPr="00166889">
        <w:rPr>
          <w:vertAlign w:val="subscript"/>
        </w:rPr>
        <w:t>avgss</w:t>
      </w:r>
      <w:proofErr w:type="spellEnd"/>
      <w:r>
        <w:t xml:space="preserve">] or area under the concentration time curve [AUC]) of BMT-153261 was about 22% of the parent, </w:t>
      </w:r>
      <w:proofErr w:type="spellStart"/>
      <w:r>
        <w:t>deucravacitinib</w:t>
      </w:r>
      <w:proofErr w:type="spellEnd"/>
      <w:r>
        <w:t xml:space="preserve">. Given comparable potencies, </w:t>
      </w:r>
      <w:proofErr w:type="gramStart"/>
      <w:r>
        <w:t>selectivity</w:t>
      </w:r>
      <w:proofErr w:type="gramEnd"/>
      <w:r>
        <w:t xml:space="preserve"> and terminal half-life of BMT-153261 and </w:t>
      </w:r>
      <w:proofErr w:type="spellStart"/>
      <w:r>
        <w:t>deucravacitinib</w:t>
      </w:r>
      <w:proofErr w:type="spellEnd"/>
      <w:r>
        <w:t xml:space="preserve">, the pharmacological contribution of BMT-153261 was estimated based on ratio of BMT-153261 </w:t>
      </w:r>
      <w:proofErr w:type="spellStart"/>
      <w:r>
        <w:t>Cavgss</w:t>
      </w:r>
      <w:proofErr w:type="spellEnd"/>
      <w:r>
        <w:t xml:space="preserve"> relative to sum of BMT-153261 and </w:t>
      </w:r>
      <w:proofErr w:type="spellStart"/>
      <w:r w:rsidR="00BE2B0D">
        <w:t>deucravacitinib</w:t>
      </w:r>
      <w:proofErr w:type="spellEnd"/>
      <w:r>
        <w:t xml:space="preserve"> </w:t>
      </w:r>
      <w:proofErr w:type="spellStart"/>
      <w:r>
        <w:t>Cavgss</w:t>
      </w:r>
      <w:proofErr w:type="spellEnd"/>
      <w:r>
        <w:t xml:space="preserve">. Based on this assessment, BMT-153261 is expected to contribute to about 18% of the total pharmacological activity after </w:t>
      </w:r>
      <w:proofErr w:type="spellStart"/>
      <w:r w:rsidR="00BE2B0D">
        <w:t>deucravacitinib</w:t>
      </w:r>
      <w:proofErr w:type="spellEnd"/>
      <w:r>
        <w:t xml:space="preserve"> administration with the rest of pharmacological activity (about 82%) attributed to the parent.</w:t>
      </w:r>
    </w:p>
    <w:p w14:paraId="3A31808C" w14:textId="4EAE9468" w:rsidR="00166889" w:rsidRDefault="00166889" w:rsidP="00166889">
      <w:r>
        <w:t xml:space="preserve">In the mass balance study in healthy subjects (Study IM011016), terminal half-lives of </w:t>
      </w:r>
      <w:proofErr w:type="spellStart"/>
      <w:r>
        <w:t>deucravacitinib</w:t>
      </w:r>
      <w:proofErr w:type="spellEnd"/>
      <w:r>
        <w:t xml:space="preserve"> and total radioactivity (TRA) were comparable, indicating that there was no long-lived circulatory metabolite. Based on the AUC(</w:t>
      </w:r>
      <w:r w:rsidRPr="00166889">
        <w:rPr>
          <w:vertAlign w:val="subscript"/>
        </w:rPr>
        <w:t>0-24h</w:t>
      </w:r>
      <w:r>
        <w:t xml:space="preserve">) values (generated using radioactivity concentrations), the plasma exposure for </w:t>
      </w:r>
      <w:proofErr w:type="spellStart"/>
      <w:r>
        <w:t>deucravacitinib</w:t>
      </w:r>
      <w:proofErr w:type="spellEnd"/>
      <w:r>
        <w:t xml:space="preserve"> and BMT-</w:t>
      </w:r>
      <w:proofErr w:type="gramStart"/>
      <w:r>
        <w:t>153261,was</w:t>
      </w:r>
      <w:proofErr w:type="gramEnd"/>
      <w:r>
        <w:t xml:space="preserve"> 43% and 11%, respectively, of the total plasma exposure indicating that these species contribute to majority of radioactivity in circulation. Since </w:t>
      </w:r>
      <w:proofErr w:type="spellStart"/>
      <w:r>
        <w:t>deucravacitinib</w:t>
      </w:r>
      <w:proofErr w:type="spellEnd"/>
      <w:r>
        <w:t xml:space="preserve"> and BMT-153261 are the major active metabolites (&gt; 10% of total plasma exposure), the contribution of BMT-153261 to the total pharmacologic activity was estimated to be approximately 20%.</w:t>
      </w:r>
    </w:p>
    <w:p w14:paraId="1464C525" w14:textId="79CC2ADD" w:rsidR="00166889" w:rsidRDefault="00166889" w:rsidP="00166889">
      <w:r>
        <w:t>In subjects with psoriasis, the geometric mean steady-state exposure (</w:t>
      </w:r>
      <w:proofErr w:type="spellStart"/>
      <w:r>
        <w:t>C</w:t>
      </w:r>
      <w:r w:rsidRPr="00166889">
        <w:rPr>
          <w:vertAlign w:val="subscript"/>
        </w:rPr>
        <w:t>avgss</w:t>
      </w:r>
      <w:proofErr w:type="spellEnd"/>
      <w:r>
        <w:t xml:space="preserve"> or AUC[</w:t>
      </w:r>
      <w:r w:rsidRPr="00166889">
        <w:rPr>
          <w:vertAlign w:val="subscript"/>
        </w:rPr>
        <w:t>TAU</w:t>
      </w:r>
      <w:r>
        <w:t>]) of BMT-153261 was calculated at approximately 20% of the parent exposure at a 6 mg daily dose, based on the population pharmacokinetic (PPK) model. Based on this exposure ratio and similar in-vitro potency (IC</w:t>
      </w:r>
      <w:r w:rsidRPr="00166889">
        <w:rPr>
          <w:vertAlign w:val="subscript"/>
        </w:rPr>
        <w:t>50</w:t>
      </w:r>
      <w:r>
        <w:t xml:space="preserve">) and selectivity between parent molecule </w:t>
      </w:r>
      <w:proofErr w:type="spellStart"/>
      <w:r>
        <w:t>deucravacitinib</w:t>
      </w:r>
      <w:proofErr w:type="spellEnd"/>
      <w:r>
        <w:t xml:space="preserve"> and BMT-153261, the contribution of BMT-153261 to overall pharmacological activity was estimated to be 17% (20 / [100 + 20]). This indicated that the contribution of BMT-153261 to the overall pharmacologic activity of </w:t>
      </w:r>
      <w:proofErr w:type="spellStart"/>
      <w:r>
        <w:t>deucravacitinib</w:t>
      </w:r>
      <w:proofErr w:type="spellEnd"/>
      <w:r>
        <w:t xml:space="preserve"> was relatively minor (&lt; 20%) and similar in healthy subjects and psoriasis patients.</w:t>
      </w:r>
    </w:p>
    <w:p w14:paraId="4FB78356" w14:textId="553A86A5" w:rsidR="00BF6475" w:rsidRPr="003C4D67" w:rsidRDefault="00166889" w:rsidP="00166889">
      <w:r>
        <w:t xml:space="preserve">Consistent with this assessment, incorporation of BMT-153261 exposures in the exposure-response models that describe </w:t>
      </w:r>
      <w:proofErr w:type="spellStart"/>
      <w:r w:rsidR="00BE2B0D">
        <w:t>deucravacitinib</w:t>
      </w:r>
      <w:proofErr w:type="spellEnd"/>
      <w:r>
        <w:t xml:space="preserve"> exposure and key measure of efficacy (PASI and </w:t>
      </w:r>
      <w:proofErr w:type="spellStart"/>
      <w:r>
        <w:t>sPGA</w:t>
      </w:r>
      <w:proofErr w:type="spellEnd"/>
      <w:r>
        <w:t xml:space="preserve"> responses) and selected safety endpoints resulted in no further improvements in model performance. This indicates BMT-153261 exposures are not anticipated to meaningfully impact efficacy and safety profile of </w:t>
      </w:r>
      <w:proofErr w:type="spellStart"/>
      <w:r>
        <w:t>deucravacitinib</w:t>
      </w:r>
      <w:proofErr w:type="spellEnd"/>
      <w:r>
        <w:t xml:space="preserve"> in psoriasis patients.</w:t>
      </w:r>
    </w:p>
    <w:p w14:paraId="318CFABC" w14:textId="77777777" w:rsidR="00C22214" w:rsidRPr="00F73346" w:rsidRDefault="00C22214" w:rsidP="00C22214">
      <w:pPr>
        <w:pStyle w:val="Heading4"/>
      </w:pPr>
      <w:bookmarkStart w:id="81" w:name="_Toc98931936"/>
      <w:bookmarkStart w:id="82" w:name="_Toc141445527"/>
      <w:bookmarkStart w:id="83" w:name="_Toc247691532"/>
      <w:bookmarkStart w:id="84" w:name="_Toc314842516"/>
      <w:r w:rsidRPr="00F73346">
        <w:t>Advisory Committee considerations</w:t>
      </w:r>
      <w:bookmarkEnd w:id="81"/>
      <w:bookmarkEnd w:id="82"/>
    </w:p>
    <w:p w14:paraId="087BB9CB" w14:textId="02CACFBD" w:rsidR="00C22214" w:rsidRPr="00BD5DBD" w:rsidRDefault="00C22214" w:rsidP="00C22214">
      <w:pPr>
        <w:rPr>
          <w:bCs/>
          <w:szCs w:val="22"/>
        </w:rPr>
      </w:pPr>
      <w:r w:rsidRPr="00BD5DBD">
        <w:rPr>
          <w:bCs/>
          <w:szCs w:val="22"/>
        </w:rPr>
        <w:t xml:space="preserve">The </w:t>
      </w:r>
      <w:hyperlink r:id="rId45"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1AB83D58" w14:textId="7CB9388D" w:rsidR="001077C8" w:rsidRPr="001077C8" w:rsidRDefault="001077C8" w:rsidP="001077C8">
      <w:pPr>
        <w:pStyle w:val="Numberbullet0"/>
        <w:numPr>
          <w:ilvl w:val="0"/>
          <w:numId w:val="12"/>
        </w:numPr>
        <w:rPr>
          <w:b/>
          <w:bCs/>
          <w:i/>
          <w:iCs/>
        </w:rPr>
      </w:pPr>
      <w:r w:rsidRPr="001077C8">
        <w:rPr>
          <w:b/>
          <w:bCs/>
          <w:i/>
          <w:iCs/>
        </w:rPr>
        <w:lastRenderedPageBreak/>
        <w:t xml:space="preserve">Is the mechanism of action of </w:t>
      </w:r>
      <w:proofErr w:type="spellStart"/>
      <w:r w:rsidRPr="001077C8">
        <w:rPr>
          <w:b/>
          <w:bCs/>
          <w:i/>
          <w:iCs/>
        </w:rPr>
        <w:t>deucravacitinib</w:t>
      </w:r>
      <w:proofErr w:type="spellEnd"/>
      <w:r w:rsidRPr="001077C8">
        <w:rPr>
          <w:b/>
          <w:bCs/>
          <w:i/>
          <w:iCs/>
        </w:rPr>
        <w:t xml:space="preserve"> sufficiently different from that of the other small molecule JAK inhibitors to justify claims for long-term clinical safety?</w:t>
      </w:r>
    </w:p>
    <w:p w14:paraId="29160A93" w14:textId="7503E3AC" w:rsidR="001077C8" w:rsidRDefault="001077C8" w:rsidP="001077C8">
      <w:pPr>
        <w:pStyle w:val="Default"/>
        <w:rPr>
          <w:sz w:val="22"/>
          <w:szCs w:val="22"/>
        </w:rPr>
      </w:pPr>
      <w:r>
        <w:rPr>
          <w:sz w:val="22"/>
          <w:szCs w:val="22"/>
        </w:rPr>
        <w:t xml:space="preserve">The ACM </w:t>
      </w:r>
      <w:proofErr w:type="gramStart"/>
      <w:r>
        <w:rPr>
          <w:sz w:val="22"/>
          <w:szCs w:val="22"/>
        </w:rPr>
        <w:t>was of the opinion that</w:t>
      </w:r>
      <w:proofErr w:type="gramEnd"/>
      <w:r>
        <w:rPr>
          <w:sz w:val="22"/>
          <w:szCs w:val="22"/>
        </w:rPr>
        <w:t xml:space="preserve"> although the mechanism of action seems to be different from other available JAK inhibitors as it targets TYK2, there is no certainty of long-term safety yet. There are still low-level signals of malignancy, </w:t>
      </w:r>
      <w:r w:rsidR="00C63E2D" w:rsidRPr="00C63E2D">
        <w:rPr>
          <w:sz w:val="22"/>
          <w:szCs w:val="22"/>
        </w:rPr>
        <w:t>venous thromboembolism</w:t>
      </w:r>
      <w:r>
        <w:rPr>
          <w:sz w:val="22"/>
          <w:szCs w:val="22"/>
        </w:rPr>
        <w:t xml:space="preserve">, serious infection in the available trials and so far, less than 3000 patients have been </w:t>
      </w:r>
      <w:r w:rsidR="00C63E2D">
        <w:rPr>
          <w:sz w:val="22"/>
          <w:szCs w:val="22"/>
        </w:rPr>
        <w:t>trialled</w:t>
      </w:r>
      <w:r>
        <w:rPr>
          <w:sz w:val="22"/>
          <w:szCs w:val="22"/>
        </w:rPr>
        <w:t xml:space="preserve"> and the follow-up is less than 3 years. These numbers are not sufficient to draw firm safety data. Therefore, the ACM recommended that, if approved, cautionary statements be included in the PI to the effect that although causality has not been firmly established, the data are not yet available to give certainty that </w:t>
      </w:r>
      <w:proofErr w:type="spellStart"/>
      <w:r>
        <w:rPr>
          <w:sz w:val="22"/>
          <w:szCs w:val="22"/>
        </w:rPr>
        <w:t>deucravacitinib</w:t>
      </w:r>
      <w:proofErr w:type="spellEnd"/>
      <w:r>
        <w:rPr>
          <w:sz w:val="22"/>
          <w:szCs w:val="22"/>
        </w:rPr>
        <w:t xml:space="preserve"> will be safer than other JAK-STAT agents approved for this condition. </w:t>
      </w:r>
    </w:p>
    <w:p w14:paraId="1D82251E" w14:textId="3FD730F7" w:rsidR="001077C8" w:rsidRPr="001077C8" w:rsidRDefault="001077C8" w:rsidP="001077C8">
      <w:pPr>
        <w:pStyle w:val="Numberbullet0"/>
        <w:rPr>
          <w:b/>
          <w:bCs/>
          <w:i/>
          <w:iCs/>
        </w:rPr>
      </w:pPr>
      <w:r w:rsidRPr="001077C8">
        <w:rPr>
          <w:b/>
          <w:bCs/>
          <w:i/>
          <w:iCs/>
        </w:rPr>
        <w:t>Has the proposed dose of 6 mg daily been adequately justified in the relative absence of Phase</w:t>
      </w:r>
      <w:r w:rsidR="00BF6475">
        <w:rPr>
          <w:b/>
          <w:bCs/>
          <w:i/>
          <w:iCs/>
        </w:rPr>
        <w:t xml:space="preserve"> I</w:t>
      </w:r>
      <w:r w:rsidRPr="001077C8">
        <w:rPr>
          <w:b/>
          <w:bCs/>
          <w:i/>
          <w:iCs/>
        </w:rPr>
        <w:t xml:space="preserve"> and dose-finding studies using this dose?</w:t>
      </w:r>
    </w:p>
    <w:p w14:paraId="0AAAD9FF" w14:textId="77777777" w:rsidR="001077C8" w:rsidRDefault="001077C8" w:rsidP="001077C8">
      <w:pPr>
        <w:pStyle w:val="Default"/>
        <w:rPr>
          <w:sz w:val="22"/>
          <w:szCs w:val="22"/>
        </w:rPr>
      </w:pPr>
      <w:r>
        <w:rPr>
          <w:sz w:val="22"/>
          <w:szCs w:val="22"/>
        </w:rPr>
        <w:t xml:space="preserve">The ACM felt the 6 mg daily dose had not adequately been justified as the most appropriate regimen in the sponsor’s submission. A dose-dependent inhibition at 1-10 mg was noted and maximal inhibition occurred ≥10 mg. The 6 mg dose choice was based on exposure-response modelling. The ACM considered that there may be a time lag in improvement in PASI score following lower doses of </w:t>
      </w:r>
      <w:proofErr w:type="spellStart"/>
      <w:r>
        <w:rPr>
          <w:sz w:val="22"/>
          <w:szCs w:val="22"/>
        </w:rPr>
        <w:t>deucravacitinib</w:t>
      </w:r>
      <w:proofErr w:type="spellEnd"/>
      <w:r>
        <w:rPr>
          <w:sz w:val="22"/>
          <w:szCs w:val="22"/>
        </w:rPr>
        <w:t>. The ACM suggested that more data were needed to ascertain whether while appropriate as a starting dose, 6</w:t>
      </w:r>
      <w:r>
        <w:rPr>
          <w:szCs w:val="22"/>
        </w:rPr>
        <w:t xml:space="preserve"> </w:t>
      </w:r>
      <w:r>
        <w:rPr>
          <w:sz w:val="22"/>
          <w:szCs w:val="22"/>
        </w:rPr>
        <w:t xml:space="preserve">mg daily may not necessarily be the most appropriate maintenance dose. For several other biological medicines, a higher loading dose followed by a lower maintenance dose is often used. The ACM was not able to determine from the data whether this may also be the case for JAK-STAT agents in general, and for </w:t>
      </w:r>
      <w:proofErr w:type="spellStart"/>
      <w:r>
        <w:rPr>
          <w:sz w:val="22"/>
          <w:szCs w:val="22"/>
        </w:rPr>
        <w:t>deucravacitinib</w:t>
      </w:r>
      <w:proofErr w:type="spellEnd"/>
      <w:r>
        <w:rPr>
          <w:sz w:val="22"/>
          <w:szCs w:val="22"/>
        </w:rPr>
        <w:t xml:space="preserve"> specifically. </w:t>
      </w:r>
    </w:p>
    <w:p w14:paraId="5779C482" w14:textId="4C7C1ABD" w:rsidR="001077C8" w:rsidRPr="001077C8" w:rsidRDefault="001077C8" w:rsidP="001077C8">
      <w:pPr>
        <w:pStyle w:val="Numberbullet0"/>
        <w:rPr>
          <w:b/>
          <w:bCs/>
          <w:i/>
          <w:iCs/>
        </w:rPr>
      </w:pPr>
      <w:r w:rsidRPr="001077C8">
        <w:rPr>
          <w:b/>
          <w:bCs/>
          <w:i/>
          <w:iCs/>
        </w:rPr>
        <w:t xml:space="preserve">Does the Committee have any other advice regarding the registration of </w:t>
      </w:r>
      <w:proofErr w:type="spellStart"/>
      <w:r w:rsidRPr="001077C8">
        <w:rPr>
          <w:b/>
          <w:bCs/>
          <w:i/>
          <w:iCs/>
        </w:rPr>
        <w:t>deucravacitinib</w:t>
      </w:r>
      <w:proofErr w:type="spellEnd"/>
      <w:r w:rsidRPr="001077C8">
        <w:rPr>
          <w:b/>
          <w:bCs/>
          <w:i/>
          <w:iCs/>
        </w:rPr>
        <w:t>?</w:t>
      </w:r>
    </w:p>
    <w:p w14:paraId="11F4CBC6" w14:textId="523E23FB" w:rsidR="001077C8" w:rsidRPr="001077C8" w:rsidRDefault="001077C8" w:rsidP="001077C8">
      <w:r w:rsidRPr="001077C8">
        <w:t xml:space="preserve">The ACM raised concerns regarding the current recommendation of no dosage modification for renally impaired patients in the draft PI since the exposure (AUC) was increased in this cohort of patients. </w:t>
      </w:r>
      <w:proofErr w:type="spellStart"/>
      <w:r w:rsidRPr="001077C8">
        <w:t>Deucravacitinib</w:t>
      </w:r>
      <w:proofErr w:type="spellEnd"/>
      <w:r w:rsidRPr="001077C8">
        <w:t xml:space="preserve"> is also moderately protein-bound which will slow its elimination. The ACM recommended the Delegate request more data on the 6 mg dose administered to renally impaired patients and for this information to be included in the PI.</w:t>
      </w:r>
    </w:p>
    <w:p w14:paraId="773A2DD6" w14:textId="34F7293A" w:rsidR="001077C8" w:rsidRPr="001077C8" w:rsidRDefault="001077C8" w:rsidP="001077C8">
      <w:r w:rsidRPr="001077C8">
        <w:t>The ACM also recommended that, if approved, the indications should be amended and ‘chronic’ be included for consistency with indications for biological medicines:</w:t>
      </w:r>
    </w:p>
    <w:p w14:paraId="0DFD72D1" w14:textId="12876766" w:rsidR="001077C8" w:rsidRPr="00BF6475" w:rsidRDefault="001077C8" w:rsidP="00BF6475">
      <w:pPr>
        <w:ind w:left="720"/>
        <w:rPr>
          <w:i/>
          <w:iCs/>
        </w:rPr>
      </w:pPr>
      <w:proofErr w:type="spellStart"/>
      <w:r w:rsidRPr="00BF6475">
        <w:rPr>
          <w:i/>
          <w:iCs/>
        </w:rPr>
        <w:t>S</w:t>
      </w:r>
      <w:r w:rsidR="00BF6475">
        <w:rPr>
          <w:i/>
          <w:iCs/>
        </w:rPr>
        <w:t>otyktu</w:t>
      </w:r>
      <w:proofErr w:type="spellEnd"/>
      <w:r w:rsidRPr="00BF6475">
        <w:rPr>
          <w:i/>
          <w:iCs/>
        </w:rPr>
        <w:t xml:space="preserve"> is indicated for the treatment of adult patients with moderate to severe chronic plaque psoriasis who are candidates for systemic therapy or </w:t>
      </w:r>
      <w:proofErr w:type="gramStart"/>
      <w:r w:rsidRPr="00BF6475">
        <w:rPr>
          <w:i/>
          <w:iCs/>
        </w:rPr>
        <w:t>phototherapy</w:t>
      </w:r>
      <w:proofErr w:type="gramEnd"/>
      <w:r w:rsidRPr="00BF6475">
        <w:rPr>
          <w:i/>
          <w:iCs/>
        </w:rPr>
        <w:t xml:space="preserve"> </w:t>
      </w:r>
    </w:p>
    <w:p w14:paraId="4F2A6A02" w14:textId="6F967C22" w:rsidR="001077C8" w:rsidRPr="001077C8" w:rsidRDefault="001077C8" w:rsidP="001077C8">
      <w:r w:rsidRPr="001077C8">
        <w:t>In addition, the ACM recommended that the sponsor conduct further investigations to exclude increases in chronic/latent infections such as tuberculosis. This is important in the Australian context where there is greater risk of exposure to endemic populations.</w:t>
      </w:r>
    </w:p>
    <w:p w14:paraId="5AC1BB5A" w14:textId="29319D67" w:rsidR="001077C8" w:rsidRPr="001077C8" w:rsidRDefault="001077C8" w:rsidP="001077C8">
      <w:r w:rsidRPr="001077C8">
        <w:t xml:space="preserve">The ACM also recommended that adults with psoriasis should be counselled about the risk of herpetic infection and if appropriate consider vaccination against the varicella zoster virus. Furthermore, regular skin examination for skin cancer by general practitioners and/or treating dermatologists should be recommended in the PI as well as blood pressure monitoring, </w:t>
      </w:r>
      <w:proofErr w:type="gramStart"/>
      <w:r w:rsidRPr="001077C8">
        <w:t>in light of</w:t>
      </w:r>
      <w:proofErr w:type="gramEnd"/>
      <w:r w:rsidRPr="001077C8">
        <w:t xml:space="preserve"> the pharmacologic action of </w:t>
      </w:r>
      <w:proofErr w:type="spellStart"/>
      <w:r w:rsidRPr="001077C8">
        <w:t>deucravacitinib</w:t>
      </w:r>
      <w:proofErr w:type="spellEnd"/>
      <w:r w:rsidRPr="001077C8">
        <w:t>, and hypertension being reported.</w:t>
      </w:r>
    </w:p>
    <w:p w14:paraId="5291EA2A" w14:textId="77777777" w:rsidR="00C22214" w:rsidRPr="00F73346" w:rsidRDefault="00C22214" w:rsidP="00C22214">
      <w:pPr>
        <w:pStyle w:val="Heading5"/>
      </w:pPr>
      <w:r w:rsidRPr="00F73346">
        <w:t>Conclusion</w:t>
      </w:r>
    </w:p>
    <w:p w14:paraId="080B6FE6" w14:textId="77777777" w:rsidR="001077C8" w:rsidRPr="001077C8" w:rsidRDefault="001077C8" w:rsidP="001077C8">
      <w:bookmarkStart w:id="85" w:name="_Toc103679300"/>
      <w:r w:rsidRPr="001077C8">
        <w:t xml:space="preserve">The ACM considered this product to have an overall positive benefit-risk profile for the indication: </w:t>
      </w:r>
    </w:p>
    <w:p w14:paraId="39D0841A" w14:textId="346B8C26" w:rsidR="001077C8" w:rsidRPr="001077C8" w:rsidRDefault="001077C8" w:rsidP="001077C8">
      <w:pPr>
        <w:ind w:left="720"/>
        <w:rPr>
          <w:i/>
          <w:iCs/>
        </w:rPr>
      </w:pPr>
      <w:proofErr w:type="spellStart"/>
      <w:r w:rsidRPr="001077C8">
        <w:rPr>
          <w:i/>
          <w:iCs/>
        </w:rPr>
        <w:t>S</w:t>
      </w:r>
      <w:r>
        <w:rPr>
          <w:i/>
          <w:iCs/>
        </w:rPr>
        <w:t>otyktu</w:t>
      </w:r>
      <w:proofErr w:type="spellEnd"/>
      <w:r>
        <w:rPr>
          <w:i/>
          <w:iCs/>
        </w:rPr>
        <w:t xml:space="preserve"> </w:t>
      </w:r>
      <w:r w:rsidRPr="001077C8">
        <w:rPr>
          <w:i/>
          <w:iCs/>
        </w:rPr>
        <w:t>is indicated for the treatment of adult patients with moderate to severe chronic plaque psoriasis who are candidates for systemic therapy or phototherapy</w:t>
      </w:r>
      <w:r>
        <w:rPr>
          <w:i/>
          <w:iCs/>
        </w:rPr>
        <w:t>.</w:t>
      </w:r>
    </w:p>
    <w:p w14:paraId="5E184B38" w14:textId="77777777" w:rsidR="001077C8" w:rsidRPr="001077C8" w:rsidRDefault="001077C8" w:rsidP="001077C8">
      <w:r w:rsidRPr="001077C8">
        <w:lastRenderedPageBreak/>
        <w:t>Amendments to the product information to identify areas of uncertainty regarding safety are recommended.</w:t>
      </w:r>
    </w:p>
    <w:p w14:paraId="307F236C" w14:textId="34709531" w:rsidR="00C22214" w:rsidRPr="002E238E" w:rsidRDefault="00C22214" w:rsidP="001077C8">
      <w:pPr>
        <w:pStyle w:val="Heading2"/>
      </w:pPr>
      <w:bookmarkStart w:id="86" w:name="_Toc141445528"/>
      <w:r>
        <w:t>Outcome</w:t>
      </w:r>
      <w:bookmarkEnd w:id="83"/>
      <w:bookmarkEnd w:id="84"/>
      <w:bookmarkEnd w:id="85"/>
      <w:bookmarkEnd w:id="86"/>
    </w:p>
    <w:p w14:paraId="4EF22939" w14:textId="718A9E28" w:rsidR="00C22214" w:rsidRPr="00BD5DBD" w:rsidRDefault="00C22214" w:rsidP="00C22214">
      <w:pPr>
        <w:spacing w:after="480"/>
        <w:rPr>
          <w:szCs w:val="22"/>
        </w:rPr>
      </w:pPr>
      <w:r w:rsidRPr="00BD5DBD">
        <w:rPr>
          <w:szCs w:val="22"/>
        </w:rPr>
        <w:t xml:space="preserve">Based on a review of quality, safety, and efficacy, the TGA approved the registration of </w:t>
      </w:r>
      <w:proofErr w:type="spellStart"/>
      <w:r w:rsidR="00CA0E51" w:rsidRPr="00D22875">
        <w:rPr>
          <w:szCs w:val="22"/>
        </w:rPr>
        <w:t>S</w:t>
      </w:r>
      <w:r w:rsidR="00CA0E51">
        <w:rPr>
          <w:szCs w:val="22"/>
        </w:rPr>
        <w:t>otyktu</w:t>
      </w:r>
      <w:proofErr w:type="spellEnd"/>
      <w:r w:rsidR="00CA0E51">
        <w:rPr>
          <w:szCs w:val="22"/>
        </w:rPr>
        <w:t xml:space="preserve"> (</w:t>
      </w:r>
      <w:proofErr w:type="spellStart"/>
      <w:r w:rsidR="00CA0E51" w:rsidRPr="00D22875">
        <w:rPr>
          <w:szCs w:val="22"/>
        </w:rPr>
        <w:t>deucravacitinib</w:t>
      </w:r>
      <w:proofErr w:type="spellEnd"/>
      <w:r w:rsidR="00CA0E51" w:rsidRPr="00BD5DBD">
        <w:rPr>
          <w:szCs w:val="22"/>
        </w:rPr>
        <w:t xml:space="preserve">) </w:t>
      </w:r>
      <w:r w:rsidR="00CA0E51">
        <w:rPr>
          <w:szCs w:val="22"/>
        </w:rPr>
        <w:t>6 mg</w:t>
      </w:r>
      <w:r w:rsidR="00CA0E51" w:rsidRPr="00BD5DBD">
        <w:rPr>
          <w:szCs w:val="22"/>
        </w:rPr>
        <w:t xml:space="preserve">, </w:t>
      </w:r>
      <w:r w:rsidR="00CA0E51">
        <w:rPr>
          <w:szCs w:val="22"/>
        </w:rPr>
        <w:t>film coated tablet</w:t>
      </w:r>
      <w:r w:rsidR="00CA0E51" w:rsidRPr="00BD5DBD">
        <w:rPr>
          <w:szCs w:val="22"/>
        </w:rPr>
        <w:t xml:space="preserve">, </w:t>
      </w:r>
      <w:r w:rsidR="00CA0E51">
        <w:rPr>
          <w:szCs w:val="22"/>
        </w:rPr>
        <w:t>blister pack</w:t>
      </w:r>
      <w:r w:rsidRPr="00BD5DBD">
        <w:rPr>
          <w:szCs w:val="22"/>
        </w:rPr>
        <w:t>, indicated for:</w:t>
      </w:r>
    </w:p>
    <w:p w14:paraId="3B245AB5" w14:textId="30388CC0" w:rsidR="00C22214" w:rsidRPr="00CA0E51" w:rsidRDefault="00CA0E51" w:rsidP="00CA0E51">
      <w:pPr>
        <w:ind w:left="720"/>
        <w:rPr>
          <w:i/>
          <w:iCs/>
        </w:rPr>
      </w:pPr>
      <w:proofErr w:type="spellStart"/>
      <w:r w:rsidRPr="00CA0E51">
        <w:rPr>
          <w:i/>
          <w:iCs/>
        </w:rPr>
        <w:t>Sotyktu</w:t>
      </w:r>
      <w:proofErr w:type="spellEnd"/>
      <w:r w:rsidRPr="00CA0E51">
        <w:rPr>
          <w:i/>
          <w:iCs/>
        </w:rPr>
        <w:t xml:space="preserve"> is indicated for the treatment of adult patients with moderate-to-severe plaque psoriasis who are candidates for systemic therapy or phototherapy.</w:t>
      </w:r>
    </w:p>
    <w:p w14:paraId="0D732DA4" w14:textId="77777777" w:rsidR="00854D98" w:rsidRPr="00D23139" w:rsidRDefault="00854D98" w:rsidP="00854D98">
      <w:pPr>
        <w:pStyle w:val="Heading3"/>
      </w:pPr>
      <w:bookmarkStart w:id="87" w:name="_Toc103679301"/>
      <w:bookmarkStart w:id="88" w:name="_Toc141445529"/>
      <w:r w:rsidRPr="00D23139">
        <w:t>Specific conditions of registration applying to these goods</w:t>
      </w:r>
      <w:bookmarkEnd w:id="87"/>
      <w:bookmarkEnd w:id="88"/>
    </w:p>
    <w:p w14:paraId="066CC154" w14:textId="12AF1518" w:rsidR="00CA0E51" w:rsidRPr="00CA0E51" w:rsidRDefault="00CA0E51" w:rsidP="00CA0E51">
      <w:pPr>
        <w:pStyle w:val="ListBullet"/>
      </w:pPr>
      <w:proofErr w:type="spellStart"/>
      <w:r w:rsidRPr="00CA0E51">
        <w:t>S</w:t>
      </w:r>
      <w:r>
        <w:t>otyktu</w:t>
      </w:r>
      <w:proofErr w:type="spellEnd"/>
      <w:r w:rsidRPr="00CA0E51">
        <w:t xml:space="preserve"> (</w:t>
      </w:r>
      <w:proofErr w:type="spellStart"/>
      <w:r w:rsidRPr="00CA0E51">
        <w:t>deucravacitinib</w:t>
      </w:r>
      <w:proofErr w:type="spellEnd"/>
      <w:r w:rsidRPr="00CA0E51">
        <w:t xml:space="preserve">) is to be included in the Black Triangle Scheme. The PI and CMI for </w:t>
      </w:r>
      <w:proofErr w:type="spellStart"/>
      <w:r w:rsidRPr="00CA0E51">
        <w:t>S</w:t>
      </w:r>
      <w:r>
        <w:t>otyktu</w:t>
      </w:r>
      <w:proofErr w:type="spellEnd"/>
      <w:r w:rsidRPr="00CA0E51">
        <w:t xml:space="preserve"> must include the black triangle symbol and mandatory accompanying text for five years, which starts from the date that the sponsor notifies the TGA of supply of the product. </w:t>
      </w:r>
    </w:p>
    <w:p w14:paraId="66507803" w14:textId="30C53AEB" w:rsidR="00CA0E51" w:rsidRDefault="00CA0E51" w:rsidP="00CA0E51">
      <w:pPr>
        <w:pStyle w:val="ListBullet"/>
      </w:pPr>
      <w:r w:rsidRPr="00CA0E51">
        <w:t xml:space="preserve">The </w:t>
      </w:r>
      <w:proofErr w:type="spellStart"/>
      <w:r w:rsidRPr="00CA0E51">
        <w:t>S</w:t>
      </w:r>
      <w:r>
        <w:t>otyktu</w:t>
      </w:r>
      <w:proofErr w:type="spellEnd"/>
      <w:r w:rsidRPr="00CA0E51">
        <w:t xml:space="preserve"> (</w:t>
      </w:r>
      <w:proofErr w:type="spellStart"/>
      <w:r w:rsidRPr="00CA0E51">
        <w:t>deucravacitinib</w:t>
      </w:r>
      <w:proofErr w:type="spellEnd"/>
      <w:r w:rsidRPr="00CA0E51">
        <w:t xml:space="preserve">) EU-RMP (version 1.0, dated 02 September 2021, data lock point 15 June 2021), with Australian Specific Annex (version 1.0, dated 20 September 2021), included with submission PM-2021-04758-1-1, and any subsequent revisions, as agreed with the TGA will be implemented in Australia. </w:t>
      </w:r>
    </w:p>
    <w:p w14:paraId="103E9A24" w14:textId="4CAC14E5" w:rsidR="00CA0E51" w:rsidRDefault="00CA0E51" w:rsidP="00CA0E51">
      <w:pPr>
        <w:pStyle w:val="ListBullet"/>
        <w:numPr>
          <w:ilvl w:val="0"/>
          <w:numId w:val="0"/>
        </w:numPr>
        <w:ind w:left="360"/>
      </w:pPr>
      <w:r w:rsidRPr="00CA0E51">
        <w:t>An obligatory component of risk management plans is routine pharmacovigilance. Routine pharmacovigilance includes the submission of periodic safety update reports (PSURs).</w:t>
      </w:r>
    </w:p>
    <w:p w14:paraId="5FF59C5B" w14:textId="0FB24820" w:rsidR="00CA0E51" w:rsidRDefault="00CA0E51" w:rsidP="00CA0E51">
      <w:pPr>
        <w:pStyle w:val="ListBullet"/>
        <w:numPr>
          <w:ilvl w:val="0"/>
          <w:numId w:val="0"/>
        </w:numPr>
        <w:ind w:left="360"/>
      </w:pPr>
      <w:r w:rsidRPr="00CA0E51">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rsidRPr="00CA0E51">
        <w:t>six monthly</w:t>
      </w:r>
      <w:proofErr w:type="gramEnd"/>
      <w:r w:rsidRPr="00CA0E51">
        <w:t xml:space="preserve"> reports may be submitted separately as they become available.</w:t>
      </w:r>
    </w:p>
    <w:p w14:paraId="0D62F395" w14:textId="18B5C0CD" w:rsidR="00CA0E51" w:rsidRDefault="00CA0E51" w:rsidP="00CA0E51">
      <w:pPr>
        <w:pStyle w:val="ListBullet"/>
        <w:numPr>
          <w:ilvl w:val="0"/>
          <w:numId w:val="0"/>
        </w:numPr>
        <w:ind w:left="360"/>
      </w:pPr>
      <w:r w:rsidRPr="00CA0E51">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7061F954" w14:textId="79A70D4A" w:rsidR="00CA0E51" w:rsidRDefault="00CA0E51" w:rsidP="00CA0E51">
      <w:pPr>
        <w:pStyle w:val="ListBullet"/>
        <w:numPr>
          <w:ilvl w:val="0"/>
          <w:numId w:val="0"/>
        </w:numPr>
        <w:ind w:left="360"/>
      </w:pPr>
      <w:r w:rsidRPr="00CA0E51">
        <w:t>The reports are to at least meet the requirements for PSURs as described in the European Medicines Agency’s Guideline on good pharmacovigilance practices (GVP) Module VII-periodic safety update report (Rev 1), Part VII.B Structures and processes.</w:t>
      </w:r>
    </w:p>
    <w:p w14:paraId="366D43BA" w14:textId="09B142F2" w:rsidR="00CA0E51" w:rsidRPr="00CA0E51" w:rsidRDefault="00CA0E51" w:rsidP="00CA0E51">
      <w:pPr>
        <w:pStyle w:val="ListBullet"/>
        <w:numPr>
          <w:ilvl w:val="0"/>
          <w:numId w:val="0"/>
        </w:numPr>
        <w:ind w:left="360"/>
      </w:pPr>
      <w:r w:rsidRPr="00CA0E51">
        <w:t>Note that submission of a PSUR does not constitute an application to vary the registration. Each report must have been prepared within ninety calendar days of the data lock point for that report.</w:t>
      </w:r>
    </w:p>
    <w:p w14:paraId="451DC3FC" w14:textId="77777777" w:rsidR="00C22214" w:rsidRDefault="00C22214" w:rsidP="00C22214">
      <w:pPr>
        <w:pStyle w:val="Heading2"/>
      </w:pPr>
      <w:bookmarkStart w:id="89" w:name="_Toc103679303"/>
      <w:bookmarkStart w:id="90" w:name="_Toc141445530"/>
      <w:r>
        <w:t>Attachment 1. Product Information</w:t>
      </w:r>
      <w:bookmarkEnd w:id="89"/>
      <w:bookmarkEnd w:id="90"/>
    </w:p>
    <w:p w14:paraId="21F47164" w14:textId="39902D86" w:rsidR="00C22214" w:rsidRPr="00BD5DBD" w:rsidRDefault="00C22214" w:rsidP="00C22214">
      <w:pPr>
        <w:rPr>
          <w:szCs w:val="22"/>
        </w:rPr>
      </w:pPr>
      <w:r w:rsidRPr="00BD5DBD">
        <w:rPr>
          <w:szCs w:val="22"/>
        </w:rPr>
        <w:t>The PI for</w:t>
      </w:r>
      <w:r w:rsidR="003C4D67">
        <w:rPr>
          <w:szCs w:val="22"/>
        </w:rPr>
        <w:t xml:space="preserve"> </w:t>
      </w:r>
      <w:proofErr w:type="spellStart"/>
      <w:r w:rsidR="003C4D67">
        <w:rPr>
          <w:szCs w:val="22"/>
        </w:rPr>
        <w:t>Sotyktu</w:t>
      </w:r>
      <w:proofErr w:type="spellEnd"/>
      <w:r w:rsidRPr="00BD5DBD">
        <w:rPr>
          <w:szCs w:val="22"/>
        </w:rPr>
        <w:t xml:space="preserve"> approved with the submission which is described in this </w:t>
      </w:r>
      <w:proofErr w:type="spellStart"/>
      <w:r w:rsidRPr="00BD5DBD">
        <w:rPr>
          <w:szCs w:val="22"/>
        </w:rPr>
        <w:t>AusPAR</w:t>
      </w:r>
      <w:proofErr w:type="spellEnd"/>
      <w:r w:rsidRPr="00BD5DBD">
        <w:rPr>
          <w:szCs w:val="22"/>
        </w:rPr>
        <w:t xml:space="preserve"> is at Attachment 1. For the most recent PI, please refer to the TGA </w:t>
      </w:r>
      <w:hyperlink r:id="rId46"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7"/>
          <w:footerReference w:type="default" r:id="rId4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6781603" w:rsidR="00F02AEC" w:rsidRDefault="00F02AEC">
            <w:pPr>
              <w:pStyle w:val="Address"/>
              <w:jc w:val="center"/>
              <w:rPr>
                <w:sz w:val="22"/>
                <w:szCs w:val="22"/>
              </w:rPr>
            </w:pPr>
            <w:r w:rsidRPr="00215D48">
              <w:t xml:space="preserve">Email: </w:t>
            </w:r>
            <w:hyperlink r:id="rId49"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27F16096" w:rsidR="00F02AEC" w:rsidRPr="00215D48" w:rsidRDefault="00556A7C">
            <w:pPr>
              <w:pStyle w:val="Address"/>
              <w:jc w:val="center"/>
              <w:rPr>
                <w:rStyle w:val="Hyperlink"/>
                <w:b/>
                <w:color w:val="auto"/>
                <w:sz w:val="22"/>
              </w:rPr>
            </w:pPr>
            <w:hyperlink r:id="rId50"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1"/>
      <w:footerReference w:type="first" r:id="rId5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45B55" w14:textId="77777777" w:rsidR="00AC750E" w:rsidRDefault="00AC750E" w:rsidP="00F02AEC">
      <w:pPr>
        <w:spacing w:after="0" w:line="240" w:lineRule="auto"/>
      </w:pPr>
      <w:r>
        <w:separator/>
      </w:r>
    </w:p>
  </w:endnote>
  <w:endnote w:type="continuationSeparator" w:id="0">
    <w:p w14:paraId="5F4364FA" w14:textId="77777777" w:rsidR="00AC750E" w:rsidRDefault="00AC750E" w:rsidP="00F02AEC">
      <w:pPr>
        <w:spacing w:after="0" w:line="240" w:lineRule="auto"/>
      </w:pPr>
      <w:r>
        <w:continuationSeparator/>
      </w:r>
    </w:p>
  </w:endnote>
  <w:endnote w:type="continuationNotice" w:id="1">
    <w:p w14:paraId="1F6C1DA7" w14:textId="77777777" w:rsidR="00AC750E" w:rsidRDefault="00AC75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61FA1AA" w:rsidR="007452E8" w:rsidRPr="004A3084" w:rsidRDefault="007452E8" w:rsidP="007452E8">
          <w:pPr>
            <w:pStyle w:val="Footer"/>
          </w:pPr>
          <w:proofErr w:type="spellStart"/>
          <w:r w:rsidRPr="00487162">
            <w:t>AusPA</w:t>
          </w:r>
          <w:r>
            <w:t>R</w:t>
          </w:r>
          <w:proofErr w:type="spellEnd"/>
          <w:r>
            <w:t xml:space="preserve"> -</w:t>
          </w:r>
          <w:r w:rsidR="004B3A62">
            <w:t xml:space="preserve"> </w:t>
          </w:r>
          <w:proofErr w:type="spellStart"/>
          <w:r w:rsidR="004B3A62">
            <w:t>Sotyktu</w:t>
          </w:r>
          <w:proofErr w:type="spellEnd"/>
          <w:r>
            <w:t xml:space="preserve"> -</w:t>
          </w:r>
          <w:r w:rsidRPr="00460036">
            <w:t xml:space="preserve"> </w:t>
          </w:r>
          <w:proofErr w:type="spellStart"/>
          <w:r w:rsidR="0085640C" w:rsidRPr="0085640C">
            <w:t>deucravacitinib</w:t>
          </w:r>
          <w:proofErr w:type="spellEnd"/>
          <w:r w:rsidRPr="00460036">
            <w:t xml:space="preserve"> </w:t>
          </w:r>
          <w:r w:rsidR="008C754C">
            <w:t>-</w:t>
          </w:r>
          <w:r>
            <w:t xml:space="preserve"> </w:t>
          </w:r>
          <w:r w:rsidR="0085640C" w:rsidRPr="0085640C">
            <w:t>Bristol-Myers Squibb Australia Pty Ltd</w:t>
          </w:r>
          <w:r>
            <w:t xml:space="preserve"> - PM-202</w:t>
          </w:r>
          <w:r w:rsidR="0085640C">
            <w:t>1</w:t>
          </w:r>
          <w:r w:rsidRPr="00487162">
            <w:t>-</w:t>
          </w:r>
          <w:r w:rsidR="0085640C">
            <w:t>04758</w:t>
          </w:r>
          <w:r w:rsidRPr="00487162">
            <w:t>-</w:t>
          </w:r>
          <w:r w:rsidR="0085640C">
            <w:t>1</w:t>
          </w:r>
          <w:r w:rsidRPr="00487162">
            <w:t>-</w:t>
          </w:r>
          <w:r w:rsidR="0085640C">
            <w:t>1</w:t>
          </w:r>
          <w:r>
            <w:br/>
          </w:r>
          <w:r w:rsidR="00336380">
            <w:t>FINAL</w:t>
          </w:r>
          <w:r w:rsidRPr="00487162">
            <w:t xml:space="preserve"> </w:t>
          </w:r>
          <w:r w:rsidR="00336380">
            <w:t>30</w:t>
          </w:r>
          <w:r w:rsidR="00BE4FCF">
            <w:t xml:space="preserve"> </w:t>
          </w:r>
          <w:r w:rsidR="007358D3">
            <w:t>August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2F9AF" w14:textId="77777777" w:rsidR="00AC750E" w:rsidRDefault="00AC750E" w:rsidP="00F02AEC">
      <w:pPr>
        <w:spacing w:after="0" w:line="240" w:lineRule="auto"/>
      </w:pPr>
      <w:r>
        <w:separator/>
      </w:r>
    </w:p>
  </w:footnote>
  <w:footnote w:type="continuationSeparator" w:id="0">
    <w:p w14:paraId="6CA18E36" w14:textId="77777777" w:rsidR="00AC750E" w:rsidRDefault="00AC750E" w:rsidP="00F02AEC">
      <w:pPr>
        <w:spacing w:after="0" w:line="240" w:lineRule="auto"/>
      </w:pPr>
      <w:r>
        <w:continuationSeparator/>
      </w:r>
    </w:p>
  </w:footnote>
  <w:footnote w:type="continuationNotice" w:id="1">
    <w:p w14:paraId="126D4B63" w14:textId="77777777" w:rsidR="00AC750E" w:rsidRDefault="00AC750E">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652FCA56" w14:textId="5984FC02" w:rsidR="00762210" w:rsidRDefault="00762210">
      <w:pPr>
        <w:pStyle w:val="FootnoteText"/>
      </w:pPr>
      <w:r>
        <w:rPr>
          <w:rStyle w:val="FootnoteReference"/>
        </w:rPr>
        <w:footnoteRef/>
      </w:r>
      <w:r>
        <w:t xml:space="preserve"> </w:t>
      </w:r>
      <w:r w:rsidRPr="00762210">
        <w:t>Choy EH. Clinical significance of Janus Kinase inhibitor selectivity [published correction appears in Rheumatology (Oxford). 2019 Jun 1;58(6):1122]. Rheumatology (Oxford). 2019;58(6):953-962</w:t>
      </w:r>
    </w:p>
  </w:footnote>
  <w:footnote w:id="4">
    <w:p w14:paraId="4CFF4EEA" w14:textId="1BD41699" w:rsidR="00762210" w:rsidRPr="006C3FAD" w:rsidRDefault="00762210" w:rsidP="00762210">
      <w:pPr>
        <w:pStyle w:val="FootnoteText"/>
        <w:rPr>
          <w:lang w:val="en-US"/>
        </w:rPr>
      </w:pPr>
      <w:r>
        <w:rPr>
          <w:rStyle w:val="FootnoteReference"/>
        </w:rPr>
        <w:footnoteRef/>
      </w:r>
      <w:r>
        <w:t xml:space="preserve"> </w:t>
      </w:r>
      <w:proofErr w:type="spellStart"/>
      <w:r w:rsidRPr="006C3FAD">
        <w:t>Swanell</w:t>
      </w:r>
      <w:proofErr w:type="spellEnd"/>
      <w:r w:rsidRPr="006C3FAD">
        <w:t xml:space="preserve"> C</w:t>
      </w:r>
      <w:r>
        <w:t xml:space="preserve"> (2020)</w:t>
      </w:r>
      <w:r w:rsidRPr="006C3FAD">
        <w:t xml:space="preserve"> Psoriasis: comorbidities make it more than a skin disease. Med J Aust Published online: 11 May 2020. </w:t>
      </w:r>
    </w:p>
  </w:footnote>
  <w:footnote w:id="5">
    <w:p w14:paraId="79833D19" w14:textId="62BB6BC9" w:rsidR="00762210" w:rsidRPr="006C3FAD" w:rsidRDefault="00762210" w:rsidP="00762210">
      <w:pPr>
        <w:pStyle w:val="FootnoteText"/>
        <w:rPr>
          <w:i/>
          <w:iCs/>
        </w:rPr>
      </w:pPr>
      <w:r>
        <w:rPr>
          <w:rStyle w:val="FootnoteReference"/>
        </w:rPr>
        <w:footnoteRef/>
      </w:r>
      <w:r>
        <w:t xml:space="preserve"> Feldman SR (2019) Psoriasis: epidemiology, clinical manifestations, and diagnosis. </w:t>
      </w:r>
      <w:r>
        <w:rPr>
          <w:i/>
          <w:iCs/>
        </w:rPr>
        <w:t>UpToDate</w:t>
      </w:r>
      <w:hyperlink r:id="rId1" w:history="1">
        <w:r>
          <w:rPr>
            <w:rStyle w:val="Hyperlink"/>
          </w:rPr>
          <w:t>https://www.uptodate.com/contents/psoriasis-epidemiology-clinical-manifestations-and-diagnosis?search=psoriasis&amp;source=search_result&amp;selectedTitle=2~150&amp;usage_type=default&amp;display_rank=2</w:t>
        </w:r>
      </w:hyperlink>
      <w:r w:rsidRPr="006C3FAD">
        <w:t xml:space="preserve">, </w:t>
      </w:r>
      <w:r>
        <w:t>accessed 10 August 2022</w:t>
      </w:r>
    </w:p>
  </w:footnote>
  <w:footnote w:id="6">
    <w:p w14:paraId="19A3B13D" w14:textId="703E4D63" w:rsidR="007D7DB4" w:rsidRDefault="007D7DB4" w:rsidP="007D7DB4">
      <w:pPr>
        <w:pStyle w:val="FootnoteText"/>
      </w:pPr>
      <w:r>
        <w:rPr>
          <w:rStyle w:val="FootnoteReference"/>
        </w:rPr>
        <w:footnoteRef/>
      </w:r>
      <w:r>
        <w:t xml:space="preserve"> Randomised, double-blind, placebo-controlled, single and multiple ascending dose study to evaluate the safety, tolerability, pharmacokinetics, and pharmacodynamics of BMS-986165 in healthy participants and to evaluate the safety, tolerability, pharmacokinetics, pharmacodynamics, and clinical efficacy of BMS-986165 in participants with moderate to severe psoriasis, p.</w:t>
      </w:r>
      <w:proofErr w:type="gramStart"/>
      <w:r>
        <w:t>67</w:t>
      </w:r>
      <w:proofErr w:type="gramEnd"/>
      <w:r>
        <w:t xml:space="preserve"> </w:t>
      </w:r>
    </w:p>
  </w:footnote>
  <w:footnote w:id="7">
    <w:p w14:paraId="3C2A8F6A" w14:textId="77777777" w:rsidR="006A6D37" w:rsidRDefault="006A6D37" w:rsidP="006A6D37">
      <w:pPr>
        <w:pStyle w:val="FootnoteText"/>
      </w:pPr>
      <w:r>
        <w:rPr>
          <w:rStyle w:val="FootnoteReference"/>
        </w:rPr>
        <w:footnoteRef/>
      </w:r>
      <w:r>
        <w:t xml:space="preserve"> This was recorded in the report as “Participant Type” with categories “Phase 1” vs “Phase 2/3 </w:t>
      </w:r>
      <w:proofErr w:type="spellStart"/>
      <w:proofErr w:type="gramStart"/>
      <w:r>
        <w:t>PsO</w:t>
      </w:r>
      <w:proofErr w:type="spellEnd"/>
      <w:r>
        <w:t>”</w:t>
      </w:r>
      <w:proofErr w:type="gramEnd"/>
    </w:p>
  </w:footnote>
  <w:footnote w:id="8">
    <w:p w14:paraId="47CCAA54" w14:textId="77777777" w:rsidR="006A6D37" w:rsidRDefault="006A6D37" w:rsidP="006A6D37">
      <w:pPr>
        <w:pStyle w:val="FootnoteText"/>
      </w:pPr>
      <w:r>
        <w:rPr>
          <w:rStyle w:val="FootnoteReference"/>
        </w:rPr>
        <w:footnoteRef/>
      </w:r>
      <w:r>
        <w:t xml:space="preserve"> This was reported with two different comparisons: “Capsule” vs “Tablet” and separately “Liquid” vs “</w:t>
      </w:r>
      <w:proofErr w:type="gramStart"/>
      <w:r>
        <w:t>Tablet”</w:t>
      </w:r>
      <w:proofErr w:type="gramEnd"/>
    </w:p>
  </w:footnote>
  <w:footnote w:id="9">
    <w:p w14:paraId="11AF23AC" w14:textId="77777777" w:rsidR="006A6D37" w:rsidRDefault="006A6D37" w:rsidP="006A6D37">
      <w:pPr>
        <w:pStyle w:val="FootnoteText"/>
      </w:pPr>
      <w:r>
        <w:rPr>
          <w:rStyle w:val="FootnoteReference"/>
        </w:rPr>
        <w:footnoteRef/>
      </w:r>
      <w:r>
        <w:t xml:space="preserve"> Psoriasis Area and Severity Index, a validated tool for assessing </w:t>
      </w:r>
      <w:proofErr w:type="gramStart"/>
      <w:r>
        <w:t>psoriasis</w:t>
      </w:r>
      <w:proofErr w:type="gramEnd"/>
    </w:p>
  </w:footnote>
  <w:footnote w:id="10">
    <w:p w14:paraId="6A0D67F9" w14:textId="7C966351" w:rsidR="007C6683" w:rsidRDefault="007C6683">
      <w:pPr>
        <w:pStyle w:val="FootnoteText"/>
      </w:pPr>
      <w:r>
        <w:rPr>
          <w:rStyle w:val="FootnoteReference"/>
        </w:rPr>
        <w:footnoteRef/>
      </w:r>
      <w:r>
        <w:t xml:space="preserve"> </w:t>
      </w:r>
      <w:r w:rsidRPr="007C6683">
        <w:t>The PASI is a scoring system to evaluate baseline and response of therapy in psoriasis.</w:t>
      </w:r>
    </w:p>
  </w:footnote>
  <w:footnote w:id="11">
    <w:p w14:paraId="0B8A5284" w14:textId="5336AD73" w:rsidR="007C6683" w:rsidRDefault="007C6683">
      <w:pPr>
        <w:pStyle w:val="FootnoteText"/>
      </w:pPr>
      <w:r>
        <w:rPr>
          <w:rStyle w:val="FootnoteReference"/>
        </w:rPr>
        <w:footnoteRef/>
      </w:r>
      <w:r>
        <w:t xml:space="preserve"> </w:t>
      </w:r>
      <w:r w:rsidRPr="007C6683">
        <w:t xml:space="preserve">The </w:t>
      </w:r>
      <w:proofErr w:type="spellStart"/>
      <w:r w:rsidRPr="007C6683">
        <w:t>sPGA</w:t>
      </w:r>
      <w:proofErr w:type="spellEnd"/>
      <w:r w:rsidRPr="007C6683">
        <w:t xml:space="preserve"> is used to determine a single estimate of the patient's overall severity of disease at a given point in time. Psoriatic lesions are graded for induration, erythema, and scaling based on scales of 0 to 5 that are then averaged over all </w:t>
      </w:r>
      <w:proofErr w:type="gramStart"/>
      <w:r w:rsidRPr="007C6683">
        <w:t>lesions</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56A7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415CE93C">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00C7E991">
          <wp:extent cx="2676525" cy="621665"/>
          <wp:effectExtent l="0" t="0" r="9525" b="6985"/>
          <wp:docPr id="12" name="Picture 12"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58240" behindDoc="0" locked="0" layoutInCell="0" allowOverlap="1" wp14:anchorId="14BBEAC1" wp14:editId="18885621">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2C6C7440"/>
    <w:multiLevelType w:val="hybridMultilevel"/>
    <w:tmpl w:val="C85AD9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01775F"/>
    <w:multiLevelType w:val="hybridMultilevel"/>
    <w:tmpl w:val="83BE7C98"/>
    <w:lvl w:ilvl="0" w:tplc="0C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4902510">
    <w:abstractNumId w:val="3"/>
  </w:num>
  <w:num w:numId="2" w16cid:durableId="1795976233">
    <w:abstractNumId w:val="1"/>
  </w:num>
  <w:num w:numId="3" w16cid:durableId="870729503">
    <w:abstractNumId w:val="2"/>
  </w:num>
  <w:num w:numId="4" w16cid:durableId="2028017334">
    <w:abstractNumId w:val="9"/>
  </w:num>
  <w:num w:numId="5" w16cid:durableId="1302618998">
    <w:abstractNumId w:val="4"/>
  </w:num>
  <w:num w:numId="6" w16cid:durableId="2059814404">
    <w:abstractNumId w:val="8"/>
  </w:num>
  <w:num w:numId="7" w16cid:durableId="85808814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67045081">
    <w:abstractNumId w:val="6"/>
  </w:num>
  <w:num w:numId="9" w16cid:durableId="211314060">
    <w:abstractNumId w:val="7"/>
  </w:num>
  <w:num w:numId="10" w16cid:durableId="2134715618">
    <w:abstractNumId w:val="0"/>
  </w:num>
  <w:num w:numId="11" w16cid:durableId="769130600">
    <w:abstractNumId w:val="5"/>
  </w:num>
  <w:num w:numId="12" w16cid:durableId="19601835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3FF0"/>
    <w:rsid w:val="000167EE"/>
    <w:rsid w:val="000237F9"/>
    <w:rsid w:val="000355CD"/>
    <w:rsid w:val="00042B62"/>
    <w:rsid w:val="0004321E"/>
    <w:rsid w:val="00057E44"/>
    <w:rsid w:val="00062CCF"/>
    <w:rsid w:val="00075181"/>
    <w:rsid w:val="0007606F"/>
    <w:rsid w:val="00077844"/>
    <w:rsid w:val="00081CAE"/>
    <w:rsid w:val="00081EF0"/>
    <w:rsid w:val="00085BF9"/>
    <w:rsid w:val="0008795A"/>
    <w:rsid w:val="00094B81"/>
    <w:rsid w:val="000975AA"/>
    <w:rsid w:val="000A3823"/>
    <w:rsid w:val="000A54B6"/>
    <w:rsid w:val="000B3FA7"/>
    <w:rsid w:val="000C02B2"/>
    <w:rsid w:val="000C4E27"/>
    <w:rsid w:val="000C5055"/>
    <w:rsid w:val="000D0FF7"/>
    <w:rsid w:val="000D7934"/>
    <w:rsid w:val="000F3FE4"/>
    <w:rsid w:val="000F62CD"/>
    <w:rsid w:val="00101FB1"/>
    <w:rsid w:val="00102F1A"/>
    <w:rsid w:val="001077C8"/>
    <w:rsid w:val="00111694"/>
    <w:rsid w:val="00113429"/>
    <w:rsid w:val="00117A74"/>
    <w:rsid w:val="00117ED2"/>
    <w:rsid w:val="00117F6D"/>
    <w:rsid w:val="00123C0F"/>
    <w:rsid w:val="0012473C"/>
    <w:rsid w:val="0013132F"/>
    <w:rsid w:val="00132750"/>
    <w:rsid w:val="001338FE"/>
    <w:rsid w:val="00134EE1"/>
    <w:rsid w:val="0013528C"/>
    <w:rsid w:val="0014133C"/>
    <w:rsid w:val="00143E46"/>
    <w:rsid w:val="00153840"/>
    <w:rsid w:val="00155849"/>
    <w:rsid w:val="00160289"/>
    <w:rsid w:val="00162033"/>
    <w:rsid w:val="00164CEA"/>
    <w:rsid w:val="00165D28"/>
    <w:rsid w:val="00166889"/>
    <w:rsid w:val="001674B9"/>
    <w:rsid w:val="001715BC"/>
    <w:rsid w:val="00175CD8"/>
    <w:rsid w:val="001770A5"/>
    <w:rsid w:val="00180C86"/>
    <w:rsid w:val="00185250"/>
    <w:rsid w:val="001865B7"/>
    <w:rsid w:val="001943DD"/>
    <w:rsid w:val="001A1E0E"/>
    <w:rsid w:val="001A22F1"/>
    <w:rsid w:val="001A6F0B"/>
    <w:rsid w:val="001B774C"/>
    <w:rsid w:val="001C12B0"/>
    <w:rsid w:val="001C1C2E"/>
    <w:rsid w:val="001C2274"/>
    <w:rsid w:val="001C5032"/>
    <w:rsid w:val="001C6FEE"/>
    <w:rsid w:val="001D568D"/>
    <w:rsid w:val="001D5C80"/>
    <w:rsid w:val="001D5F5C"/>
    <w:rsid w:val="001D6A0D"/>
    <w:rsid w:val="001E5F25"/>
    <w:rsid w:val="001F4BE8"/>
    <w:rsid w:val="0020369B"/>
    <w:rsid w:val="00216F51"/>
    <w:rsid w:val="002170A8"/>
    <w:rsid w:val="0022039B"/>
    <w:rsid w:val="00226F39"/>
    <w:rsid w:val="00231E72"/>
    <w:rsid w:val="00234274"/>
    <w:rsid w:val="00241B60"/>
    <w:rsid w:val="0024392C"/>
    <w:rsid w:val="002465AF"/>
    <w:rsid w:val="0024765C"/>
    <w:rsid w:val="002600A7"/>
    <w:rsid w:val="00260CB1"/>
    <w:rsid w:val="00261781"/>
    <w:rsid w:val="00265619"/>
    <w:rsid w:val="00265EC8"/>
    <w:rsid w:val="00277CC8"/>
    <w:rsid w:val="00284738"/>
    <w:rsid w:val="0028591B"/>
    <w:rsid w:val="00287626"/>
    <w:rsid w:val="00297860"/>
    <w:rsid w:val="002A3276"/>
    <w:rsid w:val="002A6A6D"/>
    <w:rsid w:val="002B1F69"/>
    <w:rsid w:val="002B21DC"/>
    <w:rsid w:val="002B26AB"/>
    <w:rsid w:val="002B3494"/>
    <w:rsid w:val="002C0A65"/>
    <w:rsid w:val="002C5978"/>
    <w:rsid w:val="002C5E29"/>
    <w:rsid w:val="002D0DDB"/>
    <w:rsid w:val="002D7127"/>
    <w:rsid w:val="002D7EC0"/>
    <w:rsid w:val="002E15CD"/>
    <w:rsid w:val="002F4909"/>
    <w:rsid w:val="002F6240"/>
    <w:rsid w:val="003008D8"/>
    <w:rsid w:val="00303959"/>
    <w:rsid w:val="00304F5A"/>
    <w:rsid w:val="00312AC3"/>
    <w:rsid w:val="00313195"/>
    <w:rsid w:val="0031341A"/>
    <w:rsid w:val="00314430"/>
    <w:rsid w:val="0031463C"/>
    <w:rsid w:val="00317F50"/>
    <w:rsid w:val="003206BC"/>
    <w:rsid w:val="00324493"/>
    <w:rsid w:val="00324B33"/>
    <w:rsid w:val="00332DDC"/>
    <w:rsid w:val="00336380"/>
    <w:rsid w:val="00342E1D"/>
    <w:rsid w:val="00346EC2"/>
    <w:rsid w:val="0035444D"/>
    <w:rsid w:val="00365277"/>
    <w:rsid w:val="00370644"/>
    <w:rsid w:val="00380F84"/>
    <w:rsid w:val="00395140"/>
    <w:rsid w:val="00397C35"/>
    <w:rsid w:val="003A75B4"/>
    <w:rsid w:val="003B149C"/>
    <w:rsid w:val="003B405E"/>
    <w:rsid w:val="003B7F94"/>
    <w:rsid w:val="003C3652"/>
    <w:rsid w:val="003C4D67"/>
    <w:rsid w:val="003C66A8"/>
    <w:rsid w:val="003D27B5"/>
    <w:rsid w:val="003D71A1"/>
    <w:rsid w:val="003E041C"/>
    <w:rsid w:val="003E3230"/>
    <w:rsid w:val="003E7F91"/>
    <w:rsid w:val="00403671"/>
    <w:rsid w:val="00403BAB"/>
    <w:rsid w:val="00403D0A"/>
    <w:rsid w:val="00405825"/>
    <w:rsid w:val="004156E1"/>
    <w:rsid w:val="0041688F"/>
    <w:rsid w:val="004227B7"/>
    <w:rsid w:val="00422C68"/>
    <w:rsid w:val="0042376F"/>
    <w:rsid w:val="004246B8"/>
    <w:rsid w:val="0043142D"/>
    <w:rsid w:val="00431963"/>
    <w:rsid w:val="00431975"/>
    <w:rsid w:val="00433318"/>
    <w:rsid w:val="0043353F"/>
    <w:rsid w:val="00441895"/>
    <w:rsid w:val="00442CD8"/>
    <w:rsid w:val="00456674"/>
    <w:rsid w:val="00461AD6"/>
    <w:rsid w:val="0047391F"/>
    <w:rsid w:val="00476E14"/>
    <w:rsid w:val="00477C4E"/>
    <w:rsid w:val="00477E89"/>
    <w:rsid w:val="00482D2E"/>
    <w:rsid w:val="00487A1A"/>
    <w:rsid w:val="004905C3"/>
    <w:rsid w:val="00491A55"/>
    <w:rsid w:val="00492244"/>
    <w:rsid w:val="00492829"/>
    <w:rsid w:val="004B07B9"/>
    <w:rsid w:val="004B3081"/>
    <w:rsid w:val="004B3A62"/>
    <w:rsid w:val="004B4A96"/>
    <w:rsid w:val="004C17FB"/>
    <w:rsid w:val="004C5FDC"/>
    <w:rsid w:val="004C780F"/>
    <w:rsid w:val="004C7CC0"/>
    <w:rsid w:val="004D0E86"/>
    <w:rsid w:val="004D4615"/>
    <w:rsid w:val="004D793C"/>
    <w:rsid w:val="004E10F5"/>
    <w:rsid w:val="004E48B2"/>
    <w:rsid w:val="004F07E6"/>
    <w:rsid w:val="004F222F"/>
    <w:rsid w:val="004F34E4"/>
    <w:rsid w:val="00500DCA"/>
    <w:rsid w:val="00511E6D"/>
    <w:rsid w:val="00512155"/>
    <w:rsid w:val="00513E48"/>
    <w:rsid w:val="005152D2"/>
    <w:rsid w:val="005168A5"/>
    <w:rsid w:val="005173FC"/>
    <w:rsid w:val="00517F16"/>
    <w:rsid w:val="005219B9"/>
    <w:rsid w:val="00522407"/>
    <w:rsid w:val="005272D1"/>
    <w:rsid w:val="005325EE"/>
    <w:rsid w:val="00532C78"/>
    <w:rsid w:val="00533C3D"/>
    <w:rsid w:val="005345E5"/>
    <w:rsid w:val="00535DFE"/>
    <w:rsid w:val="005452AB"/>
    <w:rsid w:val="00556A7C"/>
    <w:rsid w:val="00562F42"/>
    <w:rsid w:val="0056766D"/>
    <w:rsid w:val="0057387E"/>
    <w:rsid w:val="005804F5"/>
    <w:rsid w:val="0058575E"/>
    <w:rsid w:val="00585EE4"/>
    <w:rsid w:val="0058783C"/>
    <w:rsid w:val="0059065E"/>
    <w:rsid w:val="005911AE"/>
    <w:rsid w:val="0059313A"/>
    <w:rsid w:val="005A1186"/>
    <w:rsid w:val="005A3334"/>
    <w:rsid w:val="005A43F4"/>
    <w:rsid w:val="005B023F"/>
    <w:rsid w:val="005B179F"/>
    <w:rsid w:val="005B3634"/>
    <w:rsid w:val="005B508A"/>
    <w:rsid w:val="005C139C"/>
    <w:rsid w:val="005D2089"/>
    <w:rsid w:val="005D334B"/>
    <w:rsid w:val="005D7514"/>
    <w:rsid w:val="005E02D3"/>
    <w:rsid w:val="005E0D18"/>
    <w:rsid w:val="005E1A7B"/>
    <w:rsid w:val="005F09B0"/>
    <w:rsid w:val="005F0C80"/>
    <w:rsid w:val="005F1006"/>
    <w:rsid w:val="00610929"/>
    <w:rsid w:val="00615C7C"/>
    <w:rsid w:val="00616D6B"/>
    <w:rsid w:val="00620ACB"/>
    <w:rsid w:val="00622E72"/>
    <w:rsid w:val="00624E38"/>
    <w:rsid w:val="006277A1"/>
    <w:rsid w:val="006351D9"/>
    <w:rsid w:val="00637130"/>
    <w:rsid w:val="00637A42"/>
    <w:rsid w:val="00637F0E"/>
    <w:rsid w:val="00640543"/>
    <w:rsid w:val="0064111F"/>
    <w:rsid w:val="006423F2"/>
    <w:rsid w:val="00646B2F"/>
    <w:rsid w:val="00650A17"/>
    <w:rsid w:val="006571D2"/>
    <w:rsid w:val="006605A3"/>
    <w:rsid w:val="00660FB7"/>
    <w:rsid w:val="00666966"/>
    <w:rsid w:val="00677733"/>
    <w:rsid w:val="00692CCD"/>
    <w:rsid w:val="00694877"/>
    <w:rsid w:val="006A1F0B"/>
    <w:rsid w:val="006A277A"/>
    <w:rsid w:val="006A57AB"/>
    <w:rsid w:val="006A5B81"/>
    <w:rsid w:val="006A5DB1"/>
    <w:rsid w:val="006A6D37"/>
    <w:rsid w:val="006C1598"/>
    <w:rsid w:val="006C2A3D"/>
    <w:rsid w:val="006C2B6E"/>
    <w:rsid w:val="006D4E74"/>
    <w:rsid w:val="006D6B44"/>
    <w:rsid w:val="006D756C"/>
    <w:rsid w:val="006E52DC"/>
    <w:rsid w:val="006F78DA"/>
    <w:rsid w:val="007040E9"/>
    <w:rsid w:val="007072A1"/>
    <w:rsid w:val="00710BC5"/>
    <w:rsid w:val="00713A6B"/>
    <w:rsid w:val="0072003B"/>
    <w:rsid w:val="007320A8"/>
    <w:rsid w:val="007357B9"/>
    <w:rsid w:val="007358D3"/>
    <w:rsid w:val="00735C9E"/>
    <w:rsid w:val="007452E8"/>
    <w:rsid w:val="00746990"/>
    <w:rsid w:val="00750D70"/>
    <w:rsid w:val="00751116"/>
    <w:rsid w:val="00751475"/>
    <w:rsid w:val="0075206C"/>
    <w:rsid w:val="00762210"/>
    <w:rsid w:val="007627FF"/>
    <w:rsid w:val="00774A12"/>
    <w:rsid w:val="007761EE"/>
    <w:rsid w:val="00780F30"/>
    <w:rsid w:val="007818DF"/>
    <w:rsid w:val="007854A8"/>
    <w:rsid w:val="007878BB"/>
    <w:rsid w:val="00787D43"/>
    <w:rsid w:val="00790209"/>
    <w:rsid w:val="00791E32"/>
    <w:rsid w:val="00792AC8"/>
    <w:rsid w:val="00793272"/>
    <w:rsid w:val="007B04DE"/>
    <w:rsid w:val="007B45FB"/>
    <w:rsid w:val="007B5884"/>
    <w:rsid w:val="007C0BE6"/>
    <w:rsid w:val="007C57BC"/>
    <w:rsid w:val="007C5F13"/>
    <w:rsid w:val="007C6683"/>
    <w:rsid w:val="007D4138"/>
    <w:rsid w:val="007D6FB1"/>
    <w:rsid w:val="007D7DB4"/>
    <w:rsid w:val="007E5A9B"/>
    <w:rsid w:val="007F0A77"/>
    <w:rsid w:val="007F1A99"/>
    <w:rsid w:val="007F2026"/>
    <w:rsid w:val="007F50D3"/>
    <w:rsid w:val="007F5651"/>
    <w:rsid w:val="007F6BA5"/>
    <w:rsid w:val="007F705E"/>
    <w:rsid w:val="00815936"/>
    <w:rsid w:val="0082584A"/>
    <w:rsid w:val="0083072F"/>
    <w:rsid w:val="008329DB"/>
    <w:rsid w:val="00834F7A"/>
    <w:rsid w:val="008361C5"/>
    <w:rsid w:val="0083628F"/>
    <w:rsid w:val="00836D5C"/>
    <w:rsid w:val="00837AB9"/>
    <w:rsid w:val="00840D48"/>
    <w:rsid w:val="0084418B"/>
    <w:rsid w:val="008442FD"/>
    <w:rsid w:val="008502FF"/>
    <w:rsid w:val="00850637"/>
    <w:rsid w:val="008515C3"/>
    <w:rsid w:val="00851A23"/>
    <w:rsid w:val="00854D98"/>
    <w:rsid w:val="00854ECE"/>
    <w:rsid w:val="0085640C"/>
    <w:rsid w:val="00860B29"/>
    <w:rsid w:val="00873241"/>
    <w:rsid w:val="008804CF"/>
    <w:rsid w:val="008964B3"/>
    <w:rsid w:val="008A03DA"/>
    <w:rsid w:val="008A13D8"/>
    <w:rsid w:val="008B5E41"/>
    <w:rsid w:val="008C44E6"/>
    <w:rsid w:val="008C49C6"/>
    <w:rsid w:val="008C754C"/>
    <w:rsid w:val="008D1EC7"/>
    <w:rsid w:val="008D28BD"/>
    <w:rsid w:val="008D45C6"/>
    <w:rsid w:val="008D6A54"/>
    <w:rsid w:val="008E3F51"/>
    <w:rsid w:val="008E7016"/>
    <w:rsid w:val="008E7C47"/>
    <w:rsid w:val="00901BB3"/>
    <w:rsid w:val="0090605E"/>
    <w:rsid w:val="009108CE"/>
    <w:rsid w:val="00915A9F"/>
    <w:rsid w:val="00922C4A"/>
    <w:rsid w:val="009230DB"/>
    <w:rsid w:val="00924EEE"/>
    <w:rsid w:val="00930D58"/>
    <w:rsid w:val="009345F7"/>
    <w:rsid w:val="0094070D"/>
    <w:rsid w:val="009446B0"/>
    <w:rsid w:val="009656EA"/>
    <w:rsid w:val="00966EF1"/>
    <w:rsid w:val="0098321E"/>
    <w:rsid w:val="0098350E"/>
    <w:rsid w:val="0099077D"/>
    <w:rsid w:val="00990BD4"/>
    <w:rsid w:val="00996FA5"/>
    <w:rsid w:val="009C420E"/>
    <w:rsid w:val="009C76D1"/>
    <w:rsid w:val="009E0970"/>
    <w:rsid w:val="009E3A33"/>
    <w:rsid w:val="009E6F8C"/>
    <w:rsid w:val="009F1A73"/>
    <w:rsid w:val="00A01C56"/>
    <w:rsid w:val="00A038D8"/>
    <w:rsid w:val="00A1171C"/>
    <w:rsid w:val="00A15F1E"/>
    <w:rsid w:val="00A3386E"/>
    <w:rsid w:val="00A33A1D"/>
    <w:rsid w:val="00A358E7"/>
    <w:rsid w:val="00A36C9A"/>
    <w:rsid w:val="00A4312E"/>
    <w:rsid w:val="00A51A2D"/>
    <w:rsid w:val="00A52F42"/>
    <w:rsid w:val="00A52FAD"/>
    <w:rsid w:val="00A564A4"/>
    <w:rsid w:val="00A602F6"/>
    <w:rsid w:val="00A63D9B"/>
    <w:rsid w:val="00A66329"/>
    <w:rsid w:val="00A83D53"/>
    <w:rsid w:val="00A87ACD"/>
    <w:rsid w:val="00A926B9"/>
    <w:rsid w:val="00A93350"/>
    <w:rsid w:val="00A934CE"/>
    <w:rsid w:val="00A93DC6"/>
    <w:rsid w:val="00A97D9E"/>
    <w:rsid w:val="00AA2676"/>
    <w:rsid w:val="00AA3438"/>
    <w:rsid w:val="00AB7CBF"/>
    <w:rsid w:val="00AC1074"/>
    <w:rsid w:val="00AC219D"/>
    <w:rsid w:val="00AC5C13"/>
    <w:rsid w:val="00AC750E"/>
    <w:rsid w:val="00AD1B6D"/>
    <w:rsid w:val="00AD5E34"/>
    <w:rsid w:val="00AE0F23"/>
    <w:rsid w:val="00AE1947"/>
    <w:rsid w:val="00AE5B6C"/>
    <w:rsid w:val="00AE5BF9"/>
    <w:rsid w:val="00AE6833"/>
    <w:rsid w:val="00AE72C1"/>
    <w:rsid w:val="00AF2F63"/>
    <w:rsid w:val="00AF7EB9"/>
    <w:rsid w:val="00B10668"/>
    <w:rsid w:val="00B12AFF"/>
    <w:rsid w:val="00B30A79"/>
    <w:rsid w:val="00B46BC0"/>
    <w:rsid w:val="00B47C50"/>
    <w:rsid w:val="00B54324"/>
    <w:rsid w:val="00B55681"/>
    <w:rsid w:val="00B601F9"/>
    <w:rsid w:val="00B630A1"/>
    <w:rsid w:val="00B643C0"/>
    <w:rsid w:val="00B82A5D"/>
    <w:rsid w:val="00B85F07"/>
    <w:rsid w:val="00B87C3B"/>
    <w:rsid w:val="00B903E6"/>
    <w:rsid w:val="00B967FF"/>
    <w:rsid w:val="00B97AE5"/>
    <w:rsid w:val="00BA6454"/>
    <w:rsid w:val="00BA6AF3"/>
    <w:rsid w:val="00BA7F7D"/>
    <w:rsid w:val="00BB1C14"/>
    <w:rsid w:val="00BD07DF"/>
    <w:rsid w:val="00BD34FF"/>
    <w:rsid w:val="00BD5DBD"/>
    <w:rsid w:val="00BE2B0D"/>
    <w:rsid w:val="00BE4FCF"/>
    <w:rsid w:val="00BE6A4E"/>
    <w:rsid w:val="00BF0441"/>
    <w:rsid w:val="00BF05F9"/>
    <w:rsid w:val="00BF37F4"/>
    <w:rsid w:val="00BF4638"/>
    <w:rsid w:val="00BF6475"/>
    <w:rsid w:val="00BF78F6"/>
    <w:rsid w:val="00C063DD"/>
    <w:rsid w:val="00C07551"/>
    <w:rsid w:val="00C12589"/>
    <w:rsid w:val="00C14D9B"/>
    <w:rsid w:val="00C22214"/>
    <w:rsid w:val="00C30509"/>
    <w:rsid w:val="00C407AB"/>
    <w:rsid w:val="00C45200"/>
    <w:rsid w:val="00C45562"/>
    <w:rsid w:val="00C46D12"/>
    <w:rsid w:val="00C47A89"/>
    <w:rsid w:val="00C53ED0"/>
    <w:rsid w:val="00C540E1"/>
    <w:rsid w:val="00C570FF"/>
    <w:rsid w:val="00C63E2D"/>
    <w:rsid w:val="00C6574E"/>
    <w:rsid w:val="00C66AC5"/>
    <w:rsid w:val="00C66FCA"/>
    <w:rsid w:val="00C7039E"/>
    <w:rsid w:val="00C816C6"/>
    <w:rsid w:val="00C82994"/>
    <w:rsid w:val="00C82DB1"/>
    <w:rsid w:val="00C83BC6"/>
    <w:rsid w:val="00C85940"/>
    <w:rsid w:val="00C87A77"/>
    <w:rsid w:val="00C96315"/>
    <w:rsid w:val="00C978B3"/>
    <w:rsid w:val="00CA0E51"/>
    <w:rsid w:val="00CA21AB"/>
    <w:rsid w:val="00CA390D"/>
    <w:rsid w:val="00CA4944"/>
    <w:rsid w:val="00CA5682"/>
    <w:rsid w:val="00CA737B"/>
    <w:rsid w:val="00CA7C67"/>
    <w:rsid w:val="00CB0550"/>
    <w:rsid w:val="00CB0E28"/>
    <w:rsid w:val="00CB53FC"/>
    <w:rsid w:val="00CB56ED"/>
    <w:rsid w:val="00CC46E0"/>
    <w:rsid w:val="00CC6197"/>
    <w:rsid w:val="00CD5459"/>
    <w:rsid w:val="00CD5575"/>
    <w:rsid w:val="00CD6530"/>
    <w:rsid w:val="00CD6CB9"/>
    <w:rsid w:val="00CD7E07"/>
    <w:rsid w:val="00CF6601"/>
    <w:rsid w:val="00D00CD7"/>
    <w:rsid w:val="00D01DDB"/>
    <w:rsid w:val="00D05DE0"/>
    <w:rsid w:val="00D078BE"/>
    <w:rsid w:val="00D11DFA"/>
    <w:rsid w:val="00D13F8A"/>
    <w:rsid w:val="00D17EC9"/>
    <w:rsid w:val="00D20686"/>
    <w:rsid w:val="00D22875"/>
    <w:rsid w:val="00D30B65"/>
    <w:rsid w:val="00D32432"/>
    <w:rsid w:val="00D42C0D"/>
    <w:rsid w:val="00D52A9E"/>
    <w:rsid w:val="00D55EA2"/>
    <w:rsid w:val="00D62877"/>
    <w:rsid w:val="00D63760"/>
    <w:rsid w:val="00D63864"/>
    <w:rsid w:val="00D779BD"/>
    <w:rsid w:val="00D87C59"/>
    <w:rsid w:val="00D918D5"/>
    <w:rsid w:val="00D92CB7"/>
    <w:rsid w:val="00D94C8E"/>
    <w:rsid w:val="00D960F0"/>
    <w:rsid w:val="00DA7E06"/>
    <w:rsid w:val="00DB192C"/>
    <w:rsid w:val="00DB1CF3"/>
    <w:rsid w:val="00DB5E2D"/>
    <w:rsid w:val="00DC7A88"/>
    <w:rsid w:val="00DD50BD"/>
    <w:rsid w:val="00DD6A4B"/>
    <w:rsid w:val="00DE5FB4"/>
    <w:rsid w:val="00DE6FAA"/>
    <w:rsid w:val="00DF32A5"/>
    <w:rsid w:val="00DF5BFE"/>
    <w:rsid w:val="00E01B0F"/>
    <w:rsid w:val="00E03591"/>
    <w:rsid w:val="00E05428"/>
    <w:rsid w:val="00E058ED"/>
    <w:rsid w:val="00E13DA3"/>
    <w:rsid w:val="00E219CD"/>
    <w:rsid w:val="00E24071"/>
    <w:rsid w:val="00E33FB0"/>
    <w:rsid w:val="00E40C36"/>
    <w:rsid w:val="00E42B4C"/>
    <w:rsid w:val="00E47E0C"/>
    <w:rsid w:val="00E51813"/>
    <w:rsid w:val="00E53D3F"/>
    <w:rsid w:val="00E5579B"/>
    <w:rsid w:val="00E576A9"/>
    <w:rsid w:val="00E61CAD"/>
    <w:rsid w:val="00E6425C"/>
    <w:rsid w:val="00E7190D"/>
    <w:rsid w:val="00E7440B"/>
    <w:rsid w:val="00E811A1"/>
    <w:rsid w:val="00E85AAF"/>
    <w:rsid w:val="00E92EF1"/>
    <w:rsid w:val="00E93745"/>
    <w:rsid w:val="00E9464B"/>
    <w:rsid w:val="00E957D9"/>
    <w:rsid w:val="00E9691D"/>
    <w:rsid w:val="00EA0538"/>
    <w:rsid w:val="00EA2C8D"/>
    <w:rsid w:val="00EB7CBC"/>
    <w:rsid w:val="00EC324D"/>
    <w:rsid w:val="00EC3500"/>
    <w:rsid w:val="00ED13C9"/>
    <w:rsid w:val="00EE7428"/>
    <w:rsid w:val="00EF19CD"/>
    <w:rsid w:val="00F00F7D"/>
    <w:rsid w:val="00F02AEC"/>
    <w:rsid w:val="00F12435"/>
    <w:rsid w:val="00F12CD2"/>
    <w:rsid w:val="00F13A66"/>
    <w:rsid w:val="00F157FC"/>
    <w:rsid w:val="00F235A6"/>
    <w:rsid w:val="00F30AF3"/>
    <w:rsid w:val="00F52645"/>
    <w:rsid w:val="00F657B4"/>
    <w:rsid w:val="00F67CF1"/>
    <w:rsid w:val="00F7054E"/>
    <w:rsid w:val="00F72662"/>
    <w:rsid w:val="00F73C9B"/>
    <w:rsid w:val="00F75AB9"/>
    <w:rsid w:val="00F81889"/>
    <w:rsid w:val="00F865A7"/>
    <w:rsid w:val="00FA0754"/>
    <w:rsid w:val="00FA1BC9"/>
    <w:rsid w:val="00FA49C3"/>
    <w:rsid w:val="00FA7BB3"/>
    <w:rsid w:val="00FB236E"/>
    <w:rsid w:val="00FB672A"/>
    <w:rsid w:val="00FC31A8"/>
    <w:rsid w:val="00FC6F56"/>
    <w:rsid w:val="00FE087C"/>
    <w:rsid w:val="00FE3C36"/>
    <w:rsid w:val="00FE704A"/>
    <w:rsid w:val="00FF2B9F"/>
    <w:rsid w:val="00FF4CAA"/>
    <w:rsid w:val="05F4C376"/>
    <w:rsid w:val="0CCDA6F5"/>
    <w:rsid w:val="0DDDEDE7"/>
    <w:rsid w:val="0E18630B"/>
    <w:rsid w:val="10FFD259"/>
    <w:rsid w:val="1332D78B"/>
    <w:rsid w:val="161A2934"/>
    <w:rsid w:val="1663119A"/>
    <w:rsid w:val="17FEE1FB"/>
    <w:rsid w:val="1BE3B291"/>
    <w:rsid w:val="1C75BFCB"/>
    <w:rsid w:val="1E12E2ED"/>
    <w:rsid w:val="2070F8C7"/>
    <w:rsid w:val="21210162"/>
    <w:rsid w:val="229782B7"/>
    <w:rsid w:val="24C43CA6"/>
    <w:rsid w:val="273E1C15"/>
    <w:rsid w:val="289DAAAB"/>
    <w:rsid w:val="2B2D6200"/>
    <w:rsid w:val="2CD280AD"/>
    <w:rsid w:val="2DC07D77"/>
    <w:rsid w:val="2DC2BCB1"/>
    <w:rsid w:val="2E8FEB08"/>
    <w:rsid w:val="33935C99"/>
    <w:rsid w:val="37B87B5D"/>
    <w:rsid w:val="37CFF2A2"/>
    <w:rsid w:val="3A4B615E"/>
    <w:rsid w:val="3A744D95"/>
    <w:rsid w:val="3AB690FD"/>
    <w:rsid w:val="3ADA396D"/>
    <w:rsid w:val="3E15CF44"/>
    <w:rsid w:val="43F4D7B6"/>
    <w:rsid w:val="473D2D46"/>
    <w:rsid w:val="48AF207C"/>
    <w:rsid w:val="49CADA86"/>
    <w:rsid w:val="4DFB3298"/>
    <w:rsid w:val="507EEE4E"/>
    <w:rsid w:val="558AD17F"/>
    <w:rsid w:val="5BB06436"/>
    <w:rsid w:val="5E8EDE36"/>
    <w:rsid w:val="5F99C758"/>
    <w:rsid w:val="63707441"/>
    <w:rsid w:val="63B438D6"/>
    <w:rsid w:val="64451A8A"/>
    <w:rsid w:val="6BDAE628"/>
    <w:rsid w:val="6CD391EB"/>
    <w:rsid w:val="705D3A59"/>
    <w:rsid w:val="770C07C6"/>
    <w:rsid w:val="7913F383"/>
    <w:rsid w:val="7A36478F"/>
    <w:rsid w:val="7C36C301"/>
    <w:rsid w:val="7DB8DEE3"/>
    <w:rsid w:val="7DC304BF"/>
    <w:rsid w:val="7E6EF0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622BF9E0-61CC-4700-B7DB-205A960B6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EC35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Condensed" w:hAnsi="Bahnschrif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character" w:customStyle="1" w:styleId="Heading1Char">
    <w:name w:val="Heading 1 Char"/>
    <w:basedOn w:val="DefaultParagraphFont"/>
    <w:link w:val="Heading1"/>
    <w:uiPriority w:val="9"/>
    <w:rsid w:val="00EC3500"/>
    <w:rPr>
      <w:rFonts w:asciiTheme="majorHAnsi" w:eastAsiaTheme="majorEastAsia" w:hAnsiTheme="majorHAnsi" w:cstheme="majorBidi"/>
      <w:color w:val="2F5496" w:themeColor="accent1" w:themeShade="BF"/>
      <w:sz w:val="32"/>
      <w:szCs w:val="32"/>
    </w:rPr>
  </w:style>
  <w:style w:type="paragraph" w:customStyle="1" w:styleId="Bulletpoint">
    <w:name w:val="Bullet point"/>
    <w:basedOn w:val="Normal"/>
    <w:rsid w:val="00EC3500"/>
    <w:pPr>
      <w:numPr>
        <w:numId w:val="8"/>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table" w:styleId="GridTable4-Accent3">
    <w:name w:val="Grid Table 4 Accent 3"/>
    <w:basedOn w:val="TableNormal"/>
    <w:uiPriority w:val="49"/>
    <w:rsid w:val="00261781"/>
    <w:pPr>
      <w:spacing w:after="0" w:line="240" w:lineRule="auto"/>
    </w:pPr>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630A1"/>
    <w:pPr>
      <w:adjustRightInd w:val="0"/>
      <w:snapToGrid w:val="0"/>
      <w:spacing w:before="180" w:after="180" w:line="240" w:lineRule="atLeast"/>
      <w:ind w:left="720"/>
      <w:contextualSpacing/>
    </w:pPr>
    <w:rPr>
      <w:rFonts w:eastAsia="MS Mincho" w:cs="Times New Roman"/>
      <w:lang w:eastAsia="ja-JP"/>
    </w:rPr>
  </w:style>
  <w:style w:type="paragraph" w:customStyle="1" w:styleId="Tabletext0">
    <w:name w:val="Table text"/>
    <w:basedOn w:val="Normal"/>
    <w:link w:val="TabletextChar"/>
    <w:qFormat/>
    <w:rsid w:val="003C4D67"/>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3C4D67"/>
    <w:rPr>
      <w:rFonts w:ascii="Cambria" w:eastAsia="Times New Roman" w:hAnsi="Cambria" w:cs="Times New Roman"/>
      <w:snapToGrid w:val="0"/>
      <w:kern w:val="16"/>
      <w:szCs w:val="24"/>
    </w:rPr>
  </w:style>
  <w:style w:type="paragraph" w:customStyle="1" w:styleId="Standard">
    <w:name w:val="Standard"/>
    <w:basedOn w:val="Normal"/>
    <w:link w:val="StandardChar"/>
    <w:qFormat/>
    <w:rsid w:val="003C4D67"/>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3C4D67"/>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3C4D67"/>
    <w:pPr>
      <w:numPr>
        <w:numId w:val="10"/>
      </w:numPr>
      <w:spacing w:after="180"/>
    </w:pPr>
    <w:rPr>
      <w:kern w:val="2"/>
    </w:rPr>
  </w:style>
  <w:style w:type="character" w:customStyle="1" w:styleId="BulletlistChar">
    <w:name w:val="Bullet list Char"/>
    <w:basedOn w:val="StandardChar"/>
    <w:link w:val="Bulletlist"/>
    <w:rsid w:val="003C4D67"/>
    <w:rPr>
      <w:rFonts w:ascii="Cambria" w:eastAsia="Times New Roman" w:hAnsi="Cambria" w:cs="Times New Roman"/>
      <w:snapToGrid w:val="0"/>
      <w:kern w:val="2"/>
      <w:sz w:val="23"/>
      <w:szCs w:val="24"/>
    </w:rPr>
  </w:style>
  <w:style w:type="paragraph" w:customStyle="1" w:styleId="Default">
    <w:name w:val="Default"/>
    <w:rsid w:val="001077C8"/>
    <w:pPr>
      <w:autoSpaceDE w:val="0"/>
      <w:autoSpaceDN w:val="0"/>
      <w:adjustRightInd w:val="0"/>
      <w:spacing w:after="0" w:line="240" w:lineRule="auto"/>
    </w:pPr>
    <w:rPr>
      <w:rFonts w:ascii="Cambria" w:hAnsi="Cambria" w:cs="Cambria"/>
      <w:color w:val="000000"/>
      <w:sz w:val="24"/>
      <w:szCs w:val="24"/>
    </w:rPr>
  </w:style>
  <w:style w:type="paragraph" w:customStyle="1" w:styleId="CiteItBibliographyTitle">
    <w:name w:val="CiteIt Bibliography Title"/>
    <w:basedOn w:val="Title"/>
    <w:link w:val="CiteItBibliographyTitleChar"/>
    <w:autoRedefine/>
    <w:qFormat/>
    <w:rsid w:val="00666966"/>
    <w:pPr>
      <w:framePr w:hSpace="180" w:wrap="around" w:vAnchor="page" w:hAnchor="margin" w:y="3121"/>
      <w:spacing w:after="0"/>
      <w:jc w:val="center"/>
    </w:pPr>
    <w:rPr>
      <w:sz w:val="32"/>
      <w:lang w:eastAsia="en-AU"/>
    </w:rPr>
  </w:style>
  <w:style w:type="character" w:customStyle="1" w:styleId="CiteItBibliographyTitleChar">
    <w:name w:val="CiteIt Bibliography Title Char"/>
    <w:basedOn w:val="TitleChar"/>
    <w:link w:val="CiteItBibliographyTitle"/>
    <w:rsid w:val="00666966"/>
    <w:rPr>
      <w:rFonts w:ascii="Arial" w:eastAsia="Times New Roman" w:hAnsi="Arial" w:cs="Times New Roman"/>
      <w:color w:val="001871"/>
      <w:spacing w:val="5"/>
      <w:kern w:val="28"/>
      <w:sz w:val="32"/>
      <w:szCs w:val="52"/>
      <w:lang w:eastAsia="en-AU"/>
    </w:rPr>
  </w:style>
  <w:style w:type="character" w:styleId="Mention">
    <w:name w:val="Mention"/>
    <w:basedOn w:val="DefaultParagraphFont"/>
    <w:uiPriority w:val="99"/>
    <w:unhideWhenUsed/>
    <w:rsid w:val="00F7054E"/>
    <w:rPr>
      <w:color w:val="2B579A"/>
      <w:shd w:val="clear" w:color="auto" w:fill="E1DFDD"/>
    </w:rPr>
  </w:style>
  <w:style w:type="character" w:customStyle="1" w:styleId="cf01">
    <w:name w:val="cf01"/>
    <w:basedOn w:val="DefaultParagraphFont"/>
    <w:rsid w:val="00C978B3"/>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6063">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30610354">
      <w:bodyDiv w:val="1"/>
      <w:marLeft w:val="0"/>
      <w:marRight w:val="0"/>
      <w:marTop w:val="0"/>
      <w:marBottom w:val="0"/>
      <w:divBdr>
        <w:top w:val="none" w:sz="0" w:space="0" w:color="auto"/>
        <w:left w:val="none" w:sz="0" w:space="0" w:color="auto"/>
        <w:bottom w:val="none" w:sz="0" w:space="0" w:color="auto"/>
        <w:right w:val="none" w:sz="0" w:space="0" w:color="auto"/>
      </w:divBdr>
    </w:div>
    <w:div w:id="1831823569">
      <w:bodyDiv w:val="1"/>
      <w:marLeft w:val="0"/>
      <w:marRight w:val="0"/>
      <w:marTop w:val="0"/>
      <w:marBottom w:val="0"/>
      <w:divBdr>
        <w:top w:val="none" w:sz="0" w:space="0" w:color="auto"/>
        <w:left w:val="none" w:sz="0" w:space="0" w:color="auto"/>
        <w:bottom w:val="none" w:sz="0" w:space="0" w:color="auto"/>
        <w:right w:val="none" w:sz="0" w:space="0" w:color="auto"/>
      </w:divBdr>
    </w:div>
    <w:div w:id="211197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header" Target="header3.xml"/><Relationship Id="rId50" Type="http://schemas.openxmlformats.org/officeDocument/2006/relationships/hyperlink" Target="https://www.tga.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hyperlink" Target="https://www.tga.gov.au/picmi-search-facility"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9.png"/><Relationship Id="rId41" Type="http://schemas.openxmlformats.org/officeDocument/2006/relationships/image" Target="media/image2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how-we-regulate/supply-therapeutic-good-0/supply-prescription-medicine/application-process/prescription-medicines-registration-process" TargetMode="Externa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hyperlink" Target="https://www.tga.gov.au/committee/advisory-committee-medicines-acm"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icmi-search-facility" TargetMode="External"/><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uptodate.com/contents/psoriasis-epidemiology-clinical-manifestations-and-diagnosis?search=psoriasis&amp;source=search_result&amp;selectedTitle=2~150&amp;usage_type=default&amp;display_rank=2"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46b709-8ecf-42fd-81b0-d282e67de71a">
      <Terms xmlns="http://schemas.microsoft.com/office/infopath/2007/PartnerControls"/>
    </lcf76f155ced4ddcb4097134ff3c332f>
    <TaxCatchAll xmlns="4212292e-fee3-4e58-b645-17c47387aa0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78E1642ACF814DAE5C915C9F90BBB2" ma:contentTypeVersion="16" ma:contentTypeDescription="Create a new document." ma:contentTypeScope="" ma:versionID="d391947677994ed30b3e6fc490b5738e">
  <xsd:schema xmlns:xsd="http://www.w3.org/2001/XMLSchema" xmlns:xs="http://www.w3.org/2001/XMLSchema" xmlns:p="http://schemas.microsoft.com/office/2006/metadata/properties" xmlns:ns2="8a46b709-8ecf-42fd-81b0-d282e67de71a" xmlns:ns3="4212292e-fee3-4e58-b645-17c47387aa0e" targetNamespace="http://schemas.microsoft.com/office/2006/metadata/properties" ma:root="true" ma:fieldsID="76bb00030f7b0d22ce8f79783a53b93a" ns2:_="" ns3:_="">
    <xsd:import namespace="8a46b709-8ecf-42fd-81b0-d282e67de71a"/>
    <xsd:import namespace="4212292e-fee3-4e58-b645-17c47387aa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6b709-8ecf-42fd-81b0-d282e67de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2292e-fee3-4e58-b645-17c47387aa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3151a9-9420-42c1-97d3-0cfd098718a8}" ma:internalName="TaxCatchAll" ma:showField="CatchAllData" ma:web="4212292e-fee3-4e58-b645-17c47387a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CA327278-5375-4F88-9395-519EA9BDE9E2}">
  <ds:schemaRefs>
    <ds:schemaRef ds:uri="http://schemas.openxmlformats.org/package/2006/metadata/core-properties"/>
    <ds:schemaRef ds:uri="4212292e-fee3-4e58-b645-17c47387aa0e"/>
    <ds:schemaRef ds:uri="http://purl.org/dc/elements/1.1/"/>
    <ds:schemaRef ds:uri="http://schemas.microsoft.com/office/2006/metadata/properties"/>
    <ds:schemaRef ds:uri="8a46b709-8ecf-42fd-81b0-d282e67de71a"/>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DCF925D-4CD7-4DF8-AD73-B58295080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6b709-8ecf-42fd-81b0-d282e67de71a"/>
    <ds:schemaRef ds:uri="4212292e-fee3-4e58-b645-17c47387a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6D5A5-430B-4B96-AE21-DC062E9D81E2}">
  <ds:schemaRefs>
    <ds:schemaRef ds:uri="http://schemas.microsoft.com/sharepoint/v3/contenttype/forms"/>
  </ds:schemaRefs>
</ds:datastoreItem>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Normal.dotm</Template>
  <TotalTime>98</TotalTime>
  <Pages>45</Pages>
  <Words>16246</Words>
  <Characters>93582</Characters>
  <Application>Microsoft Office Word</Application>
  <DocSecurity>0</DocSecurity>
  <Lines>2176</Lines>
  <Paragraphs>1591</Paragraphs>
  <ScaleCrop>false</ScaleCrop>
  <HeadingPairs>
    <vt:vector size="2" baseType="variant">
      <vt:variant>
        <vt:lpstr>Title</vt:lpstr>
      </vt:variant>
      <vt:variant>
        <vt:i4>1</vt:i4>
      </vt:variant>
    </vt:vector>
  </HeadingPairs>
  <TitlesOfParts>
    <vt:vector size="1" baseType="lpstr">
      <vt:lpstr>Australian public assessment report for Sotyktu</vt:lpstr>
    </vt:vector>
  </TitlesOfParts>
  <Company>Department of Health and Aged Care</Company>
  <LinksUpToDate>false</LinksUpToDate>
  <CharactersWithSpaces>108237</CharactersWithSpaces>
  <SharedDoc>false</SharedDoc>
  <HLinks>
    <vt:vector size="306" baseType="variant">
      <vt:variant>
        <vt:i4>3473445</vt:i4>
      </vt:variant>
      <vt:variant>
        <vt:i4>321</vt:i4>
      </vt:variant>
      <vt:variant>
        <vt:i4>0</vt:i4>
      </vt:variant>
      <vt:variant>
        <vt:i4>5</vt:i4>
      </vt:variant>
      <vt:variant>
        <vt:lpwstr>https://www.tga.gov.au/</vt:lpwstr>
      </vt:variant>
      <vt:variant>
        <vt:lpwstr/>
      </vt:variant>
      <vt:variant>
        <vt:i4>5242926</vt:i4>
      </vt:variant>
      <vt:variant>
        <vt:i4>318</vt:i4>
      </vt:variant>
      <vt:variant>
        <vt:i4>0</vt:i4>
      </vt:variant>
      <vt:variant>
        <vt:i4>5</vt:i4>
      </vt:variant>
      <vt:variant>
        <vt:lpwstr>mailto:info@tga.gov.au</vt:lpwstr>
      </vt:variant>
      <vt:variant>
        <vt:lpwstr/>
      </vt:variant>
      <vt:variant>
        <vt:i4>720961</vt:i4>
      </vt:variant>
      <vt:variant>
        <vt:i4>315</vt:i4>
      </vt:variant>
      <vt:variant>
        <vt:i4>0</vt:i4>
      </vt:variant>
      <vt:variant>
        <vt:i4>5</vt:i4>
      </vt:variant>
      <vt:variant>
        <vt:lpwstr>https://www.tga.gov.au/picmi-search-facility</vt:lpwstr>
      </vt:variant>
      <vt:variant>
        <vt:lpwstr/>
      </vt:variant>
      <vt:variant>
        <vt:i4>524365</vt:i4>
      </vt:variant>
      <vt:variant>
        <vt:i4>312</vt:i4>
      </vt:variant>
      <vt:variant>
        <vt:i4>0</vt:i4>
      </vt:variant>
      <vt:variant>
        <vt:i4>5</vt:i4>
      </vt:variant>
      <vt:variant>
        <vt:lpwstr>https://www.tga.gov.au/committee/advisory-committee-medicines-acm</vt:lpwstr>
      </vt:variant>
      <vt:variant>
        <vt:lpwstr/>
      </vt:variant>
      <vt:variant>
        <vt:i4>1835097</vt:i4>
      </vt:variant>
      <vt:variant>
        <vt:i4>204</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720961</vt:i4>
      </vt:variant>
      <vt:variant>
        <vt:i4>201</vt:i4>
      </vt:variant>
      <vt:variant>
        <vt:i4>0</vt:i4>
      </vt:variant>
      <vt:variant>
        <vt:i4>5</vt:i4>
      </vt:variant>
      <vt:variant>
        <vt:lpwstr>https://www.tga.gov.au/picmi-search-facility</vt:lpwstr>
      </vt:variant>
      <vt:variant>
        <vt:lpwstr/>
      </vt:variant>
      <vt:variant>
        <vt:i4>983049</vt:i4>
      </vt:variant>
      <vt:variant>
        <vt:i4>198</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195</vt:i4>
      </vt:variant>
      <vt:variant>
        <vt:i4>0</vt:i4>
      </vt:variant>
      <vt:variant>
        <vt:i4>5</vt:i4>
      </vt:variant>
      <vt:variant>
        <vt:lpwstr>https://www.tga.gov.au/products/australian-register-therapeutic-goods-artg/product-information-one</vt:lpwstr>
      </vt:variant>
      <vt:variant>
        <vt:lpwstr/>
      </vt:variant>
      <vt:variant>
        <vt:i4>2752617</vt:i4>
      </vt:variant>
      <vt:variant>
        <vt:i4>192</vt:i4>
      </vt:variant>
      <vt:variant>
        <vt:i4>0</vt:i4>
      </vt:variant>
      <vt:variant>
        <vt:i4>5</vt:i4>
      </vt:variant>
      <vt:variant>
        <vt:lpwstr>https://www.tga.gov.au/products/australian-register-therapeutic-goods-artg/product-information-one</vt:lpwstr>
      </vt:variant>
      <vt:variant>
        <vt:lpwstr/>
      </vt:variant>
      <vt:variant>
        <vt:i4>786511</vt:i4>
      </vt:variant>
      <vt:variant>
        <vt:i4>174</vt:i4>
      </vt:variant>
      <vt:variant>
        <vt:i4>0</vt:i4>
      </vt:variant>
      <vt:variant>
        <vt:i4>5</vt:i4>
      </vt:variant>
      <vt:variant>
        <vt:lpwstr>https://www.tga.gov.au/black-triangle-scheme</vt:lpwstr>
      </vt:variant>
      <vt:variant>
        <vt:lpwstr/>
      </vt:variant>
      <vt:variant>
        <vt:i4>1114161</vt:i4>
      </vt:variant>
      <vt:variant>
        <vt:i4>167</vt:i4>
      </vt:variant>
      <vt:variant>
        <vt:i4>0</vt:i4>
      </vt:variant>
      <vt:variant>
        <vt:i4>5</vt:i4>
      </vt:variant>
      <vt:variant>
        <vt:lpwstr/>
      </vt:variant>
      <vt:variant>
        <vt:lpwstr>_Toc141445530</vt:lpwstr>
      </vt:variant>
      <vt:variant>
        <vt:i4>1048625</vt:i4>
      </vt:variant>
      <vt:variant>
        <vt:i4>161</vt:i4>
      </vt:variant>
      <vt:variant>
        <vt:i4>0</vt:i4>
      </vt:variant>
      <vt:variant>
        <vt:i4>5</vt:i4>
      </vt:variant>
      <vt:variant>
        <vt:lpwstr/>
      </vt:variant>
      <vt:variant>
        <vt:lpwstr>_Toc141445529</vt:lpwstr>
      </vt:variant>
      <vt:variant>
        <vt:i4>1048625</vt:i4>
      </vt:variant>
      <vt:variant>
        <vt:i4>155</vt:i4>
      </vt:variant>
      <vt:variant>
        <vt:i4>0</vt:i4>
      </vt:variant>
      <vt:variant>
        <vt:i4>5</vt:i4>
      </vt:variant>
      <vt:variant>
        <vt:lpwstr/>
      </vt:variant>
      <vt:variant>
        <vt:lpwstr>_Toc141445528</vt:lpwstr>
      </vt:variant>
      <vt:variant>
        <vt:i4>1048625</vt:i4>
      </vt:variant>
      <vt:variant>
        <vt:i4>149</vt:i4>
      </vt:variant>
      <vt:variant>
        <vt:i4>0</vt:i4>
      </vt:variant>
      <vt:variant>
        <vt:i4>5</vt:i4>
      </vt:variant>
      <vt:variant>
        <vt:lpwstr/>
      </vt:variant>
      <vt:variant>
        <vt:lpwstr>_Toc141445527</vt:lpwstr>
      </vt:variant>
      <vt:variant>
        <vt:i4>1048625</vt:i4>
      </vt:variant>
      <vt:variant>
        <vt:i4>143</vt:i4>
      </vt:variant>
      <vt:variant>
        <vt:i4>0</vt:i4>
      </vt:variant>
      <vt:variant>
        <vt:i4>5</vt:i4>
      </vt:variant>
      <vt:variant>
        <vt:lpwstr/>
      </vt:variant>
      <vt:variant>
        <vt:lpwstr>_Toc141445526</vt:lpwstr>
      </vt:variant>
      <vt:variant>
        <vt:i4>1048625</vt:i4>
      </vt:variant>
      <vt:variant>
        <vt:i4>137</vt:i4>
      </vt:variant>
      <vt:variant>
        <vt:i4>0</vt:i4>
      </vt:variant>
      <vt:variant>
        <vt:i4>5</vt:i4>
      </vt:variant>
      <vt:variant>
        <vt:lpwstr/>
      </vt:variant>
      <vt:variant>
        <vt:lpwstr>_Toc141445525</vt:lpwstr>
      </vt:variant>
      <vt:variant>
        <vt:i4>1048625</vt:i4>
      </vt:variant>
      <vt:variant>
        <vt:i4>131</vt:i4>
      </vt:variant>
      <vt:variant>
        <vt:i4>0</vt:i4>
      </vt:variant>
      <vt:variant>
        <vt:i4>5</vt:i4>
      </vt:variant>
      <vt:variant>
        <vt:lpwstr/>
      </vt:variant>
      <vt:variant>
        <vt:lpwstr>_Toc141445524</vt:lpwstr>
      </vt:variant>
      <vt:variant>
        <vt:i4>1048625</vt:i4>
      </vt:variant>
      <vt:variant>
        <vt:i4>125</vt:i4>
      </vt:variant>
      <vt:variant>
        <vt:i4>0</vt:i4>
      </vt:variant>
      <vt:variant>
        <vt:i4>5</vt:i4>
      </vt:variant>
      <vt:variant>
        <vt:lpwstr/>
      </vt:variant>
      <vt:variant>
        <vt:lpwstr>_Toc141445523</vt:lpwstr>
      </vt:variant>
      <vt:variant>
        <vt:i4>1048625</vt:i4>
      </vt:variant>
      <vt:variant>
        <vt:i4>119</vt:i4>
      </vt:variant>
      <vt:variant>
        <vt:i4>0</vt:i4>
      </vt:variant>
      <vt:variant>
        <vt:i4>5</vt:i4>
      </vt:variant>
      <vt:variant>
        <vt:lpwstr/>
      </vt:variant>
      <vt:variant>
        <vt:lpwstr>_Toc141445522</vt:lpwstr>
      </vt:variant>
      <vt:variant>
        <vt:i4>1048625</vt:i4>
      </vt:variant>
      <vt:variant>
        <vt:i4>113</vt:i4>
      </vt:variant>
      <vt:variant>
        <vt:i4>0</vt:i4>
      </vt:variant>
      <vt:variant>
        <vt:i4>5</vt:i4>
      </vt:variant>
      <vt:variant>
        <vt:lpwstr/>
      </vt:variant>
      <vt:variant>
        <vt:lpwstr>_Toc141445521</vt:lpwstr>
      </vt:variant>
      <vt:variant>
        <vt:i4>1048625</vt:i4>
      </vt:variant>
      <vt:variant>
        <vt:i4>107</vt:i4>
      </vt:variant>
      <vt:variant>
        <vt:i4>0</vt:i4>
      </vt:variant>
      <vt:variant>
        <vt:i4>5</vt:i4>
      </vt:variant>
      <vt:variant>
        <vt:lpwstr/>
      </vt:variant>
      <vt:variant>
        <vt:lpwstr>_Toc141445520</vt:lpwstr>
      </vt:variant>
      <vt:variant>
        <vt:i4>1245233</vt:i4>
      </vt:variant>
      <vt:variant>
        <vt:i4>101</vt:i4>
      </vt:variant>
      <vt:variant>
        <vt:i4>0</vt:i4>
      </vt:variant>
      <vt:variant>
        <vt:i4>5</vt:i4>
      </vt:variant>
      <vt:variant>
        <vt:lpwstr/>
      </vt:variant>
      <vt:variant>
        <vt:lpwstr>_Toc141445519</vt:lpwstr>
      </vt:variant>
      <vt:variant>
        <vt:i4>1245233</vt:i4>
      </vt:variant>
      <vt:variant>
        <vt:i4>95</vt:i4>
      </vt:variant>
      <vt:variant>
        <vt:i4>0</vt:i4>
      </vt:variant>
      <vt:variant>
        <vt:i4>5</vt:i4>
      </vt:variant>
      <vt:variant>
        <vt:lpwstr/>
      </vt:variant>
      <vt:variant>
        <vt:lpwstr>_Toc141445518</vt:lpwstr>
      </vt:variant>
      <vt:variant>
        <vt:i4>1245233</vt:i4>
      </vt:variant>
      <vt:variant>
        <vt:i4>89</vt:i4>
      </vt:variant>
      <vt:variant>
        <vt:i4>0</vt:i4>
      </vt:variant>
      <vt:variant>
        <vt:i4>5</vt:i4>
      </vt:variant>
      <vt:variant>
        <vt:lpwstr/>
      </vt:variant>
      <vt:variant>
        <vt:lpwstr>_Toc141445517</vt:lpwstr>
      </vt:variant>
      <vt:variant>
        <vt:i4>1245233</vt:i4>
      </vt:variant>
      <vt:variant>
        <vt:i4>83</vt:i4>
      </vt:variant>
      <vt:variant>
        <vt:i4>0</vt:i4>
      </vt:variant>
      <vt:variant>
        <vt:i4>5</vt:i4>
      </vt:variant>
      <vt:variant>
        <vt:lpwstr/>
      </vt:variant>
      <vt:variant>
        <vt:lpwstr>_Toc141445516</vt:lpwstr>
      </vt:variant>
      <vt:variant>
        <vt:i4>1245233</vt:i4>
      </vt:variant>
      <vt:variant>
        <vt:i4>77</vt:i4>
      </vt:variant>
      <vt:variant>
        <vt:i4>0</vt:i4>
      </vt:variant>
      <vt:variant>
        <vt:i4>5</vt:i4>
      </vt:variant>
      <vt:variant>
        <vt:lpwstr/>
      </vt:variant>
      <vt:variant>
        <vt:lpwstr>_Toc141445515</vt:lpwstr>
      </vt:variant>
      <vt:variant>
        <vt:i4>1245233</vt:i4>
      </vt:variant>
      <vt:variant>
        <vt:i4>71</vt:i4>
      </vt:variant>
      <vt:variant>
        <vt:i4>0</vt:i4>
      </vt:variant>
      <vt:variant>
        <vt:i4>5</vt:i4>
      </vt:variant>
      <vt:variant>
        <vt:lpwstr/>
      </vt:variant>
      <vt:variant>
        <vt:lpwstr>_Toc141445514</vt:lpwstr>
      </vt:variant>
      <vt:variant>
        <vt:i4>1245233</vt:i4>
      </vt:variant>
      <vt:variant>
        <vt:i4>65</vt:i4>
      </vt:variant>
      <vt:variant>
        <vt:i4>0</vt:i4>
      </vt:variant>
      <vt:variant>
        <vt:i4>5</vt:i4>
      </vt:variant>
      <vt:variant>
        <vt:lpwstr/>
      </vt:variant>
      <vt:variant>
        <vt:lpwstr>_Toc141445513</vt:lpwstr>
      </vt:variant>
      <vt:variant>
        <vt:i4>1245233</vt:i4>
      </vt:variant>
      <vt:variant>
        <vt:i4>59</vt:i4>
      </vt:variant>
      <vt:variant>
        <vt:i4>0</vt:i4>
      </vt:variant>
      <vt:variant>
        <vt:i4>5</vt:i4>
      </vt:variant>
      <vt:variant>
        <vt:lpwstr/>
      </vt:variant>
      <vt:variant>
        <vt:lpwstr>_Toc141445512</vt:lpwstr>
      </vt:variant>
      <vt:variant>
        <vt:i4>1245233</vt:i4>
      </vt:variant>
      <vt:variant>
        <vt:i4>53</vt:i4>
      </vt:variant>
      <vt:variant>
        <vt:i4>0</vt:i4>
      </vt:variant>
      <vt:variant>
        <vt:i4>5</vt:i4>
      </vt:variant>
      <vt:variant>
        <vt:lpwstr/>
      </vt:variant>
      <vt:variant>
        <vt:lpwstr>_Toc141445511</vt:lpwstr>
      </vt:variant>
      <vt:variant>
        <vt:i4>1245233</vt:i4>
      </vt:variant>
      <vt:variant>
        <vt:i4>47</vt:i4>
      </vt:variant>
      <vt:variant>
        <vt:i4>0</vt:i4>
      </vt:variant>
      <vt:variant>
        <vt:i4>5</vt:i4>
      </vt:variant>
      <vt:variant>
        <vt:lpwstr/>
      </vt:variant>
      <vt:variant>
        <vt:lpwstr>_Toc141445510</vt:lpwstr>
      </vt:variant>
      <vt:variant>
        <vt:i4>1179697</vt:i4>
      </vt:variant>
      <vt:variant>
        <vt:i4>41</vt:i4>
      </vt:variant>
      <vt:variant>
        <vt:i4>0</vt:i4>
      </vt:variant>
      <vt:variant>
        <vt:i4>5</vt:i4>
      </vt:variant>
      <vt:variant>
        <vt:lpwstr/>
      </vt:variant>
      <vt:variant>
        <vt:lpwstr>_Toc141445509</vt:lpwstr>
      </vt:variant>
      <vt:variant>
        <vt:i4>1179697</vt:i4>
      </vt:variant>
      <vt:variant>
        <vt:i4>35</vt:i4>
      </vt:variant>
      <vt:variant>
        <vt:i4>0</vt:i4>
      </vt:variant>
      <vt:variant>
        <vt:i4>5</vt:i4>
      </vt:variant>
      <vt:variant>
        <vt:lpwstr/>
      </vt:variant>
      <vt:variant>
        <vt:lpwstr>_Toc141445508</vt:lpwstr>
      </vt:variant>
      <vt:variant>
        <vt:i4>1179697</vt:i4>
      </vt:variant>
      <vt:variant>
        <vt:i4>29</vt:i4>
      </vt:variant>
      <vt:variant>
        <vt:i4>0</vt:i4>
      </vt:variant>
      <vt:variant>
        <vt:i4>5</vt:i4>
      </vt:variant>
      <vt:variant>
        <vt:lpwstr/>
      </vt:variant>
      <vt:variant>
        <vt:lpwstr>_Toc141445507</vt:lpwstr>
      </vt:variant>
      <vt:variant>
        <vt:i4>1179697</vt:i4>
      </vt:variant>
      <vt:variant>
        <vt:i4>23</vt:i4>
      </vt:variant>
      <vt:variant>
        <vt:i4>0</vt:i4>
      </vt:variant>
      <vt:variant>
        <vt:i4>5</vt:i4>
      </vt:variant>
      <vt:variant>
        <vt:lpwstr/>
      </vt:variant>
      <vt:variant>
        <vt:lpwstr>_Toc141445506</vt:lpwstr>
      </vt:variant>
      <vt:variant>
        <vt:i4>1179697</vt:i4>
      </vt:variant>
      <vt:variant>
        <vt:i4>17</vt:i4>
      </vt:variant>
      <vt:variant>
        <vt:i4>0</vt:i4>
      </vt:variant>
      <vt:variant>
        <vt:i4>5</vt:i4>
      </vt:variant>
      <vt:variant>
        <vt:lpwstr/>
      </vt:variant>
      <vt:variant>
        <vt:lpwstr>_Toc141445505</vt:lpwstr>
      </vt:variant>
      <vt:variant>
        <vt:i4>1179697</vt:i4>
      </vt:variant>
      <vt:variant>
        <vt:i4>11</vt:i4>
      </vt:variant>
      <vt:variant>
        <vt:i4>0</vt:i4>
      </vt:variant>
      <vt:variant>
        <vt:i4>5</vt:i4>
      </vt:variant>
      <vt:variant>
        <vt:lpwstr/>
      </vt:variant>
      <vt:variant>
        <vt:lpwstr>_Toc141445504</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8192026</vt:i4>
      </vt:variant>
      <vt:variant>
        <vt:i4>0</vt:i4>
      </vt:variant>
      <vt:variant>
        <vt:i4>0</vt:i4>
      </vt:variant>
      <vt:variant>
        <vt:i4>5</vt:i4>
      </vt:variant>
      <vt:variant>
        <vt:lpwstr>https://www.uptodate.com/contents/psoriasis-epidemiology-clinical-manifestations-and-diagnosis?search=psoriasis&amp;source=search_result&amp;selectedTitle=2~150&amp;usage_type=default&amp;display_rank=2</vt:lpwstr>
      </vt:variant>
      <vt:variant>
        <vt:lpwstr/>
      </vt:variant>
      <vt:variant>
        <vt:i4>5242920</vt:i4>
      </vt:variant>
      <vt:variant>
        <vt:i4>27</vt:i4>
      </vt:variant>
      <vt:variant>
        <vt:i4>0</vt:i4>
      </vt:variant>
      <vt:variant>
        <vt:i4>5</vt:i4>
      </vt:variant>
      <vt:variant>
        <vt:lpwstr>mailto:Takafumi.Ide@bms.com</vt:lpwstr>
      </vt:variant>
      <vt:variant>
        <vt:lpwstr/>
      </vt:variant>
      <vt:variant>
        <vt:i4>2883658</vt:i4>
      </vt:variant>
      <vt:variant>
        <vt:i4>24</vt:i4>
      </vt:variant>
      <vt:variant>
        <vt:i4>0</vt:i4>
      </vt:variant>
      <vt:variant>
        <vt:i4>5</vt:i4>
      </vt:variant>
      <vt:variant>
        <vt:lpwstr>mailto:WaiZin.Wong@bms.com</vt:lpwstr>
      </vt:variant>
      <vt:variant>
        <vt:lpwstr/>
      </vt:variant>
      <vt:variant>
        <vt:i4>1310841</vt:i4>
      </vt:variant>
      <vt:variant>
        <vt:i4>21</vt:i4>
      </vt:variant>
      <vt:variant>
        <vt:i4>0</vt:i4>
      </vt:variant>
      <vt:variant>
        <vt:i4>5</vt:i4>
      </vt:variant>
      <vt:variant>
        <vt:lpwstr>mailto:Trushna.Shah@bms.com</vt:lpwstr>
      </vt:variant>
      <vt:variant>
        <vt:lpwstr/>
      </vt:variant>
      <vt:variant>
        <vt:i4>5242920</vt:i4>
      </vt:variant>
      <vt:variant>
        <vt:i4>18</vt:i4>
      </vt:variant>
      <vt:variant>
        <vt:i4>0</vt:i4>
      </vt:variant>
      <vt:variant>
        <vt:i4>5</vt:i4>
      </vt:variant>
      <vt:variant>
        <vt:lpwstr>mailto:Takafumi.Ide@bms.com</vt:lpwstr>
      </vt:variant>
      <vt:variant>
        <vt:lpwstr/>
      </vt:variant>
      <vt:variant>
        <vt:i4>5242920</vt:i4>
      </vt:variant>
      <vt:variant>
        <vt:i4>15</vt:i4>
      </vt:variant>
      <vt:variant>
        <vt:i4>0</vt:i4>
      </vt:variant>
      <vt:variant>
        <vt:i4>5</vt:i4>
      </vt:variant>
      <vt:variant>
        <vt:lpwstr>mailto:Takafumi.Ide@bms.com</vt:lpwstr>
      </vt:variant>
      <vt:variant>
        <vt:lpwstr/>
      </vt:variant>
      <vt:variant>
        <vt:i4>5242920</vt:i4>
      </vt:variant>
      <vt:variant>
        <vt:i4>12</vt:i4>
      </vt:variant>
      <vt:variant>
        <vt:i4>0</vt:i4>
      </vt:variant>
      <vt:variant>
        <vt:i4>5</vt:i4>
      </vt:variant>
      <vt:variant>
        <vt:lpwstr>mailto:Takafumi.Ide@bms.com</vt:lpwstr>
      </vt:variant>
      <vt:variant>
        <vt:lpwstr/>
      </vt:variant>
      <vt:variant>
        <vt:i4>1310841</vt:i4>
      </vt:variant>
      <vt:variant>
        <vt:i4>9</vt:i4>
      </vt:variant>
      <vt:variant>
        <vt:i4>0</vt:i4>
      </vt:variant>
      <vt:variant>
        <vt:i4>5</vt:i4>
      </vt:variant>
      <vt:variant>
        <vt:lpwstr>mailto:Trushna.Shah@bms.com</vt:lpwstr>
      </vt:variant>
      <vt:variant>
        <vt:lpwstr/>
      </vt:variant>
      <vt:variant>
        <vt:i4>4128832</vt:i4>
      </vt:variant>
      <vt:variant>
        <vt:i4>6</vt:i4>
      </vt:variant>
      <vt:variant>
        <vt:i4>0</vt:i4>
      </vt:variant>
      <vt:variant>
        <vt:i4>5</vt:i4>
      </vt:variant>
      <vt:variant>
        <vt:lpwstr>mailto:prashant.deshpande@bms.com</vt:lpwstr>
      </vt:variant>
      <vt:variant>
        <vt:lpwstr/>
      </vt:variant>
      <vt:variant>
        <vt:i4>4259943</vt:i4>
      </vt:variant>
      <vt:variant>
        <vt:i4>3</vt:i4>
      </vt:variant>
      <vt:variant>
        <vt:i4>0</vt:i4>
      </vt:variant>
      <vt:variant>
        <vt:i4>5</vt:i4>
      </vt:variant>
      <vt:variant>
        <vt:lpwstr>mailto:Xin.Wang3@bms.com</vt:lpwstr>
      </vt:variant>
      <vt:variant>
        <vt:lpwstr/>
      </vt:variant>
      <vt:variant>
        <vt:i4>4259943</vt:i4>
      </vt:variant>
      <vt:variant>
        <vt:i4>0</vt:i4>
      </vt:variant>
      <vt:variant>
        <vt:i4>0</vt:i4>
      </vt:variant>
      <vt:variant>
        <vt:i4>5</vt:i4>
      </vt:variant>
      <vt:variant>
        <vt:lpwstr>mailto:Xin.Wang3@bms.com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Sotyktu</dc:title>
  <dc:subject>Prescription medicine regulation</dc:subject>
  <dc:creator>Therapeutic Goods Administration</dc:creator>
  <cp:keywords/>
  <dc:description/>
  <cp:lastModifiedBy>MCMAHON, Emily</cp:lastModifiedBy>
  <cp:revision>41</cp:revision>
  <dcterms:created xsi:type="dcterms:W3CDTF">2023-09-03T23:42:00Z</dcterms:created>
  <dcterms:modified xsi:type="dcterms:W3CDTF">2023-09-04T05:07:00Z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Title">
    <vt:lpwstr/>
  </property>
  <property fmtid="{D5CDD505-2E9C-101B-9397-08002B2CF9AE}" pid="3" name="ContentTypeId">
    <vt:lpwstr>0x010100F678E1642ACF814DAE5C915C9F90BBB2</vt:lpwstr>
  </property>
  <property fmtid="{D5CDD505-2E9C-101B-9397-08002B2CF9AE}" pid="4" name="GrammarlyDocumentId">
    <vt:lpwstr>b47db77082d49dc9c4aaaa7092e5cba302ebb904d41c6c5a1974972a3c9e92af</vt:lpwstr>
  </property>
  <property fmtid="{D5CDD505-2E9C-101B-9397-08002B2CF9AE}" pid="5" name="MediaServiceImageTags">
    <vt:lpwstr/>
  </property>
</Properties>
</file>