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379FC305" w:rsidR="00F02AEC" w:rsidRPr="00215D48" w:rsidRDefault="00346EC2" w:rsidP="007452E8">
            <w:pPr>
              <w:pStyle w:val="Title"/>
            </w:pPr>
            <w:r w:rsidRPr="00346EC2">
              <w:t xml:space="preserve">Australian Public Assessment Report for </w:t>
            </w:r>
            <w:r w:rsidR="00362571" w:rsidRPr="00362571">
              <w:t>S</w:t>
            </w:r>
            <w:r w:rsidR="00362571">
              <w:t>pikevax</w:t>
            </w:r>
            <w:r w:rsidR="00362571" w:rsidRPr="00362571">
              <w:t xml:space="preserve"> B</w:t>
            </w:r>
            <w:r w:rsidR="00362571">
              <w:t>ivalent</w:t>
            </w:r>
            <w:r w:rsidR="00362571" w:rsidRPr="00362571">
              <w:t xml:space="preserve"> O</w:t>
            </w:r>
            <w:r w:rsidR="00362571">
              <w:t>riginal</w:t>
            </w:r>
            <w:r w:rsidR="00362571" w:rsidRPr="00362571">
              <w:t>/O</w:t>
            </w:r>
            <w:r w:rsidR="00362571">
              <w:t>micron</w:t>
            </w:r>
            <w:r w:rsidR="00362571" w:rsidRPr="00362571">
              <w:t xml:space="preserve"> BA.4</w:t>
            </w:r>
            <w:r w:rsidR="00362571">
              <w:t xml:space="preserve"> </w:t>
            </w:r>
            <w:r w:rsidR="00362571" w:rsidRPr="00362571">
              <w:t>-</w:t>
            </w:r>
            <w:r w:rsidR="00362571">
              <w:t xml:space="preserve"> </w:t>
            </w:r>
            <w:r w:rsidR="00362571" w:rsidRPr="00362571">
              <w:t>5</w:t>
            </w:r>
            <w:r w:rsidR="00783DA7">
              <w:fldChar w:fldCharType="begin"/>
            </w:r>
            <w:r w:rsidR="00783DA7">
              <w:instrText xml:space="preserve"> DOCVARIABLE vault_nd_f0127bca-0347-4d31-a423-48b770761715 \* MERGEFORMAT </w:instrText>
            </w:r>
            <w:r w:rsidR="00783DA7">
              <w:fldChar w:fldCharType="separate"/>
            </w:r>
            <w:r w:rsidR="007D13D5">
              <w:t xml:space="preserve"> </w:t>
            </w:r>
            <w:r w:rsidR="00783DA7">
              <w:fldChar w:fldCharType="end"/>
            </w:r>
          </w:p>
        </w:tc>
      </w:tr>
      <w:tr w:rsidR="00F02AEC" w:rsidRPr="00215D48" w14:paraId="318A40A3" w14:textId="77777777" w:rsidTr="00346EC2">
        <w:trPr>
          <w:trHeight w:val="995"/>
        </w:trPr>
        <w:tc>
          <w:tcPr>
            <w:tcW w:w="8720" w:type="dxa"/>
          </w:tcPr>
          <w:p w14:paraId="40B393AA" w14:textId="77777777" w:rsidR="00362571" w:rsidRDefault="00362571" w:rsidP="007452E8">
            <w:pPr>
              <w:pStyle w:val="Subtitle"/>
              <w:ind w:left="0"/>
            </w:pPr>
          </w:p>
          <w:p w14:paraId="1AA7C701" w14:textId="626E68B3" w:rsidR="00F02AEC" w:rsidRPr="00215D48" w:rsidRDefault="00346EC2" w:rsidP="007452E8">
            <w:pPr>
              <w:pStyle w:val="Subtitle"/>
              <w:ind w:left="0"/>
            </w:pPr>
            <w:r w:rsidRPr="00346EC2">
              <w:t>Active ingredient/s:</w:t>
            </w:r>
            <w:r w:rsidR="00362571">
              <w:t xml:space="preserve"> </w:t>
            </w:r>
            <w:proofErr w:type="spellStart"/>
            <w:r w:rsidR="00362571">
              <w:t>E</w:t>
            </w:r>
            <w:r w:rsidR="00362571" w:rsidRPr="00362571">
              <w:t>lasomeran</w:t>
            </w:r>
            <w:proofErr w:type="spellEnd"/>
            <w:r w:rsidR="00362571" w:rsidRPr="00362571">
              <w:t xml:space="preserve"> and </w:t>
            </w:r>
            <w:proofErr w:type="spellStart"/>
            <w:r w:rsidR="00362571" w:rsidRPr="00362571">
              <w:t>davesomeran</w:t>
            </w:r>
            <w:proofErr w:type="spellEnd"/>
          </w:p>
        </w:tc>
      </w:tr>
      <w:tr w:rsidR="00346EC2" w:rsidRPr="00215D48" w14:paraId="362CCAE4" w14:textId="77777777" w:rsidTr="007452E8">
        <w:trPr>
          <w:trHeight w:val="1916"/>
        </w:trPr>
        <w:tc>
          <w:tcPr>
            <w:tcW w:w="8720" w:type="dxa"/>
          </w:tcPr>
          <w:p w14:paraId="08E3E504" w14:textId="77777777" w:rsidR="00362571" w:rsidRDefault="00362571" w:rsidP="007452E8">
            <w:pPr>
              <w:pStyle w:val="Subtitle"/>
              <w:ind w:left="0"/>
            </w:pPr>
          </w:p>
          <w:p w14:paraId="709C45C0" w14:textId="4F38C21E" w:rsidR="00346EC2" w:rsidRPr="00215D48" w:rsidRDefault="00346EC2" w:rsidP="007452E8">
            <w:pPr>
              <w:pStyle w:val="Subtitle"/>
              <w:ind w:left="0"/>
            </w:pPr>
            <w:r w:rsidRPr="00346EC2">
              <w:t xml:space="preserve">Sponsor: </w:t>
            </w:r>
            <w:r w:rsidR="00362571" w:rsidRPr="00362571">
              <w:t>Moderna Australia Pty Ltd</w:t>
            </w:r>
          </w:p>
        </w:tc>
      </w:tr>
      <w:tr w:rsidR="00F02AEC" w:rsidRPr="00215D48" w14:paraId="37F2AA1F" w14:textId="77777777" w:rsidTr="007452E8">
        <w:tc>
          <w:tcPr>
            <w:tcW w:w="8720" w:type="dxa"/>
          </w:tcPr>
          <w:p w14:paraId="1FDE8DCD" w14:textId="0D64AB1C" w:rsidR="00F02AEC" w:rsidRPr="00215D48" w:rsidRDefault="00047C90" w:rsidP="007452E8">
            <w:pPr>
              <w:pStyle w:val="Date"/>
            </w:pPr>
            <w:r>
              <w:t>September</w:t>
            </w:r>
            <w:r w:rsidR="00F02AEC" w:rsidRPr="00215D48">
              <w:t xml:space="preserve"> </w:t>
            </w:r>
            <w:r w:rsidR="00362571">
              <w:t>2023</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728F7B0A" w:rsidR="00346EC2" w:rsidRPr="001F6CBA" w:rsidRDefault="00346EC2" w:rsidP="00346EC2">
      <w:pPr>
        <w:pStyle w:val="NonTOCHeading20"/>
      </w:pPr>
      <w:r w:rsidRPr="001F6CBA">
        <w:lastRenderedPageBreak/>
        <w:t>About the Therapeutic Goods Administration (TGA)</w:t>
      </w:r>
      <w:r w:rsidR="00783DA7">
        <w:fldChar w:fldCharType="begin"/>
      </w:r>
      <w:r w:rsidR="00783DA7">
        <w:instrText xml:space="preserve"> DOCVARIABLE vault_nd_4c607ef4-2993-40e1-9812-996cf6435f57 \* MERGEFORMAT </w:instrText>
      </w:r>
      <w:r w:rsidR="00783DA7">
        <w:fldChar w:fldCharType="separate"/>
      </w:r>
      <w:r w:rsidR="007D13D5">
        <w:t xml:space="preserve"> </w:t>
      </w:r>
      <w:r w:rsidR="00783DA7">
        <w:fldChar w:fldCharType="end"/>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3909F8C9"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5" w:history="1">
        <w:r w:rsidRPr="000F15B4">
          <w:rPr>
            <w:rStyle w:val="Hyperlink"/>
          </w:rPr>
          <w:t>TGA website</w:t>
        </w:r>
      </w:hyperlink>
      <w:r w:rsidRPr="003C6D1F">
        <w:t>.</w:t>
      </w:r>
    </w:p>
    <w:p w14:paraId="737B7A99" w14:textId="0879EE9B" w:rsidR="00346EC2" w:rsidRDefault="00346EC2" w:rsidP="00346EC2">
      <w:pPr>
        <w:pStyle w:val="NonTOCHeading20"/>
      </w:pPr>
      <w:r>
        <w:t xml:space="preserve">About </w:t>
      </w:r>
      <w:proofErr w:type="spellStart"/>
      <w:r>
        <w:t>AusPARs</w:t>
      </w:r>
      <w:proofErr w:type="spellEnd"/>
      <w:r w:rsidR="00783DA7">
        <w:fldChar w:fldCharType="begin"/>
      </w:r>
      <w:r w:rsidR="00783DA7">
        <w:instrText xml:space="preserve"> DOCVARIABLE vault_nd_07eef8ed-ad4f-4844-aa50-8d0bcab1b716 \* MERGEFORMAT </w:instrText>
      </w:r>
      <w:r w:rsidR="00783DA7">
        <w:fldChar w:fldCharType="separate"/>
      </w:r>
      <w:r w:rsidR="007D13D5">
        <w:t xml:space="preserve"> </w:t>
      </w:r>
      <w:r w:rsidR="00783DA7">
        <w:fldChar w:fldCharType="end"/>
      </w:r>
    </w:p>
    <w:p w14:paraId="631B2209" w14:textId="0A061123" w:rsidR="00346EC2" w:rsidRPr="003C6D1F" w:rsidRDefault="00346EC2" w:rsidP="00346EC2">
      <w:pPr>
        <w:pStyle w:val="ListBullet"/>
      </w:pPr>
      <w:r>
        <w:t>The</w:t>
      </w:r>
      <w:r w:rsidRPr="003C6D1F">
        <w:t xml:space="preserve"> Australian Public Assessment Report (</w:t>
      </w:r>
      <w:proofErr w:type="spellStart"/>
      <w:r w:rsidRPr="003C6D1F">
        <w:t>AusPAR</w:t>
      </w:r>
      <w:proofErr w:type="spellEnd"/>
      <w:r w:rsidRPr="003C6D1F">
        <w:t>)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Pr="005A2EB8">
          <w:rPr>
            <w:rStyle w:val="Hyperlink"/>
          </w:rPr>
          <w:t>Australian Public Assessment Report (</w:t>
        </w:r>
        <w:proofErr w:type="spellStart"/>
        <w:r w:rsidRPr="005A2EB8">
          <w:rPr>
            <w:rStyle w:val="Hyperlink"/>
          </w:rPr>
          <w:t>AusPAR</w:t>
        </w:r>
        <w:proofErr w:type="spellEnd"/>
        <w:r w:rsidRPr="005A2EB8">
          <w:rPr>
            <w:rStyle w:val="Hyperlink"/>
          </w:rPr>
          <w:t>) guidance</w:t>
        </w:r>
      </w:hyperlink>
      <w:r>
        <w:t>.</w:t>
      </w:r>
    </w:p>
    <w:p w14:paraId="22F5A730" w14:textId="77777777" w:rsidR="00346EC2" w:rsidRPr="003C6D1F" w:rsidRDefault="00346EC2" w:rsidP="00346EC2">
      <w:pPr>
        <w:pStyle w:val="ListBullet"/>
      </w:pPr>
      <w:proofErr w:type="spellStart"/>
      <w:r w:rsidRPr="003C6D1F">
        <w:t>AusPARs</w:t>
      </w:r>
      <w:proofErr w:type="spellEnd"/>
      <w:r w:rsidRPr="003C6D1F">
        <w:t xml:space="preserve"> are prepared and published by the TGA.</w:t>
      </w:r>
    </w:p>
    <w:p w14:paraId="451B8FD7" w14:textId="77777777" w:rsidR="00346EC2" w:rsidRPr="003C6D1F" w:rsidRDefault="00346EC2" w:rsidP="00346EC2">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t xml:space="preserve"> The publication of an </w:t>
      </w:r>
      <w:proofErr w:type="spellStart"/>
      <w:r>
        <w:t>AusPAR</w:t>
      </w:r>
      <w:proofErr w:type="spellEnd"/>
      <w:r>
        <w:t xml:space="preserve"> is an important part of the transparency of the TGA’s decision-making process.</w:t>
      </w:r>
    </w:p>
    <w:p w14:paraId="4D69F5CF" w14:textId="77777777" w:rsidR="00346EC2" w:rsidRPr="003C6D1F" w:rsidRDefault="00346EC2" w:rsidP="00346EC2">
      <w:pPr>
        <w:pStyle w:val="ListBullet"/>
      </w:pPr>
      <w:r w:rsidRPr="003C6D1F">
        <w:t xml:space="preserve">A new </w:t>
      </w:r>
      <w:proofErr w:type="spellStart"/>
      <w:r w:rsidRPr="003C6D1F">
        <w:t>AusPAR</w:t>
      </w:r>
      <w:proofErr w:type="spellEnd"/>
      <w:r w:rsidRPr="003C6D1F">
        <w:t xml:space="preserve"> </w:t>
      </w:r>
      <w:r>
        <w:t xml:space="preserve">may be provided </w:t>
      </w:r>
      <w:r w:rsidRPr="003C6D1F">
        <w:t>to reflect changes to indications or major variations to a prescription medicine subject to evaluation by the TGA.</w:t>
      </w:r>
    </w:p>
    <w:p w14:paraId="7067011F" w14:textId="21DB57BA" w:rsidR="00F02AEC" w:rsidRPr="00E1198B" w:rsidRDefault="00F02AEC" w:rsidP="00FE087C">
      <w:pPr>
        <w:pStyle w:val="LegalSubheading"/>
        <w:spacing w:before="3600"/>
      </w:pPr>
      <w:r w:rsidRPr="00BA0DFC">
        <w:t>Copyright</w:t>
      </w:r>
      <w:r w:rsidR="00783DA7">
        <w:fldChar w:fldCharType="begin"/>
      </w:r>
      <w:r w:rsidR="00783DA7">
        <w:instrText xml:space="preserve"> DOCVARIABLE vault_nd_421d164f-c067-47a2-ab7f-056a1e5ab7d9 \* MERGEFORMAT </w:instrText>
      </w:r>
      <w:r w:rsidR="00783DA7">
        <w:fldChar w:fldCharType="separate"/>
      </w:r>
      <w:r w:rsidR="007D13D5">
        <w:t xml:space="preserve"> </w:t>
      </w:r>
      <w:r w:rsidR="00783DA7">
        <w:fldChar w:fldCharType="end"/>
      </w:r>
    </w:p>
    <w:p w14:paraId="170A8A5D" w14:textId="6DFBDDEA" w:rsidR="00175CD8" w:rsidRPr="00346EC2" w:rsidRDefault="00F02AEC" w:rsidP="00346EC2">
      <w:pPr>
        <w:pStyle w:val="LegalCopy"/>
        <w:rPr>
          <w:rFonts w:cs="Arial"/>
        </w:rPr>
      </w:pPr>
      <w:r w:rsidRPr="00215D48">
        <w:rPr>
          <w:rFonts w:cs="Arial"/>
        </w:rPr>
        <w:t>© Commonwealth of Australia 20</w:t>
      </w:r>
      <w:r>
        <w:rPr>
          <w:rFonts w:cs="Arial"/>
        </w:rPr>
        <w:t>2</w:t>
      </w:r>
      <w:r w:rsidR="00E47E0C">
        <w:rPr>
          <w:rFonts w:cs="Arial"/>
        </w:rPr>
        <w:t>3</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5210B114" w:rsidR="00F02AEC" w:rsidRPr="00215D48" w:rsidRDefault="00F02AEC" w:rsidP="007452E8">
          <w:pPr>
            <w:pStyle w:val="NonTOCheading2"/>
          </w:pPr>
          <w:r w:rsidRPr="00215D48">
            <w:t>Contents</w:t>
          </w:r>
          <w:r w:rsidR="00783DA7">
            <w:fldChar w:fldCharType="begin"/>
          </w:r>
          <w:r w:rsidR="00783DA7">
            <w:instrText xml:space="preserve"> DOCVARIABLE vault_nd_5923c25a-7f75-4be0-b5b3-2f9356aa1a47 \* MERGEFORMAT </w:instrText>
          </w:r>
          <w:r w:rsidR="00783DA7">
            <w:fldChar w:fldCharType="separate"/>
          </w:r>
          <w:r w:rsidR="007D13D5">
            <w:t xml:space="preserve"> </w:t>
          </w:r>
          <w:r w:rsidR="00783DA7">
            <w:fldChar w:fldCharType="end"/>
          </w:r>
        </w:p>
        <w:p w14:paraId="165906F8" w14:textId="6B12266A" w:rsidR="007D13D5" w:rsidRDefault="00F02AEC">
          <w:pPr>
            <w:pStyle w:val="TOC1"/>
            <w:rPr>
              <w:rFonts w:asciiTheme="minorHAnsi" w:eastAsiaTheme="minorEastAsia" w:hAnsiTheme="minorHAnsi" w:cstheme="minorBidi"/>
              <w:b w:val="0"/>
              <w:noProof/>
              <w:color w:val="auto"/>
              <w:sz w:val="22"/>
              <w:szCs w:val="22"/>
              <w:lang w:eastAsia="en-AU"/>
            </w:rPr>
          </w:pPr>
          <w:r w:rsidRPr="00215D48">
            <w:fldChar w:fldCharType="begin"/>
          </w:r>
          <w:r w:rsidRPr="00215D48">
            <w:instrText xml:space="preserve"> TOC \h \z \u \t "Heading 2,1,Heading 3,2,Heading 4,3" </w:instrText>
          </w:r>
          <w:r w:rsidRPr="00215D48">
            <w:fldChar w:fldCharType="separate"/>
          </w:r>
          <w:hyperlink w:anchor="_Toc144970825" w:history="1">
            <w:r w:rsidR="007D13D5" w:rsidRPr="00B70FA9">
              <w:rPr>
                <w:rStyle w:val="Hyperlink"/>
                <w:noProof/>
              </w:rPr>
              <w:t>List of abbreviations</w:t>
            </w:r>
            <w:r w:rsidR="007D13D5">
              <w:rPr>
                <w:noProof/>
                <w:webHidden/>
              </w:rPr>
              <w:tab/>
            </w:r>
            <w:r w:rsidR="007D13D5">
              <w:rPr>
                <w:noProof/>
                <w:webHidden/>
              </w:rPr>
              <w:fldChar w:fldCharType="begin"/>
            </w:r>
            <w:r w:rsidR="007D13D5">
              <w:rPr>
                <w:noProof/>
                <w:webHidden/>
              </w:rPr>
              <w:instrText xml:space="preserve"> PAGEREF _Toc144970825 \h </w:instrText>
            </w:r>
            <w:r w:rsidR="007D13D5">
              <w:rPr>
                <w:noProof/>
                <w:webHidden/>
              </w:rPr>
            </w:r>
            <w:r w:rsidR="007D13D5">
              <w:rPr>
                <w:noProof/>
                <w:webHidden/>
              </w:rPr>
              <w:fldChar w:fldCharType="separate"/>
            </w:r>
            <w:r w:rsidR="00783DA7">
              <w:rPr>
                <w:noProof/>
                <w:webHidden/>
              </w:rPr>
              <w:t>4</w:t>
            </w:r>
            <w:r w:rsidR="007D13D5">
              <w:rPr>
                <w:noProof/>
                <w:webHidden/>
              </w:rPr>
              <w:fldChar w:fldCharType="end"/>
            </w:r>
          </w:hyperlink>
        </w:p>
        <w:p w14:paraId="706D087F" w14:textId="61999001" w:rsidR="007D13D5" w:rsidRDefault="00783DA7">
          <w:pPr>
            <w:pStyle w:val="TOC1"/>
            <w:rPr>
              <w:rFonts w:asciiTheme="minorHAnsi" w:eastAsiaTheme="minorEastAsia" w:hAnsiTheme="minorHAnsi" w:cstheme="minorBidi"/>
              <w:b w:val="0"/>
              <w:noProof/>
              <w:color w:val="auto"/>
              <w:sz w:val="22"/>
              <w:szCs w:val="22"/>
              <w:lang w:eastAsia="en-AU"/>
            </w:rPr>
          </w:pPr>
          <w:hyperlink w:anchor="_Toc144970826" w:history="1">
            <w:r w:rsidR="007D13D5" w:rsidRPr="00B70FA9">
              <w:rPr>
                <w:rStyle w:val="Hyperlink"/>
                <w:noProof/>
              </w:rPr>
              <w:t>Product submission</w:t>
            </w:r>
            <w:r w:rsidR="007D13D5">
              <w:rPr>
                <w:noProof/>
                <w:webHidden/>
              </w:rPr>
              <w:tab/>
            </w:r>
            <w:r w:rsidR="007D13D5">
              <w:rPr>
                <w:noProof/>
                <w:webHidden/>
              </w:rPr>
              <w:fldChar w:fldCharType="begin"/>
            </w:r>
            <w:r w:rsidR="007D13D5">
              <w:rPr>
                <w:noProof/>
                <w:webHidden/>
              </w:rPr>
              <w:instrText xml:space="preserve"> PAGEREF _Toc144970826 \h </w:instrText>
            </w:r>
            <w:r w:rsidR="007D13D5">
              <w:rPr>
                <w:noProof/>
                <w:webHidden/>
              </w:rPr>
            </w:r>
            <w:r w:rsidR="007D13D5">
              <w:rPr>
                <w:noProof/>
                <w:webHidden/>
              </w:rPr>
              <w:fldChar w:fldCharType="separate"/>
            </w:r>
            <w:r>
              <w:rPr>
                <w:noProof/>
                <w:webHidden/>
              </w:rPr>
              <w:t>6</w:t>
            </w:r>
            <w:r w:rsidR="007D13D5">
              <w:rPr>
                <w:noProof/>
                <w:webHidden/>
              </w:rPr>
              <w:fldChar w:fldCharType="end"/>
            </w:r>
          </w:hyperlink>
        </w:p>
        <w:p w14:paraId="21EBD704" w14:textId="64DD1118" w:rsidR="007D13D5" w:rsidRDefault="00783DA7">
          <w:pPr>
            <w:pStyle w:val="TOC2"/>
            <w:rPr>
              <w:rFonts w:asciiTheme="minorHAnsi" w:eastAsiaTheme="minorEastAsia" w:hAnsiTheme="minorHAnsi" w:cstheme="minorBidi"/>
              <w:b w:val="0"/>
              <w:noProof/>
              <w:color w:val="auto"/>
              <w:sz w:val="22"/>
              <w:szCs w:val="22"/>
              <w:lang w:eastAsia="en-AU"/>
            </w:rPr>
          </w:pPr>
          <w:hyperlink w:anchor="_Toc144970827" w:history="1">
            <w:r w:rsidR="007D13D5" w:rsidRPr="00B70FA9">
              <w:rPr>
                <w:rStyle w:val="Hyperlink"/>
                <w:noProof/>
                <w:lang w:eastAsia="en-AU"/>
              </w:rPr>
              <w:t>Submission details</w:t>
            </w:r>
            <w:r w:rsidR="007D13D5">
              <w:rPr>
                <w:noProof/>
                <w:webHidden/>
              </w:rPr>
              <w:tab/>
            </w:r>
            <w:r w:rsidR="007D13D5">
              <w:rPr>
                <w:noProof/>
                <w:webHidden/>
              </w:rPr>
              <w:fldChar w:fldCharType="begin"/>
            </w:r>
            <w:r w:rsidR="007D13D5">
              <w:rPr>
                <w:noProof/>
                <w:webHidden/>
              </w:rPr>
              <w:instrText xml:space="preserve"> PAGEREF _Toc144970827 \h </w:instrText>
            </w:r>
            <w:r w:rsidR="007D13D5">
              <w:rPr>
                <w:noProof/>
                <w:webHidden/>
              </w:rPr>
            </w:r>
            <w:r w:rsidR="007D13D5">
              <w:rPr>
                <w:noProof/>
                <w:webHidden/>
              </w:rPr>
              <w:fldChar w:fldCharType="separate"/>
            </w:r>
            <w:r>
              <w:rPr>
                <w:noProof/>
                <w:webHidden/>
              </w:rPr>
              <w:t>6</w:t>
            </w:r>
            <w:r w:rsidR="007D13D5">
              <w:rPr>
                <w:noProof/>
                <w:webHidden/>
              </w:rPr>
              <w:fldChar w:fldCharType="end"/>
            </w:r>
          </w:hyperlink>
        </w:p>
        <w:p w14:paraId="6FA47710" w14:textId="2354070F" w:rsidR="007D13D5" w:rsidRDefault="00783DA7">
          <w:pPr>
            <w:pStyle w:val="TOC2"/>
            <w:rPr>
              <w:rFonts w:asciiTheme="minorHAnsi" w:eastAsiaTheme="minorEastAsia" w:hAnsiTheme="minorHAnsi" w:cstheme="minorBidi"/>
              <w:b w:val="0"/>
              <w:noProof/>
              <w:color w:val="auto"/>
              <w:sz w:val="22"/>
              <w:szCs w:val="22"/>
              <w:lang w:eastAsia="en-AU"/>
            </w:rPr>
          </w:pPr>
          <w:hyperlink w:anchor="_Toc144970828" w:history="1">
            <w:r w:rsidR="007D13D5" w:rsidRPr="00B70FA9">
              <w:rPr>
                <w:rStyle w:val="Hyperlink"/>
                <w:noProof/>
              </w:rPr>
              <w:t>Product background</w:t>
            </w:r>
            <w:r w:rsidR="007D13D5">
              <w:rPr>
                <w:noProof/>
                <w:webHidden/>
              </w:rPr>
              <w:tab/>
            </w:r>
            <w:r w:rsidR="007D13D5">
              <w:rPr>
                <w:noProof/>
                <w:webHidden/>
              </w:rPr>
              <w:fldChar w:fldCharType="begin"/>
            </w:r>
            <w:r w:rsidR="007D13D5">
              <w:rPr>
                <w:noProof/>
                <w:webHidden/>
              </w:rPr>
              <w:instrText xml:space="preserve"> PAGEREF _Toc144970828 \h </w:instrText>
            </w:r>
            <w:r w:rsidR="007D13D5">
              <w:rPr>
                <w:noProof/>
                <w:webHidden/>
              </w:rPr>
            </w:r>
            <w:r w:rsidR="007D13D5">
              <w:rPr>
                <w:noProof/>
                <w:webHidden/>
              </w:rPr>
              <w:fldChar w:fldCharType="separate"/>
            </w:r>
            <w:r>
              <w:rPr>
                <w:noProof/>
                <w:webHidden/>
              </w:rPr>
              <w:t>7</w:t>
            </w:r>
            <w:r w:rsidR="007D13D5">
              <w:rPr>
                <w:noProof/>
                <w:webHidden/>
              </w:rPr>
              <w:fldChar w:fldCharType="end"/>
            </w:r>
          </w:hyperlink>
        </w:p>
        <w:p w14:paraId="13788D03" w14:textId="7E190AA5" w:rsidR="007D13D5" w:rsidRDefault="00783DA7">
          <w:pPr>
            <w:pStyle w:val="TOC3"/>
            <w:rPr>
              <w:rFonts w:asciiTheme="minorHAnsi" w:eastAsiaTheme="minorEastAsia" w:hAnsiTheme="minorHAnsi" w:cstheme="minorBidi"/>
              <w:b w:val="0"/>
              <w:noProof/>
              <w:color w:val="auto"/>
              <w:szCs w:val="22"/>
              <w:lang w:eastAsia="en-AU"/>
            </w:rPr>
          </w:pPr>
          <w:hyperlink w:anchor="_Toc144970829" w:history="1">
            <w:r w:rsidR="007D13D5" w:rsidRPr="00B70FA9">
              <w:rPr>
                <w:rStyle w:val="Hyperlink"/>
                <w:noProof/>
              </w:rPr>
              <w:t>Condition</w:t>
            </w:r>
            <w:r w:rsidR="007D13D5">
              <w:rPr>
                <w:noProof/>
                <w:webHidden/>
              </w:rPr>
              <w:tab/>
            </w:r>
            <w:r w:rsidR="007D13D5">
              <w:rPr>
                <w:noProof/>
                <w:webHidden/>
              </w:rPr>
              <w:fldChar w:fldCharType="begin"/>
            </w:r>
            <w:r w:rsidR="007D13D5">
              <w:rPr>
                <w:noProof/>
                <w:webHidden/>
              </w:rPr>
              <w:instrText xml:space="preserve"> PAGEREF _Toc144970829 \h </w:instrText>
            </w:r>
            <w:r w:rsidR="007D13D5">
              <w:rPr>
                <w:noProof/>
                <w:webHidden/>
              </w:rPr>
            </w:r>
            <w:r w:rsidR="007D13D5">
              <w:rPr>
                <w:noProof/>
                <w:webHidden/>
              </w:rPr>
              <w:fldChar w:fldCharType="separate"/>
            </w:r>
            <w:r>
              <w:rPr>
                <w:noProof/>
                <w:webHidden/>
              </w:rPr>
              <w:t>7</w:t>
            </w:r>
            <w:r w:rsidR="007D13D5">
              <w:rPr>
                <w:noProof/>
                <w:webHidden/>
              </w:rPr>
              <w:fldChar w:fldCharType="end"/>
            </w:r>
          </w:hyperlink>
        </w:p>
        <w:p w14:paraId="12C66AA8" w14:textId="115C3318" w:rsidR="007D13D5" w:rsidRDefault="00783DA7">
          <w:pPr>
            <w:pStyle w:val="TOC3"/>
            <w:rPr>
              <w:rFonts w:asciiTheme="minorHAnsi" w:eastAsiaTheme="minorEastAsia" w:hAnsiTheme="minorHAnsi" w:cstheme="minorBidi"/>
              <w:b w:val="0"/>
              <w:noProof/>
              <w:color w:val="auto"/>
              <w:szCs w:val="22"/>
              <w:lang w:eastAsia="en-AU"/>
            </w:rPr>
          </w:pPr>
          <w:hyperlink w:anchor="_Toc144970830" w:history="1">
            <w:r w:rsidR="007D13D5" w:rsidRPr="00B70FA9">
              <w:rPr>
                <w:rStyle w:val="Hyperlink"/>
                <w:noProof/>
              </w:rPr>
              <w:t>Current treatment options</w:t>
            </w:r>
            <w:r w:rsidR="007D13D5">
              <w:rPr>
                <w:noProof/>
                <w:webHidden/>
              </w:rPr>
              <w:tab/>
            </w:r>
            <w:r w:rsidR="007D13D5">
              <w:rPr>
                <w:noProof/>
                <w:webHidden/>
              </w:rPr>
              <w:fldChar w:fldCharType="begin"/>
            </w:r>
            <w:r w:rsidR="007D13D5">
              <w:rPr>
                <w:noProof/>
                <w:webHidden/>
              </w:rPr>
              <w:instrText xml:space="preserve"> PAGEREF _Toc144970830 \h </w:instrText>
            </w:r>
            <w:r w:rsidR="007D13D5">
              <w:rPr>
                <w:noProof/>
                <w:webHidden/>
              </w:rPr>
            </w:r>
            <w:r w:rsidR="007D13D5">
              <w:rPr>
                <w:noProof/>
                <w:webHidden/>
              </w:rPr>
              <w:fldChar w:fldCharType="separate"/>
            </w:r>
            <w:r>
              <w:rPr>
                <w:noProof/>
                <w:webHidden/>
              </w:rPr>
              <w:t>8</w:t>
            </w:r>
            <w:r w:rsidR="007D13D5">
              <w:rPr>
                <w:noProof/>
                <w:webHidden/>
              </w:rPr>
              <w:fldChar w:fldCharType="end"/>
            </w:r>
          </w:hyperlink>
        </w:p>
        <w:p w14:paraId="60F67C35" w14:textId="1F044723" w:rsidR="007D13D5" w:rsidRDefault="00783DA7">
          <w:pPr>
            <w:pStyle w:val="TOC2"/>
            <w:rPr>
              <w:rFonts w:asciiTheme="minorHAnsi" w:eastAsiaTheme="minorEastAsia" w:hAnsiTheme="minorHAnsi" w:cstheme="minorBidi"/>
              <w:b w:val="0"/>
              <w:noProof/>
              <w:color w:val="auto"/>
              <w:sz w:val="22"/>
              <w:szCs w:val="22"/>
              <w:lang w:eastAsia="en-AU"/>
            </w:rPr>
          </w:pPr>
          <w:hyperlink w:anchor="_Toc144970831" w:history="1">
            <w:r w:rsidR="007D13D5" w:rsidRPr="00B70FA9">
              <w:rPr>
                <w:rStyle w:val="Hyperlink"/>
                <w:noProof/>
              </w:rPr>
              <w:t>Regulatory status</w:t>
            </w:r>
            <w:r w:rsidR="007D13D5">
              <w:rPr>
                <w:noProof/>
                <w:webHidden/>
              </w:rPr>
              <w:tab/>
            </w:r>
            <w:r w:rsidR="007D13D5">
              <w:rPr>
                <w:noProof/>
                <w:webHidden/>
              </w:rPr>
              <w:fldChar w:fldCharType="begin"/>
            </w:r>
            <w:r w:rsidR="007D13D5">
              <w:rPr>
                <w:noProof/>
                <w:webHidden/>
              </w:rPr>
              <w:instrText xml:space="preserve"> PAGEREF _Toc144970831 \h </w:instrText>
            </w:r>
            <w:r w:rsidR="007D13D5">
              <w:rPr>
                <w:noProof/>
                <w:webHidden/>
              </w:rPr>
            </w:r>
            <w:r w:rsidR="007D13D5">
              <w:rPr>
                <w:noProof/>
                <w:webHidden/>
              </w:rPr>
              <w:fldChar w:fldCharType="separate"/>
            </w:r>
            <w:r>
              <w:rPr>
                <w:noProof/>
                <w:webHidden/>
              </w:rPr>
              <w:t>8</w:t>
            </w:r>
            <w:r w:rsidR="007D13D5">
              <w:rPr>
                <w:noProof/>
                <w:webHidden/>
              </w:rPr>
              <w:fldChar w:fldCharType="end"/>
            </w:r>
          </w:hyperlink>
        </w:p>
        <w:p w14:paraId="6B07DA8A" w14:textId="5C4B8620" w:rsidR="007D13D5" w:rsidRDefault="00783DA7">
          <w:pPr>
            <w:pStyle w:val="TOC2"/>
            <w:rPr>
              <w:rFonts w:asciiTheme="minorHAnsi" w:eastAsiaTheme="minorEastAsia" w:hAnsiTheme="minorHAnsi" w:cstheme="minorBidi"/>
              <w:b w:val="0"/>
              <w:noProof/>
              <w:color w:val="auto"/>
              <w:sz w:val="22"/>
              <w:szCs w:val="22"/>
              <w:lang w:eastAsia="en-AU"/>
            </w:rPr>
          </w:pPr>
          <w:hyperlink w:anchor="_Toc144970832" w:history="1">
            <w:r w:rsidR="007D13D5" w:rsidRPr="00B70FA9">
              <w:rPr>
                <w:rStyle w:val="Hyperlink"/>
                <w:noProof/>
              </w:rPr>
              <w:t>Product Information</w:t>
            </w:r>
            <w:r w:rsidR="007D13D5">
              <w:rPr>
                <w:noProof/>
                <w:webHidden/>
              </w:rPr>
              <w:tab/>
            </w:r>
            <w:r w:rsidR="007D13D5">
              <w:rPr>
                <w:noProof/>
                <w:webHidden/>
              </w:rPr>
              <w:fldChar w:fldCharType="begin"/>
            </w:r>
            <w:r w:rsidR="007D13D5">
              <w:rPr>
                <w:noProof/>
                <w:webHidden/>
              </w:rPr>
              <w:instrText xml:space="preserve"> PAGEREF _Toc144970832 \h </w:instrText>
            </w:r>
            <w:r w:rsidR="007D13D5">
              <w:rPr>
                <w:noProof/>
                <w:webHidden/>
              </w:rPr>
            </w:r>
            <w:r w:rsidR="007D13D5">
              <w:rPr>
                <w:noProof/>
                <w:webHidden/>
              </w:rPr>
              <w:fldChar w:fldCharType="separate"/>
            </w:r>
            <w:r>
              <w:rPr>
                <w:noProof/>
                <w:webHidden/>
              </w:rPr>
              <w:t>10</w:t>
            </w:r>
            <w:r w:rsidR="007D13D5">
              <w:rPr>
                <w:noProof/>
                <w:webHidden/>
              </w:rPr>
              <w:fldChar w:fldCharType="end"/>
            </w:r>
          </w:hyperlink>
        </w:p>
        <w:p w14:paraId="2757BF72" w14:textId="68AE90F1" w:rsidR="007D13D5" w:rsidRDefault="00783DA7">
          <w:pPr>
            <w:pStyle w:val="TOC1"/>
            <w:rPr>
              <w:rFonts w:asciiTheme="minorHAnsi" w:eastAsiaTheme="minorEastAsia" w:hAnsiTheme="minorHAnsi" w:cstheme="minorBidi"/>
              <w:b w:val="0"/>
              <w:noProof/>
              <w:color w:val="auto"/>
              <w:sz w:val="22"/>
              <w:szCs w:val="22"/>
              <w:lang w:eastAsia="en-AU"/>
            </w:rPr>
          </w:pPr>
          <w:hyperlink w:anchor="_Toc144970833" w:history="1">
            <w:r w:rsidR="007D13D5" w:rsidRPr="00B70FA9">
              <w:rPr>
                <w:rStyle w:val="Hyperlink"/>
                <w:noProof/>
              </w:rPr>
              <w:t>Registration timeline</w:t>
            </w:r>
            <w:r w:rsidR="007D13D5">
              <w:rPr>
                <w:noProof/>
                <w:webHidden/>
              </w:rPr>
              <w:tab/>
            </w:r>
            <w:r w:rsidR="007D13D5">
              <w:rPr>
                <w:noProof/>
                <w:webHidden/>
              </w:rPr>
              <w:fldChar w:fldCharType="begin"/>
            </w:r>
            <w:r w:rsidR="007D13D5">
              <w:rPr>
                <w:noProof/>
                <w:webHidden/>
              </w:rPr>
              <w:instrText xml:space="preserve"> PAGEREF _Toc144970833 \h </w:instrText>
            </w:r>
            <w:r w:rsidR="007D13D5">
              <w:rPr>
                <w:noProof/>
                <w:webHidden/>
              </w:rPr>
            </w:r>
            <w:r w:rsidR="007D13D5">
              <w:rPr>
                <w:noProof/>
                <w:webHidden/>
              </w:rPr>
              <w:fldChar w:fldCharType="separate"/>
            </w:r>
            <w:r>
              <w:rPr>
                <w:noProof/>
                <w:webHidden/>
              </w:rPr>
              <w:t>10</w:t>
            </w:r>
            <w:r w:rsidR="007D13D5">
              <w:rPr>
                <w:noProof/>
                <w:webHidden/>
              </w:rPr>
              <w:fldChar w:fldCharType="end"/>
            </w:r>
          </w:hyperlink>
        </w:p>
        <w:p w14:paraId="6C582DB0" w14:textId="73A1B067" w:rsidR="007D13D5" w:rsidRDefault="00783DA7">
          <w:pPr>
            <w:pStyle w:val="TOC1"/>
            <w:rPr>
              <w:rFonts w:asciiTheme="minorHAnsi" w:eastAsiaTheme="minorEastAsia" w:hAnsiTheme="minorHAnsi" w:cstheme="minorBidi"/>
              <w:b w:val="0"/>
              <w:noProof/>
              <w:color w:val="auto"/>
              <w:sz w:val="22"/>
              <w:szCs w:val="22"/>
              <w:lang w:eastAsia="en-AU"/>
            </w:rPr>
          </w:pPr>
          <w:hyperlink w:anchor="_Toc144970834" w:history="1">
            <w:r w:rsidR="007D13D5" w:rsidRPr="00B70FA9">
              <w:rPr>
                <w:rStyle w:val="Hyperlink"/>
                <w:noProof/>
              </w:rPr>
              <w:t>Submission overview and risk/benefit assessment</w:t>
            </w:r>
            <w:r w:rsidR="007D13D5">
              <w:rPr>
                <w:noProof/>
                <w:webHidden/>
              </w:rPr>
              <w:tab/>
            </w:r>
            <w:r w:rsidR="007D13D5">
              <w:rPr>
                <w:noProof/>
                <w:webHidden/>
              </w:rPr>
              <w:fldChar w:fldCharType="begin"/>
            </w:r>
            <w:r w:rsidR="007D13D5">
              <w:rPr>
                <w:noProof/>
                <w:webHidden/>
              </w:rPr>
              <w:instrText xml:space="preserve"> PAGEREF _Toc144970834 \h </w:instrText>
            </w:r>
            <w:r w:rsidR="007D13D5">
              <w:rPr>
                <w:noProof/>
                <w:webHidden/>
              </w:rPr>
            </w:r>
            <w:r w:rsidR="007D13D5">
              <w:rPr>
                <w:noProof/>
                <w:webHidden/>
              </w:rPr>
              <w:fldChar w:fldCharType="separate"/>
            </w:r>
            <w:r>
              <w:rPr>
                <w:noProof/>
                <w:webHidden/>
              </w:rPr>
              <w:t>10</w:t>
            </w:r>
            <w:r w:rsidR="007D13D5">
              <w:rPr>
                <w:noProof/>
                <w:webHidden/>
              </w:rPr>
              <w:fldChar w:fldCharType="end"/>
            </w:r>
          </w:hyperlink>
        </w:p>
        <w:p w14:paraId="0DDD9866" w14:textId="374EB85A" w:rsidR="007D13D5" w:rsidRDefault="00783DA7">
          <w:pPr>
            <w:pStyle w:val="TOC2"/>
            <w:rPr>
              <w:rFonts w:asciiTheme="minorHAnsi" w:eastAsiaTheme="minorEastAsia" w:hAnsiTheme="minorHAnsi" w:cstheme="minorBidi"/>
              <w:b w:val="0"/>
              <w:noProof/>
              <w:color w:val="auto"/>
              <w:sz w:val="22"/>
              <w:szCs w:val="22"/>
              <w:lang w:eastAsia="en-AU"/>
            </w:rPr>
          </w:pPr>
          <w:hyperlink w:anchor="_Toc144970835" w:history="1">
            <w:r w:rsidR="007D13D5" w:rsidRPr="00B70FA9">
              <w:rPr>
                <w:rStyle w:val="Hyperlink"/>
                <w:noProof/>
              </w:rPr>
              <w:t>Quality</w:t>
            </w:r>
            <w:r w:rsidR="007D13D5">
              <w:rPr>
                <w:noProof/>
                <w:webHidden/>
              </w:rPr>
              <w:tab/>
            </w:r>
            <w:r w:rsidR="007D13D5">
              <w:rPr>
                <w:noProof/>
                <w:webHidden/>
              </w:rPr>
              <w:fldChar w:fldCharType="begin"/>
            </w:r>
            <w:r w:rsidR="007D13D5">
              <w:rPr>
                <w:noProof/>
                <w:webHidden/>
              </w:rPr>
              <w:instrText xml:space="preserve"> PAGEREF _Toc144970835 \h </w:instrText>
            </w:r>
            <w:r w:rsidR="007D13D5">
              <w:rPr>
                <w:noProof/>
                <w:webHidden/>
              </w:rPr>
            </w:r>
            <w:r w:rsidR="007D13D5">
              <w:rPr>
                <w:noProof/>
                <w:webHidden/>
              </w:rPr>
              <w:fldChar w:fldCharType="separate"/>
            </w:r>
            <w:r>
              <w:rPr>
                <w:noProof/>
                <w:webHidden/>
              </w:rPr>
              <w:t>11</w:t>
            </w:r>
            <w:r w:rsidR="007D13D5">
              <w:rPr>
                <w:noProof/>
                <w:webHidden/>
              </w:rPr>
              <w:fldChar w:fldCharType="end"/>
            </w:r>
          </w:hyperlink>
        </w:p>
        <w:p w14:paraId="092C446B" w14:textId="3F8107D5" w:rsidR="007D13D5" w:rsidRDefault="00783DA7">
          <w:pPr>
            <w:pStyle w:val="TOC3"/>
            <w:rPr>
              <w:rFonts w:asciiTheme="minorHAnsi" w:eastAsiaTheme="minorEastAsia" w:hAnsiTheme="minorHAnsi" w:cstheme="minorBidi"/>
              <w:b w:val="0"/>
              <w:noProof/>
              <w:color w:val="auto"/>
              <w:szCs w:val="22"/>
              <w:lang w:eastAsia="en-AU"/>
            </w:rPr>
          </w:pPr>
          <w:hyperlink w:anchor="_Toc144970836" w:history="1">
            <w:r w:rsidR="007D13D5" w:rsidRPr="00B70FA9">
              <w:rPr>
                <w:rStyle w:val="Hyperlink"/>
                <w:noProof/>
              </w:rPr>
              <w:t>Quality – related proposed conditions of registration</w:t>
            </w:r>
            <w:r w:rsidR="007D13D5">
              <w:rPr>
                <w:noProof/>
                <w:webHidden/>
              </w:rPr>
              <w:tab/>
            </w:r>
            <w:r w:rsidR="007D13D5">
              <w:rPr>
                <w:noProof/>
                <w:webHidden/>
              </w:rPr>
              <w:fldChar w:fldCharType="begin"/>
            </w:r>
            <w:r w:rsidR="007D13D5">
              <w:rPr>
                <w:noProof/>
                <w:webHidden/>
              </w:rPr>
              <w:instrText xml:space="preserve"> PAGEREF _Toc144970836 \h </w:instrText>
            </w:r>
            <w:r w:rsidR="007D13D5">
              <w:rPr>
                <w:noProof/>
                <w:webHidden/>
              </w:rPr>
            </w:r>
            <w:r w:rsidR="007D13D5">
              <w:rPr>
                <w:noProof/>
                <w:webHidden/>
              </w:rPr>
              <w:fldChar w:fldCharType="separate"/>
            </w:r>
            <w:r>
              <w:rPr>
                <w:noProof/>
                <w:webHidden/>
              </w:rPr>
              <w:t>11</w:t>
            </w:r>
            <w:r w:rsidR="007D13D5">
              <w:rPr>
                <w:noProof/>
                <w:webHidden/>
              </w:rPr>
              <w:fldChar w:fldCharType="end"/>
            </w:r>
          </w:hyperlink>
        </w:p>
        <w:p w14:paraId="02497BAA" w14:textId="4B8CC669" w:rsidR="007D13D5" w:rsidRDefault="00783DA7">
          <w:pPr>
            <w:pStyle w:val="TOC2"/>
            <w:rPr>
              <w:rFonts w:asciiTheme="minorHAnsi" w:eastAsiaTheme="minorEastAsia" w:hAnsiTheme="minorHAnsi" w:cstheme="minorBidi"/>
              <w:b w:val="0"/>
              <w:noProof/>
              <w:color w:val="auto"/>
              <w:sz w:val="22"/>
              <w:szCs w:val="22"/>
              <w:lang w:eastAsia="en-AU"/>
            </w:rPr>
          </w:pPr>
          <w:hyperlink w:anchor="_Toc144970837" w:history="1">
            <w:r w:rsidR="007D13D5" w:rsidRPr="00B70FA9">
              <w:rPr>
                <w:rStyle w:val="Hyperlink"/>
                <w:noProof/>
              </w:rPr>
              <w:t>Nonclinical</w:t>
            </w:r>
            <w:r w:rsidR="007D13D5">
              <w:rPr>
                <w:noProof/>
                <w:webHidden/>
              </w:rPr>
              <w:tab/>
            </w:r>
            <w:r w:rsidR="007D13D5">
              <w:rPr>
                <w:noProof/>
                <w:webHidden/>
              </w:rPr>
              <w:fldChar w:fldCharType="begin"/>
            </w:r>
            <w:r w:rsidR="007D13D5">
              <w:rPr>
                <w:noProof/>
                <w:webHidden/>
              </w:rPr>
              <w:instrText xml:space="preserve"> PAGEREF _Toc144970837 \h </w:instrText>
            </w:r>
            <w:r w:rsidR="007D13D5">
              <w:rPr>
                <w:noProof/>
                <w:webHidden/>
              </w:rPr>
            </w:r>
            <w:r w:rsidR="007D13D5">
              <w:rPr>
                <w:noProof/>
                <w:webHidden/>
              </w:rPr>
              <w:fldChar w:fldCharType="separate"/>
            </w:r>
            <w:r>
              <w:rPr>
                <w:noProof/>
                <w:webHidden/>
              </w:rPr>
              <w:t>13</w:t>
            </w:r>
            <w:r w:rsidR="007D13D5">
              <w:rPr>
                <w:noProof/>
                <w:webHidden/>
              </w:rPr>
              <w:fldChar w:fldCharType="end"/>
            </w:r>
          </w:hyperlink>
        </w:p>
        <w:p w14:paraId="5819E479" w14:textId="5F5811D8" w:rsidR="007D13D5" w:rsidRDefault="00783DA7">
          <w:pPr>
            <w:pStyle w:val="TOC2"/>
            <w:rPr>
              <w:rFonts w:asciiTheme="minorHAnsi" w:eastAsiaTheme="minorEastAsia" w:hAnsiTheme="minorHAnsi" w:cstheme="minorBidi"/>
              <w:b w:val="0"/>
              <w:noProof/>
              <w:color w:val="auto"/>
              <w:sz w:val="22"/>
              <w:szCs w:val="22"/>
              <w:lang w:eastAsia="en-AU"/>
            </w:rPr>
          </w:pPr>
          <w:hyperlink w:anchor="_Toc144970838" w:history="1">
            <w:r w:rsidR="007D13D5" w:rsidRPr="00B70FA9">
              <w:rPr>
                <w:rStyle w:val="Hyperlink"/>
                <w:noProof/>
              </w:rPr>
              <w:t>Clinical</w:t>
            </w:r>
            <w:r w:rsidR="007D13D5">
              <w:rPr>
                <w:noProof/>
                <w:webHidden/>
              </w:rPr>
              <w:tab/>
            </w:r>
            <w:r w:rsidR="007D13D5">
              <w:rPr>
                <w:noProof/>
                <w:webHidden/>
              </w:rPr>
              <w:fldChar w:fldCharType="begin"/>
            </w:r>
            <w:r w:rsidR="007D13D5">
              <w:rPr>
                <w:noProof/>
                <w:webHidden/>
              </w:rPr>
              <w:instrText xml:space="preserve"> PAGEREF _Toc144970838 \h </w:instrText>
            </w:r>
            <w:r w:rsidR="007D13D5">
              <w:rPr>
                <w:noProof/>
                <w:webHidden/>
              </w:rPr>
            </w:r>
            <w:r w:rsidR="007D13D5">
              <w:rPr>
                <w:noProof/>
                <w:webHidden/>
              </w:rPr>
              <w:fldChar w:fldCharType="separate"/>
            </w:r>
            <w:r>
              <w:rPr>
                <w:noProof/>
                <w:webHidden/>
              </w:rPr>
              <w:t>13</w:t>
            </w:r>
            <w:r w:rsidR="007D13D5">
              <w:rPr>
                <w:noProof/>
                <w:webHidden/>
              </w:rPr>
              <w:fldChar w:fldCharType="end"/>
            </w:r>
          </w:hyperlink>
        </w:p>
        <w:p w14:paraId="745EED3E" w14:textId="57227FFC" w:rsidR="007D13D5" w:rsidRDefault="00783DA7">
          <w:pPr>
            <w:pStyle w:val="TOC3"/>
            <w:rPr>
              <w:rFonts w:asciiTheme="minorHAnsi" w:eastAsiaTheme="minorEastAsia" w:hAnsiTheme="minorHAnsi" w:cstheme="minorBidi"/>
              <w:b w:val="0"/>
              <w:noProof/>
              <w:color w:val="auto"/>
              <w:szCs w:val="22"/>
              <w:lang w:eastAsia="en-AU"/>
            </w:rPr>
          </w:pPr>
          <w:hyperlink w:anchor="_Toc144970839" w:history="1">
            <w:r w:rsidR="007D13D5" w:rsidRPr="00B70FA9">
              <w:rPr>
                <w:rStyle w:val="Hyperlink"/>
                <w:rFonts w:eastAsiaTheme="minorHAnsi"/>
                <w:noProof/>
              </w:rPr>
              <w:t>Three MSSR were submitted during evaluation of this application to transition to full registration:</w:t>
            </w:r>
            <w:r w:rsidR="007D13D5">
              <w:rPr>
                <w:noProof/>
                <w:webHidden/>
              </w:rPr>
              <w:tab/>
            </w:r>
            <w:r w:rsidR="007D13D5">
              <w:rPr>
                <w:noProof/>
                <w:webHidden/>
              </w:rPr>
              <w:fldChar w:fldCharType="begin"/>
            </w:r>
            <w:r w:rsidR="007D13D5">
              <w:rPr>
                <w:noProof/>
                <w:webHidden/>
              </w:rPr>
              <w:instrText xml:space="preserve"> PAGEREF _Toc144970839 \h </w:instrText>
            </w:r>
            <w:r w:rsidR="007D13D5">
              <w:rPr>
                <w:noProof/>
                <w:webHidden/>
              </w:rPr>
            </w:r>
            <w:r w:rsidR="007D13D5">
              <w:rPr>
                <w:noProof/>
                <w:webHidden/>
              </w:rPr>
              <w:fldChar w:fldCharType="separate"/>
            </w:r>
            <w:r>
              <w:rPr>
                <w:noProof/>
                <w:webHidden/>
              </w:rPr>
              <w:t>14</w:t>
            </w:r>
            <w:r w:rsidR="007D13D5">
              <w:rPr>
                <w:noProof/>
                <w:webHidden/>
              </w:rPr>
              <w:fldChar w:fldCharType="end"/>
            </w:r>
          </w:hyperlink>
        </w:p>
        <w:p w14:paraId="78C05AF5" w14:textId="52A44F1E" w:rsidR="007D13D5" w:rsidRDefault="00783DA7">
          <w:pPr>
            <w:pStyle w:val="TOC3"/>
            <w:rPr>
              <w:rFonts w:asciiTheme="minorHAnsi" w:eastAsiaTheme="minorEastAsia" w:hAnsiTheme="minorHAnsi" w:cstheme="minorBidi"/>
              <w:b w:val="0"/>
              <w:noProof/>
              <w:color w:val="auto"/>
              <w:szCs w:val="22"/>
              <w:lang w:eastAsia="en-AU"/>
            </w:rPr>
          </w:pPr>
          <w:hyperlink w:anchor="_Toc144970840" w:history="1">
            <w:r w:rsidR="007D13D5" w:rsidRPr="00B70FA9">
              <w:rPr>
                <w:rStyle w:val="Hyperlink"/>
                <w:noProof/>
              </w:rPr>
              <w:t>Study P205 Part H (mRNA-1273.222)</w:t>
            </w:r>
            <w:r w:rsidR="007D13D5">
              <w:rPr>
                <w:noProof/>
                <w:webHidden/>
              </w:rPr>
              <w:tab/>
            </w:r>
            <w:r w:rsidR="007D13D5">
              <w:rPr>
                <w:noProof/>
                <w:webHidden/>
              </w:rPr>
              <w:fldChar w:fldCharType="begin"/>
            </w:r>
            <w:r w:rsidR="007D13D5">
              <w:rPr>
                <w:noProof/>
                <w:webHidden/>
              </w:rPr>
              <w:instrText xml:space="preserve"> PAGEREF _Toc144970840 \h </w:instrText>
            </w:r>
            <w:r w:rsidR="007D13D5">
              <w:rPr>
                <w:noProof/>
                <w:webHidden/>
              </w:rPr>
            </w:r>
            <w:r w:rsidR="007D13D5">
              <w:rPr>
                <w:noProof/>
                <w:webHidden/>
              </w:rPr>
              <w:fldChar w:fldCharType="separate"/>
            </w:r>
            <w:r>
              <w:rPr>
                <w:noProof/>
                <w:webHidden/>
              </w:rPr>
              <w:t>14</w:t>
            </w:r>
            <w:r w:rsidR="007D13D5">
              <w:rPr>
                <w:noProof/>
                <w:webHidden/>
              </w:rPr>
              <w:fldChar w:fldCharType="end"/>
            </w:r>
          </w:hyperlink>
        </w:p>
        <w:p w14:paraId="066E5787" w14:textId="146658B1" w:rsidR="007D13D5" w:rsidRDefault="00783DA7">
          <w:pPr>
            <w:pStyle w:val="TOC3"/>
            <w:rPr>
              <w:rFonts w:asciiTheme="minorHAnsi" w:eastAsiaTheme="minorEastAsia" w:hAnsiTheme="minorHAnsi" w:cstheme="minorBidi"/>
              <w:b w:val="0"/>
              <w:noProof/>
              <w:color w:val="auto"/>
              <w:szCs w:val="22"/>
              <w:lang w:eastAsia="en-AU"/>
            </w:rPr>
          </w:pPr>
          <w:hyperlink w:anchor="_Toc144970841" w:history="1">
            <w:r w:rsidR="007D13D5" w:rsidRPr="00B70FA9">
              <w:rPr>
                <w:rStyle w:val="Hyperlink"/>
                <w:noProof/>
              </w:rPr>
              <w:t>SARS-CoV-2 infection and symptomatic infection</w:t>
            </w:r>
            <w:r w:rsidR="007D13D5">
              <w:rPr>
                <w:noProof/>
                <w:webHidden/>
              </w:rPr>
              <w:tab/>
            </w:r>
            <w:r w:rsidR="007D13D5">
              <w:rPr>
                <w:noProof/>
                <w:webHidden/>
              </w:rPr>
              <w:fldChar w:fldCharType="begin"/>
            </w:r>
            <w:r w:rsidR="007D13D5">
              <w:rPr>
                <w:noProof/>
                <w:webHidden/>
              </w:rPr>
              <w:instrText xml:space="preserve"> PAGEREF _Toc144970841 \h </w:instrText>
            </w:r>
            <w:r w:rsidR="007D13D5">
              <w:rPr>
                <w:noProof/>
                <w:webHidden/>
              </w:rPr>
            </w:r>
            <w:r w:rsidR="007D13D5">
              <w:rPr>
                <w:noProof/>
                <w:webHidden/>
              </w:rPr>
              <w:fldChar w:fldCharType="separate"/>
            </w:r>
            <w:r>
              <w:rPr>
                <w:noProof/>
                <w:webHidden/>
              </w:rPr>
              <w:t>22</w:t>
            </w:r>
            <w:r w:rsidR="007D13D5">
              <w:rPr>
                <w:noProof/>
                <w:webHidden/>
              </w:rPr>
              <w:fldChar w:fldCharType="end"/>
            </w:r>
          </w:hyperlink>
        </w:p>
        <w:p w14:paraId="52208685" w14:textId="14DF00C4" w:rsidR="007D13D5" w:rsidRDefault="00783DA7">
          <w:pPr>
            <w:pStyle w:val="TOC3"/>
            <w:rPr>
              <w:rFonts w:asciiTheme="minorHAnsi" w:eastAsiaTheme="minorEastAsia" w:hAnsiTheme="minorHAnsi" w:cstheme="minorBidi"/>
              <w:b w:val="0"/>
              <w:noProof/>
              <w:color w:val="auto"/>
              <w:szCs w:val="22"/>
              <w:lang w:eastAsia="en-AU"/>
            </w:rPr>
          </w:pPr>
          <w:hyperlink w:anchor="_Toc144970842" w:history="1">
            <w:r w:rsidR="007D13D5" w:rsidRPr="00B70FA9">
              <w:rPr>
                <w:rStyle w:val="Hyperlink"/>
                <w:noProof/>
              </w:rPr>
              <w:t>Real world effectiveness</w:t>
            </w:r>
            <w:r w:rsidR="007D13D5">
              <w:rPr>
                <w:noProof/>
                <w:webHidden/>
              </w:rPr>
              <w:tab/>
            </w:r>
            <w:r w:rsidR="007D13D5">
              <w:rPr>
                <w:noProof/>
                <w:webHidden/>
              </w:rPr>
              <w:fldChar w:fldCharType="begin"/>
            </w:r>
            <w:r w:rsidR="007D13D5">
              <w:rPr>
                <w:noProof/>
                <w:webHidden/>
              </w:rPr>
              <w:instrText xml:space="preserve"> PAGEREF _Toc144970842 \h </w:instrText>
            </w:r>
            <w:r w:rsidR="007D13D5">
              <w:rPr>
                <w:noProof/>
                <w:webHidden/>
              </w:rPr>
            </w:r>
            <w:r w:rsidR="007D13D5">
              <w:rPr>
                <w:noProof/>
                <w:webHidden/>
              </w:rPr>
              <w:fldChar w:fldCharType="separate"/>
            </w:r>
            <w:r>
              <w:rPr>
                <w:noProof/>
                <w:webHidden/>
              </w:rPr>
              <w:t>23</w:t>
            </w:r>
            <w:r w:rsidR="007D13D5">
              <w:rPr>
                <w:noProof/>
                <w:webHidden/>
              </w:rPr>
              <w:fldChar w:fldCharType="end"/>
            </w:r>
          </w:hyperlink>
        </w:p>
        <w:p w14:paraId="44D58A29" w14:textId="0A39380B" w:rsidR="007D13D5" w:rsidRDefault="00783DA7">
          <w:pPr>
            <w:pStyle w:val="TOC2"/>
            <w:rPr>
              <w:rFonts w:asciiTheme="minorHAnsi" w:eastAsiaTheme="minorEastAsia" w:hAnsiTheme="minorHAnsi" w:cstheme="minorBidi"/>
              <w:b w:val="0"/>
              <w:noProof/>
              <w:color w:val="auto"/>
              <w:sz w:val="22"/>
              <w:szCs w:val="22"/>
              <w:lang w:eastAsia="en-AU"/>
            </w:rPr>
          </w:pPr>
          <w:hyperlink w:anchor="_Toc144970843" w:history="1">
            <w:r w:rsidR="007D13D5" w:rsidRPr="00B70FA9">
              <w:rPr>
                <w:rStyle w:val="Hyperlink"/>
                <w:noProof/>
                <w:lang w:eastAsia="en-AU"/>
              </w:rPr>
              <w:t>Risk management plan</w:t>
            </w:r>
            <w:r w:rsidR="007D13D5">
              <w:rPr>
                <w:noProof/>
                <w:webHidden/>
              </w:rPr>
              <w:tab/>
            </w:r>
            <w:r w:rsidR="007D13D5">
              <w:rPr>
                <w:noProof/>
                <w:webHidden/>
              </w:rPr>
              <w:fldChar w:fldCharType="begin"/>
            </w:r>
            <w:r w:rsidR="007D13D5">
              <w:rPr>
                <w:noProof/>
                <w:webHidden/>
              </w:rPr>
              <w:instrText xml:space="preserve"> PAGEREF _Toc144970843 \h </w:instrText>
            </w:r>
            <w:r w:rsidR="007D13D5">
              <w:rPr>
                <w:noProof/>
                <w:webHidden/>
              </w:rPr>
            </w:r>
            <w:r w:rsidR="007D13D5">
              <w:rPr>
                <w:noProof/>
                <w:webHidden/>
              </w:rPr>
              <w:fldChar w:fldCharType="separate"/>
            </w:r>
            <w:r>
              <w:rPr>
                <w:noProof/>
                <w:webHidden/>
              </w:rPr>
              <w:t>29</w:t>
            </w:r>
            <w:r w:rsidR="007D13D5">
              <w:rPr>
                <w:noProof/>
                <w:webHidden/>
              </w:rPr>
              <w:fldChar w:fldCharType="end"/>
            </w:r>
          </w:hyperlink>
        </w:p>
        <w:p w14:paraId="4F222BAC" w14:textId="139B1DD8" w:rsidR="007D13D5" w:rsidRDefault="00783DA7">
          <w:pPr>
            <w:pStyle w:val="TOC3"/>
            <w:rPr>
              <w:rFonts w:asciiTheme="minorHAnsi" w:eastAsiaTheme="minorEastAsia" w:hAnsiTheme="minorHAnsi" w:cstheme="minorBidi"/>
              <w:b w:val="0"/>
              <w:noProof/>
              <w:color w:val="auto"/>
              <w:szCs w:val="22"/>
              <w:lang w:eastAsia="en-AU"/>
            </w:rPr>
          </w:pPr>
          <w:hyperlink w:anchor="_Toc144970844" w:history="1">
            <w:r w:rsidR="007D13D5" w:rsidRPr="00B70FA9">
              <w:rPr>
                <w:rStyle w:val="Hyperlink"/>
                <w:noProof/>
              </w:rPr>
              <w:t>Proposed wording for conditions of registration</w:t>
            </w:r>
            <w:r w:rsidR="007D13D5">
              <w:rPr>
                <w:noProof/>
                <w:webHidden/>
              </w:rPr>
              <w:tab/>
            </w:r>
            <w:r w:rsidR="007D13D5">
              <w:rPr>
                <w:noProof/>
                <w:webHidden/>
              </w:rPr>
              <w:fldChar w:fldCharType="begin"/>
            </w:r>
            <w:r w:rsidR="007D13D5">
              <w:rPr>
                <w:noProof/>
                <w:webHidden/>
              </w:rPr>
              <w:instrText xml:space="preserve"> PAGEREF _Toc144970844 \h </w:instrText>
            </w:r>
            <w:r w:rsidR="007D13D5">
              <w:rPr>
                <w:noProof/>
                <w:webHidden/>
              </w:rPr>
            </w:r>
            <w:r w:rsidR="007D13D5">
              <w:rPr>
                <w:noProof/>
                <w:webHidden/>
              </w:rPr>
              <w:fldChar w:fldCharType="separate"/>
            </w:r>
            <w:r>
              <w:rPr>
                <w:noProof/>
                <w:webHidden/>
              </w:rPr>
              <w:t>31</w:t>
            </w:r>
            <w:r w:rsidR="007D13D5">
              <w:rPr>
                <w:noProof/>
                <w:webHidden/>
              </w:rPr>
              <w:fldChar w:fldCharType="end"/>
            </w:r>
          </w:hyperlink>
        </w:p>
        <w:p w14:paraId="6CF24B16" w14:textId="38FE421B" w:rsidR="007D13D5" w:rsidRDefault="00783DA7">
          <w:pPr>
            <w:pStyle w:val="TOC2"/>
            <w:rPr>
              <w:rFonts w:asciiTheme="minorHAnsi" w:eastAsiaTheme="minorEastAsia" w:hAnsiTheme="minorHAnsi" w:cstheme="minorBidi"/>
              <w:b w:val="0"/>
              <w:noProof/>
              <w:color w:val="auto"/>
              <w:sz w:val="22"/>
              <w:szCs w:val="22"/>
              <w:lang w:eastAsia="en-AU"/>
            </w:rPr>
          </w:pPr>
          <w:hyperlink w:anchor="_Toc144970845" w:history="1">
            <w:r w:rsidR="007D13D5" w:rsidRPr="00B70FA9">
              <w:rPr>
                <w:rStyle w:val="Hyperlink"/>
                <w:noProof/>
              </w:rPr>
              <w:t>Risk-benefit analysis</w:t>
            </w:r>
            <w:r w:rsidR="007D13D5">
              <w:rPr>
                <w:noProof/>
                <w:webHidden/>
              </w:rPr>
              <w:tab/>
            </w:r>
            <w:r w:rsidR="007D13D5">
              <w:rPr>
                <w:noProof/>
                <w:webHidden/>
              </w:rPr>
              <w:fldChar w:fldCharType="begin"/>
            </w:r>
            <w:r w:rsidR="007D13D5">
              <w:rPr>
                <w:noProof/>
                <w:webHidden/>
              </w:rPr>
              <w:instrText xml:space="preserve"> PAGEREF _Toc144970845 \h </w:instrText>
            </w:r>
            <w:r w:rsidR="007D13D5">
              <w:rPr>
                <w:noProof/>
                <w:webHidden/>
              </w:rPr>
            </w:r>
            <w:r w:rsidR="007D13D5">
              <w:rPr>
                <w:noProof/>
                <w:webHidden/>
              </w:rPr>
              <w:fldChar w:fldCharType="separate"/>
            </w:r>
            <w:r>
              <w:rPr>
                <w:noProof/>
                <w:webHidden/>
              </w:rPr>
              <w:t>31</w:t>
            </w:r>
            <w:r w:rsidR="007D13D5">
              <w:rPr>
                <w:noProof/>
                <w:webHidden/>
              </w:rPr>
              <w:fldChar w:fldCharType="end"/>
            </w:r>
          </w:hyperlink>
        </w:p>
        <w:p w14:paraId="26377086" w14:textId="0D4B876A" w:rsidR="007D13D5" w:rsidRDefault="00783DA7">
          <w:pPr>
            <w:pStyle w:val="TOC3"/>
            <w:rPr>
              <w:rFonts w:asciiTheme="minorHAnsi" w:eastAsiaTheme="minorEastAsia" w:hAnsiTheme="minorHAnsi" w:cstheme="minorBidi"/>
              <w:b w:val="0"/>
              <w:noProof/>
              <w:color w:val="auto"/>
              <w:szCs w:val="22"/>
              <w:lang w:eastAsia="en-AU"/>
            </w:rPr>
          </w:pPr>
          <w:hyperlink w:anchor="_Toc144970846" w:history="1">
            <w:r w:rsidR="007D13D5" w:rsidRPr="00B70FA9">
              <w:rPr>
                <w:rStyle w:val="Hyperlink"/>
                <w:noProof/>
              </w:rPr>
              <w:t>Delegate’s considerations</w:t>
            </w:r>
            <w:r w:rsidR="007D13D5">
              <w:rPr>
                <w:noProof/>
                <w:webHidden/>
              </w:rPr>
              <w:tab/>
            </w:r>
            <w:r w:rsidR="007D13D5">
              <w:rPr>
                <w:noProof/>
                <w:webHidden/>
              </w:rPr>
              <w:fldChar w:fldCharType="begin"/>
            </w:r>
            <w:r w:rsidR="007D13D5">
              <w:rPr>
                <w:noProof/>
                <w:webHidden/>
              </w:rPr>
              <w:instrText xml:space="preserve"> PAGEREF _Toc144970846 \h </w:instrText>
            </w:r>
            <w:r w:rsidR="007D13D5">
              <w:rPr>
                <w:noProof/>
                <w:webHidden/>
              </w:rPr>
            </w:r>
            <w:r w:rsidR="007D13D5">
              <w:rPr>
                <w:noProof/>
                <w:webHidden/>
              </w:rPr>
              <w:fldChar w:fldCharType="separate"/>
            </w:r>
            <w:r>
              <w:rPr>
                <w:noProof/>
                <w:webHidden/>
              </w:rPr>
              <w:t>31</w:t>
            </w:r>
            <w:r w:rsidR="007D13D5">
              <w:rPr>
                <w:noProof/>
                <w:webHidden/>
              </w:rPr>
              <w:fldChar w:fldCharType="end"/>
            </w:r>
          </w:hyperlink>
        </w:p>
        <w:p w14:paraId="37E47CF4" w14:textId="7F0CA4F1" w:rsidR="007D13D5" w:rsidRDefault="00783DA7">
          <w:pPr>
            <w:pStyle w:val="TOC3"/>
            <w:rPr>
              <w:rFonts w:asciiTheme="minorHAnsi" w:eastAsiaTheme="minorEastAsia" w:hAnsiTheme="minorHAnsi" w:cstheme="minorBidi"/>
              <w:b w:val="0"/>
              <w:noProof/>
              <w:color w:val="auto"/>
              <w:szCs w:val="22"/>
              <w:lang w:eastAsia="en-AU"/>
            </w:rPr>
          </w:pPr>
          <w:hyperlink w:anchor="_Toc144970847" w:history="1">
            <w:r w:rsidR="007D13D5" w:rsidRPr="00B70FA9">
              <w:rPr>
                <w:rStyle w:val="Hyperlink"/>
                <w:noProof/>
              </w:rPr>
              <w:t>Proposed action</w:t>
            </w:r>
            <w:r w:rsidR="007D13D5">
              <w:rPr>
                <w:noProof/>
                <w:webHidden/>
              </w:rPr>
              <w:tab/>
            </w:r>
            <w:r w:rsidR="007D13D5">
              <w:rPr>
                <w:noProof/>
                <w:webHidden/>
              </w:rPr>
              <w:fldChar w:fldCharType="begin"/>
            </w:r>
            <w:r w:rsidR="007D13D5">
              <w:rPr>
                <w:noProof/>
                <w:webHidden/>
              </w:rPr>
              <w:instrText xml:space="preserve"> PAGEREF _Toc144970847 \h </w:instrText>
            </w:r>
            <w:r w:rsidR="007D13D5">
              <w:rPr>
                <w:noProof/>
                <w:webHidden/>
              </w:rPr>
            </w:r>
            <w:r w:rsidR="007D13D5">
              <w:rPr>
                <w:noProof/>
                <w:webHidden/>
              </w:rPr>
              <w:fldChar w:fldCharType="separate"/>
            </w:r>
            <w:r>
              <w:rPr>
                <w:noProof/>
                <w:webHidden/>
              </w:rPr>
              <w:t>32</w:t>
            </w:r>
            <w:r w:rsidR="007D13D5">
              <w:rPr>
                <w:noProof/>
                <w:webHidden/>
              </w:rPr>
              <w:fldChar w:fldCharType="end"/>
            </w:r>
          </w:hyperlink>
        </w:p>
        <w:p w14:paraId="539A5FED" w14:textId="29476597" w:rsidR="007D13D5" w:rsidRDefault="00783DA7">
          <w:pPr>
            <w:pStyle w:val="TOC3"/>
            <w:rPr>
              <w:rFonts w:asciiTheme="minorHAnsi" w:eastAsiaTheme="minorEastAsia" w:hAnsiTheme="minorHAnsi" w:cstheme="minorBidi"/>
              <w:b w:val="0"/>
              <w:noProof/>
              <w:color w:val="auto"/>
              <w:szCs w:val="22"/>
              <w:lang w:eastAsia="en-AU"/>
            </w:rPr>
          </w:pPr>
          <w:hyperlink w:anchor="_Toc144970848" w:history="1">
            <w:r w:rsidR="007D13D5" w:rsidRPr="00B70FA9">
              <w:rPr>
                <w:rStyle w:val="Hyperlink"/>
                <w:noProof/>
              </w:rPr>
              <w:t>Advisory Committee considerations</w:t>
            </w:r>
            <w:r w:rsidR="007D13D5">
              <w:rPr>
                <w:noProof/>
                <w:webHidden/>
              </w:rPr>
              <w:tab/>
            </w:r>
            <w:r w:rsidR="007D13D5">
              <w:rPr>
                <w:noProof/>
                <w:webHidden/>
              </w:rPr>
              <w:fldChar w:fldCharType="begin"/>
            </w:r>
            <w:r w:rsidR="007D13D5">
              <w:rPr>
                <w:noProof/>
                <w:webHidden/>
              </w:rPr>
              <w:instrText xml:space="preserve"> PAGEREF _Toc144970848 \h </w:instrText>
            </w:r>
            <w:r w:rsidR="007D13D5">
              <w:rPr>
                <w:noProof/>
                <w:webHidden/>
              </w:rPr>
            </w:r>
            <w:r w:rsidR="007D13D5">
              <w:rPr>
                <w:noProof/>
                <w:webHidden/>
              </w:rPr>
              <w:fldChar w:fldCharType="separate"/>
            </w:r>
            <w:r>
              <w:rPr>
                <w:noProof/>
                <w:webHidden/>
              </w:rPr>
              <w:t>33</w:t>
            </w:r>
            <w:r w:rsidR="007D13D5">
              <w:rPr>
                <w:noProof/>
                <w:webHidden/>
              </w:rPr>
              <w:fldChar w:fldCharType="end"/>
            </w:r>
          </w:hyperlink>
        </w:p>
        <w:p w14:paraId="645EE548" w14:textId="39363091" w:rsidR="007D13D5" w:rsidRDefault="00783DA7">
          <w:pPr>
            <w:pStyle w:val="TOC1"/>
            <w:rPr>
              <w:rFonts w:asciiTheme="minorHAnsi" w:eastAsiaTheme="minorEastAsia" w:hAnsiTheme="minorHAnsi" w:cstheme="minorBidi"/>
              <w:b w:val="0"/>
              <w:noProof/>
              <w:color w:val="auto"/>
              <w:sz w:val="22"/>
              <w:szCs w:val="22"/>
              <w:lang w:eastAsia="en-AU"/>
            </w:rPr>
          </w:pPr>
          <w:hyperlink w:anchor="_Toc144970849" w:history="1">
            <w:r w:rsidR="007D13D5" w:rsidRPr="00B70FA9">
              <w:rPr>
                <w:rStyle w:val="Hyperlink"/>
                <w:noProof/>
              </w:rPr>
              <w:t>Outcome</w:t>
            </w:r>
            <w:r w:rsidR="007D13D5">
              <w:rPr>
                <w:noProof/>
                <w:webHidden/>
              </w:rPr>
              <w:tab/>
            </w:r>
            <w:r w:rsidR="007D13D5">
              <w:rPr>
                <w:noProof/>
                <w:webHidden/>
              </w:rPr>
              <w:fldChar w:fldCharType="begin"/>
            </w:r>
            <w:r w:rsidR="007D13D5">
              <w:rPr>
                <w:noProof/>
                <w:webHidden/>
              </w:rPr>
              <w:instrText xml:space="preserve"> PAGEREF _Toc144970849 \h </w:instrText>
            </w:r>
            <w:r w:rsidR="007D13D5">
              <w:rPr>
                <w:noProof/>
                <w:webHidden/>
              </w:rPr>
            </w:r>
            <w:r w:rsidR="007D13D5">
              <w:rPr>
                <w:noProof/>
                <w:webHidden/>
              </w:rPr>
              <w:fldChar w:fldCharType="separate"/>
            </w:r>
            <w:r>
              <w:rPr>
                <w:noProof/>
                <w:webHidden/>
              </w:rPr>
              <w:t>34</w:t>
            </w:r>
            <w:r w:rsidR="007D13D5">
              <w:rPr>
                <w:noProof/>
                <w:webHidden/>
              </w:rPr>
              <w:fldChar w:fldCharType="end"/>
            </w:r>
          </w:hyperlink>
        </w:p>
        <w:p w14:paraId="278EE15C" w14:textId="76D2CA2D" w:rsidR="007D13D5" w:rsidRDefault="00783DA7">
          <w:pPr>
            <w:pStyle w:val="TOC2"/>
            <w:rPr>
              <w:rFonts w:asciiTheme="minorHAnsi" w:eastAsiaTheme="minorEastAsia" w:hAnsiTheme="minorHAnsi" w:cstheme="minorBidi"/>
              <w:b w:val="0"/>
              <w:noProof/>
              <w:color w:val="auto"/>
              <w:sz w:val="22"/>
              <w:szCs w:val="22"/>
              <w:lang w:eastAsia="en-AU"/>
            </w:rPr>
          </w:pPr>
          <w:hyperlink w:anchor="_Toc144970850" w:history="1">
            <w:r w:rsidR="007D13D5" w:rsidRPr="00B70FA9">
              <w:rPr>
                <w:rStyle w:val="Hyperlink"/>
                <w:noProof/>
              </w:rPr>
              <w:t>Specific conditions of registration applying to these goods</w:t>
            </w:r>
            <w:r w:rsidR="007D13D5">
              <w:rPr>
                <w:noProof/>
                <w:webHidden/>
              </w:rPr>
              <w:tab/>
            </w:r>
            <w:r w:rsidR="007D13D5">
              <w:rPr>
                <w:noProof/>
                <w:webHidden/>
              </w:rPr>
              <w:fldChar w:fldCharType="begin"/>
            </w:r>
            <w:r w:rsidR="007D13D5">
              <w:rPr>
                <w:noProof/>
                <w:webHidden/>
              </w:rPr>
              <w:instrText xml:space="preserve"> PAGEREF _Toc144970850 \h </w:instrText>
            </w:r>
            <w:r w:rsidR="007D13D5">
              <w:rPr>
                <w:noProof/>
                <w:webHidden/>
              </w:rPr>
            </w:r>
            <w:r w:rsidR="007D13D5">
              <w:rPr>
                <w:noProof/>
                <w:webHidden/>
              </w:rPr>
              <w:fldChar w:fldCharType="separate"/>
            </w:r>
            <w:r>
              <w:rPr>
                <w:noProof/>
                <w:webHidden/>
              </w:rPr>
              <w:t>34</w:t>
            </w:r>
            <w:r w:rsidR="007D13D5">
              <w:rPr>
                <w:noProof/>
                <w:webHidden/>
              </w:rPr>
              <w:fldChar w:fldCharType="end"/>
            </w:r>
          </w:hyperlink>
        </w:p>
        <w:p w14:paraId="2F6856F9" w14:textId="1041D303" w:rsidR="007D13D5" w:rsidRDefault="00783DA7">
          <w:pPr>
            <w:pStyle w:val="TOC1"/>
            <w:rPr>
              <w:rFonts w:asciiTheme="minorHAnsi" w:eastAsiaTheme="minorEastAsia" w:hAnsiTheme="minorHAnsi" w:cstheme="minorBidi"/>
              <w:b w:val="0"/>
              <w:noProof/>
              <w:color w:val="auto"/>
              <w:sz w:val="22"/>
              <w:szCs w:val="22"/>
              <w:lang w:eastAsia="en-AU"/>
            </w:rPr>
          </w:pPr>
          <w:hyperlink w:anchor="_Toc144970851" w:history="1">
            <w:r w:rsidR="007D13D5" w:rsidRPr="00B70FA9">
              <w:rPr>
                <w:rStyle w:val="Hyperlink"/>
                <w:noProof/>
              </w:rPr>
              <w:t>Attachment 1. Product Information</w:t>
            </w:r>
            <w:r w:rsidR="007D13D5">
              <w:rPr>
                <w:noProof/>
                <w:webHidden/>
              </w:rPr>
              <w:tab/>
            </w:r>
            <w:r w:rsidR="007D13D5">
              <w:rPr>
                <w:noProof/>
                <w:webHidden/>
              </w:rPr>
              <w:fldChar w:fldCharType="begin"/>
            </w:r>
            <w:r w:rsidR="007D13D5">
              <w:rPr>
                <w:noProof/>
                <w:webHidden/>
              </w:rPr>
              <w:instrText xml:space="preserve"> PAGEREF _Toc144970851 \h </w:instrText>
            </w:r>
            <w:r w:rsidR="007D13D5">
              <w:rPr>
                <w:noProof/>
                <w:webHidden/>
              </w:rPr>
            </w:r>
            <w:r w:rsidR="007D13D5">
              <w:rPr>
                <w:noProof/>
                <w:webHidden/>
              </w:rPr>
              <w:fldChar w:fldCharType="separate"/>
            </w:r>
            <w:r>
              <w:rPr>
                <w:noProof/>
                <w:webHidden/>
              </w:rPr>
              <w:t>36</w:t>
            </w:r>
            <w:r w:rsidR="007D13D5">
              <w:rPr>
                <w:noProof/>
                <w:webHidden/>
              </w:rPr>
              <w:fldChar w:fldCharType="end"/>
            </w:r>
          </w:hyperlink>
        </w:p>
        <w:p w14:paraId="77659F2D" w14:textId="50DD4C0C"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2075D71F" w:rsidR="00324B33" w:rsidRDefault="00324B33" w:rsidP="00324B33">
      <w:pPr>
        <w:pStyle w:val="Heading2"/>
      </w:pPr>
      <w:bookmarkStart w:id="0" w:name="_Toc98931917"/>
      <w:bookmarkStart w:id="1" w:name="_Toc103679287"/>
      <w:bookmarkStart w:id="2" w:name="_Toc144970825"/>
      <w:bookmarkStart w:id="3" w:name="_Toc323739589"/>
      <w:bookmarkStart w:id="4" w:name="_Toc356305216"/>
      <w:r>
        <w:lastRenderedPageBreak/>
        <w:t>List of abbreviations</w:t>
      </w:r>
      <w:bookmarkEnd w:id="0"/>
      <w:bookmarkEnd w:id="1"/>
      <w:bookmarkEnd w:id="2"/>
      <w:r w:rsidR="005635FE">
        <w:fldChar w:fldCharType="begin"/>
      </w:r>
      <w:r w:rsidR="005635FE">
        <w:instrText xml:space="preserve"> DOCVARIABLE vault_nd_4e3fc11d-afa2-4218-9470-fed99caffb53 \* MERGEFORMAT </w:instrText>
      </w:r>
      <w:r w:rsidR="005635FE">
        <w:fldChar w:fldCharType="separate"/>
      </w:r>
      <w:r w:rsidR="007D13D5">
        <w:t xml:space="preserve"> </w:t>
      </w:r>
      <w:r w:rsidR="005635FE">
        <w:fldChar w:fldCharType="end"/>
      </w:r>
    </w:p>
    <w:tbl>
      <w:tblPr>
        <w:tblStyle w:val="TableTGAblue2023"/>
        <w:tblW w:w="5000" w:type="pct"/>
        <w:tblLook w:val="04A0" w:firstRow="1" w:lastRow="0" w:firstColumn="1" w:lastColumn="0" w:noHBand="0" w:noVBand="1"/>
      </w:tblPr>
      <w:tblGrid>
        <w:gridCol w:w="2174"/>
        <w:gridCol w:w="6886"/>
      </w:tblGrid>
      <w:tr w:rsidR="00865309" w:rsidRPr="00D01DDB" w14:paraId="695B572E" w14:textId="77777777" w:rsidTr="00D074E4">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7291A8BC" w14:textId="77777777" w:rsidR="00865309" w:rsidRPr="00D01DDB" w:rsidRDefault="00865309" w:rsidP="00D074E4">
            <w:pPr>
              <w:rPr>
                <w:szCs w:val="22"/>
              </w:rPr>
            </w:pPr>
            <w:r w:rsidRPr="00D01DDB">
              <w:rPr>
                <w:szCs w:val="22"/>
              </w:rPr>
              <w:t>Abbreviation</w:t>
            </w:r>
          </w:p>
        </w:tc>
        <w:tc>
          <w:tcPr>
            <w:tcW w:w="3800" w:type="pct"/>
          </w:tcPr>
          <w:p w14:paraId="5903297C" w14:textId="77777777" w:rsidR="00865309" w:rsidRPr="00D01DDB" w:rsidRDefault="00865309" w:rsidP="00D074E4">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865309" w:rsidRPr="00D01DDB" w14:paraId="17B60008" w14:textId="77777777" w:rsidTr="00D074E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02C7772" w14:textId="77777777" w:rsidR="00865309" w:rsidRPr="00D01DDB" w:rsidRDefault="00865309" w:rsidP="00D074E4">
            <w:pPr>
              <w:rPr>
                <w:szCs w:val="22"/>
              </w:rPr>
            </w:pPr>
            <w:r w:rsidRPr="00D01DDB">
              <w:rPr>
                <w:szCs w:val="22"/>
              </w:rPr>
              <w:t>ACV</w:t>
            </w:r>
          </w:p>
        </w:tc>
        <w:tc>
          <w:tcPr>
            <w:tcW w:w="3800" w:type="pct"/>
          </w:tcPr>
          <w:p w14:paraId="74EF344A" w14:textId="77777777" w:rsidR="00865309" w:rsidRPr="00D01DDB" w:rsidRDefault="00865309" w:rsidP="00D074E4">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Vaccines</w:t>
            </w:r>
          </w:p>
        </w:tc>
      </w:tr>
      <w:tr w:rsidR="00865309" w:rsidRPr="00D01DDB" w14:paraId="3BF96A4E" w14:textId="77777777" w:rsidTr="00D074E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C2C0434" w14:textId="77777777" w:rsidR="00865309" w:rsidRDefault="00865309" w:rsidP="00D074E4">
            <w:pPr>
              <w:rPr>
                <w:szCs w:val="22"/>
              </w:rPr>
            </w:pPr>
            <w:r>
              <w:rPr>
                <w:szCs w:val="22"/>
              </w:rPr>
              <w:t>AESI</w:t>
            </w:r>
          </w:p>
        </w:tc>
        <w:tc>
          <w:tcPr>
            <w:tcW w:w="3800" w:type="pct"/>
          </w:tcPr>
          <w:p w14:paraId="7FAA1BCC" w14:textId="77777777" w:rsidR="00865309" w:rsidRDefault="00865309" w:rsidP="00D074E4">
            <w:pPr>
              <w:cnfStyle w:val="000000000000" w:firstRow="0" w:lastRow="0" w:firstColumn="0" w:lastColumn="0" w:oddVBand="0" w:evenVBand="0" w:oddHBand="0" w:evenHBand="0" w:firstRowFirstColumn="0" w:firstRowLastColumn="0" w:lastRowFirstColumn="0" w:lastRowLastColumn="0"/>
            </w:pPr>
            <w:r>
              <w:t>A</w:t>
            </w:r>
            <w:r w:rsidRPr="00B61D96">
              <w:t>dverse event of. special interest</w:t>
            </w:r>
          </w:p>
        </w:tc>
      </w:tr>
      <w:tr w:rsidR="00865309" w:rsidRPr="00D01DDB" w14:paraId="450EA463" w14:textId="77777777" w:rsidTr="00D074E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A6FFC4A" w14:textId="77777777" w:rsidR="00865309" w:rsidRPr="00D01DDB" w:rsidRDefault="00865309" w:rsidP="00D074E4">
            <w:pPr>
              <w:rPr>
                <w:szCs w:val="22"/>
              </w:rPr>
            </w:pPr>
            <w:r w:rsidRPr="00D01DDB">
              <w:rPr>
                <w:szCs w:val="22"/>
              </w:rPr>
              <w:t>ARTG</w:t>
            </w:r>
          </w:p>
        </w:tc>
        <w:tc>
          <w:tcPr>
            <w:tcW w:w="3800" w:type="pct"/>
          </w:tcPr>
          <w:p w14:paraId="652E876F" w14:textId="77777777" w:rsidR="00865309" w:rsidRPr="00D01DDB" w:rsidRDefault="00865309" w:rsidP="00D074E4">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865309" w:rsidRPr="00D01DDB" w14:paraId="6EEEDE7F" w14:textId="77777777" w:rsidTr="00D074E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C5357E" w14:textId="77777777" w:rsidR="00865309" w:rsidRPr="00D01DDB" w:rsidRDefault="00865309" w:rsidP="00D074E4">
            <w:pPr>
              <w:rPr>
                <w:szCs w:val="22"/>
              </w:rPr>
            </w:pPr>
            <w:r w:rsidRPr="00D01DDB">
              <w:rPr>
                <w:szCs w:val="22"/>
              </w:rPr>
              <w:t>ASA</w:t>
            </w:r>
          </w:p>
        </w:tc>
        <w:tc>
          <w:tcPr>
            <w:tcW w:w="3800" w:type="pct"/>
          </w:tcPr>
          <w:p w14:paraId="71A20035" w14:textId="77777777" w:rsidR="00865309" w:rsidRPr="00D01DDB" w:rsidRDefault="00865309" w:rsidP="00D074E4">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 specific annex</w:t>
            </w:r>
          </w:p>
        </w:tc>
      </w:tr>
      <w:tr w:rsidR="00865309" w:rsidRPr="00D01DDB" w14:paraId="470ECB3D" w14:textId="77777777" w:rsidTr="00D074E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DAA80B" w14:textId="77777777" w:rsidR="00865309" w:rsidRDefault="00865309" w:rsidP="00D074E4">
            <w:pPr>
              <w:rPr>
                <w:szCs w:val="22"/>
              </w:rPr>
            </w:pPr>
            <w:r>
              <w:rPr>
                <w:szCs w:val="22"/>
              </w:rPr>
              <w:t>CI</w:t>
            </w:r>
          </w:p>
        </w:tc>
        <w:tc>
          <w:tcPr>
            <w:tcW w:w="3800" w:type="pct"/>
          </w:tcPr>
          <w:p w14:paraId="4B6D9C37" w14:textId="77777777" w:rsidR="00865309" w:rsidRDefault="00865309" w:rsidP="00D074E4">
            <w:pPr>
              <w:cnfStyle w:val="000000000000" w:firstRow="0" w:lastRow="0" w:firstColumn="0" w:lastColumn="0" w:oddVBand="0" w:evenVBand="0" w:oddHBand="0" w:evenHBand="0" w:firstRowFirstColumn="0" w:firstRowLastColumn="0" w:lastRowFirstColumn="0" w:lastRowLastColumn="0"/>
            </w:pPr>
            <w:r>
              <w:t>Confidence interval</w:t>
            </w:r>
          </w:p>
        </w:tc>
      </w:tr>
      <w:tr w:rsidR="00865309" w:rsidRPr="00D01DDB" w14:paraId="470C22C7" w14:textId="77777777" w:rsidTr="00D074E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D97B429" w14:textId="77777777" w:rsidR="00865309" w:rsidRPr="00D01DDB" w:rsidRDefault="00865309" w:rsidP="00D074E4">
            <w:pPr>
              <w:rPr>
                <w:szCs w:val="22"/>
              </w:rPr>
            </w:pPr>
            <w:r w:rsidRPr="00D01DDB">
              <w:rPr>
                <w:szCs w:val="22"/>
              </w:rPr>
              <w:t>CMI</w:t>
            </w:r>
          </w:p>
        </w:tc>
        <w:tc>
          <w:tcPr>
            <w:tcW w:w="3800" w:type="pct"/>
          </w:tcPr>
          <w:p w14:paraId="5FE749EE" w14:textId="77777777" w:rsidR="00865309" w:rsidRPr="00D01DDB" w:rsidRDefault="00865309" w:rsidP="00D074E4">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865309" w:rsidRPr="00D01DDB" w14:paraId="487F170B" w14:textId="77777777" w:rsidTr="00D074E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79EF4AD" w14:textId="77777777" w:rsidR="00865309" w:rsidRDefault="00865309" w:rsidP="00D074E4">
            <w:pPr>
              <w:rPr>
                <w:szCs w:val="22"/>
              </w:rPr>
            </w:pPr>
            <w:r>
              <w:rPr>
                <w:szCs w:val="22"/>
              </w:rPr>
              <w:t>CMR</w:t>
            </w:r>
          </w:p>
        </w:tc>
        <w:tc>
          <w:tcPr>
            <w:tcW w:w="3800" w:type="pct"/>
          </w:tcPr>
          <w:p w14:paraId="681D5627" w14:textId="77777777" w:rsidR="00865309" w:rsidRDefault="00865309" w:rsidP="00D074E4">
            <w:pPr>
              <w:cnfStyle w:val="000000000000" w:firstRow="0" w:lastRow="0" w:firstColumn="0" w:lastColumn="0" w:oddVBand="0" w:evenVBand="0" w:oddHBand="0" w:evenHBand="0" w:firstRowFirstColumn="0" w:firstRowLastColumn="0" w:lastRowFirstColumn="0" w:lastRowLastColumn="0"/>
            </w:pPr>
            <w:r>
              <w:t>Cardiovascular magnetic resonance</w:t>
            </w:r>
          </w:p>
        </w:tc>
      </w:tr>
      <w:tr w:rsidR="00865309" w:rsidRPr="00D01DDB" w14:paraId="0C1EB549" w14:textId="77777777" w:rsidTr="00D074E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EA3EB05" w14:textId="77777777" w:rsidR="00865309" w:rsidRPr="00D01DDB" w:rsidRDefault="00865309" w:rsidP="00D074E4">
            <w:pPr>
              <w:rPr>
                <w:szCs w:val="22"/>
              </w:rPr>
            </w:pPr>
            <w:r>
              <w:rPr>
                <w:szCs w:val="22"/>
              </w:rPr>
              <w:t>COVID-19</w:t>
            </w:r>
          </w:p>
        </w:tc>
        <w:tc>
          <w:tcPr>
            <w:tcW w:w="3800" w:type="pct"/>
          </w:tcPr>
          <w:p w14:paraId="017BF97C" w14:textId="77777777" w:rsidR="00865309" w:rsidRPr="00D01DDB" w:rsidRDefault="00865309" w:rsidP="00D074E4">
            <w:pPr>
              <w:cnfStyle w:val="000000000000" w:firstRow="0" w:lastRow="0" w:firstColumn="0" w:lastColumn="0" w:oddVBand="0" w:evenVBand="0" w:oddHBand="0" w:evenHBand="0" w:firstRowFirstColumn="0" w:firstRowLastColumn="0" w:lastRowFirstColumn="0" w:lastRowLastColumn="0"/>
              <w:rPr>
                <w:szCs w:val="22"/>
              </w:rPr>
            </w:pPr>
            <w:r w:rsidRPr="009721B5">
              <w:t>Coronavirus disease 2019</w:t>
            </w:r>
          </w:p>
        </w:tc>
      </w:tr>
      <w:tr w:rsidR="00865309" w:rsidRPr="00D01DDB" w14:paraId="2B386510" w14:textId="77777777" w:rsidTr="00D074E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11D5D95" w14:textId="77777777" w:rsidR="00865309" w:rsidRPr="00D01DDB" w:rsidRDefault="00865309" w:rsidP="00D074E4">
            <w:pPr>
              <w:rPr>
                <w:szCs w:val="22"/>
              </w:rPr>
            </w:pPr>
            <w:r w:rsidRPr="00D01DDB">
              <w:rPr>
                <w:szCs w:val="22"/>
              </w:rPr>
              <w:t>DLP</w:t>
            </w:r>
          </w:p>
        </w:tc>
        <w:tc>
          <w:tcPr>
            <w:tcW w:w="3800" w:type="pct"/>
          </w:tcPr>
          <w:p w14:paraId="2E9BD49D" w14:textId="77777777" w:rsidR="00865309" w:rsidRPr="00D01DDB" w:rsidRDefault="00865309" w:rsidP="00D074E4">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Data lock point</w:t>
            </w:r>
          </w:p>
        </w:tc>
      </w:tr>
      <w:tr w:rsidR="00865309" w:rsidRPr="00D01DDB" w14:paraId="29F4FC7C" w14:textId="77777777" w:rsidTr="00D074E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D89E6BA" w14:textId="77777777" w:rsidR="00865309" w:rsidRDefault="00865309" w:rsidP="00D074E4">
            <w:pPr>
              <w:rPr>
                <w:szCs w:val="22"/>
              </w:rPr>
            </w:pPr>
            <w:r>
              <w:rPr>
                <w:szCs w:val="22"/>
              </w:rPr>
              <w:t>EMA</w:t>
            </w:r>
          </w:p>
        </w:tc>
        <w:tc>
          <w:tcPr>
            <w:tcW w:w="3800" w:type="pct"/>
          </w:tcPr>
          <w:p w14:paraId="1E65297A" w14:textId="77777777" w:rsidR="00865309" w:rsidRDefault="00865309" w:rsidP="00D074E4">
            <w:pPr>
              <w:cnfStyle w:val="000000000000" w:firstRow="0" w:lastRow="0" w:firstColumn="0" w:lastColumn="0" w:oddVBand="0" w:evenVBand="0" w:oddHBand="0" w:evenHBand="0" w:firstRowFirstColumn="0" w:firstRowLastColumn="0" w:lastRowFirstColumn="0" w:lastRowLastColumn="0"/>
            </w:pPr>
            <w:r w:rsidRPr="009721B5">
              <w:t>European Medicines Agency (European Union)</w:t>
            </w:r>
          </w:p>
        </w:tc>
      </w:tr>
      <w:tr w:rsidR="00865309" w:rsidRPr="00D01DDB" w14:paraId="525EC28B" w14:textId="77777777" w:rsidTr="00D074E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686E3FF" w14:textId="77777777" w:rsidR="00865309" w:rsidRDefault="00865309" w:rsidP="00D074E4">
            <w:pPr>
              <w:rPr>
                <w:szCs w:val="22"/>
              </w:rPr>
            </w:pPr>
            <w:r>
              <w:rPr>
                <w:szCs w:val="22"/>
              </w:rPr>
              <w:t>EU</w:t>
            </w:r>
          </w:p>
        </w:tc>
        <w:tc>
          <w:tcPr>
            <w:tcW w:w="3800" w:type="pct"/>
          </w:tcPr>
          <w:p w14:paraId="6FE57FA5" w14:textId="77777777" w:rsidR="00865309" w:rsidRPr="009721B5" w:rsidRDefault="00865309" w:rsidP="00D074E4">
            <w:pPr>
              <w:cnfStyle w:val="000000000000" w:firstRow="0" w:lastRow="0" w:firstColumn="0" w:lastColumn="0" w:oddVBand="0" w:evenVBand="0" w:oddHBand="0" w:evenHBand="0" w:firstRowFirstColumn="0" w:firstRowLastColumn="0" w:lastRowFirstColumn="0" w:lastRowLastColumn="0"/>
            </w:pPr>
            <w:r>
              <w:t>European Union</w:t>
            </w:r>
          </w:p>
        </w:tc>
      </w:tr>
      <w:tr w:rsidR="00865309" w:rsidRPr="00D01DDB" w14:paraId="7D783D56" w14:textId="77777777" w:rsidTr="00D074E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85A3407" w14:textId="77777777" w:rsidR="00865309" w:rsidRDefault="00865309" w:rsidP="00D074E4">
            <w:pPr>
              <w:rPr>
                <w:szCs w:val="22"/>
              </w:rPr>
            </w:pPr>
            <w:r>
              <w:rPr>
                <w:szCs w:val="22"/>
              </w:rPr>
              <w:t>EUA</w:t>
            </w:r>
          </w:p>
        </w:tc>
        <w:tc>
          <w:tcPr>
            <w:tcW w:w="3800" w:type="pct"/>
          </w:tcPr>
          <w:p w14:paraId="578AA8BD" w14:textId="77777777" w:rsidR="00865309" w:rsidRPr="009721B5" w:rsidRDefault="00865309" w:rsidP="00D074E4">
            <w:pPr>
              <w:cnfStyle w:val="000000000000" w:firstRow="0" w:lastRow="0" w:firstColumn="0" w:lastColumn="0" w:oddVBand="0" w:evenVBand="0" w:oddHBand="0" w:evenHBand="0" w:firstRowFirstColumn="0" w:firstRowLastColumn="0" w:lastRowFirstColumn="0" w:lastRowLastColumn="0"/>
            </w:pPr>
            <w:r>
              <w:t>Emergency Use Authorization (United States of America)</w:t>
            </w:r>
          </w:p>
        </w:tc>
      </w:tr>
      <w:tr w:rsidR="00865309" w:rsidRPr="00D01DDB" w14:paraId="7D373A06" w14:textId="77777777" w:rsidTr="00D074E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8D614EA" w14:textId="77777777" w:rsidR="00865309" w:rsidRDefault="00865309" w:rsidP="00D074E4">
            <w:pPr>
              <w:rPr>
                <w:szCs w:val="22"/>
              </w:rPr>
            </w:pPr>
            <w:r>
              <w:rPr>
                <w:szCs w:val="22"/>
              </w:rPr>
              <w:t>FDA</w:t>
            </w:r>
          </w:p>
        </w:tc>
        <w:tc>
          <w:tcPr>
            <w:tcW w:w="3800" w:type="pct"/>
          </w:tcPr>
          <w:p w14:paraId="17ED147A" w14:textId="77777777" w:rsidR="00865309" w:rsidRPr="009721B5" w:rsidRDefault="00865309" w:rsidP="00D074E4">
            <w:pPr>
              <w:cnfStyle w:val="000000000000" w:firstRow="0" w:lastRow="0" w:firstColumn="0" w:lastColumn="0" w:oddVBand="0" w:evenVBand="0" w:oddHBand="0" w:evenHBand="0" w:firstRowFirstColumn="0" w:firstRowLastColumn="0" w:lastRowFirstColumn="0" w:lastRowLastColumn="0"/>
            </w:pPr>
            <w:r>
              <w:t>Food and Drug Administration (United States of America)</w:t>
            </w:r>
          </w:p>
        </w:tc>
      </w:tr>
      <w:tr w:rsidR="00865309" w:rsidRPr="00D01DDB" w14:paraId="006D0EA6" w14:textId="77777777" w:rsidTr="00D074E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4801ABA" w14:textId="77777777" w:rsidR="00865309" w:rsidRDefault="00865309" w:rsidP="00D074E4">
            <w:pPr>
              <w:rPr>
                <w:szCs w:val="22"/>
              </w:rPr>
            </w:pPr>
            <w:r>
              <w:rPr>
                <w:szCs w:val="22"/>
              </w:rPr>
              <w:t>GMFR</w:t>
            </w:r>
          </w:p>
        </w:tc>
        <w:tc>
          <w:tcPr>
            <w:tcW w:w="3800" w:type="pct"/>
          </w:tcPr>
          <w:p w14:paraId="418E0545" w14:textId="77777777" w:rsidR="00865309" w:rsidRDefault="00865309" w:rsidP="00D074E4">
            <w:pPr>
              <w:cnfStyle w:val="000000000000" w:firstRow="0" w:lastRow="0" w:firstColumn="0" w:lastColumn="0" w:oddVBand="0" w:evenVBand="0" w:oddHBand="0" w:evenHBand="0" w:firstRowFirstColumn="0" w:firstRowLastColumn="0" w:lastRowFirstColumn="0" w:lastRowLastColumn="0"/>
            </w:pPr>
            <w:r w:rsidRPr="00F30F43">
              <w:t xml:space="preserve">Geometric </w:t>
            </w:r>
            <w:r>
              <w:t>m</w:t>
            </w:r>
            <w:r w:rsidRPr="00F30F43">
              <w:t xml:space="preserve">ean </w:t>
            </w:r>
            <w:r>
              <w:t>f</w:t>
            </w:r>
            <w:r w:rsidRPr="00F30F43">
              <w:t xml:space="preserve">old </w:t>
            </w:r>
            <w:r>
              <w:t>r</w:t>
            </w:r>
            <w:r w:rsidRPr="00F30F43">
              <w:t>ise</w:t>
            </w:r>
          </w:p>
        </w:tc>
      </w:tr>
      <w:tr w:rsidR="00865309" w:rsidRPr="00D01DDB" w14:paraId="24B0D338" w14:textId="77777777" w:rsidTr="00D074E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2D79CF7" w14:textId="77777777" w:rsidR="00865309" w:rsidRDefault="00865309" w:rsidP="00D074E4">
            <w:pPr>
              <w:rPr>
                <w:szCs w:val="22"/>
              </w:rPr>
            </w:pPr>
            <w:r>
              <w:rPr>
                <w:szCs w:val="22"/>
              </w:rPr>
              <w:t>GMR</w:t>
            </w:r>
          </w:p>
        </w:tc>
        <w:tc>
          <w:tcPr>
            <w:tcW w:w="3800" w:type="pct"/>
          </w:tcPr>
          <w:p w14:paraId="54ADA571" w14:textId="77777777" w:rsidR="00865309" w:rsidRDefault="00865309" w:rsidP="00D074E4">
            <w:pPr>
              <w:cnfStyle w:val="000000000000" w:firstRow="0" w:lastRow="0" w:firstColumn="0" w:lastColumn="0" w:oddVBand="0" w:evenVBand="0" w:oddHBand="0" w:evenHBand="0" w:firstRowFirstColumn="0" w:firstRowLastColumn="0" w:lastRowFirstColumn="0" w:lastRowLastColumn="0"/>
            </w:pPr>
            <w:r>
              <w:t>G</w:t>
            </w:r>
            <w:r w:rsidRPr="00F30F43">
              <w:t>eometric mean ratio</w:t>
            </w:r>
          </w:p>
        </w:tc>
      </w:tr>
      <w:tr w:rsidR="00865309" w:rsidRPr="00D01DDB" w14:paraId="6088E196" w14:textId="77777777" w:rsidTr="00D074E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EA3C5CA" w14:textId="77777777" w:rsidR="00865309" w:rsidRDefault="00865309" w:rsidP="00D074E4">
            <w:pPr>
              <w:rPr>
                <w:szCs w:val="22"/>
              </w:rPr>
            </w:pPr>
            <w:r>
              <w:rPr>
                <w:szCs w:val="22"/>
              </w:rPr>
              <w:t>GMT</w:t>
            </w:r>
          </w:p>
        </w:tc>
        <w:tc>
          <w:tcPr>
            <w:tcW w:w="3800" w:type="pct"/>
          </w:tcPr>
          <w:p w14:paraId="5BE7A3EF" w14:textId="77777777" w:rsidR="00865309" w:rsidRDefault="00865309" w:rsidP="00D074E4">
            <w:pPr>
              <w:cnfStyle w:val="000000000000" w:firstRow="0" w:lastRow="0" w:firstColumn="0" w:lastColumn="0" w:oddVBand="0" w:evenVBand="0" w:oddHBand="0" w:evenHBand="0" w:firstRowFirstColumn="0" w:firstRowLastColumn="0" w:lastRowFirstColumn="0" w:lastRowLastColumn="0"/>
            </w:pPr>
            <w:r w:rsidRPr="009721B5">
              <w:t>Geometric mean titre</w:t>
            </w:r>
          </w:p>
        </w:tc>
      </w:tr>
      <w:tr w:rsidR="00865309" w:rsidRPr="00D01DDB" w14:paraId="1CF823B8" w14:textId="77777777" w:rsidTr="00D074E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E43288E" w14:textId="77777777" w:rsidR="00865309" w:rsidRDefault="00865309" w:rsidP="00D074E4">
            <w:pPr>
              <w:rPr>
                <w:szCs w:val="22"/>
              </w:rPr>
            </w:pPr>
            <w:r>
              <w:rPr>
                <w:szCs w:val="22"/>
              </w:rPr>
              <w:t>GSDB</w:t>
            </w:r>
          </w:p>
        </w:tc>
        <w:tc>
          <w:tcPr>
            <w:tcW w:w="3800" w:type="pct"/>
          </w:tcPr>
          <w:p w14:paraId="7177D375" w14:textId="77777777" w:rsidR="00865309" w:rsidRDefault="00865309" w:rsidP="00D074E4">
            <w:pPr>
              <w:cnfStyle w:val="000000000000" w:firstRow="0" w:lastRow="0" w:firstColumn="0" w:lastColumn="0" w:oddVBand="0" w:evenVBand="0" w:oddHBand="0" w:evenHBand="0" w:firstRowFirstColumn="0" w:firstRowLastColumn="0" w:lastRowFirstColumn="0" w:lastRowLastColumn="0"/>
            </w:pPr>
            <w:r>
              <w:t>Global safety database</w:t>
            </w:r>
          </w:p>
        </w:tc>
      </w:tr>
      <w:tr w:rsidR="00865309" w:rsidRPr="00D01DDB" w14:paraId="790EDBBB" w14:textId="77777777" w:rsidTr="00D074E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7F1931" w14:textId="77777777" w:rsidR="00865309" w:rsidRPr="00D01DDB" w:rsidRDefault="00865309" w:rsidP="00D074E4">
            <w:pPr>
              <w:rPr>
                <w:szCs w:val="22"/>
              </w:rPr>
            </w:pPr>
            <w:r>
              <w:rPr>
                <w:szCs w:val="22"/>
              </w:rPr>
              <w:t>ICU</w:t>
            </w:r>
          </w:p>
        </w:tc>
        <w:tc>
          <w:tcPr>
            <w:tcW w:w="3800" w:type="pct"/>
          </w:tcPr>
          <w:p w14:paraId="04F6545B" w14:textId="77777777" w:rsidR="00865309" w:rsidRPr="00D01DDB" w:rsidRDefault="00865309" w:rsidP="00D074E4">
            <w:pPr>
              <w:cnfStyle w:val="000000000000" w:firstRow="0" w:lastRow="0" w:firstColumn="0" w:lastColumn="0" w:oddVBand="0" w:evenVBand="0" w:oddHBand="0" w:evenHBand="0" w:firstRowFirstColumn="0" w:firstRowLastColumn="0" w:lastRowFirstColumn="0" w:lastRowLastColumn="0"/>
              <w:rPr>
                <w:szCs w:val="22"/>
              </w:rPr>
            </w:pPr>
            <w:r>
              <w:rPr>
                <w:szCs w:val="22"/>
              </w:rPr>
              <w:t>Intensive care unit</w:t>
            </w:r>
          </w:p>
        </w:tc>
      </w:tr>
      <w:tr w:rsidR="00865309" w:rsidRPr="00D01DDB" w14:paraId="0DE84B44" w14:textId="77777777" w:rsidTr="00D074E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A10895F" w14:textId="77777777" w:rsidR="00865309" w:rsidRDefault="00865309" w:rsidP="00D074E4">
            <w:pPr>
              <w:rPr>
                <w:szCs w:val="22"/>
              </w:rPr>
            </w:pPr>
            <w:r>
              <w:rPr>
                <w:szCs w:val="22"/>
              </w:rPr>
              <w:t>KPSC</w:t>
            </w:r>
          </w:p>
        </w:tc>
        <w:tc>
          <w:tcPr>
            <w:tcW w:w="3800" w:type="pct"/>
          </w:tcPr>
          <w:p w14:paraId="7772E5D6" w14:textId="77777777" w:rsidR="00865309" w:rsidRDefault="00865309" w:rsidP="00D074E4">
            <w:pPr>
              <w:cnfStyle w:val="000000000000" w:firstRow="0" w:lastRow="0" w:firstColumn="0" w:lastColumn="0" w:oddVBand="0" w:evenVBand="0" w:oddHBand="0" w:evenHBand="0" w:firstRowFirstColumn="0" w:firstRowLastColumn="0" w:lastRowFirstColumn="0" w:lastRowLastColumn="0"/>
            </w:pPr>
            <w:r w:rsidRPr="0080387D">
              <w:t>Kaiser Permanente Southern California</w:t>
            </w:r>
          </w:p>
        </w:tc>
      </w:tr>
      <w:tr w:rsidR="00865309" w:rsidRPr="00D01DDB" w14:paraId="601D349D" w14:textId="77777777" w:rsidTr="00D074E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39C2162" w14:textId="77777777" w:rsidR="00865309" w:rsidRDefault="00865309" w:rsidP="00D074E4">
            <w:pPr>
              <w:rPr>
                <w:szCs w:val="22"/>
              </w:rPr>
            </w:pPr>
            <w:r>
              <w:rPr>
                <w:szCs w:val="22"/>
              </w:rPr>
              <w:t>MAH</w:t>
            </w:r>
          </w:p>
        </w:tc>
        <w:tc>
          <w:tcPr>
            <w:tcW w:w="3800" w:type="pct"/>
          </w:tcPr>
          <w:p w14:paraId="37B9707D" w14:textId="77777777" w:rsidR="00865309" w:rsidRDefault="00865309" w:rsidP="00D074E4">
            <w:pPr>
              <w:cnfStyle w:val="000000000000" w:firstRow="0" w:lastRow="0" w:firstColumn="0" w:lastColumn="0" w:oddVBand="0" w:evenVBand="0" w:oddHBand="0" w:evenHBand="0" w:firstRowFirstColumn="0" w:firstRowLastColumn="0" w:lastRowFirstColumn="0" w:lastRowLastColumn="0"/>
            </w:pPr>
            <w:r>
              <w:t>Marketing authorisation holder</w:t>
            </w:r>
          </w:p>
        </w:tc>
      </w:tr>
      <w:tr w:rsidR="00865309" w:rsidRPr="00D01DDB" w14:paraId="4C6C08D6" w14:textId="77777777" w:rsidTr="00D074E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B7856A1" w14:textId="77777777" w:rsidR="00865309" w:rsidRPr="00D01DDB" w:rsidRDefault="00865309" w:rsidP="00D074E4">
            <w:pPr>
              <w:rPr>
                <w:szCs w:val="22"/>
              </w:rPr>
            </w:pPr>
            <w:r>
              <w:rPr>
                <w:szCs w:val="22"/>
              </w:rPr>
              <w:t>MSSR</w:t>
            </w:r>
          </w:p>
        </w:tc>
        <w:tc>
          <w:tcPr>
            <w:tcW w:w="3800" w:type="pct"/>
          </w:tcPr>
          <w:p w14:paraId="32A05866" w14:textId="77777777" w:rsidR="00865309" w:rsidRPr="00D01DDB" w:rsidRDefault="00865309" w:rsidP="00D074E4">
            <w:pPr>
              <w:cnfStyle w:val="000000000000" w:firstRow="0" w:lastRow="0" w:firstColumn="0" w:lastColumn="0" w:oddVBand="0" w:evenVBand="0" w:oddHBand="0" w:evenHBand="0" w:firstRowFirstColumn="0" w:firstRowLastColumn="0" w:lastRowFirstColumn="0" w:lastRowLastColumn="0"/>
              <w:rPr>
                <w:szCs w:val="22"/>
              </w:rPr>
            </w:pPr>
            <w:r>
              <w:t>Monthly safety summary report</w:t>
            </w:r>
          </w:p>
        </w:tc>
      </w:tr>
      <w:tr w:rsidR="00865309" w:rsidRPr="00D01DDB" w14:paraId="0EABD363" w14:textId="77777777" w:rsidTr="00D074E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D1DA6BB" w14:textId="77777777" w:rsidR="00865309" w:rsidRPr="00D01DDB" w:rsidRDefault="00865309" w:rsidP="00D074E4">
            <w:pPr>
              <w:rPr>
                <w:szCs w:val="22"/>
              </w:rPr>
            </w:pPr>
            <w:r w:rsidRPr="00D01DDB">
              <w:rPr>
                <w:szCs w:val="22"/>
              </w:rPr>
              <w:t>PI</w:t>
            </w:r>
          </w:p>
        </w:tc>
        <w:tc>
          <w:tcPr>
            <w:tcW w:w="3800" w:type="pct"/>
          </w:tcPr>
          <w:p w14:paraId="45920A8E" w14:textId="77777777" w:rsidR="00865309" w:rsidRPr="00D01DDB" w:rsidRDefault="00865309" w:rsidP="00D074E4">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865309" w:rsidRPr="00D01DDB" w14:paraId="3D8AF012" w14:textId="77777777" w:rsidTr="00D074E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0D942B8" w14:textId="77777777" w:rsidR="00865309" w:rsidRDefault="00865309" w:rsidP="00D074E4">
            <w:pPr>
              <w:rPr>
                <w:szCs w:val="22"/>
              </w:rPr>
            </w:pPr>
            <w:r>
              <w:rPr>
                <w:szCs w:val="22"/>
              </w:rPr>
              <w:t>PPIS-Neg</w:t>
            </w:r>
          </w:p>
        </w:tc>
        <w:tc>
          <w:tcPr>
            <w:tcW w:w="3800" w:type="pct"/>
          </w:tcPr>
          <w:p w14:paraId="59E1912A" w14:textId="77777777" w:rsidR="00865309" w:rsidRDefault="00865309" w:rsidP="00D074E4">
            <w:pPr>
              <w:cnfStyle w:val="000000000000" w:firstRow="0" w:lastRow="0" w:firstColumn="0" w:lastColumn="0" w:oddVBand="0" w:evenVBand="0" w:oddHBand="0" w:evenHBand="0" w:firstRowFirstColumn="0" w:firstRowLastColumn="0" w:lastRowFirstColumn="0" w:lastRowLastColumn="0"/>
            </w:pPr>
            <w:r>
              <w:t>Per protocol immunogenicity set with participants with no prior infection</w:t>
            </w:r>
          </w:p>
        </w:tc>
      </w:tr>
      <w:tr w:rsidR="00865309" w:rsidRPr="00D01DDB" w14:paraId="7BDF2F31" w14:textId="77777777" w:rsidTr="00D074E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628A707" w14:textId="77777777" w:rsidR="00865309" w:rsidRDefault="00865309" w:rsidP="00D074E4">
            <w:pPr>
              <w:rPr>
                <w:szCs w:val="22"/>
              </w:rPr>
            </w:pPr>
            <w:r w:rsidRPr="000C728A">
              <w:t>PPIS-Pos</w:t>
            </w:r>
          </w:p>
        </w:tc>
        <w:tc>
          <w:tcPr>
            <w:tcW w:w="3800" w:type="pct"/>
          </w:tcPr>
          <w:p w14:paraId="309C6BC5" w14:textId="77777777" w:rsidR="00865309" w:rsidRDefault="00865309" w:rsidP="00D074E4">
            <w:pPr>
              <w:cnfStyle w:val="000000000000" w:firstRow="0" w:lastRow="0" w:firstColumn="0" w:lastColumn="0" w:oddVBand="0" w:evenVBand="0" w:oddHBand="0" w:evenHBand="0" w:firstRowFirstColumn="0" w:firstRowLastColumn="0" w:lastRowFirstColumn="0" w:lastRowLastColumn="0"/>
            </w:pPr>
            <w:r>
              <w:t>Per protocol immunogenicity set with participants with prior infection</w:t>
            </w:r>
          </w:p>
        </w:tc>
      </w:tr>
      <w:tr w:rsidR="00865309" w:rsidRPr="00D01DDB" w14:paraId="5C81FA57" w14:textId="77777777" w:rsidTr="00D074E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C2267B5" w14:textId="77777777" w:rsidR="00865309" w:rsidRPr="00D01DDB" w:rsidRDefault="00865309" w:rsidP="00D074E4">
            <w:pPr>
              <w:rPr>
                <w:szCs w:val="22"/>
              </w:rPr>
            </w:pPr>
            <w:r w:rsidRPr="00D01DDB">
              <w:rPr>
                <w:szCs w:val="22"/>
              </w:rPr>
              <w:t>PSUR</w:t>
            </w:r>
          </w:p>
        </w:tc>
        <w:tc>
          <w:tcPr>
            <w:tcW w:w="3800" w:type="pct"/>
          </w:tcPr>
          <w:p w14:paraId="0EF15CCE" w14:textId="77777777" w:rsidR="00865309" w:rsidRPr="00D01DDB" w:rsidRDefault="00865309" w:rsidP="00D074E4">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865309" w:rsidRPr="00D01DDB" w14:paraId="6089186A" w14:textId="77777777" w:rsidTr="00D074E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16DBB98" w14:textId="77777777" w:rsidR="00865309" w:rsidRPr="00D01DDB" w:rsidRDefault="00865309" w:rsidP="00D074E4">
            <w:pPr>
              <w:rPr>
                <w:szCs w:val="22"/>
              </w:rPr>
            </w:pPr>
            <w:r w:rsidRPr="00D01DDB">
              <w:rPr>
                <w:szCs w:val="22"/>
              </w:rPr>
              <w:t>RMP</w:t>
            </w:r>
          </w:p>
        </w:tc>
        <w:tc>
          <w:tcPr>
            <w:tcW w:w="3800" w:type="pct"/>
          </w:tcPr>
          <w:p w14:paraId="69C25D7B" w14:textId="77777777" w:rsidR="00865309" w:rsidRPr="00D01DDB" w:rsidRDefault="00865309" w:rsidP="00D074E4">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865309" w:rsidRPr="00D01DDB" w14:paraId="1F7F5F25" w14:textId="77777777" w:rsidTr="00D074E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67A92EC" w14:textId="77777777" w:rsidR="00865309" w:rsidRDefault="00865309" w:rsidP="00D074E4">
            <w:pPr>
              <w:rPr>
                <w:szCs w:val="22"/>
              </w:rPr>
            </w:pPr>
            <w:proofErr w:type="spellStart"/>
            <w:r>
              <w:rPr>
                <w:szCs w:val="22"/>
              </w:rPr>
              <w:t>rVE</w:t>
            </w:r>
            <w:proofErr w:type="spellEnd"/>
          </w:p>
        </w:tc>
        <w:tc>
          <w:tcPr>
            <w:tcW w:w="3800" w:type="pct"/>
          </w:tcPr>
          <w:p w14:paraId="2763173E" w14:textId="77777777" w:rsidR="00865309" w:rsidRDefault="00865309" w:rsidP="00D074E4">
            <w:pPr>
              <w:cnfStyle w:val="000000000000" w:firstRow="0" w:lastRow="0" w:firstColumn="0" w:lastColumn="0" w:oddVBand="0" w:evenVBand="0" w:oddHBand="0" w:evenHBand="0" w:firstRowFirstColumn="0" w:firstRowLastColumn="0" w:lastRowFirstColumn="0" w:lastRowLastColumn="0"/>
            </w:pPr>
            <w:r>
              <w:t>R</w:t>
            </w:r>
            <w:r w:rsidRPr="00F80961">
              <w:t>elative vaccine effectiveness</w:t>
            </w:r>
          </w:p>
        </w:tc>
      </w:tr>
      <w:tr w:rsidR="00865309" w:rsidRPr="00D01DDB" w14:paraId="5AA3A94D" w14:textId="77777777" w:rsidTr="00D074E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471DC10" w14:textId="77777777" w:rsidR="00865309" w:rsidRPr="00D01DDB" w:rsidRDefault="00865309" w:rsidP="00D074E4">
            <w:pPr>
              <w:rPr>
                <w:szCs w:val="22"/>
              </w:rPr>
            </w:pPr>
            <w:r>
              <w:rPr>
                <w:szCs w:val="22"/>
              </w:rPr>
              <w:t>SARS-CoV-2</w:t>
            </w:r>
          </w:p>
        </w:tc>
        <w:tc>
          <w:tcPr>
            <w:tcW w:w="3800" w:type="pct"/>
          </w:tcPr>
          <w:p w14:paraId="4F1458E8" w14:textId="77777777" w:rsidR="00865309" w:rsidRPr="00D01DDB" w:rsidRDefault="00865309" w:rsidP="00D074E4">
            <w:pPr>
              <w:cnfStyle w:val="000000000000" w:firstRow="0" w:lastRow="0" w:firstColumn="0" w:lastColumn="0" w:oddVBand="0" w:evenVBand="0" w:oddHBand="0" w:evenHBand="0" w:firstRowFirstColumn="0" w:firstRowLastColumn="0" w:lastRowFirstColumn="0" w:lastRowLastColumn="0"/>
              <w:rPr>
                <w:szCs w:val="22"/>
              </w:rPr>
            </w:pPr>
            <w:r w:rsidRPr="009721B5">
              <w:t>Severe acute respiratory syndrome coronavirus 2</w:t>
            </w:r>
          </w:p>
        </w:tc>
      </w:tr>
      <w:tr w:rsidR="00865309" w:rsidRPr="00D01DDB" w14:paraId="6484961D" w14:textId="77777777" w:rsidTr="00D074E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3A2D3D3" w14:textId="77777777" w:rsidR="00865309" w:rsidRDefault="00865309" w:rsidP="00D074E4">
            <w:pPr>
              <w:rPr>
                <w:szCs w:val="22"/>
              </w:rPr>
            </w:pPr>
            <w:r>
              <w:rPr>
                <w:szCs w:val="22"/>
              </w:rPr>
              <w:t>SSR</w:t>
            </w:r>
          </w:p>
        </w:tc>
        <w:tc>
          <w:tcPr>
            <w:tcW w:w="3800" w:type="pct"/>
          </w:tcPr>
          <w:p w14:paraId="28A5323A" w14:textId="77777777" w:rsidR="00865309" w:rsidRDefault="00865309" w:rsidP="00D074E4">
            <w:pPr>
              <w:cnfStyle w:val="000000000000" w:firstRow="0" w:lastRow="0" w:firstColumn="0" w:lastColumn="0" w:oddVBand="0" w:evenVBand="0" w:oddHBand="0" w:evenHBand="0" w:firstRowFirstColumn="0" w:firstRowLastColumn="0" w:lastRowFirstColumn="0" w:lastRowLastColumn="0"/>
            </w:pPr>
            <w:proofErr w:type="spellStart"/>
            <w:r>
              <w:t>S</w:t>
            </w:r>
            <w:r w:rsidRPr="00F30F43">
              <w:t>eroresponse</w:t>
            </w:r>
            <w:proofErr w:type="spellEnd"/>
            <w:r w:rsidRPr="00F30F43">
              <w:t xml:space="preserve"> rates</w:t>
            </w:r>
          </w:p>
        </w:tc>
      </w:tr>
      <w:tr w:rsidR="00865309" w:rsidRPr="00D01DDB" w14:paraId="36A108D1" w14:textId="77777777" w:rsidTr="00D074E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D7FB578" w14:textId="77777777" w:rsidR="00865309" w:rsidRPr="00D01DDB" w:rsidRDefault="00865309" w:rsidP="00D074E4">
            <w:pPr>
              <w:rPr>
                <w:szCs w:val="22"/>
              </w:rPr>
            </w:pPr>
            <w:r w:rsidRPr="00D01DDB">
              <w:rPr>
                <w:szCs w:val="22"/>
              </w:rPr>
              <w:t>TGA</w:t>
            </w:r>
          </w:p>
        </w:tc>
        <w:tc>
          <w:tcPr>
            <w:tcW w:w="3800" w:type="pct"/>
          </w:tcPr>
          <w:p w14:paraId="37619BC1" w14:textId="77777777" w:rsidR="00865309" w:rsidRPr="00D01DDB" w:rsidRDefault="00865309" w:rsidP="00D074E4">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865309" w:rsidRPr="00D01DDB" w14:paraId="5E828384" w14:textId="77777777" w:rsidTr="00D074E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ADBFB43" w14:textId="77777777" w:rsidR="00865309" w:rsidRPr="00D01DDB" w:rsidRDefault="00865309" w:rsidP="00D074E4">
            <w:pPr>
              <w:rPr>
                <w:szCs w:val="22"/>
              </w:rPr>
            </w:pPr>
            <w:r>
              <w:rPr>
                <w:szCs w:val="22"/>
              </w:rPr>
              <w:lastRenderedPageBreak/>
              <w:t>US(A)</w:t>
            </w:r>
          </w:p>
        </w:tc>
        <w:tc>
          <w:tcPr>
            <w:tcW w:w="3800" w:type="pct"/>
          </w:tcPr>
          <w:p w14:paraId="4443222A" w14:textId="77777777" w:rsidR="00865309" w:rsidRPr="00D01DDB" w:rsidRDefault="00865309" w:rsidP="00D074E4">
            <w:pPr>
              <w:cnfStyle w:val="000000000000" w:firstRow="0" w:lastRow="0" w:firstColumn="0" w:lastColumn="0" w:oddVBand="0" w:evenVBand="0" w:oddHBand="0" w:evenHBand="0" w:firstRowFirstColumn="0" w:firstRowLastColumn="0" w:lastRowFirstColumn="0" w:lastRowLastColumn="0"/>
              <w:rPr>
                <w:szCs w:val="22"/>
              </w:rPr>
            </w:pPr>
            <w:r>
              <w:rPr>
                <w:szCs w:val="22"/>
              </w:rPr>
              <w:t>United States (of America)</w:t>
            </w:r>
          </w:p>
        </w:tc>
      </w:tr>
      <w:tr w:rsidR="00865309" w:rsidRPr="00D01DDB" w14:paraId="5236BB0D" w14:textId="77777777" w:rsidTr="00D074E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FFC4C1F" w14:textId="77777777" w:rsidR="00865309" w:rsidRDefault="00865309" w:rsidP="00D074E4">
            <w:pPr>
              <w:rPr>
                <w:szCs w:val="22"/>
              </w:rPr>
            </w:pPr>
            <w:r>
              <w:rPr>
                <w:szCs w:val="22"/>
              </w:rPr>
              <w:t>VE</w:t>
            </w:r>
          </w:p>
        </w:tc>
        <w:tc>
          <w:tcPr>
            <w:tcW w:w="3800" w:type="pct"/>
          </w:tcPr>
          <w:p w14:paraId="1D01340E" w14:textId="5D1D2E72" w:rsidR="00865309" w:rsidRDefault="00865309" w:rsidP="00D074E4">
            <w:pPr>
              <w:cnfStyle w:val="000000000000" w:firstRow="0" w:lastRow="0" w:firstColumn="0" w:lastColumn="0" w:oddVBand="0" w:evenVBand="0" w:oddHBand="0" w:evenHBand="0" w:firstRowFirstColumn="0" w:firstRowLastColumn="0" w:lastRowFirstColumn="0" w:lastRowLastColumn="0"/>
            </w:pPr>
            <w:r>
              <w:t>V</w:t>
            </w:r>
            <w:r w:rsidRPr="00F80961">
              <w:t xml:space="preserve">accine </w:t>
            </w:r>
            <w:r w:rsidR="00E840E5" w:rsidRPr="00F80961">
              <w:t>effectiveness</w:t>
            </w:r>
          </w:p>
        </w:tc>
      </w:tr>
      <w:tr w:rsidR="00865309" w:rsidRPr="00D01DDB" w14:paraId="3F9B0ACD" w14:textId="77777777" w:rsidTr="00D074E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8B2C3E2" w14:textId="77777777" w:rsidR="00865309" w:rsidRDefault="00865309" w:rsidP="00D074E4">
            <w:pPr>
              <w:rPr>
                <w:szCs w:val="22"/>
              </w:rPr>
            </w:pPr>
            <w:r w:rsidRPr="00D27054">
              <w:t>VRBPAC</w:t>
            </w:r>
          </w:p>
        </w:tc>
        <w:tc>
          <w:tcPr>
            <w:tcW w:w="3800" w:type="pct"/>
          </w:tcPr>
          <w:p w14:paraId="1D1166A2" w14:textId="77777777" w:rsidR="00865309" w:rsidRDefault="00865309" w:rsidP="00D074E4">
            <w:pPr>
              <w:cnfStyle w:val="000000000000" w:firstRow="0" w:lastRow="0" w:firstColumn="0" w:lastColumn="0" w:oddVBand="0" w:evenVBand="0" w:oddHBand="0" w:evenHBand="0" w:firstRowFirstColumn="0" w:firstRowLastColumn="0" w:lastRowFirstColumn="0" w:lastRowLastColumn="0"/>
            </w:pPr>
            <w:r w:rsidRPr="00D27054">
              <w:t>Vaccines and Related Biological Products Advisory Committee</w:t>
            </w:r>
          </w:p>
        </w:tc>
      </w:tr>
      <w:tr w:rsidR="00865309" w:rsidRPr="00D01DDB" w14:paraId="6CC85BEE" w14:textId="77777777" w:rsidTr="00D074E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9FA2BEC" w14:textId="77777777" w:rsidR="00865309" w:rsidRPr="00D27054" w:rsidRDefault="00865309" w:rsidP="00D074E4">
            <w:r>
              <w:t>WHO</w:t>
            </w:r>
          </w:p>
        </w:tc>
        <w:tc>
          <w:tcPr>
            <w:tcW w:w="3800" w:type="pct"/>
          </w:tcPr>
          <w:p w14:paraId="4D73C138" w14:textId="77777777" w:rsidR="00865309" w:rsidRPr="00D27054" w:rsidRDefault="00865309" w:rsidP="00D074E4">
            <w:pPr>
              <w:cnfStyle w:val="000000000000" w:firstRow="0" w:lastRow="0" w:firstColumn="0" w:lastColumn="0" w:oddVBand="0" w:evenVBand="0" w:oddHBand="0" w:evenHBand="0" w:firstRowFirstColumn="0" w:firstRowLastColumn="0" w:lastRowFirstColumn="0" w:lastRowLastColumn="0"/>
            </w:pPr>
            <w:r>
              <w:rPr>
                <w:lang w:eastAsia="ja-JP"/>
              </w:rPr>
              <w:t>Word Health Organization</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69FD5D5D" w:rsidR="00324B33" w:rsidRDefault="00324B33" w:rsidP="00324B33">
      <w:pPr>
        <w:pStyle w:val="Heading2"/>
      </w:pPr>
      <w:bookmarkStart w:id="5" w:name="_Toc103679288"/>
      <w:bookmarkStart w:id="6" w:name="_Toc144970826"/>
      <w:r>
        <w:lastRenderedPageBreak/>
        <w:t>Product submission</w:t>
      </w:r>
      <w:bookmarkEnd w:id="5"/>
      <w:bookmarkEnd w:id="6"/>
      <w:r w:rsidR="005635FE">
        <w:fldChar w:fldCharType="begin"/>
      </w:r>
      <w:r w:rsidR="005635FE">
        <w:instrText xml:space="preserve"> DOCVARIABLE vault_nd_3c2dc5b8-cdc9-4d71-a3de-94ebbf4de18e \* MERGEFORMAT </w:instrText>
      </w:r>
      <w:r w:rsidR="005635FE">
        <w:fldChar w:fldCharType="separate"/>
      </w:r>
      <w:r w:rsidR="007D13D5">
        <w:t xml:space="preserve"> </w:t>
      </w:r>
      <w:r w:rsidR="005635FE">
        <w:fldChar w:fldCharType="end"/>
      </w:r>
    </w:p>
    <w:p w14:paraId="21D559DF" w14:textId="1885FC31" w:rsidR="00324B33" w:rsidRDefault="00324B33" w:rsidP="00324B33">
      <w:pPr>
        <w:pStyle w:val="Heading3"/>
        <w:rPr>
          <w:lang w:eastAsia="en-AU"/>
        </w:rPr>
      </w:pPr>
      <w:bookmarkStart w:id="7" w:name="_Toc247691502"/>
      <w:bookmarkStart w:id="8" w:name="_Toc314842483"/>
      <w:bookmarkStart w:id="9" w:name="_Toc103679289"/>
      <w:bookmarkStart w:id="10" w:name="_Toc144970827"/>
      <w:r>
        <w:rPr>
          <w:lang w:eastAsia="en-AU"/>
        </w:rPr>
        <w:t>Submission details</w:t>
      </w:r>
      <w:bookmarkEnd w:id="7"/>
      <w:bookmarkEnd w:id="8"/>
      <w:bookmarkEnd w:id="9"/>
      <w:bookmarkEnd w:id="10"/>
      <w:r w:rsidR="005635FE">
        <w:rPr>
          <w:lang w:eastAsia="en-AU"/>
        </w:rPr>
        <w:fldChar w:fldCharType="begin"/>
      </w:r>
      <w:r w:rsidR="005635FE">
        <w:rPr>
          <w:lang w:eastAsia="en-AU"/>
        </w:rPr>
        <w:instrText xml:space="preserve"> DOCVARIABLE vault_nd_8ba283e0-57dd-429f-8c9c-a2602a2bdee5 \* MERGEFORMAT </w:instrText>
      </w:r>
      <w:r w:rsidR="005635FE">
        <w:rPr>
          <w:lang w:eastAsia="en-AU"/>
        </w:rPr>
        <w:fldChar w:fldCharType="separate"/>
      </w:r>
      <w:r w:rsidR="007D13D5">
        <w:rPr>
          <w:lang w:eastAsia="en-AU"/>
        </w:rPr>
        <w:t xml:space="preserve"> </w:t>
      </w:r>
      <w:r w:rsidR="005635FE">
        <w:rPr>
          <w:lang w:eastAsia="en-AU"/>
        </w:rPr>
        <w:fldChar w:fldCharType="end"/>
      </w:r>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77777777" w:rsidR="00324B33" w:rsidRPr="00BD5DBD" w:rsidRDefault="00324B33" w:rsidP="007452E8">
            <w:pPr>
              <w:rPr>
                <w:i/>
                <w:szCs w:val="22"/>
              </w:rPr>
            </w:pPr>
            <w:r w:rsidRPr="00BD5DBD">
              <w:rPr>
                <w:i/>
                <w:szCs w:val="22"/>
              </w:rPr>
              <w:t>Type of submission:</w:t>
            </w:r>
          </w:p>
        </w:tc>
        <w:tc>
          <w:tcPr>
            <w:tcW w:w="3423" w:type="pct"/>
          </w:tcPr>
          <w:p w14:paraId="4F07C303" w14:textId="5ED3785A" w:rsidR="00324B33" w:rsidRPr="00BD5DBD" w:rsidRDefault="00E840E5" w:rsidP="007452E8">
            <w:pPr>
              <w:rPr>
                <w:szCs w:val="22"/>
              </w:rPr>
            </w:pPr>
            <w:r>
              <w:rPr>
                <w:szCs w:val="22"/>
              </w:rPr>
              <w:t>Transition from provisional registration to full registration</w:t>
            </w:r>
          </w:p>
        </w:tc>
      </w:tr>
      <w:tr w:rsidR="00324B33" w:rsidRPr="00BD5DBD" w14:paraId="13482B61" w14:textId="77777777" w:rsidTr="00F865A7">
        <w:tc>
          <w:tcPr>
            <w:tcW w:w="1577" w:type="pct"/>
          </w:tcPr>
          <w:p w14:paraId="2C427FCF" w14:textId="761FE6EF" w:rsidR="00324B33" w:rsidRPr="00BD5DBD" w:rsidRDefault="00324B33" w:rsidP="007452E8">
            <w:pPr>
              <w:rPr>
                <w:i/>
                <w:szCs w:val="22"/>
              </w:rPr>
            </w:pPr>
            <w:r w:rsidRPr="00BD5DBD">
              <w:rPr>
                <w:i/>
                <w:szCs w:val="22"/>
              </w:rPr>
              <w:t>Product name:</w:t>
            </w:r>
          </w:p>
        </w:tc>
        <w:tc>
          <w:tcPr>
            <w:tcW w:w="3423" w:type="pct"/>
          </w:tcPr>
          <w:p w14:paraId="0E2DEF76" w14:textId="1E5B29F3" w:rsidR="00324B33" w:rsidRPr="00BD5DBD" w:rsidRDefault="00362571" w:rsidP="007452E8">
            <w:pPr>
              <w:rPr>
                <w:szCs w:val="22"/>
              </w:rPr>
            </w:pPr>
            <w:r w:rsidRPr="00362571">
              <w:rPr>
                <w:szCs w:val="22"/>
              </w:rPr>
              <w:t>S</w:t>
            </w:r>
            <w:r>
              <w:rPr>
                <w:szCs w:val="22"/>
              </w:rPr>
              <w:t>pikevax</w:t>
            </w:r>
            <w:r w:rsidRPr="00362571">
              <w:rPr>
                <w:szCs w:val="22"/>
              </w:rPr>
              <w:t xml:space="preserve"> B</w:t>
            </w:r>
            <w:r>
              <w:rPr>
                <w:szCs w:val="22"/>
              </w:rPr>
              <w:t>ivalent</w:t>
            </w:r>
            <w:r w:rsidRPr="00362571">
              <w:rPr>
                <w:szCs w:val="22"/>
              </w:rPr>
              <w:t xml:space="preserve"> O</w:t>
            </w:r>
            <w:r>
              <w:rPr>
                <w:szCs w:val="22"/>
              </w:rPr>
              <w:t>riginal</w:t>
            </w:r>
            <w:r w:rsidRPr="00362571">
              <w:rPr>
                <w:szCs w:val="22"/>
              </w:rPr>
              <w:t>/O</w:t>
            </w:r>
            <w:r>
              <w:rPr>
                <w:szCs w:val="22"/>
              </w:rPr>
              <w:t>micron</w:t>
            </w:r>
            <w:r w:rsidRPr="00362571">
              <w:rPr>
                <w:szCs w:val="22"/>
              </w:rPr>
              <w:t xml:space="preserve"> BA.4</w:t>
            </w:r>
            <w:r>
              <w:rPr>
                <w:szCs w:val="22"/>
              </w:rPr>
              <w:t xml:space="preserve"> </w:t>
            </w:r>
            <w:r w:rsidRPr="00362571">
              <w:rPr>
                <w:szCs w:val="22"/>
              </w:rPr>
              <w:t>-</w:t>
            </w:r>
            <w:r>
              <w:rPr>
                <w:szCs w:val="22"/>
              </w:rPr>
              <w:t xml:space="preserve"> </w:t>
            </w:r>
            <w:r w:rsidRPr="00362571">
              <w:rPr>
                <w:szCs w:val="22"/>
              </w:rPr>
              <w:t>5</w:t>
            </w:r>
          </w:p>
        </w:tc>
      </w:tr>
      <w:tr w:rsidR="00324B33" w:rsidRPr="00BD5DBD" w14:paraId="01255B5B" w14:textId="77777777" w:rsidTr="00F865A7">
        <w:tc>
          <w:tcPr>
            <w:tcW w:w="1577" w:type="pct"/>
          </w:tcPr>
          <w:p w14:paraId="52B4F3D7" w14:textId="70B0ED7C" w:rsidR="00324B33" w:rsidRPr="00BD5DBD" w:rsidRDefault="00324B33" w:rsidP="007452E8">
            <w:pPr>
              <w:rPr>
                <w:i/>
                <w:szCs w:val="22"/>
              </w:rPr>
            </w:pPr>
            <w:r w:rsidRPr="00BD5DBD">
              <w:rPr>
                <w:i/>
                <w:szCs w:val="22"/>
              </w:rPr>
              <w:t>Active ingredient:</w:t>
            </w:r>
          </w:p>
        </w:tc>
        <w:tc>
          <w:tcPr>
            <w:tcW w:w="3423" w:type="pct"/>
          </w:tcPr>
          <w:p w14:paraId="02FB6383" w14:textId="35EED682" w:rsidR="00324B33" w:rsidRPr="00BD5DBD" w:rsidRDefault="00362571" w:rsidP="007452E8">
            <w:pPr>
              <w:rPr>
                <w:szCs w:val="22"/>
              </w:rPr>
            </w:pPr>
            <w:proofErr w:type="spellStart"/>
            <w:r>
              <w:rPr>
                <w:lang w:val="en-US"/>
              </w:rPr>
              <w:t>E</w:t>
            </w:r>
            <w:r w:rsidRPr="00D0179D">
              <w:rPr>
                <w:lang w:val="en-US"/>
              </w:rPr>
              <w:t>lasomeran</w:t>
            </w:r>
            <w:proofErr w:type="spellEnd"/>
            <w:r w:rsidRPr="00D0179D">
              <w:rPr>
                <w:lang w:val="en-US"/>
              </w:rPr>
              <w:t>/</w:t>
            </w:r>
            <w:proofErr w:type="spellStart"/>
            <w:r w:rsidRPr="00D0179D">
              <w:rPr>
                <w:lang w:val="en-US"/>
              </w:rPr>
              <w:t>davesomeran</w:t>
            </w:r>
            <w:proofErr w:type="spellEnd"/>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255379D8" w:rsidR="00324B33" w:rsidRPr="00D83B5B" w:rsidRDefault="00324B33" w:rsidP="007452E8">
            <w:pPr>
              <w:rPr>
                <w:szCs w:val="22"/>
              </w:rPr>
            </w:pPr>
            <w:r w:rsidRPr="00D83B5B">
              <w:rPr>
                <w:szCs w:val="22"/>
              </w:rPr>
              <w:t>Approved</w:t>
            </w:r>
          </w:p>
        </w:tc>
      </w:tr>
      <w:tr w:rsidR="00AE1947" w:rsidRPr="00BD5DBD" w14:paraId="32B72632" w14:textId="77777777" w:rsidTr="00F865A7">
        <w:tc>
          <w:tcPr>
            <w:tcW w:w="1577" w:type="pct"/>
          </w:tcPr>
          <w:p w14:paraId="332A5CD5" w14:textId="188309C4" w:rsidR="00AE1947" w:rsidRPr="00362571" w:rsidRDefault="00AE1947" w:rsidP="00362571">
            <w:pPr>
              <w:rPr>
                <w:i/>
                <w:szCs w:val="22"/>
              </w:rPr>
            </w:pPr>
            <w:r w:rsidRPr="00BD5DBD">
              <w:rPr>
                <w:i/>
                <w:szCs w:val="22"/>
              </w:rPr>
              <w:t>Date of decision:</w:t>
            </w:r>
          </w:p>
        </w:tc>
        <w:tc>
          <w:tcPr>
            <w:tcW w:w="3423" w:type="pct"/>
          </w:tcPr>
          <w:p w14:paraId="7B381CD6" w14:textId="33B4CBEF" w:rsidR="00AE1947" w:rsidRPr="00D83B5B" w:rsidRDefault="00D83B5B" w:rsidP="00602658">
            <w:pPr>
              <w:rPr>
                <w:szCs w:val="22"/>
              </w:rPr>
            </w:pPr>
            <w:r w:rsidRPr="00D83B5B">
              <w:rPr>
                <w:szCs w:val="22"/>
              </w:rPr>
              <w:t>14 August 2023</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26A7678C" w:rsidR="00324B33" w:rsidRPr="00DA075E" w:rsidRDefault="00E63916" w:rsidP="007452E8">
            <w:pPr>
              <w:rPr>
                <w:szCs w:val="22"/>
                <w:highlight w:val="yellow"/>
              </w:rPr>
            </w:pPr>
            <w:r w:rsidRPr="00E63916">
              <w:rPr>
                <w:szCs w:val="22"/>
              </w:rPr>
              <w:t>14 August 2023</w:t>
            </w:r>
          </w:p>
        </w:tc>
      </w:tr>
      <w:tr w:rsidR="00324B33" w:rsidRPr="00BD5DBD" w14:paraId="547E08D7" w14:textId="77777777" w:rsidTr="00F865A7">
        <w:tc>
          <w:tcPr>
            <w:tcW w:w="1577" w:type="pct"/>
          </w:tcPr>
          <w:p w14:paraId="5030EF30" w14:textId="0BC71E11" w:rsidR="00324B33" w:rsidRPr="00BD5DBD" w:rsidRDefault="00324B33" w:rsidP="007452E8">
            <w:pPr>
              <w:rPr>
                <w:i/>
                <w:szCs w:val="22"/>
              </w:rPr>
            </w:pPr>
            <w:r w:rsidRPr="00BD5DBD">
              <w:rPr>
                <w:i/>
                <w:szCs w:val="22"/>
              </w:rPr>
              <w:t>ARTG number</w:t>
            </w:r>
            <w:r w:rsidR="00DA075E">
              <w:rPr>
                <w:i/>
                <w:szCs w:val="22"/>
              </w:rPr>
              <w:t>s</w:t>
            </w:r>
            <w:r w:rsidRPr="00BD5DBD">
              <w:rPr>
                <w:i/>
                <w:szCs w:val="22"/>
              </w:rPr>
              <w:t>:</w:t>
            </w:r>
          </w:p>
        </w:tc>
        <w:tc>
          <w:tcPr>
            <w:tcW w:w="3423" w:type="pct"/>
          </w:tcPr>
          <w:p w14:paraId="0054E912" w14:textId="480B74C1" w:rsidR="00324B33" w:rsidRPr="00BD5DBD" w:rsidRDefault="00DA075E" w:rsidP="007452E8">
            <w:pPr>
              <w:rPr>
                <w:szCs w:val="22"/>
              </w:rPr>
            </w:pPr>
            <w:r w:rsidRPr="00991E33">
              <w:t>399552</w:t>
            </w:r>
            <w:r w:rsidR="00E840E5">
              <w:t xml:space="preserve"> (multidose vial,</w:t>
            </w:r>
            <w:r w:rsidRPr="00991E33">
              <w:t xml:space="preserve"> 399553</w:t>
            </w:r>
            <w:r w:rsidR="00E840E5">
              <w:t xml:space="preserve"> (pre-filled syringe)</w:t>
            </w:r>
            <w:r w:rsidR="00D83B5B">
              <w:t xml:space="preserve"> and 406730</w:t>
            </w:r>
            <w:r w:rsidR="00E840E5">
              <w:t xml:space="preserve"> (single dose vial)</w:t>
            </w:r>
          </w:p>
        </w:tc>
      </w:tr>
      <w:tr w:rsidR="00324B33" w:rsidRPr="00BD5DBD" w14:paraId="7618393F" w14:textId="77777777" w:rsidTr="00F865A7">
        <w:tc>
          <w:tcPr>
            <w:tcW w:w="1577" w:type="pct"/>
          </w:tcPr>
          <w:p w14:paraId="6C24CEB6" w14:textId="1F6220E0" w:rsidR="00E47E0C" w:rsidRPr="00BD5DBD" w:rsidRDefault="00324B33" w:rsidP="007452E8">
            <w:pPr>
              <w:rPr>
                <w:rStyle w:val="Hyperlink"/>
                <w:i/>
                <w:szCs w:val="22"/>
              </w:rPr>
            </w:pPr>
            <w:r w:rsidRPr="00BD5DBD">
              <w:rPr>
                <w:rFonts w:ascii="Wingdings 3" w:hAnsi="Wingdings 3"/>
                <w:szCs w:val="22"/>
                <w:lang w:eastAsia="en-AU"/>
              </w:rPr>
              <w:t></w:t>
            </w:r>
            <w:hyperlink r:id="rId18"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423" w:type="pct"/>
          </w:tcPr>
          <w:p w14:paraId="08EF3693" w14:textId="22040368" w:rsidR="00324B33" w:rsidRPr="00BD5DBD" w:rsidRDefault="00324B33" w:rsidP="007452E8">
            <w:pPr>
              <w:rPr>
                <w:szCs w:val="22"/>
              </w:rPr>
            </w:pPr>
            <w:r w:rsidRPr="00BD5DBD">
              <w:rPr>
                <w:szCs w:val="22"/>
              </w:rPr>
              <w:t>Yes</w:t>
            </w:r>
          </w:p>
          <w:p w14:paraId="6FF3C6A2" w14:textId="631674BE" w:rsidR="00324B33" w:rsidRPr="00BD5DBD" w:rsidRDefault="00DA075E" w:rsidP="007452E8">
            <w:pPr>
              <w:rPr>
                <w:szCs w:val="22"/>
              </w:rPr>
            </w:pPr>
            <w:r w:rsidRPr="00C27828">
              <w:rPr>
                <w:szCs w:val="22"/>
              </w:rPr>
              <w:t>This product will remain in the scheme for 5 years, starting from the date that provisional approval was granted</w:t>
            </w:r>
            <w:r>
              <w:rPr>
                <w:szCs w:val="22"/>
              </w:rPr>
              <w:t>.</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44FC4D3E" w14:textId="77777777" w:rsidR="00DA075E" w:rsidRDefault="00DA075E" w:rsidP="00DA075E">
            <w:r>
              <w:t>Moderna Australia Pty Ltd</w:t>
            </w:r>
          </w:p>
          <w:p w14:paraId="1E2C19E1" w14:textId="77777777" w:rsidR="00DA075E" w:rsidRDefault="00DA075E" w:rsidP="00DA075E">
            <w:r>
              <w:t>Level 6, 60 Martin Place</w:t>
            </w:r>
          </w:p>
          <w:p w14:paraId="68DD94B0" w14:textId="1CE9A083" w:rsidR="00324B33" w:rsidRPr="00BD5DBD" w:rsidRDefault="00DA075E" w:rsidP="00DA075E">
            <w:pPr>
              <w:rPr>
                <w:szCs w:val="22"/>
              </w:rPr>
            </w:pPr>
            <w:r>
              <w:t>Sydney, NSW, 2000</w:t>
            </w:r>
          </w:p>
        </w:tc>
      </w:tr>
      <w:tr w:rsidR="00324B33" w:rsidRPr="00BD5DBD" w14:paraId="5322B989" w14:textId="77777777" w:rsidTr="00F865A7">
        <w:tc>
          <w:tcPr>
            <w:tcW w:w="1577" w:type="pct"/>
          </w:tcPr>
          <w:p w14:paraId="24F217E3" w14:textId="527FBAC1" w:rsidR="00324B33" w:rsidRPr="00BD5DBD" w:rsidRDefault="00324B33" w:rsidP="007452E8">
            <w:pPr>
              <w:rPr>
                <w:i/>
                <w:szCs w:val="22"/>
              </w:rPr>
            </w:pPr>
            <w:r w:rsidRPr="00BD5DBD">
              <w:rPr>
                <w:i/>
                <w:szCs w:val="22"/>
              </w:rPr>
              <w:t>Dose form:</w:t>
            </w:r>
          </w:p>
        </w:tc>
        <w:tc>
          <w:tcPr>
            <w:tcW w:w="3423" w:type="pct"/>
          </w:tcPr>
          <w:p w14:paraId="768B254C" w14:textId="16B53995" w:rsidR="00324B33" w:rsidRPr="00BD5DBD" w:rsidRDefault="00DA075E" w:rsidP="007452E8">
            <w:pPr>
              <w:rPr>
                <w:szCs w:val="22"/>
              </w:rPr>
            </w:pPr>
            <w:r w:rsidRPr="00CA5713">
              <w:t>Suspension for injection</w:t>
            </w:r>
          </w:p>
        </w:tc>
      </w:tr>
      <w:tr w:rsidR="00324B33" w:rsidRPr="00BD5DBD" w14:paraId="115243E6" w14:textId="77777777" w:rsidTr="00F865A7">
        <w:tc>
          <w:tcPr>
            <w:tcW w:w="1577" w:type="pct"/>
          </w:tcPr>
          <w:p w14:paraId="7634B062" w14:textId="746EDC6F" w:rsidR="00324B33" w:rsidRPr="00BD5DBD" w:rsidRDefault="00324B33" w:rsidP="007452E8">
            <w:pPr>
              <w:rPr>
                <w:i/>
                <w:szCs w:val="22"/>
              </w:rPr>
            </w:pPr>
            <w:r w:rsidRPr="00BD5DBD">
              <w:rPr>
                <w:i/>
                <w:szCs w:val="22"/>
              </w:rPr>
              <w:t>Strength:</w:t>
            </w:r>
          </w:p>
        </w:tc>
        <w:tc>
          <w:tcPr>
            <w:tcW w:w="3423" w:type="pct"/>
          </w:tcPr>
          <w:p w14:paraId="5E5F83DB" w14:textId="268FB3CF" w:rsidR="00324B33" w:rsidRPr="00BD5DBD" w:rsidRDefault="00DA075E" w:rsidP="007452E8">
            <w:pPr>
              <w:rPr>
                <w:szCs w:val="22"/>
              </w:rPr>
            </w:pPr>
            <w:r>
              <w:t>0.1 mg/mL (50 µg/0.5 mL dose)</w:t>
            </w:r>
          </w:p>
        </w:tc>
      </w:tr>
      <w:tr w:rsidR="00324B33" w:rsidRPr="00BD5DBD" w14:paraId="34B07BA6" w14:textId="77777777" w:rsidTr="00F865A7">
        <w:tc>
          <w:tcPr>
            <w:tcW w:w="1577" w:type="pct"/>
          </w:tcPr>
          <w:p w14:paraId="1C039224" w14:textId="6BC6E5C7" w:rsidR="00324B33" w:rsidRPr="00BD5DBD" w:rsidRDefault="00324B33" w:rsidP="007452E8">
            <w:pPr>
              <w:rPr>
                <w:i/>
                <w:szCs w:val="22"/>
              </w:rPr>
            </w:pPr>
            <w:r w:rsidRPr="00BD5DBD">
              <w:rPr>
                <w:i/>
                <w:szCs w:val="22"/>
              </w:rPr>
              <w:t>Container</w:t>
            </w:r>
            <w:r w:rsidR="00DA075E">
              <w:rPr>
                <w:i/>
                <w:szCs w:val="22"/>
              </w:rPr>
              <w:t>s</w:t>
            </w:r>
            <w:r w:rsidRPr="00BD5DBD">
              <w:rPr>
                <w:i/>
                <w:szCs w:val="22"/>
              </w:rPr>
              <w:t>:</w:t>
            </w:r>
          </w:p>
        </w:tc>
        <w:tc>
          <w:tcPr>
            <w:tcW w:w="3423" w:type="pct"/>
          </w:tcPr>
          <w:p w14:paraId="500A42C6" w14:textId="6325D10C" w:rsidR="00324B33" w:rsidRPr="00BD5DBD" w:rsidRDefault="00DA075E" w:rsidP="007452E8">
            <w:pPr>
              <w:rPr>
                <w:szCs w:val="22"/>
              </w:rPr>
            </w:pPr>
            <w:r>
              <w:t>Multidose vial</w:t>
            </w:r>
            <w:r w:rsidR="00E840E5">
              <w:t xml:space="preserve">, </w:t>
            </w:r>
            <w:r>
              <w:t>pre-filled syringe</w:t>
            </w:r>
            <w:r w:rsidR="00E840E5">
              <w:t>, and single dose vial</w:t>
            </w:r>
          </w:p>
        </w:tc>
      </w:tr>
      <w:tr w:rsidR="00324B33" w:rsidRPr="00BD5DBD" w14:paraId="176B6773" w14:textId="77777777" w:rsidTr="00F865A7">
        <w:tc>
          <w:tcPr>
            <w:tcW w:w="1577" w:type="pct"/>
          </w:tcPr>
          <w:p w14:paraId="71846159" w14:textId="3767199C" w:rsidR="00324B33" w:rsidRPr="00BD5DBD" w:rsidRDefault="00324B33" w:rsidP="007452E8">
            <w:pPr>
              <w:rPr>
                <w:i/>
                <w:szCs w:val="22"/>
              </w:rPr>
            </w:pPr>
            <w:r w:rsidRPr="00BD5DBD">
              <w:rPr>
                <w:i/>
                <w:szCs w:val="22"/>
              </w:rPr>
              <w:t>Pack size</w:t>
            </w:r>
            <w:r w:rsidR="00DA075E">
              <w:rPr>
                <w:i/>
                <w:szCs w:val="22"/>
              </w:rPr>
              <w:t>s</w:t>
            </w:r>
            <w:r w:rsidRPr="00BD5DBD">
              <w:rPr>
                <w:i/>
                <w:szCs w:val="22"/>
              </w:rPr>
              <w:t>:</w:t>
            </w:r>
          </w:p>
        </w:tc>
        <w:tc>
          <w:tcPr>
            <w:tcW w:w="3423" w:type="pct"/>
          </w:tcPr>
          <w:p w14:paraId="02000AC1" w14:textId="77777777" w:rsidR="00DA075E" w:rsidRDefault="00DA075E" w:rsidP="00DA075E">
            <w:r>
              <w:t>10 multiple dose vials (5 doses/vial)</w:t>
            </w:r>
          </w:p>
          <w:p w14:paraId="7E978F8F" w14:textId="56A9427D" w:rsidR="00324B33" w:rsidRPr="00BD5DBD" w:rsidRDefault="00DA075E" w:rsidP="00DA075E">
            <w:pPr>
              <w:rPr>
                <w:szCs w:val="22"/>
              </w:rPr>
            </w:pPr>
            <w:r>
              <w:t>10 pre-filled syringes (single use)</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4281A038" w14:textId="732559F2" w:rsidR="00D83B5B" w:rsidRPr="00D83B5B" w:rsidRDefault="00D83B5B" w:rsidP="00D83B5B">
            <w:pPr>
              <w:rPr>
                <w:i/>
                <w:iCs/>
              </w:rPr>
            </w:pPr>
            <w:r w:rsidRPr="00D83B5B">
              <w:rPr>
                <w:i/>
                <w:iCs/>
              </w:rPr>
              <w:t>S</w:t>
            </w:r>
            <w:r>
              <w:rPr>
                <w:i/>
                <w:iCs/>
              </w:rPr>
              <w:t xml:space="preserve">pikevax bivalent Original/Omicron BA.4-5 </w:t>
            </w:r>
            <w:r w:rsidRPr="00D83B5B">
              <w:rPr>
                <w:i/>
                <w:iCs/>
              </w:rPr>
              <w:t>(</w:t>
            </w:r>
            <w:proofErr w:type="spellStart"/>
            <w:r w:rsidRPr="00D83B5B">
              <w:rPr>
                <w:i/>
                <w:iCs/>
              </w:rPr>
              <w:t>elasomeran</w:t>
            </w:r>
            <w:proofErr w:type="spellEnd"/>
            <w:r w:rsidRPr="00D83B5B">
              <w:rPr>
                <w:i/>
                <w:iCs/>
              </w:rPr>
              <w:t>/</w:t>
            </w:r>
            <w:proofErr w:type="spellStart"/>
            <w:r w:rsidRPr="00D83B5B">
              <w:rPr>
                <w:i/>
                <w:iCs/>
              </w:rPr>
              <w:t>davesomeran</w:t>
            </w:r>
            <w:proofErr w:type="spellEnd"/>
            <w:r w:rsidRPr="00D83B5B">
              <w:rPr>
                <w:i/>
                <w:iCs/>
              </w:rPr>
              <w:t>) COVID-19 Vaccine is indicated for:</w:t>
            </w:r>
          </w:p>
          <w:p w14:paraId="5FAEF0E4" w14:textId="6CA3CDA4" w:rsidR="00D83B5B" w:rsidRPr="00D83B5B" w:rsidRDefault="00D83B5B" w:rsidP="00D83B5B">
            <w:pPr>
              <w:rPr>
                <w:i/>
                <w:iCs/>
              </w:rPr>
            </w:pPr>
            <w:bookmarkStart w:id="11" w:name="OLE_LINK1"/>
            <w:r w:rsidRPr="00D83B5B">
              <w:rPr>
                <w:i/>
                <w:iCs/>
              </w:rPr>
              <w:t>As a booster dose for active immunisation to prevent coronavirus disease 2019 (COVID 19) caused by SARS-CoV-2 in individuals 12 years of age and older who have previously received at least a primary vaccination course against COVID-19.</w:t>
            </w:r>
          </w:p>
          <w:p w14:paraId="6E143E2E" w14:textId="555C5436" w:rsidR="00324B33" w:rsidRPr="00BD5DBD" w:rsidRDefault="00D83B5B" w:rsidP="00D83B5B">
            <w:pPr>
              <w:rPr>
                <w:szCs w:val="22"/>
              </w:rPr>
            </w:pPr>
            <w:r w:rsidRPr="00D83B5B">
              <w:rPr>
                <w:i/>
                <w:iCs/>
              </w:rPr>
              <w:t>The use of this vaccine should be in accordance with official recommendations</w:t>
            </w:r>
            <w:r w:rsidRPr="00D83B5B">
              <w:t>.</w:t>
            </w:r>
            <w:bookmarkEnd w:id="11"/>
          </w:p>
        </w:tc>
      </w:tr>
      <w:tr w:rsidR="00324B33" w:rsidRPr="00BD5DBD" w14:paraId="5AFDEED3" w14:textId="77777777" w:rsidTr="00F865A7">
        <w:tc>
          <w:tcPr>
            <w:tcW w:w="1577" w:type="pct"/>
          </w:tcPr>
          <w:p w14:paraId="03884BD1" w14:textId="4DDC3F21" w:rsidR="00324B33" w:rsidRPr="00BD5DBD" w:rsidRDefault="00324B33" w:rsidP="007452E8">
            <w:pPr>
              <w:rPr>
                <w:i/>
                <w:szCs w:val="22"/>
              </w:rPr>
            </w:pPr>
            <w:r w:rsidRPr="00BD5DBD">
              <w:rPr>
                <w:i/>
                <w:szCs w:val="22"/>
              </w:rPr>
              <w:t>Route of administration:</w:t>
            </w:r>
          </w:p>
        </w:tc>
        <w:tc>
          <w:tcPr>
            <w:tcW w:w="3423" w:type="pct"/>
          </w:tcPr>
          <w:p w14:paraId="1ED1357E" w14:textId="1F85B224" w:rsidR="00324B33" w:rsidRPr="00BD5DBD" w:rsidRDefault="00DA075E" w:rsidP="007452E8">
            <w:pPr>
              <w:rPr>
                <w:szCs w:val="22"/>
              </w:rPr>
            </w:pPr>
            <w:r>
              <w:rPr>
                <w:szCs w:val="22"/>
              </w:rPr>
              <w:t>Intramuscular</w:t>
            </w:r>
          </w:p>
        </w:tc>
      </w:tr>
      <w:tr w:rsidR="00324B33" w:rsidRPr="00BD5DBD" w14:paraId="70D7E9FA" w14:textId="77777777" w:rsidTr="00F865A7">
        <w:tc>
          <w:tcPr>
            <w:tcW w:w="1577" w:type="pct"/>
          </w:tcPr>
          <w:p w14:paraId="17E273C1" w14:textId="77777777" w:rsidR="00324B33" w:rsidRDefault="00324B33" w:rsidP="007452E8">
            <w:pPr>
              <w:rPr>
                <w:i/>
                <w:szCs w:val="22"/>
              </w:rPr>
            </w:pPr>
            <w:r w:rsidRPr="00BD5DBD">
              <w:rPr>
                <w:i/>
                <w:szCs w:val="22"/>
              </w:rPr>
              <w:t>Dosage:</w:t>
            </w:r>
          </w:p>
          <w:p w14:paraId="63FFB27C" w14:textId="77777777" w:rsidR="00570C2C" w:rsidRPr="00570C2C" w:rsidRDefault="00570C2C" w:rsidP="00570C2C">
            <w:pPr>
              <w:rPr>
                <w:i/>
                <w:szCs w:val="22"/>
              </w:rPr>
            </w:pPr>
          </w:p>
          <w:p w14:paraId="3B5668E4" w14:textId="77777777" w:rsidR="00570C2C" w:rsidRPr="00570C2C" w:rsidRDefault="00570C2C" w:rsidP="00570C2C">
            <w:pPr>
              <w:rPr>
                <w:i/>
                <w:szCs w:val="22"/>
              </w:rPr>
            </w:pPr>
          </w:p>
          <w:p w14:paraId="6FBD4A6E" w14:textId="77777777" w:rsidR="00570C2C" w:rsidRPr="00570C2C" w:rsidRDefault="00570C2C" w:rsidP="00570C2C">
            <w:pPr>
              <w:rPr>
                <w:i/>
                <w:szCs w:val="22"/>
              </w:rPr>
            </w:pPr>
          </w:p>
          <w:p w14:paraId="5ABFFC80" w14:textId="7D02CE9D" w:rsidR="00570C2C" w:rsidRPr="00570C2C" w:rsidRDefault="00570C2C" w:rsidP="00570C2C">
            <w:pPr>
              <w:rPr>
                <w:i/>
                <w:szCs w:val="22"/>
              </w:rPr>
            </w:pPr>
          </w:p>
        </w:tc>
        <w:tc>
          <w:tcPr>
            <w:tcW w:w="3423" w:type="pct"/>
          </w:tcPr>
          <w:p w14:paraId="64B6A2A7" w14:textId="77777777" w:rsidR="00DA075E" w:rsidRPr="00FF7F90" w:rsidRDefault="00DA075E" w:rsidP="00DA075E">
            <w:r w:rsidRPr="00FF7F90">
              <w:t xml:space="preserve">One 0.5 mL dose contains 25 µg </w:t>
            </w:r>
            <w:proofErr w:type="spellStart"/>
            <w:r w:rsidRPr="00FF7F90">
              <w:t>elasomeran</w:t>
            </w:r>
            <w:proofErr w:type="spellEnd"/>
            <w:r w:rsidRPr="00FF7F90">
              <w:t xml:space="preserve"> and 25 µg </w:t>
            </w:r>
            <w:proofErr w:type="spellStart"/>
            <w:r w:rsidRPr="00FF7F90">
              <w:t>davesomeran</w:t>
            </w:r>
            <w:proofErr w:type="spellEnd"/>
            <w:r w:rsidRPr="00FF7F90">
              <w:t>, a COVID-19 mRNA vaccine (embedded in lipid nanoparticles).</w:t>
            </w:r>
          </w:p>
          <w:p w14:paraId="4D8AC346" w14:textId="77777777" w:rsidR="00DA075E" w:rsidRPr="00FF7F90" w:rsidRDefault="00DA075E" w:rsidP="00DA075E">
            <w:pPr>
              <w:rPr>
                <w:i/>
                <w:iCs/>
              </w:rPr>
            </w:pPr>
            <w:r w:rsidRPr="00FF7F90">
              <w:rPr>
                <w:i/>
                <w:iCs/>
              </w:rPr>
              <w:t>Individuals 12 years of age and older</w:t>
            </w:r>
          </w:p>
          <w:p w14:paraId="5F722FC4" w14:textId="77777777" w:rsidR="00DA075E" w:rsidRPr="00FF7F90" w:rsidRDefault="00DA075E" w:rsidP="00DA075E">
            <w:r w:rsidRPr="00FF7F90">
              <w:t xml:space="preserve">One dose of Spikevax bivalent Original/Omicron BA.4-5 (50 µg/0.5 mL) may be given at least 3 months following a primary series and/or previous booster dose with Spikevax (original), Spikevax bivalent Original/Omicron (BA.1) or </w:t>
            </w:r>
            <w:r w:rsidRPr="00FF7F90">
              <w:lastRenderedPageBreak/>
              <w:t>another authorised/approved COVID-19 vaccine, in accordance with official recommendations.</w:t>
            </w:r>
          </w:p>
          <w:p w14:paraId="3D0B2D5C" w14:textId="2C05FD71" w:rsidR="00324B33" w:rsidRPr="00FF7F90" w:rsidRDefault="00DA075E" w:rsidP="007452E8">
            <w:pPr>
              <w:rPr>
                <w:szCs w:val="22"/>
              </w:rPr>
            </w:pPr>
            <w:r w:rsidRPr="00FF7F90">
              <w:t>For further information regarding dosage, refer to the Product Information.</w:t>
            </w:r>
          </w:p>
        </w:tc>
      </w:tr>
      <w:tr w:rsidR="00324B33" w:rsidRPr="00BD5DBD" w14:paraId="24DC408E" w14:textId="77777777" w:rsidTr="00F865A7">
        <w:tc>
          <w:tcPr>
            <w:tcW w:w="1577" w:type="pct"/>
          </w:tcPr>
          <w:p w14:paraId="26380792" w14:textId="77777777" w:rsidR="00324B33" w:rsidRPr="00BD5DBD" w:rsidRDefault="00324B33" w:rsidP="007452E8">
            <w:pPr>
              <w:rPr>
                <w:i/>
                <w:szCs w:val="22"/>
              </w:rPr>
            </w:pPr>
            <w:r w:rsidRPr="00BD5DBD">
              <w:rPr>
                <w:i/>
                <w:szCs w:val="22"/>
              </w:rPr>
              <w:lastRenderedPageBreak/>
              <w:t>Pregnancy category:</w:t>
            </w:r>
          </w:p>
        </w:tc>
        <w:tc>
          <w:tcPr>
            <w:tcW w:w="3423" w:type="pct"/>
          </w:tcPr>
          <w:p w14:paraId="24E01F78" w14:textId="7F3C361B" w:rsidR="00DA075E" w:rsidRDefault="00DA075E" w:rsidP="00DA075E">
            <w:r>
              <w:t>B1</w:t>
            </w:r>
          </w:p>
          <w:p w14:paraId="4523F5F7" w14:textId="77777777" w:rsidR="00DA075E" w:rsidRDefault="00DA075E" w:rsidP="00DA075E">
            <w:r>
              <w:t xml:space="preserve">Drugs which have been taken by only a limited number of pregnant women and women of childbearing age, without an increase in the frequency of malformation or other direct or indirect harmful effects on the human </w:t>
            </w:r>
            <w:proofErr w:type="spellStart"/>
            <w:r>
              <w:t>fetus</w:t>
            </w:r>
            <w:proofErr w:type="spellEnd"/>
            <w:r>
              <w:t xml:space="preserve"> having been observed.</w:t>
            </w:r>
          </w:p>
          <w:p w14:paraId="0F9FE77D" w14:textId="77777777" w:rsidR="00DA075E" w:rsidRDefault="00DA075E" w:rsidP="00DA075E">
            <w:r>
              <w:t xml:space="preserve">Studies in animals have not shown evidence of an increased occurrence of </w:t>
            </w:r>
            <w:proofErr w:type="spellStart"/>
            <w:r>
              <w:t>fetal</w:t>
            </w:r>
            <w:proofErr w:type="spellEnd"/>
            <w:r>
              <w:t xml:space="preserve"> damage.</w:t>
            </w:r>
          </w:p>
          <w:p w14:paraId="5E2AA3D6" w14:textId="794D486B" w:rsidR="00324B33" w:rsidRPr="00BD5DBD" w:rsidRDefault="00324B33" w:rsidP="007452E8">
            <w:pPr>
              <w:rPr>
                <w:szCs w:val="22"/>
              </w:rPr>
            </w:pPr>
            <w:r w:rsidRPr="00BD5DBD">
              <w:rPr>
                <w:szCs w:val="22"/>
              </w:rP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51F2479F" w14:textId="515FF29B" w:rsidR="00324B33" w:rsidRDefault="00324B33" w:rsidP="00324B33">
      <w:pPr>
        <w:pStyle w:val="Heading3"/>
      </w:pPr>
      <w:bookmarkStart w:id="12" w:name="_Toc247691503"/>
      <w:bookmarkStart w:id="13" w:name="_Toc314842484"/>
      <w:bookmarkStart w:id="14" w:name="_Toc103679290"/>
      <w:bookmarkStart w:id="15" w:name="_Toc144970828"/>
      <w:r>
        <w:t>Product background</w:t>
      </w:r>
      <w:bookmarkEnd w:id="12"/>
      <w:bookmarkEnd w:id="13"/>
      <w:bookmarkEnd w:id="14"/>
      <w:bookmarkEnd w:id="15"/>
      <w:r w:rsidR="005635FE">
        <w:fldChar w:fldCharType="begin"/>
      </w:r>
      <w:r w:rsidR="005635FE">
        <w:instrText xml:space="preserve"> DOCVARIABLE vault_nd_75d69840-5c30-4f61-a377-1b47a47ce61c \* MERGEFORMAT </w:instrText>
      </w:r>
      <w:r w:rsidR="005635FE">
        <w:fldChar w:fldCharType="separate"/>
      </w:r>
      <w:r w:rsidR="007D13D5">
        <w:t xml:space="preserve"> </w:t>
      </w:r>
      <w:r w:rsidR="005635FE">
        <w:fldChar w:fldCharType="end"/>
      </w:r>
    </w:p>
    <w:p w14:paraId="56B27CF2" w14:textId="4161F702" w:rsidR="00324B33" w:rsidRDefault="00324B33" w:rsidP="00324B33">
      <w:pPr>
        <w:rPr>
          <w:szCs w:val="22"/>
        </w:rPr>
      </w:pPr>
      <w:r w:rsidRPr="00BD5DBD">
        <w:rPr>
          <w:szCs w:val="22"/>
        </w:rPr>
        <w:t xml:space="preserve">This </w:t>
      </w:r>
      <w:proofErr w:type="spellStart"/>
      <w:r w:rsidRPr="00BD5DBD">
        <w:rPr>
          <w:szCs w:val="22"/>
        </w:rPr>
        <w:t>AusPAR</w:t>
      </w:r>
      <w:proofErr w:type="spellEnd"/>
      <w:r w:rsidRPr="00BD5DBD">
        <w:rPr>
          <w:szCs w:val="22"/>
        </w:rPr>
        <w:t xml:space="preserve"> describes the submission </w:t>
      </w:r>
      <w:r w:rsidR="00DA075E">
        <w:t>Moderna Australia Pty Ltd</w:t>
      </w:r>
      <w:r w:rsidR="00DA075E" w:rsidRPr="000A4A42">
        <w:t xml:space="preserve"> (the sponsor) to register </w:t>
      </w:r>
      <w:r w:rsidR="00DA075E">
        <w:t>Spikevax bivalent Original/Omicron BA.4-5 vaccine</w:t>
      </w:r>
      <w:r w:rsidR="00DA075E" w:rsidRPr="00460036">
        <w:t xml:space="preserve"> </w:t>
      </w:r>
      <w:r w:rsidR="00DA075E">
        <w:t>(</w:t>
      </w:r>
      <w:proofErr w:type="spellStart"/>
      <w:r w:rsidR="00DA075E">
        <w:t>e</w:t>
      </w:r>
      <w:r w:rsidR="00DA075E" w:rsidRPr="00A00D37">
        <w:t>lasomeran</w:t>
      </w:r>
      <w:proofErr w:type="spellEnd"/>
      <w:r w:rsidR="00DA075E">
        <w:t xml:space="preserve"> and </w:t>
      </w:r>
      <w:proofErr w:type="spellStart"/>
      <w:r w:rsidR="00DA075E" w:rsidRPr="00A00D37">
        <w:t>davesomeran</w:t>
      </w:r>
      <w:proofErr w:type="spellEnd"/>
      <w:r w:rsidR="00DA075E" w:rsidRPr="000A4A42">
        <w:t xml:space="preserve">) </w:t>
      </w:r>
      <w:r w:rsidR="00DA075E">
        <w:t>0.1 mg/mL</w:t>
      </w:r>
      <w:r w:rsidR="00DA075E" w:rsidRPr="000A4A42">
        <w:t xml:space="preserve">, </w:t>
      </w:r>
      <w:r w:rsidR="00DA075E">
        <w:t>suspension for injection</w:t>
      </w:r>
      <w:r w:rsidR="00DA075E" w:rsidRPr="00BD5DBD">
        <w:rPr>
          <w:szCs w:val="22"/>
        </w:rPr>
        <w:t xml:space="preserve"> </w:t>
      </w:r>
      <w:r w:rsidR="00DA075E" w:rsidRPr="00DA075E">
        <w:rPr>
          <w:szCs w:val="22"/>
        </w:rPr>
        <w:t xml:space="preserve">for the transition from </w:t>
      </w:r>
      <w:r w:rsidR="00DA075E">
        <w:rPr>
          <w:szCs w:val="22"/>
        </w:rPr>
        <w:t>p</w:t>
      </w:r>
      <w:r w:rsidR="00DA075E" w:rsidRPr="00DA075E">
        <w:rPr>
          <w:szCs w:val="22"/>
        </w:rPr>
        <w:t xml:space="preserve">rovisional </w:t>
      </w:r>
      <w:r w:rsidR="00DA075E">
        <w:rPr>
          <w:szCs w:val="22"/>
        </w:rPr>
        <w:t>r</w:t>
      </w:r>
      <w:r w:rsidR="00DA075E" w:rsidRPr="00DA075E">
        <w:rPr>
          <w:szCs w:val="22"/>
        </w:rPr>
        <w:t xml:space="preserve">egistration to </w:t>
      </w:r>
      <w:r w:rsidR="00DA075E">
        <w:rPr>
          <w:szCs w:val="22"/>
        </w:rPr>
        <w:t>f</w:t>
      </w:r>
      <w:r w:rsidR="00DA075E" w:rsidRPr="00DA075E">
        <w:rPr>
          <w:szCs w:val="22"/>
        </w:rPr>
        <w:t xml:space="preserve">ull </w:t>
      </w:r>
      <w:r w:rsidR="00DA075E">
        <w:rPr>
          <w:szCs w:val="22"/>
        </w:rPr>
        <w:t>r</w:t>
      </w:r>
      <w:r w:rsidR="00DA075E" w:rsidRPr="00DA075E">
        <w:rPr>
          <w:szCs w:val="22"/>
        </w:rPr>
        <w:t>egistration</w:t>
      </w:r>
      <w:r w:rsidR="00E840E5">
        <w:rPr>
          <w:szCs w:val="22"/>
        </w:rPr>
        <w:t xml:space="preserve"> for the following proposed indication</w:t>
      </w:r>
      <w:r w:rsidRPr="00BD5DBD">
        <w:rPr>
          <w:szCs w:val="22"/>
        </w:rPr>
        <w:t>:</w:t>
      </w:r>
      <w:r w:rsidR="00D63760" w:rsidRPr="00BD5DBD">
        <w:rPr>
          <w:rStyle w:val="FootnoteReference"/>
          <w:szCs w:val="22"/>
        </w:rPr>
        <w:footnoteReference w:id="1"/>
      </w:r>
    </w:p>
    <w:p w14:paraId="6D0E8D22" w14:textId="3241D89F" w:rsidR="00E840E5" w:rsidRDefault="00E840E5" w:rsidP="00E840E5">
      <w:pPr>
        <w:ind w:left="720"/>
        <w:rPr>
          <w:i/>
          <w:iCs/>
        </w:rPr>
      </w:pPr>
      <w:r>
        <w:rPr>
          <w:i/>
          <w:iCs/>
        </w:rPr>
        <w:t>As a booster dose for active immunisation to prevent coronavirus disease 2019 (COVID 19) caused by SARS-CoV-2 in individuals 12 years of age and older who have previously received at least a primary vaccination course against COVID-19.</w:t>
      </w:r>
    </w:p>
    <w:p w14:paraId="463FD64E" w14:textId="624954D9" w:rsidR="00E840E5" w:rsidRPr="00BD5DBD" w:rsidRDefault="00E840E5" w:rsidP="00E840E5">
      <w:pPr>
        <w:ind w:firstLine="720"/>
        <w:rPr>
          <w:szCs w:val="22"/>
        </w:rPr>
      </w:pPr>
      <w:r>
        <w:rPr>
          <w:i/>
          <w:iCs/>
        </w:rPr>
        <w:t>The use of this vaccine should be in accordance with official recommendations</w:t>
      </w:r>
      <w:r>
        <w:t>.</w:t>
      </w:r>
    </w:p>
    <w:p w14:paraId="4B019644" w14:textId="194A534F" w:rsidR="008B20B3" w:rsidRPr="008B20B3" w:rsidRDefault="008B20B3" w:rsidP="008B20B3">
      <w:pPr>
        <w:pStyle w:val="Heading4"/>
      </w:pPr>
      <w:bookmarkStart w:id="16" w:name="_Toc144970829"/>
      <w:bookmarkStart w:id="17" w:name="_Toc314842485"/>
      <w:bookmarkStart w:id="18" w:name="_Toc247691504"/>
      <w:bookmarkStart w:id="19" w:name="_Toc103679291"/>
      <w:r w:rsidRPr="008B20B3">
        <w:t>Condition</w:t>
      </w:r>
      <w:bookmarkEnd w:id="16"/>
      <w:r w:rsidR="005635FE">
        <w:fldChar w:fldCharType="begin"/>
      </w:r>
      <w:r w:rsidR="005635FE">
        <w:instrText xml:space="preserve"> DOCVARIABLE vault_nd_b00cbe1c-def2-42fc-87b9-726b2717411b \* MERGEFORMAT </w:instrText>
      </w:r>
      <w:r w:rsidR="005635FE">
        <w:fldChar w:fldCharType="separate"/>
      </w:r>
      <w:r w:rsidR="007D13D5">
        <w:t xml:space="preserve"> </w:t>
      </w:r>
      <w:r w:rsidR="005635FE">
        <w:fldChar w:fldCharType="end"/>
      </w:r>
    </w:p>
    <w:p w14:paraId="16EE9642" w14:textId="26F1731E" w:rsidR="008B20B3" w:rsidRPr="008B20B3" w:rsidRDefault="00BE584A" w:rsidP="008B20B3">
      <w:r w:rsidRPr="009721B5">
        <w:t>Coronavirus disease 2019</w:t>
      </w:r>
      <w:r>
        <w:t xml:space="preserve"> (</w:t>
      </w:r>
      <w:r w:rsidR="008B20B3" w:rsidRPr="008B20B3">
        <w:t>COVID-19</w:t>
      </w:r>
      <w:r>
        <w:t>)</w:t>
      </w:r>
      <w:r w:rsidR="008B20B3" w:rsidRPr="008B20B3">
        <w:t xml:space="preserve"> is a disease caused by infection with the pandemic virus </w:t>
      </w:r>
      <w:proofErr w:type="gramStart"/>
      <w:r w:rsidRPr="009721B5">
        <w:t>Severe acute respiratory syndrome</w:t>
      </w:r>
      <w:proofErr w:type="gramEnd"/>
      <w:r w:rsidRPr="009721B5">
        <w:t xml:space="preserve"> coronavirus 2</w:t>
      </w:r>
      <w:r>
        <w:t xml:space="preserve"> (</w:t>
      </w:r>
      <w:r w:rsidR="008B20B3" w:rsidRPr="008B20B3">
        <w:t>SARS-CoV-2</w:t>
      </w:r>
      <w:r>
        <w:t>)</w:t>
      </w:r>
      <w:r w:rsidR="008B20B3" w:rsidRPr="008B20B3">
        <w:t xml:space="preserve">, which was first recognised internationally in late 2019 and in Australia by early 2020. It is manifested by respiratory, </w:t>
      </w:r>
      <w:proofErr w:type="gramStart"/>
      <w:r w:rsidR="008B20B3" w:rsidRPr="008B20B3">
        <w:t>systemic</w:t>
      </w:r>
      <w:proofErr w:type="gramEnd"/>
      <w:r w:rsidR="008B20B3" w:rsidRPr="008B20B3">
        <w:t xml:space="preserve"> and other organ-related symptomatology.</w:t>
      </w:r>
    </w:p>
    <w:p w14:paraId="5A071680" w14:textId="17DA0AAF" w:rsidR="008B20B3" w:rsidRPr="008B20B3" w:rsidRDefault="008B20B3" w:rsidP="008B20B3">
      <w:r w:rsidRPr="008B20B3">
        <w:t>Disease severity is mainly related to respiratory presentations, and generally increases with age. Mortality in unvaccinated individuals with untreated disease is rare in childhood but increases steeply beyond 60 years of age.</w:t>
      </w:r>
    </w:p>
    <w:p w14:paraId="5CF71300" w14:textId="2C2B4D83" w:rsidR="008B20B3" w:rsidRPr="008B20B3" w:rsidRDefault="008B20B3" w:rsidP="008B20B3">
      <w:r w:rsidRPr="008B20B3">
        <w:t>In the absence of highly effective prophylactic or therapeutic medicines, active immunisation through vaccination represents the best means of preventing hospitalisation and deaths at an individual level and controlling the pandemic at a societal level.</w:t>
      </w:r>
    </w:p>
    <w:p w14:paraId="0DA0D36D" w14:textId="6D3EC5FD" w:rsidR="008B20B3" w:rsidRPr="008B20B3" w:rsidRDefault="008B20B3" w:rsidP="008B20B3">
      <w:r w:rsidRPr="008B20B3">
        <w:lastRenderedPageBreak/>
        <w:t>Emerging mutated SARS-CoV-2 variants of concern pose challenges for current vaccination strategies, which until recently have been based on inducing immunity to the non-mutated spike protein that was sequenced in the original wild</w:t>
      </w:r>
      <w:r w:rsidR="00BE584A">
        <w:t xml:space="preserve"> </w:t>
      </w:r>
      <w:proofErr w:type="gramStart"/>
      <w:r w:rsidRPr="008B20B3">
        <w:t>type</w:t>
      </w:r>
      <w:proofErr w:type="gramEnd"/>
      <w:r w:rsidRPr="008B20B3">
        <w:t xml:space="preserve"> virus.</w:t>
      </w:r>
    </w:p>
    <w:p w14:paraId="6DDBA9B4" w14:textId="31F002C6" w:rsidR="008B20B3" w:rsidRPr="008B20B3" w:rsidRDefault="008B20B3" w:rsidP="008B20B3">
      <w:r w:rsidRPr="008B20B3">
        <w:t xml:space="preserve">In November of 2021, the Omicron variant (B.1.1.529; BA.1) emerged as the most antigenically divergent variant at the time with </w:t>
      </w:r>
      <w:r w:rsidR="00BE584A">
        <w:t>greater than</w:t>
      </w:r>
      <w:r w:rsidRPr="008B20B3">
        <w:t xml:space="preserve"> 30 mutations in the spike protein, granting it transmissibility advantages. Soon after its emergence, Omicron rapidly became dominant worldwide. This was followed by emergence of various Omicron subvariants (BA.2, BA.2.75.2, BA.2.12.1, BA.4, BA.5, BQ.1.1, XBB.1 and others). As of January of 2023, BA.5 subvariant remains one of the major lineages in the </w:t>
      </w:r>
      <w:r w:rsidR="00BE584A">
        <w:t>United States of America (</w:t>
      </w:r>
      <w:r w:rsidRPr="008B20B3">
        <w:t>US</w:t>
      </w:r>
      <w:r w:rsidR="00BE584A">
        <w:t>A)</w:t>
      </w:r>
      <w:r w:rsidRPr="008B20B3">
        <w:t xml:space="preserve"> but has been largely taken over by BQ and XBB subvariants.</w:t>
      </w:r>
    </w:p>
    <w:p w14:paraId="1F0A4592" w14:textId="49ACBFE4" w:rsidR="008B20B3" w:rsidRPr="008B20B3" w:rsidRDefault="008B20B3" w:rsidP="008B20B3">
      <w:r w:rsidRPr="008B20B3">
        <w:t>Benefits of receiving COVID-19 vaccine has been well established.</w:t>
      </w:r>
      <w:r w:rsidRPr="008B20B3">
        <w:rPr>
          <w:vertAlign w:val="superscript"/>
        </w:rPr>
        <w:footnoteReference w:id="2"/>
      </w:r>
      <w:r w:rsidRPr="008B20B3">
        <w:t xml:space="preserve"> These include protection from SARS-CoV-2 infection as well as progression to severe COVID-19 and death.</w:t>
      </w:r>
    </w:p>
    <w:p w14:paraId="681BAA29" w14:textId="421A8161" w:rsidR="008B20B3" w:rsidRPr="008B20B3" w:rsidRDefault="008B20B3" w:rsidP="008B20B3">
      <w:r w:rsidRPr="008B20B3">
        <w:t>COVID-19 continues to be a significant public health issue to Australians. As of 14 June 2023, the 7-day rolling averages are as follows:</w:t>
      </w:r>
      <w:r w:rsidRPr="008B20B3">
        <w:rPr>
          <w:vertAlign w:val="superscript"/>
        </w:rPr>
        <w:footnoteReference w:id="3"/>
      </w:r>
    </w:p>
    <w:p w14:paraId="085BC29C" w14:textId="77777777" w:rsidR="008B20B3" w:rsidRPr="008B20B3" w:rsidRDefault="008B20B3" w:rsidP="007664FD">
      <w:pPr>
        <w:pStyle w:val="ListBullet"/>
      </w:pPr>
      <w:r w:rsidRPr="008B20B3">
        <w:t xml:space="preserve">number of cases identified: </w:t>
      </w:r>
      <w:proofErr w:type="gramStart"/>
      <w:r w:rsidRPr="008B20B3">
        <w:t>4,713</w:t>
      </w:r>
      <w:proofErr w:type="gramEnd"/>
    </w:p>
    <w:p w14:paraId="43459ABC" w14:textId="77777777" w:rsidR="008B20B3" w:rsidRPr="008B20B3" w:rsidRDefault="008B20B3" w:rsidP="007664FD">
      <w:pPr>
        <w:pStyle w:val="ListBullet"/>
      </w:pPr>
      <w:r w:rsidRPr="008B20B3">
        <w:t xml:space="preserve">number of people hospitalised: </w:t>
      </w:r>
      <w:proofErr w:type="gramStart"/>
      <w:r w:rsidRPr="008B20B3">
        <w:t>2,776</w:t>
      </w:r>
      <w:proofErr w:type="gramEnd"/>
    </w:p>
    <w:p w14:paraId="604E03C0" w14:textId="3788206F" w:rsidR="008B20B3" w:rsidRPr="008B20B3" w:rsidRDefault="008B20B3" w:rsidP="007664FD">
      <w:pPr>
        <w:pStyle w:val="ListBullet"/>
      </w:pPr>
      <w:r w:rsidRPr="008B20B3">
        <w:t xml:space="preserve">number of people in </w:t>
      </w:r>
      <w:r w:rsidR="00BE584A">
        <w:t>intensive care unit (</w:t>
      </w:r>
      <w:r w:rsidRPr="008B20B3">
        <w:t>ICU</w:t>
      </w:r>
      <w:r w:rsidR="00BE584A">
        <w:t>)</w:t>
      </w:r>
      <w:r w:rsidRPr="008B20B3">
        <w:t>: 72</w:t>
      </w:r>
    </w:p>
    <w:p w14:paraId="2BF2B458" w14:textId="77777777" w:rsidR="008B20B3" w:rsidRPr="008B20B3" w:rsidRDefault="008B20B3" w:rsidP="007664FD">
      <w:pPr>
        <w:pStyle w:val="ListBullet"/>
      </w:pPr>
      <w:r w:rsidRPr="008B20B3">
        <w:t>number of deaths: 2</w:t>
      </w:r>
    </w:p>
    <w:p w14:paraId="18FD5469" w14:textId="77777777" w:rsidR="008B20B3" w:rsidRPr="008B20B3" w:rsidRDefault="008B20B3" w:rsidP="008B20B3">
      <w:r w:rsidRPr="008B20B3">
        <w:t>Cumulatively, there have been 11,420,039 confirmed cases and 21,063 deaths in Australia due to COVID-19 as of 14 June 2023.</w:t>
      </w:r>
      <w:r w:rsidRPr="008B20B3">
        <w:rPr>
          <w:vertAlign w:val="superscript"/>
        </w:rPr>
        <w:footnoteReference w:id="4"/>
      </w:r>
    </w:p>
    <w:p w14:paraId="00145E78" w14:textId="3FFC12EF" w:rsidR="008B20B3" w:rsidRPr="008B20B3" w:rsidRDefault="008B20B3" w:rsidP="008B20B3">
      <w:pPr>
        <w:pStyle w:val="Heading4"/>
      </w:pPr>
      <w:bookmarkStart w:id="20" w:name="_Toc144970830"/>
      <w:r w:rsidRPr="008B20B3">
        <w:t>Current treatment options</w:t>
      </w:r>
      <w:bookmarkEnd w:id="20"/>
      <w:r w:rsidR="005635FE">
        <w:fldChar w:fldCharType="begin"/>
      </w:r>
      <w:r w:rsidR="005635FE">
        <w:instrText xml:space="preserve"> DOCVARIABLE vault_nd_0356734d-8ef7-4e4a-a738-da73de0cdf98 \* MERGEFORMAT </w:instrText>
      </w:r>
      <w:r w:rsidR="005635FE">
        <w:fldChar w:fldCharType="separate"/>
      </w:r>
      <w:r w:rsidR="007D13D5">
        <w:t xml:space="preserve"> </w:t>
      </w:r>
      <w:r w:rsidR="005635FE">
        <w:fldChar w:fldCharType="end"/>
      </w:r>
    </w:p>
    <w:p w14:paraId="2878E3E8" w14:textId="7B1A2130" w:rsidR="008B20B3" w:rsidRPr="008B20B3" w:rsidRDefault="00100D27" w:rsidP="008B20B3">
      <w:r>
        <w:t xml:space="preserve">For </w:t>
      </w:r>
      <w:r w:rsidR="008B20B3" w:rsidRPr="008B20B3">
        <w:t>COVID-19 vaccines regulatory status</w:t>
      </w:r>
      <w:r>
        <w:t xml:space="preserve">, </w:t>
      </w:r>
      <w:r w:rsidR="00F81807">
        <w:t xml:space="preserve">please refer </w:t>
      </w:r>
      <w:proofErr w:type="gramStart"/>
      <w:r w:rsidR="00F81807">
        <w:t>to</w:t>
      </w:r>
      <w:proofErr w:type="gramEnd"/>
    </w:p>
    <w:p w14:paraId="16FD7AAB" w14:textId="7705494B" w:rsidR="008B20B3" w:rsidRPr="008B20B3" w:rsidRDefault="00783DA7" w:rsidP="008B20B3">
      <w:hyperlink r:id="rId19" w:history="1">
        <w:r w:rsidR="008B20B3" w:rsidRPr="008B20B3">
          <w:rPr>
            <w:rStyle w:val="Hyperlink"/>
          </w:rPr>
          <w:t>COVID-19 vaccines regulatory status | Therapeutic Goods Administration (TGA)</w:t>
        </w:r>
      </w:hyperlink>
    </w:p>
    <w:p w14:paraId="0D615854" w14:textId="59FD6A71" w:rsidR="00324B33" w:rsidRPr="003F31A2" w:rsidRDefault="00324B33" w:rsidP="008B20B3">
      <w:pPr>
        <w:pStyle w:val="Heading3"/>
      </w:pPr>
      <w:bookmarkStart w:id="21" w:name="_Toc144970831"/>
      <w:r>
        <w:t>Regulatory status</w:t>
      </w:r>
      <w:bookmarkEnd w:id="17"/>
      <w:bookmarkEnd w:id="18"/>
      <w:bookmarkEnd w:id="19"/>
      <w:bookmarkEnd w:id="21"/>
      <w:r w:rsidR="005635FE">
        <w:fldChar w:fldCharType="begin"/>
      </w:r>
      <w:r w:rsidR="005635FE">
        <w:instrText xml:space="preserve"> DOCVARIABLE vault_nd_4d2eab2e-52b4-4dc8-a549-0db1d189e977 \* MERGEFORMAT </w:instrText>
      </w:r>
      <w:r w:rsidR="005635FE">
        <w:fldChar w:fldCharType="separate"/>
      </w:r>
      <w:r w:rsidR="007D13D5">
        <w:t xml:space="preserve"> </w:t>
      </w:r>
      <w:r w:rsidR="005635FE">
        <w:fldChar w:fldCharType="end"/>
      </w:r>
    </w:p>
    <w:p w14:paraId="4DB722AE" w14:textId="3B7F05BC" w:rsidR="002358DF" w:rsidRDefault="00937D76" w:rsidP="00324B33">
      <w:pPr>
        <w:rPr>
          <w:szCs w:val="22"/>
        </w:rPr>
      </w:pPr>
      <w:r>
        <w:rPr>
          <w:szCs w:val="22"/>
        </w:rPr>
        <w:t>The TGA provisionally approved Spikevax Original/Omicron BA.1</w:t>
      </w:r>
      <w:r w:rsidRPr="00937D76">
        <w:rPr>
          <w:szCs w:val="22"/>
        </w:rPr>
        <w:t xml:space="preserve"> bivalent vaccine on 29 August 2022</w:t>
      </w:r>
      <w:r>
        <w:rPr>
          <w:szCs w:val="22"/>
        </w:rPr>
        <w:t xml:space="preserve">. </w:t>
      </w:r>
      <w:r w:rsidR="002358DF" w:rsidRPr="003428F8">
        <w:rPr>
          <w:szCs w:val="22"/>
        </w:rPr>
        <w:t xml:space="preserve">The TGA provisionally approved </w:t>
      </w:r>
      <w:r w:rsidR="00EC4599" w:rsidRPr="00EC4599">
        <w:rPr>
          <w:szCs w:val="22"/>
        </w:rPr>
        <w:t>S</w:t>
      </w:r>
      <w:r w:rsidR="00EC4599">
        <w:rPr>
          <w:szCs w:val="22"/>
        </w:rPr>
        <w:t>pikevax bivalent</w:t>
      </w:r>
      <w:r w:rsidR="00EC4599" w:rsidRPr="00EC4599">
        <w:rPr>
          <w:szCs w:val="22"/>
        </w:rPr>
        <w:t xml:space="preserve"> O</w:t>
      </w:r>
      <w:r w:rsidR="00EC4599">
        <w:rPr>
          <w:szCs w:val="22"/>
        </w:rPr>
        <w:t>riginal</w:t>
      </w:r>
      <w:r w:rsidR="00EC4599" w:rsidRPr="00EC4599">
        <w:rPr>
          <w:szCs w:val="22"/>
        </w:rPr>
        <w:t>/O</w:t>
      </w:r>
      <w:r w:rsidR="00EC4599">
        <w:rPr>
          <w:szCs w:val="22"/>
        </w:rPr>
        <w:t>micron</w:t>
      </w:r>
      <w:r w:rsidR="00EC4599" w:rsidRPr="00EC4599">
        <w:rPr>
          <w:szCs w:val="22"/>
        </w:rPr>
        <w:t xml:space="preserve"> BA.4-5</w:t>
      </w:r>
      <w:r w:rsidR="00EC4599">
        <w:rPr>
          <w:szCs w:val="22"/>
        </w:rPr>
        <w:t xml:space="preserve"> v</w:t>
      </w:r>
      <w:r w:rsidR="00EC4599" w:rsidRPr="00EC4599">
        <w:rPr>
          <w:szCs w:val="22"/>
        </w:rPr>
        <w:t>accine in individuals 12 years of age and older on 17 February 2023.</w:t>
      </w:r>
    </w:p>
    <w:p w14:paraId="3FECA686" w14:textId="027D4E6E" w:rsidR="00A60119" w:rsidRPr="00A60119" w:rsidRDefault="00A60119" w:rsidP="00A60119">
      <w:pPr>
        <w:rPr>
          <w:szCs w:val="22"/>
        </w:rPr>
      </w:pPr>
      <w:r w:rsidRPr="00A60119">
        <w:rPr>
          <w:szCs w:val="22"/>
        </w:rPr>
        <w:t>S</w:t>
      </w:r>
      <w:r w:rsidR="007B48FD">
        <w:rPr>
          <w:szCs w:val="22"/>
        </w:rPr>
        <w:t>pikevax monovalent vaccine</w:t>
      </w:r>
      <w:r w:rsidRPr="00A60119">
        <w:rPr>
          <w:szCs w:val="22"/>
        </w:rPr>
        <w:t xml:space="preserve"> (ARTG ID 370559) was initially provisionally registered for use in adults </w:t>
      </w:r>
      <w:r w:rsidR="006F3E8F">
        <w:rPr>
          <w:szCs w:val="22"/>
        </w:rPr>
        <w:t>at least</w:t>
      </w:r>
      <w:r w:rsidRPr="00A60119">
        <w:rPr>
          <w:szCs w:val="22"/>
        </w:rPr>
        <w:t xml:space="preserve"> 18 </w:t>
      </w:r>
      <w:r w:rsidR="006F3E8F">
        <w:rPr>
          <w:szCs w:val="22"/>
        </w:rPr>
        <w:t>years of age</w:t>
      </w:r>
      <w:r w:rsidRPr="00A60119">
        <w:rPr>
          <w:szCs w:val="22"/>
        </w:rPr>
        <w:t xml:space="preserve"> by the TGA on 9</w:t>
      </w:r>
      <w:r w:rsidR="006F3E8F">
        <w:rPr>
          <w:szCs w:val="22"/>
        </w:rPr>
        <w:t xml:space="preserve"> August </w:t>
      </w:r>
      <w:r w:rsidRPr="00A60119">
        <w:rPr>
          <w:szCs w:val="22"/>
        </w:rPr>
        <w:t>2021. Subsequently, it was provisionally registered:</w:t>
      </w:r>
    </w:p>
    <w:p w14:paraId="74BD3612" w14:textId="550EAFEB" w:rsidR="00A60119" w:rsidRPr="00A60119" w:rsidRDefault="00A60119" w:rsidP="00A60119">
      <w:pPr>
        <w:pStyle w:val="ListBullet"/>
      </w:pPr>
      <w:r w:rsidRPr="00A60119">
        <w:t xml:space="preserve">For individuals </w:t>
      </w:r>
      <w:r w:rsidR="006F3E8F">
        <w:t>at least</w:t>
      </w:r>
      <w:r w:rsidRPr="00A60119">
        <w:t xml:space="preserve"> 12 </w:t>
      </w:r>
      <w:r w:rsidR="006F3E8F">
        <w:t>years of age</w:t>
      </w:r>
      <w:r w:rsidRPr="00A60119">
        <w:t xml:space="preserve"> </w:t>
      </w:r>
      <w:r w:rsidR="006F3E8F">
        <w:t xml:space="preserve">on </w:t>
      </w:r>
      <w:r w:rsidRPr="00A60119">
        <w:t>3</w:t>
      </w:r>
      <w:r w:rsidR="006F3E8F">
        <w:t xml:space="preserve"> September</w:t>
      </w:r>
      <w:r w:rsidRPr="00A60119">
        <w:t>2021.</w:t>
      </w:r>
    </w:p>
    <w:p w14:paraId="19D0571D" w14:textId="1FBBE1C4" w:rsidR="00A60119" w:rsidRPr="00A60119" w:rsidRDefault="00A60119" w:rsidP="00A60119">
      <w:pPr>
        <w:pStyle w:val="ListBullet"/>
      </w:pPr>
      <w:r w:rsidRPr="00A60119">
        <w:t xml:space="preserve">Booster dose for individuals </w:t>
      </w:r>
      <w:r w:rsidR="00480E2D">
        <w:t>at least</w:t>
      </w:r>
      <w:r w:rsidRPr="00A60119">
        <w:t xml:space="preserve"> 18 </w:t>
      </w:r>
      <w:r w:rsidR="00480E2D">
        <w:t>years of age</w:t>
      </w:r>
      <w:r w:rsidR="00B30779">
        <w:t xml:space="preserve"> on</w:t>
      </w:r>
      <w:r w:rsidR="00480E2D">
        <w:t xml:space="preserve"> </w:t>
      </w:r>
      <w:r w:rsidRPr="00A60119">
        <w:t>7</w:t>
      </w:r>
      <w:r w:rsidR="00480E2D">
        <w:t xml:space="preserve"> December </w:t>
      </w:r>
      <w:r w:rsidRPr="00A60119">
        <w:t>2021.</w:t>
      </w:r>
    </w:p>
    <w:p w14:paraId="68AAAFB3" w14:textId="41E2C962" w:rsidR="00A60119" w:rsidRPr="00A60119" w:rsidRDefault="00A60119" w:rsidP="00A60119">
      <w:pPr>
        <w:pStyle w:val="ListBullet"/>
      </w:pPr>
      <w:r w:rsidRPr="00A60119">
        <w:t xml:space="preserve">For individuals </w:t>
      </w:r>
      <w:r w:rsidR="00480E2D">
        <w:t>at least</w:t>
      </w:r>
      <w:r w:rsidRPr="00A60119">
        <w:t xml:space="preserve"> 6 </w:t>
      </w:r>
      <w:r w:rsidR="00480E2D">
        <w:t>years of age</w:t>
      </w:r>
      <w:r w:rsidR="00B30779">
        <w:t xml:space="preserve"> on </w:t>
      </w:r>
      <w:r w:rsidRPr="00A60119">
        <w:t>17</w:t>
      </w:r>
      <w:r w:rsidR="00B30779">
        <w:t xml:space="preserve"> February </w:t>
      </w:r>
      <w:r w:rsidRPr="00A60119">
        <w:t>2022.</w:t>
      </w:r>
    </w:p>
    <w:p w14:paraId="772360C2" w14:textId="6A7D7303" w:rsidR="00A60119" w:rsidRPr="00A60119" w:rsidRDefault="00A60119" w:rsidP="00A60119">
      <w:pPr>
        <w:pStyle w:val="ListBullet"/>
      </w:pPr>
      <w:r w:rsidRPr="00A60119">
        <w:lastRenderedPageBreak/>
        <w:t xml:space="preserve">For individuals aged 6 months and over </w:t>
      </w:r>
      <w:r w:rsidR="00B30779">
        <w:t xml:space="preserve">on </w:t>
      </w:r>
      <w:r w:rsidRPr="00A60119">
        <w:t>19</w:t>
      </w:r>
      <w:r w:rsidR="00B30779">
        <w:t xml:space="preserve"> July </w:t>
      </w:r>
      <w:r w:rsidRPr="00A60119">
        <w:t>2022.</w:t>
      </w:r>
    </w:p>
    <w:p w14:paraId="2343E08C" w14:textId="38CC42FC" w:rsidR="00A60119" w:rsidRPr="00A60119" w:rsidRDefault="00A60119" w:rsidP="00A60119">
      <w:pPr>
        <w:pStyle w:val="ListBullet"/>
      </w:pPr>
      <w:r w:rsidRPr="00A60119">
        <w:t xml:space="preserve">Booster dose for individuals </w:t>
      </w:r>
      <w:r w:rsidR="00B30779">
        <w:t>at least</w:t>
      </w:r>
      <w:r w:rsidRPr="00A60119">
        <w:t xml:space="preserve"> 12 </w:t>
      </w:r>
      <w:r w:rsidR="00B30779">
        <w:t xml:space="preserve">years of age on </w:t>
      </w:r>
      <w:r w:rsidRPr="00A60119">
        <w:t>19</w:t>
      </w:r>
      <w:r w:rsidR="00B30779">
        <w:t xml:space="preserve"> October </w:t>
      </w:r>
      <w:r w:rsidRPr="00A60119">
        <w:t>2022.</w:t>
      </w:r>
    </w:p>
    <w:p w14:paraId="30F531A1" w14:textId="2D41B0A7" w:rsidR="00A60119" w:rsidRDefault="00B30779" w:rsidP="00A60119">
      <w:pPr>
        <w:rPr>
          <w:szCs w:val="22"/>
        </w:rPr>
      </w:pPr>
      <w:r w:rsidRPr="00A60119">
        <w:rPr>
          <w:szCs w:val="22"/>
        </w:rPr>
        <w:t>S</w:t>
      </w:r>
      <w:r>
        <w:rPr>
          <w:szCs w:val="22"/>
        </w:rPr>
        <w:t>pikevax monovalent vaccine</w:t>
      </w:r>
      <w:r w:rsidRPr="00A60119">
        <w:rPr>
          <w:szCs w:val="22"/>
        </w:rPr>
        <w:t xml:space="preserve"> </w:t>
      </w:r>
      <w:r w:rsidR="00DA4310">
        <w:rPr>
          <w:szCs w:val="22"/>
        </w:rPr>
        <w:t xml:space="preserve">transitioned from provisional approval to full </w:t>
      </w:r>
      <w:proofErr w:type="gramStart"/>
      <w:r w:rsidR="00DA4310">
        <w:rPr>
          <w:szCs w:val="22"/>
        </w:rPr>
        <w:t xml:space="preserve">registration </w:t>
      </w:r>
      <w:r w:rsidR="00A60119" w:rsidRPr="00A60119">
        <w:rPr>
          <w:szCs w:val="22"/>
        </w:rPr>
        <w:t xml:space="preserve"> for</w:t>
      </w:r>
      <w:proofErr w:type="gramEnd"/>
      <w:r w:rsidR="00A60119" w:rsidRPr="00A60119">
        <w:rPr>
          <w:szCs w:val="22"/>
        </w:rPr>
        <w:t xml:space="preserve"> use in individuals 6 years of age and older </w:t>
      </w:r>
      <w:r w:rsidR="00DA4310">
        <w:rPr>
          <w:szCs w:val="22"/>
        </w:rPr>
        <w:t xml:space="preserve">following </w:t>
      </w:r>
      <w:r w:rsidR="00A60119" w:rsidRPr="00A60119">
        <w:rPr>
          <w:szCs w:val="22"/>
        </w:rPr>
        <w:t xml:space="preserve">TGA </w:t>
      </w:r>
      <w:r w:rsidR="00DA4310">
        <w:rPr>
          <w:szCs w:val="22"/>
        </w:rPr>
        <w:t xml:space="preserve">approval </w:t>
      </w:r>
      <w:r w:rsidR="00A60119" w:rsidRPr="00A60119">
        <w:rPr>
          <w:szCs w:val="22"/>
        </w:rPr>
        <w:t>on 21</w:t>
      </w:r>
      <w:r>
        <w:rPr>
          <w:szCs w:val="22"/>
        </w:rPr>
        <w:t xml:space="preserve"> April </w:t>
      </w:r>
      <w:r w:rsidR="00A60119" w:rsidRPr="00A60119">
        <w:rPr>
          <w:szCs w:val="22"/>
        </w:rPr>
        <w:t>2023.</w:t>
      </w:r>
    </w:p>
    <w:p w14:paraId="715B7D2A" w14:textId="4C22B203" w:rsidR="00324B33" w:rsidRPr="00BD5DBD" w:rsidRDefault="00324B33" w:rsidP="00324B33">
      <w:pPr>
        <w:rPr>
          <w:szCs w:val="22"/>
        </w:rPr>
      </w:pPr>
      <w:r w:rsidRPr="00FF7F90">
        <w:rPr>
          <w:szCs w:val="22"/>
        </w:rPr>
        <w:t xml:space="preserve">At the time the TGA considered this submission, a similar submission had been approved in </w:t>
      </w:r>
      <w:r w:rsidR="002C6C0C" w:rsidRPr="00FF7F90">
        <w:rPr>
          <w:szCs w:val="22"/>
        </w:rPr>
        <w:t xml:space="preserve">Canada on </w:t>
      </w:r>
      <w:r w:rsidR="0016200C" w:rsidRPr="00FF7F90">
        <w:rPr>
          <w:szCs w:val="22"/>
        </w:rPr>
        <w:t>4 November 2022</w:t>
      </w:r>
      <w:r w:rsidR="00FF7F90">
        <w:rPr>
          <w:szCs w:val="22"/>
        </w:rPr>
        <w:t>, in European Union</w:t>
      </w:r>
      <w:r w:rsidR="00865309">
        <w:rPr>
          <w:szCs w:val="22"/>
        </w:rPr>
        <w:t xml:space="preserve"> (EU)</w:t>
      </w:r>
      <w:r w:rsidR="00FF7F90">
        <w:rPr>
          <w:szCs w:val="22"/>
        </w:rPr>
        <w:t xml:space="preserve"> on 20 October 2022, in United Kingdom on 21 February 2023, in Japan on 1 November 2023 and in Switzerland on 3 March 2023</w:t>
      </w:r>
      <w:r w:rsidRPr="00FF7F90">
        <w:rPr>
          <w:szCs w:val="22"/>
        </w:rPr>
        <w:t xml:space="preserve">. </w:t>
      </w:r>
      <w:r w:rsidR="00FB2A28">
        <w:rPr>
          <w:szCs w:val="22"/>
        </w:rPr>
        <w:t xml:space="preserve">An EUA </w:t>
      </w:r>
      <w:r w:rsidR="003C3010" w:rsidRPr="003C3010">
        <w:rPr>
          <w:szCs w:val="22"/>
        </w:rPr>
        <w:t>was granted for 18</w:t>
      </w:r>
      <w:r w:rsidR="00F816C9">
        <w:rPr>
          <w:szCs w:val="22"/>
        </w:rPr>
        <w:t xml:space="preserve"> years</w:t>
      </w:r>
      <w:r w:rsidR="003C3010" w:rsidRPr="003C3010">
        <w:rPr>
          <w:szCs w:val="22"/>
        </w:rPr>
        <w:t>+ booster in US on 31 Aug</w:t>
      </w:r>
      <w:r w:rsidR="003C3010">
        <w:rPr>
          <w:szCs w:val="22"/>
        </w:rPr>
        <w:t>ust</w:t>
      </w:r>
      <w:r w:rsidR="003C3010" w:rsidRPr="003C3010">
        <w:rPr>
          <w:szCs w:val="22"/>
        </w:rPr>
        <w:t xml:space="preserve"> 2022, and 6-17</w:t>
      </w:r>
      <w:r w:rsidR="00F816C9">
        <w:rPr>
          <w:szCs w:val="22"/>
        </w:rPr>
        <w:t xml:space="preserve"> years</w:t>
      </w:r>
      <w:r w:rsidR="003C3010" w:rsidRPr="003C3010">
        <w:rPr>
          <w:szCs w:val="22"/>
        </w:rPr>
        <w:t xml:space="preserve"> booster in US on 12 Oct</w:t>
      </w:r>
      <w:r w:rsidR="003C3010">
        <w:rPr>
          <w:szCs w:val="22"/>
        </w:rPr>
        <w:t>ober</w:t>
      </w:r>
      <w:r w:rsidR="003C3010" w:rsidRPr="003C3010">
        <w:rPr>
          <w:szCs w:val="22"/>
        </w:rPr>
        <w:t xml:space="preserve"> 2022, and 6</w:t>
      </w:r>
      <w:r w:rsidR="00F816C9">
        <w:rPr>
          <w:szCs w:val="22"/>
        </w:rPr>
        <w:t xml:space="preserve"> </w:t>
      </w:r>
      <w:r w:rsidR="003C3010" w:rsidRPr="003C3010">
        <w:rPr>
          <w:szCs w:val="22"/>
        </w:rPr>
        <w:t>m</w:t>
      </w:r>
      <w:r w:rsidR="00F816C9">
        <w:rPr>
          <w:szCs w:val="22"/>
        </w:rPr>
        <w:t>onths</w:t>
      </w:r>
      <w:r w:rsidR="003C3010" w:rsidRPr="003C3010">
        <w:rPr>
          <w:szCs w:val="22"/>
        </w:rPr>
        <w:t>-5</w:t>
      </w:r>
      <w:r w:rsidR="00F816C9">
        <w:rPr>
          <w:szCs w:val="22"/>
        </w:rPr>
        <w:t xml:space="preserve"> </w:t>
      </w:r>
      <w:r w:rsidR="003C3010" w:rsidRPr="003C3010">
        <w:rPr>
          <w:szCs w:val="22"/>
        </w:rPr>
        <w:t>y</w:t>
      </w:r>
      <w:r w:rsidR="00F816C9">
        <w:rPr>
          <w:szCs w:val="22"/>
        </w:rPr>
        <w:t>ears</w:t>
      </w:r>
      <w:r w:rsidR="003C3010" w:rsidRPr="003C3010">
        <w:rPr>
          <w:szCs w:val="22"/>
        </w:rPr>
        <w:t xml:space="preserve"> on 08 Dec</w:t>
      </w:r>
      <w:r w:rsidR="003C3010">
        <w:rPr>
          <w:szCs w:val="22"/>
        </w:rPr>
        <w:t>ember</w:t>
      </w:r>
      <w:r w:rsidR="003C3010" w:rsidRPr="003C3010">
        <w:rPr>
          <w:szCs w:val="22"/>
        </w:rPr>
        <w:t xml:space="preserve"> 2022; </w:t>
      </w:r>
      <w:proofErr w:type="spellStart"/>
      <w:r w:rsidR="003C3010" w:rsidRPr="003C3010">
        <w:rPr>
          <w:szCs w:val="22"/>
        </w:rPr>
        <w:t>sBLA</w:t>
      </w:r>
      <w:proofErr w:type="spellEnd"/>
      <w:r w:rsidR="003C3010" w:rsidRPr="003C3010">
        <w:rPr>
          <w:szCs w:val="22"/>
        </w:rPr>
        <w:t xml:space="preserve"> </w:t>
      </w:r>
      <w:r w:rsidR="00F448E3">
        <w:rPr>
          <w:szCs w:val="22"/>
        </w:rPr>
        <w:t xml:space="preserve">was </w:t>
      </w:r>
      <w:r w:rsidR="003C3010" w:rsidRPr="003C3010">
        <w:rPr>
          <w:szCs w:val="22"/>
        </w:rPr>
        <w:t>submitted for 12</w:t>
      </w:r>
      <w:r w:rsidR="00F816C9">
        <w:rPr>
          <w:szCs w:val="22"/>
        </w:rPr>
        <w:t xml:space="preserve"> years</w:t>
      </w:r>
      <w:r w:rsidR="003C3010" w:rsidRPr="003C3010">
        <w:rPr>
          <w:szCs w:val="22"/>
        </w:rPr>
        <w:t>+ on 27 March 2023 and is under review.</w:t>
      </w:r>
      <w:r w:rsidR="00F448E3">
        <w:rPr>
          <w:szCs w:val="22"/>
        </w:rPr>
        <w:t xml:space="preserve"> </w:t>
      </w:r>
      <w:r w:rsidRPr="00FF7F90">
        <w:rPr>
          <w:szCs w:val="22"/>
        </w:rPr>
        <w:t xml:space="preserve">A similar submission was under consideration in </w:t>
      </w:r>
      <w:r w:rsidR="00FF7F90">
        <w:rPr>
          <w:szCs w:val="22"/>
        </w:rPr>
        <w:t>Singapore.</w:t>
      </w:r>
    </w:p>
    <w:p w14:paraId="1B9AB90D" w14:textId="3E8AA98C" w:rsidR="00324B33" w:rsidRPr="00BD5DBD" w:rsidRDefault="00324B33" w:rsidP="00324B33">
      <w:pPr>
        <w:rPr>
          <w:szCs w:val="22"/>
        </w:rPr>
      </w:pPr>
      <w:r w:rsidRPr="00BD5DBD">
        <w:rPr>
          <w:szCs w:val="22"/>
        </w:rPr>
        <w:t>The following table summarises these submissions and provides the indications where approved.</w:t>
      </w:r>
    </w:p>
    <w:p w14:paraId="19B9E0AC" w14:textId="33DAFCC2" w:rsidR="00324B33" w:rsidRDefault="00324B33" w:rsidP="00324B33">
      <w:pPr>
        <w:pStyle w:val="TableTitle"/>
      </w:pPr>
      <w:bookmarkStart w:id="22" w:name="_Ref99705479"/>
      <w:r>
        <w:t xml:space="preserve">Table </w:t>
      </w:r>
      <w:fldSimple w:instr=" SEQ Table \* ARABIC ">
        <w:r w:rsidR="007D13D5">
          <w:rPr>
            <w:noProof/>
          </w:rPr>
          <w:t>1</w:t>
        </w:r>
      </w:fldSimple>
      <w:bookmarkEnd w:id="22"/>
      <w:r>
        <w:t>: International regulatory status</w:t>
      </w:r>
      <w:r w:rsidR="00783DA7">
        <w:fldChar w:fldCharType="begin"/>
      </w:r>
      <w:r w:rsidR="00783DA7">
        <w:instrText xml:space="preserve"> DOCVARIABLE vault_nd_89fcf263-3ea3-4024-86fd-543d1f6ac4b9 \* MERGEFORMAT </w:instrText>
      </w:r>
      <w:r w:rsidR="00783DA7">
        <w:fldChar w:fldCharType="separate"/>
      </w:r>
      <w:r w:rsidR="007D13D5">
        <w:t xml:space="preserve"> </w:t>
      </w:r>
      <w:r w:rsidR="00783DA7">
        <w:fldChar w:fldCharType="end"/>
      </w:r>
    </w:p>
    <w:tbl>
      <w:tblPr>
        <w:tblStyle w:val="TableTGAblue2023"/>
        <w:tblW w:w="5000" w:type="pct"/>
        <w:tblLook w:val="04A0" w:firstRow="1" w:lastRow="0" w:firstColumn="1" w:lastColumn="0" w:noHBand="0" w:noVBand="1"/>
      </w:tblPr>
      <w:tblGrid>
        <w:gridCol w:w="1837"/>
        <w:gridCol w:w="1845"/>
        <w:gridCol w:w="2125"/>
        <w:gridCol w:w="3253"/>
      </w:tblGrid>
      <w:tr w:rsidR="00324B33" w:rsidRPr="00D01DDB" w14:paraId="405E5D78" w14:textId="16839333" w:rsidTr="001313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185B099B" w14:textId="7A4C0E6C" w:rsidR="00324B33" w:rsidRPr="00D01DDB" w:rsidRDefault="00324B33" w:rsidP="00324B33">
            <w:pPr>
              <w:rPr>
                <w:szCs w:val="22"/>
              </w:rPr>
            </w:pPr>
            <w:r w:rsidRPr="00D01DDB">
              <w:rPr>
                <w:szCs w:val="22"/>
              </w:rPr>
              <w:t>Region</w:t>
            </w:r>
          </w:p>
        </w:tc>
        <w:tc>
          <w:tcPr>
            <w:tcW w:w="1018" w:type="pct"/>
          </w:tcPr>
          <w:p w14:paraId="778C35C7" w14:textId="52D23C8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Submission date</w:t>
            </w:r>
          </w:p>
        </w:tc>
        <w:tc>
          <w:tcPr>
            <w:tcW w:w="1173" w:type="pct"/>
          </w:tcPr>
          <w:p w14:paraId="58F81584" w14:textId="66689ABF"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Status</w:t>
            </w:r>
          </w:p>
        </w:tc>
        <w:tc>
          <w:tcPr>
            <w:tcW w:w="1795" w:type="pct"/>
          </w:tcPr>
          <w:p w14:paraId="50B2D435" w14:textId="560588D2"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Approved indications</w:t>
            </w:r>
          </w:p>
        </w:tc>
      </w:tr>
      <w:tr w:rsidR="00324B33" w:rsidRPr="00D01DDB" w14:paraId="38D24E86"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4C540DE5" w14:textId="78469944" w:rsidR="00324B33" w:rsidRPr="00D01DDB" w:rsidRDefault="0085798D" w:rsidP="00324B33">
            <w:pPr>
              <w:rPr>
                <w:szCs w:val="22"/>
              </w:rPr>
            </w:pPr>
            <w:r>
              <w:rPr>
                <w:szCs w:val="22"/>
              </w:rPr>
              <w:t>United States of America</w:t>
            </w:r>
          </w:p>
        </w:tc>
        <w:tc>
          <w:tcPr>
            <w:tcW w:w="1018" w:type="pct"/>
          </w:tcPr>
          <w:p w14:paraId="4FA5DDA9" w14:textId="7F604DA5" w:rsidR="00324B33" w:rsidRPr="00D01DDB" w:rsidRDefault="0085798D"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17 March 2023</w:t>
            </w:r>
          </w:p>
        </w:tc>
        <w:tc>
          <w:tcPr>
            <w:tcW w:w="1173" w:type="pct"/>
          </w:tcPr>
          <w:p w14:paraId="29358393" w14:textId="16F9DDFE" w:rsidR="00324B33" w:rsidRPr="00D01DDB" w:rsidRDefault="002C077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Under </w:t>
            </w:r>
            <w:r w:rsidR="00C17ED7">
              <w:rPr>
                <w:szCs w:val="22"/>
              </w:rPr>
              <w:t>consideration</w:t>
            </w:r>
          </w:p>
        </w:tc>
        <w:tc>
          <w:tcPr>
            <w:tcW w:w="1795" w:type="pct"/>
          </w:tcPr>
          <w:p w14:paraId="05055674" w14:textId="03997BA4" w:rsidR="00324B33" w:rsidRPr="00D01DDB" w:rsidRDefault="00C17ED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Under consideration</w:t>
            </w:r>
          </w:p>
        </w:tc>
      </w:tr>
      <w:tr w:rsidR="00324B33" w:rsidRPr="00D01DDB" w14:paraId="18B6E2AA" w14:textId="7783D66F" w:rsidTr="0013132F">
        <w:tc>
          <w:tcPr>
            <w:cnfStyle w:val="001000000000" w:firstRow="0" w:lastRow="0" w:firstColumn="1" w:lastColumn="0" w:oddVBand="0" w:evenVBand="0" w:oddHBand="0" w:evenHBand="0" w:firstRowFirstColumn="0" w:firstRowLastColumn="0" w:lastRowFirstColumn="0" w:lastRowLastColumn="0"/>
            <w:tcW w:w="1014" w:type="pct"/>
          </w:tcPr>
          <w:p w14:paraId="7F348960" w14:textId="23DBFED6" w:rsidR="00324B33" w:rsidRPr="00D01DDB" w:rsidRDefault="002C077F" w:rsidP="00324B33">
            <w:pPr>
              <w:rPr>
                <w:szCs w:val="22"/>
              </w:rPr>
            </w:pPr>
            <w:r>
              <w:rPr>
                <w:szCs w:val="22"/>
              </w:rPr>
              <w:t>Canada</w:t>
            </w:r>
          </w:p>
        </w:tc>
        <w:tc>
          <w:tcPr>
            <w:tcW w:w="1018" w:type="pct"/>
          </w:tcPr>
          <w:p w14:paraId="1D871E57" w14:textId="4AB9A6D1" w:rsidR="00324B33" w:rsidRPr="00D01DDB" w:rsidRDefault="002C077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12 September 2022</w:t>
            </w:r>
          </w:p>
        </w:tc>
        <w:tc>
          <w:tcPr>
            <w:tcW w:w="1173" w:type="pct"/>
          </w:tcPr>
          <w:p w14:paraId="63A3A9D3" w14:textId="585904C7" w:rsidR="00324B33" w:rsidRPr="00D01DDB" w:rsidRDefault="002C077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Approved on 4 November 2022</w:t>
            </w:r>
          </w:p>
        </w:tc>
        <w:tc>
          <w:tcPr>
            <w:tcW w:w="1795" w:type="pct"/>
          </w:tcPr>
          <w:p w14:paraId="17C650B8" w14:textId="20F98A37" w:rsidR="00324B33" w:rsidRPr="00D01DDB" w:rsidRDefault="006C66D5" w:rsidP="006C66D5">
            <w:pPr>
              <w:cnfStyle w:val="000000000000" w:firstRow="0" w:lastRow="0" w:firstColumn="0" w:lastColumn="0" w:oddVBand="0" w:evenVBand="0" w:oddHBand="0" w:evenHBand="0" w:firstRowFirstColumn="0" w:firstRowLastColumn="0" w:lastRowFirstColumn="0" w:lastRowLastColumn="0"/>
              <w:rPr>
                <w:szCs w:val="22"/>
              </w:rPr>
            </w:pPr>
            <w:r w:rsidRPr="006C66D5">
              <w:rPr>
                <w:szCs w:val="22"/>
              </w:rPr>
              <w:t>As a booster dose for active immunization against COVID-19 caused by</w:t>
            </w:r>
            <w:r>
              <w:rPr>
                <w:szCs w:val="22"/>
              </w:rPr>
              <w:t xml:space="preserve"> </w:t>
            </w:r>
            <w:r w:rsidRPr="006C66D5">
              <w:rPr>
                <w:szCs w:val="22"/>
              </w:rPr>
              <w:t>the SARS-CoV-2 virus in individuals 18 years of age and older</w:t>
            </w:r>
          </w:p>
        </w:tc>
      </w:tr>
      <w:tr w:rsidR="00A65B36" w:rsidRPr="00D01DDB" w14:paraId="066E5ADC"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558DCFF4" w14:textId="11D0D142" w:rsidR="00A65B36" w:rsidRDefault="00A65B36" w:rsidP="00324B33">
            <w:pPr>
              <w:rPr>
                <w:szCs w:val="22"/>
              </w:rPr>
            </w:pPr>
            <w:r>
              <w:rPr>
                <w:szCs w:val="22"/>
              </w:rPr>
              <w:t>European Union</w:t>
            </w:r>
          </w:p>
        </w:tc>
        <w:tc>
          <w:tcPr>
            <w:tcW w:w="1018" w:type="pct"/>
          </w:tcPr>
          <w:p w14:paraId="3C6F9EE7" w14:textId="12046915" w:rsidR="00A65B36" w:rsidRDefault="00A65B3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23 September 2022</w:t>
            </w:r>
          </w:p>
        </w:tc>
        <w:tc>
          <w:tcPr>
            <w:tcW w:w="1173" w:type="pct"/>
          </w:tcPr>
          <w:p w14:paraId="212FE6E7" w14:textId="15A62824" w:rsidR="00A65B36" w:rsidRDefault="00A65B3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20 October 2022</w:t>
            </w:r>
          </w:p>
        </w:tc>
        <w:tc>
          <w:tcPr>
            <w:tcW w:w="1795" w:type="pct"/>
          </w:tcPr>
          <w:p w14:paraId="45B9DD5F" w14:textId="66A922D0" w:rsidR="00A65B36" w:rsidRPr="006C66D5" w:rsidRDefault="0097084A" w:rsidP="009867FF">
            <w:pPr>
              <w:cnfStyle w:val="000000000000" w:firstRow="0" w:lastRow="0" w:firstColumn="0" w:lastColumn="0" w:oddVBand="0" w:evenVBand="0" w:oddHBand="0" w:evenHBand="0" w:firstRowFirstColumn="0" w:firstRowLastColumn="0" w:lastRowFirstColumn="0" w:lastRowLastColumn="0"/>
              <w:rPr>
                <w:szCs w:val="22"/>
              </w:rPr>
            </w:pPr>
            <w:r w:rsidRPr="0097084A">
              <w:rPr>
                <w:szCs w:val="22"/>
              </w:rPr>
              <w:t>For active immunization to prevent COVID-19 caused by the SARSCoV-2 virus in individuals 12 years of age and older, who have</w:t>
            </w:r>
            <w:r>
              <w:rPr>
                <w:szCs w:val="22"/>
              </w:rPr>
              <w:t xml:space="preserve"> </w:t>
            </w:r>
            <w:r w:rsidRPr="0097084A">
              <w:rPr>
                <w:szCs w:val="22"/>
              </w:rPr>
              <w:t>previously received at least a primary vaccination course against</w:t>
            </w:r>
            <w:r w:rsidR="009867FF">
              <w:rPr>
                <w:szCs w:val="22"/>
              </w:rPr>
              <w:t xml:space="preserve"> </w:t>
            </w:r>
            <w:r w:rsidRPr="0097084A">
              <w:rPr>
                <w:szCs w:val="22"/>
              </w:rPr>
              <w:t>COVID-19.</w:t>
            </w:r>
          </w:p>
        </w:tc>
      </w:tr>
      <w:tr w:rsidR="00505324" w:rsidRPr="00D01DDB" w14:paraId="3D6607F0"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54F895F9" w14:textId="71A034A0" w:rsidR="00505324" w:rsidRDefault="00505324" w:rsidP="00324B33">
            <w:pPr>
              <w:rPr>
                <w:szCs w:val="22"/>
              </w:rPr>
            </w:pPr>
            <w:r>
              <w:rPr>
                <w:szCs w:val="22"/>
              </w:rPr>
              <w:t>United Kingdom</w:t>
            </w:r>
          </w:p>
        </w:tc>
        <w:tc>
          <w:tcPr>
            <w:tcW w:w="1018" w:type="pct"/>
          </w:tcPr>
          <w:p w14:paraId="5F9E4CB8" w14:textId="656C1926" w:rsidR="00505324" w:rsidRDefault="0050532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22 November 2022</w:t>
            </w:r>
          </w:p>
        </w:tc>
        <w:tc>
          <w:tcPr>
            <w:tcW w:w="1173" w:type="pct"/>
          </w:tcPr>
          <w:p w14:paraId="56F211D3" w14:textId="1658B46C" w:rsidR="00505324" w:rsidRDefault="0050532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21 February 2023</w:t>
            </w:r>
          </w:p>
        </w:tc>
        <w:tc>
          <w:tcPr>
            <w:tcW w:w="1795" w:type="pct"/>
          </w:tcPr>
          <w:p w14:paraId="1FA2A378" w14:textId="4CA96EAD" w:rsidR="00505324" w:rsidRPr="008A747F" w:rsidRDefault="00261787" w:rsidP="006C66D5">
            <w:pPr>
              <w:cnfStyle w:val="000000000000" w:firstRow="0" w:lastRow="0" w:firstColumn="0" w:lastColumn="0" w:oddVBand="0" w:evenVBand="0" w:oddHBand="0" w:evenHBand="0" w:firstRowFirstColumn="0" w:firstRowLastColumn="0" w:lastRowFirstColumn="0" w:lastRowLastColumn="0"/>
              <w:rPr>
                <w:szCs w:val="22"/>
                <w:highlight w:val="yellow"/>
              </w:rPr>
            </w:pPr>
            <w:r w:rsidRPr="00FE6B3C">
              <w:rPr>
                <w:szCs w:val="22"/>
              </w:rPr>
              <w:t>Booster, 12 years of age and older</w:t>
            </w:r>
          </w:p>
        </w:tc>
      </w:tr>
      <w:tr w:rsidR="00505324" w:rsidRPr="00D01DDB" w14:paraId="41B184F1"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6CEA613A" w14:textId="56C4E485" w:rsidR="00505324" w:rsidRDefault="00261787" w:rsidP="00324B33">
            <w:pPr>
              <w:rPr>
                <w:szCs w:val="22"/>
              </w:rPr>
            </w:pPr>
            <w:r>
              <w:rPr>
                <w:szCs w:val="22"/>
              </w:rPr>
              <w:t>Singapore</w:t>
            </w:r>
          </w:p>
        </w:tc>
        <w:tc>
          <w:tcPr>
            <w:tcW w:w="1018" w:type="pct"/>
          </w:tcPr>
          <w:p w14:paraId="76A0DBEA" w14:textId="4570B543" w:rsidR="00505324" w:rsidRDefault="0026178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24 February 2023</w:t>
            </w:r>
          </w:p>
        </w:tc>
        <w:tc>
          <w:tcPr>
            <w:tcW w:w="1173" w:type="pct"/>
          </w:tcPr>
          <w:p w14:paraId="142184F0" w14:textId="4485A6BA" w:rsidR="00505324" w:rsidRDefault="0026178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Under </w:t>
            </w:r>
            <w:r w:rsidR="00C17ED7">
              <w:rPr>
                <w:szCs w:val="22"/>
              </w:rPr>
              <w:t>consideration</w:t>
            </w:r>
          </w:p>
        </w:tc>
        <w:tc>
          <w:tcPr>
            <w:tcW w:w="1795" w:type="pct"/>
          </w:tcPr>
          <w:p w14:paraId="64F5B870" w14:textId="6382729E" w:rsidR="00505324" w:rsidRPr="006C66D5" w:rsidRDefault="00C17ED7" w:rsidP="006C66D5">
            <w:pPr>
              <w:cnfStyle w:val="000000000000" w:firstRow="0" w:lastRow="0" w:firstColumn="0" w:lastColumn="0" w:oddVBand="0" w:evenVBand="0" w:oddHBand="0" w:evenHBand="0" w:firstRowFirstColumn="0" w:firstRowLastColumn="0" w:lastRowFirstColumn="0" w:lastRowLastColumn="0"/>
              <w:rPr>
                <w:szCs w:val="22"/>
              </w:rPr>
            </w:pPr>
            <w:r>
              <w:rPr>
                <w:szCs w:val="22"/>
              </w:rPr>
              <w:t>Under consideration</w:t>
            </w:r>
          </w:p>
        </w:tc>
      </w:tr>
      <w:tr w:rsidR="00814FAF" w:rsidRPr="00D01DDB" w14:paraId="09B1847A"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7A5919EB" w14:textId="1F2C6F67" w:rsidR="00814FAF" w:rsidRDefault="00814FAF" w:rsidP="00324B33">
            <w:pPr>
              <w:rPr>
                <w:szCs w:val="22"/>
              </w:rPr>
            </w:pPr>
            <w:r>
              <w:rPr>
                <w:szCs w:val="22"/>
              </w:rPr>
              <w:t>Japan</w:t>
            </w:r>
          </w:p>
        </w:tc>
        <w:tc>
          <w:tcPr>
            <w:tcW w:w="1018" w:type="pct"/>
          </w:tcPr>
          <w:p w14:paraId="47444F92" w14:textId="61EA510C" w:rsidR="00814FAF" w:rsidRDefault="00814FA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5 October 2022</w:t>
            </w:r>
          </w:p>
        </w:tc>
        <w:tc>
          <w:tcPr>
            <w:tcW w:w="1173" w:type="pct"/>
          </w:tcPr>
          <w:p w14:paraId="22AD6FFA" w14:textId="753ED9E6" w:rsidR="00814FAF" w:rsidRDefault="00814FA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 November 2022</w:t>
            </w:r>
          </w:p>
        </w:tc>
        <w:tc>
          <w:tcPr>
            <w:tcW w:w="1795" w:type="pct"/>
          </w:tcPr>
          <w:p w14:paraId="72AD9EC9" w14:textId="4FB047A0" w:rsidR="00814FAF" w:rsidRPr="006C66D5" w:rsidRDefault="00343227" w:rsidP="00343227">
            <w:pPr>
              <w:cnfStyle w:val="000000000000" w:firstRow="0" w:lastRow="0" w:firstColumn="0" w:lastColumn="0" w:oddVBand="0" w:evenVBand="0" w:oddHBand="0" w:evenHBand="0" w:firstRowFirstColumn="0" w:firstRowLastColumn="0" w:lastRowFirstColumn="0" w:lastRowLastColumn="0"/>
              <w:rPr>
                <w:szCs w:val="22"/>
              </w:rPr>
            </w:pPr>
            <w:r w:rsidRPr="00343227">
              <w:rPr>
                <w:szCs w:val="22"/>
              </w:rPr>
              <w:t>As a booster dose for active immunization to prevent COVID-19 caused by</w:t>
            </w:r>
            <w:r>
              <w:rPr>
                <w:szCs w:val="22"/>
              </w:rPr>
              <w:t xml:space="preserve"> </w:t>
            </w:r>
            <w:r w:rsidRPr="00343227">
              <w:rPr>
                <w:szCs w:val="22"/>
              </w:rPr>
              <w:t>SARS-CoV-2 in individuals 1</w:t>
            </w:r>
            <w:r w:rsidR="00FE6B3C">
              <w:rPr>
                <w:szCs w:val="22"/>
              </w:rPr>
              <w:t>2</w:t>
            </w:r>
            <w:r w:rsidRPr="00343227">
              <w:rPr>
                <w:szCs w:val="22"/>
              </w:rPr>
              <w:t xml:space="preserve"> years of age and older.</w:t>
            </w:r>
          </w:p>
        </w:tc>
      </w:tr>
      <w:tr w:rsidR="00FE6B3C" w:rsidRPr="00D01DDB" w14:paraId="1C4F47FB"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70000534" w14:textId="7170EEE3" w:rsidR="00FE6B3C" w:rsidRDefault="00FE6B3C" w:rsidP="00324B33">
            <w:pPr>
              <w:rPr>
                <w:szCs w:val="22"/>
              </w:rPr>
            </w:pPr>
            <w:r>
              <w:rPr>
                <w:szCs w:val="22"/>
              </w:rPr>
              <w:t>Switzerland</w:t>
            </w:r>
          </w:p>
        </w:tc>
        <w:tc>
          <w:tcPr>
            <w:tcW w:w="1018" w:type="pct"/>
          </w:tcPr>
          <w:p w14:paraId="4BD47E7F" w14:textId="46586ECA" w:rsidR="00FE6B3C" w:rsidRDefault="00FE6B3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14 November 2023</w:t>
            </w:r>
          </w:p>
        </w:tc>
        <w:tc>
          <w:tcPr>
            <w:tcW w:w="1173" w:type="pct"/>
          </w:tcPr>
          <w:p w14:paraId="3205A97A" w14:textId="04A19C84" w:rsidR="00FE6B3C" w:rsidRDefault="00FE6B3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 March 2023</w:t>
            </w:r>
          </w:p>
        </w:tc>
        <w:tc>
          <w:tcPr>
            <w:tcW w:w="1795" w:type="pct"/>
          </w:tcPr>
          <w:p w14:paraId="1E4370E8" w14:textId="62D57A11" w:rsidR="00FE6B3C" w:rsidRPr="00343227" w:rsidRDefault="00FE6B3C" w:rsidP="00343227">
            <w:pPr>
              <w:cnfStyle w:val="000000000000" w:firstRow="0" w:lastRow="0" w:firstColumn="0" w:lastColumn="0" w:oddVBand="0" w:evenVBand="0" w:oddHBand="0" w:evenHBand="0" w:firstRowFirstColumn="0" w:firstRowLastColumn="0" w:lastRowFirstColumn="0" w:lastRowLastColumn="0"/>
              <w:rPr>
                <w:szCs w:val="22"/>
              </w:rPr>
            </w:pPr>
            <w:r w:rsidRPr="00FE6B3C">
              <w:rPr>
                <w:szCs w:val="22"/>
              </w:rPr>
              <w:t>Booster, 1</w:t>
            </w:r>
            <w:r>
              <w:rPr>
                <w:szCs w:val="22"/>
              </w:rPr>
              <w:t>8</w:t>
            </w:r>
            <w:r w:rsidRPr="00FE6B3C">
              <w:rPr>
                <w:szCs w:val="22"/>
              </w:rPr>
              <w:t xml:space="preserve"> years of age and older</w:t>
            </w:r>
          </w:p>
        </w:tc>
      </w:tr>
    </w:tbl>
    <w:p w14:paraId="56170D8F" w14:textId="7AF7675B" w:rsidR="00324B33" w:rsidRPr="0098350E" w:rsidRDefault="00324B33" w:rsidP="00BB1C14">
      <w:pPr>
        <w:pStyle w:val="TableDescription"/>
      </w:pPr>
    </w:p>
    <w:p w14:paraId="064CCADF" w14:textId="16A5AC24" w:rsidR="00324B33" w:rsidRDefault="00324B33" w:rsidP="00324B33">
      <w:pPr>
        <w:pStyle w:val="Heading3"/>
      </w:pPr>
      <w:bookmarkStart w:id="23" w:name="_Toc103679292"/>
      <w:bookmarkStart w:id="24" w:name="_Toc144970832"/>
      <w:r>
        <w:lastRenderedPageBreak/>
        <w:t>Product Information</w:t>
      </w:r>
      <w:bookmarkEnd w:id="23"/>
      <w:bookmarkEnd w:id="24"/>
      <w:r w:rsidR="005635FE">
        <w:fldChar w:fldCharType="begin"/>
      </w:r>
      <w:r w:rsidR="005635FE">
        <w:instrText xml:space="preserve"> DOCVARIABLE vault_nd_48f34514-2be2-42c0-9f89-646c50fe7376 \* MERGEFORMAT </w:instrText>
      </w:r>
      <w:r w:rsidR="005635FE">
        <w:fldChar w:fldCharType="separate"/>
      </w:r>
      <w:r w:rsidR="007D13D5">
        <w:t xml:space="preserve"> </w:t>
      </w:r>
      <w:r w:rsidR="005635FE">
        <w:fldChar w:fldCharType="end"/>
      </w:r>
    </w:p>
    <w:p w14:paraId="4B0F7D57" w14:textId="0E0359CA" w:rsidR="00324B33" w:rsidRPr="00BD5DBD" w:rsidRDefault="00324B33" w:rsidP="00324B33">
      <w:pPr>
        <w:rPr>
          <w:szCs w:val="22"/>
        </w:rPr>
      </w:pPr>
      <w:bookmarkStart w:id="25" w:name="_Toc504480011"/>
      <w:r w:rsidRPr="00BD5DBD">
        <w:rPr>
          <w:szCs w:val="22"/>
        </w:rPr>
        <w:t xml:space="preserve">The </w:t>
      </w:r>
      <w:hyperlink r:id="rId20" w:history="1">
        <w:r w:rsidRPr="00BD5DBD">
          <w:rPr>
            <w:rStyle w:val="Hyperlink"/>
            <w:szCs w:val="22"/>
          </w:rPr>
          <w:t>Product Information</w:t>
        </w:r>
      </w:hyperlink>
      <w:r w:rsidRPr="00BD5DBD">
        <w:rPr>
          <w:szCs w:val="22"/>
        </w:rPr>
        <w:t xml:space="preserve"> (</w:t>
      </w:r>
      <w:hyperlink r:id="rId21" w:history="1">
        <w:r w:rsidRPr="00BD5DBD">
          <w:rPr>
            <w:rStyle w:val="Hyperlink"/>
            <w:szCs w:val="22"/>
          </w:rPr>
          <w:t>PI</w:t>
        </w:r>
      </w:hyperlink>
      <w:r w:rsidRPr="00BD5DBD">
        <w:rPr>
          <w:szCs w:val="22"/>
        </w:rPr>
        <w:t xml:space="preserve">) approved with the submission which is described in this </w:t>
      </w:r>
      <w:proofErr w:type="spellStart"/>
      <w:r w:rsidRPr="00BD5DBD">
        <w:rPr>
          <w:szCs w:val="22"/>
        </w:rPr>
        <w:t>AusPAR</w:t>
      </w:r>
      <w:proofErr w:type="spellEnd"/>
      <w:r w:rsidRPr="00BD5DBD">
        <w:rPr>
          <w:szCs w:val="22"/>
        </w:rPr>
        <w:t xml:space="preserve"> can be found as Attachment 1. For the most recent PI</w:t>
      </w:r>
      <w:r w:rsidR="00A93DC6" w:rsidRPr="00BD5DBD">
        <w:rPr>
          <w:szCs w:val="22"/>
        </w:rPr>
        <w:t xml:space="preserve"> and </w:t>
      </w:r>
      <w:hyperlink r:id="rId22" w:history="1">
        <w:r w:rsidR="00A93DC6" w:rsidRPr="00BD5DBD">
          <w:rPr>
            <w:rStyle w:val="Hyperlink"/>
            <w:szCs w:val="22"/>
          </w:rPr>
          <w:t>Consumer Medicines Information</w:t>
        </w:r>
      </w:hyperlink>
      <w:r w:rsidR="00A93DC6" w:rsidRPr="00BD5DBD">
        <w:rPr>
          <w:szCs w:val="22"/>
        </w:rPr>
        <w:t xml:space="preserve"> (CMI)</w:t>
      </w:r>
      <w:r w:rsidRPr="00BD5DBD">
        <w:rPr>
          <w:szCs w:val="22"/>
        </w:rPr>
        <w:t xml:space="preserve">, please refer to the TGA </w:t>
      </w:r>
      <w:hyperlink r:id="rId23" w:history="1">
        <w:r w:rsidRPr="00BD5DBD">
          <w:rPr>
            <w:rStyle w:val="Hyperlink"/>
            <w:szCs w:val="22"/>
          </w:rPr>
          <w:t>PI/CMI search facility.</w:t>
        </w:r>
      </w:hyperlink>
    </w:p>
    <w:p w14:paraId="6D92589C" w14:textId="3DE0E0B6" w:rsidR="00324B33" w:rsidRDefault="00324B33" w:rsidP="00324B33">
      <w:pPr>
        <w:pStyle w:val="Heading2"/>
      </w:pPr>
      <w:bookmarkStart w:id="26" w:name="_Toc103679293"/>
      <w:bookmarkStart w:id="27" w:name="_Toc144970833"/>
      <w:r>
        <w:t>Registration timeline</w:t>
      </w:r>
      <w:bookmarkEnd w:id="25"/>
      <w:bookmarkEnd w:id="26"/>
      <w:bookmarkEnd w:id="27"/>
      <w:r w:rsidR="005635FE">
        <w:fldChar w:fldCharType="begin"/>
      </w:r>
      <w:r w:rsidR="005635FE">
        <w:instrText xml:space="preserve"> DOCVARIABLE vault_nd_e9f536c6-0250-4b09-a8ed-b92d8cce8f38 \* MERGEFORMAT </w:instrText>
      </w:r>
      <w:r w:rsidR="005635FE">
        <w:fldChar w:fldCharType="separate"/>
      </w:r>
      <w:r w:rsidR="007D13D5">
        <w:t xml:space="preserve"> </w:t>
      </w:r>
      <w:r w:rsidR="005635FE">
        <w:fldChar w:fldCharType="end"/>
      </w:r>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06850328" w14:textId="096ED592" w:rsidR="00C22214" w:rsidRPr="00BD5DBD" w:rsidRDefault="00C22214" w:rsidP="00C22214">
      <w:pPr>
        <w:rPr>
          <w:szCs w:val="22"/>
        </w:rPr>
      </w:pPr>
      <w:r w:rsidRPr="00BD5DBD">
        <w:rPr>
          <w:szCs w:val="22"/>
        </w:rPr>
        <w:t>Data were provided as a rolling submission. Under normal circumstances, TGA's assessment (for both provisional and general registration) begins once all information to support registration is available. As part of the Department of Health and Aged Care's response to the pandemic, the TGA has agreed to accept rolling data for COVID-19 vaccines and treatments, to enable early evaluation of data as it becomes available.</w:t>
      </w:r>
    </w:p>
    <w:tbl>
      <w:tblPr>
        <w:tblStyle w:val="TableTGAblue2023"/>
        <w:tblW w:w="8780" w:type="dxa"/>
        <w:tblLook w:val="04A0" w:firstRow="1" w:lastRow="0" w:firstColumn="1" w:lastColumn="0" w:noHBand="0" w:noVBand="1"/>
      </w:tblPr>
      <w:tblGrid>
        <w:gridCol w:w="4390"/>
        <w:gridCol w:w="4390"/>
      </w:tblGrid>
      <w:tr w:rsidR="00C22214" w:rsidRPr="00D01DDB" w14:paraId="1E6392AD" w14:textId="77777777" w:rsidTr="00C222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7E60B8C" w14:textId="0D831017" w:rsidR="00C22214" w:rsidRPr="00D01DDB" w:rsidRDefault="00C22214" w:rsidP="00C22214">
            <w:pPr>
              <w:rPr>
                <w:szCs w:val="22"/>
              </w:rPr>
            </w:pPr>
            <w:bookmarkStart w:id="28" w:name="_Hlk142918147"/>
            <w:r w:rsidRPr="00D01DDB">
              <w:rPr>
                <w:szCs w:val="22"/>
              </w:rPr>
              <w:t>Description</w:t>
            </w:r>
          </w:p>
        </w:tc>
        <w:tc>
          <w:tcPr>
            <w:tcW w:w="4390" w:type="dxa"/>
          </w:tcPr>
          <w:p w14:paraId="0F55D5BA" w14:textId="780CEEDC" w:rsidR="00C22214" w:rsidRPr="00D01DDB" w:rsidRDefault="00C22214" w:rsidP="00C22214">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C22214" w:rsidRPr="00D01DDB" w14:paraId="25F5A953"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10BB7432" w14:textId="2AC6989D" w:rsidR="00C22214" w:rsidRPr="00D01DDB" w:rsidRDefault="00C22214" w:rsidP="00C22214">
            <w:pPr>
              <w:rPr>
                <w:szCs w:val="22"/>
              </w:rPr>
            </w:pPr>
            <w:r w:rsidRPr="00D01DDB">
              <w:rPr>
                <w:szCs w:val="22"/>
              </w:rPr>
              <w:t>Submission dossier accepted</w:t>
            </w:r>
          </w:p>
        </w:tc>
        <w:tc>
          <w:tcPr>
            <w:tcW w:w="4390" w:type="dxa"/>
          </w:tcPr>
          <w:p w14:paraId="026568FA" w14:textId="0817297D" w:rsidR="00C22214" w:rsidRPr="00D01DDB" w:rsidRDefault="009C08D8"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4 May 2023</w:t>
            </w:r>
          </w:p>
        </w:tc>
      </w:tr>
      <w:tr w:rsidR="00C22214" w:rsidRPr="00D01DDB" w14:paraId="4F6872C6"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013F36F2" w14:textId="7BFA0469" w:rsidR="00C22214" w:rsidRPr="00D01DDB" w:rsidRDefault="00C22214" w:rsidP="00C22214">
            <w:pPr>
              <w:rPr>
                <w:szCs w:val="22"/>
              </w:rPr>
            </w:pPr>
            <w:r w:rsidRPr="00D01DDB">
              <w:rPr>
                <w:szCs w:val="22"/>
              </w:rPr>
              <w:t xml:space="preserve">Delegate’s Overall benefit-risk assessment </w:t>
            </w:r>
            <w:r w:rsidRPr="004E4388">
              <w:rPr>
                <w:color w:val="auto"/>
                <w:szCs w:val="22"/>
              </w:rPr>
              <w:t>and request for Advisory Committee advice</w:t>
            </w:r>
          </w:p>
        </w:tc>
        <w:tc>
          <w:tcPr>
            <w:tcW w:w="4390" w:type="dxa"/>
          </w:tcPr>
          <w:p w14:paraId="712B89B3" w14:textId="192D1E77" w:rsidR="00C22214" w:rsidRPr="00D01DDB" w:rsidRDefault="0035600B"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24 July 2023</w:t>
            </w:r>
          </w:p>
        </w:tc>
      </w:tr>
      <w:tr w:rsidR="00C22214" w:rsidRPr="00D01DDB" w14:paraId="3E7B1E31"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150B30FD" w14:textId="67CFF919" w:rsidR="00C22214" w:rsidRPr="00D01DDB" w:rsidRDefault="00C22214" w:rsidP="00C22214">
            <w:pPr>
              <w:rPr>
                <w:szCs w:val="22"/>
              </w:rPr>
            </w:pPr>
            <w:r w:rsidRPr="00D01DDB">
              <w:rPr>
                <w:szCs w:val="22"/>
              </w:rPr>
              <w:t>Sponsor’s pre-Advisory Committee response</w:t>
            </w:r>
          </w:p>
        </w:tc>
        <w:tc>
          <w:tcPr>
            <w:tcW w:w="4390" w:type="dxa"/>
          </w:tcPr>
          <w:p w14:paraId="69631301" w14:textId="70DD8ED6" w:rsidR="00C22214" w:rsidRPr="00D01DDB" w:rsidRDefault="0035600B"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27 July 2023</w:t>
            </w:r>
          </w:p>
        </w:tc>
      </w:tr>
      <w:tr w:rsidR="00C22214" w:rsidRPr="00D01DDB" w14:paraId="075CCA22"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6FFA2C67" w14:textId="30942334" w:rsidR="00C22214" w:rsidRPr="00D01DDB" w:rsidRDefault="00C22214" w:rsidP="00C22214">
            <w:pPr>
              <w:rPr>
                <w:szCs w:val="22"/>
              </w:rPr>
            </w:pPr>
            <w:r w:rsidRPr="00D01DDB">
              <w:rPr>
                <w:szCs w:val="22"/>
              </w:rPr>
              <w:t>Advisory Committee meeting</w:t>
            </w:r>
          </w:p>
        </w:tc>
        <w:tc>
          <w:tcPr>
            <w:tcW w:w="4390" w:type="dxa"/>
          </w:tcPr>
          <w:p w14:paraId="6B8655BD" w14:textId="4C7451AE" w:rsidR="00C22214" w:rsidRPr="00D01DDB" w:rsidRDefault="00AD1552"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2 August 2023</w:t>
            </w:r>
          </w:p>
        </w:tc>
      </w:tr>
      <w:tr w:rsidR="00C22214" w:rsidRPr="00D01DDB" w14:paraId="7EF4EDFC"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1E268797" w14:textId="3E1743AE" w:rsidR="00C22214" w:rsidRPr="00D01DDB" w:rsidRDefault="00C22214" w:rsidP="00C22214">
            <w:pPr>
              <w:rPr>
                <w:szCs w:val="22"/>
              </w:rPr>
            </w:pPr>
            <w:r w:rsidRPr="00D01DDB">
              <w:rPr>
                <w:szCs w:val="22"/>
              </w:rPr>
              <w:t>Registration decision (Outcome)</w:t>
            </w:r>
          </w:p>
        </w:tc>
        <w:tc>
          <w:tcPr>
            <w:tcW w:w="4390" w:type="dxa"/>
          </w:tcPr>
          <w:p w14:paraId="472C5C42" w14:textId="3D58642A" w:rsidR="00C22214" w:rsidRPr="00D01DDB" w:rsidRDefault="00AD1552"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14 August 2023</w:t>
            </w:r>
          </w:p>
        </w:tc>
      </w:tr>
      <w:tr w:rsidR="00C22214" w:rsidRPr="00D01DDB" w14:paraId="7545F43F"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1A313219" w14:textId="13622BD8" w:rsidR="00C22214" w:rsidRPr="00D01DDB" w:rsidRDefault="0013132F" w:rsidP="00C22214">
            <w:pPr>
              <w:rPr>
                <w:szCs w:val="22"/>
              </w:rPr>
            </w:pPr>
            <w:r w:rsidRPr="00E63916">
              <w:t>Administrative activities and registration on the ARTG completed</w:t>
            </w:r>
          </w:p>
        </w:tc>
        <w:tc>
          <w:tcPr>
            <w:tcW w:w="4390" w:type="dxa"/>
          </w:tcPr>
          <w:p w14:paraId="6C5BA7F2" w14:textId="2AB74BF3" w:rsidR="00C22214" w:rsidRPr="00D01DDB" w:rsidRDefault="00E63916"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14 August 2023</w:t>
            </w:r>
          </w:p>
        </w:tc>
      </w:tr>
      <w:tr w:rsidR="00C22214" w:rsidRPr="00D01DDB" w14:paraId="2B3F361E"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1FD7EBAF" w14:textId="261EDACC" w:rsidR="00C22214" w:rsidRPr="00D01DDB" w:rsidRDefault="00C22214" w:rsidP="00C22214">
            <w:pPr>
              <w:rPr>
                <w:szCs w:val="22"/>
              </w:rPr>
            </w:pPr>
            <w:r w:rsidRPr="00D01DDB">
              <w:rPr>
                <w:szCs w:val="22"/>
              </w:rPr>
              <w:t>Number of working days from submission dossier acceptance to registration decision*</w:t>
            </w:r>
          </w:p>
        </w:tc>
        <w:tc>
          <w:tcPr>
            <w:tcW w:w="4390" w:type="dxa"/>
          </w:tcPr>
          <w:p w14:paraId="397960F5" w14:textId="1EF52C84" w:rsidR="00C22214" w:rsidRPr="00D01DDB" w:rsidRDefault="009C08D8"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71 days</w:t>
            </w:r>
          </w:p>
        </w:tc>
      </w:tr>
    </w:tbl>
    <w:bookmarkEnd w:id="28"/>
    <w:p w14:paraId="34E07584" w14:textId="77777777" w:rsidR="00C22214" w:rsidRDefault="00C22214" w:rsidP="00C22214">
      <w:pPr>
        <w:pStyle w:val="TableDescription"/>
      </w:pPr>
      <w:r>
        <w:t>*</w:t>
      </w:r>
      <w:r w:rsidRPr="00BF3774">
        <w:t xml:space="preserve">Statutory </w:t>
      </w:r>
      <w:r>
        <w:t>timeframe for standard submissions is 255 working days</w:t>
      </w:r>
    </w:p>
    <w:p w14:paraId="220925F1" w14:textId="2768B606" w:rsidR="00C22214" w:rsidRPr="00792A32" w:rsidRDefault="00C22214" w:rsidP="00C22214">
      <w:pPr>
        <w:pStyle w:val="Heading2"/>
      </w:pPr>
      <w:bookmarkStart w:id="29" w:name="_Toc196046504"/>
      <w:bookmarkStart w:id="30" w:name="_Toc247691527"/>
      <w:bookmarkStart w:id="31" w:name="_Toc314842510"/>
      <w:bookmarkStart w:id="32" w:name="_Toc103679294"/>
      <w:bookmarkStart w:id="33" w:name="_Toc144970834"/>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29"/>
      <w:bookmarkEnd w:id="30"/>
      <w:bookmarkEnd w:id="31"/>
      <w:bookmarkEnd w:id="32"/>
      <w:bookmarkEnd w:id="33"/>
      <w:r w:rsidR="005635FE">
        <w:fldChar w:fldCharType="begin"/>
      </w:r>
      <w:r w:rsidR="005635FE">
        <w:instrText xml:space="preserve"> DOCVARIABLE vault_nd_4a5844e6-2f41-43dc-9223-1484e87b27ad \* MERGEFORMAT </w:instrText>
      </w:r>
      <w:r w:rsidR="005635FE">
        <w:fldChar w:fldCharType="separate"/>
      </w:r>
      <w:r w:rsidR="007D13D5">
        <w:t xml:space="preserve"> </w:t>
      </w:r>
      <w:r w:rsidR="005635FE">
        <w:fldChar w:fldCharType="end"/>
      </w:r>
    </w:p>
    <w:p w14:paraId="540151FC" w14:textId="77777777" w:rsidR="00C22214" w:rsidRPr="00B731AD" w:rsidRDefault="00C22214" w:rsidP="00B731AD">
      <w:bookmarkStart w:id="34" w:name="_Toc247691528"/>
      <w:bookmarkStart w:id="35" w:name="_Toc314842511"/>
      <w:r w:rsidRPr="00B731AD">
        <w:t>A summary of the TGA’s assessment for this submission is provided below.</w:t>
      </w:r>
    </w:p>
    <w:p w14:paraId="21BA9A04" w14:textId="77777777" w:rsidR="00B731AD" w:rsidRPr="00B731AD" w:rsidRDefault="007072A1" w:rsidP="00B731AD">
      <w:r w:rsidRPr="00B731AD">
        <w:t>Relevant guidelines or guidance documents referred to by the Delegate are listed below:</w:t>
      </w:r>
    </w:p>
    <w:p w14:paraId="0EB3448D" w14:textId="77777777" w:rsidR="00B731AD" w:rsidRPr="00B731AD" w:rsidRDefault="00B731AD" w:rsidP="00B731AD">
      <w:r w:rsidRPr="00B731AD">
        <w:t>TGA-adopted guidance:</w:t>
      </w:r>
    </w:p>
    <w:p w14:paraId="0E599870" w14:textId="00BFD2E9" w:rsidR="00B731AD" w:rsidRPr="00B731AD" w:rsidRDefault="00B731AD" w:rsidP="00B731AD">
      <w:pPr>
        <w:pStyle w:val="ListBullet"/>
      </w:pPr>
      <w:r w:rsidRPr="00B731AD">
        <w:t xml:space="preserve">ACCESS Consortium: Access Consortium: </w:t>
      </w:r>
      <w:hyperlink r:id="rId24" w:history="1">
        <w:r w:rsidRPr="00B731AD">
          <w:t xml:space="preserve">Alignment with ICMRA consensus on </w:t>
        </w:r>
        <w:proofErr w:type="spellStart"/>
        <w:r w:rsidRPr="00B731AD">
          <w:t>immunobridging</w:t>
        </w:r>
        <w:proofErr w:type="spellEnd"/>
        <w:r w:rsidRPr="00B731AD">
          <w:t xml:space="preserve"> for authorising new COVID-19 vaccines</w:t>
        </w:r>
      </w:hyperlink>
      <w:r w:rsidRPr="00B731AD">
        <w:t xml:space="preserve"> (14/09/2021).</w:t>
      </w:r>
    </w:p>
    <w:p w14:paraId="1E39B18B" w14:textId="6E1ECE74" w:rsidR="00B731AD" w:rsidRPr="00B731AD" w:rsidRDefault="00B731AD" w:rsidP="00B731AD">
      <w:pPr>
        <w:pStyle w:val="ListBullet"/>
      </w:pPr>
      <w:r w:rsidRPr="00B731AD">
        <w:t xml:space="preserve">ACCESS Consortium: </w:t>
      </w:r>
      <w:hyperlink r:id="rId25" w:history="1">
        <w:r w:rsidRPr="00B731AD">
          <w:t>Points to consider for strain changes in authorised COVID-19 vaccines in an ongoing SARS-CoV-2 pandemic</w:t>
        </w:r>
      </w:hyperlink>
      <w:r w:rsidRPr="00B731AD">
        <w:t xml:space="preserve"> (5/03/2021).</w:t>
      </w:r>
    </w:p>
    <w:p w14:paraId="265CE575" w14:textId="593B303C" w:rsidR="00B731AD" w:rsidRPr="00B731AD" w:rsidRDefault="00B731AD" w:rsidP="00B731AD">
      <w:pPr>
        <w:pStyle w:val="ListBullet"/>
      </w:pPr>
      <w:r w:rsidRPr="00B731AD">
        <w:t xml:space="preserve">ACCESS Consortium: </w:t>
      </w:r>
      <w:hyperlink r:id="rId26" w:history="1">
        <w:r w:rsidRPr="00B731AD">
          <w:t>Access consortium statement on COVID-19 vaccines evidence</w:t>
        </w:r>
      </w:hyperlink>
      <w:r w:rsidRPr="00B731AD">
        <w:t xml:space="preserve"> (4/12/2020).</w:t>
      </w:r>
    </w:p>
    <w:p w14:paraId="54DB89AD" w14:textId="453703BC" w:rsidR="00B731AD" w:rsidRPr="00B731AD" w:rsidRDefault="00B731AD" w:rsidP="00B731AD">
      <w:pPr>
        <w:pStyle w:val="ListBullet"/>
      </w:pPr>
      <w:r w:rsidRPr="00B731AD">
        <w:lastRenderedPageBreak/>
        <w:t xml:space="preserve">EMEA: </w:t>
      </w:r>
      <w:hyperlink r:id="rId27" w:history="1">
        <w:r w:rsidRPr="00B731AD">
          <w:t>Guidelines on clinical evaluation of new vaccines (EMEA/CHMP/VWP/164653/2005)</w:t>
        </w:r>
      </w:hyperlink>
      <w:r w:rsidRPr="00B731AD">
        <w:t xml:space="preserve"> (18/10/2006).</w:t>
      </w:r>
    </w:p>
    <w:p w14:paraId="053D9954" w14:textId="43FD659A" w:rsidR="00B731AD" w:rsidRPr="00B731AD" w:rsidRDefault="00B731AD" w:rsidP="00B731AD">
      <w:pPr>
        <w:pStyle w:val="ListBullet"/>
      </w:pPr>
      <w:r w:rsidRPr="00B731AD">
        <w:t xml:space="preserve">EMEA: </w:t>
      </w:r>
      <w:hyperlink r:id="rId28" w:history="1">
        <w:r w:rsidRPr="00B731AD">
          <w:t>Points to Consider on Applications with 1. Meta-Analyses; 2. One Pivotal Study (CPMP/EWP/2330/99)</w:t>
        </w:r>
      </w:hyperlink>
      <w:r w:rsidRPr="00B731AD">
        <w:t xml:space="preserve"> (31/05/2002).</w:t>
      </w:r>
    </w:p>
    <w:p w14:paraId="272FD913" w14:textId="1A59144F" w:rsidR="00B731AD" w:rsidRPr="00B731AD" w:rsidRDefault="00B731AD" w:rsidP="00B731AD">
      <w:pPr>
        <w:pStyle w:val="ListBullet"/>
      </w:pPr>
      <w:r w:rsidRPr="00B731AD">
        <w:t xml:space="preserve">EMEA: </w:t>
      </w:r>
      <w:hyperlink r:id="rId29" w:history="1">
        <w:r w:rsidRPr="00B731AD">
          <w:t>Points to consider on switching between superiority and non-inferiority (CPMP/EWP/482/99)</w:t>
        </w:r>
      </w:hyperlink>
      <w:r w:rsidRPr="00B731AD">
        <w:t xml:space="preserve"> (27/07/2000).</w:t>
      </w:r>
    </w:p>
    <w:p w14:paraId="71A77229" w14:textId="77777777" w:rsidR="00B731AD" w:rsidRPr="00465E12" w:rsidRDefault="00B731AD" w:rsidP="00B731AD">
      <w:pPr>
        <w:rPr>
          <w:lang w:eastAsia="ja-JP"/>
        </w:rPr>
      </w:pPr>
      <w:r w:rsidRPr="00465E12">
        <w:rPr>
          <w:lang w:eastAsia="ja-JP"/>
        </w:rPr>
        <w:t>Additional guidance:</w:t>
      </w:r>
    </w:p>
    <w:p w14:paraId="3FD37AF1" w14:textId="7A927EF6" w:rsidR="00B731AD" w:rsidRPr="00465E12" w:rsidRDefault="00865309" w:rsidP="00B731AD">
      <w:pPr>
        <w:pStyle w:val="ListBullet"/>
        <w:rPr>
          <w:lang w:eastAsia="ja-JP"/>
        </w:rPr>
      </w:pPr>
      <w:r w:rsidRPr="00865309">
        <w:rPr>
          <w:lang w:eastAsia="ja-JP"/>
        </w:rPr>
        <w:t>Food and Drug Administration</w:t>
      </w:r>
      <w:r>
        <w:rPr>
          <w:lang w:eastAsia="ja-JP"/>
        </w:rPr>
        <w:t xml:space="preserve"> (FDA)</w:t>
      </w:r>
      <w:r w:rsidRPr="00865309">
        <w:rPr>
          <w:lang w:eastAsia="ja-JP"/>
        </w:rPr>
        <w:t xml:space="preserve"> (United States of America)</w:t>
      </w:r>
      <w:r w:rsidR="00B731AD" w:rsidRPr="00465E12">
        <w:rPr>
          <w:lang w:eastAsia="ja-JP"/>
        </w:rPr>
        <w:t xml:space="preserve">: </w:t>
      </w:r>
      <w:hyperlink r:id="rId30" w:history="1">
        <w:r w:rsidR="00B731AD" w:rsidRPr="00465E12">
          <w:rPr>
            <w:lang w:eastAsia="ja-JP"/>
          </w:rPr>
          <w:t>Emergency use authorisation for vaccines to prevent COVID-19: guidance for industry</w:t>
        </w:r>
      </w:hyperlink>
      <w:r w:rsidR="00B731AD" w:rsidRPr="00465E12">
        <w:rPr>
          <w:lang w:eastAsia="ja-JP"/>
        </w:rPr>
        <w:t xml:space="preserve"> (25/05/2021).</w:t>
      </w:r>
    </w:p>
    <w:p w14:paraId="2F2046B2" w14:textId="467E07CA" w:rsidR="00B731AD" w:rsidRPr="00465E12" w:rsidRDefault="00865309" w:rsidP="00B731AD">
      <w:pPr>
        <w:pStyle w:val="ListBullet"/>
        <w:rPr>
          <w:lang w:eastAsia="ja-JP"/>
        </w:rPr>
      </w:pPr>
      <w:r>
        <w:rPr>
          <w:lang w:eastAsia="ja-JP"/>
        </w:rPr>
        <w:t>Word Health Organization (</w:t>
      </w:r>
      <w:r w:rsidR="00B731AD" w:rsidRPr="00465E12">
        <w:rPr>
          <w:lang w:eastAsia="ja-JP"/>
        </w:rPr>
        <w:t>WHO</w:t>
      </w:r>
      <w:r>
        <w:rPr>
          <w:lang w:eastAsia="ja-JP"/>
        </w:rPr>
        <w:t>)</w:t>
      </w:r>
      <w:r w:rsidR="00B731AD" w:rsidRPr="00465E12">
        <w:rPr>
          <w:lang w:eastAsia="ja-JP"/>
        </w:rPr>
        <w:t xml:space="preserve">: </w:t>
      </w:r>
      <w:hyperlink r:id="rId31" w:history="1">
        <w:r w:rsidR="00B731AD" w:rsidRPr="00465E12">
          <w:rPr>
            <w:lang w:eastAsia="ja-JP"/>
          </w:rPr>
          <w:t>Evaluation of COVID-19 vaccine effectiveness (interim guidance)</w:t>
        </w:r>
      </w:hyperlink>
      <w:r w:rsidR="00B731AD" w:rsidRPr="00465E12">
        <w:rPr>
          <w:lang w:eastAsia="ja-JP"/>
        </w:rPr>
        <w:t xml:space="preserve"> (17 March 2021).</w:t>
      </w:r>
    </w:p>
    <w:p w14:paraId="0444D7A9" w14:textId="7DFF384C" w:rsidR="00B731AD" w:rsidRPr="00465E12" w:rsidRDefault="00865309" w:rsidP="00865309">
      <w:pPr>
        <w:pStyle w:val="ListBullet"/>
        <w:spacing w:before="240"/>
        <w:rPr>
          <w:lang w:eastAsia="ja-JP"/>
        </w:rPr>
      </w:pPr>
      <w:r w:rsidRPr="009721B5">
        <w:t xml:space="preserve">European Medicines Agency </w:t>
      </w:r>
      <w:r>
        <w:t>(</w:t>
      </w:r>
      <w:r w:rsidR="00B731AD" w:rsidRPr="00465E12">
        <w:rPr>
          <w:lang w:eastAsia="ja-JP"/>
        </w:rPr>
        <w:t>EMA</w:t>
      </w:r>
      <w:r>
        <w:rPr>
          <w:lang w:eastAsia="ja-JP"/>
        </w:rPr>
        <w:t>)</w:t>
      </w:r>
      <w:r w:rsidR="00B731AD" w:rsidRPr="00465E12">
        <w:rPr>
          <w:lang w:eastAsia="ja-JP"/>
        </w:rPr>
        <w:t xml:space="preserve">: </w:t>
      </w:r>
      <w:hyperlink r:id="rId32" w:history="1">
        <w:r w:rsidR="00B731AD" w:rsidRPr="00465E12">
          <w:rPr>
            <w:lang w:eastAsia="ja-JP"/>
          </w:rPr>
          <w:t>EMA considerations on COVID-19 vaccine approval (EMA/592928/2020)</w:t>
        </w:r>
      </w:hyperlink>
      <w:r w:rsidR="00B731AD" w:rsidRPr="00465E12">
        <w:rPr>
          <w:lang w:eastAsia="ja-JP"/>
        </w:rPr>
        <w:t xml:space="preserve"> (16/11/2020).</w:t>
      </w:r>
    </w:p>
    <w:p w14:paraId="60121C53" w14:textId="331EB031" w:rsidR="00B731AD" w:rsidRPr="00465E12" w:rsidRDefault="00B731AD" w:rsidP="00B731AD">
      <w:pPr>
        <w:pStyle w:val="ListBullet"/>
        <w:rPr>
          <w:lang w:eastAsia="ja-JP"/>
        </w:rPr>
      </w:pPr>
      <w:r w:rsidRPr="00465E12">
        <w:rPr>
          <w:lang w:eastAsia="ja-JP"/>
        </w:rPr>
        <w:t xml:space="preserve">US FDA: </w:t>
      </w:r>
      <w:hyperlink r:id="rId33" w:history="1">
        <w:r w:rsidRPr="00465E12">
          <w:rPr>
            <w:lang w:eastAsia="ja-JP"/>
          </w:rPr>
          <w:t>COVID-19: developing drugs and biological products for treatment or prevention: guidance for industry</w:t>
        </w:r>
      </w:hyperlink>
      <w:r w:rsidRPr="00465E12">
        <w:rPr>
          <w:lang w:eastAsia="ja-JP"/>
        </w:rPr>
        <w:t xml:space="preserve"> (February 2021).</w:t>
      </w:r>
    </w:p>
    <w:p w14:paraId="31D58341" w14:textId="084B6A79" w:rsidR="00B731AD" w:rsidRPr="00465E12" w:rsidRDefault="00B731AD" w:rsidP="00B731AD">
      <w:pPr>
        <w:pStyle w:val="ListBullet"/>
        <w:rPr>
          <w:lang w:eastAsia="ja-JP"/>
        </w:rPr>
      </w:pPr>
      <w:r w:rsidRPr="00465E12">
        <w:rPr>
          <w:lang w:eastAsia="ja-JP"/>
        </w:rPr>
        <w:t xml:space="preserve">US FDA: </w:t>
      </w:r>
      <w:hyperlink r:id="rId34" w:history="1">
        <w:r w:rsidRPr="00465E12">
          <w:rPr>
            <w:lang w:eastAsia="ja-JP"/>
          </w:rPr>
          <w:t>Development and licensure of vaccines to prevent COVID-19: guidance for industry</w:t>
        </w:r>
      </w:hyperlink>
      <w:r w:rsidRPr="00465E12">
        <w:rPr>
          <w:lang w:eastAsia="ja-JP"/>
        </w:rPr>
        <w:t xml:space="preserve"> (June 2020).</w:t>
      </w:r>
    </w:p>
    <w:p w14:paraId="67192C0D" w14:textId="51AE94BE" w:rsidR="00B731AD" w:rsidRPr="00465E12" w:rsidRDefault="00B731AD" w:rsidP="00B731AD">
      <w:pPr>
        <w:pStyle w:val="ListBullet"/>
        <w:rPr>
          <w:lang w:eastAsia="ja-JP"/>
        </w:rPr>
      </w:pPr>
      <w:r w:rsidRPr="00465E12">
        <w:rPr>
          <w:lang w:eastAsia="ja-JP"/>
        </w:rPr>
        <w:t xml:space="preserve">WHO: </w:t>
      </w:r>
      <w:hyperlink r:id="rId35" w:history="1">
        <w:r w:rsidRPr="00465E12">
          <w:rPr>
            <w:lang w:eastAsia="ja-JP"/>
          </w:rPr>
          <w:t>Guidelines on clinical evaluation of vaccines: regulatory expectations, Annex 9</w:t>
        </w:r>
      </w:hyperlink>
      <w:r w:rsidRPr="00465E12">
        <w:rPr>
          <w:lang w:eastAsia="ja-JP"/>
        </w:rPr>
        <w:t xml:space="preserve"> (2017).</w:t>
      </w:r>
    </w:p>
    <w:p w14:paraId="4BBBEDF3" w14:textId="0DBE41EF" w:rsidR="00B731AD" w:rsidRPr="00465E12" w:rsidRDefault="00B731AD" w:rsidP="00B731AD">
      <w:pPr>
        <w:pStyle w:val="ListBullet"/>
        <w:rPr>
          <w:lang w:eastAsia="ja-JP"/>
        </w:rPr>
      </w:pPr>
      <w:r w:rsidRPr="00465E12">
        <w:rPr>
          <w:lang w:eastAsia="ja-JP"/>
        </w:rPr>
        <w:t xml:space="preserve">US FDA: </w:t>
      </w:r>
      <w:hyperlink r:id="rId36" w:history="1">
        <w:r w:rsidRPr="00465E12">
          <w:rPr>
            <w:lang w:eastAsia="ja-JP"/>
          </w:rPr>
          <w:t>Toxicity Grading Scale for Health Adult and Adolescent Volunteers Enrolled in Preventive Vaccine Clinical Trials: Guidance for Industry</w:t>
        </w:r>
      </w:hyperlink>
      <w:r w:rsidRPr="00465E12">
        <w:rPr>
          <w:lang w:eastAsia="ja-JP"/>
        </w:rPr>
        <w:t xml:space="preserve"> (September 2007).</w:t>
      </w:r>
    </w:p>
    <w:p w14:paraId="03A46D74" w14:textId="6EAB78C5" w:rsidR="00B731AD" w:rsidRDefault="00B731AD" w:rsidP="00B731AD">
      <w:pPr>
        <w:pStyle w:val="ListBullet"/>
        <w:rPr>
          <w:lang w:eastAsia="ja-JP"/>
        </w:rPr>
      </w:pPr>
      <w:r w:rsidRPr="00465E12">
        <w:rPr>
          <w:lang w:eastAsia="ja-JP"/>
        </w:rPr>
        <w:t xml:space="preserve">WHO: </w:t>
      </w:r>
      <w:hyperlink r:id="rId37" w:history="1">
        <w:r w:rsidRPr="00465E12">
          <w:rPr>
            <w:lang w:eastAsia="ja-JP"/>
          </w:rPr>
          <w:t>Design of vaccine efficacy trials to be used during public health emergencies – points of consideration and key principles</w:t>
        </w:r>
      </w:hyperlink>
      <w:r w:rsidRPr="00465E12">
        <w:rPr>
          <w:lang w:eastAsia="ja-JP"/>
        </w:rPr>
        <w:t xml:space="preserve"> (not </w:t>
      </w:r>
      <w:proofErr w:type="spellStart"/>
      <w:r w:rsidRPr="00465E12">
        <w:rPr>
          <w:lang w:eastAsia="ja-JP"/>
        </w:rPr>
        <w:t>dated</w:t>
      </w:r>
      <w:proofErr w:type="spellEnd"/>
      <w:r w:rsidRPr="00465E12">
        <w:rPr>
          <w:lang w:eastAsia="ja-JP"/>
        </w:rPr>
        <w:t>).</w:t>
      </w:r>
    </w:p>
    <w:p w14:paraId="37F5A1C0" w14:textId="4E20B9E7" w:rsidR="00C22214" w:rsidRDefault="00C22214" w:rsidP="00C22214">
      <w:pPr>
        <w:pStyle w:val="Heading3"/>
      </w:pPr>
      <w:bookmarkStart w:id="36" w:name="_Toc103679295"/>
      <w:bookmarkStart w:id="37" w:name="_Toc144970835"/>
      <w:r>
        <w:t>Quality</w:t>
      </w:r>
      <w:bookmarkEnd w:id="34"/>
      <w:bookmarkEnd w:id="35"/>
      <w:bookmarkEnd w:id="36"/>
      <w:bookmarkEnd w:id="37"/>
      <w:r w:rsidR="005635FE">
        <w:fldChar w:fldCharType="begin"/>
      </w:r>
      <w:r w:rsidR="005635FE">
        <w:instrText xml:space="preserve"> DOCVARIABLE vault_nd_b0d03446-5f1c-4517-bd68-9c60b343da58 \* MERGEFORMAT </w:instrText>
      </w:r>
      <w:r w:rsidR="005635FE">
        <w:fldChar w:fldCharType="separate"/>
      </w:r>
      <w:r w:rsidR="007D13D5">
        <w:t xml:space="preserve"> </w:t>
      </w:r>
      <w:r w:rsidR="005635FE">
        <w:fldChar w:fldCharType="end"/>
      </w:r>
    </w:p>
    <w:p w14:paraId="227507FB" w14:textId="5DE44454" w:rsidR="007664FD" w:rsidRPr="007664FD" w:rsidRDefault="007664FD" w:rsidP="007664FD">
      <w:r w:rsidRPr="007664FD">
        <w:t xml:space="preserve">The quality evaluator has confirmed that overall, all the PACs listed for the provisional registrations of the products have been fulfilled and/or found the information submitted acceptable from a manufacturing quality perspective. Overall, the </w:t>
      </w:r>
      <w:r w:rsidR="009C6C4B">
        <w:t>s</w:t>
      </w:r>
      <w:r w:rsidRPr="007664FD">
        <w:t xml:space="preserve">ponsor has provided adequate information to ensure the products’ quality. It is recommended that the products are suitable for full registration </w:t>
      </w:r>
      <w:proofErr w:type="gramStart"/>
      <w:r w:rsidRPr="007664FD">
        <w:t>with regard to</w:t>
      </w:r>
      <w:proofErr w:type="gramEnd"/>
      <w:r w:rsidRPr="007664FD">
        <w:t xml:space="preserve"> manufacturing quality of:</w:t>
      </w:r>
    </w:p>
    <w:p w14:paraId="7EBFF415" w14:textId="3D614259" w:rsidR="007664FD" w:rsidRPr="00241F84" w:rsidRDefault="007664FD" w:rsidP="007664FD">
      <w:pPr>
        <w:pStyle w:val="ListBullet"/>
      </w:pPr>
      <w:r w:rsidRPr="00241F84">
        <w:t>S</w:t>
      </w:r>
      <w:r>
        <w:t>pikevax bivalent Original/Omicron BA.4-5</w:t>
      </w:r>
      <w:r w:rsidRPr="00241F84">
        <w:t xml:space="preserve"> (</w:t>
      </w:r>
      <w:proofErr w:type="spellStart"/>
      <w:r w:rsidRPr="00241F84">
        <w:t>elasomeran</w:t>
      </w:r>
      <w:proofErr w:type="spellEnd"/>
      <w:r w:rsidRPr="00241F84">
        <w:t>/</w:t>
      </w:r>
      <w:proofErr w:type="spellStart"/>
      <w:r w:rsidRPr="00241F84">
        <w:t>davesomeran</w:t>
      </w:r>
      <w:proofErr w:type="spellEnd"/>
      <w:r w:rsidRPr="00241F84">
        <w:t>) COVID-19 V</w:t>
      </w:r>
      <w:r>
        <w:t>accine</w:t>
      </w:r>
      <w:r w:rsidRPr="00241F84">
        <w:t xml:space="preserve"> 0.1 mg/mL suspension for injection vial</w:t>
      </w:r>
    </w:p>
    <w:p w14:paraId="2503C9E8" w14:textId="7716B66C" w:rsidR="007664FD" w:rsidRPr="00241F84" w:rsidRDefault="007664FD" w:rsidP="007664FD">
      <w:pPr>
        <w:pStyle w:val="ListBullet"/>
      </w:pPr>
      <w:r w:rsidRPr="00241F84">
        <w:t>S</w:t>
      </w:r>
      <w:r>
        <w:t>pikevax bivalent Original/Omicron BA.4-5</w:t>
      </w:r>
      <w:r w:rsidRPr="00241F84">
        <w:t xml:space="preserve"> (</w:t>
      </w:r>
      <w:proofErr w:type="spellStart"/>
      <w:r w:rsidRPr="00241F84">
        <w:t>elasomeran</w:t>
      </w:r>
      <w:proofErr w:type="spellEnd"/>
      <w:r w:rsidRPr="00241F84">
        <w:t>/</w:t>
      </w:r>
      <w:proofErr w:type="spellStart"/>
      <w:r w:rsidRPr="00241F84">
        <w:t>davesomeran</w:t>
      </w:r>
      <w:proofErr w:type="spellEnd"/>
      <w:r w:rsidRPr="00241F84">
        <w:t>) COVID-19 V</w:t>
      </w:r>
      <w:r>
        <w:t>accine</w:t>
      </w:r>
      <w:r w:rsidRPr="00241F84">
        <w:t xml:space="preserve"> 0.1 mg/mL suspension for injection pre-filled syringe</w:t>
      </w:r>
    </w:p>
    <w:p w14:paraId="1D65A1ED" w14:textId="3F4FE526" w:rsidR="007664FD" w:rsidRPr="00241F84" w:rsidRDefault="007664FD" w:rsidP="007664FD">
      <w:pPr>
        <w:pStyle w:val="ListBullet"/>
      </w:pPr>
      <w:r w:rsidRPr="00241F84">
        <w:t>S</w:t>
      </w:r>
      <w:r>
        <w:t>pikevax bivalent Original/Omicron BA.4-5</w:t>
      </w:r>
      <w:r w:rsidRPr="00241F84">
        <w:t xml:space="preserve"> (</w:t>
      </w:r>
      <w:proofErr w:type="spellStart"/>
      <w:r w:rsidRPr="00241F84">
        <w:t>elasomeran</w:t>
      </w:r>
      <w:proofErr w:type="spellEnd"/>
      <w:r w:rsidRPr="00241F84">
        <w:t>/</w:t>
      </w:r>
      <w:proofErr w:type="spellStart"/>
      <w:r w:rsidRPr="00241F84">
        <w:t>davesomeran</w:t>
      </w:r>
      <w:proofErr w:type="spellEnd"/>
      <w:r w:rsidRPr="00241F84">
        <w:t>) COVID-19 V</w:t>
      </w:r>
      <w:r>
        <w:t>accine</w:t>
      </w:r>
      <w:r w:rsidRPr="00241F84">
        <w:t xml:space="preserve"> 0.1 mg/mL suspension for injection vial – single dose</w:t>
      </w:r>
    </w:p>
    <w:p w14:paraId="5EC9E4F6" w14:textId="0CC31263" w:rsidR="007664FD" w:rsidRPr="007664FD" w:rsidRDefault="007664FD" w:rsidP="007664FD">
      <w:pPr>
        <w:pStyle w:val="Heading4"/>
      </w:pPr>
      <w:bookmarkStart w:id="38" w:name="_Toc144970836"/>
      <w:r w:rsidRPr="007664FD">
        <w:t>Quality – related proposed conditions of registration</w:t>
      </w:r>
      <w:bookmarkEnd w:id="38"/>
      <w:r w:rsidR="005635FE">
        <w:fldChar w:fldCharType="begin"/>
      </w:r>
      <w:r w:rsidR="005635FE">
        <w:instrText xml:space="preserve"> DOCVARIABLE vault_nd_6f90f503-947a-4c92-a2c7-ef8e2eab50e7 \* MERGEFORMAT </w:instrText>
      </w:r>
      <w:r w:rsidR="005635FE">
        <w:fldChar w:fldCharType="separate"/>
      </w:r>
      <w:r w:rsidR="007D13D5">
        <w:t xml:space="preserve"> </w:t>
      </w:r>
      <w:r w:rsidR="005635FE">
        <w:fldChar w:fldCharType="end"/>
      </w:r>
    </w:p>
    <w:p w14:paraId="02619FF7" w14:textId="3CD830B1" w:rsidR="007664FD" w:rsidRPr="007664FD" w:rsidRDefault="007664FD" w:rsidP="007664FD">
      <w:bookmarkStart w:id="39" w:name="_Toc136683135"/>
      <w:bookmarkStart w:id="40" w:name="_Toc141091408"/>
      <w:r w:rsidRPr="007664FD">
        <w:t>Quality</w:t>
      </w:r>
      <w:bookmarkEnd w:id="39"/>
      <w:bookmarkEnd w:id="40"/>
    </w:p>
    <w:p w14:paraId="76427E19" w14:textId="38CD69FF" w:rsidR="007664FD" w:rsidRPr="007664FD" w:rsidRDefault="007664FD" w:rsidP="007664FD">
      <w:pPr>
        <w:pStyle w:val="ListBullet"/>
      </w:pPr>
      <w:r w:rsidRPr="007664FD">
        <w:t xml:space="preserve">GMP clearance for listed manufacturers: All relevant manufacturing sites require approved and current GMP Clearances prior to Australian supply. A commitment is required from the </w:t>
      </w:r>
      <w:r w:rsidR="009C6C4B">
        <w:t>s</w:t>
      </w:r>
      <w:r w:rsidRPr="007664FD">
        <w:t xml:space="preserve">ponsor that they maintain the validity of all manufacturer GMP Clearances for the duration </w:t>
      </w:r>
      <w:r w:rsidRPr="007664FD">
        <w:lastRenderedPageBreak/>
        <w:t>of product supply to Australia. Additionally, that adherence to the conditions of GMP Clearance approval is upheld.</w:t>
      </w:r>
    </w:p>
    <w:p w14:paraId="6FEC8E33" w14:textId="77777777" w:rsidR="007664FD" w:rsidRPr="007664FD" w:rsidRDefault="007664FD" w:rsidP="007664FD">
      <w:pPr>
        <w:pStyle w:val="ListBullet"/>
      </w:pPr>
      <w:r w:rsidRPr="007664FD">
        <w:t>Post-approval stability protocol and stability commitment: The manufacturer has provided commitment to continue the ongoing stability studies presented in the stability studies protocol. Additionally, one (1) batch of drug product per year for all relevant products will be placed on long</w:t>
      </w:r>
      <w:r w:rsidRPr="007664FD">
        <w:noBreakHyphen/>
        <w:t>term stability program and on accelerated stability testing where significant changes are made to the manufacturing process. The manufacturer has committed to communicate any out of specifications stability test results to the TGA.</w:t>
      </w:r>
    </w:p>
    <w:p w14:paraId="61183AE1" w14:textId="59669C1D" w:rsidR="007664FD" w:rsidRPr="007664FD" w:rsidRDefault="007664FD" w:rsidP="007664FD">
      <w:pPr>
        <w:pStyle w:val="ListBullet"/>
      </w:pPr>
      <w:bookmarkStart w:id="41" w:name="_Ref136609585"/>
      <w:bookmarkStart w:id="42" w:name="_Toc141091409"/>
      <w:r w:rsidRPr="007664FD">
        <w:t>Batch Release Testing and Compliance</w:t>
      </w:r>
      <w:bookmarkEnd w:id="41"/>
      <w:bookmarkEnd w:id="42"/>
    </w:p>
    <w:p w14:paraId="7997A96B" w14:textId="0554948D" w:rsidR="007664FD" w:rsidRPr="007664FD" w:rsidRDefault="007664FD" w:rsidP="007664FD">
      <w:r w:rsidRPr="007664FD">
        <w:t xml:space="preserve">It is a condition of registration that all independent batches of </w:t>
      </w:r>
      <w:r w:rsidRPr="00241F84">
        <w:t>S</w:t>
      </w:r>
      <w:r>
        <w:t xml:space="preserve">pikevax bivalent </w:t>
      </w:r>
      <w:r w:rsidRPr="007664FD">
        <w:t>(</w:t>
      </w:r>
      <w:proofErr w:type="spellStart"/>
      <w:r w:rsidRPr="007664FD">
        <w:t>elasomeran</w:t>
      </w:r>
      <w:proofErr w:type="spellEnd"/>
      <w:r w:rsidRPr="007664FD">
        <w:t xml:space="preserve">/ </w:t>
      </w:r>
      <w:proofErr w:type="spellStart"/>
      <w:r w:rsidRPr="007664FD">
        <w:t>davesomeran</w:t>
      </w:r>
      <w:proofErr w:type="spellEnd"/>
      <w:r w:rsidRPr="007664FD">
        <w:t>) 0.1 mg/mL suspension for injection vial and pre-filled syringe imported into Australia are not released for sale until samples and the manufacturer’s release data have been assessed and you have received notification acknowledging release from the Laboratories Branch, TGA.</w:t>
      </w:r>
    </w:p>
    <w:p w14:paraId="4A4B6C5A" w14:textId="270C442D" w:rsidR="007664FD" w:rsidRPr="007664FD" w:rsidRDefault="007664FD" w:rsidP="007664FD">
      <w:r w:rsidRPr="007664FD">
        <w:t xml:space="preserve">For each independent batch of the product imported into Australia, the </w:t>
      </w:r>
      <w:r w:rsidR="009C6C4B">
        <w:t>s</w:t>
      </w:r>
      <w:r w:rsidRPr="007664FD">
        <w:t>ponsor must supply the following:</w:t>
      </w:r>
    </w:p>
    <w:p w14:paraId="4A88838C" w14:textId="02ADFECE" w:rsidR="007664FD" w:rsidRPr="00241F84" w:rsidRDefault="007664FD" w:rsidP="007664FD">
      <w:pPr>
        <w:pStyle w:val="ListBullet2"/>
      </w:pPr>
      <w:r w:rsidRPr="00241F84">
        <w:t xml:space="preserve">A completed Request for Release Form, available from </w:t>
      </w:r>
      <w:hyperlink r:id="rId38" w:history="1">
        <w:r w:rsidRPr="00241F84">
          <w:rPr>
            <w:rStyle w:val="Hyperlink"/>
          </w:rPr>
          <w:t>vaccines@health.gov.au</w:t>
        </w:r>
      </w:hyperlink>
      <w:r w:rsidRPr="00241F84">
        <w:t>.</w:t>
      </w:r>
    </w:p>
    <w:p w14:paraId="722B7D4E" w14:textId="77777777" w:rsidR="007664FD" w:rsidRPr="00241F84" w:rsidRDefault="007664FD" w:rsidP="007664FD">
      <w:pPr>
        <w:pStyle w:val="ListBullet2"/>
      </w:pPr>
      <w:r w:rsidRPr="00241F84">
        <w:t>Complete summary protocols for manufacture and QC, including all steps in production in the agreed format.</w:t>
      </w:r>
    </w:p>
    <w:p w14:paraId="09730550" w14:textId="0691E3EB" w:rsidR="007664FD" w:rsidRPr="006A466B" w:rsidRDefault="007664FD" w:rsidP="007664FD">
      <w:pPr>
        <w:pStyle w:val="ListBullet2"/>
      </w:pPr>
      <w:r>
        <w:t xml:space="preserve">At least ten (10) vials (samples) of each manufacturing batch of </w:t>
      </w:r>
      <w:r w:rsidRPr="00241F84">
        <w:t>S</w:t>
      </w:r>
      <w:r>
        <w:t>pikevax bivalent (</w:t>
      </w:r>
      <w:proofErr w:type="spellStart"/>
      <w:r>
        <w:t>elasomeran</w:t>
      </w:r>
      <w:proofErr w:type="spellEnd"/>
      <w:r>
        <w:t>/</w:t>
      </w:r>
      <w:proofErr w:type="spellStart"/>
      <w:r>
        <w:t>davesomeran</w:t>
      </w:r>
      <w:proofErr w:type="spellEnd"/>
      <w:r>
        <w:t>) 0.1 mg</w:t>
      </w:r>
      <w:r w:rsidRPr="006A466B">
        <w:t>/mL suspension for injection vial and thirty (30) pre</w:t>
      </w:r>
      <w:r w:rsidRPr="006A466B">
        <w:noBreakHyphen/>
        <w:t>filled syringe</w:t>
      </w:r>
      <w:r>
        <w:t>s</w:t>
      </w:r>
      <w:r w:rsidRPr="006A466B">
        <w:t xml:space="preserve"> </w:t>
      </w:r>
      <w:r>
        <w:t>(</w:t>
      </w:r>
      <w:r w:rsidRPr="006A466B">
        <w:t>samples</w:t>
      </w:r>
      <w:r>
        <w:t>)</w:t>
      </w:r>
      <w:r w:rsidRPr="006A466B">
        <w:t xml:space="preserve"> with the Australian approved labels, </w:t>
      </w:r>
      <w:proofErr w:type="gramStart"/>
      <w:r w:rsidRPr="006A466B">
        <w:t>PI</w:t>
      </w:r>
      <w:proofErr w:type="gramEnd"/>
      <w:r w:rsidRPr="006A466B">
        <w:t xml:space="preserve"> and packaging (unless an exemption to supply these has been granted) representative of all batches of product seeking distribution in Australia.</w:t>
      </w:r>
    </w:p>
    <w:p w14:paraId="1C9F77CD" w14:textId="5121D2B3" w:rsidR="007664FD" w:rsidRPr="006A466B" w:rsidRDefault="007664FD" w:rsidP="007664FD">
      <w:pPr>
        <w:pStyle w:val="ListBullet2"/>
      </w:pPr>
      <w:r w:rsidRPr="006A466B">
        <w:t>At least five (5) vials (</w:t>
      </w:r>
      <w:r>
        <w:t>s</w:t>
      </w:r>
      <w:r w:rsidRPr="006A466B">
        <w:t xml:space="preserve">amples) of any further consignments of a manufacturing batch of </w:t>
      </w:r>
      <w:r w:rsidRPr="00241F84">
        <w:t>S</w:t>
      </w:r>
      <w:r>
        <w:t xml:space="preserve">pikevax bivalent </w:t>
      </w:r>
      <w:r w:rsidRPr="006A466B">
        <w:t>(</w:t>
      </w:r>
      <w:proofErr w:type="spellStart"/>
      <w:r w:rsidRPr="006A466B">
        <w:t>elasomeran</w:t>
      </w:r>
      <w:proofErr w:type="spellEnd"/>
      <w:r w:rsidRPr="006A466B">
        <w:t>/</w:t>
      </w:r>
      <w:proofErr w:type="spellStart"/>
      <w:r w:rsidRPr="006A466B">
        <w:t>davesomeran</w:t>
      </w:r>
      <w:proofErr w:type="spellEnd"/>
      <w:r w:rsidRPr="006A466B">
        <w:t>) 0.1 mg/mL suspension for injection vial and fifteen (15) pre-filled syringe</w:t>
      </w:r>
      <w:r>
        <w:t>s</w:t>
      </w:r>
      <w:r w:rsidRPr="006A466B">
        <w:t xml:space="preserve"> </w:t>
      </w:r>
      <w:r>
        <w:t>(</w:t>
      </w:r>
      <w:r w:rsidRPr="006A466B">
        <w:t>samples</w:t>
      </w:r>
      <w:r>
        <w:t>)</w:t>
      </w:r>
      <w:r w:rsidRPr="006A466B">
        <w:t xml:space="preserve"> with the Australian approved labels, </w:t>
      </w:r>
      <w:proofErr w:type="gramStart"/>
      <w:r w:rsidRPr="006A466B">
        <w:t>PI</w:t>
      </w:r>
      <w:proofErr w:type="gramEnd"/>
      <w:r w:rsidRPr="006A466B">
        <w:t xml:space="preserve"> and packaging (unless an exemption to supply these has been granted). Further consignments cover batches previously supplied to TGA for the purposes of batch release testing but are seeking to be supplied again.</w:t>
      </w:r>
    </w:p>
    <w:p w14:paraId="2CC3AD9E" w14:textId="199CFB1A" w:rsidR="007664FD" w:rsidRDefault="007664FD" w:rsidP="007664FD">
      <w:pPr>
        <w:pStyle w:val="ListBullet2"/>
      </w:pPr>
      <w:r>
        <w:t>If the manufacturing batch has been released in Europe or United Kingdom a copy of the EU Official Control Authority Batch Release (OCABR) certificate (or equivalent from the UK) must be provided.</w:t>
      </w:r>
    </w:p>
    <w:p w14:paraId="69E85E70" w14:textId="77777777" w:rsidR="007664FD" w:rsidRDefault="007664FD" w:rsidP="007664FD">
      <w:pPr>
        <w:pStyle w:val="ListBullet2"/>
      </w:pPr>
      <w:r>
        <w:t>Any reagents, reference material and standards required to undertake testing, as requested by Laboratories Branch, TGA.</w:t>
      </w:r>
    </w:p>
    <w:p w14:paraId="127BD8F0" w14:textId="2F89427F" w:rsidR="007664FD" w:rsidRDefault="009C6C4B" w:rsidP="007664FD">
      <w:pPr>
        <w:pStyle w:val="ListBullet"/>
        <w:numPr>
          <w:ilvl w:val="0"/>
          <w:numId w:val="0"/>
        </w:numPr>
        <w:ind w:left="360"/>
        <w:rPr>
          <w:rFonts w:eastAsiaTheme="minorHAnsi"/>
        </w:rPr>
      </w:pPr>
      <w:r>
        <w:t>S</w:t>
      </w:r>
      <w:r w:rsidR="007664FD">
        <w:t xml:space="preserve">ponsors must provide all requested </w:t>
      </w:r>
      <w:r>
        <w:t>s</w:t>
      </w:r>
      <w:r w:rsidR="007664FD">
        <w:t>amples and data in sufficient time (at least five (5) business days) prior to any distribution date to allow the TGA to perform testing and review. Distribution of each batch of vaccine is conditional upon fulfilment of these conditions and receipt of a letter from the Laboratories Branch acknowledging release.</w:t>
      </w:r>
    </w:p>
    <w:p w14:paraId="19BAAF42" w14:textId="31AD02B3" w:rsidR="007664FD" w:rsidRDefault="007664FD" w:rsidP="007664FD">
      <w:pPr>
        <w:pStyle w:val="ListBullet"/>
        <w:numPr>
          <w:ilvl w:val="0"/>
          <w:numId w:val="0"/>
        </w:numPr>
        <w:ind w:left="360"/>
      </w:pPr>
      <w:r>
        <w:t>Samples and data should be forwarded to the Biotherapeutics Section, Laboratories Branch before release of each batch and with sufficient lead time to allow for Laboratories Branch testing.</w:t>
      </w:r>
    </w:p>
    <w:p w14:paraId="29E237A4" w14:textId="194BD912" w:rsidR="007664FD" w:rsidRDefault="007664FD" w:rsidP="007664FD">
      <w:pPr>
        <w:pStyle w:val="ListBullet"/>
        <w:numPr>
          <w:ilvl w:val="0"/>
          <w:numId w:val="0"/>
        </w:numPr>
        <w:ind w:left="360"/>
      </w:pPr>
      <w:r>
        <w:t xml:space="preserve">The shipments (including reagents) to TGA are the responsibility of the Australian </w:t>
      </w:r>
      <w:r w:rsidR="009C6C4B">
        <w:t>s</w:t>
      </w:r>
      <w:r>
        <w:t>ponsor/</w:t>
      </w:r>
      <w:r w:rsidR="009C6C4B">
        <w:t>a</w:t>
      </w:r>
      <w:r>
        <w:t>gent who will be required to facilitate the import and customs clearance process.</w:t>
      </w:r>
    </w:p>
    <w:p w14:paraId="667D5F0D" w14:textId="77777777" w:rsidR="007664FD" w:rsidRPr="007664FD" w:rsidRDefault="007664FD" w:rsidP="007664FD">
      <w:pPr>
        <w:pStyle w:val="ListBullet"/>
      </w:pPr>
      <w:r w:rsidRPr="007664FD">
        <w:t>Certified Product Details</w:t>
      </w:r>
    </w:p>
    <w:p w14:paraId="72B452B5" w14:textId="75E055C9" w:rsidR="007664FD" w:rsidRPr="007664FD" w:rsidRDefault="007664FD" w:rsidP="007664FD">
      <w:pPr>
        <w:pStyle w:val="ListBullet"/>
        <w:numPr>
          <w:ilvl w:val="0"/>
          <w:numId w:val="0"/>
        </w:numPr>
        <w:ind w:left="360"/>
      </w:pPr>
      <w:r w:rsidRPr="007664FD">
        <w:lastRenderedPageBreak/>
        <w:t xml:space="preserve">An electronic copy of the Certified Product Details (CPD) as described in Guidance 7: Certified Product Details of the Australian Regulatory Guidelines for Prescription Medicines (ARGPM) </w:t>
      </w:r>
      <w:hyperlink r:id="rId39" w:history="1">
        <w:r w:rsidRPr="007664FD">
          <w:rPr>
            <w:rStyle w:val="Hyperlink"/>
          </w:rPr>
          <w:t>https://www.tga.gov.au/guidance-7-certified-product-details</w:t>
        </w:r>
      </w:hyperlink>
      <w:r w:rsidRPr="007664FD">
        <w:t xml:space="preserve"> should be provided upon registration of the therapeutic good. In addition, an updated CPD, for the above products incorporating the approved changes is to be provided within one (1) month of the date of approval letter. A template for preparation of CPD for biological prescription medicines and Vaccines can be obtained from the TGA website </w:t>
      </w:r>
      <w:hyperlink r:id="rId40" w:history="1">
        <w:r w:rsidRPr="007664FD">
          <w:rPr>
            <w:rStyle w:val="Hyperlink"/>
          </w:rPr>
          <w:t>https://www.tga.gov.au/form/certified-product-details-cpd-biological-prescription-medicines</w:t>
        </w:r>
      </w:hyperlink>
      <w:r w:rsidRPr="007664FD">
        <w:t xml:space="preserve">]. The CPD should be sent as a single bookmarked PDF document to </w:t>
      </w:r>
      <w:hyperlink r:id="rId41" w:history="1">
        <w:r w:rsidRPr="007664FD">
          <w:rPr>
            <w:rStyle w:val="Hyperlink"/>
          </w:rPr>
          <w:t>Vaccines@health.gov.au</w:t>
        </w:r>
      </w:hyperlink>
      <w:r w:rsidRPr="007664FD">
        <w:t xml:space="preserve"> as soon as possible after registration/approval of the product or any subsequent changes as indicated above.”</w:t>
      </w:r>
    </w:p>
    <w:p w14:paraId="2BE90AAE" w14:textId="75FB6AEF" w:rsidR="00C22214" w:rsidRDefault="00C22214" w:rsidP="00C22214">
      <w:pPr>
        <w:pStyle w:val="Heading3"/>
      </w:pPr>
      <w:bookmarkStart w:id="43" w:name="_Toc314842512"/>
      <w:bookmarkStart w:id="44" w:name="_Toc103679296"/>
      <w:bookmarkStart w:id="45" w:name="_Toc144970837"/>
      <w:r>
        <w:t>Nonclinical</w:t>
      </w:r>
      <w:bookmarkEnd w:id="43"/>
      <w:bookmarkEnd w:id="44"/>
      <w:bookmarkEnd w:id="45"/>
      <w:r w:rsidR="005635FE">
        <w:fldChar w:fldCharType="begin"/>
      </w:r>
      <w:r w:rsidR="005635FE">
        <w:instrText xml:space="preserve"> DOCVARIABLE vault_nd_23ce759d-10ba-4879-ac8c-73317bcc5378 \* MERGEFORMAT </w:instrText>
      </w:r>
      <w:r w:rsidR="005635FE">
        <w:fldChar w:fldCharType="separate"/>
      </w:r>
      <w:r w:rsidR="007D13D5">
        <w:t xml:space="preserve"> </w:t>
      </w:r>
      <w:r w:rsidR="005635FE">
        <w:fldChar w:fldCharType="end"/>
      </w:r>
    </w:p>
    <w:p w14:paraId="15C51A23" w14:textId="62B76CE0" w:rsidR="008804CF" w:rsidRPr="00BD5DBD" w:rsidRDefault="00F16DB7" w:rsidP="008804CF">
      <w:pPr>
        <w:rPr>
          <w:b/>
          <w:bCs/>
          <w:szCs w:val="22"/>
        </w:rPr>
      </w:pPr>
      <w:bookmarkStart w:id="46" w:name="_Toc247691530"/>
      <w:bookmarkStart w:id="47" w:name="_Toc314842513"/>
      <w:bookmarkStart w:id="48" w:name="_Toc103679297"/>
      <w:r w:rsidRPr="00F16DB7">
        <w:rPr>
          <w:szCs w:val="22"/>
        </w:rPr>
        <w:t>No nonclinical objections to the transition from provisional registration to full registration of the SPIKEVAX BIVALENT ORIGINAL/OMICRON BA.4-5 vaccine.</w:t>
      </w:r>
      <w:r w:rsidRPr="00BD5DBD" w:rsidDel="00F16DB7">
        <w:rPr>
          <w:szCs w:val="22"/>
        </w:rPr>
        <w:t xml:space="preserve"> </w:t>
      </w:r>
    </w:p>
    <w:p w14:paraId="35B580A5" w14:textId="11A0180C" w:rsidR="00C22214" w:rsidRDefault="00C22214" w:rsidP="008804CF">
      <w:pPr>
        <w:pStyle w:val="Heading3"/>
      </w:pPr>
      <w:bookmarkStart w:id="49" w:name="_Toc144970838"/>
      <w:r>
        <w:t>Clinical</w:t>
      </w:r>
      <w:bookmarkEnd w:id="46"/>
      <w:bookmarkEnd w:id="47"/>
      <w:bookmarkEnd w:id="48"/>
      <w:bookmarkEnd w:id="49"/>
      <w:r w:rsidR="005635FE">
        <w:fldChar w:fldCharType="begin"/>
      </w:r>
      <w:r w:rsidR="005635FE">
        <w:instrText xml:space="preserve"> DOCVARIABLE vault_nd_19057c61-5b8f-420d-9984-685d8d6e4fe6 \* MERGEFORMAT </w:instrText>
      </w:r>
      <w:r w:rsidR="005635FE">
        <w:fldChar w:fldCharType="separate"/>
      </w:r>
      <w:r w:rsidR="007D13D5">
        <w:t xml:space="preserve"> </w:t>
      </w:r>
      <w:r w:rsidR="005635FE">
        <w:fldChar w:fldCharType="end"/>
      </w:r>
    </w:p>
    <w:p w14:paraId="5167BF55" w14:textId="382F664B" w:rsidR="00744EDE" w:rsidRDefault="00744EDE" w:rsidP="00744EDE">
      <w:r w:rsidRPr="00744EDE">
        <w:t xml:space="preserve">The clinical conditions of provisional registration for </w:t>
      </w:r>
      <w:r w:rsidRPr="00241F84">
        <w:t>S</w:t>
      </w:r>
      <w:r>
        <w:t>pikevax bivalent Original/Omicron BA.4-5</w:t>
      </w:r>
      <w:r w:rsidRPr="00241F84">
        <w:t xml:space="preserve"> </w:t>
      </w:r>
      <w:r w:rsidRPr="00744EDE">
        <w:t>(</w:t>
      </w:r>
      <w:proofErr w:type="spellStart"/>
      <w:r w:rsidRPr="00744EDE">
        <w:t>elasomeran</w:t>
      </w:r>
      <w:proofErr w:type="spellEnd"/>
      <w:r w:rsidRPr="00744EDE">
        <w:t>/</w:t>
      </w:r>
      <w:proofErr w:type="spellStart"/>
      <w:r w:rsidRPr="00744EDE">
        <w:t>davesomeran</w:t>
      </w:r>
      <w:proofErr w:type="spellEnd"/>
      <w:r w:rsidRPr="00744EDE">
        <w:t xml:space="preserve">) are listed in </w:t>
      </w:r>
      <w:r>
        <w:fldChar w:fldCharType="begin"/>
      </w:r>
      <w:r>
        <w:instrText xml:space="preserve"> REF _Ref141948675 \h </w:instrText>
      </w:r>
      <w:r>
        <w:fldChar w:fldCharType="separate"/>
      </w:r>
      <w:r w:rsidR="007D13D5" w:rsidRPr="00744EDE">
        <w:t xml:space="preserve">Table </w:t>
      </w:r>
      <w:r w:rsidR="007D13D5">
        <w:rPr>
          <w:noProof/>
        </w:rPr>
        <w:t>2</w:t>
      </w:r>
      <w:r>
        <w:fldChar w:fldCharType="end"/>
      </w:r>
      <w:r w:rsidRPr="00744EDE">
        <w:t xml:space="preserve"> below, along with information on availability of data to transition to full registration.</w:t>
      </w:r>
    </w:p>
    <w:p w14:paraId="794A2F1F" w14:textId="38E56F83" w:rsidR="00744EDE" w:rsidRDefault="00744EDE" w:rsidP="00744EDE">
      <w:pPr>
        <w:pStyle w:val="TableTitle"/>
      </w:pPr>
      <w:bookmarkStart w:id="50" w:name="_Ref141948675"/>
      <w:r w:rsidRPr="00744EDE">
        <w:t xml:space="preserve">Table </w:t>
      </w:r>
      <w:fldSimple w:instr=" SEQ Table \* ARABIC ">
        <w:r w:rsidR="007D13D5">
          <w:rPr>
            <w:noProof/>
          </w:rPr>
          <w:t>2</w:t>
        </w:r>
      </w:fldSimple>
      <w:bookmarkEnd w:id="50"/>
      <w:r>
        <w:t xml:space="preserve">: </w:t>
      </w:r>
      <w:r w:rsidR="00BE584A">
        <w:t>C</w:t>
      </w:r>
      <w:r w:rsidRPr="00744EDE">
        <w:t xml:space="preserve">linical studies to support this </w:t>
      </w:r>
      <w:bookmarkStart w:id="51" w:name="OLE_LINK2"/>
      <w:r w:rsidRPr="00744EDE">
        <w:t>Category 1 Type S application for transition from provisional registration to full registration</w:t>
      </w:r>
      <w:bookmarkEnd w:id="51"/>
      <w:r w:rsidR="005635FE">
        <w:fldChar w:fldCharType="begin"/>
      </w:r>
      <w:r w:rsidR="005635FE">
        <w:instrText xml:space="preserve"> DOCVARIABLE vault_nd_1aa35b6c-cfca-46af-8007-1a8c2585e049 \* MERGEFORMAT </w:instrText>
      </w:r>
      <w:r w:rsidR="005635FE">
        <w:fldChar w:fldCharType="separate"/>
      </w:r>
      <w:r w:rsidR="007D13D5">
        <w:t xml:space="preserve"> </w:t>
      </w:r>
      <w:r w:rsidR="005635FE">
        <w:fldChar w:fldCharType="end"/>
      </w:r>
    </w:p>
    <w:p w14:paraId="63B60744" w14:textId="18951668" w:rsidR="00744EDE" w:rsidRDefault="00744EDE" w:rsidP="00744EDE">
      <w:r>
        <w:rPr>
          <w:noProof/>
        </w:rPr>
        <w:drawing>
          <wp:inline distT="0" distB="0" distL="0" distR="0" wp14:anchorId="2944F6C5" wp14:editId="39D4ED7F">
            <wp:extent cx="5600700" cy="3285587"/>
            <wp:effectExtent l="0" t="0" r="0" b="0"/>
            <wp:docPr id="5" name="Picture 5" descr="Clinical studies to support this Category 1 Type S application for transition from provisional registration to full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linical studies to support this Category 1 Type S application for transition from provisional registration to full registration"/>
                    <pic:cNvPicPr/>
                  </pic:nvPicPr>
                  <pic:blipFill>
                    <a:blip r:embed="rId42"/>
                    <a:stretch>
                      <a:fillRect/>
                    </a:stretch>
                  </pic:blipFill>
                  <pic:spPr>
                    <a:xfrm>
                      <a:off x="0" y="0"/>
                      <a:ext cx="5602650" cy="3286731"/>
                    </a:xfrm>
                    <a:prstGeom prst="rect">
                      <a:avLst/>
                    </a:prstGeom>
                  </pic:spPr>
                </pic:pic>
              </a:graphicData>
            </a:graphic>
          </wp:inline>
        </w:drawing>
      </w:r>
    </w:p>
    <w:p w14:paraId="4D80397E" w14:textId="09A82BA7" w:rsidR="00744EDE" w:rsidRDefault="00744EDE" w:rsidP="00744EDE">
      <w:r>
        <w:t>The sponsor has also provided the overview of safety data submitted to fulfil specific conditions of registration by risk management plan (RMP) team and is reviewed by them.</w:t>
      </w:r>
    </w:p>
    <w:p w14:paraId="4B2A6D9D" w14:textId="67BD9B07" w:rsidR="00744EDE" w:rsidRDefault="00744EDE" w:rsidP="00744EDE">
      <w:r>
        <w:t xml:space="preserve">One periodic benefit-risk evaluation report and two monthly safety summary reports (MSSR) have been submitted to TGA for </w:t>
      </w:r>
      <w:r w:rsidRPr="00241F84">
        <w:t>S</w:t>
      </w:r>
      <w:r>
        <w:t>pikevax bivalent Original/Omicron BA.4-5</w:t>
      </w:r>
      <w:r w:rsidRPr="00241F84">
        <w:t xml:space="preserve"> </w:t>
      </w:r>
      <w:r>
        <w:t xml:space="preserve">as described in </w:t>
      </w:r>
      <w:r>
        <w:fldChar w:fldCharType="begin"/>
      </w:r>
      <w:r>
        <w:instrText xml:space="preserve"> REF _Ref141948799 \h </w:instrText>
      </w:r>
      <w:r>
        <w:fldChar w:fldCharType="separate"/>
      </w:r>
      <w:r w:rsidR="007D13D5" w:rsidRPr="00744EDE">
        <w:t xml:space="preserve">Table </w:t>
      </w:r>
      <w:r w:rsidR="007D13D5">
        <w:rPr>
          <w:noProof/>
        </w:rPr>
        <w:t>3</w:t>
      </w:r>
      <w:r>
        <w:fldChar w:fldCharType="end"/>
      </w:r>
      <w:r>
        <w:t xml:space="preserve"> below.</w:t>
      </w:r>
    </w:p>
    <w:p w14:paraId="2A896588" w14:textId="180C0F10" w:rsidR="00744EDE" w:rsidRDefault="00744EDE" w:rsidP="00744EDE">
      <w:pPr>
        <w:pStyle w:val="TableTitle"/>
      </w:pPr>
      <w:bookmarkStart w:id="52" w:name="_Ref141948799"/>
      <w:r w:rsidRPr="00744EDE">
        <w:lastRenderedPageBreak/>
        <w:t xml:space="preserve">Table </w:t>
      </w:r>
      <w:fldSimple w:instr=" SEQ Table \* ARABIC ">
        <w:r w:rsidR="007D13D5">
          <w:rPr>
            <w:noProof/>
          </w:rPr>
          <w:t>3</w:t>
        </w:r>
      </w:fldSimple>
      <w:bookmarkEnd w:id="52"/>
      <w:r>
        <w:t xml:space="preserve">: Monthly safety summary reports and periodic benefit-risk evaluation reports submitted for </w:t>
      </w:r>
      <w:r w:rsidRPr="00241F84">
        <w:t>S</w:t>
      </w:r>
      <w:r>
        <w:t>pikevax bivalent Original/Omicron BA.4-5</w:t>
      </w:r>
      <w:r w:rsidR="00783DA7">
        <w:fldChar w:fldCharType="begin"/>
      </w:r>
      <w:r w:rsidR="00783DA7">
        <w:instrText xml:space="preserve"> DOCVARIABLE vault_nd_b1990b2c-b791-49dc-9a11-4d3b99473b</w:instrText>
      </w:r>
      <w:r w:rsidR="00783DA7">
        <w:instrText xml:space="preserve">31 \* MERGEFORMAT </w:instrText>
      </w:r>
      <w:r w:rsidR="00783DA7">
        <w:fldChar w:fldCharType="separate"/>
      </w:r>
      <w:r w:rsidR="007D13D5">
        <w:t xml:space="preserve"> </w:t>
      </w:r>
      <w:r w:rsidR="00783DA7">
        <w:fldChar w:fldCharType="end"/>
      </w:r>
    </w:p>
    <w:p w14:paraId="1F768E8F" w14:textId="41172195" w:rsidR="00744EDE" w:rsidRDefault="00744EDE" w:rsidP="00744EDE">
      <w:r>
        <w:rPr>
          <w:noProof/>
        </w:rPr>
        <w:drawing>
          <wp:inline distT="0" distB="0" distL="0" distR="0" wp14:anchorId="79C5D5BE" wp14:editId="6A7B6A5B">
            <wp:extent cx="5359180" cy="807426"/>
            <wp:effectExtent l="0" t="0" r="0" b="0"/>
            <wp:docPr id="6" name="Picture 6" descr="Monthly safety summary reports and periodic benefit-risk evaluation reports submitted for Spikevax bivalent Original/Omicron BA.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onthly safety summary reports and periodic benefit-risk evaluation reports submitted for Spikevax bivalent Original/Omicron BA.4-5"/>
                    <pic:cNvPicPr/>
                  </pic:nvPicPr>
                  <pic:blipFill>
                    <a:blip r:embed="rId43"/>
                    <a:stretch>
                      <a:fillRect/>
                    </a:stretch>
                  </pic:blipFill>
                  <pic:spPr>
                    <a:xfrm>
                      <a:off x="0" y="0"/>
                      <a:ext cx="5375913" cy="809947"/>
                    </a:xfrm>
                    <a:prstGeom prst="rect">
                      <a:avLst/>
                    </a:prstGeom>
                  </pic:spPr>
                </pic:pic>
              </a:graphicData>
            </a:graphic>
          </wp:inline>
        </w:drawing>
      </w:r>
    </w:p>
    <w:p w14:paraId="27B4EA96" w14:textId="0C737EE1" w:rsidR="00E30188" w:rsidRDefault="00E30188" w:rsidP="00744EDE">
      <w:pPr>
        <w:pStyle w:val="Heading4"/>
        <w:rPr>
          <w:rFonts w:ascii="Cambria" w:eastAsiaTheme="minorHAnsi" w:hAnsi="Cambria" w:cstheme="minorBidi"/>
          <w:b w:val="0"/>
          <w:bCs w:val="0"/>
          <w:color w:val="auto"/>
          <w:sz w:val="22"/>
          <w:szCs w:val="20"/>
        </w:rPr>
      </w:pPr>
      <w:bookmarkStart w:id="53" w:name="_Toc144970839"/>
      <w:r w:rsidRPr="00E30188">
        <w:rPr>
          <w:rFonts w:ascii="Cambria" w:eastAsiaTheme="minorHAnsi" w:hAnsi="Cambria" w:cstheme="minorBidi"/>
          <w:b w:val="0"/>
          <w:bCs w:val="0"/>
          <w:color w:val="auto"/>
          <w:sz w:val="22"/>
          <w:szCs w:val="20"/>
        </w:rPr>
        <w:t xml:space="preserve">Three </w:t>
      </w:r>
      <w:r>
        <w:rPr>
          <w:rFonts w:ascii="Cambria" w:eastAsiaTheme="minorHAnsi" w:hAnsi="Cambria" w:cstheme="minorBidi"/>
          <w:b w:val="0"/>
          <w:bCs w:val="0"/>
          <w:color w:val="auto"/>
          <w:sz w:val="22"/>
          <w:szCs w:val="20"/>
        </w:rPr>
        <w:t>MSSR were submitted during evaluation of this application to transition to full registration:</w:t>
      </w:r>
      <w:bookmarkEnd w:id="53"/>
    </w:p>
    <w:p w14:paraId="1664DB44" w14:textId="455F6466" w:rsidR="00E30188" w:rsidRDefault="00E30188" w:rsidP="00E30188">
      <w:pPr>
        <w:pStyle w:val="ListParagraph"/>
        <w:numPr>
          <w:ilvl w:val="0"/>
          <w:numId w:val="18"/>
        </w:numPr>
      </w:pPr>
      <w:r>
        <w:t>MSSR #22 reporting period 18 Mar 2023 to 17 Apr 2023, submission date 12 May 2023</w:t>
      </w:r>
    </w:p>
    <w:p w14:paraId="495379AE" w14:textId="5C49EF04" w:rsidR="00E30188" w:rsidRDefault="00E30188" w:rsidP="00E30188">
      <w:pPr>
        <w:pStyle w:val="ListParagraph"/>
        <w:numPr>
          <w:ilvl w:val="0"/>
          <w:numId w:val="18"/>
        </w:numPr>
      </w:pPr>
      <w:r>
        <w:t>MSSR #23 reporting period 18 Apr 2023 to 17 May 2023, submission date 15 June 2023</w:t>
      </w:r>
    </w:p>
    <w:p w14:paraId="5A96EE0F" w14:textId="776D6EE7" w:rsidR="00E30188" w:rsidRPr="00E30188" w:rsidRDefault="00E30188" w:rsidP="00E30188">
      <w:pPr>
        <w:pStyle w:val="ListParagraph"/>
        <w:numPr>
          <w:ilvl w:val="0"/>
          <w:numId w:val="18"/>
        </w:numPr>
      </w:pPr>
      <w:r>
        <w:t>MSSR #24 reporting period 18 May 2023 to 17 June 2023, submission date 13 July 2023.</w:t>
      </w:r>
    </w:p>
    <w:p w14:paraId="01A588C8" w14:textId="296FA68E" w:rsidR="00744EDE" w:rsidRPr="00744EDE" w:rsidRDefault="00744EDE" w:rsidP="00744EDE">
      <w:pPr>
        <w:pStyle w:val="Heading4"/>
      </w:pPr>
      <w:bookmarkStart w:id="54" w:name="_Toc144970840"/>
      <w:r w:rsidRPr="00744EDE">
        <w:t>Study P205 Part H (mRNA-1273.222)</w:t>
      </w:r>
      <w:bookmarkEnd w:id="54"/>
      <w:r w:rsidR="005635FE">
        <w:fldChar w:fldCharType="begin"/>
      </w:r>
      <w:r w:rsidR="005635FE">
        <w:instrText xml:space="preserve"> DOCVARIABLE vault_nd_bfeee99b-504f-47f8-b61b-c1be012a9918 \* MERGEFORMAT </w:instrText>
      </w:r>
      <w:r w:rsidR="005635FE">
        <w:fldChar w:fldCharType="separate"/>
      </w:r>
      <w:r w:rsidR="007D13D5">
        <w:t xml:space="preserve"> </w:t>
      </w:r>
      <w:r w:rsidR="005635FE">
        <w:fldChar w:fldCharType="end"/>
      </w:r>
    </w:p>
    <w:p w14:paraId="467D1E52" w14:textId="232CAB99" w:rsidR="00744EDE" w:rsidRPr="00744EDE" w:rsidRDefault="00744EDE" w:rsidP="00744EDE">
      <w:r w:rsidRPr="00744EDE">
        <w:t>Study mRNA-1273-P205 is an ongoing open</w:t>
      </w:r>
      <w:r>
        <w:t xml:space="preserve"> </w:t>
      </w:r>
      <w:r w:rsidRPr="00744EDE">
        <w:t xml:space="preserve">label Phase </w:t>
      </w:r>
      <w:r>
        <w:t>II</w:t>
      </w:r>
      <w:r w:rsidRPr="00744EDE">
        <w:t>/</w:t>
      </w:r>
      <w:r>
        <w:t>III</w:t>
      </w:r>
      <w:r w:rsidRPr="00744EDE">
        <w:t xml:space="preserve"> study with multiple, sequentially enrolled cohorts to evaluate the immunogenicity and safety of variant</w:t>
      </w:r>
      <w:r w:rsidR="00BE584A">
        <w:t xml:space="preserve"> </w:t>
      </w:r>
      <w:r w:rsidRPr="00744EDE">
        <w:t>targeting booster candidate vaccines.</w:t>
      </w:r>
    </w:p>
    <w:p w14:paraId="49011C70" w14:textId="10F215DC" w:rsidR="00744EDE" w:rsidRPr="00744EDE" w:rsidRDefault="00744EDE" w:rsidP="00744EDE">
      <w:r w:rsidRPr="00744EDE">
        <w:t xml:space="preserve">Study mRNA-1273-P205 Part H, which evaluated the safety, reactogenicity, and immunogenicity of 50 </w:t>
      </w:r>
      <w:r>
        <w:t>µ</w:t>
      </w:r>
      <w:r w:rsidRPr="00744EDE">
        <w:t xml:space="preserve">g mRNA 1273.222 when administered as a second booster dose in adults who previously received </w:t>
      </w:r>
      <w:r>
        <w:t>two</w:t>
      </w:r>
      <w:r w:rsidRPr="00744EDE">
        <w:t xml:space="preserve"> doses of 100 </w:t>
      </w:r>
      <w:r>
        <w:t>µ</w:t>
      </w:r>
      <w:r w:rsidRPr="00744EDE">
        <w:t xml:space="preserve">g mRNA-1273 as a primary series and a first booster dose of 50 </w:t>
      </w:r>
      <w:r>
        <w:t>µ</w:t>
      </w:r>
      <w:r w:rsidRPr="00744EDE">
        <w:t xml:space="preserve">g mRNA-1273. mRNA-1273.222 is the Omicron BA.4/BA.5 bivalent booster vaccine that contains 25 </w:t>
      </w:r>
      <w:r>
        <w:t>µ</w:t>
      </w:r>
      <w:r w:rsidRPr="00744EDE">
        <w:t xml:space="preserve">g ancestral SARS-CoV-2 Spike mRNA and 25 </w:t>
      </w:r>
      <w:r>
        <w:t>µ</w:t>
      </w:r>
      <w:r w:rsidRPr="00744EDE">
        <w:t>g Omicron BA.4/BA.5 Spike mRNA.</w:t>
      </w:r>
    </w:p>
    <w:p w14:paraId="4AACC22A" w14:textId="6D3A5791" w:rsidR="00744EDE" w:rsidRPr="00744EDE" w:rsidRDefault="00744EDE" w:rsidP="00744EDE">
      <w:r w:rsidRPr="00744EDE">
        <w:t>The mRNA-1273-P205 Part F (cohort 2) serves as the within</w:t>
      </w:r>
      <w:r>
        <w:t xml:space="preserve"> </w:t>
      </w:r>
      <w:r w:rsidRPr="00744EDE">
        <w:t xml:space="preserve">study, non-contemporaneous comparator group for the mRNA-1273-P205 Part H in the immunogenicity comparison between the two booster vaccines, </w:t>
      </w:r>
      <w:r w:rsidR="00C17ED7" w:rsidRPr="00744EDE">
        <w:t xml:space="preserve">50 </w:t>
      </w:r>
      <w:r w:rsidR="00C17ED7">
        <w:t>µ</w:t>
      </w:r>
      <w:r w:rsidR="00C17ED7" w:rsidRPr="00744EDE">
        <w:t xml:space="preserve">g </w:t>
      </w:r>
      <w:r w:rsidRPr="00744EDE">
        <w:t xml:space="preserve">mRNA-1273.222 and </w:t>
      </w:r>
      <w:r w:rsidR="00C17ED7" w:rsidRPr="00744EDE">
        <w:t xml:space="preserve">50 </w:t>
      </w:r>
      <w:r w:rsidR="00C17ED7">
        <w:t>µ</w:t>
      </w:r>
      <w:r w:rsidR="00C17ED7" w:rsidRPr="00744EDE">
        <w:t xml:space="preserve">g </w:t>
      </w:r>
      <w:r w:rsidRPr="00744EDE">
        <w:t xml:space="preserve">mRNA-1273, when administered as second booster doses. Study mRNA-1273-P205 Part F (cohort 2) evaluated the safety, reactogenicity, and immunogenicity of 50 </w:t>
      </w:r>
      <w:r>
        <w:t>µ</w:t>
      </w:r>
      <w:r w:rsidRPr="00744EDE">
        <w:t xml:space="preserve">g mRNA 1273 when administered as a second booster dose in adults who previously received </w:t>
      </w:r>
      <w:r>
        <w:t>two</w:t>
      </w:r>
      <w:r w:rsidRPr="00744EDE">
        <w:t xml:space="preserve"> doses of 100 </w:t>
      </w:r>
      <w:r>
        <w:t>µ</w:t>
      </w:r>
      <w:r w:rsidRPr="00744EDE">
        <w:t xml:space="preserve">g mRNA-1273 as a primary series and a first booster dose of 50 </w:t>
      </w:r>
      <w:r>
        <w:t>µ</w:t>
      </w:r>
      <w:r w:rsidRPr="00744EDE">
        <w:t>g mRNA-1273.</w:t>
      </w:r>
    </w:p>
    <w:p w14:paraId="60A1980D" w14:textId="436D3BA3" w:rsidR="00744EDE" w:rsidRPr="00744EDE" w:rsidRDefault="00744EDE" w:rsidP="00744EDE">
      <w:pPr>
        <w:pStyle w:val="FigureTitle"/>
        <w:rPr>
          <w:bCs/>
        </w:rPr>
      </w:pPr>
      <w:r>
        <w:t xml:space="preserve">Figure </w:t>
      </w:r>
      <w:fldSimple w:instr=" SEQ Figure \* ARABIC ">
        <w:r w:rsidR="007D13D5">
          <w:rPr>
            <w:noProof/>
          </w:rPr>
          <w:t>1</w:t>
        </w:r>
      </w:fldSimple>
      <w:r>
        <w:t xml:space="preserve">: </w:t>
      </w:r>
      <w:r w:rsidRPr="00744EDE">
        <w:t>Study mRNA-1273-P205 Part H</w:t>
      </w:r>
      <w:r w:rsidRPr="00AA1642">
        <w:rPr>
          <w:bCs/>
        </w:rPr>
        <w:t xml:space="preserve"> </w:t>
      </w:r>
      <w:r>
        <w:rPr>
          <w:bCs/>
        </w:rPr>
        <w:t>s</w:t>
      </w:r>
      <w:r w:rsidRPr="00AA1642">
        <w:rPr>
          <w:bCs/>
        </w:rPr>
        <w:t xml:space="preserve">tatistical </w:t>
      </w:r>
      <w:r>
        <w:rPr>
          <w:bCs/>
        </w:rPr>
        <w:t>h</w:t>
      </w:r>
      <w:r w:rsidRPr="00AA1642">
        <w:rPr>
          <w:bCs/>
        </w:rPr>
        <w:t xml:space="preserve">ypotheses </w:t>
      </w:r>
      <w:r>
        <w:rPr>
          <w:bCs/>
        </w:rPr>
        <w:t>t</w:t>
      </w:r>
      <w:r w:rsidRPr="00AA1642">
        <w:rPr>
          <w:bCs/>
        </w:rPr>
        <w:t>esting</w:t>
      </w:r>
      <w:r w:rsidR="005635FE">
        <w:rPr>
          <w:bCs/>
        </w:rPr>
        <w:fldChar w:fldCharType="begin"/>
      </w:r>
      <w:r w:rsidR="005635FE">
        <w:rPr>
          <w:bCs/>
        </w:rPr>
        <w:instrText xml:space="preserve"> DOCVARIABLE vault_nd_dca88b67-823e-4516-8eea-711540f6dedd \* MERGEFORMAT </w:instrText>
      </w:r>
      <w:r w:rsidR="005635FE">
        <w:rPr>
          <w:bCs/>
        </w:rPr>
        <w:fldChar w:fldCharType="separate"/>
      </w:r>
      <w:r w:rsidR="007D13D5">
        <w:rPr>
          <w:bCs/>
        </w:rPr>
        <w:t xml:space="preserve"> </w:t>
      </w:r>
      <w:r w:rsidR="005635FE">
        <w:rPr>
          <w:bCs/>
        </w:rPr>
        <w:fldChar w:fldCharType="end"/>
      </w:r>
    </w:p>
    <w:p w14:paraId="144230F9" w14:textId="2A7180DC" w:rsidR="00744EDE" w:rsidRDefault="00744EDE" w:rsidP="00744EDE">
      <w:r w:rsidRPr="005C1BD5">
        <w:rPr>
          <w:iCs/>
          <w:noProof/>
          <w:color w:val="0070C0"/>
        </w:rPr>
        <w:drawing>
          <wp:inline distT="0" distB="0" distL="0" distR="0" wp14:anchorId="6E55D463" wp14:editId="0C1E2FEF">
            <wp:extent cx="5446685" cy="2095500"/>
            <wp:effectExtent l="0" t="0" r="1905" b="0"/>
            <wp:docPr id="2" name="Picture 2" descr=": Study mRNA-1273-P205 Part H statistical hypotheses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Study mRNA-1273-P205 Part H statistical hypotheses testi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50854" cy="2097104"/>
                    </a:xfrm>
                    <a:prstGeom prst="rect">
                      <a:avLst/>
                    </a:prstGeom>
                    <a:noFill/>
                    <a:ln>
                      <a:noFill/>
                    </a:ln>
                  </pic:spPr>
                </pic:pic>
              </a:graphicData>
            </a:graphic>
          </wp:inline>
        </w:drawing>
      </w:r>
    </w:p>
    <w:p w14:paraId="74996309" w14:textId="6033A308" w:rsidR="00744EDE" w:rsidRPr="00E2386D" w:rsidRDefault="00744EDE" w:rsidP="00744EDE">
      <w:r w:rsidRPr="00E2386D">
        <w:t xml:space="preserve">The primary immunogenicity objective is considered met if non-inferiority against BA.4/5 and ancestral SARS-CoV-2 D614G based on </w:t>
      </w:r>
      <w:r w:rsidR="002350D5" w:rsidRPr="002350D5">
        <w:t xml:space="preserve">geometric mean ratio </w:t>
      </w:r>
      <w:r w:rsidR="002350D5">
        <w:t>(</w:t>
      </w:r>
      <w:r w:rsidRPr="00E2386D">
        <w:t>GMR</w:t>
      </w:r>
      <w:r w:rsidR="002350D5">
        <w:t>)</w:t>
      </w:r>
      <w:r w:rsidRPr="00E2386D">
        <w:t xml:space="preserve">, </w:t>
      </w:r>
      <w:proofErr w:type="spellStart"/>
      <w:r w:rsidR="002350D5" w:rsidRPr="002350D5">
        <w:t>seroresponse</w:t>
      </w:r>
      <w:proofErr w:type="spellEnd"/>
      <w:r w:rsidR="002350D5" w:rsidRPr="002350D5">
        <w:t xml:space="preserve"> rates </w:t>
      </w:r>
      <w:r w:rsidR="002350D5">
        <w:t>(</w:t>
      </w:r>
      <w:r w:rsidRPr="00E2386D">
        <w:t>SRR</w:t>
      </w:r>
      <w:r w:rsidR="002350D5">
        <w:t>)</w:t>
      </w:r>
      <w:r w:rsidRPr="00E2386D">
        <w:t xml:space="preserve"> difference at Day 29 are demonstrated.</w:t>
      </w:r>
      <w:r>
        <w:t xml:space="preserve"> </w:t>
      </w:r>
      <w:r w:rsidRPr="00E2386D">
        <w:t xml:space="preserve">Non-inferiority was considered met when the lower bound of the 95% </w:t>
      </w:r>
      <w:r w:rsidR="00C17ED7">
        <w:t>confidence interval (</w:t>
      </w:r>
      <w:r w:rsidRPr="00E2386D">
        <w:t>CI</w:t>
      </w:r>
      <w:r w:rsidR="00C17ED7">
        <w:t>)</w:t>
      </w:r>
      <w:r w:rsidRPr="00E2386D">
        <w:t xml:space="preserve"> of GMR is </w:t>
      </w:r>
      <w:r w:rsidR="002350D5">
        <w:t>greater than</w:t>
      </w:r>
      <w:r w:rsidRPr="00E2386D">
        <w:t xml:space="preserve"> 0.667 (1</w:t>
      </w:r>
      <w:r w:rsidR="002A2397">
        <w:t xml:space="preserve"> out of </w:t>
      </w:r>
      <w:r w:rsidRPr="00E2386D">
        <w:t xml:space="preserve">1.5) and of SRR </w:t>
      </w:r>
      <w:r w:rsidRPr="00E2386D">
        <w:lastRenderedPageBreak/>
        <w:t xml:space="preserve">difference is </w:t>
      </w:r>
      <w:r w:rsidR="002350D5">
        <w:t>greater than</w:t>
      </w:r>
      <w:r w:rsidRPr="00E2386D">
        <w:t xml:space="preserve"> -10%. Superiority was considered met when the lower bound of the 95% CI of GMR is </w:t>
      </w:r>
      <w:r w:rsidR="002350D5">
        <w:t>greater than</w:t>
      </w:r>
      <w:r w:rsidR="002A2397">
        <w:t xml:space="preserve"> </w:t>
      </w:r>
      <w:r w:rsidRPr="00E2386D">
        <w:t xml:space="preserve">1 and for the difference in SRR </w:t>
      </w:r>
      <w:r w:rsidR="002350D5">
        <w:t>greater than</w:t>
      </w:r>
      <w:r w:rsidRPr="00E2386D">
        <w:t xml:space="preserve"> 0.</w:t>
      </w:r>
      <w:r>
        <w:t xml:space="preserve"> </w:t>
      </w:r>
      <w:r w:rsidRPr="00E2386D">
        <w:t>If non-inferiority was demonstrated for both Omicron BA.4/BA.5 and ancestral SARS-CoV-2 with D614G (based on GMR and SRR), the lower bound of 95% CI of GMR was compared to 1, and if greater than 1, then superiority against Omicron BA.4/BA.5 was demonstrated.</w:t>
      </w:r>
    </w:p>
    <w:p w14:paraId="3B795831" w14:textId="5C0CA23E" w:rsidR="00744EDE" w:rsidRDefault="00744EDE" w:rsidP="00744EDE">
      <w:r w:rsidRPr="00A45142">
        <w:t xml:space="preserve">In the </w:t>
      </w:r>
      <w:proofErr w:type="gramStart"/>
      <w:r w:rsidR="00C17ED7" w:rsidRPr="00A45142">
        <w:t>50</w:t>
      </w:r>
      <w:r w:rsidR="00C17ED7">
        <w:t xml:space="preserve"> µ</w:t>
      </w:r>
      <w:r w:rsidR="00C17ED7" w:rsidRPr="00A45142">
        <w:t>g</w:t>
      </w:r>
      <w:proofErr w:type="gramEnd"/>
      <w:r w:rsidR="00C17ED7" w:rsidRPr="00A45142">
        <w:t xml:space="preserve"> </w:t>
      </w:r>
      <w:r w:rsidRPr="00A45142">
        <w:t xml:space="preserve">mRNA-1273.222 booster dose group, 511 participants received the booster dose. Of these, 305 participants (59.7%) enrolled from </w:t>
      </w:r>
      <w:r w:rsidR="002A2397">
        <w:t>S</w:t>
      </w:r>
      <w:r w:rsidRPr="00A45142">
        <w:t xml:space="preserve">tudy mRNA-1273-P301 where they had received the primary series and the first booster dose of mRNA-1273 and 206 of the 511 participants (40.3%) had received the primary series and the first booster dose of mRNA-1273 under the </w:t>
      </w:r>
      <w:r w:rsidR="002350D5" w:rsidRPr="009721B5">
        <w:t>Emergency Use Authorization</w:t>
      </w:r>
      <w:r w:rsidR="002350D5">
        <w:t xml:space="preserve"> (</w:t>
      </w:r>
      <w:r w:rsidRPr="00A45142">
        <w:t>EUA</w:t>
      </w:r>
      <w:r w:rsidR="002350D5">
        <w:t>)</w:t>
      </w:r>
      <w:r w:rsidRPr="00A45142">
        <w:t xml:space="preserve"> in the United States. The median </w:t>
      </w:r>
      <w:proofErr w:type="gramStart"/>
      <w:r w:rsidRPr="00A45142">
        <w:t>follow</w:t>
      </w:r>
      <w:proofErr w:type="gramEnd"/>
      <w:r w:rsidR="002A2397">
        <w:t xml:space="preserve"> </w:t>
      </w:r>
      <w:r w:rsidRPr="00A45142">
        <w:t xml:space="preserve">up time from the </w:t>
      </w:r>
      <w:r w:rsidR="00C17ED7" w:rsidRPr="00A45142">
        <w:t>50</w:t>
      </w:r>
      <w:r w:rsidR="00C17ED7">
        <w:t> µ</w:t>
      </w:r>
      <w:r w:rsidR="00C17ED7" w:rsidRPr="00A45142">
        <w:t xml:space="preserve">g </w:t>
      </w:r>
      <w:r w:rsidRPr="00A45142">
        <w:t xml:space="preserve">mRNA-1273.222 booster dose injection was 37 days (range 5 to 45 days). Of the 511 participants who received the </w:t>
      </w:r>
      <w:proofErr w:type="gramStart"/>
      <w:r w:rsidR="00C17ED7" w:rsidRPr="00A45142">
        <w:t xml:space="preserve">50 </w:t>
      </w:r>
      <w:r w:rsidR="00C17ED7">
        <w:t>µ</w:t>
      </w:r>
      <w:r w:rsidR="00C17ED7" w:rsidRPr="00A45142">
        <w:t>g</w:t>
      </w:r>
      <w:proofErr w:type="gramEnd"/>
      <w:r w:rsidR="00C17ED7" w:rsidRPr="00A45142">
        <w:t xml:space="preserve"> </w:t>
      </w:r>
      <w:r w:rsidRPr="00A45142">
        <w:t xml:space="preserve">mRNA-1273.222 booster dose, </w:t>
      </w:r>
      <w:r w:rsidR="002A2397">
        <w:t>four</w:t>
      </w:r>
      <w:r w:rsidRPr="00A45142">
        <w:t xml:space="preserve"> participants discontinued from the study (</w:t>
      </w:r>
      <w:r w:rsidR="002A2397">
        <w:t>two</w:t>
      </w:r>
      <w:r w:rsidRPr="00A45142">
        <w:t xml:space="preserve"> withdrawal of consent by participant, </w:t>
      </w:r>
      <w:r w:rsidR="002A2397">
        <w:t>one</w:t>
      </w:r>
      <w:r w:rsidRPr="00A45142">
        <w:t xml:space="preserve"> death and </w:t>
      </w:r>
      <w:r w:rsidR="002A2397">
        <w:t>one</w:t>
      </w:r>
      <w:r w:rsidRPr="00A45142">
        <w:t xml:space="preserve"> lost to follow</w:t>
      </w:r>
      <w:r w:rsidR="002A2397">
        <w:t xml:space="preserve"> </w:t>
      </w:r>
      <w:r w:rsidRPr="00A45142">
        <w:t>up).</w:t>
      </w:r>
    </w:p>
    <w:p w14:paraId="39391675" w14:textId="7CDE3183" w:rsidR="00744EDE" w:rsidRDefault="00744EDE" w:rsidP="00744EDE">
      <w:r w:rsidRPr="00A45142">
        <w:t xml:space="preserve">In the </w:t>
      </w:r>
      <w:proofErr w:type="gramStart"/>
      <w:r w:rsidR="00C17ED7" w:rsidRPr="00A45142">
        <w:t>50</w:t>
      </w:r>
      <w:r w:rsidR="00C17ED7">
        <w:t xml:space="preserve"> µ</w:t>
      </w:r>
      <w:r w:rsidR="00C17ED7" w:rsidRPr="00A45142">
        <w:t>g</w:t>
      </w:r>
      <w:proofErr w:type="gramEnd"/>
      <w:r w:rsidR="00C17ED7" w:rsidRPr="00A45142">
        <w:t xml:space="preserve"> </w:t>
      </w:r>
      <w:r w:rsidRPr="00A45142">
        <w:t xml:space="preserve">mRNA-1273 booster dose group, 379 participants enrolled and 376 received the booster dose. Of the 376 participants, 263 participants (69.9%) enrolled from </w:t>
      </w:r>
      <w:r w:rsidR="002A2397">
        <w:t>S</w:t>
      </w:r>
      <w:r w:rsidRPr="00A45142">
        <w:t xml:space="preserve">tudy mRNA-1273-P301 where they had received the primary series and the first booster dose of mRNA-1273 and 113 of the 376 participants (30.1%) had received the primary series and the first booster dose of mRNA 1273 under the EUA in the United States. The median </w:t>
      </w:r>
      <w:proofErr w:type="gramStart"/>
      <w:r w:rsidRPr="00A45142">
        <w:t>follow</w:t>
      </w:r>
      <w:proofErr w:type="gramEnd"/>
      <w:r w:rsidR="002A2397">
        <w:t xml:space="preserve"> </w:t>
      </w:r>
      <w:r w:rsidRPr="00A45142">
        <w:t xml:space="preserve">up time from </w:t>
      </w:r>
      <w:r w:rsidR="00C17ED7" w:rsidRPr="00A45142">
        <w:t>50</w:t>
      </w:r>
      <w:r w:rsidR="00C17ED7">
        <w:t> µ</w:t>
      </w:r>
      <w:r w:rsidR="00C17ED7" w:rsidRPr="00A45142">
        <w:t xml:space="preserve">g </w:t>
      </w:r>
      <w:r w:rsidRPr="00A45142">
        <w:t xml:space="preserve">mRNA-1273 booster injection was 127 days (range 64 to 136 days). Of the 376 participants who received the </w:t>
      </w:r>
      <w:proofErr w:type="gramStart"/>
      <w:r w:rsidR="00C17ED7" w:rsidRPr="00A45142">
        <w:t xml:space="preserve">50 </w:t>
      </w:r>
      <w:r w:rsidR="00C17ED7">
        <w:t>µ</w:t>
      </w:r>
      <w:r w:rsidR="00C17ED7" w:rsidRPr="00A45142">
        <w:t>g</w:t>
      </w:r>
      <w:proofErr w:type="gramEnd"/>
      <w:r w:rsidR="00C17ED7" w:rsidRPr="00A45142">
        <w:t xml:space="preserve"> </w:t>
      </w:r>
      <w:r w:rsidRPr="00A45142">
        <w:t xml:space="preserve">mRNA-1273 booster dose, 98.4% participants were still on study by the data </w:t>
      </w:r>
      <w:proofErr w:type="spellStart"/>
      <w:r w:rsidRPr="00A45142">
        <w:t>cutoff</w:t>
      </w:r>
      <w:proofErr w:type="spellEnd"/>
      <w:r w:rsidRPr="00A45142">
        <w:t xml:space="preserve"> date (6 Jul</w:t>
      </w:r>
      <w:r w:rsidR="002A2397">
        <w:t>y</w:t>
      </w:r>
      <w:r w:rsidRPr="00A45142">
        <w:t xml:space="preserve"> 2022)</w:t>
      </w:r>
      <w:r>
        <w:t>.</w:t>
      </w:r>
    </w:p>
    <w:p w14:paraId="5E1F6B5B" w14:textId="1990131B" w:rsidR="00744EDE" w:rsidRPr="00B070D1" w:rsidRDefault="00744EDE" w:rsidP="002A2397">
      <w:pPr>
        <w:pStyle w:val="Heading5"/>
      </w:pPr>
      <w:r w:rsidRPr="00B070D1">
        <w:t xml:space="preserve">Immunogenicity </w:t>
      </w:r>
      <w:r w:rsidR="00C17ED7">
        <w:t>r</w:t>
      </w:r>
      <w:r w:rsidRPr="00B070D1">
        <w:t>esults</w:t>
      </w:r>
      <w:r w:rsidR="00783DA7">
        <w:fldChar w:fldCharType="begin"/>
      </w:r>
      <w:r w:rsidR="00783DA7">
        <w:instrText xml:space="preserve"> DOCVARIABLE vault_nd_54a150f9-343a-4833-88b0-c6038d57589e \* MERGEFORMAT </w:instrText>
      </w:r>
      <w:r w:rsidR="00783DA7">
        <w:fldChar w:fldCharType="separate"/>
      </w:r>
      <w:r w:rsidR="007D13D5">
        <w:t xml:space="preserve"> </w:t>
      </w:r>
      <w:r w:rsidR="00783DA7">
        <w:fldChar w:fldCharType="end"/>
      </w:r>
    </w:p>
    <w:p w14:paraId="76666EA0" w14:textId="2A65C760" w:rsidR="00744EDE" w:rsidRPr="00B070D1" w:rsidRDefault="00C17ED7" w:rsidP="00744EDE">
      <w:pPr>
        <w:rPr>
          <w:b/>
          <w:bCs/>
          <w:i/>
        </w:rPr>
      </w:pPr>
      <w:r w:rsidRPr="00B070D1">
        <w:rPr>
          <w:b/>
          <w:bCs/>
          <w:i/>
        </w:rPr>
        <w:t xml:space="preserve">50 </w:t>
      </w:r>
      <w:r>
        <w:rPr>
          <w:b/>
          <w:bCs/>
          <w:i/>
        </w:rPr>
        <w:t>µ</w:t>
      </w:r>
      <w:r w:rsidRPr="00B070D1">
        <w:rPr>
          <w:b/>
          <w:bCs/>
          <w:i/>
        </w:rPr>
        <w:t xml:space="preserve">g </w:t>
      </w:r>
      <w:r w:rsidR="00744EDE" w:rsidRPr="00B070D1">
        <w:rPr>
          <w:b/>
          <w:bCs/>
          <w:i/>
        </w:rPr>
        <w:t>mRNA-1273.222 (</w:t>
      </w:r>
      <w:r>
        <w:rPr>
          <w:b/>
          <w:bCs/>
          <w:i/>
        </w:rPr>
        <w:t xml:space="preserve">Study </w:t>
      </w:r>
      <w:r w:rsidR="00744EDE" w:rsidRPr="00B070D1">
        <w:rPr>
          <w:b/>
          <w:bCs/>
          <w:i/>
        </w:rPr>
        <w:t xml:space="preserve">P205 Part H) </w:t>
      </w:r>
      <w:r>
        <w:rPr>
          <w:b/>
          <w:bCs/>
          <w:i/>
        </w:rPr>
        <w:t>c</w:t>
      </w:r>
      <w:r w:rsidR="00744EDE" w:rsidRPr="00B070D1">
        <w:rPr>
          <w:b/>
          <w:bCs/>
          <w:i/>
        </w:rPr>
        <w:t xml:space="preserve">ompared with </w:t>
      </w:r>
      <w:r w:rsidRPr="00B070D1">
        <w:rPr>
          <w:b/>
          <w:bCs/>
          <w:i/>
        </w:rPr>
        <w:t xml:space="preserve">50 </w:t>
      </w:r>
      <w:r>
        <w:rPr>
          <w:b/>
          <w:bCs/>
          <w:i/>
        </w:rPr>
        <w:t>µ</w:t>
      </w:r>
      <w:r w:rsidRPr="00B070D1">
        <w:rPr>
          <w:b/>
          <w:bCs/>
          <w:i/>
        </w:rPr>
        <w:t xml:space="preserve">g </w:t>
      </w:r>
      <w:r w:rsidR="00744EDE" w:rsidRPr="00B070D1">
        <w:rPr>
          <w:b/>
          <w:bCs/>
          <w:i/>
        </w:rPr>
        <w:t>mRNA-1273 (</w:t>
      </w:r>
      <w:r>
        <w:rPr>
          <w:b/>
          <w:bCs/>
          <w:i/>
        </w:rPr>
        <w:t xml:space="preserve">Study </w:t>
      </w:r>
      <w:r w:rsidR="00744EDE" w:rsidRPr="00B070D1">
        <w:rPr>
          <w:b/>
          <w:bCs/>
          <w:i/>
        </w:rPr>
        <w:t>P205 Part F)</w:t>
      </w:r>
    </w:p>
    <w:p w14:paraId="52AEF7E5" w14:textId="6AE23B6F" w:rsidR="00744EDE" w:rsidRPr="002A2397" w:rsidRDefault="00744EDE" w:rsidP="002A2397">
      <w:r w:rsidRPr="002A2397">
        <w:t xml:space="preserve">The primary analysis population for the primary objective was the </w:t>
      </w:r>
      <w:r w:rsidR="002A2397">
        <w:t>per protocol immunogenicity set with participants with no prior infection (</w:t>
      </w:r>
      <w:r w:rsidRPr="002A2397">
        <w:t>PPIS-</w:t>
      </w:r>
      <w:r w:rsidR="002A2397">
        <w:t>N</w:t>
      </w:r>
      <w:r w:rsidRPr="002A2397">
        <w:t>eg</w:t>
      </w:r>
      <w:r w:rsidR="002A2397">
        <w:t>)</w:t>
      </w:r>
      <w:r w:rsidRPr="002A2397">
        <w:t xml:space="preserve"> population.</w:t>
      </w:r>
    </w:p>
    <w:p w14:paraId="1D68EB21" w14:textId="0D05A9A8" w:rsidR="00744EDE" w:rsidRPr="00656A0D" w:rsidRDefault="00744EDE" w:rsidP="002A2397">
      <w:pPr>
        <w:pStyle w:val="Heading6"/>
      </w:pPr>
      <w:r w:rsidRPr="00656A0D">
        <w:t>Non-inferiority testing</w:t>
      </w:r>
      <w:r w:rsidR="00783DA7">
        <w:fldChar w:fldCharType="begin"/>
      </w:r>
      <w:r w:rsidR="00783DA7">
        <w:instrText xml:space="preserve"> DOCVARIABLE vault_nd_cc18e2d8-0c01-4a10-a49d-e9fd1d10cf46 \* MERGEFORMAT </w:instrText>
      </w:r>
      <w:r w:rsidR="00783DA7">
        <w:fldChar w:fldCharType="separate"/>
      </w:r>
      <w:r w:rsidR="007D13D5">
        <w:t xml:space="preserve"> </w:t>
      </w:r>
      <w:r w:rsidR="00783DA7">
        <w:fldChar w:fldCharType="end"/>
      </w:r>
    </w:p>
    <w:p w14:paraId="5D1109C8" w14:textId="1536DF74" w:rsidR="00744EDE" w:rsidRPr="00B070D1" w:rsidRDefault="00744EDE" w:rsidP="002A2397">
      <w:pPr>
        <w:pStyle w:val="Heading7"/>
      </w:pPr>
      <w:r w:rsidRPr="00B070D1">
        <w:t>Immunogenicity in participants without previous SARS-CoV-2 infection at pre-booster</w:t>
      </w:r>
      <w:r w:rsidR="00783DA7">
        <w:fldChar w:fldCharType="begin"/>
      </w:r>
      <w:r w:rsidR="00783DA7">
        <w:instrText xml:space="preserve"> DOCVARIABLE vault_nd_4e23e6ae-ff7e-4cf6-9116-6defc9271278 \* MERGEFORMAT </w:instrText>
      </w:r>
      <w:r w:rsidR="00783DA7">
        <w:fldChar w:fldCharType="separate"/>
      </w:r>
      <w:r w:rsidR="007D13D5">
        <w:t xml:space="preserve"> </w:t>
      </w:r>
      <w:r w:rsidR="00783DA7">
        <w:fldChar w:fldCharType="end"/>
      </w:r>
    </w:p>
    <w:p w14:paraId="71B131B8" w14:textId="74939A36" w:rsidR="00C17ED7" w:rsidRDefault="00744EDE" w:rsidP="002A2397">
      <w:r w:rsidRPr="002A2397">
        <w:t xml:space="preserve">In the PPIS-Neg set population (participants with no prior infection), the observed GMT (95% </w:t>
      </w:r>
      <w:r w:rsidR="002350D5">
        <w:t>C</w:t>
      </w:r>
      <w:r w:rsidR="00C17ED7">
        <w:t>I</w:t>
      </w:r>
      <w:r w:rsidRPr="002A2397">
        <w:t xml:space="preserve">) against Omicron BA.4/BA.5 at pre-booster was 87.9 (72.2,107.1) and increased to 2324.6 (1921.2, 2812.7) 28 days after the booster dose for mRNA-1273.222 and the </w:t>
      </w:r>
      <w:r w:rsidR="002350D5">
        <w:t>g</w:t>
      </w:r>
      <w:r w:rsidR="002350D5" w:rsidRPr="00F30F43">
        <w:t xml:space="preserve">eometric </w:t>
      </w:r>
      <w:r w:rsidR="002350D5">
        <w:t>m</w:t>
      </w:r>
      <w:r w:rsidR="002350D5" w:rsidRPr="00F30F43">
        <w:t xml:space="preserve">ean </w:t>
      </w:r>
      <w:r w:rsidR="002350D5">
        <w:t>f</w:t>
      </w:r>
      <w:r w:rsidR="002350D5" w:rsidRPr="00F30F43">
        <w:t xml:space="preserve">old </w:t>
      </w:r>
      <w:r w:rsidR="002350D5">
        <w:t>r</w:t>
      </w:r>
      <w:r w:rsidR="002350D5" w:rsidRPr="00F30F43">
        <w:t>ise</w:t>
      </w:r>
      <w:r w:rsidR="002350D5" w:rsidRPr="002A2397">
        <w:t xml:space="preserve"> </w:t>
      </w:r>
      <w:r w:rsidR="002350D5">
        <w:t>(</w:t>
      </w:r>
      <w:r w:rsidRPr="002A2397">
        <w:t>GMFR</w:t>
      </w:r>
      <w:r w:rsidR="002350D5">
        <w:t>)</w:t>
      </w:r>
      <w:r w:rsidRPr="002A2397">
        <w:t xml:space="preserve"> (95% CI) for the </w:t>
      </w:r>
      <w:r w:rsidR="002350D5">
        <w:t>g</w:t>
      </w:r>
      <w:r w:rsidR="002350D5" w:rsidRPr="009721B5">
        <w:t>eometric mean titre</w:t>
      </w:r>
      <w:r w:rsidR="002350D5">
        <w:t>s</w:t>
      </w:r>
      <w:r w:rsidR="002350D5" w:rsidRPr="002A2397">
        <w:t xml:space="preserve"> </w:t>
      </w:r>
      <w:r w:rsidR="002350D5">
        <w:t>(</w:t>
      </w:r>
      <w:r w:rsidRPr="002A2397">
        <w:t>GMT</w:t>
      </w:r>
      <w:r w:rsidR="002350D5">
        <w:t>)</w:t>
      </w:r>
      <w:r w:rsidRPr="002A2397">
        <w:t xml:space="preserve"> 28 days after the booster compared to pre-booster was 26.4 (22, 31.9).In the mRNA-1273 group, the observed GMT (95% CIs) at pre-booster was 136.1 (116.3, 159.3) and increased to 488.5 (427.4, 558.4 28 days after the booster dose and GMFR (95% CI) was 3.6 (3.3, 4).</w:t>
      </w:r>
    </w:p>
    <w:p w14:paraId="5D8FFE5B" w14:textId="77777777" w:rsidR="00C17ED7" w:rsidRDefault="00C17ED7">
      <w:r>
        <w:br w:type="page"/>
      </w:r>
    </w:p>
    <w:p w14:paraId="5F694E03" w14:textId="79054DE1" w:rsidR="00744EDE" w:rsidRDefault="002A2397" w:rsidP="002A2397">
      <w:pPr>
        <w:pStyle w:val="TableTitle"/>
      </w:pPr>
      <w:r w:rsidRPr="002A2397">
        <w:lastRenderedPageBreak/>
        <w:t xml:space="preserve">Table </w:t>
      </w:r>
      <w:fldSimple w:instr=" SEQ Table \* ARABIC ">
        <w:r w:rsidR="007D13D5">
          <w:rPr>
            <w:noProof/>
          </w:rPr>
          <w:t>4</w:t>
        </w:r>
      </w:fldSimple>
      <w:r>
        <w:t xml:space="preserve">: </w:t>
      </w:r>
      <w:r w:rsidRPr="002A2397">
        <w:t xml:space="preserve">Ancestral SARS-CoV-2 (D614G) and Omicron (BA.4/BA.5) </w:t>
      </w:r>
      <w:r>
        <w:t>n</w:t>
      </w:r>
      <w:r w:rsidRPr="002A2397">
        <w:t>eutrali</w:t>
      </w:r>
      <w:r>
        <w:t>s</w:t>
      </w:r>
      <w:r w:rsidRPr="002A2397">
        <w:t xml:space="preserve">ing </w:t>
      </w:r>
      <w:r>
        <w:t>a</w:t>
      </w:r>
      <w:r w:rsidRPr="002A2397">
        <w:t xml:space="preserve">ntibody </w:t>
      </w:r>
      <w:r w:rsidR="009D245E">
        <w:t>titre</w:t>
      </w:r>
      <w:r w:rsidRPr="002A2397">
        <w:t>s (ID</w:t>
      </w:r>
      <w:r w:rsidRPr="002350D5">
        <w:rPr>
          <w:vertAlign w:val="subscript"/>
        </w:rPr>
        <w:t>50</w:t>
      </w:r>
      <w:r w:rsidRPr="002A2397">
        <w:t xml:space="preserve">) mRNA-1273.222 50 </w:t>
      </w:r>
      <w:r>
        <w:t>µ</w:t>
      </w:r>
      <w:r w:rsidRPr="002A2397">
        <w:t xml:space="preserve">g and mRNA-1273 50 </w:t>
      </w:r>
      <w:r>
        <w:t>µ</w:t>
      </w:r>
      <w:r w:rsidRPr="002A2397">
        <w:t xml:space="preserve">g </w:t>
      </w:r>
      <w:r>
        <w:t>a</w:t>
      </w:r>
      <w:r w:rsidRPr="002A2397">
        <w:t xml:space="preserve">dministered as </w:t>
      </w:r>
      <w:r>
        <w:t>s</w:t>
      </w:r>
      <w:r w:rsidRPr="002A2397">
        <w:t xml:space="preserve">econd </w:t>
      </w:r>
      <w:r>
        <w:t>b</w:t>
      </w:r>
      <w:r w:rsidRPr="002A2397">
        <w:t xml:space="preserve">ooster </w:t>
      </w:r>
      <w:r>
        <w:t>d</w:t>
      </w:r>
      <w:r w:rsidRPr="002A2397">
        <w:t xml:space="preserve">oses - </w:t>
      </w:r>
      <w:r>
        <w:t>p</w:t>
      </w:r>
      <w:r w:rsidRPr="002A2397">
        <w:t>er-</w:t>
      </w:r>
      <w:r>
        <w:t>p</w:t>
      </w:r>
      <w:r w:rsidRPr="002A2397">
        <w:t xml:space="preserve">rotocol </w:t>
      </w:r>
      <w:r>
        <w:t>i</w:t>
      </w:r>
      <w:r w:rsidRPr="002A2397">
        <w:t xml:space="preserve">mmunogenicity – SARS-CoV-2 </w:t>
      </w:r>
      <w:r>
        <w:t>n</w:t>
      </w:r>
      <w:r w:rsidRPr="002A2397">
        <w:t xml:space="preserve">egative </w:t>
      </w:r>
      <w:r>
        <w:t>s</w:t>
      </w:r>
      <w:r w:rsidRPr="002A2397">
        <w:t>et (</w:t>
      </w:r>
      <w:r>
        <w:t>p</w:t>
      </w:r>
      <w:r w:rsidRPr="002A2397">
        <w:t xml:space="preserve">articipants without </w:t>
      </w:r>
      <w:r>
        <w:t>i</w:t>
      </w:r>
      <w:r w:rsidRPr="002A2397">
        <w:t>nfection at pre-booster)</w:t>
      </w:r>
      <w:r w:rsidR="00783DA7">
        <w:fldChar w:fldCharType="begin"/>
      </w:r>
      <w:r w:rsidR="00783DA7">
        <w:instrText xml:space="preserve"> DOCVARIABLE vault_nd_b4de3b98-262e-4061-8549-3261c5145dd9 \* MERGEFORMAT </w:instrText>
      </w:r>
      <w:r w:rsidR="00783DA7">
        <w:fldChar w:fldCharType="separate"/>
      </w:r>
      <w:r w:rsidR="007D13D5">
        <w:t xml:space="preserve"> </w:t>
      </w:r>
      <w:r w:rsidR="00783DA7">
        <w:fldChar w:fldCharType="end"/>
      </w:r>
    </w:p>
    <w:p w14:paraId="34CE4EF1" w14:textId="4871E827" w:rsidR="002A2397" w:rsidRDefault="002A2397" w:rsidP="002A2397">
      <w:r>
        <w:rPr>
          <w:noProof/>
        </w:rPr>
        <w:drawing>
          <wp:inline distT="0" distB="0" distL="0" distR="0" wp14:anchorId="3CEC55E4" wp14:editId="01957DAA">
            <wp:extent cx="5507990" cy="5139043"/>
            <wp:effectExtent l="0" t="0" r="0" b="5080"/>
            <wp:docPr id="7" name="Picture 7" descr="Ancestral SARS-CoV-2 (D614G) and Omicron (BA.4/BA.5) neutralising antibody titers (ID50) mRNA-1273.222 50 µg and mRNA-1273 50 µg administered as second booster doses - per-protocol immunogenicity – SARS-CoV-2 negative set (participants without infection at pre-bo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cestral SARS-CoV-2 (D614G) and Omicron (BA.4/BA.5) neutralising antibody titers (ID50) mRNA-1273.222 50 µg and mRNA-1273 50 µg administered as second booster doses - per-protocol immunogenicity – SARS-CoV-2 negative set (participants without infection at pre-booster)"/>
                    <pic:cNvPicPr/>
                  </pic:nvPicPr>
                  <pic:blipFill>
                    <a:blip r:embed="rId45"/>
                    <a:stretch>
                      <a:fillRect/>
                    </a:stretch>
                  </pic:blipFill>
                  <pic:spPr>
                    <a:xfrm>
                      <a:off x="0" y="0"/>
                      <a:ext cx="5511716" cy="5142519"/>
                    </a:xfrm>
                    <a:prstGeom prst="rect">
                      <a:avLst/>
                    </a:prstGeom>
                  </pic:spPr>
                </pic:pic>
              </a:graphicData>
            </a:graphic>
          </wp:inline>
        </w:drawing>
      </w:r>
    </w:p>
    <w:p w14:paraId="52CE76A1" w14:textId="4D10B6D1" w:rsidR="002A2397" w:rsidRPr="002A2397" w:rsidRDefault="002A2397" w:rsidP="002A2397">
      <w:pPr>
        <w:pStyle w:val="Heading7"/>
      </w:pPr>
      <w:r w:rsidRPr="002A2397">
        <w:t>Superiority testing</w:t>
      </w:r>
      <w:r w:rsidR="00783DA7">
        <w:fldChar w:fldCharType="begin"/>
      </w:r>
      <w:r w:rsidR="00783DA7">
        <w:instrText xml:space="preserve"> DOCVARIABLE vault_nd_c776f896-3992-4f6d-8997-b98c1749b0d3 \* MERGEFORMAT </w:instrText>
      </w:r>
      <w:r w:rsidR="00783DA7">
        <w:fldChar w:fldCharType="separate"/>
      </w:r>
      <w:r w:rsidR="007D13D5">
        <w:t xml:space="preserve"> </w:t>
      </w:r>
      <w:r w:rsidR="00783DA7">
        <w:fldChar w:fldCharType="end"/>
      </w:r>
    </w:p>
    <w:p w14:paraId="55A9D0FC" w14:textId="59AA6FC2" w:rsidR="002A2397" w:rsidRPr="002A2397" w:rsidRDefault="002A2397" w:rsidP="002A2397">
      <w:r w:rsidRPr="002A2397">
        <w:t xml:space="preserve">Given that the </w:t>
      </w:r>
      <w:r>
        <w:t>four</w:t>
      </w:r>
      <w:r w:rsidRPr="002A2397">
        <w:t xml:space="preserve"> conditions of non-inferiority were met (GMR and SRR difference for Omicron BA.4</w:t>
      </w:r>
      <w:r w:rsidR="00C17ED7">
        <w:t>-</w:t>
      </w:r>
      <w:r w:rsidRPr="002A2397">
        <w:t>5 and GMR and SRR difference for ancestral SARS-CoV-2 D614G), based on the pre-specified testing, the lower bound of the CI of the BA.4</w:t>
      </w:r>
      <w:r w:rsidR="00C17ED7">
        <w:t>-</w:t>
      </w:r>
      <w:r w:rsidRPr="002A2397">
        <w:t xml:space="preserve">5 GMR was also compared to 1 (pre-specified criterion for superiority) and the superiority criterion was also met (lower bound of CI </w:t>
      </w:r>
      <w:r w:rsidR="002350D5">
        <w:t xml:space="preserve">greater than </w:t>
      </w:r>
      <w:r w:rsidRPr="002A2397">
        <w:t>1).</w:t>
      </w:r>
    </w:p>
    <w:p w14:paraId="6EC32CDC" w14:textId="7DED4DF1" w:rsidR="00C17ED7" w:rsidRDefault="002A2397" w:rsidP="002A2397">
      <w:r w:rsidRPr="002A2397">
        <w:t>Therefore, all primary immunogenicity endpoints were met and 50</w:t>
      </w:r>
      <w:r w:rsidR="000C728A">
        <w:t xml:space="preserve"> µ</w:t>
      </w:r>
      <w:r w:rsidRPr="002A2397">
        <w:t>g mRNA-1273.222 elicited superior neutrali</w:t>
      </w:r>
      <w:r w:rsidR="002350D5">
        <w:t>s</w:t>
      </w:r>
      <w:r w:rsidRPr="002A2397">
        <w:t>ing antibody responses compared to that of 50</w:t>
      </w:r>
      <w:r w:rsidR="000C728A">
        <w:t xml:space="preserve"> µ</w:t>
      </w:r>
      <w:r w:rsidRPr="002A2397">
        <w:t>g mRNA-1273 against Omicron BA.4</w:t>
      </w:r>
      <w:r w:rsidR="00C17ED7">
        <w:t>-</w:t>
      </w:r>
      <w:r w:rsidRPr="002A2397">
        <w:t>5.</w:t>
      </w:r>
    </w:p>
    <w:p w14:paraId="5A9D79D5" w14:textId="77777777" w:rsidR="00C17ED7" w:rsidRDefault="00C17ED7">
      <w:r>
        <w:br w:type="page"/>
      </w:r>
    </w:p>
    <w:p w14:paraId="54E405EC" w14:textId="7A50F82D" w:rsidR="002A2397" w:rsidRDefault="000C728A" w:rsidP="000C728A">
      <w:pPr>
        <w:pStyle w:val="TableTitle"/>
      </w:pPr>
      <w:r w:rsidRPr="000C728A">
        <w:lastRenderedPageBreak/>
        <w:t xml:space="preserve">Table </w:t>
      </w:r>
      <w:fldSimple w:instr=" SEQ Table \* ARABIC ">
        <w:r w:rsidR="007D13D5">
          <w:rPr>
            <w:noProof/>
          </w:rPr>
          <w:t>5</w:t>
        </w:r>
      </w:fldSimple>
      <w:r>
        <w:t>:</w:t>
      </w:r>
      <w:r w:rsidRPr="000C728A">
        <w:t>Ancestral SARS-CoV-2 (D614G) and Omicron (BA.4</w:t>
      </w:r>
      <w:r w:rsidR="00C17ED7">
        <w:t>-</w:t>
      </w:r>
      <w:r w:rsidRPr="000C728A">
        <w:t xml:space="preserve">5) </w:t>
      </w:r>
      <w:r>
        <w:t>n</w:t>
      </w:r>
      <w:r w:rsidRPr="000C728A">
        <w:t>eutrali</w:t>
      </w:r>
      <w:r>
        <w:t>s</w:t>
      </w:r>
      <w:r w:rsidRPr="000C728A">
        <w:t xml:space="preserve">ing </w:t>
      </w:r>
      <w:r>
        <w:t>a</w:t>
      </w:r>
      <w:r w:rsidRPr="000C728A">
        <w:t xml:space="preserve">ntibody </w:t>
      </w:r>
      <w:r w:rsidR="009D245E">
        <w:t>titre</w:t>
      </w:r>
      <w:r w:rsidRPr="000C728A">
        <w:t>s (ID</w:t>
      </w:r>
      <w:r w:rsidRPr="00C17ED7">
        <w:rPr>
          <w:vertAlign w:val="subscript"/>
        </w:rPr>
        <w:t>50</w:t>
      </w:r>
      <w:r w:rsidRPr="000C728A">
        <w:t xml:space="preserve">) </w:t>
      </w:r>
      <w:r w:rsidR="009D245E" w:rsidRPr="000C728A">
        <w:t xml:space="preserve">50 </w:t>
      </w:r>
      <w:r w:rsidR="009D245E">
        <w:t>µ</w:t>
      </w:r>
      <w:r w:rsidR="009D245E" w:rsidRPr="000C728A">
        <w:t xml:space="preserve">g </w:t>
      </w:r>
      <w:r w:rsidRPr="000C728A">
        <w:t xml:space="preserve">mRNA-1273.222 and </w:t>
      </w:r>
      <w:r w:rsidR="009D245E" w:rsidRPr="000C728A">
        <w:t xml:space="preserve">50 </w:t>
      </w:r>
      <w:r w:rsidR="009D245E">
        <w:t>µ</w:t>
      </w:r>
      <w:r w:rsidR="009D245E" w:rsidRPr="000C728A">
        <w:t xml:space="preserve">g </w:t>
      </w:r>
      <w:r w:rsidRPr="000C728A">
        <w:t xml:space="preserve">mRNA-1273 </w:t>
      </w:r>
      <w:r>
        <w:t>a</w:t>
      </w:r>
      <w:r w:rsidRPr="000C728A">
        <w:t xml:space="preserve">dministered as </w:t>
      </w:r>
      <w:r>
        <w:t>s</w:t>
      </w:r>
      <w:r w:rsidRPr="000C728A">
        <w:t xml:space="preserve">econd </w:t>
      </w:r>
      <w:r>
        <w:t>b</w:t>
      </w:r>
      <w:r w:rsidRPr="000C728A">
        <w:t xml:space="preserve">ooster </w:t>
      </w:r>
      <w:r>
        <w:t>d</w:t>
      </w:r>
      <w:r w:rsidRPr="000C728A">
        <w:t xml:space="preserve">oses - </w:t>
      </w:r>
      <w:r>
        <w:t>p</w:t>
      </w:r>
      <w:r w:rsidRPr="000C728A">
        <w:t>er-</w:t>
      </w:r>
      <w:r>
        <w:t>p</w:t>
      </w:r>
      <w:r w:rsidRPr="000C728A">
        <w:t xml:space="preserve">rotocol </w:t>
      </w:r>
      <w:r>
        <w:t>i</w:t>
      </w:r>
      <w:r w:rsidRPr="000C728A">
        <w:t xml:space="preserve">mmunogenicity – SARS-CoV-2 </w:t>
      </w:r>
      <w:r>
        <w:t>n</w:t>
      </w:r>
      <w:r w:rsidRPr="000C728A">
        <w:t xml:space="preserve">egative </w:t>
      </w:r>
      <w:r>
        <w:t>s</w:t>
      </w:r>
      <w:r w:rsidRPr="000C728A">
        <w:t>et (</w:t>
      </w:r>
      <w:r>
        <w:t>p</w:t>
      </w:r>
      <w:r w:rsidRPr="000C728A">
        <w:t xml:space="preserve">articipants without </w:t>
      </w:r>
      <w:r>
        <w:t>i</w:t>
      </w:r>
      <w:r w:rsidRPr="000C728A">
        <w:t xml:space="preserve">nfection at </w:t>
      </w:r>
      <w:r>
        <w:t>p</w:t>
      </w:r>
      <w:r w:rsidRPr="000C728A">
        <w:t>re-booster)</w:t>
      </w:r>
      <w:r w:rsidR="00783DA7">
        <w:fldChar w:fldCharType="begin"/>
      </w:r>
      <w:r w:rsidR="00783DA7">
        <w:instrText xml:space="preserve"> DOCVARIABLE vault_nd_3391183e-e712-491f-9074-6f3f5fea8725 \* MERGEFORMAT </w:instrText>
      </w:r>
      <w:r w:rsidR="00783DA7">
        <w:fldChar w:fldCharType="separate"/>
      </w:r>
      <w:r w:rsidR="007D13D5">
        <w:t xml:space="preserve"> </w:t>
      </w:r>
      <w:r w:rsidR="00783DA7">
        <w:fldChar w:fldCharType="end"/>
      </w:r>
    </w:p>
    <w:p w14:paraId="268F5EA0" w14:textId="3EAD2F48" w:rsidR="000C728A" w:rsidRDefault="000C728A" w:rsidP="000C728A">
      <w:r>
        <w:rPr>
          <w:noProof/>
        </w:rPr>
        <w:drawing>
          <wp:inline distT="0" distB="0" distL="0" distR="0" wp14:anchorId="5AB9F147" wp14:editId="52635C0E">
            <wp:extent cx="5515660" cy="4561840"/>
            <wp:effectExtent l="0" t="0" r="8890" b="0"/>
            <wp:docPr id="30" name="Picture 30" descr="Ancestral SARS-CoV-2 (D614G) and Omicron (BA.4/BA.5) neutralising antibody titers (ID50) mRNA-1273.222 50 µg and mRNA-1273 50 µg administered as second booster doses - per-protocol immunogenicity – SARS-CoV-2 negative set (participants without infection at pre-bo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ncestral SARS-CoV-2 (D614G) and Omicron (BA.4/BA.5) neutralising antibody titers (ID50) mRNA-1273.222 50 µg and mRNA-1273 50 µg administered as second booster doses - per-protocol immunogenicity – SARS-CoV-2 negative set (participants without infection at pre-booster)"/>
                    <pic:cNvPicPr/>
                  </pic:nvPicPr>
                  <pic:blipFill>
                    <a:blip r:embed="rId46"/>
                    <a:stretch>
                      <a:fillRect/>
                    </a:stretch>
                  </pic:blipFill>
                  <pic:spPr>
                    <a:xfrm>
                      <a:off x="0" y="0"/>
                      <a:ext cx="5521115" cy="4566352"/>
                    </a:xfrm>
                    <a:prstGeom prst="rect">
                      <a:avLst/>
                    </a:prstGeom>
                  </pic:spPr>
                </pic:pic>
              </a:graphicData>
            </a:graphic>
          </wp:inline>
        </w:drawing>
      </w:r>
      <w:r>
        <w:rPr>
          <w:noProof/>
        </w:rPr>
        <w:drawing>
          <wp:inline distT="0" distB="0" distL="0" distR="0" wp14:anchorId="1095ADF9" wp14:editId="5EE7C7C6">
            <wp:extent cx="5406887" cy="2540157"/>
            <wp:effectExtent l="0" t="0" r="3810" b="0"/>
            <wp:docPr id="31" name="Picture 31" descr="table 5 abbrev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 5 abbreviations"/>
                    <pic:cNvPicPr/>
                  </pic:nvPicPr>
                  <pic:blipFill rotWithShape="1">
                    <a:blip r:embed="rId47"/>
                    <a:srcRect b="4219"/>
                    <a:stretch/>
                  </pic:blipFill>
                  <pic:spPr bwMode="auto">
                    <a:xfrm>
                      <a:off x="0" y="0"/>
                      <a:ext cx="5427398" cy="2549793"/>
                    </a:xfrm>
                    <a:prstGeom prst="rect">
                      <a:avLst/>
                    </a:prstGeom>
                    <a:ln>
                      <a:noFill/>
                    </a:ln>
                    <a:extLst>
                      <a:ext uri="{53640926-AAD7-44D8-BBD7-CCE9431645EC}">
                        <a14:shadowObscured xmlns:a14="http://schemas.microsoft.com/office/drawing/2010/main"/>
                      </a:ext>
                    </a:extLst>
                  </pic:spPr>
                </pic:pic>
              </a:graphicData>
            </a:graphic>
          </wp:inline>
        </w:drawing>
      </w:r>
    </w:p>
    <w:p w14:paraId="5E8F2B26" w14:textId="68CAD136" w:rsidR="000C728A" w:rsidRPr="000C728A" w:rsidRDefault="000C728A" w:rsidP="000C728A">
      <w:r w:rsidRPr="000C728A">
        <w:t>An immunogenicity analysis was also performed to evaluate the neutrali</w:t>
      </w:r>
      <w:r w:rsidR="009D245E">
        <w:t>s</w:t>
      </w:r>
      <w:r w:rsidRPr="000C728A">
        <w:t xml:space="preserve">ing antibody responses in participants with evidence of prior SARS-CoV-2 infection at pre-booster. The GMR and SRR results for the </w:t>
      </w:r>
      <w:r w:rsidR="002350D5">
        <w:t>per protocol immunogenicity set with participants with prior infection</w:t>
      </w:r>
      <w:r w:rsidR="002350D5" w:rsidRPr="000C728A">
        <w:t xml:space="preserve"> </w:t>
      </w:r>
      <w:r w:rsidR="002350D5">
        <w:t>(</w:t>
      </w:r>
      <w:r w:rsidRPr="000C728A">
        <w:t>PPIS-Pos</w:t>
      </w:r>
      <w:r w:rsidR="002350D5">
        <w:t>)</w:t>
      </w:r>
      <w:r w:rsidRPr="000C728A">
        <w:t xml:space="preserve"> population were consistent with the results of the PPIS</w:t>
      </w:r>
      <w:r w:rsidRPr="000C728A">
        <w:rPr>
          <w:rFonts w:hint="eastAsia"/>
        </w:rPr>
        <w:t>–</w:t>
      </w:r>
      <w:r w:rsidRPr="000C728A">
        <w:t xml:space="preserve">Neg population. Overall, the results were consistent in participants with prior infection in that the </w:t>
      </w:r>
      <w:proofErr w:type="gramStart"/>
      <w:r w:rsidR="002350D5" w:rsidRPr="000C728A">
        <w:t xml:space="preserve">50 </w:t>
      </w:r>
      <w:r w:rsidR="002350D5">
        <w:t>µ</w:t>
      </w:r>
      <w:r w:rsidR="002350D5" w:rsidRPr="000C728A">
        <w:t>g</w:t>
      </w:r>
      <w:proofErr w:type="gramEnd"/>
      <w:r w:rsidR="002350D5">
        <w:t xml:space="preserve"> </w:t>
      </w:r>
      <w:r w:rsidRPr="000C728A">
        <w:t>mRNA-1273.222 booster elicited higher neutrali</w:t>
      </w:r>
      <w:r w:rsidR="002350D5">
        <w:t>s</w:t>
      </w:r>
      <w:r w:rsidRPr="000C728A">
        <w:t xml:space="preserve">ing antibody responses than the </w:t>
      </w:r>
      <w:r w:rsidR="002350D5" w:rsidRPr="000C728A">
        <w:t>50</w:t>
      </w:r>
      <w:r w:rsidR="002350D5">
        <w:t xml:space="preserve"> µg</w:t>
      </w:r>
      <w:r w:rsidR="002350D5" w:rsidRPr="000C728A">
        <w:t xml:space="preserve"> </w:t>
      </w:r>
      <w:r w:rsidRPr="000C728A">
        <w:t>mRNA-1273 booster.</w:t>
      </w:r>
    </w:p>
    <w:p w14:paraId="14FBB92C" w14:textId="51CD7CA1" w:rsidR="000C728A" w:rsidRDefault="000C728A" w:rsidP="000C728A">
      <w:pPr>
        <w:pStyle w:val="TableTitle"/>
        <w:widowControl w:val="0"/>
      </w:pPr>
      <w:r w:rsidRPr="000C728A">
        <w:lastRenderedPageBreak/>
        <w:t xml:space="preserve">Table </w:t>
      </w:r>
      <w:fldSimple w:instr=" SEQ Table \* ARABIC ">
        <w:r w:rsidR="007D13D5">
          <w:rPr>
            <w:noProof/>
          </w:rPr>
          <w:t>6</w:t>
        </w:r>
      </w:fldSimple>
      <w:r>
        <w:t>:</w:t>
      </w:r>
      <w:r w:rsidRPr="000C728A">
        <w:t xml:space="preserve"> Ancestral SARS-CoV-2 and Omicron </w:t>
      </w:r>
      <w:r w:rsidR="00181F98">
        <w:t>n</w:t>
      </w:r>
      <w:r w:rsidRPr="000C728A">
        <w:t>eutrali</w:t>
      </w:r>
      <w:r w:rsidR="00181F98">
        <w:t>s</w:t>
      </w:r>
      <w:r w:rsidRPr="000C728A">
        <w:t xml:space="preserve">ing </w:t>
      </w:r>
      <w:r w:rsidR="00181F98">
        <w:t>a</w:t>
      </w:r>
      <w:r w:rsidRPr="000C728A">
        <w:t xml:space="preserve">ntibody </w:t>
      </w:r>
      <w:r w:rsidR="009D245E">
        <w:t>titre</w:t>
      </w:r>
      <w:r w:rsidRPr="000C728A">
        <w:t>s (ID</w:t>
      </w:r>
      <w:r w:rsidRPr="00181F98">
        <w:rPr>
          <w:vertAlign w:val="subscript"/>
        </w:rPr>
        <w:t>50</w:t>
      </w:r>
      <w:r w:rsidRPr="000C728A">
        <w:t xml:space="preserve">) </w:t>
      </w:r>
      <w:r w:rsidR="00181F98" w:rsidRPr="000C728A">
        <w:t xml:space="preserve">50 </w:t>
      </w:r>
      <w:r w:rsidR="00181F98">
        <w:t>µ</w:t>
      </w:r>
      <w:r w:rsidR="00181F98" w:rsidRPr="000C728A">
        <w:t>g</w:t>
      </w:r>
      <w:r w:rsidR="00181F98">
        <w:t xml:space="preserve"> </w:t>
      </w:r>
      <w:r w:rsidRPr="000C728A">
        <w:t xml:space="preserve">mRNA-1273.222 and </w:t>
      </w:r>
      <w:r w:rsidR="00181F98" w:rsidRPr="000C728A">
        <w:t xml:space="preserve">50 </w:t>
      </w:r>
      <w:r w:rsidR="00181F98">
        <w:t>µ</w:t>
      </w:r>
      <w:r w:rsidR="00181F98" w:rsidRPr="000C728A">
        <w:t>g</w:t>
      </w:r>
      <w:r w:rsidR="00181F98">
        <w:t xml:space="preserve"> </w:t>
      </w:r>
      <w:r w:rsidRPr="000C728A">
        <w:t xml:space="preserve">mRNA-1273 </w:t>
      </w:r>
      <w:r w:rsidR="00181F98">
        <w:t>a</w:t>
      </w:r>
      <w:r w:rsidRPr="000C728A">
        <w:t xml:space="preserve">dministered as </w:t>
      </w:r>
      <w:r w:rsidR="00181F98">
        <w:t>s</w:t>
      </w:r>
      <w:r w:rsidRPr="000C728A">
        <w:t xml:space="preserve">econd </w:t>
      </w:r>
      <w:r w:rsidR="00181F98">
        <w:t>b</w:t>
      </w:r>
      <w:r w:rsidRPr="000C728A">
        <w:t xml:space="preserve">ooster </w:t>
      </w:r>
      <w:r w:rsidR="00181F98">
        <w:t>d</w:t>
      </w:r>
      <w:r w:rsidRPr="000C728A">
        <w:t xml:space="preserve">oses - </w:t>
      </w:r>
      <w:r w:rsidR="00181F98">
        <w:t>p</w:t>
      </w:r>
      <w:r w:rsidRPr="000C728A">
        <w:t>er-</w:t>
      </w:r>
      <w:r w:rsidR="00181F98">
        <w:t>p</w:t>
      </w:r>
      <w:r w:rsidRPr="000C728A">
        <w:t xml:space="preserve">rotocol </w:t>
      </w:r>
      <w:r w:rsidR="00181F98">
        <w:t>i</w:t>
      </w:r>
      <w:r w:rsidRPr="000C728A">
        <w:t xml:space="preserve">mmunogenicity – SARS-CoV-2 </w:t>
      </w:r>
      <w:r w:rsidR="00181F98">
        <w:t>p</w:t>
      </w:r>
      <w:r w:rsidRPr="000C728A">
        <w:t xml:space="preserve">ositive </w:t>
      </w:r>
      <w:r w:rsidR="00181F98">
        <w:t>s</w:t>
      </w:r>
      <w:r w:rsidRPr="000C728A">
        <w:t>et (</w:t>
      </w:r>
      <w:r w:rsidR="00181F98">
        <w:t>p</w:t>
      </w:r>
      <w:r w:rsidRPr="000C728A">
        <w:t xml:space="preserve">articipants with </w:t>
      </w:r>
      <w:r w:rsidR="00181F98">
        <w:t>i</w:t>
      </w:r>
      <w:r w:rsidRPr="000C728A">
        <w:t>nfection at pre-</w:t>
      </w:r>
      <w:r w:rsidR="00181F98">
        <w:t>b</w:t>
      </w:r>
      <w:r w:rsidRPr="000C728A">
        <w:t>ooster)</w:t>
      </w:r>
      <w:r w:rsidR="00783DA7">
        <w:fldChar w:fldCharType="begin"/>
      </w:r>
      <w:r w:rsidR="00783DA7">
        <w:instrText xml:space="preserve"> DOCVARIABLE vault_nd_7f11b556-7573-4ee7-a318-4bb1cb443241 \* MERGEFORMAT </w:instrText>
      </w:r>
      <w:r w:rsidR="00783DA7">
        <w:fldChar w:fldCharType="separate"/>
      </w:r>
      <w:r w:rsidR="007D13D5">
        <w:t xml:space="preserve"> </w:t>
      </w:r>
      <w:r w:rsidR="00783DA7">
        <w:fldChar w:fldCharType="end"/>
      </w:r>
    </w:p>
    <w:p w14:paraId="0F2C13BD" w14:textId="62B2DE11" w:rsidR="000C728A" w:rsidRDefault="000C728A" w:rsidP="000C728A">
      <w:r>
        <w:rPr>
          <w:noProof/>
        </w:rPr>
        <w:drawing>
          <wp:inline distT="0" distB="0" distL="0" distR="0" wp14:anchorId="5FB48628" wp14:editId="6DB8CA58">
            <wp:extent cx="5376672" cy="3215625"/>
            <wp:effectExtent l="0" t="0" r="0" b="4445"/>
            <wp:docPr id="16" name="Picture 16" descr="Ancestral SARS-CoV-2 and Omicron neutralising antibody titers (ID50) 50 µg of mRNA-1273.222 and 50 µg of mRNA-1273 administered as second booster doses - per-protocol immunogenicity – SARS-CoV-2 positive set (participants with infection at pre-bo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ncestral SARS-CoV-2 and Omicron neutralising antibody titers (ID50) 50 µg of mRNA-1273.222 and 50 µg of mRNA-1273 administered as second booster doses - per-protocol immunogenicity – SARS-CoV-2 positive set (participants with infection at pre-booster)"/>
                    <pic:cNvPicPr/>
                  </pic:nvPicPr>
                  <pic:blipFill>
                    <a:blip r:embed="rId48"/>
                    <a:stretch>
                      <a:fillRect/>
                    </a:stretch>
                  </pic:blipFill>
                  <pic:spPr>
                    <a:xfrm>
                      <a:off x="0" y="0"/>
                      <a:ext cx="5392210" cy="3224918"/>
                    </a:xfrm>
                    <a:prstGeom prst="rect">
                      <a:avLst/>
                    </a:prstGeom>
                  </pic:spPr>
                </pic:pic>
              </a:graphicData>
            </a:graphic>
          </wp:inline>
        </w:drawing>
      </w:r>
      <w:r>
        <w:rPr>
          <w:noProof/>
        </w:rPr>
        <w:drawing>
          <wp:inline distT="0" distB="0" distL="0" distR="0" wp14:anchorId="4FD06B84" wp14:editId="02ECF8AB">
            <wp:extent cx="5455698" cy="1199692"/>
            <wp:effectExtent l="0" t="0" r="0" b="635"/>
            <wp:docPr id="17" name="Picture 17" descr="Table 6: Ancestral SARS-CoV-2 and Omicron neutralising antibody titres (ID50) 50 µg mRNA-1273.222 and 50 µg mRNA-1273 administered as second booster doses - per-protocol immunogenicity – SARS-CoV-2 positive set (participants with infection at pre-boo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 6: Ancestral SARS-CoV-2 and Omicron neutralising antibody titres (ID50) 50 µg mRNA-1273.222 and 50 µg mRNA-1273 administered as second booster doses - per-protocol immunogenicity – SARS-CoV-2 positive set (participants with infection at pre-booster) "/>
                    <pic:cNvPicPr/>
                  </pic:nvPicPr>
                  <pic:blipFill rotWithShape="1">
                    <a:blip r:embed="rId49"/>
                    <a:srcRect t="12008" b="62743"/>
                    <a:stretch/>
                  </pic:blipFill>
                  <pic:spPr bwMode="auto">
                    <a:xfrm>
                      <a:off x="0" y="0"/>
                      <a:ext cx="5475275" cy="1203997"/>
                    </a:xfrm>
                    <a:prstGeom prst="rect">
                      <a:avLst/>
                    </a:prstGeom>
                    <a:ln>
                      <a:noFill/>
                    </a:ln>
                    <a:extLst>
                      <a:ext uri="{53640926-AAD7-44D8-BBD7-CCE9431645EC}">
                        <a14:shadowObscured xmlns:a14="http://schemas.microsoft.com/office/drawing/2010/main"/>
                      </a:ext>
                    </a:extLst>
                  </pic:spPr>
                </pic:pic>
              </a:graphicData>
            </a:graphic>
          </wp:inline>
        </w:drawing>
      </w:r>
    </w:p>
    <w:p w14:paraId="04500EFB" w14:textId="77777777" w:rsidR="000C728A" w:rsidRDefault="000C728A" w:rsidP="000C728A">
      <w:r>
        <w:rPr>
          <w:noProof/>
        </w:rPr>
        <w:drawing>
          <wp:inline distT="0" distB="0" distL="0" distR="0" wp14:anchorId="40055E3D" wp14:editId="03DB5B88">
            <wp:extent cx="5455295" cy="2187244"/>
            <wp:effectExtent l="0" t="0" r="0" b="3810"/>
            <wp:docPr id="4" name="Picture 4" descr="table 6 abbrev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 6 abbreviations"/>
                    <pic:cNvPicPr/>
                  </pic:nvPicPr>
                  <pic:blipFill rotWithShape="1">
                    <a:blip r:embed="rId49"/>
                    <a:srcRect t="37409" b="16554"/>
                    <a:stretch/>
                  </pic:blipFill>
                  <pic:spPr bwMode="auto">
                    <a:xfrm>
                      <a:off x="0" y="0"/>
                      <a:ext cx="5456075" cy="2187557"/>
                    </a:xfrm>
                    <a:prstGeom prst="rect">
                      <a:avLst/>
                    </a:prstGeom>
                    <a:ln>
                      <a:noFill/>
                    </a:ln>
                    <a:extLst>
                      <a:ext uri="{53640926-AAD7-44D8-BBD7-CCE9431645EC}">
                        <a14:shadowObscured xmlns:a14="http://schemas.microsoft.com/office/drawing/2010/main"/>
                      </a:ext>
                    </a:extLst>
                  </pic:spPr>
                </pic:pic>
              </a:graphicData>
            </a:graphic>
          </wp:inline>
        </w:drawing>
      </w:r>
    </w:p>
    <w:p w14:paraId="29A293CA" w14:textId="0E5B592D" w:rsidR="000C728A" w:rsidRDefault="000C728A" w:rsidP="000C728A">
      <w:r>
        <w:rPr>
          <w:noProof/>
        </w:rPr>
        <w:drawing>
          <wp:inline distT="0" distB="0" distL="0" distR="0" wp14:anchorId="6D36FAF4" wp14:editId="2E9B8E20">
            <wp:extent cx="5455295" cy="642925"/>
            <wp:effectExtent l="0" t="0" r="0" b="5080"/>
            <wp:docPr id="8" name="Picture 8" descr="table 6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6 notes"/>
                    <pic:cNvPicPr/>
                  </pic:nvPicPr>
                  <pic:blipFill rotWithShape="1">
                    <a:blip r:embed="rId49"/>
                    <a:srcRect t="83754" b="2714"/>
                    <a:stretch/>
                  </pic:blipFill>
                  <pic:spPr bwMode="auto">
                    <a:xfrm>
                      <a:off x="0" y="0"/>
                      <a:ext cx="5456075" cy="643017"/>
                    </a:xfrm>
                    <a:prstGeom prst="rect">
                      <a:avLst/>
                    </a:prstGeom>
                    <a:ln>
                      <a:noFill/>
                    </a:ln>
                    <a:extLst>
                      <a:ext uri="{53640926-AAD7-44D8-BBD7-CCE9431645EC}">
                        <a14:shadowObscured xmlns:a14="http://schemas.microsoft.com/office/drawing/2010/main"/>
                      </a:ext>
                    </a:extLst>
                  </pic:spPr>
                </pic:pic>
              </a:graphicData>
            </a:graphic>
          </wp:inline>
        </w:drawing>
      </w:r>
    </w:p>
    <w:p w14:paraId="2FCFB7DD" w14:textId="77777777" w:rsidR="000C728A" w:rsidRDefault="000C728A" w:rsidP="000C728A">
      <w:r>
        <w:t>An additional immunogenicity analysis was performed considering all participants regardless of prior SARS-CoV-2 infection (PPIS population regardless of SARS-CoV-2 infection status at pre-booster baseline).</w:t>
      </w:r>
    </w:p>
    <w:p w14:paraId="6178CA58" w14:textId="6E6D3995" w:rsidR="000C728A" w:rsidRDefault="000C728A" w:rsidP="000C728A">
      <w:r>
        <w:lastRenderedPageBreak/>
        <w:t xml:space="preserve">The GMR and SRR results for the PPIS population (all participants) were consistent with the results of the PPIS–Neg population. Overall, the results are consistent in all participants in that the </w:t>
      </w:r>
      <w:proofErr w:type="gramStart"/>
      <w:r w:rsidR="00181F98">
        <w:t>50 µg</w:t>
      </w:r>
      <w:proofErr w:type="gramEnd"/>
      <w:r w:rsidR="00181F98">
        <w:t xml:space="preserve"> </w:t>
      </w:r>
      <w:r>
        <w:t>mRNA-1273.222 booster elicited higher neutrali</w:t>
      </w:r>
      <w:r w:rsidR="00181F98">
        <w:t>s</w:t>
      </w:r>
      <w:r>
        <w:t xml:space="preserve">ing antibody responses than the </w:t>
      </w:r>
      <w:r w:rsidR="00181F98">
        <w:t>50</w:t>
      </w:r>
      <w:r w:rsidR="009D245E">
        <w:t> </w:t>
      </w:r>
      <w:r w:rsidR="00181F98">
        <w:t xml:space="preserve">µg </w:t>
      </w:r>
      <w:r>
        <w:t>mRNA-1273 booster.</w:t>
      </w:r>
    </w:p>
    <w:p w14:paraId="7D373B3F" w14:textId="0E6AC8E9" w:rsidR="000C728A" w:rsidRDefault="000C728A" w:rsidP="000C728A">
      <w:pPr>
        <w:pStyle w:val="TableTitle"/>
      </w:pPr>
      <w:r w:rsidRPr="000C728A">
        <w:t xml:space="preserve">Table </w:t>
      </w:r>
      <w:fldSimple w:instr=" SEQ Table \* ARABIC ">
        <w:r w:rsidR="007D13D5">
          <w:rPr>
            <w:noProof/>
          </w:rPr>
          <w:t>7</w:t>
        </w:r>
      </w:fldSimple>
      <w:r>
        <w:t xml:space="preserve">: </w:t>
      </w:r>
      <w:r w:rsidRPr="000C728A">
        <w:t xml:space="preserve">Ancestral SARS-CoV-2 and Omicron </w:t>
      </w:r>
      <w:r w:rsidR="00181F98">
        <w:t>n</w:t>
      </w:r>
      <w:r w:rsidRPr="000C728A">
        <w:t>eutrali</w:t>
      </w:r>
      <w:r w:rsidR="00181F98">
        <w:t>s</w:t>
      </w:r>
      <w:r w:rsidRPr="000C728A">
        <w:t xml:space="preserve">ing </w:t>
      </w:r>
      <w:r w:rsidR="00181F98">
        <w:t>a</w:t>
      </w:r>
      <w:r w:rsidRPr="000C728A">
        <w:t xml:space="preserve">ntibody </w:t>
      </w:r>
      <w:r w:rsidR="009D245E">
        <w:t>titre</w:t>
      </w:r>
      <w:r w:rsidRPr="000C728A">
        <w:t>s (ID</w:t>
      </w:r>
      <w:r w:rsidRPr="00181F98">
        <w:rPr>
          <w:vertAlign w:val="subscript"/>
        </w:rPr>
        <w:t>50</w:t>
      </w:r>
      <w:r w:rsidRPr="000C728A">
        <w:t xml:space="preserve">) </w:t>
      </w:r>
      <w:r w:rsidR="00181F98" w:rsidRPr="000C728A">
        <w:t xml:space="preserve">50 </w:t>
      </w:r>
      <w:r w:rsidR="00181F98">
        <w:t>µ</w:t>
      </w:r>
      <w:r w:rsidR="00181F98" w:rsidRPr="000C728A">
        <w:t>g</w:t>
      </w:r>
      <w:r w:rsidR="00181F98">
        <w:t xml:space="preserve"> </w:t>
      </w:r>
      <w:r w:rsidRPr="000C728A">
        <w:t xml:space="preserve">mRNA-1273.222 and </w:t>
      </w:r>
      <w:r w:rsidR="00181F98" w:rsidRPr="000C728A">
        <w:t xml:space="preserve">50 </w:t>
      </w:r>
      <w:r w:rsidR="00181F98">
        <w:t>µ</w:t>
      </w:r>
      <w:r w:rsidR="00181F98" w:rsidRPr="000C728A">
        <w:t>g</w:t>
      </w:r>
      <w:r w:rsidR="00181F98">
        <w:t xml:space="preserve"> </w:t>
      </w:r>
      <w:r w:rsidRPr="000C728A">
        <w:t xml:space="preserve">mRNA-1273 </w:t>
      </w:r>
      <w:r w:rsidR="00181F98">
        <w:t>a</w:t>
      </w:r>
      <w:r w:rsidRPr="000C728A">
        <w:t xml:space="preserve">dministered as </w:t>
      </w:r>
      <w:r w:rsidR="00181F98">
        <w:t>s</w:t>
      </w:r>
      <w:r w:rsidRPr="000C728A">
        <w:t xml:space="preserve">econd </w:t>
      </w:r>
      <w:r w:rsidR="00181F98">
        <w:t>b</w:t>
      </w:r>
      <w:r w:rsidRPr="000C728A">
        <w:t xml:space="preserve">ooster </w:t>
      </w:r>
      <w:r w:rsidR="00181F98">
        <w:t>d</w:t>
      </w:r>
      <w:r w:rsidRPr="000C728A">
        <w:t xml:space="preserve">oses </w:t>
      </w:r>
      <w:r w:rsidR="00181F98">
        <w:t>p</w:t>
      </w:r>
      <w:r w:rsidRPr="000C728A">
        <w:t>er-</w:t>
      </w:r>
      <w:r w:rsidR="00181F98">
        <w:t>p</w:t>
      </w:r>
      <w:r w:rsidRPr="000C728A">
        <w:t xml:space="preserve">rotocol </w:t>
      </w:r>
      <w:r w:rsidR="00181F98">
        <w:t>i</w:t>
      </w:r>
      <w:r w:rsidRPr="000C728A">
        <w:t xml:space="preserve">mmunogenicity </w:t>
      </w:r>
      <w:r w:rsidR="00181F98">
        <w:t>s</w:t>
      </w:r>
      <w:r w:rsidRPr="000C728A">
        <w:t>et (</w:t>
      </w:r>
      <w:r w:rsidR="00181F98">
        <w:t>p</w:t>
      </w:r>
      <w:r w:rsidRPr="000C728A">
        <w:t>articipants with and without prior SARS-CoV-2 infection)</w:t>
      </w:r>
      <w:r w:rsidR="00783DA7">
        <w:fldChar w:fldCharType="begin"/>
      </w:r>
      <w:r w:rsidR="00783DA7">
        <w:instrText xml:space="preserve"> DOCVARIABLE vault_nd_890bad0c-f0a8-4092-8fef-5902d8e932c0 \* MERGEFORMAT </w:instrText>
      </w:r>
      <w:r w:rsidR="00783DA7">
        <w:fldChar w:fldCharType="separate"/>
      </w:r>
      <w:r w:rsidR="007D13D5">
        <w:t xml:space="preserve"> </w:t>
      </w:r>
      <w:r w:rsidR="00783DA7">
        <w:fldChar w:fldCharType="end"/>
      </w:r>
    </w:p>
    <w:p w14:paraId="0C50F0DF" w14:textId="2B11BA94" w:rsidR="000C728A" w:rsidRDefault="000C728A" w:rsidP="000C728A">
      <w:r>
        <w:rPr>
          <w:noProof/>
        </w:rPr>
        <w:drawing>
          <wp:inline distT="0" distB="0" distL="0" distR="0" wp14:anchorId="76988078" wp14:editId="75D90144">
            <wp:extent cx="5542726" cy="6152084"/>
            <wp:effectExtent l="0" t="0" r="1270" b="1270"/>
            <wp:docPr id="20" name="Picture 20" descr="Ancestral SARS-CoV-2 and Omicron neutralising antibody titers (ID50) 50 µg of mRNA-1273.222 and 50 µg of mRNA-1273 administered as second booster doses per-protocol immunogenicity set (participants with and without prior SARS-CoV-2 inf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ncestral SARS-CoV-2 and Omicron neutralising antibody titers (ID50) 50 µg of mRNA-1273.222 and 50 µg of mRNA-1273 administered as second booster doses per-protocol immunogenicity set (participants with and without prior SARS-CoV-2 infection)"/>
                    <pic:cNvPicPr/>
                  </pic:nvPicPr>
                  <pic:blipFill rotWithShape="1">
                    <a:blip r:embed="rId50"/>
                    <a:srcRect b="10806"/>
                    <a:stretch/>
                  </pic:blipFill>
                  <pic:spPr bwMode="auto">
                    <a:xfrm>
                      <a:off x="0" y="0"/>
                      <a:ext cx="5545773" cy="6155466"/>
                    </a:xfrm>
                    <a:prstGeom prst="rect">
                      <a:avLst/>
                    </a:prstGeom>
                    <a:ln>
                      <a:noFill/>
                    </a:ln>
                    <a:extLst>
                      <a:ext uri="{53640926-AAD7-44D8-BBD7-CCE9431645EC}">
                        <a14:shadowObscured xmlns:a14="http://schemas.microsoft.com/office/drawing/2010/main"/>
                      </a:ext>
                    </a:extLst>
                  </pic:spPr>
                </pic:pic>
              </a:graphicData>
            </a:graphic>
          </wp:inline>
        </w:drawing>
      </w:r>
    </w:p>
    <w:p w14:paraId="622F8F7D" w14:textId="6B39722A" w:rsidR="000C728A" w:rsidRDefault="000C728A" w:rsidP="000C728A">
      <w:r>
        <w:rPr>
          <w:noProof/>
        </w:rPr>
        <w:lastRenderedPageBreak/>
        <w:drawing>
          <wp:inline distT="0" distB="0" distL="0" distR="0" wp14:anchorId="0C1EBF56" wp14:editId="5D3E7D8B">
            <wp:extent cx="5729499" cy="738404"/>
            <wp:effectExtent l="0" t="0" r="5080" b="5080"/>
            <wp:docPr id="9" name="Picture 9" descr="table 7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7 notes"/>
                    <pic:cNvPicPr/>
                  </pic:nvPicPr>
                  <pic:blipFill rotWithShape="1">
                    <a:blip r:embed="rId50"/>
                    <a:srcRect t="89644"/>
                    <a:stretch/>
                  </pic:blipFill>
                  <pic:spPr bwMode="auto">
                    <a:xfrm>
                      <a:off x="0" y="0"/>
                      <a:ext cx="5731510" cy="73866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509959F" wp14:editId="42F0A4E4">
            <wp:extent cx="5731510" cy="1733703"/>
            <wp:effectExtent l="0" t="0" r="2540" b="0"/>
            <wp:docPr id="21" name="Picture 21" descr="table 7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 7 notes"/>
                    <pic:cNvPicPr/>
                  </pic:nvPicPr>
                  <pic:blipFill rotWithShape="1">
                    <a:blip r:embed="rId51"/>
                    <a:srcRect b="7637"/>
                    <a:stretch/>
                  </pic:blipFill>
                  <pic:spPr bwMode="auto">
                    <a:xfrm>
                      <a:off x="0" y="0"/>
                      <a:ext cx="5731510" cy="1733703"/>
                    </a:xfrm>
                    <a:prstGeom prst="rect">
                      <a:avLst/>
                    </a:prstGeom>
                    <a:ln>
                      <a:noFill/>
                    </a:ln>
                    <a:extLst>
                      <a:ext uri="{53640926-AAD7-44D8-BBD7-CCE9431645EC}">
                        <a14:shadowObscured xmlns:a14="http://schemas.microsoft.com/office/drawing/2010/main"/>
                      </a:ext>
                    </a:extLst>
                  </pic:spPr>
                </pic:pic>
              </a:graphicData>
            </a:graphic>
          </wp:inline>
        </w:drawing>
      </w:r>
    </w:p>
    <w:p w14:paraId="71D95094" w14:textId="53485B84" w:rsidR="000C728A" w:rsidRPr="000C728A" w:rsidRDefault="000C728A" w:rsidP="000C728A">
      <w:r w:rsidRPr="000C728A">
        <w:t>A sensitivity analysis which excluded participants who had SARS-CoV-2 infection after the booster dose and up to Day 29 was also performed in PPIS-</w:t>
      </w:r>
      <w:r w:rsidR="009D245E">
        <w:t>N</w:t>
      </w:r>
      <w:r w:rsidRPr="000C728A">
        <w:t>eg population and the results were consistent with the immunogenicity results in the PPIS-</w:t>
      </w:r>
      <w:r w:rsidR="009D245E">
        <w:t>N</w:t>
      </w:r>
      <w:r w:rsidRPr="000C728A">
        <w:t>eg population.</w:t>
      </w:r>
    </w:p>
    <w:p w14:paraId="38F51FFF" w14:textId="7D28D981" w:rsidR="000C728A" w:rsidRPr="000C728A" w:rsidRDefault="000C728A" w:rsidP="000C728A">
      <w:r w:rsidRPr="000C728A">
        <w:t>A subgroup analysis of the PPIS-Neg population by age group (</w:t>
      </w:r>
      <w:r w:rsidR="00181F98">
        <w:rPr>
          <w:rFonts w:hint="eastAsia"/>
        </w:rPr>
        <w:t>a</w:t>
      </w:r>
      <w:r w:rsidR="00181F98">
        <w:t>t least</w:t>
      </w:r>
      <w:r w:rsidRPr="000C728A">
        <w:t xml:space="preserve"> 18 to </w:t>
      </w:r>
      <w:r w:rsidR="00181F98">
        <w:t>younger than</w:t>
      </w:r>
      <w:r w:rsidRPr="000C728A">
        <w:t xml:space="preserve"> 65 years and </w:t>
      </w:r>
      <w:r w:rsidR="00181F98">
        <w:rPr>
          <w:rFonts w:hint="eastAsia"/>
        </w:rPr>
        <w:t>a</w:t>
      </w:r>
      <w:r w:rsidR="00181F98">
        <w:t>t least</w:t>
      </w:r>
      <w:r w:rsidRPr="000C728A">
        <w:t xml:space="preserve"> 65 years of age) was performed and the results indicate that the immunogenicity responses were similar between the two age groups.</w:t>
      </w:r>
    </w:p>
    <w:p w14:paraId="58A6FC5B" w14:textId="3EE42306" w:rsidR="000C728A" w:rsidRDefault="000C728A" w:rsidP="000C728A">
      <w:pPr>
        <w:pStyle w:val="TableTitle"/>
      </w:pPr>
      <w:r w:rsidRPr="000C728A">
        <w:t xml:space="preserve">Table </w:t>
      </w:r>
      <w:fldSimple w:instr=" SEQ Table \* ARABIC ">
        <w:r w:rsidR="007D13D5">
          <w:rPr>
            <w:noProof/>
          </w:rPr>
          <w:t>8</w:t>
        </w:r>
      </w:fldSimple>
      <w:r>
        <w:t xml:space="preserve">: </w:t>
      </w:r>
      <w:r w:rsidRPr="000C728A">
        <w:t>Ancestral SARS-CoV-2 (D614G) and Omicron (BA.4</w:t>
      </w:r>
      <w:r w:rsidR="009D245E">
        <w:t>-</w:t>
      </w:r>
      <w:r w:rsidRPr="000C728A">
        <w:t xml:space="preserve">5) </w:t>
      </w:r>
      <w:r>
        <w:t>n</w:t>
      </w:r>
      <w:r w:rsidRPr="000C728A">
        <w:t>eutrali</w:t>
      </w:r>
      <w:r>
        <w:t>s</w:t>
      </w:r>
      <w:r w:rsidRPr="000C728A">
        <w:t xml:space="preserve">ing </w:t>
      </w:r>
      <w:r>
        <w:t>a</w:t>
      </w:r>
      <w:r w:rsidRPr="000C728A">
        <w:t xml:space="preserve">ntibody </w:t>
      </w:r>
      <w:r>
        <w:t>t</w:t>
      </w:r>
      <w:r w:rsidRPr="000C728A">
        <w:t>it</w:t>
      </w:r>
      <w:r w:rsidR="009D245E">
        <w:t>re</w:t>
      </w:r>
      <w:r w:rsidRPr="000C728A">
        <w:t>s (ID</w:t>
      </w:r>
      <w:r w:rsidRPr="00181F98">
        <w:rPr>
          <w:vertAlign w:val="subscript"/>
        </w:rPr>
        <w:t>50</w:t>
      </w:r>
      <w:r w:rsidRPr="000C728A">
        <w:t xml:space="preserve">) </w:t>
      </w:r>
      <w:r w:rsidR="00181F98" w:rsidRPr="000C728A">
        <w:t xml:space="preserve">50 </w:t>
      </w:r>
      <w:r w:rsidR="00181F98">
        <w:t>µ</w:t>
      </w:r>
      <w:r w:rsidR="00181F98" w:rsidRPr="000C728A">
        <w:t>g</w:t>
      </w:r>
      <w:r w:rsidR="00181F98">
        <w:t xml:space="preserve"> </w:t>
      </w:r>
      <w:r w:rsidRPr="000C728A">
        <w:t xml:space="preserve">mRNA-1273.222 and </w:t>
      </w:r>
      <w:r w:rsidR="00181F98" w:rsidRPr="000C728A">
        <w:t xml:space="preserve">50 </w:t>
      </w:r>
      <w:r w:rsidR="00181F98">
        <w:t>µ</w:t>
      </w:r>
      <w:r w:rsidR="00181F98" w:rsidRPr="000C728A">
        <w:t xml:space="preserve">g </w:t>
      </w:r>
      <w:r w:rsidRPr="000C728A">
        <w:t xml:space="preserve">mRNA-1273 </w:t>
      </w:r>
      <w:r>
        <w:t>a</w:t>
      </w:r>
      <w:r w:rsidRPr="000C728A">
        <w:t xml:space="preserve">dministered as </w:t>
      </w:r>
      <w:r>
        <w:t>s</w:t>
      </w:r>
      <w:r w:rsidRPr="000C728A">
        <w:t xml:space="preserve">econd </w:t>
      </w:r>
      <w:r>
        <w:t>b</w:t>
      </w:r>
      <w:r w:rsidRPr="000C728A">
        <w:t xml:space="preserve">ooster </w:t>
      </w:r>
      <w:r>
        <w:t>d</w:t>
      </w:r>
      <w:r w:rsidRPr="000C728A">
        <w:t xml:space="preserve">oses - </w:t>
      </w:r>
      <w:r>
        <w:t>p</w:t>
      </w:r>
      <w:r w:rsidRPr="000C728A">
        <w:t>er-</w:t>
      </w:r>
      <w:r>
        <w:t>p</w:t>
      </w:r>
      <w:r w:rsidRPr="000C728A">
        <w:t xml:space="preserve">rotocol </w:t>
      </w:r>
      <w:r>
        <w:t>i</w:t>
      </w:r>
      <w:r w:rsidRPr="000C728A">
        <w:t xml:space="preserve">mmunogenicity – SARS-CoV-2 </w:t>
      </w:r>
      <w:r>
        <w:t>n</w:t>
      </w:r>
      <w:r w:rsidRPr="000C728A">
        <w:t xml:space="preserve">egative </w:t>
      </w:r>
      <w:r>
        <w:t>s</w:t>
      </w:r>
      <w:r w:rsidRPr="000C728A">
        <w:t>et (</w:t>
      </w:r>
      <w:r>
        <w:t>p</w:t>
      </w:r>
      <w:r w:rsidRPr="000C728A">
        <w:t xml:space="preserve">articipants without </w:t>
      </w:r>
      <w:r>
        <w:t>i</w:t>
      </w:r>
      <w:r w:rsidRPr="000C728A">
        <w:t xml:space="preserve">nfection at </w:t>
      </w:r>
      <w:r>
        <w:t>p</w:t>
      </w:r>
      <w:r w:rsidRPr="000C728A">
        <w:t xml:space="preserve">re-booster) by </w:t>
      </w:r>
      <w:r>
        <w:t>a</w:t>
      </w:r>
      <w:r w:rsidRPr="000C728A">
        <w:t xml:space="preserve">ge </w:t>
      </w:r>
      <w:r>
        <w:t>g</w:t>
      </w:r>
      <w:r w:rsidRPr="000C728A">
        <w:t>roup</w:t>
      </w:r>
      <w:r w:rsidR="00783DA7">
        <w:fldChar w:fldCharType="begin"/>
      </w:r>
      <w:r w:rsidR="00783DA7">
        <w:instrText xml:space="preserve"> DOCVARIABLE vault_nd_549ca58b-1e70-48bf-947e-c0c44d32af1e \* MERGEFORMAT </w:instrText>
      </w:r>
      <w:r w:rsidR="00783DA7">
        <w:fldChar w:fldCharType="separate"/>
      </w:r>
      <w:r w:rsidR="007D13D5">
        <w:t xml:space="preserve"> </w:t>
      </w:r>
      <w:r w:rsidR="00783DA7">
        <w:fldChar w:fldCharType="end"/>
      </w:r>
    </w:p>
    <w:p w14:paraId="33C2FD23" w14:textId="52C61A64" w:rsidR="000C728A" w:rsidRDefault="000C728A" w:rsidP="000C728A">
      <w:pPr>
        <w:pStyle w:val="TableTitle"/>
      </w:pPr>
      <w:r>
        <w:rPr>
          <w:noProof/>
        </w:rPr>
        <w:drawing>
          <wp:inline distT="0" distB="0" distL="0" distR="0" wp14:anchorId="3947D2A5" wp14:editId="3AC7AF69">
            <wp:extent cx="5653138" cy="2377440"/>
            <wp:effectExtent l="0" t="0" r="5080" b="3810"/>
            <wp:docPr id="22" name="Picture 22" descr="Ancestral SARS-CoV-2 (D614G) and Omicron (BA.4/BA.5) neutralising antibody titers (ID50) 50 µg of mRNA-1273.222 and 50 µg of mRNA-1273 administered as second booster doses - per-protocol immunogenicity – SARS-CoV-2 negative set (participants without infection at pre-booster) b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ncestral SARS-CoV-2 (D614G) and Omicron (BA.4/BA.5) neutralising antibody titers (ID50) 50 µg of mRNA-1273.222 and 50 µg of mRNA-1273 administered as second booster doses - per-protocol immunogenicity – SARS-CoV-2 negative set (participants without infection at pre-booster) by age group"/>
                    <pic:cNvPicPr/>
                  </pic:nvPicPr>
                  <pic:blipFill rotWithShape="1">
                    <a:blip r:embed="rId52"/>
                    <a:srcRect b="5418"/>
                    <a:stretch/>
                  </pic:blipFill>
                  <pic:spPr bwMode="auto">
                    <a:xfrm>
                      <a:off x="0" y="0"/>
                      <a:ext cx="5665709" cy="2382727"/>
                    </a:xfrm>
                    <a:prstGeom prst="rect">
                      <a:avLst/>
                    </a:prstGeom>
                    <a:ln>
                      <a:noFill/>
                    </a:ln>
                    <a:extLst>
                      <a:ext uri="{53640926-AAD7-44D8-BBD7-CCE9431645EC}">
                        <a14:shadowObscured xmlns:a14="http://schemas.microsoft.com/office/drawing/2010/main"/>
                      </a:ext>
                    </a:extLst>
                  </pic:spPr>
                </pic:pic>
              </a:graphicData>
            </a:graphic>
          </wp:inline>
        </w:drawing>
      </w:r>
    </w:p>
    <w:p w14:paraId="49947024" w14:textId="65912BD7" w:rsidR="000C728A" w:rsidRPr="000C728A" w:rsidRDefault="000C728A" w:rsidP="000C728A">
      <w:pPr>
        <w:pStyle w:val="Heading7"/>
      </w:pPr>
      <w:r w:rsidRPr="000C728A">
        <w:t>Cross-neutralisation ability of mRNA-1273.222 against the emerging Omicron variants BQ.1.1 and XBB.1.</w:t>
      </w:r>
      <w:r w:rsidR="00783DA7">
        <w:fldChar w:fldCharType="begin"/>
      </w:r>
      <w:r w:rsidR="00783DA7">
        <w:instrText xml:space="preserve"> DOCVARIABLE vault_nd_c93b6abe-224d-4c5f-94dd-7a1d8034dc0c \* MERGEFORMAT </w:instrText>
      </w:r>
      <w:r w:rsidR="00783DA7">
        <w:fldChar w:fldCharType="separate"/>
      </w:r>
      <w:r w:rsidR="007D13D5">
        <w:t xml:space="preserve"> </w:t>
      </w:r>
      <w:r w:rsidR="00783DA7">
        <w:fldChar w:fldCharType="end"/>
      </w:r>
    </w:p>
    <w:p w14:paraId="5E9EF090" w14:textId="693591D4" w:rsidR="000C728A" w:rsidRDefault="000C728A" w:rsidP="00C825C1">
      <w:r w:rsidRPr="00C825C1">
        <w:t>An exploratory analysis was performed to assess the cross-neutrali</w:t>
      </w:r>
      <w:r w:rsidR="0099006B">
        <w:t>s</w:t>
      </w:r>
      <w:r w:rsidRPr="00C825C1">
        <w:t>ation ability of mRNA-1273.222 against the emerging Omicron variants BQ.1.1 and XBB.1. Table below shows the neutrali</w:t>
      </w:r>
      <w:r w:rsidR="00181F98">
        <w:t>s</w:t>
      </w:r>
      <w:r w:rsidRPr="00C825C1">
        <w:t>ing antibody response against the Omicron BQ.1.1 and XBB.1 variants in a random sample of 40 participants without SARS-CoV-2 infection at pre-booster. For the BQ.1.1, the pre-booster GMT (95% CI) was 31.7 (19.6, 51.3), the post-booster GMT (95% CI) was 621.9 (422.2, 916.2), and the GMFR (95% CI) was 19.6 (11.7, 32.8). For the Omicron XBB.1 variant, the pre-booster GMT (95% CI) was 18.1 (12, 27.1), the post-booster GMT (95% CI) was 222.3 (147.4, 335.2), and the GMFR (95% CI) was 12.3 (7.4, 20.5). The observed GMT was 5.4-fold and 15.1-</w:t>
      </w:r>
      <w:r w:rsidRPr="00C825C1">
        <w:lastRenderedPageBreak/>
        <w:t xml:space="preserve">fold lower for the Omicron BQ.1.1 and XBB.1 variants, respectively, </w:t>
      </w:r>
      <w:proofErr w:type="gramStart"/>
      <w:r w:rsidRPr="00C825C1">
        <w:t>than</w:t>
      </w:r>
      <w:proofErr w:type="gramEnd"/>
      <w:r w:rsidRPr="00C825C1">
        <w:t xml:space="preserve"> for the BA.4/BA.5 variant.</w:t>
      </w:r>
    </w:p>
    <w:p w14:paraId="74CB8B92" w14:textId="4D22DC6E" w:rsidR="0099006B" w:rsidRDefault="0099006B" w:rsidP="0099006B">
      <w:pPr>
        <w:pStyle w:val="TableTitle"/>
      </w:pPr>
      <w:r w:rsidRPr="0099006B">
        <w:t xml:space="preserve">Table </w:t>
      </w:r>
      <w:fldSimple w:instr=" SEQ Table \* ARABIC ">
        <w:r w:rsidR="007D13D5">
          <w:rPr>
            <w:noProof/>
          </w:rPr>
          <w:t>9</w:t>
        </w:r>
      </w:fldSimple>
      <w:r w:rsidRPr="0099006B">
        <w:t>:</w:t>
      </w:r>
      <w:r>
        <w:t xml:space="preserve"> </w:t>
      </w:r>
      <w:r w:rsidRPr="0099006B">
        <w:t xml:space="preserve">mRNA-1273.222 Bivalent </w:t>
      </w:r>
      <w:r w:rsidR="00181F98">
        <w:t>v</w:t>
      </w:r>
      <w:r w:rsidRPr="0099006B">
        <w:t xml:space="preserve">accine </w:t>
      </w:r>
      <w:r w:rsidR="00181F98">
        <w:t>e</w:t>
      </w:r>
      <w:r w:rsidRPr="0099006B">
        <w:t xml:space="preserve">xhibits </w:t>
      </w:r>
      <w:r w:rsidR="00181F98">
        <w:t>c</w:t>
      </w:r>
      <w:r w:rsidRPr="0099006B">
        <w:t>ross-neutrali</w:t>
      </w:r>
      <w:r w:rsidR="00181F98">
        <w:t>s</w:t>
      </w:r>
      <w:r w:rsidRPr="0099006B">
        <w:t xml:space="preserve">ation </w:t>
      </w:r>
      <w:r w:rsidR="00181F98">
        <w:t>a</w:t>
      </w:r>
      <w:r w:rsidRPr="0099006B">
        <w:t xml:space="preserve">gainst Omicron BQ.1.1 </w:t>
      </w:r>
      <w:r w:rsidR="00181F98">
        <w:t>v</w:t>
      </w:r>
      <w:r w:rsidRPr="0099006B">
        <w:t>ariant (</w:t>
      </w:r>
      <w:r w:rsidR="00181F98">
        <w:t>n</w:t>
      </w:r>
      <w:r w:rsidRPr="0099006B">
        <w:t>eutrali</w:t>
      </w:r>
      <w:r w:rsidR="00181F98">
        <w:t>s</w:t>
      </w:r>
      <w:r w:rsidRPr="0099006B">
        <w:t xml:space="preserve">ing </w:t>
      </w:r>
      <w:r w:rsidR="00181F98">
        <w:t>a</w:t>
      </w:r>
      <w:r w:rsidRPr="0099006B">
        <w:t xml:space="preserve">ntibody </w:t>
      </w:r>
      <w:r w:rsidR="009D245E">
        <w:t>titre</w:t>
      </w:r>
      <w:r w:rsidRPr="0099006B">
        <w:t>s [ID</w:t>
      </w:r>
      <w:r w:rsidRPr="00181F98">
        <w:rPr>
          <w:vertAlign w:val="subscript"/>
        </w:rPr>
        <w:t>50</w:t>
      </w:r>
      <w:r w:rsidRPr="0099006B">
        <w:t xml:space="preserve">]) at Day 29 - SARS-CoV-2 </w:t>
      </w:r>
      <w:r w:rsidR="00181F98">
        <w:t>n</w:t>
      </w:r>
      <w:r w:rsidRPr="0099006B">
        <w:t>egative (N</w:t>
      </w:r>
      <w:r w:rsidR="00DA741F">
        <w:t> </w:t>
      </w:r>
      <w:r w:rsidRPr="0099006B">
        <w:t>=</w:t>
      </w:r>
      <w:r w:rsidR="00DA741F">
        <w:t> </w:t>
      </w:r>
      <w:r w:rsidRPr="0099006B">
        <w:t xml:space="preserve">40 </w:t>
      </w:r>
      <w:r w:rsidR="00181F98">
        <w:t>r</w:t>
      </w:r>
      <w:r w:rsidRPr="0099006B">
        <w:t xml:space="preserve">andom </w:t>
      </w:r>
      <w:r w:rsidR="00181F98">
        <w:t>s</w:t>
      </w:r>
      <w:r w:rsidRPr="0099006B">
        <w:t>ample)</w:t>
      </w:r>
      <w:r w:rsidR="00783DA7">
        <w:fldChar w:fldCharType="begin"/>
      </w:r>
      <w:r w:rsidR="00783DA7">
        <w:instrText xml:space="preserve"> DOCVARIABLE vault_nd_d8ff3c2f-396f-476c-b925-f2ad31210b35 \* MERGEFORMAT </w:instrText>
      </w:r>
      <w:r w:rsidR="00783DA7">
        <w:fldChar w:fldCharType="separate"/>
      </w:r>
      <w:r w:rsidR="007D13D5">
        <w:t xml:space="preserve"> </w:t>
      </w:r>
      <w:r w:rsidR="00783DA7">
        <w:fldChar w:fldCharType="end"/>
      </w:r>
    </w:p>
    <w:p w14:paraId="1D41C421" w14:textId="4A89FDE9" w:rsidR="0099006B" w:rsidRDefault="0099006B" w:rsidP="0099006B">
      <w:r>
        <w:rPr>
          <w:noProof/>
        </w:rPr>
        <w:drawing>
          <wp:inline distT="0" distB="0" distL="0" distR="0" wp14:anchorId="1635986E" wp14:editId="36906230">
            <wp:extent cx="5731510" cy="2986268"/>
            <wp:effectExtent l="0" t="0" r="2540" b="5080"/>
            <wp:docPr id="23" name="Picture 23" descr="mRNA-1273.222 Bivalent vaccine exhibits cross-neutralisation against Omicron BQ.1.1 variant (neutralising antibody titers [ID50]) at Day 29 - SARS-CoV-2 negative (N = 40 random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RNA-1273.222 Bivalent vaccine exhibits cross-neutralisation against Omicron BQ.1.1 variant (neutralising antibody titers [ID50]) at Day 29 - SARS-CoV-2 negative (N = 40 random sample)"/>
                    <pic:cNvPicPr/>
                  </pic:nvPicPr>
                  <pic:blipFill rotWithShape="1">
                    <a:blip r:embed="rId53"/>
                    <a:srcRect b="4123"/>
                    <a:stretch/>
                  </pic:blipFill>
                  <pic:spPr bwMode="auto">
                    <a:xfrm>
                      <a:off x="0" y="0"/>
                      <a:ext cx="5731510" cy="2986268"/>
                    </a:xfrm>
                    <a:prstGeom prst="rect">
                      <a:avLst/>
                    </a:prstGeom>
                    <a:ln>
                      <a:noFill/>
                    </a:ln>
                    <a:extLst>
                      <a:ext uri="{53640926-AAD7-44D8-BBD7-CCE9431645EC}">
                        <a14:shadowObscured xmlns:a14="http://schemas.microsoft.com/office/drawing/2010/main"/>
                      </a:ext>
                    </a:extLst>
                  </pic:spPr>
                </pic:pic>
              </a:graphicData>
            </a:graphic>
          </wp:inline>
        </w:drawing>
      </w:r>
    </w:p>
    <w:p w14:paraId="0896D56E" w14:textId="59F4BD5A" w:rsidR="0099006B" w:rsidRPr="0099006B" w:rsidRDefault="00181F98" w:rsidP="0099006B">
      <w:r>
        <w:fldChar w:fldCharType="begin"/>
      </w:r>
      <w:r>
        <w:instrText xml:space="preserve"> REF _Ref143002228 \h </w:instrText>
      </w:r>
      <w:r>
        <w:fldChar w:fldCharType="separate"/>
      </w:r>
      <w:r w:rsidR="007D13D5">
        <w:t xml:space="preserve">Table </w:t>
      </w:r>
      <w:r w:rsidR="007D13D5">
        <w:rPr>
          <w:noProof/>
        </w:rPr>
        <w:t>10</w:t>
      </w:r>
      <w:r>
        <w:fldChar w:fldCharType="end"/>
      </w:r>
      <w:r>
        <w:t xml:space="preserve"> </w:t>
      </w:r>
      <w:r w:rsidR="0099006B" w:rsidRPr="0099006B">
        <w:t>shows the neutrali</w:t>
      </w:r>
      <w:r>
        <w:t>s</w:t>
      </w:r>
      <w:r w:rsidR="0099006B" w:rsidRPr="0099006B">
        <w:t xml:space="preserve">ing antibody response against the Omicron BQ.1.1 and XBB.1 variants in a random sample of 20 participants with SARS-CoV-2 infection at pre-booster. For the Omicron BQ.1.1 variant, the pre-booster GMT (95% CI) was 124.7 (61.4, 253.2), the post-booster GMT (95% CI) was 1093.5 (536.8, 2227.9), and the GMFR (95% CI) was 8.8 (5, 15.5). For the Omicron XBB.1 variant, the pre-booster GMT (95% CI) was 55.4 (28.4, 108), the post-booster GMT (95% CI) was 381.4 (198.1, 734.4), and the GMFR (95% CI) was 6.9 (4, 11.7). The observed GMT was 8.1-fold and 23.3-fold lower for the Omicron BQ.1.1 and XBB.1 variants, respectively, </w:t>
      </w:r>
      <w:proofErr w:type="gramStart"/>
      <w:r w:rsidR="0099006B" w:rsidRPr="0099006B">
        <w:t>than</w:t>
      </w:r>
      <w:proofErr w:type="gramEnd"/>
      <w:r w:rsidR="0099006B" w:rsidRPr="0099006B">
        <w:t xml:space="preserve"> for the BA.4/BA.5 variant.</w:t>
      </w:r>
    </w:p>
    <w:p w14:paraId="1D868F04" w14:textId="1FCAAAF4" w:rsidR="0099006B" w:rsidRPr="0099006B" w:rsidRDefault="0099006B" w:rsidP="0099006B">
      <w:r w:rsidRPr="0099006B">
        <w:t>These results indicate that mRNA-1273.222 exhibited cross-neutrali</w:t>
      </w:r>
      <w:r w:rsidR="00181F98">
        <w:t>s</w:t>
      </w:r>
      <w:r w:rsidRPr="0099006B">
        <w:t>ation against BQ.1.1 and XBB.1.</w:t>
      </w:r>
    </w:p>
    <w:p w14:paraId="03AB9075" w14:textId="310DF219" w:rsidR="0099006B" w:rsidRDefault="0099006B" w:rsidP="0099006B">
      <w:pPr>
        <w:pStyle w:val="TableTitle"/>
      </w:pPr>
      <w:bookmarkStart w:id="55" w:name="_Ref143002228"/>
      <w:r>
        <w:lastRenderedPageBreak/>
        <w:t xml:space="preserve">Table </w:t>
      </w:r>
      <w:fldSimple w:instr=" SEQ Table \* ARABIC ">
        <w:r w:rsidR="007D13D5">
          <w:rPr>
            <w:noProof/>
          </w:rPr>
          <w:t>10</w:t>
        </w:r>
      </w:fldSimple>
      <w:bookmarkEnd w:id="55"/>
      <w:r>
        <w:t xml:space="preserve">: </w:t>
      </w:r>
      <w:r w:rsidRPr="00E31E63">
        <w:t xml:space="preserve">mRNA-1273.222 Bivalent </w:t>
      </w:r>
      <w:r w:rsidR="00181F98">
        <w:t>v</w:t>
      </w:r>
      <w:r w:rsidRPr="00E31E63">
        <w:t xml:space="preserve">accine </w:t>
      </w:r>
      <w:r w:rsidR="00181F98">
        <w:t>e</w:t>
      </w:r>
      <w:r w:rsidRPr="00E31E63">
        <w:t xml:space="preserve">xhibits </w:t>
      </w:r>
      <w:r w:rsidR="00181F98">
        <w:t>c</w:t>
      </w:r>
      <w:r w:rsidRPr="00E31E63">
        <w:t>ross-neutrali</w:t>
      </w:r>
      <w:r w:rsidR="00181F98">
        <w:t>s</w:t>
      </w:r>
      <w:r w:rsidRPr="00E31E63">
        <w:t xml:space="preserve">ation </w:t>
      </w:r>
      <w:r w:rsidR="00181F98">
        <w:t>a</w:t>
      </w:r>
      <w:r w:rsidRPr="00E31E63">
        <w:t xml:space="preserve">gainst Omicron BQ.1.1 and XBB.1 </w:t>
      </w:r>
      <w:r w:rsidR="00181F98">
        <w:t>v</w:t>
      </w:r>
      <w:r w:rsidRPr="00E31E63">
        <w:t>ariants (</w:t>
      </w:r>
      <w:r w:rsidR="00181F98">
        <w:t>n</w:t>
      </w:r>
      <w:r w:rsidRPr="00E31E63">
        <w:t>eutrali</w:t>
      </w:r>
      <w:r w:rsidR="00181F98">
        <w:t>s</w:t>
      </w:r>
      <w:r w:rsidRPr="00E31E63">
        <w:t xml:space="preserve">ing </w:t>
      </w:r>
      <w:r w:rsidR="00181F98">
        <w:t>a</w:t>
      </w:r>
      <w:r w:rsidRPr="00E31E63">
        <w:t xml:space="preserve">ntibody </w:t>
      </w:r>
      <w:r w:rsidR="009D245E">
        <w:t>titre</w:t>
      </w:r>
      <w:r w:rsidRPr="00E31E63">
        <w:t>s [ID</w:t>
      </w:r>
      <w:r w:rsidRPr="00181F98">
        <w:rPr>
          <w:vertAlign w:val="subscript"/>
        </w:rPr>
        <w:t>50</w:t>
      </w:r>
      <w:r w:rsidRPr="00E31E63">
        <w:t xml:space="preserve">])at Day 29 - SARS-CoV-2 </w:t>
      </w:r>
      <w:r w:rsidR="00181F98">
        <w:t>p</w:t>
      </w:r>
      <w:r w:rsidRPr="00E31E63">
        <w:t>ositive (N</w:t>
      </w:r>
      <w:r w:rsidR="00181F98">
        <w:t xml:space="preserve"> </w:t>
      </w:r>
      <w:r w:rsidRPr="00E31E63">
        <w:t>=</w:t>
      </w:r>
      <w:r w:rsidR="00181F98">
        <w:t xml:space="preserve"> </w:t>
      </w:r>
      <w:r w:rsidRPr="00E31E63">
        <w:t xml:space="preserve">20 </w:t>
      </w:r>
      <w:r w:rsidR="00181F98">
        <w:t>r</w:t>
      </w:r>
      <w:r w:rsidRPr="00E31E63">
        <w:t xml:space="preserve">andom </w:t>
      </w:r>
      <w:r w:rsidR="00181F98">
        <w:t>s</w:t>
      </w:r>
      <w:r w:rsidRPr="00E31E63">
        <w:t>ample)</w:t>
      </w:r>
      <w:r w:rsidR="00783DA7">
        <w:fldChar w:fldCharType="begin"/>
      </w:r>
      <w:r w:rsidR="00783DA7">
        <w:instrText xml:space="preserve"> </w:instrText>
      </w:r>
      <w:r w:rsidR="00783DA7">
        <w:instrText xml:space="preserve">DOCVARIABLE vault_nd_8dff1b91-26a4-47b9-b720-8b481a947be5 \* MERGEFORMAT </w:instrText>
      </w:r>
      <w:r w:rsidR="00783DA7">
        <w:fldChar w:fldCharType="separate"/>
      </w:r>
      <w:r w:rsidR="007D13D5">
        <w:t xml:space="preserve"> </w:t>
      </w:r>
      <w:r w:rsidR="00783DA7">
        <w:fldChar w:fldCharType="end"/>
      </w:r>
    </w:p>
    <w:p w14:paraId="14EF5056" w14:textId="7CBFF2AF" w:rsidR="000C728A" w:rsidRDefault="0099006B" w:rsidP="0099006B">
      <w:r>
        <w:rPr>
          <w:noProof/>
        </w:rPr>
        <w:drawing>
          <wp:inline distT="0" distB="0" distL="0" distR="0" wp14:anchorId="34D6CED6" wp14:editId="273D4741">
            <wp:extent cx="5731510" cy="2830010"/>
            <wp:effectExtent l="0" t="0" r="2540" b="8890"/>
            <wp:docPr id="24" name="Picture 24" descr="mRNA-1273.222 Bivalent vaccine exhibits cross-neutralisation against Omicron BQ.1.1 and XBB.1 variants (neutralising antibody titers [ID50])at Day 29 - SARS-CoV-2 positive (N = 20 random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RNA-1273.222 Bivalent vaccine exhibits cross-neutralisation against Omicron BQ.1.1 and XBB.1 variants (neutralising antibody titers [ID50])at Day 29 - SARS-CoV-2 positive (N = 20 random sample)"/>
                    <pic:cNvPicPr/>
                  </pic:nvPicPr>
                  <pic:blipFill rotWithShape="1">
                    <a:blip r:embed="rId54"/>
                    <a:srcRect b="4465"/>
                    <a:stretch/>
                  </pic:blipFill>
                  <pic:spPr bwMode="auto">
                    <a:xfrm>
                      <a:off x="0" y="0"/>
                      <a:ext cx="5731510" cy="2830010"/>
                    </a:xfrm>
                    <a:prstGeom prst="rect">
                      <a:avLst/>
                    </a:prstGeom>
                    <a:ln>
                      <a:noFill/>
                    </a:ln>
                    <a:extLst>
                      <a:ext uri="{53640926-AAD7-44D8-BBD7-CCE9431645EC}">
                        <a14:shadowObscured xmlns:a14="http://schemas.microsoft.com/office/drawing/2010/main"/>
                      </a:ext>
                    </a:extLst>
                  </pic:spPr>
                </pic:pic>
              </a:graphicData>
            </a:graphic>
          </wp:inline>
        </w:drawing>
      </w:r>
    </w:p>
    <w:p w14:paraId="55877494" w14:textId="40E9517F" w:rsidR="0099006B" w:rsidRPr="0099006B" w:rsidRDefault="0099006B" w:rsidP="0080387D">
      <w:pPr>
        <w:pStyle w:val="Heading4"/>
      </w:pPr>
      <w:bookmarkStart w:id="56" w:name="_Toc144970841"/>
      <w:r w:rsidRPr="0099006B">
        <w:t xml:space="preserve">SARS-CoV-2 </w:t>
      </w:r>
      <w:r w:rsidR="00310440">
        <w:t>i</w:t>
      </w:r>
      <w:r w:rsidRPr="0099006B">
        <w:t xml:space="preserve">nfection and </w:t>
      </w:r>
      <w:r w:rsidR="00310440">
        <w:t>s</w:t>
      </w:r>
      <w:r w:rsidRPr="0099006B">
        <w:t xml:space="preserve">ymptomatic </w:t>
      </w:r>
      <w:r w:rsidR="00310440">
        <w:t>i</w:t>
      </w:r>
      <w:r w:rsidRPr="0099006B">
        <w:t>nfection</w:t>
      </w:r>
      <w:bookmarkEnd w:id="56"/>
      <w:r w:rsidR="005635FE">
        <w:fldChar w:fldCharType="begin"/>
      </w:r>
      <w:r w:rsidR="005635FE">
        <w:instrText xml:space="preserve"> DOCVARIABLE vault_nd_48a8de9c-b23c-417d-bd13-ff9c96e0aa13 \* MERGEFORMAT </w:instrText>
      </w:r>
      <w:r w:rsidR="005635FE">
        <w:fldChar w:fldCharType="separate"/>
      </w:r>
      <w:r w:rsidR="007D13D5">
        <w:t xml:space="preserve"> </w:t>
      </w:r>
      <w:r w:rsidR="005635FE">
        <w:fldChar w:fldCharType="end"/>
      </w:r>
    </w:p>
    <w:p w14:paraId="489046F4" w14:textId="59D40B5A" w:rsidR="0099006B" w:rsidRPr="0099006B" w:rsidRDefault="0099006B" w:rsidP="0080387D">
      <w:pPr>
        <w:pStyle w:val="Heading5"/>
        <w:rPr>
          <w:rFonts w:eastAsiaTheme="minorHAnsi"/>
        </w:rPr>
      </w:pPr>
      <w:r w:rsidRPr="0099006B">
        <w:rPr>
          <w:rFonts w:eastAsiaTheme="minorHAnsi"/>
        </w:rPr>
        <w:t xml:space="preserve">SARS-CoV-2 Incidence </w:t>
      </w:r>
      <w:r w:rsidR="00181F98">
        <w:rPr>
          <w:rFonts w:eastAsiaTheme="minorHAnsi"/>
        </w:rPr>
        <w:t>r</w:t>
      </w:r>
      <w:r w:rsidRPr="0099006B">
        <w:rPr>
          <w:rFonts w:eastAsiaTheme="minorHAnsi"/>
        </w:rPr>
        <w:t xml:space="preserve">ates </w:t>
      </w:r>
      <w:r w:rsidR="00181F98">
        <w:rPr>
          <w:rFonts w:eastAsiaTheme="minorHAnsi"/>
        </w:rPr>
        <w:t>a</w:t>
      </w:r>
      <w:r w:rsidRPr="0099006B">
        <w:rPr>
          <w:rFonts w:eastAsiaTheme="minorHAnsi"/>
        </w:rPr>
        <w:t xml:space="preserve">fter the mRNA-1273.222 and mRNA-1273 </w:t>
      </w:r>
      <w:r w:rsidR="000F6381">
        <w:rPr>
          <w:rFonts w:eastAsiaTheme="minorHAnsi"/>
        </w:rPr>
        <w:t>b</w:t>
      </w:r>
      <w:r w:rsidRPr="0099006B">
        <w:rPr>
          <w:rFonts w:eastAsiaTheme="minorHAnsi"/>
        </w:rPr>
        <w:t xml:space="preserve">ooster </w:t>
      </w:r>
      <w:r w:rsidR="000F6381">
        <w:rPr>
          <w:rFonts w:eastAsiaTheme="minorHAnsi"/>
        </w:rPr>
        <w:t>v</w:t>
      </w:r>
      <w:r w:rsidRPr="0099006B">
        <w:rPr>
          <w:rFonts w:eastAsiaTheme="minorHAnsi"/>
        </w:rPr>
        <w:t>accines</w:t>
      </w:r>
      <w:r w:rsidR="005635FE">
        <w:rPr>
          <w:rFonts w:eastAsiaTheme="minorHAnsi"/>
        </w:rPr>
        <w:fldChar w:fldCharType="begin"/>
      </w:r>
      <w:r w:rsidR="005635FE">
        <w:rPr>
          <w:rFonts w:eastAsiaTheme="minorHAnsi"/>
        </w:rPr>
        <w:instrText xml:space="preserve"> DOCVARIABLE vault_nd_3cec8d2f-a567-4a3b-a327-e1ab8b770a2a \* MERGEFORMAT </w:instrText>
      </w:r>
      <w:r w:rsidR="005635FE">
        <w:rPr>
          <w:rFonts w:eastAsiaTheme="minorHAnsi"/>
        </w:rPr>
        <w:fldChar w:fldCharType="separate"/>
      </w:r>
      <w:r w:rsidR="007D13D5">
        <w:rPr>
          <w:rFonts w:eastAsiaTheme="minorHAnsi"/>
        </w:rPr>
        <w:t xml:space="preserve"> </w:t>
      </w:r>
      <w:r w:rsidR="005635FE">
        <w:rPr>
          <w:rFonts w:eastAsiaTheme="minorHAnsi"/>
        </w:rPr>
        <w:fldChar w:fldCharType="end"/>
      </w:r>
    </w:p>
    <w:p w14:paraId="61FEDBC6" w14:textId="0C84216F" w:rsidR="0099006B" w:rsidRPr="0099006B" w:rsidRDefault="00DA741F" w:rsidP="0099006B">
      <w:r>
        <w:t xml:space="preserve">Study </w:t>
      </w:r>
      <w:r w:rsidR="0099006B" w:rsidRPr="0099006B">
        <w:t>P205 was not designed to evaluate booster vaccine effectiveness and occurrence of infections after the booster doses reflects the epidemiological environment in the US (August through October 2022) for this interim analysis. Infections were counted starting 14 days after the booster dose (</w:t>
      </w:r>
      <w:r w:rsidR="000F6381" w:rsidRPr="0099006B">
        <w:t xml:space="preserve">50 </w:t>
      </w:r>
      <w:r w:rsidR="000F6381">
        <w:t>µ</w:t>
      </w:r>
      <w:r w:rsidR="000F6381" w:rsidRPr="0099006B">
        <w:t xml:space="preserve">g </w:t>
      </w:r>
      <w:r>
        <w:t xml:space="preserve">of </w:t>
      </w:r>
      <w:r w:rsidR="0099006B" w:rsidRPr="0099006B">
        <w:t>mRNA- 1273.222) through the follow</w:t>
      </w:r>
      <w:r w:rsidR="00D974AD">
        <w:t xml:space="preserve"> </w:t>
      </w:r>
      <w:r w:rsidR="0099006B" w:rsidRPr="0099006B">
        <w:t>up time of this interim analysis.</w:t>
      </w:r>
    </w:p>
    <w:p w14:paraId="094232AB" w14:textId="440369E1" w:rsidR="0099006B" w:rsidRPr="0099006B" w:rsidRDefault="0099006B" w:rsidP="0099006B">
      <w:r w:rsidRPr="0099006B">
        <w:t xml:space="preserve">In the </w:t>
      </w:r>
      <w:proofErr w:type="gramStart"/>
      <w:r w:rsidR="000F6381" w:rsidRPr="0099006B">
        <w:t xml:space="preserve">50 </w:t>
      </w:r>
      <w:r w:rsidR="000F6381">
        <w:t>µ</w:t>
      </w:r>
      <w:r w:rsidR="000F6381" w:rsidRPr="0099006B">
        <w:t>g</w:t>
      </w:r>
      <w:proofErr w:type="gramEnd"/>
      <w:r w:rsidR="000F6381">
        <w:t xml:space="preserve"> </w:t>
      </w:r>
      <w:r w:rsidRPr="0099006B">
        <w:t>mRNA-1273.222 booster dose group of participants without prior infection (</w:t>
      </w:r>
      <w:r w:rsidR="000F6381">
        <w:t>p</w:t>
      </w:r>
      <w:r w:rsidRPr="0099006B">
        <w:t xml:space="preserve">er </w:t>
      </w:r>
      <w:r w:rsidR="000F6381">
        <w:t>p</w:t>
      </w:r>
      <w:r w:rsidRPr="0099006B">
        <w:t xml:space="preserve">rotocol </w:t>
      </w:r>
      <w:r w:rsidR="000F6381">
        <w:t>e</w:t>
      </w:r>
      <w:r w:rsidRPr="0099006B">
        <w:t xml:space="preserve">fficacy </w:t>
      </w:r>
      <w:r w:rsidR="000F6381">
        <w:t>s</w:t>
      </w:r>
      <w:r w:rsidRPr="0099006B">
        <w:t>et) with a median of 37 days of follow</w:t>
      </w:r>
      <w:r w:rsidR="00DA741F">
        <w:t xml:space="preserve"> </w:t>
      </w:r>
      <w:r w:rsidRPr="0099006B">
        <w:t xml:space="preserve">up, 12 participants (5.6%) had SARS-CoV-2 infection starting at least 14 days after the 50 </w:t>
      </w:r>
      <w:r w:rsidR="000F6381">
        <w:t>µ</w:t>
      </w:r>
      <w:r w:rsidRPr="0099006B">
        <w:t xml:space="preserve">g booster dose. Among the 12 participants with SARS-CoV-2 infection, </w:t>
      </w:r>
      <w:r w:rsidR="000F6381">
        <w:t>five</w:t>
      </w:r>
      <w:r w:rsidRPr="0099006B">
        <w:t xml:space="preserve"> participants (2.3%) met the primary case definition of COVID-</w:t>
      </w:r>
      <w:proofErr w:type="gramStart"/>
      <w:r w:rsidRPr="0099006B">
        <w:t>19</w:t>
      </w:r>
      <w:proofErr w:type="gramEnd"/>
      <w:r w:rsidRPr="0099006B">
        <w:t xml:space="preserve"> and </w:t>
      </w:r>
      <w:r w:rsidR="000F6381">
        <w:t>seven</w:t>
      </w:r>
      <w:r w:rsidRPr="0099006B">
        <w:t xml:space="preserve"> participants (3.2%) met the secondary case definition of COVID-19. The remaining </w:t>
      </w:r>
      <w:r w:rsidR="000F6381">
        <w:t>five</w:t>
      </w:r>
      <w:r w:rsidRPr="0099006B">
        <w:t xml:space="preserve"> participants (2.3%) had an asymptomatic infection. No participants with COVID-19 had an emergency room visit or hospitalization due to the COVID-19 event. Similar results were observed for the </w:t>
      </w:r>
      <w:r w:rsidR="00D974AD">
        <w:t>full analysis set</w:t>
      </w:r>
      <w:r w:rsidRPr="0099006B">
        <w:t xml:space="preserve"> population.</w:t>
      </w:r>
    </w:p>
    <w:p w14:paraId="4B9E87A3" w14:textId="08018AB3" w:rsidR="0099006B" w:rsidRPr="0099006B" w:rsidRDefault="0099006B" w:rsidP="0099006B">
      <w:r w:rsidRPr="0099006B">
        <w:t>The Day 29 interim analysis infection rates for mRNA-1273 (enrolled in February</w:t>
      </w:r>
      <w:r w:rsidR="000F6381">
        <w:t xml:space="preserve"> to </w:t>
      </w:r>
      <w:r w:rsidRPr="0099006B">
        <w:t>March 2022) have been previously published.</w:t>
      </w:r>
      <w:r w:rsidR="00D974AD">
        <w:rPr>
          <w:rStyle w:val="FootnoteReference"/>
        </w:rPr>
        <w:footnoteReference w:id="5"/>
      </w:r>
      <w:r w:rsidRPr="0099006B">
        <w:t xml:space="preserve"> For reference, in the </w:t>
      </w:r>
      <w:proofErr w:type="gramStart"/>
      <w:r w:rsidR="00D974AD" w:rsidRPr="0099006B">
        <w:t xml:space="preserve">50 </w:t>
      </w:r>
      <w:r w:rsidR="00D974AD">
        <w:t>µ</w:t>
      </w:r>
      <w:r w:rsidR="00D974AD" w:rsidRPr="0099006B">
        <w:t>g</w:t>
      </w:r>
      <w:proofErr w:type="gramEnd"/>
      <w:r w:rsidR="00D974AD" w:rsidRPr="0099006B">
        <w:t xml:space="preserve"> </w:t>
      </w:r>
      <w:r w:rsidRPr="0099006B">
        <w:t xml:space="preserve">mRNA-1273 booster dose group, with a median of 57 days of follow-up duration, </w:t>
      </w:r>
      <w:r w:rsidR="000F6381">
        <w:t>nine</w:t>
      </w:r>
      <w:r w:rsidRPr="0099006B">
        <w:t xml:space="preserve"> participants (2.4%) from </w:t>
      </w:r>
      <w:r w:rsidR="000F6381">
        <w:t>p</w:t>
      </w:r>
      <w:r w:rsidRPr="0099006B">
        <w:t xml:space="preserve">er </w:t>
      </w:r>
      <w:r w:rsidR="000F6381">
        <w:t>p</w:t>
      </w:r>
      <w:r w:rsidRPr="0099006B">
        <w:t xml:space="preserve">rotocol </w:t>
      </w:r>
      <w:r w:rsidR="000F6381">
        <w:t>e</w:t>
      </w:r>
      <w:r w:rsidRPr="0099006B">
        <w:t xml:space="preserve">fficacy </w:t>
      </w:r>
      <w:r w:rsidR="000F6381">
        <w:t>s</w:t>
      </w:r>
      <w:r w:rsidRPr="0099006B">
        <w:t xml:space="preserve">et had SARS-CoV-2 infection starting at least 14 days after the 50 </w:t>
      </w:r>
      <w:r w:rsidR="000F6381">
        <w:t>µ</w:t>
      </w:r>
      <w:r w:rsidRPr="0099006B">
        <w:t xml:space="preserve">g booster dose. Among the </w:t>
      </w:r>
      <w:r w:rsidR="00D974AD">
        <w:t>nine</w:t>
      </w:r>
      <w:r w:rsidRPr="0099006B">
        <w:t xml:space="preserve"> participants with SARS-CoV-2 infection, </w:t>
      </w:r>
      <w:r w:rsidR="000F6381">
        <w:t>two</w:t>
      </w:r>
      <w:r w:rsidRPr="0099006B">
        <w:t xml:space="preserve"> participants (0.5%) met both the primary case definition of COVID-19 and the secondary case definition of COVID-19. The remaining </w:t>
      </w:r>
      <w:r w:rsidR="000F6381">
        <w:t>seven</w:t>
      </w:r>
      <w:r w:rsidRPr="0099006B">
        <w:t xml:space="preserve"> participants had an asymptomatic infection.</w:t>
      </w:r>
    </w:p>
    <w:p w14:paraId="67ADA121" w14:textId="2E6DC689" w:rsidR="00EF0CE7" w:rsidRPr="00E31E63" w:rsidRDefault="00EF0CE7" w:rsidP="00AF46E8">
      <w:pPr>
        <w:pStyle w:val="TableTitle"/>
      </w:pPr>
      <w:r>
        <w:lastRenderedPageBreak/>
        <w:t xml:space="preserve">Table </w:t>
      </w:r>
      <w:fldSimple w:instr=" SEQ Table \* ARABIC ">
        <w:r w:rsidR="007D13D5">
          <w:rPr>
            <w:noProof/>
          </w:rPr>
          <w:t>11</w:t>
        </w:r>
      </w:fldSimple>
      <w:r>
        <w:t xml:space="preserve">: </w:t>
      </w:r>
      <w:r w:rsidRPr="00E31E63">
        <w:t xml:space="preserve">Summary of COVID-19 </w:t>
      </w:r>
      <w:r w:rsidR="000F6381">
        <w:t>i</w:t>
      </w:r>
      <w:r w:rsidRPr="00E31E63">
        <w:t xml:space="preserve">nfections (Second Booster Dose: </w:t>
      </w:r>
      <w:r w:rsidR="000F6381" w:rsidRPr="00E31E63">
        <w:t>50</w:t>
      </w:r>
      <w:r w:rsidR="000F6381">
        <w:t xml:space="preserve"> µ</w:t>
      </w:r>
      <w:r w:rsidR="000F6381" w:rsidRPr="00E31E63">
        <w:t>g</w:t>
      </w:r>
      <w:r w:rsidR="000F6381">
        <w:t xml:space="preserve"> of</w:t>
      </w:r>
      <w:r w:rsidR="000F6381" w:rsidRPr="00E31E63">
        <w:t xml:space="preserve"> </w:t>
      </w:r>
      <w:r w:rsidRPr="00E31E63">
        <w:t>mRNA-1273.222)</w:t>
      </w:r>
      <w:r w:rsidR="00783DA7">
        <w:fldChar w:fldCharType="begin"/>
      </w:r>
      <w:r w:rsidR="00783DA7">
        <w:instrText xml:space="preserve"> DOCVARIABLE vault_nd_6cb0924d-b0e9-481d-8321-a14bd2a61fee \* MERGEFORMAT </w:instrText>
      </w:r>
      <w:r w:rsidR="00783DA7">
        <w:fldChar w:fldCharType="separate"/>
      </w:r>
      <w:r w:rsidR="007D13D5">
        <w:t xml:space="preserve"> </w:t>
      </w:r>
      <w:r w:rsidR="00783DA7">
        <w:fldChar w:fldCharType="end"/>
      </w:r>
    </w:p>
    <w:p w14:paraId="6ACE2A11" w14:textId="679F3E63" w:rsidR="0099006B" w:rsidRDefault="00AF46E8" w:rsidP="00AF46E8">
      <w:r>
        <w:rPr>
          <w:noProof/>
        </w:rPr>
        <w:drawing>
          <wp:inline distT="0" distB="0" distL="0" distR="0" wp14:anchorId="7A8CBDFE" wp14:editId="36114C2F">
            <wp:extent cx="5731510" cy="3307742"/>
            <wp:effectExtent l="0" t="0" r="2540" b="6985"/>
            <wp:docPr id="25" name="Picture 25" descr="Summary of COVID-19 infections (Second Booster Dose: 50 µg of mRNA-127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ummary of COVID-19 infections (Second Booster Dose: 50 µg of mRNA-1273.222)"/>
                    <pic:cNvPicPr/>
                  </pic:nvPicPr>
                  <pic:blipFill rotWithShape="1">
                    <a:blip r:embed="rId55"/>
                    <a:srcRect b="5118"/>
                    <a:stretch/>
                  </pic:blipFill>
                  <pic:spPr bwMode="auto">
                    <a:xfrm>
                      <a:off x="0" y="0"/>
                      <a:ext cx="5731510" cy="3307742"/>
                    </a:xfrm>
                    <a:prstGeom prst="rect">
                      <a:avLst/>
                    </a:prstGeom>
                    <a:ln>
                      <a:noFill/>
                    </a:ln>
                    <a:extLst>
                      <a:ext uri="{53640926-AAD7-44D8-BBD7-CCE9431645EC}">
                        <a14:shadowObscured xmlns:a14="http://schemas.microsoft.com/office/drawing/2010/main"/>
                      </a:ext>
                    </a:extLst>
                  </pic:spPr>
                </pic:pic>
              </a:graphicData>
            </a:graphic>
          </wp:inline>
        </w:drawing>
      </w:r>
    </w:p>
    <w:p w14:paraId="36C0B31F" w14:textId="4B463870" w:rsidR="00AF46E8" w:rsidRPr="0080387D" w:rsidRDefault="00AF46E8" w:rsidP="0080387D">
      <w:r w:rsidRPr="0080387D">
        <w:t>No further interim analyses are planned. The final</w:t>
      </w:r>
      <w:r w:rsidR="00D974AD">
        <w:t xml:space="preserve"> clinical study report</w:t>
      </w:r>
      <w:r w:rsidRPr="0080387D">
        <w:t xml:space="preserve"> is due 30 April 2024.</w:t>
      </w:r>
    </w:p>
    <w:p w14:paraId="5920B4F3" w14:textId="20C18B1C" w:rsidR="00AF46E8" w:rsidRPr="0082673A" w:rsidRDefault="00AF46E8" w:rsidP="0080387D">
      <w:pPr>
        <w:pStyle w:val="Heading4"/>
      </w:pPr>
      <w:bookmarkStart w:id="57" w:name="_Toc144970842"/>
      <w:r w:rsidRPr="0082673A">
        <w:t xml:space="preserve">Real </w:t>
      </w:r>
      <w:r w:rsidR="00310440">
        <w:t>w</w:t>
      </w:r>
      <w:r w:rsidRPr="0082673A">
        <w:t xml:space="preserve">orld </w:t>
      </w:r>
      <w:r w:rsidR="00310440">
        <w:t>e</w:t>
      </w:r>
      <w:r w:rsidRPr="0082673A">
        <w:t>ffectiveness</w:t>
      </w:r>
      <w:bookmarkEnd w:id="57"/>
      <w:r w:rsidR="005635FE">
        <w:fldChar w:fldCharType="begin"/>
      </w:r>
      <w:r w:rsidR="005635FE">
        <w:instrText xml:space="preserve"> DOCVARIABLE vault_nd_1e809a95-1c5b-48ff-853d-a17350be1733 \* MERGEFORMAT </w:instrText>
      </w:r>
      <w:r w:rsidR="005635FE">
        <w:fldChar w:fldCharType="separate"/>
      </w:r>
      <w:r w:rsidR="007D13D5">
        <w:t xml:space="preserve"> </w:t>
      </w:r>
      <w:r w:rsidR="005635FE">
        <w:fldChar w:fldCharType="end"/>
      </w:r>
    </w:p>
    <w:p w14:paraId="56CABD9F" w14:textId="238FF96E" w:rsidR="00AF46E8" w:rsidRPr="0080387D" w:rsidRDefault="00AF46E8" w:rsidP="0080387D">
      <w:r w:rsidRPr="0080387D">
        <w:t>Real</w:t>
      </w:r>
      <w:r w:rsidR="00D27054">
        <w:t xml:space="preserve"> </w:t>
      </w:r>
      <w:r w:rsidRPr="0080387D">
        <w:t>world effectiveness of the use of mRNA-1273.222 BA.4</w:t>
      </w:r>
      <w:r w:rsidR="000F6381">
        <w:t>-</w:t>
      </w:r>
      <w:r w:rsidRPr="0080387D">
        <w:t xml:space="preserve">5 bivalent vaccine booster is currently being evaluated in the context of an ongoing observational study (Study P901) in a large integrated healthcare system in the United States (Kaiser Permanente Southern California [KPSC]). Briefly, KPSC provides healthcare to approximately 4.6 million individuals living in Southern California and is representative with respect to age and race/ethnicity of the broader California and US population. KPSC collects detailed electronic healthcare data on diagnoses, procedures and medications/vaccinations received in both the outpatient and inpatient setting as well as medical charts for adjudication of study outcomes. This study was initiated in December 2020 as a regulatory commitment under the RMP to the </w:t>
      </w:r>
      <w:r w:rsidR="00DA741F">
        <w:t xml:space="preserve">USA </w:t>
      </w:r>
      <w:r w:rsidRPr="0080387D">
        <w:t xml:space="preserve">FDA, EMA, and other health authorities to conduct ongoing evaluation of </w:t>
      </w:r>
      <w:proofErr w:type="gramStart"/>
      <w:r w:rsidRPr="0080387D">
        <w:t>real</w:t>
      </w:r>
      <w:r w:rsidR="00D27054">
        <w:t xml:space="preserve"> </w:t>
      </w:r>
      <w:r w:rsidRPr="0080387D">
        <w:t>world</w:t>
      </w:r>
      <w:proofErr w:type="gramEnd"/>
      <w:r w:rsidRPr="0080387D">
        <w:t xml:space="preserve"> vaccine effectiveness of mRNA-1273 following approval and use in the US</w:t>
      </w:r>
      <w:r w:rsidR="00DA741F">
        <w:t>A</w:t>
      </w:r>
      <w:r w:rsidRPr="0080387D">
        <w:t>.</w:t>
      </w:r>
    </w:p>
    <w:p w14:paraId="3AD95374" w14:textId="283955BD" w:rsidR="00AF46E8" w:rsidRPr="00D27054" w:rsidRDefault="00AF46E8" w:rsidP="00D27054">
      <w:r w:rsidRPr="00D27054">
        <w:t>A preliminary analysis of the real</w:t>
      </w:r>
      <w:r w:rsidR="000F6381">
        <w:t xml:space="preserve"> </w:t>
      </w:r>
      <w:r w:rsidRPr="00D27054">
        <w:t>world effectiveness of Moderna’s bivalent (BA.4</w:t>
      </w:r>
      <w:r w:rsidR="00DA741F">
        <w:t>-</w:t>
      </w:r>
      <w:r w:rsidRPr="00D27054">
        <w:t>5) vaccine (mRNA-1273.222) were presented at a recent meeting of the US FDA Vaccines and Related Biological Products Advisory Committee (VRBPAC) held on 26 January 2023.</w:t>
      </w:r>
      <w:r w:rsidR="00D27054" w:rsidRPr="000F6381">
        <w:rPr>
          <w:vertAlign w:val="superscript"/>
        </w:rPr>
        <w:footnoteReference w:id="6"/>
      </w:r>
      <w:r w:rsidRPr="00D27054">
        <w:t xml:space="preserve"> This analysis included 157,435 individuals 6 years of age and older who previously received at least </w:t>
      </w:r>
      <w:r w:rsidR="00D27054" w:rsidRPr="00D27054">
        <w:t>two</w:t>
      </w:r>
      <w:r w:rsidRPr="00D27054">
        <w:t xml:space="preserve"> doses of a COVID-19 mRNA vaccine and a dose of the BA.4</w:t>
      </w:r>
      <w:r w:rsidR="00DA741F">
        <w:t>-</w:t>
      </w:r>
      <w:r w:rsidRPr="00D27054">
        <w:t>5 bivalent vaccine between 31 Aug</w:t>
      </w:r>
      <w:r w:rsidR="00D27054" w:rsidRPr="00D27054">
        <w:t>ust</w:t>
      </w:r>
      <w:r w:rsidRPr="00D27054">
        <w:t xml:space="preserve"> 2022 and 10 </w:t>
      </w:r>
      <w:r w:rsidR="00D27054" w:rsidRPr="00D27054">
        <w:t>November</w:t>
      </w:r>
      <w:r w:rsidRPr="00D27054">
        <w:t xml:space="preserve"> 2022. Bivalent vaccinated individuals were matched on age and race/ethnicity to 314,870 individuals (comparators) who did not receive the bivalent vaccination during the same </w:t>
      </w:r>
      <w:proofErr w:type="gramStart"/>
      <w:r w:rsidRPr="00D27054">
        <w:t>time period</w:t>
      </w:r>
      <w:proofErr w:type="gramEnd"/>
      <w:r w:rsidRPr="00D27054">
        <w:t xml:space="preserve">. This comparison group was composed of individuals who previously received at least </w:t>
      </w:r>
      <w:r w:rsidR="000F6381">
        <w:t>two</w:t>
      </w:r>
      <w:r w:rsidRPr="00D27054">
        <w:t xml:space="preserve"> doses of a COVID-19 mRNA vaccine only (N</w:t>
      </w:r>
      <w:r w:rsidR="00D27054" w:rsidRPr="00D27054">
        <w:t xml:space="preserve"> </w:t>
      </w:r>
      <w:r w:rsidRPr="00D27054">
        <w:t>=</w:t>
      </w:r>
      <w:r w:rsidR="00D27054" w:rsidRPr="00D27054">
        <w:t xml:space="preserve"> </w:t>
      </w:r>
      <w:r w:rsidRPr="00D27054">
        <w:t>257,670) or did not receive any COVID-19 vaccine previously (unvaccinated) (N</w:t>
      </w:r>
      <w:r w:rsidR="00D27054" w:rsidRPr="00D27054">
        <w:t xml:space="preserve"> </w:t>
      </w:r>
      <w:r w:rsidRPr="00D27054">
        <w:t>=</w:t>
      </w:r>
      <w:r w:rsidR="00D27054" w:rsidRPr="00D27054">
        <w:t xml:space="preserve"> </w:t>
      </w:r>
      <w:r w:rsidRPr="00D27054">
        <w:t xml:space="preserve">57,167). The outcomes of hospitalization due to COVID-19, medically attended SARS-CoV-2 infection resulting in </w:t>
      </w:r>
      <w:r w:rsidR="000F6381">
        <w:t>e</w:t>
      </w:r>
      <w:r w:rsidRPr="00D27054">
        <w:t xml:space="preserve">mergency </w:t>
      </w:r>
      <w:r w:rsidR="000F6381">
        <w:t>r</w:t>
      </w:r>
      <w:r w:rsidRPr="00D27054">
        <w:t>oom</w:t>
      </w:r>
      <w:r w:rsidR="000F6381">
        <w:t>/u</w:t>
      </w:r>
      <w:r w:rsidRPr="00D27054">
        <w:t xml:space="preserve">rgent </w:t>
      </w:r>
      <w:r w:rsidR="000F6381">
        <w:t>c</w:t>
      </w:r>
      <w:r w:rsidRPr="00D27054">
        <w:t xml:space="preserve">are visit, and COVID-19 hospital death were assessed through 31 </w:t>
      </w:r>
      <w:r w:rsidR="00D27054" w:rsidRPr="00D27054">
        <w:lastRenderedPageBreak/>
        <w:t>December</w:t>
      </w:r>
      <w:r w:rsidRPr="00D27054">
        <w:t xml:space="preserve"> 2022. The mean age of the bivalent vaccinated, and comparators was 59 and 58 years, respectively. Among recipients of the bivalent vaccine, the incidence of COVID-19 hospitali</w:t>
      </w:r>
      <w:r w:rsidR="000F6381">
        <w:t>s</w:t>
      </w:r>
      <w:r w:rsidRPr="00D27054">
        <w:t xml:space="preserve">ation, medically attended SARS-CoV-2 infection, and death (per 1000 </w:t>
      </w:r>
      <w:r w:rsidR="00DA741F">
        <w:t>patient-years</w:t>
      </w:r>
      <w:r w:rsidRPr="00D27054">
        <w:t>) was 2.3 (95% CI: 1.76-2.88), 12.7 (95% CI:11.4</w:t>
      </w:r>
      <w:r w:rsidR="000F6381">
        <w:t xml:space="preserve"> to </w:t>
      </w:r>
      <w:r w:rsidRPr="00D27054">
        <w:t>14.1), and 0.07 (95% CI: 0.02</w:t>
      </w:r>
      <w:r w:rsidR="000F6381">
        <w:t xml:space="preserve"> to </w:t>
      </w:r>
      <w:r w:rsidRPr="00D27054">
        <w:t>0.3), respectively. Among the matched comparators, the incidence of COVID-19 hospitali</w:t>
      </w:r>
      <w:r w:rsidR="00D27054" w:rsidRPr="00D27054">
        <w:t>s</w:t>
      </w:r>
      <w:r w:rsidRPr="00D27054">
        <w:t xml:space="preserve">ation, medically attended SARS-CoV-2 infection, and death (per 1000 </w:t>
      </w:r>
      <w:r w:rsidR="00DA741F">
        <w:t>patient-years</w:t>
      </w:r>
      <w:r w:rsidRPr="00D27054">
        <w:t>) was 8.2 (95% CI: 9.1</w:t>
      </w:r>
      <w:r w:rsidR="000F6381">
        <w:t xml:space="preserve"> to </w:t>
      </w:r>
      <w:r w:rsidRPr="00D27054">
        <w:t>7.4), 23.1 (95% CI: 24.5</w:t>
      </w:r>
      <w:r w:rsidR="000F6381">
        <w:t xml:space="preserve"> to </w:t>
      </w:r>
      <w:r w:rsidRPr="00D27054">
        <w:t>21.7), and 0.23 (95% CI: 0.43</w:t>
      </w:r>
      <w:r w:rsidR="000F6381">
        <w:t xml:space="preserve"> to </w:t>
      </w:r>
      <w:r w:rsidRPr="00D27054">
        <w:t>0.12), respectively.</w:t>
      </w:r>
    </w:p>
    <w:p w14:paraId="3E63690D" w14:textId="68B1C59D" w:rsidR="00AF46E8" w:rsidRPr="00D27054" w:rsidRDefault="00AF46E8" w:rsidP="00D27054">
      <w:pPr>
        <w:pStyle w:val="ListBullet"/>
      </w:pPr>
      <w:r w:rsidRPr="00D27054">
        <w:t xml:space="preserve">The relative vaccine effectiveness among individuals who received the bivalent vaccine compared to those who received at least </w:t>
      </w:r>
      <w:r w:rsidR="000F6381">
        <w:t>two</w:t>
      </w:r>
      <w:r w:rsidRPr="00D27054">
        <w:t xml:space="preserve"> doses of any mRNA vaccine only was 73.1% (95% CI: 63.8%</w:t>
      </w:r>
      <w:r w:rsidR="000F6381">
        <w:t xml:space="preserve"> to </w:t>
      </w:r>
      <w:r w:rsidRPr="00D27054">
        <w:t>80%) against hospitali</w:t>
      </w:r>
      <w:r w:rsidR="00D27054">
        <w:t>s</w:t>
      </w:r>
      <w:r w:rsidRPr="00D27054">
        <w:t>ation, 56.4% (95% CI: 50.1%</w:t>
      </w:r>
      <w:r w:rsidR="000F6381">
        <w:t xml:space="preserve"> to </w:t>
      </w:r>
      <w:r w:rsidRPr="00D27054">
        <w:t xml:space="preserve">61.9%) against medically attended SARS-CoV-2 infection resulting in </w:t>
      </w:r>
      <w:r w:rsidR="000F6381">
        <w:t>e</w:t>
      </w:r>
      <w:r w:rsidR="000F6381" w:rsidRPr="00D27054">
        <w:t xml:space="preserve">mergency </w:t>
      </w:r>
      <w:r w:rsidR="000F6381">
        <w:t>r</w:t>
      </w:r>
      <w:r w:rsidR="000F6381" w:rsidRPr="00D27054">
        <w:t>oom</w:t>
      </w:r>
      <w:r w:rsidR="000F6381">
        <w:t>/u</w:t>
      </w:r>
      <w:r w:rsidR="000F6381" w:rsidRPr="00D27054">
        <w:t xml:space="preserve">rgent </w:t>
      </w:r>
      <w:r w:rsidR="000F6381">
        <w:t>c</w:t>
      </w:r>
      <w:r w:rsidR="000F6381" w:rsidRPr="00D27054">
        <w:t xml:space="preserve">are </w:t>
      </w:r>
      <w:r w:rsidRPr="00D27054">
        <w:t>visit, and 56.4% (95% CI: -62.4%</w:t>
      </w:r>
      <w:r w:rsidR="000F6381">
        <w:t xml:space="preserve"> to </w:t>
      </w:r>
      <w:r w:rsidRPr="00D27054">
        <w:t>92.9%) against COVID-19 death.</w:t>
      </w:r>
    </w:p>
    <w:p w14:paraId="06C1DE62" w14:textId="0F9DB7BE" w:rsidR="00AF46E8" w:rsidRPr="00D27054" w:rsidRDefault="00AF46E8" w:rsidP="00D27054">
      <w:pPr>
        <w:pStyle w:val="ListBullet"/>
      </w:pPr>
      <w:r w:rsidRPr="00D27054">
        <w:t xml:space="preserve">The absolute vaccine effectiveness of receipt of the bivalent vaccine as compared those who were unvaccinated was 82.9% (95% CI: 75% </w:t>
      </w:r>
      <w:r w:rsidR="000F6381">
        <w:t>to</w:t>
      </w:r>
      <w:r w:rsidRPr="00D27054">
        <w:t xml:space="preserve"> 88.3%) against hospitali</w:t>
      </w:r>
      <w:r w:rsidR="000F6381">
        <w:t>s</w:t>
      </w:r>
      <w:r w:rsidRPr="00D27054">
        <w:t>ation, 56.5% (95% CI: 46.5%</w:t>
      </w:r>
      <w:r w:rsidR="000F6381">
        <w:t xml:space="preserve"> to</w:t>
      </w:r>
      <w:r w:rsidRPr="00D27054">
        <w:t xml:space="preserve"> 64.6%) against medically attended SARS-CoV-2 infection resulting in </w:t>
      </w:r>
      <w:r w:rsidR="000F6381">
        <w:t>e</w:t>
      </w:r>
      <w:r w:rsidR="000F6381" w:rsidRPr="00D27054">
        <w:t xml:space="preserve">mergency </w:t>
      </w:r>
      <w:r w:rsidR="000F6381">
        <w:t>r</w:t>
      </w:r>
      <w:r w:rsidR="000F6381" w:rsidRPr="00D27054">
        <w:t>oom</w:t>
      </w:r>
      <w:r w:rsidR="000F6381">
        <w:t>/u</w:t>
      </w:r>
      <w:r w:rsidR="000F6381" w:rsidRPr="00D27054">
        <w:t xml:space="preserve">rgent </w:t>
      </w:r>
      <w:r w:rsidR="000F6381">
        <w:t>c</w:t>
      </w:r>
      <w:r w:rsidR="000F6381" w:rsidRPr="00D27054">
        <w:t xml:space="preserve">are </w:t>
      </w:r>
      <w:r w:rsidRPr="00D27054">
        <w:t>visit, and 90% (95% CI: 35.5%</w:t>
      </w:r>
      <w:r w:rsidR="000F6381">
        <w:t xml:space="preserve"> to </w:t>
      </w:r>
      <w:r w:rsidRPr="00D27054">
        <w:t>98.5%) against death.</w:t>
      </w:r>
    </w:p>
    <w:p w14:paraId="567D1417" w14:textId="2266AF84" w:rsidR="00AF46E8" w:rsidRPr="00D27054" w:rsidRDefault="00AF46E8" w:rsidP="00D27054">
      <w:r w:rsidRPr="00D27054">
        <w:t xml:space="preserve">An updated formal analysis (summary presented below) is currently being conducted with KPSC that will assess outcomes through 31 </w:t>
      </w:r>
      <w:r w:rsidR="000F6381">
        <w:t>January</w:t>
      </w:r>
      <w:r w:rsidRPr="00D27054">
        <w:t xml:space="preserve"> 2023 among individuals who received a bivalent vaccination through 31 </w:t>
      </w:r>
      <w:r w:rsidR="000F6381">
        <w:t>December</w:t>
      </w:r>
      <w:r w:rsidRPr="00D27054">
        <w:t xml:space="preserve"> 2022. The results of this analysis are planned to be completed and submitted for publication to a scientific journal by </w:t>
      </w:r>
      <w:r w:rsidR="00DA741F">
        <w:t xml:space="preserve">second quarter of </w:t>
      </w:r>
      <w:r w:rsidRPr="00D27054">
        <w:t>2023.</w:t>
      </w:r>
      <w:r w:rsidR="009C62D5">
        <w:rPr>
          <w:rStyle w:val="FootnoteReference"/>
        </w:rPr>
        <w:footnoteReference w:id="7"/>
      </w:r>
    </w:p>
    <w:p w14:paraId="1778A2EE" w14:textId="275AEB70" w:rsidR="00AF46E8" w:rsidRPr="009C62D5" w:rsidRDefault="00AF46E8" w:rsidP="009C62D5">
      <w:r w:rsidRPr="009C62D5">
        <w:t>Study Design</w:t>
      </w:r>
    </w:p>
    <w:p w14:paraId="0A0F3F82" w14:textId="77777777" w:rsidR="00AF46E8" w:rsidRDefault="00AF46E8" w:rsidP="009C62D5">
      <w:pPr>
        <w:pStyle w:val="ListBullet"/>
      </w:pPr>
      <w:r w:rsidRPr="00C36608">
        <w:t xml:space="preserve">Matched cohort design </w:t>
      </w:r>
    </w:p>
    <w:p w14:paraId="060416CD" w14:textId="6574ED13" w:rsidR="00AF46E8" w:rsidRDefault="000F6381" w:rsidP="009C62D5">
      <w:pPr>
        <w:pStyle w:val="ListBullet"/>
      </w:pPr>
      <w:r>
        <w:t>three</w:t>
      </w:r>
      <w:r w:rsidR="00AF46E8" w:rsidRPr="00C36608">
        <w:t xml:space="preserve"> groups of adults </w:t>
      </w:r>
      <w:r>
        <w:t xml:space="preserve">at least </w:t>
      </w:r>
      <w:r w:rsidR="00AF46E8" w:rsidRPr="00C36608">
        <w:t>18 years (1:2:1 ratio)</w:t>
      </w:r>
    </w:p>
    <w:p w14:paraId="65EB6F44" w14:textId="2ED85746" w:rsidR="00AF46E8" w:rsidRDefault="00AF46E8" w:rsidP="009C62D5">
      <w:pPr>
        <w:pStyle w:val="ListBullet2"/>
      </w:pPr>
      <w:r w:rsidRPr="00C36608">
        <w:t xml:space="preserve">Individuals who received </w:t>
      </w:r>
      <w:r w:rsidR="00E9319F">
        <w:t>at least</w:t>
      </w:r>
      <w:r w:rsidRPr="00C36608">
        <w:t xml:space="preserve"> </w:t>
      </w:r>
      <w:r w:rsidR="00E9319F">
        <w:t>two</w:t>
      </w:r>
      <w:r w:rsidRPr="00C36608">
        <w:t xml:space="preserve"> doses of any mRNA vaccine + Moderna BA.4</w:t>
      </w:r>
      <w:r w:rsidR="00DA741F">
        <w:t>-</w:t>
      </w:r>
      <w:r w:rsidRPr="00C36608">
        <w:t>5 booster</w:t>
      </w:r>
    </w:p>
    <w:p w14:paraId="141877C5" w14:textId="0341FDA2" w:rsidR="00AF46E8" w:rsidRDefault="00AF46E8" w:rsidP="009C62D5">
      <w:pPr>
        <w:pStyle w:val="ListBullet2"/>
      </w:pPr>
      <w:r w:rsidRPr="00C36608">
        <w:t xml:space="preserve">Individuals who received </w:t>
      </w:r>
      <w:r w:rsidR="00E9319F">
        <w:t>at least two</w:t>
      </w:r>
      <w:r w:rsidRPr="00C36608">
        <w:t xml:space="preserve"> doses of any mRNA vaccine only</w:t>
      </w:r>
    </w:p>
    <w:p w14:paraId="09B781E8" w14:textId="77777777" w:rsidR="00AF46E8" w:rsidRDefault="00AF46E8" w:rsidP="009C62D5">
      <w:pPr>
        <w:pStyle w:val="ListBullet2"/>
      </w:pPr>
      <w:r w:rsidRPr="00C36608">
        <w:t>Unvaccinated individuals</w:t>
      </w:r>
    </w:p>
    <w:p w14:paraId="5FFF63BE" w14:textId="315A27BF" w:rsidR="00AF46E8" w:rsidRPr="00C36608" w:rsidRDefault="00AF46E8" w:rsidP="009C62D5">
      <w:pPr>
        <w:pStyle w:val="ListBullet"/>
      </w:pPr>
      <w:r w:rsidRPr="00C36608">
        <w:t xml:space="preserve">Matched on age, sex, race/ethnicity, and the index </w:t>
      </w:r>
      <w:proofErr w:type="gramStart"/>
      <w:r w:rsidRPr="00C36608">
        <w:t>date</w:t>
      </w:r>
      <w:proofErr w:type="gramEnd"/>
    </w:p>
    <w:p w14:paraId="63A24E48" w14:textId="77777777" w:rsidR="00AF46E8" w:rsidRPr="009C62D5" w:rsidRDefault="00AF46E8" w:rsidP="009C62D5">
      <w:r w:rsidRPr="009C62D5">
        <w:t>Study Period</w:t>
      </w:r>
    </w:p>
    <w:p w14:paraId="64A20D53" w14:textId="5364E94C" w:rsidR="00AF46E8" w:rsidRDefault="00AF46E8" w:rsidP="009C62D5">
      <w:pPr>
        <w:pStyle w:val="ListBullet"/>
      </w:pPr>
      <w:r w:rsidRPr="00C36608">
        <w:t>Moderna BA.4</w:t>
      </w:r>
      <w:r w:rsidR="00DA741F">
        <w:t>-</w:t>
      </w:r>
      <w:r w:rsidRPr="00C36608">
        <w:t xml:space="preserve">5 bivalent vaccine administered </w:t>
      </w:r>
      <w:r>
        <w:t>31</w:t>
      </w:r>
      <w:r w:rsidR="009C62D5">
        <w:t xml:space="preserve"> August </w:t>
      </w:r>
      <w:r w:rsidRPr="00C36608">
        <w:t>2022</w:t>
      </w:r>
      <w:r w:rsidR="009C62D5">
        <w:t xml:space="preserve"> to </w:t>
      </w:r>
      <w:r>
        <w:t>31</w:t>
      </w:r>
      <w:r w:rsidR="009C62D5">
        <w:t xml:space="preserve"> December </w:t>
      </w:r>
      <w:r w:rsidRPr="00C36608">
        <w:t>2022</w:t>
      </w:r>
    </w:p>
    <w:p w14:paraId="37E61BF1" w14:textId="7D1A8C40" w:rsidR="00AF46E8" w:rsidRDefault="00AF46E8" w:rsidP="009C62D5">
      <w:pPr>
        <w:pStyle w:val="ListBullet"/>
      </w:pPr>
      <w:r w:rsidRPr="00C36608">
        <w:t>Follow</w:t>
      </w:r>
      <w:r w:rsidR="00E9319F">
        <w:t xml:space="preserve"> </w:t>
      </w:r>
      <w:r w:rsidRPr="00C36608">
        <w:t xml:space="preserve">up through </w:t>
      </w:r>
      <w:r>
        <w:t>31</w:t>
      </w:r>
      <w:r w:rsidR="009C62D5">
        <w:t xml:space="preserve"> January </w:t>
      </w:r>
      <w:r w:rsidRPr="00C36608">
        <w:t>2023</w:t>
      </w:r>
    </w:p>
    <w:p w14:paraId="632952B9" w14:textId="350A5B79" w:rsidR="00AF46E8" w:rsidRDefault="009C62D5" w:rsidP="009C62D5">
      <w:pPr>
        <w:pStyle w:val="FigureTitle"/>
        <w:keepNext/>
      </w:pPr>
      <w:r w:rsidRPr="009C62D5">
        <w:lastRenderedPageBreak/>
        <w:t xml:space="preserve">Figure </w:t>
      </w:r>
      <w:fldSimple w:instr=" SEQ Figure \* ARABIC ">
        <w:r w:rsidR="007D13D5">
          <w:rPr>
            <w:noProof/>
          </w:rPr>
          <w:t>2</w:t>
        </w:r>
      </w:fldSimple>
      <w:r w:rsidRPr="009C62D5">
        <w:t>:</w:t>
      </w:r>
      <w:r>
        <w:t xml:space="preserve"> Study </w:t>
      </w:r>
      <w:r w:rsidR="00865309">
        <w:t>P</w:t>
      </w:r>
      <w:r>
        <w:t>901 Comparisons for vaccine effectiveness</w:t>
      </w:r>
      <w:r w:rsidR="00783DA7">
        <w:fldChar w:fldCharType="begin"/>
      </w:r>
      <w:r w:rsidR="00783DA7">
        <w:instrText xml:space="preserve"> DOCVARIABLE vault_nd_dd28e063-c84c-4c01-94cb-e7870322</w:instrText>
      </w:r>
      <w:r w:rsidR="00783DA7">
        <w:instrText xml:space="preserve">893b \* MERGEFORMAT </w:instrText>
      </w:r>
      <w:r w:rsidR="00783DA7">
        <w:fldChar w:fldCharType="separate"/>
      </w:r>
      <w:r w:rsidR="007D13D5">
        <w:t xml:space="preserve"> </w:t>
      </w:r>
      <w:r w:rsidR="00783DA7">
        <w:fldChar w:fldCharType="end"/>
      </w:r>
    </w:p>
    <w:p w14:paraId="3EE80F1D" w14:textId="2814F368" w:rsidR="009C62D5" w:rsidRDefault="009C62D5" w:rsidP="009C62D5">
      <w:r>
        <w:rPr>
          <w:noProof/>
        </w:rPr>
        <w:drawing>
          <wp:inline distT="0" distB="0" distL="0" distR="0" wp14:anchorId="1D44CD24" wp14:editId="51FC2C3B">
            <wp:extent cx="5446373" cy="1954392"/>
            <wp:effectExtent l="0" t="0" r="2540" b="8255"/>
            <wp:docPr id="1" name="Picture 1" descr="Study 901 Comparisons for vaccine effectiv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udy 901 Comparisons for vaccine effectiveness"/>
                    <pic:cNvPicPr/>
                  </pic:nvPicPr>
                  <pic:blipFill rotWithShape="1">
                    <a:blip r:embed="rId56"/>
                    <a:srcRect t="29328"/>
                    <a:stretch/>
                  </pic:blipFill>
                  <pic:spPr bwMode="auto">
                    <a:xfrm>
                      <a:off x="0" y="0"/>
                      <a:ext cx="5448153" cy="1955031"/>
                    </a:xfrm>
                    <a:prstGeom prst="rect">
                      <a:avLst/>
                    </a:prstGeom>
                    <a:ln>
                      <a:noFill/>
                    </a:ln>
                    <a:extLst>
                      <a:ext uri="{53640926-AAD7-44D8-BBD7-CCE9431645EC}">
                        <a14:shadowObscured xmlns:a14="http://schemas.microsoft.com/office/drawing/2010/main"/>
                      </a:ext>
                    </a:extLst>
                  </pic:spPr>
                </pic:pic>
              </a:graphicData>
            </a:graphic>
          </wp:inline>
        </w:drawing>
      </w:r>
    </w:p>
    <w:p w14:paraId="46CA9C3F" w14:textId="6926BB16" w:rsidR="009C62D5" w:rsidRDefault="009C62D5" w:rsidP="009C62D5">
      <w:pPr>
        <w:pStyle w:val="FigureTitle"/>
      </w:pPr>
      <w:r w:rsidRPr="009C62D5">
        <w:t xml:space="preserve">Figure </w:t>
      </w:r>
      <w:fldSimple w:instr=" SEQ Figure \* ARABIC ">
        <w:r w:rsidR="007D13D5">
          <w:rPr>
            <w:noProof/>
          </w:rPr>
          <w:t>3</w:t>
        </w:r>
      </w:fldSimple>
      <w:r w:rsidRPr="009C62D5">
        <w:t>:</w:t>
      </w:r>
      <w:r>
        <w:t xml:space="preserve"> Study </w:t>
      </w:r>
      <w:r w:rsidR="00865309">
        <w:t>P</w:t>
      </w:r>
      <w:r>
        <w:t>901 SARS-CoV-2 variant distribution, August 2022 to January 2023</w:t>
      </w:r>
      <w:r w:rsidR="00783DA7">
        <w:fldChar w:fldCharType="begin"/>
      </w:r>
      <w:r w:rsidR="00783DA7">
        <w:instrText xml:space="preserve"> DOCVARIABLE vault_nd_8ef5640d-f42d-4d3e-b23f-f82b32489c3c \* MERGEFORMAT </w:instrText>
      </w:r>
      <w:r w:rsidR="00783DA7">
        <w:fldChar w:fldCharType="separate"/>
      </w:r>
      <w:r w:rsidR="007D13D5">
        <w:t xml:space="preserve"> </w:t>
      </w:r>
      <w:r w:rsidR="00783DA7">
        <w:fldChar w:fldCharType="end"/>
      </w:r>
    </w:p>
    <w:p w14:paraId="0BC1A046" w14:textId="49536811" w:rsidR="009C62D5" w:rsidRDefault="009C62D5" w:rsidP="009C62D5">
      <w:r>
        <w:rPr>
          <w:noProof/>
        </w:rPr>
        <w:drawing>
          <wp:inline distT="0" distB="0" distL="0" distR="0" wp14:anchorId="190F8E85" wp14:editId="6B31EB20">
            <wp:extent cx="5279666" cy="2326483"/>
            <wp:effectExtent l="0" t="0" r="0" b="0"/>
            <wp:docPr id="3" name="Picture 3" descr="Study 901 SARS-CoV-2 variant distribution, August 2022 to Januar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tudy 901 SARS-CoV-2 variant distribution, August 2022 to January 2023"/>
                    <pic:cNvPicPr/>
                  </pic:nvPicPr>
                  <pic:blipFill rotWithShape="1">
                    <a:blip r:embed="rId57"/>
                    <a:srcRect t="28077"/>
                    <a:stretch/>
                  </pic:blipFill>
                  <pic:spPr bwMode="auto">
                    <a:xfrm>
                      <a:off x="0" y="0"/>
                      <a:ext cx="5292216" cy="2332013"/>
                    </a:xfrm>
                    <a:prstGeom prst="rect">
                      <a:avLst/>
                    </a:prstGeom>
                    <a:ln>
                      <a:noFill/>
                    </a:ln>
                    <a:extLst>
                      <a:ext uri="{53640926-AAD7-44D8-BBD7-CCE9431645EC}">
                        <a14:shadowObscured xmlns:a14="http://schemas.microsoft.com/office/drawing/2010/main"/>
                      </a:ext>
                    </a:extLst>
                  </pic:spPr>
                </pic:pic>
              </a:graphicData>
            </a:graphic>
          </wp:inline>
        </w:drawing>
      </w:r>
    </w:p>
    <w:p w14:paraId="1FCC21CE" w14:textId="18CD082A" w:rsidR="009C62D5" w:rsidRDefault="005C585A" w:rsidP="005C585A">
      <w:pPr>
        <w:pStyle w:val="TableTitle"/>
      </w:pPr>
      <w:r w:rsidRPr="005C585A">
        <w:t xml:space="preserve">Table </w:t>
      </w:r>
      <w:fldSimple w:instr=" SEQ Table \* ARABIC ">
        <w:r w:rsidR="007D13D5">
          <w:rPr>
            <w:noProof/>
          </w:rPr>
          <w:t>12</w:t>
        </w:r>
      </w:fldSimple>
      <w:r w:rsidRPr="005C585A">
        <w:t>:</w:t>
      </w:r>
      <w:r>
        <w:t xml:space="preserve"> Study </w:t>
      </w:r>
      <w:r w:rsidR="00865309">
        <w:t>P</w:t>
      </w:r>
      <w:r>
        <w:t>901 Population baseline characteristics (31 August 2022 to 31 January 2023)</w:t>
      </w:r>
      <w:r w:rsidR="00783DA7">
        <w:fldChar w:fldCharType="begin"/>
      </w:r>
      <w:r w:rsidR="00783DA7">
        <w:instrText xml:space="preserve"> DOCVARIABLE vault_nd_779bc09a-c4e1-4380-966c-490ac2182197 </w:instrText>
      </w:r>
      <w:r w:rsidR="00783DA7">
        <w:instrText xml:space="preserve">\* MERGEFORMAT </w:instrText>
      </w:r>
      <w:r w:rsidR="00783DA7">
        <w:fldChar w:fldCharType="separate"/>
      </w:r>
      <w:r w:rsidR="007D13D5">
        <w:t xml:space="preserve"> </w:t>
      </w:r>
      <w:r w:rsidR="00783DA7">
        <w:fldChar w:fldCharType="end"/>
      </w:r>
    </w:p>
    <w:p w14:paraId="25EDEEE3" w14:textId="33634690" w:rsidR="005C585A" w:rsidRDefault="005C585A" w:rsidP="005C585A">
      <w:r>
        <w:rPr>
          <w:noProof/>
        </w:rPr>
        <w:drawing>
          <wp:inline distT="0" distB="0" distL="0" distR="0" wp14:anchorId="218A556D" wp14:editId="1191D310">
            <wp:extent cx="5375082" cy="2455940"/>
            <wp:effectExtent l="0" t="0" r="0" b="1905"/>
            <wp:docPr id="10" name="Picture 10" descr="Study 901 Population baseline characteristics (31 August 2022 to 31 Januar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udy 901 Population baseline characteristics (31 August 2022 to 31 January 2023)"/>
                    <pic:cNvPicPr/>
                  </pic:nvPicPr>
                  <pic:blipFill rotWithShape="1">
                    <a:blip r:embed="rId58"/>
                    <a:srcRect t="21085"/>
                    <a:stretch/>
                  </pic:blipFill>
                  <pic:spPr bwMode="auto">
                    <a:xfrm>
                      <a:off x="0" y="0"/>
                      <a:ext cx="5386114" cy="2460981"/>
                    </a:xfrm>
                    <a:prstGeom prst="rect">
                      <a:avLst/>
                    </a:prstGeom>
                    <a:ln>
                      <a:noFill/>
                    </a:ln>
                    <a:extLst>
                      <a:ext uri="{53640926-AAD7-44D8-BBD7-CCE9431645EC}">
                        <a14:shadowObscured xmlns:a14="http://schemas.microsoft.com/office/drawing/2010/main"/>
                      </a:ext>
                    </a:extLst>
                  </pic:spPr>
                </pic:pic>
              </a:graphicData>
            </a:graphic>
          </wp:inline>
        </w:drawing>
      </w:r>
    </w:p>
    <w:p w14:paraId="0296C680" w14:textId="38EC0F9D" w:rsidR="005C585A" w:rsidRDefault="005C585A" w:rsidP="005C585A">
      <w:pPr>
        <w:pStyle w:val="TableTitle"/>
      </w:pPr>
      <w:r w:rsidRPr="005C585A">
        <w:lastRenderedPageBreak/>
        <w:t xml:space="preserve">Table </w:t>
      </w:r>
      <w:fldSimple w:instr=" SEQ Table \* ARABIC ">
        <w:r w:rsidR="007D13D5">
          <w:rPr>
            <w:noProof/>
          </w:rPr>
          <w:t>13</w:t>
        </w:r>
      </w:fldSimple>
      <w:r w:rsidRPr="005C585A">
        <w:t>:</w:t>
      </w:r>
      <w:r>
        <w:t xml:space="preserve"> Study </w:t>
      </w:r>
      <w:r w:rsidR="00865309">
        <w:t>P</w:t>
      </w:r>
      <w:r>
        <w:t>901 effectiveness of Moderna BA.4/5 bivalent mRNA vaccine (31 August 2022 to 31 January 2023)</w:t>
      </w:r>
      <w:r w:rsidR="00783DA7">
        <w:fldChar w:fldCharType="begin"/>
      </w:r>
      <w:r w:rsidR="00783DA7">
        <w:instrText xml:space="preserve"> DOCVARIABLE vault_nd_6d15baa0-f204-4797-b2ed-bde39262b632 \* MERGEFORMAT </w:instrText>
      </w:r>
      <w:r w:rsidR="00783DA7">
        <w:fldChar w:fldCharType="separate"/>
      </w:r>
      <w:r w:rsidR="007D13D5">
        <w:t xml:space="preserve"> </w:t>
      </w:r>
      <w:r w:rsidR="00783DA7">
        <w:fldChar w:fldCharType="end"/>
      </w:r>
    </w:p>
    <w:p w14:paraId="113D6E52" w14:textId="73344EE4" w:rsidR="005C585A" w:rsidRDefault="005C585A" w:rsidP="005C585A">
      <w:r>
        <w:rPr>
          <w:noProof/>
        </w:rPr>
        <w:drawing>
          <wp:inline distT="0" distB="0" distL="0" distR="0" wp14:anchorId="7CE3E177" wp14:editId="6ED95AF0">
            <wp:extent cx="5374640" cy="2449188"/>
            <wp:effectExtent l="0" t="0" r="0" b="8890"/>
            <wp:docPr id="14" name="Picture 14" descr="Study 901 effectiveness of Moderna BA.4/5 bivalent mRNA vaccine (31 August 2022 to 31 Januar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tudy 901 effectiveness of Moderna BA.4/5 bivalent mRNA vaccine (31 August 2022 to 31 January 2023)."/>
                    <pic:cNvPicPr/>
                  </pic:nvPicPr>
                  <pic:blipFill rotWithShape="1">
                    <a:blip r:embed="rId59"/>
                    <a:srcRect t="21129"/>
                    <a:stretch/>
                  </pic:blipFill>
                  <pic:spPr bwMode="auto">
                    <a:xfrm>
                      <a:off x="0" y="0"/>
                      <a:ext cx="5382810" cy="2452911"/>
                    </a:xfrm>
                    <a:prstGeom prst="rect">
                      <a:avLst/>
                    </a:prstGeom>
                    <a:ln>
                      <a:noFill/>
                    </a:ln>
                    <a:extLst>
                      <a:ext uri="{53640926-AAD7-44D8-BBD7-CCE9431645EC}">
                        <a14:shadowObscured xmlns:a14="http://schemas.microsoft.com/office/drawing/2010/main"/>
                      </a:ext>
                    </a:extLst>
                  </pic:spPr>
                </pic:pic>
              </a:graphicData>
            </a:graphic>
          </wp:inline>
        </w:drawing>
      </w:r>
    </w:p>
    <w:p w14:paraId="5F7C1D16" w14:textId="4809E712" w:rsidR="005C585A" w:rsidRPr="005C585A" w:rsidRDefault="005C585A" w:rsidP="005C585A">
      <w:r w:rsidRPr="005C585A">
        <w:t>The sponsor concludes that Spikevax BA.4</w:t>
      </w:r>
      <w:r w:rsidR="00E9319F">
        <w:t>-</w:t>
      </w:r>
      <w:r w:rsidRPr="005C585A">
        <w:t xml:space="preserve">5 booster was effective against COVID-19 when </w:t>
      </w:r>
      <w:r w:rsidR="00DA741F">
        <w:t xml:space="preserve">Omicron </w:t>
      </w:r>
      <w:r w:rsidRPr="005C585A">
        <w:t>BA.5 was the predominant circulating strain. This conclusion is considered acceptable.</w:t>
      </w:r>
    </w:p>
    <w:p w14:paraId="167D23DA" w14:textId="066F114B" w:rsidR="005C585A" w:rsidRPr="005C585A" w:rsidRDefault="005C585A" w:rsidP="005C585A">
      <w:pPr>
        <w:pStyle w:val="Heading5"/>
      </w:pPr>
      <w:r w:rsidRPr="005C585A">
        <w:t xml:space="preserve">Study mRNA-1273-P901 </w:t>
      </w:r>
      <w:r w:rsidR="00E9319F">
        <w:t>i</w:t>
      </w:r>
      <w:r w:rsidRPr="005C585A">
        <w:t xml:space="preserve">nterim </w:t>
      </w:r>
      <w:r w:rsidR="00E9319F">
        <w:t>u</w:t>
      </w:r>
      <w:r w:rsidRPr="005C585A">
        <w:t>pdate</w:t>
      </w:r>
      <w:r w:rsidR="00783DA7">
        <w:fldChar w:fldCharType="begin"/>
      </w:r>
      <w:r w:rsidR="00783DA7">
        <w:instrText xml:space="preserve"> DOCVARIABLE vault_nd_16698bf7-a55f-439c-8593-5d72eeb7a21e</w:instrText>
      </w:r>
      <w:r w:rsidR="00783DA7">
        <w:instrText xml:space="preserve"> \* MERGEFORMAT </w:instrText>
      </w:r>
      <w:r w:rsidR="00783DA7">
        <w:fldChar w:fldCharType="separate"/>
      </w:r>
      <w:r w:rsidR="007D13D5">
        <w:t xml:space="preserve"> </w:t>
      </w:r>
      <w:r w:rsidR="00783DA7">
        <w:fldChar w:fldCharType="end"/>
      </w:r>
    </w:p>
    <w:p w14:paraId="59D50D34" w14:textId="19EFD5F9" w:rsidR="005C585A" w:rsidRPr="005C585A" w:rsidRDefault="005C585A" w:rsidP="005C585A">
      <w:r w:rsidRPr="005C585A">
        <w:t>The interim update</w:t>
      </w:r>
      <w:r w:rsidR="00E9319F">
        <w:t xml:space="preserve"> (June 2023)</w:t>
      </w:r>
      <w:r w:rsidRPr="005C585A">
        <w:t xml:space="preserve"> evaluated the vaccine effectiveness of an </w:t>
      </w:r>
      <w:r w:rsidR="00E9319F">
        <w:t>O</w:t>
      </w:r>
      <w:r w:rsidRPr="005C585A">
        <w:t>riginal/</w:t>
      </w:r>
      <w:r w:rsidR="00E9319F">
        <w:t xml:space="preserve">Omicron </w:t>
      </w:r>
      <w:r w:rsidRPr="005C585A">
        <w:t>BA.4</w:t>
      </w:r>
      <w:r w:rsidR="00E9319F">
        <w:t>-</w:t>
      </w:r>
      <w:r w:rsidRPr="005C585A">
        <w:t>5 bivalent booster vaccine (mRNA-1273.222) in preventing hospitali</w:t>
      </w:r>
      <w:r w:rsidR="00E9319F">
        <w:t>s</w:t>
      </w:r>
      <w:r w:rsidRPr="005C585A">
        <w:t>ation for COVID-19 (primary outcome) and medically attended SARS-CoV-2 infection and hospital death (secondary outcomes). This analysis included 290,292 individuals</w:t>
      </w:r>
      <w:r w:rsidR="00E9319F">
        <w:t xml:space="preserve"> aged at least</w:t>
      </w:r>
      <w:r w:rsidRPr="005C585A">
        <w:t xml:space="preserve"> 6 years of age (6</w:t>
      </w:r>
      <w:r w:rsidR="00E9319F">
        <w:t xml:space="preserve"> to </w:t>
      </w:r>
      <w:r w:rsidRPr="005C585A">
        <w:t>17 years, N</w:t>
      </w:r>
      <w:r w:rsidR="00F80961">
        <w:t xml:space="preserve"> </w:t>
      </w:r>
      <w:r w:rsidRPr="005C585A">
        <w:t>=</w:t>
      </w:r>
      <w:r w:rsidR="00F80961">
        <w:t xml:space="preserve"> </w:t>
      </w:r>
      <w:r w:rsidRPr="005C585A">
        <w:t xml:space="preserve">2715; </w:t>
      </w:r>
      <w:r w:rsidR="00E9319F">
        <w:t>m</w:t>
      </w:r>
      <w:r w:rsidRPr="005C585A">
        <w:t>edian age: 60</w:t>
      </w:r>
      <w:r w:rsidR="00F80961">
        <w:t> </w:t>
      </w:r>
      <w:r w:rsidRPr="005C585A">
        <w:t xml:space="preserve">years) who received mRNA-1273.222 as a booster dose following receipt of </w:t>
      </w:r>
      <w:r w:rsidR="00F80961">
        <w:t>two</w:t>
      </w:r>
      <w:r w:rsidRPr="005C585A">
        <w:t xml:space="preserve"> or more doses of original mRNA vaccines between 31 August 2022 and 31 December 2022 who are matched to 580,584 individuals who received </w:t>
      </w:r>
      <w:r w:rsidR="00F80961">
        <w:t>two</w:t>
      </w:r>
      <w:r w:rsidRPr="005C585A">
        <w:t xml:space="preserve"> or more doses of original mRNA vaccine only, and 204,655 unvaccinated individuals by date of vaccination, age, sex, and race/ethnicity.</w:t>
      </w:r>
    </w:p>
    <w:p w14:paraId="38C368E7" w14:textId="6280DB16" w:rsidR="005C585A" w:rsidRDefault="00F80961" w:rsidP="00F80961">
      <w:pPr>
        <w:pStyle w:val="TableTitle"/>
      </w:pPr>
      <w:r w:rsidRPr="00F80961">
        <w:t xml:space="preserve">Table </w:t>
      </w:r>
      <w:fldSimple w:instr=" SEQ Table \* ARABIC ">
        <w:r w:rsidR="007D13D5">
          <w:rPr>
            <w:noProof/>
          </w:rPr>
          <w:t>14</w:t>
        </w:r>
      </w:fldSimple>
      <w:r>
        <w:t xml:space="preserve">: </w:t>
      </w:r>
      <w:r w:rsidRPr="006A6895">
        <w:t xml:space="preserve">Comparison of baseline characteristics between individuals in the bivalent (original and Omicron BA.4/BA.5) mRNA-1273 COVID-19 vaccine cohort and the </w:t>
      </w:r>
      <w:r w:rsidR="00E9319F">
        <w:t>at least two</w:t>
      </w:r>
      <w:r w:rsidRPr="006A6895">
        <w:t xml:space="preserve"> monovalent mRNA vaccine cohort</w:t>
      </w:r>
      <w:r w:rsidR="00783DA7">
        <w:fldChar w:fldCharType="begin"/>
      </w:r>
      <w:r w:rsidR="00783DA7">
        <w:instrText xml:space="preserve"> DOCVARIABL</w:instrText>
      </w:r>
      <w:r w:rsidR="00783DA7">
        <w:instrText xml:space="preserve">E vault_nd_5e92628e-dba1-4bbe-ba42-5f6cb5414377 \* MERGEFORMAT </w:instrText>
      </w:r>
      <w:r w:rsidR="00783DA7">
        <w:fldChar w:fldCharType="separate"/>
      </w:r>
      <w:r w:rsidR="007D13D5">
        <w:t xml:space="preserve"> </w:t>
      </w:r>
      <w:r w:rsidR="00783DA7">
        <w:fldChar w:fldCharType="end"/>
      </w:r>
    </w:p>
    <w:p w14:paraId="46253C0D" w14:textId="6A1C5B48" w:rsidR="00F80961" w:rsidRDefault="00F80961" w:rsidP="00F80961">
      <w:r>
        <w:rPr>
          <w:noProof/>
        </w:rPr>
        <w:drawing>
          <wp:inline distT="0" distB="0" distL="0" distR="0" wp14:anchorId="116B14E2" wp14:editId="3AB8B79B">
            <wp:extent cx="5406390" cy="2922633"/>
            <wp:effectExtent l="0" t="0" r="3810" b="0"/>
            <wp:docPr id="15" name="Picture 15" descr="Comparison of baseline characteristics between individuals in the bivalent (original and Omicron BA.4/BA.5) mRNA-1273 COVID-19 vaccine cohort and the at least two monovalent mRNA vaccine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omparison of baseline characteristics between individuals in the bivalent (original and Omicron BA.4/BA.5) mRNA-1273 COVID-19 vaccine cohort and the at least two monovalent mRNA vaccine cohort"/>
                    <pic:cNvPicPr/>
                  </pic:nvPicPr>
                  <pic:blipFill rotWithShape="1">
                    <a:blip r:embed="rId60"/>
                    <a:srcRect t="1606"/>
                    <a:stretch/>
                  </pic:blipFill>
                  <pic:spPr bwMode="auto">
                    <a:xfrm>
                      <a:off x="0" y="0"/>
                      <a:ext cx="5409515" cy="2924322"/>
                    </a:xfrm>
                    <a:prstGeom prst="rect">
                      <a:avLst/>
                    </a:prstGeom>
                    <a:ln>
                      <a:noFill/>
                    </a:ln>
                    <a:extLst>
                      <a:ext uri="{53640926-AAD7-44D8-BBD7-CCE9431645EC}">
                        <a14:shadowObscured xmlns:a14="http://schemas.microsoft.com/office/drawing/2010/main"/>
                      </a:ext>
                    </a:extLst>
                  </pic:spPr>
                </pic:pic>
              </a:graphicData>
            </a:graphic>
          </wp:inline>
        </w:drawing>
      </w:r>
    </w:p>
    <w:p w14:paraId="5CA33F92" w14:textId="7995167B" w:rsidR="003911BD" w:rsidRDefault="00F80961">
      <w:r w:rsidRPr="00F80961">
        <w:lastRenderedPageBreak/>
        <w:t>The relative vaccine effectiveness (</w:t>
      </w:r>
      <w:proofErr w:type="spellStart"/>
      <w:r w:rsidRPr="00F80961">
        <w:t>rVE</w:t>
      </w:r>
      <w:proofErr w:type="spellEnd"/>
      <w:r w:rsidRPr="00F80961">
        <w:t>) of mRNA-1273.222 compared to individuals who received original mRNA vaccine only was 70.3% (95% CI: 64.0%</w:t>
      </w:r>
      <w:r w:rsidR="0085752E">
        <w:t xml:space="preserve"> to </w:t>
      </w:r>
      <w:r w:rsidRPr="00F80961">
        <w:t>75.4%) against COVID-19 hospitali</w:t>
      </w:r>
      <w:r w:rsidR="0085752E">
        <w:t>s</w:t>
      </w:r>
      <w:r w:rsidRPr="00F80961">
        <w:t>ation, 82.7%% (63.7%</w:t>
      </w:r>
      <w:r w:rsidR="0085752E">
        <w:t xml:space="preserve"> to </w:t>
      </w:r>
      <w:r w:rsidRPr="00F80961">
        <w:t>91.7%) against COVID-19 hospital death, and 55% (50.8%</w:t>
      </w:r>
      <w:r w:rsidR="0085752E">
        <w:t xml:space="preserve"> to </w:t>
      </w:r>
      <w:r w:rsidRPr="00F80961">
        <w:t>58.8%) against medically attended SARS-CoV-2 infection at an emergency department/urgent care visit. The vaccine effectiveness (VE) of mRNA-1273.222 compared to unvaccinated individuals was 82.8%% (78.8%</w:t>
      </w:r>
      <w:r w:rsidR="0085752E">
        <w:t xml:space="preserve"> to </w:t>
      </w:r>
      <w:r w:rsidRPr="00F80961">
        <w:t>86.0%) against COVID-19 hospitali</w:t>
      </w:r>
      <w:r w:rsidR="0085752E">
        <w:t>s</w:t>
      </w:r>
      <w:r w:rsidRPr="00F80961">
        <w:t>ation, 89.7%% (77.7%</w:t>
      </w:r>
      <w:r w:rsidR="0085752E">
        <w:t xml:space="preserve"> to </w:t>
      </w:r>
      <w:r w:rsidRPr="00F80961">
        <w:t>95.2%) against COVID-19 hospital death, and 55.4%% (50.3%</w:t>
      </w:r>
      <w:r w:rsidR="0085752E">
        <w:t xml:space="preserve"> to </w:t>
      </w:r>
      <w:r w:rsidRPr="00F80961">
        <w:t>60.1%) against medically attended SARS-</w:t>
      </w:r>
      <w:proofErr w:type="spellStart"/>
      <w:r w:rsidRPr="00F80961">
        <w:t>CoV</w:t>
      </w:r>
      <w:proofErr w:type="spellEnd"/>
      <w:r w:rsidRPr="00F80961">
        <w:t>- 2 infection at an emergency department/urgent care visit.</w:t>
      </w:r>
    </w:p>
    <w:p w14:paraId="5CE6C414" w14:textId="63E86CB9" w:rsidR="00F80961" w:rsidRDefault="00F80961" w:rsidP="00F80961">
      <w:pPr>
        <w:pStyle w:val="TableTitle"/>
      </w:pPr>
      <w:r w:rsidRPr="00F80961">
        <w:t xml:space="preserve">Figure </w:t>
      </w:r>
      <w:fldSimple w:instr=" SEQ Figure \* ARABIC ">
        <w:r w:rsidR="007D13D5">
          <w:rPr>
            <w:noProof/>
          </w:rPr>
          <w:t>4</w:t>
        </w:r>
      </w:fldSimple>
      <w:r>
        <w:t xml:space="preserve">: </w:t>
      </w:r>
      <w:r w:rsidRPr="00F80961">
        <w:t>(a) Relative vaccine effectiveness of the bivalent (original and Omicron BA.4</w:t>
      </w:r>
      <w:r w:rsidR="0085752E">
        <w:t>-</w:t>
      </w:r>
      <w:r w:rsidRPr="00F80961">
        <w:t xml:space="preserve">5) mRNA-1273 COVID-19 vaccine, compared to the </w:t>
      </w:r>
      <w:r w:rsidR="0085752E">
        <w:t>at least two</w:t>
      </w:r>
      <w:r w:rsidRPr="00F80961">
        <w:t xml:space="preserve"> monovalent mRNA vaccine group, and (b) Absolute vaccine effectiveness of the bivalent (original and Omicron BA.4</w:t>
      </w:r>
      <w:r w:rsidR="0085752E">
        <w:t>-</w:t>
      </w:r>
      <w:r w:rsidRPr="00F80961">
        <w:t>5) mRNA-1273 COVID-19 vaccine, compared to the COVID-19 unvaccinated group and their 95% confidence intervals in preventing hospitali</w:t>
      </w:r>
      <w:r>
        <w:t>s</w:t>
      </w:r>
      <w:r w:rsidRPr="00F80961">
        <w:t>ation for COVID-19, overall and by subgroups</w:t>
      </w:r>
      <w:r w:rsidR="00783DA7">
        <w:fldChar w:fldCharType="begin"/>
      </w:r>
      <w:r w:rsidR="00783DA7">
        <w:instrText xml:space="preserve"> DOCVARIABLE vault_nd_9cbc02c9-57c9-48</w:instrText>
      </w:r>
      <w:r w:rsidR="00783DA7">
        <w:instrText xml:space="preserve">e5-bc3a-eb32c3ec02d6 \* MERGEFORMAT </w:instrText>
      </w:r>
      <w:r w:rsidR="00783DA7">
        <w:fldChar w:fldCharType="separate"/>
      </w:r>
      <w:r w:rsidR="007D13D5">
        <w:t xml:space="preserve"> </w:t>
      </w:r>
      <w:r w:rsidR="00783DA7">
        <w:fldChar w:fldCharType="end"/>
      </w:r>
    </w:p>
    <w:p w14:paraId="6DF204BE" w14:textId="7ECCA40C" w:rsidR="00310643" w:rsidRDefault="00310643" w:rsidP="00F80961">
      <w:pPr>
        <w:pStyle w:val="TableTitle"/>
      </w:pPr>
      <w:r>
        <w:rPr>
          <w:noProof/>
        </w:rPr>
        <w:drawing>
          <wp:inline distT="0" distB="0" distL="0" distR="0" wp14:anchorId="1D8896A5" wp14:editId="7776AFA4">
            <wp:extent cx="5731510" cy="4119880"/>
            <wp:effectExtent l="0" t="0" r="2540" b="0"/>
            <wp:docPr id="18" name="Picture 18" descr="(a) Relative vaccine effectiveness of the bivalent (original and Omicron BA.4-5) mRNA-1273 COVID-19 vaccine, compared to the at least two monovalent mRNA vaccine group, and (b) Absolute vaccine effectiveness of the bivalent (original and Omicron BA.4-5) mRNA-1273 COVID-19 vaccine, compared to the COVID-19 unvaccinated group and their 95% confidence intervals in preventing hospitalisation for COVID-19, overall and by sub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Relative vaccine effectiveness of the bivalent (original and Omicron BA.4-5) mRNA-1273 COVID-19 vaccine, compared to the at least two monovalent mRNA vaccine group, and (b) Absolute vaccine effectiveness of the bivalent (original and Omicron BA.4-5) mRNA-1273 COVID-19 vaccine, compared to the COVID-19 unvaccinated group and their 95% confidence intervals in preventing hospitalisation for COVID-19, overall and by subgroups"/>
                    <pic:cNvPicPr/>
                  </pic:nvPicPr>
                  <pic:blipFill>
                    <a:blip r:embed="rId61"/>
                    <a:stretch>
                      <a:fillRect/>
                    </a:stretch>
                  </pic:blipFill>
                  <pic:spPr>
                    <a:xfrm>
                      <a:off x="0" y="0"/>
                      <a:ext cx="5731510" cy="4119880"/>
                    </a:xfrm>
                    <a:prstGeom prst="rect">
                      <a:avLst/>
                    </a:prstGeom>
                  </pic:spPr>
                </pic:pic>
              </a:graphicData>
            </a:graphic>
          </wp:inline>
        </w:drawing>
      </w:r>
    </w:p>
    <w:p w14:paraId="4FF0EBC8" w14:textId="77777777" w:rsidR="003911BD" w:rsidRDefault="003911BD">
      <w:pPr>
        <w:rPr>
          <w:b/>
        </w:rPr>
      </w:pPr>
      <w:r>
        <w:br w:type="page"/>
      </w:r>
    </w:p>
    <w:p w14:paraId="0BBE5F71" w14:textId="1D79F291" w:rsidR="00310643" w:rsidRDefault="00310643" w:rsidP="00310643">
      <w:pPr>
        <w:pStyle w:val="FigureTitle"/>
      </w:pPr>
      <w:r>
        <w:lastRenderedPageBreak/>
        <w:t xml:space="preserve">Figure </w:t>
      </w:r>
      <w:fldSimple w:instr=" SEQ Figure \* ARABIC ">
        <w:r w:rsidR="007D13D5">
          <w:rPr>
            <w:noProof/>
          </w:rPr>
          <w:t>5</w:t>
        </w:r>
      </w:fldSimple>
      <w:r>
        <w:t xml:space="preserve">: </w:t>
      </w:r>
      <w:r w:rsidRPr="006A6895">
        <w:t>(a) Cumulative incidence of hospitali</w:t>
      </w:r>
      <w:r w:rsidR="0085752E">
        <w:t>s</w:t>
      </w:r>
      <w:r w:rsidRPr="006A6895">
        <w:t>ation for COVID-19 between individuals in</w:t>
      </w:r>
      <w:r>
        <w:t xml:space="preserve"> </w:t>
      </w:r>
      <w:r w:rsidRPr="006A6895">
        <w:t>the bivalent (original and Omicron BA.4</w:t>
      </w:r>
      <w:r w:rsidR="0085752E">
        <w:t>-</w:t>
      </w:r>
      <w:r w:rsidRPr="006A6895">
        <w:t>5) mRNA-1273 COVID-19 vaccine cohort and</w:t>
      </w:r>
      <w:r>
        <w:t xml:space="preserve"> </w:t>
      </w:r>
      <w:r w:rsidRPr="006A6895">
        <w:t xml:space="preserve">the </w:t>
      </w:r>
      <w:r w:rsidR="0085752E">
        <w:t>at least two</w:t>
      </w:r>
      <w:r w:rsidRPr="006A6895">
        <w:t xml:space="preserve"> monovalent mRNA vaccine cohort, and (b) Cumulative incidence of hospitali</w:t>
      </w:r>
      <w:r w:rsidR="0085752E">
        <w:t>s</w:t>
      </w:r>
      <w:r w:rsidRPr="006A6895">
        <w:t>ation</w:t>
      </w:r>
      <w:r>
        <w:t xml:space="preserve"> </w:t>
      </w:r>
      <w:r w:rsidRPr="006A6895">
        <w:t>for COVID-19 between individuals in the bivalent (original and Omicron BA.4</w:t>
      </w:r>
      <w:r w:rsidR="0085752E">
        <w:t>-</w:t>
      </w:r>
      <w:r w:rsidRPr="006A6895">
        <w:t>5)</w:t>
      </w:r>
      <w:r>
        <w:t xml:space="preserve"> </w:t>
      </w:r>
      <w:r w:rsidRPr="006A6895">
        <w:t>mRNA-1273 COVID-19 vaccine cohort and the COVID-19 unvaccinated cohort</w:t>
      </w:r>
      <w:r w:rsidR="00783DA7">
        <w:fldChar w:fldCharType="begin"/>
      </w:r>
      <w:r w:rsidR="00783DA7">
        <w:instrText xml:space="preserve"> DOCVARIABLE vault_nd</w:instrText>
      </w:r>
      <w:r w:rsidR="00783DA7">
        <w:instrText xml:space="preserve">_349b87b9-095d-4019-a714-0a810d3dfdc8 \* MERGEFORMAT </w:instrText>
      </w:r>
      <w:r w:rsidR="00783DA7">
        <w:fldChar w:fldCharType="separate"/>
      </w:r>
      <w:r w:rsidR="007D13D5">
        <w:t xml:space="preserve"> </w:t>
      </w:r>
      <w:r w:rsidR="00783DA7">
        <w:fldChar w:fldCharType="end"/>
      </w:r>
    </w:p>
    <w:p w14:paraId="75AEE4F0" w14:textId="599F24C5" w:rsidR="00310643" w:rsidRDefault="00310643" w:rsidP="00310643">
      <w:r w:rsidRPr="006A6895">
        <w:rPr>
          <w:noProof/>
        </w:rPr>
        <w:drawing>
          <wp:inline distT="0" distB="0" distL="0" distR="0" wp14:anchorId="3D76939D" wp14:editId="39B93745">
            <wp:extent cx="5731510" cy="2800350"/>
            <wp:effectExtent l="0" t="0" r="2540" b="0"/>
            <wp:docPr id="19" name="Picture 19" descr="(a) Cumulative incidence of hospitalisation for COVID-19 between individuals in the bivalent (original and Omicron BA.4-5) mRNA-1273 COVID-19 vaccine cohort and the at least two monovalent mRNA vaccine cohort, and (b) Cumulative incidence of hospitalisation for COVID-19 between individuals in the bivalent (original and Omicron BA.4-5) mRNA-1273 COVID-19 vaccine cohort and the COVID-19 unvaccinated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umulative incidence of hospitalisation for COVID-19 between individuals in the bivalent (original and Omicron BA.4-5) mRNA-1273 COVID-19 vaccine cohort and the at least two monovalent mRNA vaccine cohort, and (b) Cumulative incidence of hospitalisation for COVID-19 between individuals in the bivalent (original and Omicron BA.4-5) mRNA-1273 COVID-19 vaccine cohort and the COVID-19 unvaccinated cohor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2800350"/>
                    </a:xfrm>
                    <a:prstGeom prst="rect">
                      <a:avLst/>
                    </a:prstGeom>
                    <a:noFill/>
                    <a:ln>
                      <a:noFill/>
                    </a:ln>
                  </pic:spPr>
                </pic:pic>
              </a:graphicData>
            </a:graphic>
          </wp:inline>
        </w:drawing>
      </w:r>
    </w:p>
    <w:p w14:paraId="6B32E364" w14:textId="6FACAED4" w:rsidR="00310643" w:rsidRDefault="00310643" w:rsidP="00310643">
      <w:pPr>
        <w:pStyle w:val="FigureTitle"/>
      </w:pPr>
      <w:r>
        <w:t xml:space="preserve">Figure </w:t>
      </w:r>
      <w:fldSimple w:instr=" SEQ Figure \* ARABIC ">
        <w:r w:rsidR="007D13D5">
          <w:rPr>
            <w:noProof/>
          </w:rPr>
          <w:t>6</w:t>
        </w:r>
      </w:fldSimple>
      <w:r>
        <w:t xml:space="preserve">: </w:t>
      </w:r>
      <w:r w:rsidR="0085752E">
        <w:t>(</w:t>
      </w:r>
      <w:r w:rsidRPr="007B5437">
        <w:t>a) Relative vaccine effectiveness of the bivalent (original and Omicron</w:t>
      </w:r>
      <w:r>
        <w:t xml:space="preserve"> </w:t>
      </w:r>
      <w:r w:rsidRPr="007B5437">
        <w:t xml:space="preserve">BA.4/BA.5) mRNA-1273 COVID-19 vaccine, compared to the </w:t>
      </w:r>
      <w:r w:rsidR="0085752E">
        <w:t>at least two</w:t>
      </w:r>
      <w:r w:rsidRPr="007B5437">
        <w:t xml:space="preserve"> monovalent mRNA</w:t>
      </w:r>
      <w:r>
        <w:t xml:space="preserve"> </w:t>
      </w:r>
      <w:r w:rsidRPr="007B5437">
        <w:t>vaccine group, and (b) Absolute vaccine effectiveness of the bivalent (original and</w:t>
      </w:r>
      <w:r>
        <w:t xml:space="preserve"> </w:t>
      </w:r>
      <w:r w:rsidRPr="007B5437">
        <w:t>Omicron BA.4</w:t>
      </w:r>
      <w:r w:rsidR="0085752E">
        <w:t>-</w:t>
      </w:r>
      <w:r w:rsidRPr="007B5437">
        <w:t>5) mRNA-1273 COVID-19 vaccine, compared to the COVID-19</w:t>
      </w:r>
      <w:r>
        <w:t xml:space="preserve"> </w:t>
      </w:r>
      <w:r w:rsidRPr="007B5437">
        <w:t>unvaccinated group and their 95% confidence intervals in preventing medically</w:t>
      </w:r>
      <w:r>
        <w:t xml:space="preserve"> </w:t>
      </w:r>
      <w:r w:rsidRPr="007B5437">
        <w:t>attended SARS-CoV-2 infection and COVID-19 hospital death</w:t>
      </w:r>
      <w:r w:rsidR="00783DA7">
        <w:fldChar w:fldCharType="begin"/>
      </w:r>
      <w:r w:rsidR="00783DA7">
        <w:instrText xml:space="preserve"> DOCVARIABLE vault_nd_6565f5a6-084d-40bd-a536-99f69ddedb70 \* MERGEFORMAT </w:instrText>
      </w:r>
      <w:r w:rsidR="00783DA7">
        <w:fldChar w:fldCharType="separate"/>
      </w:r>
      <w:r w:rsidR="007D13D5">
        <w:t xml:space="preserve"> </w:t>
      </w:r>
      <w:r w:rsidR="00783DA7">
        <w:fldChar w:fldCharType="end"/>
      </w:r>
    </w:p>
    <w:p w14:paraId="4BA9F942" w14:textId="7A7AA8A3" w:rsidR="00310643" w:rsidRDefault="00310643" w:rsidP="00310643">
      <w:r w:rsidRPr="007B5437">
        <w:rPr>
          <w:noProof/>
        </w:rPr>
        <w:drawing>
          <wp:inline distT="0" distB="0" distL="0" distR="0" wp14:anchorId="3F8D67EE" wp14:editId="6FCC9C4E">
            <wp:extent cx="5470498" cy="1072766"/>
            <wp:effectExtent l="0" t="0" r="0" b="0"/>
            <wp:docPr id="26" name="Picture 26" descr="(a) Relative vaccine effectiveness of the bivalent (original and Omicron BA.4/BA.5) mRNA-1273 COVID-19 vaccine, compared to the at least two monovalent mRNA vaccine group, and (b) Absolute vaccine effectiveness of the bivalent (original and Omicron BA.4-5) mRNA-1273 COVID-19 vaccine, compared to the COVID-19 unvaccinated group and their 95% confidence intervals in preventing medically attended SARS-CoV-2 infection and COVID-19 hospital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Relative vaccine effectiveness of the bivalent (original and Omicron BA.4/BA.5) mRNA-1273 COVID-19 vaccine, compared to the at least two monovalent mRNA vaccine group, and (b) Absolute vaccine effectiveness of the bivalent (original and Omicron BA.4-5) mRNA-1273 COVID-19 vaccine, compared to the COVID-19 unvaccinated group and their 95% confidence intervals in preventing medically attended SARS-CoV-2 infection and COVID-19 hospital death"/>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76828" cy="1074007"/>
                    </a:xfrm>
                    <a:prstGeom prst="rect">
                      <a:avLst/>
                    </a:prstGeom>
                    <a:noFill/>
                    <a:ln>
                      <a:noFill/>
                    </a:ln>
                  </pic:spPr>
                </pic:pic>
              </a:graphicData>
            </a:graphic>
          </wp:inline>
        </w:drawing>
      </w:r>
    </w:p>
    <w:p w14:paraId="79B9E802" w14:textId="1C84A663" w:rsidR="00310643" w:rsidRPr="0082673A" w:rsidRDefault="00310643" w:rsidP="003911BD">
      <w:pPr>
        <w:pStyle w:val="Heading5"/>
      </w:pPr>
      <w:r w:rsidRPr="0082673A">
        <w:t xml:space="preserve">Exposure and </w:t>
      </w:r>
      <w:r w:rsidR="0085752E">
        <w:t>s</w:t>
      </w:r>
      <w:r w:rsidRPr="0082673A">
        <w:t xml:space="preserve">pontaneous </w:t>
      </w:r>
      <w:r w:rsidR="0085752E">
        <w:t>s</w:t>
      </w:r>
      <w:r w:rsidRPr="0082673A">
        <w:t xml:space="preserve">afety </w:t>
      </w:r>
      <w:r w:rsidR="0085752E">
        <w:t>r</w:t>
      </w:r>
      <w:r w:rsidRPr="0082673A">
        <w:t xml:space="preserve">eporting </w:t>
      </w:r>
      <w:r w:rsidR="0085752E">
        <w:t>d</w:t>
      </w:r>
      <w:r w:rsidRPr="0082673A">
        <w:t>ata</w:t>
      </w:r>
      <w:r w:rsidR="00783DA7">
        <w:fldChar w:fldCharType="begin"/>
      </w:r>
      <w:r w:rsidR="00783DA7">
        <w:instrText xml:space="preserve"> DOCVARIABLE vault_nd_be5113c9-221f-4d82-a3eb-5809eabef02c \* MERGEFORMAT </w:instrText>
      </w:r>
      <w:r w:rsidR="00783DA7">
        <w:fldChar w:fldCharType="separate"/>
      </w:r>
      <w:r w:rsidR="007D13D5">
        <w:t xml:space="preserve"> </w:t>
      </w:r>
      <w:r w:rsidR="00783DA7">
        <w:fldChar w:fldCharType="end"/>
      </w:r>
    </w:p>
    <w:p w14:paraId="6C0696E0" w14:textId="76E060B2" w:rsidR="00310643" w:rsidRPr="003911BD" w:rsidRDefault="00310643" w:rsidP="003911BD">
      <w:r w:rsidRPr="003911BD">
        <w:t xml:space="preserve">As per the sponsor, cumulatively, as of 17 March 2023, a total of 196,788,604 booster doses of </w:t>
      </w:r>
      <w:r w:rsidR="0085752E">
        <w:t>b</w:t>
      </w:r>
      <w:r w:rsidRPr="003911BD">
        <w:t xml:space="preserve">ivalent </w:t>
      </w:r>
      <w:r w:rsidR="00FD55AB" w:rsidRPr="00FD55AB">
        <w:t>mRNA1272.</w:t>
      </w:r>
      <w:r w:rsidRPr="003911BD">
        <w:t>222 (Original/BA.4</w:t>
      </w:r>
      <w:r w:rsidR="0085752E">
        <w:t>-</w:t>
      </w:r>
      <w:r w:rsidRPr="003911BD">
        <w:t>5) had been delivered to 40 countries and an estimated total of 108,233,732 doses had been administered. The United States, Canada, Europe, and Asia accounted for approximately 97% of all doses delivered and administered.</w:t>
      </w:r>
    </w:p>
    <w:p w14:paraId="53D6FCD8" w14:textId="17FB055D" w:rsidR="00310643" w:rsidRPr="003911BD" w:rsidRDefault="00310643" w:rsidP="003911BD">
      <w:r w:rsidRPr="003911BD">
        <w:t xml:space="preserve">Cumulatively, the </w:t>
      </w:r>
      <w:r w:rsidR="003911BD">
        <w:t>m</w:t>
      </w:r>
      <w:r w:rsidR="003911BD" w:rsidRPr="003911BD">
        <w:t xml:space="preserve">arketing </w:t>
      </w:r>
      <w:r w:rsidR="003911BD">
        <w:t>a</w:t>
      </w:r>
      <w:r w:rsidR="003911BD" w:rsidRPr="003911BD">
        <w:t>uthori</w:t>
      </w:r>
      <w:r w:rsidR="003911BD">
        <w:t>s</w:t>
      </w:r>
      <w:r w:rsidR="003911BD" w:rsidRPr="003911BD">
        <w:t xml:space="preserve">ation </w:t>
      </w:r>
      <w:r w:rsidR="003911BD">
        <w:t>h</w:t>
      </w:r>
      <w:r w:rsidR="003911BD" w:rsidRPr="003911BD">
        <w:t xml:space="preserve">older </w:t>
      </w:r>
      <w:r w:rsidR="003911BD">
        <w:t>(</w:t>
      </w:r>
      <w:r w:rsidRPr="003911BD">
        <w:t>MAH</w:t>
      </w:r>
      <w:r w:rsidR="003911BD">
        <w:t>)</w:t>
      </w:r>
      <w:r w:rsidRPr="003911BD">
        <w:t xml:space="preserve"> has received 4574 cases (12,081 events, of which 523 events were serious) involving the S</w:t>
      </w:r>
      <w:r w:rsidR="003911BD">
        <w:t>pikevax bivalent</w:t>
      </w:r>
      <w:r w:rsidR="00FD55AB">
        <w:t xml:space="preserve"> </w:t>
      </w:r>
      <w:r w:rsidR="00FD55AB" w:rsidRPr="00FD55AB">
        <w:t>mRNA1272.</w:t>
      </w:r>
      <w:r w:rsidR="00FD55AB" w:rsidRPr="003911BD">
        <w:t xml:space="preserve">222 </w:t>
      </w:r>
      <w:r w:rsidRPr="003911BD">
        <w:t>(Original/BA.4</w:t>
      </w:r>
      <w:r w:rsidR="0085752E">
        <w:t>-</w:t>
      </w:r>
      <w:r w:rsidRPr="003911BD">
        <w:t>5) booster. Of the cumulative reported cases, 3801 were medically confirmed, 323 cases were serious, and 34 cases had fatal outcomes. More cases were reported involving females (1585 cases, 34.7%) compared to males (1263 cases; 27.6%), with mean age of 53.7 years (</w:t>
      </w:r>
      <w:r w:rsidR="003911BD">
        <w:t>standard deviation</w:t>
      </w:r>
      <w:r w:rsidRPr="003911BD">
        <w:t xml:space="preserve">: 21.2; median: 58 years). A total of 1726 (37.7%) cases had unknown/unreported gender. Cumulatively, </w:t>
      </w:r>
      <w:proofErr w:type="gramStart"/>
      <w:r w:rsidRPr="003911BD">
        <w:t>the majority of</w:t>
      </w:r>
      <w:proofErr w:type="gramEnd"/>
      <w:r w:rsidRPr="003911BD">
        <w:t xml:space="preserve"> cases have been reported from the United States (3971 cases, 86.8%) and Canada (283 cases, 6.2%), and Asia (229 cases, 5%). Further evaluation of these case reports is included in the MSS</w:t>
      </w:r>
      <w:r w:rsidR="00DA741F">
        <w:t>R</w:t>
      </w:r>
      <w:r w:rsidRPr="003911BD">
        <w:t xml:space="preserve"> </w:t>
      </w:r>
      <w:r w:rsidR="00FD55AB">
        <w:t xml:space="preserve">number </w:t>
      </w:r>
      <w:r w:rsidRPr="003911BD">
        <w:t>21 (Reporting period 18 February 2023 to 17 March 2023)</w:t>
      </w:r>
      <w:r w:rsidR="00FD55AB">
        <w:t>.</w:t>
      </w:r>
    </w:p>
    <w:p w14:paraId="79AED2D7" w14:textId="3515D6F2" w:rsidR="00310643" w:rsidRPr="003911BD" w:rsidRDefault="00310643" w:rsidP="003911BD">
      <w:r w:rsidRPr="003911BD">
        <w:lastRenderedPageBreak/>
        <w:t xml:space="preserve">As of 17 March 2023, there have been 20 cases (22 events) of myocarditis and pericarditis reported to the Moderna’s </w:t>
      </w:r>
      <w:r w:rsidR="00FD55AB">
        <w:t>global safety database (</w:t>
      </w:r>
      <w:r w:rsidRPr="003911BD">
        <w:t>GSDB</w:t>
      </w:r>
      <w:r w:rsidR="00FD55AB">
        <w:t>)</w:t>
      </w:r>
      <w:r w:rsidRPr="003911BD">
        <w:t>. There 15 cases medically confirmed, and no cases have reported a fatal outcome. There were more reports involving males (14; 70%) than females (5; 25%), with one (5%) missing gender information. The mean age of the reports was 33.1 years with a median of 30 (min</w:t>
      </w:r>
      <w:r w:rsidR="00FD55AB">
        <w:t>imum</w:t>
      </w:r>
      <w:r w:rsidRPr="003911BD">
        <w:t>: 13/max</w:t>
      </w:r>
      <w:r w:rsidR="00FD55AB">
        <w:t>imum</w:t>
      </w:r>
      <w:r w:rsidRPr="003911BD">
        <w:t xml:space="preserve">: 70). There were no important differences in the number of reports after any dose, with most reports reported within </w:t>
      </w:r>
      <w:r w:rsidR="00FD55AB">
        <w:t>seven</w:t>
      </w:r>
      <w:r w:rsidRPr="003911BD">
        <w:t xml:space="preserve"> days after any dose (8; 36.4%). The observed clinical profile of patients experiencing myocarditis/pericarditis following exposure to S</w:t>
      </w:r>
      <w:r w:rsidR="00FD55AB">
        <w:t>pikevax b</w:t>
      </w:r>
      <w:r w:rsidRPr="003911BD">
        <w:t xml:space="preserve">ivalent </w:t>
      </w:r>
      <w:r w:rsidR="00FD55AB" w:rsidRPr="00FD55AB">
        <w:t>mRNA1272.</w:t>
      </w:r>
      <w:r w:rsidR="00FD55AB" w:rsidRPr="003911BD">
        <w:t xml:space="preserve">222 </w:t>
      </w:r>
      <w:r w:rsidRPr="003911BD">
        <w:t>(Original/BA.4</w:t>
      </w:r>
      <w:r w:rsidR="0085752E">
        <w:t>-</w:t>
      </w:r>
      <w:r w:rsidRPr="003911BD">
        <w:t xml:space="preserve">5) continue to present as events that result with a relatively short period of hospitalization, most cases follow an uncomplicated clinical course and complete resolution of symptoms is rapidly achieved and can be effectively treated with medication treatment with ibuprofen and colchicine, without any </w:t>
      </w:r>
      <w:r w:rsidR="00FD55AB">
        <w:t>cardiovascular magnetic resonance (</w:t>
      </w:r>
      <w:r w:rsidRPr="003911BD">
        <w:t>CMR</w:t>
      </w:r>
      <w:r w:rsidR="00FD55AB">
        <w:t>)</w:t>
      </w:r>
      <w:r w:rsidRPr="003911BD">
        <w:t xml:space="preserve">-detectable consequence after a </w:t>
      </w:r>
      <w:r w:rsidR="00FD55AB">
        <w:t xml:space="preserve">greater than </w:t>
      </w:r>
      <w:r w:rsidRPr="003911BD">
        <w:t>90 days post</w:t>
      </w:r>
      <w:r w:rsidR="00FD55AB">
        <w:noBreakHyphen/>
      </w:r>
      <w:r w:rsidRPr="003911BD">
        <w:t>myocarditis evaluation.</w:t>
      </w:r>
    </w:p>
    <w:p w14:paraId="42DB8348" w14:textId="23377D2A" w:rsidR="00310643" w:rsidRPr="003911BD" w:rsidRDefault="00310643" w:rsidP="003911BD">
      <w:r w:rsidRPr="003911BD">
        <w:t>As of 17 March 2023, the observed reporting rates of none of the medical topics evaluated after use of S</w:t>
      </w:r>
      <w:r w:rsidR="00FD55AB">
        <w:t>pikevax</w:t>
      </w:r>
      <w:r w:rsidRPr="003911BD">
        <w:t xml:space="preserve"> </w:t>
      </w:r>
      <w:r w:rsidR="00B61D96">
        <w:t>b</w:t>
      </w:r>
      <w:r w:rsidRPr="003911BD">
        <w:t xml:space="preserve">ivalent </w:t>
      </w:r>
      <w:r w:rsidR="00FD55AB" w:rsidRPr="00FD55AB">
        <w:t>mRNA1272.</w:t>
      </w:r>
      <w:r w:rsidR="00FD55AB" w:rsidRPr="003911BD">
        <w:t xml:space="preserve">222 </w:t>
      </w:r>
      <w:r w:rsidRPr="003911BD">
        <w:t>(Original/BA.4</w:t>
      </w:r>
      <w:r w:rsidR="0085752E">
        <w:t>-</w:t>
      </w:r>
      <w:r w:rsidRPr="003911BD">
        <w:t xml:space="preserve">5) booster has exceeded the expected rates when the lower limit of the 95% </w:t>
      </w:r>
      <w:r w:rsidR="00C17ED7">
        <w:t>CI</w:t>
      </w:r>
      <w:r w:rsidRPr="003911BD">
        <w:t xml:space="preserve"> for rate ratios comparing the observed to expected </w:t>
      </w:r>
      <w:r w:rsidR="00FD55AB">
        <w:t xml:space="preserve">greater than </w:t>
      </w:r>
      <w:r w:rsidRPr="003911BD">
        <w:t>1 for any subgroup.</w:t>
      </w:r>
    </w:p>
    <w:p w14:paraId="7A4840B0" w14:textId="6C46FAAE" w:rsidR="00310643" w:rsidRPr="003911BD" w:rsidRDefault="00310643" w:rsidP="003911BD">
      <w:r w:rsidRPr="003911BD">
        <w:t xml:space="preserve">Analysis of the data contained in the Moderna’s global safety database as of 17 March 2023, supports the adequacy of the current </w:t>
      </w:r>
      <w:r w:rsidR="00B61D96" w:rsidRPr="00B61D96">
        <w:t>company core data sheets</w:t>
      </w:r>
      <w:r w:rsidRPr="003911BD">
        <w:t xml:space="preserve"> (</w:t>
      </w:r>
      <w:r w:rsidR="0085752E">
        <w:t>v</w:t>
      </w:r>
      <w:r w:rsidRPr="003911BD">
        <w:t>ersion 16, January 2023) for S</w:t>
      </w:r>
      <w:r w:rsidR="00B61D96">
        <w:t>pikevax</w:t>
      </w:r>
      <w:r w:rsidRPr="003911BD">
        <w:t>. Additionally, examination of these data supports the conclusion of a favourable benefit-risk profile for S</w:t>
      </w:r>
      <w:r w:rsidR="00B61D96">
        <w:t>pikevax</w:t>
      </w:r>
      <w:r w:rsidRPr="003911BD">
        <w:t xml:space="preserve"> (Original), </w:t>
      </w:r>
      <w:bookmarkStart w:id="58" w:name="_Hlk141086013"/>
      <w:r w:rsidRPr="003911BD">
        <w:t>S</w:t>
      </w:r>
      <w:r w:rsidR="00B61D96">
        <w:t>pikevax b</w:t>
      </w:r>
      <w:r w:rsidRPr="003911BD">
        <w:t xml:space="preserve">ivalent </w:t>
      </w:r>
      <w:r w:rsidR="00B61D96" w:rsidRPr="00FD55AB">
        <w:t>mRNA1272</w:t>
      </w:r>
      <w:r w:rsidRPr="003911BD">
        <w:t xml:space="preserve">.214 (Original/BA.1) </w:t>
      </w:r>
      <w:bookmarkEnd w:id="58"/>
      <w:r w:rsidRPr="003911BD">
        <w:t>booster, and S</w:t>
      </w:r>
      <w:r w:rsidR="00B61D96">
        <w:t>pikevax b</w:t>
      </w:r>
      <w:r w:rsidRPr="003911BD">
        <w:t xml:space="preserve">ivalent </w:t>
      </w:r>
      <w:r w:rsidR="00B61D96" w:rsidRPr="00FD55AB">
        <w:t>mRNA1272</w:t>
      </w:r>
      <w:r w:rsidRPr="003911BD">
        <w:t>.222 (Original/BA.4</w:t>
      </w:r>
      <w:r w:rsidR="00865309">
        <w:t>-</w:t>
      </w:r>
      <w:r w:rsidRPr="003911BD">
        <w:t>5) booster.</w:t>
      </w:r>
    </w:p>
    <w:p w14:paraId="40E6907B" w14:textId="4AD37EFB" w:rsidR="00310643" w:rsidRPr="003911BD" w:rsidRDefault="00310643" w:rsidP="003911BD">
      <w:r w:rsidRPr="003911BD">
        <w:t>In a recent update from the sponsor, as of 17 June 2023 (MSSR</w:t>
      </w:r>
      <w:r w:rsidR="00B61D96">
        <w:t xml:space="preserve"> number </w:t>
      </w:r>
      <w:r w:rsidRPr="003911BD">
        <w:t xml:space="preserve">24), more than 119 million </w:t>
      </w:r>
      <w:r w:rsidR="00B61D96" w:rsidRPr="003911BD">
        <w:t>S</w:t>
      </w:r>
      <w:r w:rsidR="00B61D96">
        <w:t>pikevax b</w:t>
      </w:r>
      <w:r w:rsidR="00B61D96" w:rsidRPr="003911BD">
        <w:t xml:space="preserve">ivalent </w:t>
      </w:r>
      <w:r w:rsidR="00B61D96" w:rsidRPr="00FD55AB">
        <w:t>mRNA1272.</w:t>
      </w:r>
      <w:r w:rsidR="00B61D96" w:rsidRPr="003911BD">
        <w:t xml:space="preserve">222 </w:t>
      </w:r>
      <w:r w:rsidRPr="003911BD">
        <w:t>(Original/BA.4</w:t>
      </w:r>
      <w:r w:rsidR="00865309">
        <w:t>-</w:t>
      </w:r>
      <w:r w:rsidRPr="003911BD">
        <w:t xml:space="preserve">5) vaccine doses having been administered globally and more than 780 million doses of the </w:t>
      </w:r>
      <w:r w:rsidR="00B61D96">
        <w:t>Spikevax o</w:t>
      </w:r>
      <w:r w:rsidRPr="003911BD">
        <w:t>riginal vaccine having been administered globally. A review of the data received cumulatively showed a continuous decreasing trend in the number of reported cases as of the most recent reporting period of 18</w:t>
      </w:r>
      <w:r w:rsidR="00DA741F">
        <w:t> </w:t>
      </w:r>
      <w:r w:rsidRPr="003911BD">
        <w:t>May 2023 to 17 June 2023. Based on the analysis of all the safety data available as of 17</w:t>
      </w:r>
      <w:r w:rsidR="00DA741F">
        <w:t> </w:t>
      </w:r>
      <w:r w:rsidRPr="003911BD">
        <w:t>June</w:t>
      </w:r>
      <w:r w:rsidR="00DA741F">
        <w:t> </w:t>
      </w:r>
      <w:r w:rsidRPr="003911BD">
        <w:t xml:space="preserve">2023, the sponsor considers cases included under the </w:t>
      </w:r>
      <w:r w:rsidR="00B61D96">
        <w:t>a</w:t>
      </w:r>
      <w:r w:rsidR="00B61D96" w:rsidRPr="00B61D96">
        <w:t xml:space="preserve">dverse event of. special interest </w:t>
      </w:r>
      <w:r w:rsidR="00B61D96">
        <w:t>(</w:t>
      </w:r>
      <w:r w:rsidRPr="003911BD">
        <w:t>AESI</w:t>
      </w:r>
      <w:r w:rsidR="00B61D96">
        <w:t>)</w:t>
      </w:r>
      <w:r w:rsidRPr="003911BD">
        <w:t xml:space="preserve"> of myocarditis and pericarditis to be consistent with the known safety profile of S</w:t>
      </w:r>
      <w:r w:rsidR="00B61D96">
        <w:t xml:space="preserve">pikevax </w:t>
      </w:r>
      <w:r w:rsidRPr="003911BD">
        <w:t>and the benefits for S</w:t>
      </w:r>
      <w:r w:rsidR="00B61D96">
        <w:t>pikevax</w:t>
      </w:r>
      <w:r w:rsidRPr="003911BD">
        <w:t xml:space="preserve"> far outweigh any possible vaccine associated risks, including the risks of myocarditis and pericarditis. Additionally, observed reporting rates for AESIs, including age and gender stratified estimates, remained largely </w:t>
      </w:r>
      <w:proofErr w:type="gramStart"/>
      <w:r w:rsidRPr="003911BD">
        <w:t>similar to</w:t>
      </w:r>
      <w:proofErr w:type="gramEnd"/>
      <w:r w:rsidRPr="003911BD">
        <w:t xml:space="preserve"> rates described in the most recent summary safety report. There was no meaningful change in interpretation of observed to expected analyses compared to earlier reports that affected the known safety profile. No safety concerns were identified among AESIs analysed. The post-authorisation safety data show that the S</w:t>
      </w:r>
      <w:r w:rsidR="00B61D96">
        <w:t>pikevax b</w:t>
      </w:r>
      <w:r w:rsidRPr="003911BD">
        <w:t xml:space="preserve">ivalent </w:t>
      </w:r>
      <w:r w:rsidR="00B61D96" w:rsidRPr="00FD55AB">
        <w:t>mRNA1272</w:t>
      </w:r>
      <w:r w:rsidR="00B61D96" w:rsidRPr="003911BD">
        <w:t xml:space="preserve">.222 </w:t>
      </w:r>
      <w:r w:rsidRPr="003911BD">
        <w:t>(Original/BA.4</w:t>
      </w:r>
      <w:r w:rsidR="0085752E">
        <w:t>-</w:t>
      </w:r>
      <w:r w:rsidRPr="003911BD">
        <w:t xml:space="preserve">5) booster is well tolerated, and the safety profiles are </w:t>
      </w:r>
      <w:proofErr w:type="gramStart"/>
      <w:r w:rsidRPr="003911BD">
        <w:t>similar to</w:t>
      </w:r>
      <w:proofErr w:type="gramEnd"/>
      <w:r w:rsidRPr="003911BD">
        <w:t xml:space="preserve"> that observed during the MAH clinical trials.</w:t>
      </w:r>
    </w:p>
    <w:p w14:paraId="2858B006" w14:textId="38902B8F" w:rsidR="00C22214" w:rsidRDefault="00C22214" w:rsidP="00C22214">
      <w:pPr>
        <w:pStyle w:val="Heading3"/>
        <w:rPr>
          <w:lang w:eastAsia="en-AU"/>
        </w:rPr>
      </w:pPr>
      <w:bookmarkStart w:id="59" w:name="_Toc314842514"/>
      <w:bookmarkStart w:id="60" w:name="_Toc103679298"/>
      <w:bookmarkStart w:id="61" w:name="_Toc144970843"/>
      <w:r>
        <w:rPr>
          <w:lang w:eastAsia="en-AU"/>
        </w:rPr>
        <w:t>Risk management plan</w:t>
      </w:r>
      <w:bookmarkEnd w:id="59"/>
      <w:bookmarkEnd w:id="60"/>
      <w:bookmarkEnd w:id="61"/>
      <w:r w:rsidR="005635FE">
        <w:rPr>
          <w:lang w:eastAsia="en-AU"/>
        </w:rPr>
        <w:fldChar w:fldCharType="begin"/>
      </w:r>
      <w:r w:rsidR="005635FE">
        <w:rPr>
          <w:lang w:eastAsia="en-AU"/>
        </w:rPr>
        <w:instrText xml:space="preserve"> DOCVARIABLE vault_nd_1f7e1596-fe61-4595-82a0-3c6cc796c879 \* MERGEFORMAT </w:instrText>
      </w:r>
      <w:r w:rsidR="005635FE">
        <w:rPr>
          <w:lang w:eastAsia="en-AU"/>
        </w:rPr>
        <w:fldChar w:fldCharType="separate"/>
      </w:r>
      <w:r w:rsidR="007D13D5">
        <w:rPr>
          <w:lang w:eastAsia="en-AU"/>
        </w:rPr>
        <w:t xml:space="preserve"> </w:t>
      </w:r>
      <w:r w:rsidR="005635FE">
        <w:rPr>
          <w:lang w:eastAsia="en-AU"/>
        </w:rPr>
        <w:fldChar w:fldCharType="end"/>
      </w:r>
    </w:p>
    <w:p w14:paraId="34B73249" w14:textId="734649EE" w:rsidR="00B61D96" w:rsidRPr="00B61D96" w:rsidRDefault="00B61D96" w:rsidP="00B61D96">
      <w:pPr>
        <w:rPr>
          <w:szCs w:val="22"/>
        </w:rPr>
      </w:pPr>
      <w:bookmarkStart w:id="62" w:name="_Toc247691531"/>
      <w:bookmarkStart w:id="63" w:name="_Toc314842515"/>
      <w:r>
        <w:rPr>
          <w:szCs w:val="22"/>
        </w:rPr>
        <w:t>The sponsor</w:t>
      </w:r>
      <w:r w:rsidRPr="00B61D96">
        <w:rPr>
          <w:szCs w:val="22"/>
        </w:rPr>
        <w:t xml:space="preserve"> has applied to transition </w:t>
      </w:r>
      <w:proofErr w:type="spellStart"/>
      <w:r w:rsidRPr="00B61D96">
        <w:rPr>
          <w:szCs w:val="22"/>
        </w:rPr>
        <w:t>elasomeran</w:t>
      </w:r>
      <w:proofErr w:type="spellEnd"/>
      <w:r w:rsidRPr="00B61D96">
        <w:rPr>
          <w:szCs w:val="22"/>
        </w:rPr>
        <w:t xml:space="preserve">/ </w:t>
      </w:r>
      <w:proofErr w:type="spellStart"/>
      <w:r w:rsidRPr="00B61D96">
        <w:rPr>
          <w:szCs w:val="22"/>
        </w:rPr>
        <w:t>davesomeran</w:t>
      </w:r>
      <w:proofErr w:type="spellEnd"/>
      <w:r w:rsidRPr="00B61D96">
        <w:rPr>
          <w:szCs w:val="22"/>
        </w:rPr>
        <w:t xml:space="preserve"> (Spikevax </w:t>
      </w:r>
      <w:r>
        <w:rPr>
          <w:szCs w:val="22"/>
        </w:rPr>
        <w:t>b</w:t>
      </w:r>
      <w:r w:rsidRPr="00B61D96">
        <w:rPr>
          <w:szCs w:val="22"/>
        </w:rPr>
        <w:t>ivalent Original/Omicron BA.4</w:t>
      </w:r>
      <w:r w:rsidR="001028B0">
        <w:rPr>
          <w:szCs w:val="22"/>
        </w:rPr>
        <w:t>-</w:t>
      </w:r>
      <w:r w:rsidRPr="00B61D96">
        <w:rPr>
          <w:szCs w:val="22"/>
        </w:rPr>
        <w:t>5) from provisional to full registration.</w:t>
      </w:r>
    </w:p>
    <w:p w14:paraId="7310F089" w14:textId="72C54065" w:rsidR="00B61D96" w:rsidRPr="00B61D96" w:rsidRDefault="00B61D96" w:rsidP="00B61D96">
      <w:pPr>
        <w:rPr>
          <w:szCs w:val="22"/>
        </w:rPr>
      </w:pPr>
      <w:r w:rsidRPr="00B61D96">
        <w:rPr>
          <w:szCs w:val="22"/>
        </w:rPr>
        <w:t>Spikevax Bivalent Original/Omicron BA.4</w:t>
      </w:r>
      <w:r w:rsidR="001028B0">
        <w:rPr>
          <w:szCs w:val="22"/>
        </w:rPr>
        <w:t>-</w:t>
      </w:r>
      <w:r w:rsidRPr="00B61D96">
        <w:rPr>
          <w:szCs w:val="22"/>
        </w:rPr>
        <w:t>5 is currently provisionally registered to be used as a booster dose for active immunisation to prevent</w:t>
      </w:r>
      <w:r w:rsidR="0085752E">
        <w:rPr>
          <w:szCs w:val="22"/>
        </w:rPr>
        <w:t xml:space="preserve"> </w:t>
      </w:r>
      <w:r w:rsidRPr="00B61D96">
        <w:rPr>
          <w:szCs w:val="22"/>
        </w:rPr>
        <w:t xml:space="preserve">COVID-19 in individuals 12 years and older. The approved dosing regimen involves one intramuscular injection of 0.5 ml (50 </w:t>
      </w:r>
      <w:r w:rsidR="0085752E">
        <w:rPr>
          <w:szCs w:val="22"/>
        </w:rPr>
        <w:t>µ</w:t>
      </w:r>
      <w:r w:rsidRPr="00B61D96">
        <w:rPr>
          <w:szCs w:val="22"/>
        </w:rPr>
        <w:t xml:space="preserve">g), given at least </w:t>
      </w:r>
      <w:r w:rsidR="0085752E">
        <w:rPr>
          <w:szCs w:val="22"/>
        </w:rPr>
        <w:t>three</w:t>
      </w:r>
      <w:r w:rsidRPr="00B61D96">
        <w:rPr>
          <w:szCs w:val="22"/>
        </w:rPr>
        <w:t xml:space="preserve"> months following a primary series and/or previous booster dose.</w:t>
      </w:r>
    </w:p>
    <w:p w14:paraId="27F95D52" w14:textId="61EBF057" w:rsidR="00B61D96" w:rsidRDefault="00B61D96" w:rsidP="00B61D96">
      <w:pPr>
        <w:rPr>
          <w:szCs w:val="22"/>
        </w:rPr>
      </w:pPr>
      <w:r>
        <w:rPr>
          <w:szCs w:val="22"/>
        </w:rPr>
        <w:lastRenderedPageBreak/>
        <w:t>The sponsor</w:t>
      </w:r>
      <w:r w:rsidRPr="00B61D96">
        <w:rPr>
          <w:szCs w:val="22"/>
        </w:rPr>
        <w:t xml:space="preserve"> has submitted EU-RMP version 6.3 (dated 6 December 2022; </w:t>
      </w:r>
      <w:r>
        <w:rPr>
          <w:szCs w:val="22"/>
        </w:rPr>
        <w:t>data lock point (</w:t>
      </w:r>
      <w:r w:rsidRPr="00B61D96">
        <w:rPr>
          <w:szCs w:val="22"/>
        </w:rPr>
        <w:t>DLP</w:t>
      </w:r>
      <w:r>
        <w:rPr>
          <w:szCs w:val="22"/>
        </w:rPr>
        <w:t>)</w:t>
      </w:r>
      <w:r w:rsidRPr="00B61D96">
        <w:rPr>
          <w:szCs w:val="22"/>
        </w:rPr>
        <w:t xml:space="preserve"> 17 September 2022) and </w:t>
      </w:r>
      <w:r>
        <w:rPr>
          <w:szCs w:val="22"/>
        </w:rPr>
        <w:t>Australia specific annex (</w:t>
      </w:r>
      <w:r w:rsidRPr="00B61D96">
        <w:rPr>
          <w:szCs w:val="22"/>
        </w:rPr>
        <w:t>ASA</w:t>
      </w:r>
      <w:r>
        <w:rPr>
          <w:szCs w:val="22"/>
        </w:rPr>
        <w:t>)</w:t>
      </w:r>
      <w:r w:rsidRPr="00B61D96">
        <w:rPr>
          <w:szCs w:val="22"/>
        </w:rPr>
        <w:t xml:space="preserve"> version 1.2 (dated 20 December 2022) that were previously provided and evaluated during the application for provisional registration of this product.</w:t>
      </w:r>
    </w:p>
    <w:p w14:paraId="39F3CD1D" w14:textId="4CAEED14" w:rsidR="0072003B" w:rsidRPr="00BD5DBD" w:rsidRDefault="00C22214" w:rsidP="00C22214">
      <w:pPr>
        <w:rPr>
          <w:szCs w:val="22"/>
        </w:rPr>
      </w:pPr>
      <w:r w:rsidRPr="00BD5DBD">
        <w:rPr>
          <w:szCs w:val="22"/>
        </w:rPr>
        <w:t>The summary of safety concerns and their associated risk monitoring and mitigation strategies are summarised in</w:t>
      </w:r>
      <w:r w:rsidR="003B149C">
        <w:rPr>
          <w:szCs w:val="22"/>
        </w:rPr>
        <w:t xml:space="preserve"> </w:t>
      </w:r>
      <w:r w:rsidR="003B149C" w:rsidRPr="003B149C">
        <w:rPr>
          <w:szCs w:val="22"/>
        </w:rPr>
        <w:fldChar w:fldCharType="begin"/>
      </w:r>
      <w:r w:rsidR="003B149C" w:rsidRPr="003B149C">
        <w:rPr>
          <w:szCs w:val="22"/>
        </w:rPr>
        <w:instrText xml:space="preserve"> REF _Ref97629131 \h </w:instrText>
      </w:r>
      <w:r w:rsidR="003B149C">
        <w:rPr>
          <w:szCs w:val="22"/>
        </w:rPr>
        <w:instrText xml:space="preserve"> \* MERGEFORMAT </w:instrText>
      </w:r>
      <w:r w:rsidR="003B149C" w:rsidRPr="003B149C">
        <w:rPr>
          <w:szCs w:val="22"/>
        </w:rPr>
      </w:r>
      <w:r w:rsidR="003B149C" w:rsidRPr="003B149C">
        <w:rPr>
          <w:szCs w:val="22"/>
        </w:rPr>
        <w:fldChar w:fldCharType="separate"/>
      </w:r>
      <w:r w:rsidR="007D13D5" w:rsidRPr="007D13D5">
        <w:rPr>
          <w:szCs w:val="22"/>
        </w:rPr>
        <w:t xml:space="preserve">Table </w:t>
      </w:r>
      <w:r w:rsidR="007D13D5" w:rsidRPr="007D13D5">
        <w:rPr>
          <w:noProof/>
          <w:szCs w:val="22"/>
        </w:rPr>
        <w:t>15</w:t>
      </w:r>
      <w:r w:rsidR="003B149C" w:rsidRPr="003B149C">
        <w:rPr>
          <w:szCs w:val="22"/>
        </w:rPr>
        <w:fldChar w:fldCharType="end"/>
      </w:r>
      <w:r w:rsidR="008C49C6" w:rsidRPr="003B149C">
        <w:rPr>
          <w:szCs w:val="22"/>
        </w:rPr>
        <w:t>.</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w:t>
      </w:r>
      <w:proofErr w:type="gramStart"/>
      <w:r w:rsidR="0072003B" w:rsidRPr="00BD5DBD">
        <w:rPr>
          <w:szCs w:val="22"/>
        </w:rPr>
        <w:t>life-cycle</w:t>
      </w:r>
      <w:proofErr w:type="gramEnd"/>
      <w:r w:rsidR="0072003B" w:rsidRPr="00BD5DBD">
        <w:rPr>
          <w:szCs w:val="22"/>
        </w:rPr>
        <w:t>, during both the pre-approval and post-approval phases.</w:t>
      </w:r>
    </w:p>
    <w:p w14:paraId="56B51A93" w14:textId="79005477" w:rsidR="006A277A" w:rsidRDefault="00C22214" w:rsidP="00C22214">
      <w:pPr>
        <w:pStyle w:val="TableTitle"/>
      </w:pPr>
      <w:bookmarkStart w:id="64" w:name="_Ref97629131"/>
      <w:r>
        <w:t xml:space="preserve">Table </w:t>
      </w:r>
      <w:fldSimple w:instr=" SEQ Table \* ARABIC ">
        <w:r w:rsidR="007D13D5">
          <w:rPr>
            <w:noProof/>
          </w:rPr>
          <w:t>15</w:t>
        </w:r>
      </w:fldSimple>
      <w:bookmarkEnd w:id="64"/>
      <w:r>
        <w:t>: Summary of safety concerns</w:t>
      </w:r>
      <w:r w:rsidR="00783DA7">
        <w:fldChar w:fldCharType="begin"/>
      </w:r>
      <w:r w:rsidR="00783DA7">
        <w:instrText xml:space="preserve"> DOCVARIABLE vault_nd_c1b6edfe-acd9-437f-9aef-b4094a20484e \* MERGEFORMAT </w:instrText>
      </w:r>
      <w:r w:rsidR="00783DA7">
        <w:fldChar w:fldCharType="separate"/>
      </w:r>
      <w:r w:rsidR="007D13D5">
        <w:t xml:space="preserve"> </w:t>
      </w:r>
      <w:r w:rsidR="00783DA7">
        <w:fldChar w:fldCharType="end"/>
      </w:r>
    </w:p>
    <w:tbl>
      <w:tblPr>
        <w:tblStyle w:val="TableTGAblue2023"/>
        <w:tblW w:w="5000" w:type="pct"/>
        <w:tblLook w:val="04A0" w:firstRow="1" w:lastRow="0" w:firstColumn="1" w:lastColumn="0" w:noHBand="0" w:noVBand="1"/>
      </w:tblPr>
      <w:tblGrid>
        <w:gridCol w:w="1551"/>
        <w:gridCol w:w="3015"/>
        <w:gridCol w:w="1024"/>
        <w:gridCol w:w="1241"/>
        <w:gridCol w:w="1004"/>
        <w:gridCol w:w="1225"/>
      </w:tblGrid>
      <w:tr w:rsidR="001028B0" w:rsidRPr="009544A3" w14:paraId="3340A313" w14:textId="77777777" w:rsidTr="001028B0">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2520" w:type="pct"/>
            <w:gridSpan w:val="2"/>
            <w:vMerge w:val="restart"/>
          </w:tcPr>
          <w:p w14:paraId="41CDA12D" w14:textId="77777777" w:rsidR="001028B0" w:rsidRPr="001028B0" w:rsidRDefault="001028B0" w:rsidP="00634FA9">
            <w:pPr>
              <w:pStyle w:val="Tabletext0"/>
              <w:rPr>
                <w:b w:val="0"/>
                <w:kern w:val="0"/>
                <w:sz w:val="22"/>
                <w:szCs w:val="22"/>
              </w:rPr>
            </w:pPr>
            <w:r w:rsidRPr="001028B0">
              <w:rPr>
                <w:kern w:val="0"/>
                <w:sz w:val="22"/>
                <w:szCs w:val="22"/>
              </w:rPr>
              <w:t>Summary of safety concerns</w:t>
            </w:r>
          </w:p>
        </w:tc>
        <w:tc>
          <w:tcPr>
            <w:tcW w:w="1250" w:type="pct"/>
            <w:gridSpan w:val="2"/>
          </w:tcPr>
          <w:p w14:paraId="08AD0EAC" w14:textId="77777777" w:rsidR="001028B0" w:rsidRPr="001028B0" w:rsidRDefault="001028B0" w:rsidP="00634FA9">
            <w:pPr>
              <w:pStyle w:val="Tabletext0"/>
              <w:cnfStyle w:val="100000000000" w:firstRow="1" w:lastRow="0" w:firstColumn="0" w:lastColumn="0" w:oddVBand="0" w:evenVBand="0" w:oddHBand="0" w:evenHBand="0" w:firstRowFirstColumn="0" w:firstRowLastColumn="0" w:lastRowFirstColumn="0" w:lastRowLastColumn="0"/>
              <w:rPr>
                <w:b w:val="0"/>
                <w:kern w:val="0"/>
                <w:sz w:val="22"/>
                <w:szCs w:val="22"/>
              </w:rPr>
            </w:pPr>
            <w:r w:rsidRPr="001028B0">
              <w:rPr>
                <w:kern w:val="0"/>
                <w:sz w:val="22"/>
                <w:szCs w:val="22"/>
              </w:rPr>
              <w:t>Pharmacovigilance</w:t>
            </w:r>
          </w:p>
        </w:tc>
        <w:tc>
          <w:tcPr>
            <w:tcW w:w="1230" w:type="pct"/>
            <w:gridSpan w:val="2"/>
          </w:tcPr>
          <w:p w14:paraId="72188F5C" w14:textId="77777777" w:rsidR="001028B0" w:rsidRPr="001028B0" w:rsidRDefault="001028B0" w:rsidP="00634FA9">
            <w:pPr>
              <w:pStyle w:val="Tabletext0"/>
              <w:cnfStyle w:val="100000000000" w:firstRow="1" w:lastRow="0" w:firstColumn="0" w:lastColumn="0" w:oddVBand="0" w:evenVBand="0" w:oddHBand="0" w:evenHBand="0" w:firstRowFirstColumn="0" w:firstRowLastColumn="0" w:lastRowFirstColumn="0" w:lastRowLastColumn="0"/>
              <w:rPr>
                <w:b w:val="0"/>
                <w:kern w:val="0"/>
                <w:sz w:val="22"/>
                <w:szCs w:val="22"/>
              </w:rPr>
            </w:pPr>
            <w:r w:rsidRPr="001028B0">
              <w:rPr>
                <w:kern w:val="0"/>
                <w:sz w:val="22"/>
                <w:szCs w:val="22"/>
              </w:rPr>
              <w:t>Risk Minimisation</w:t>
            </w:r>
          </w:p>
        </w:tc>
      </w:tr>
      <w:tr w:rsidR="001028B0" w:rsidRPr="009544A3" w14:paraId="63B00503" w14:textId="77777777" w:rsidTr="001028B0">
        <w:trPr>
          <w:trHeight w:val="150"/>
        </w:trPr>
        <w:tc>
          <w:tcPr>
            <w:cnfStyle w:val="001000000000" w:firstRow="0" w:lastRow="0" w:firstColumn="1" w:lastColumn="0" w:oddVBand="0" w:evenVBand="0" w:oddHBand="0" w:evenHBand="0" w:firstRowFirstColumn="0" w:firstRowLastColumn="0" w:lastRowFirstColumn="0" w:lastRowLastColumn="0"/>
            <w:tcW w:w="2520" w:type="pct"/>
            <w:gridSpan w:val="2"/>
            <w:vMerge/>
          </w:tcPr>
          <w:p w14:paraId="51BCE40C" w14:textId="77777777" w:rsidR="001028B0" w:rsidRPr="001028B0" w:rsidRDefault="001028B0" w:rsidP="00634FA9">
            <w:pPr>
              <w:pStyle w:val="Tabletext0"/>
              <w:rPr>
                <w:b/>
                <w:kern w:val="0"/>
                <w:sz w:val="22"/>
                <w:szCs w:val="22"/>
              </w:rPr>
            </w:pPr>
          </w:p>
        </w:tc>
        <w:tc>
          <w:tcPr>
            <w:tcW w:w="565" w:type="pct"/>
          </w:tcPr>
          <w:p w14:paraId="56857986" w14:textId="77777777" w:rsidR="001028B0" w:rsidRPr="001028B0" w:rsidRDefault="001028B0" w:rsidP="00634FA9">
            <w:pPr>
              <w:pStyle w:val="Tabletext0"/>
              <w:cnfStyle w:val="000000000000" w:firstRow="0" w:lastRow="0" w:firstColumn="0" w:lastColumn="0" w:oddVBand="0" w:evenVBand="0" w:oddHBand="0" w:evenHBand="0" w:firstRowFirstColumn="0" w:firstRowLastColumn="0" w:lastRowFirstColumn="0" w:lastRowLastColumn="0"/>
              <w:rPr>
                <w:kern w:val="0"/>
                <w:sz w:val="20"/>
                <w:szCs w:val="20"/>
              </w:rPr>
            </w:pPr>
            <w:r w:rsidRPr="001028B0">
              <w:rPr>
                <w:kern w:val="0"/>
                <w:sz w:val="20"/>
                <w:szCs w:val="20"/>
              </w:rPr>
              <w:t>Routine</w:t>
            </w:r>
          </w:p>
        </w:tc>
        <w:tc>
          <w:tcPr>
            <w:tcW w:w="685" w:type="pct"/>
          </w:tcPr>
          <w:p w14:paraId="5993E95D" w14:textId="77777777" w:rsidR="001028B0" w:rsidRPr="001028B0" w:rsidRDefault="001028B0" w:rsidP="00634FA9">
            <w:pPr>
              <w:pStyle w:val="Tabletext0"/>
              <w:cnfStyle w:val="000000000000" w:firstRow="0" w:lastRow="0" w:firstColumn="0" w:lastColumn="0" w:oddVBand="0" w:evenVBand="0" w:oddHBand="0" w:evenHBand="0" w:firstRowFirstColumn="0" w:firstRowLastColumn="0" w:lastRowFirstColumn="0" w:lastRowLastColumn="0"/>
              <w:rPr>
                <w:kern w:val="0"/>
                <w:sz w:val="20"/>
                <w:szCs w:val="20"/>
              </w:rPr>
            </w:pPr>
            <w:r w:rsidRPr="001028B0">
              <w:rPr>
                <w:kern w:val="0"/>
                <w:sz w:val="20"/>
                <w:szCs w:val="20"/>
              </w:rPr>
              <w:t>Additional</w:t>
            </w:r>
          </w:p>
        </w:tc>
        <w:tc>
          <w:tcPr>
            <w:tcW w:w="554" w:type="pct"/>
          </w:tcPr>
          <w:p w14:paraId="1A6C6CE7" w14:textId="77777777" w:rsidR="001028B0" w:rsidRPr="001028B0" w:rsidRDefault="001028B0" w:rsidP="00634FA9">
            <w:pPr>
              <w:pStyle w:val="Tabletext0"/>
              <w:cnfStyle w:val="000000000000" w:firstRow="0" w:lastRow="0" w:firstColumn="0" w:lastColumn="0" w:oddVBand="0" w:evenVBand="0" w:oddHBand="0" w:evenHBand="0" w:firstRowFirstColumn="0" w:firstRowLastColumn="0" w:lastRowFirstColumn="0" w:lastRowLastColumn="0"/>
              <w:rPr>
                <w:kern w:val="0"/>
                <w:sz w:val="20"/>
                <w:szCs w:val="20"/>
              </w:rPr>
            </w:pPr>
            <w:r w:rsidRPr="001028B0">
              <w:rPr>
                <w:kern w:val="0"/>
                <w:sz w:val="20"/>
                <w:szCs w:val="20"/>
              </w:rPr>
              <w:t>Routine</w:t>
            </w:r>
          </w:p>
        </w:tc>
        <w:tc>
          <w:tcPr>
            <w:tcW w:w="676" w:type="pct"/>
          </w:tcPr>
          <w:p w14:paraId="4C9AA4C5" w14:textId="77777777" w:rsidR="001028B0" w:rsidRPr="001028B0" w:rsidRDefault="001028B0" w:rsidP="00634FA9">
            <w:pPr>
              <w:pStyle w:val="Tabletext0"/>
              <w:cnfStyle w:val="000000000000" w:firstRow="0" w:lastRow="0" w:firstColumn="0" w:lastColumn="0" w:oddVBand="0" w:evenVBand="0" w:oddHBand="0" w:evenHBand="0" w:firstRowFirstColumn="0" w:firstRowLastColumn="0" w:lastRowFirstColumn="0" w:lastRowLastColumn="0"/>
              <w:rPr>
                <w:kern w:val="0"/>
                <w:sz w:val="20"/>
                <w:szCs w:val="20"/>
              </w:rPr>
            </w:pPr>
            <w:r w:rsidRPr="001028B0">
              <w:rPr>
                <w:kern w:val="0"/>
                <w:sz w:val="20"/>
                <w:szCs w:val="20"/>
              </w:rPr>
              <w:t>Additional</w:t>
            </w:r>
          </w:p>
        </w:tc>
      </w:tr>
      <w:tr w:rsidR="001028B0" w:rsidRPr="009544A3" w14:paraId="16DFF9DF" w14:textId="77777777" w:rsidTr="001028B0">
        <w:trPr>
          <w:trHeight w:val="137"/>
        </w:trPr>
        <w:tc>
          <w:tcPr>
            <w:cnfStyle w:val="001000000000" w:firstRow="0" w:lastRow="0" w:firstColumn="1" w:lastColumn="0" w:oddVBand="0" w:evenVBand="0" w:oddHBand="0" w:evenHBand="0" w:firstRowFirstColumn="0" w:firstRowLastColumn="0" w:lastRowFirstColumn="0" w:lastRowLastColumn="0"/>
            <w:tcW w:w="856" w:type="pct"/>
            <w:vMerge w:val="restart"/>
          </w:tcPr>
          <w:p w14:paraId="72BD300F" w14:textId="77777777" w:rsidR="001028B0" w:rsidRPr="001028B0" w:rsidRDefault="001028B0" w:rsidP="00634FA9">
            <w:pPr>
              <w:pStyle w:val="Tabletext0"/>
              <w:rPr>
                <w:b/>
                <w:kern w:val="0"/>
                <w:sz w:val="22"/>
                <w:szCs w:val="22"/>
              </w:rPr>
            </w:pPr>
            <w:r w:rsidRPr="001028B0">
              <w:rPr>
                <w:b/>
                <w:kern w:val="0"/>
                <w:sz w:val="22"/>
                <w:szCs w:val="22"/>
              </w:rPr>
              <w:t>Important identified risks</w:t>
            </w:r>
          </w:p>
        </w:tc>
        <w:tc>
          <w:tcPr>
            <w:tcW w:w="1664" w:type="pct"/>
          </w:tcPr>
          <w:p w14:paraId="5EE9A5D6" w14:textId="77777777" w:rsidR="001028B0" w:rsidRPr="001028B0" w:rsidRDefault="001028B0" w:rsidP="00634FA9">
            <w:pPr>
              <w:pStyle w:val="Tabletext0"/>
              <w:cnfStyle w:val="000000000000" w:firstRow="0" w:lastRow="0" w:firstColumn="0" w:lastColumn="0" w:oddVBand="0" w:evenVBand="0" w:oddHBand="0" w:evenHBand="0" w:firstRowFirstColumn="0" w:firstRowLastColumn="0" w:lastRowFirstColumn="0" w:lastRowLastColumn="0"/>
              <w:rPr>
                <w:kern w:val="0"/>
                <w:sz w:val="20"/>
                <w:szCs w:val="20"/>
              </w:rPr>
            </w:pPr>
            <w:r w:rsidRPr="001028B0">
              <w:rPr>
                <w:kern w:val="0"/>
                <w:sz w:val="20"/>
                <w:szCs w:val="20"/>
              </w:rPr>
              <w:t>Myocarditis</w:t>
            </w:r>
          </w:p>
        </w:tc>
        <w:tc>
          <w:tcPr>
            <w:tcW w:w="565" w:type="pct"/>
          </w:tcPr>
          <w:p w14:paraId="448BDC48" w14:textId="77777777" w:rsidR="001028B0" w:rsidRPr="009544A3" w:rsidRDefault="001028B0" w:rsidP="00634FA9">
            <w:pPr>
              <w:pStyle w:val="Tabletext0"/>
              <w:jc w:val="center"/>
              <w:cnfStyle w:val="000000000000" w:firstRow="0" w:lastRow="0" w:firstColumn="0" w:lastColumn="0" w:oddVBand="0" w:evenVBand="0" w:oddHBand="0" w:evenHBand="0" w:firstRowFirstColumn="0" w:firstRowLastColumn="0" w:lastRowFirstColumn="0" w:lastRowLastColumn="0"/>
              <w:rPr>
                <w:kern w:val="0"/>
                <w:vertAlign w:val="superscript"/>
              </w:rPr>
            </w:pPr>
            <w:r w:rsidRPr="009544A3">
              <w:rPr>
                <w:rFonts w:eastAsia="Cambria"/>
                <w:kern w:val="0"/>
              </w:rPr>
              <w:sym w:font="Wingdings" w:char="F0FC"/>
            </w:r>
            <w:r w:rsidRPr="009544A3">
              <w:rPr>
                <w:rFonts w:eastAsia="Cambria"/>
                <w:kern w:val="0"/>
                <w:vertAlign w:val="superscript"/>
              </w:rPr>
              <w:t>1</w:t>
            </w:r>
          </w:p>
        </w:tc>
        <w:tc>
          <w:tcPr>
            <w:tcW w:w="685" w:type="pct"/>
          </w:tcPr>
          <w:p w14:paraId="448E9251" w14:textId="77777777" w:rsidR="001028B0" w:rsidRPr="00220CEA" w:rsidRDefault="001028B0" w:rsidP="00634FA9">
            <w:pPr>
              <w:pStyle w:val="Tabletext0"/>
              <w:jc w:val="center"/>
              <w:cnfStyle w:val="000000000000" w:firstRow="0" w:lastRow="0" w:firstColumn="0" w:lastColumn="0" w:oddVBand="0" w:evenVBand="0" w:oddHBand="0" w:evenHBand="0" w:firstRowFirstColumn="0" w:firstRowLastColumn="0" w:lastRowFirstColumn="0" w:lastRowLastColumn="0"/>
              <w:rPr>
                <w:kern w:val="0"/>
                <w:vertAlign w:val="superscript"/>
              </w:rPr>
            </w:pPr>
            <w:r w:rsidRPr="009544A3">
              <w:rPr>
                <w:rFonts w:eastAsia="Cambria"/>
                <w:kern w:val="0"/>
              </w:rPr>
              <w:sym w:font="Wingdings" w:char="F0FC"/>
            </w:r>
            <w:r>
              <w:rPr>
                <w:rFonts w:eastAsia="Cambria"/>
                <w:kern w:val="0"/>
                <w:vertAlign w:val="superscript"/>
              </w:rPr>
              <w:t>2</w:t>
            </w:r>
          </w:p>
        </w:tc>
        <w:tc>
          <w:tcPr>
            <w:tcW w:w="554" w:type="pct"/>
          </w:tcPr>
          <w:p w14:paraId="2C90174D" w14:textId="77777777" w:rsidR="001028B0" w:rsidRPr="009544A3" w:rsidRDefault="001028B0" w:rsidP="00634FA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9544A3">
              <w:rPr>
                <w:rFonts w:eastAsia="Cambria"/>
                <w:kern w:val="0"/>
              </w:rPr>
              <w:sym w:font="Wingdings" w:char="F0FC"/>
            </w:r>
          </w:p>
        </w:tc>
        <w:tc>
          <w:tcPr>
            <w:tcW w:w="676" w:type="pct"/>
          </w:tcPr>
          <w:p w14:paraId="2EDAB1B3" w14:textId="77777777" w:rsidR="001028B0" w:rsidRPr="009544A3" w:rsidRDefault="001028B0" w:rsidP="00634FA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9544A3">
              <w:rPr>
                <w:kern w:val="0"/>
              </w:rPr>
              <w:t>–</w:t>
            </w:r>
          </w:p>
        </w:tc>
      </w:tr>
      <w:tr w:rsidR="001028B0" w:rsidRPr="009544A3" w14:paraId="556B2E9E" w14:textId="77777777" w:rsidTr="001028B0">
        <w:trPr>
          <w:trHeight w:val="187"/>
        </w:trPr>
        <w:tc>
          <w:tcPr>
            <w:cnfStyle w:val="001000000000" w:firstRow="0" w:lastRow="0" w:firstColumn="1" w:lastColumn="0" w:oddVBand="0" w:evenVBand="0" w:oddHBand="0" w:evenHBand="0" w:firstRowFirstColumn="0" w:firstRowLastColumn="0" w:lastRowFirstColumn="0" w:lastRowLastColumn="0"/>
            <w:tcW w:w="856" w:type="pct"/>
            <w:vMerge/>
          </w:tcPr>
          <w:p w14:paraId="29818B52" w14:textId="77777777" w:rsidR="001028B0" w:rsidRPr="001028B0" w:rsidRDefault="001028B0" w:rsidP="00634FA9">
            <w:pPr>
              <w:pStyle w:val="Tabletext0"/>
              <w:rPr>
                <w:b/>
                <w:kern w:val="0"/>
                <w:sz w:val="22"/>
                <w:szCs w:val="22"/>
              </w:rPr>
            </w:pPr>
          </w:p>
        </w:tc>
        <w:tc>
          <w:tcPr>
            <w:tcW w:w="1664" w:type="pct"/>
          </w:tcPr>
          <w:p w14:paraId="69CAA22D" w14:textId="77777777" w:rsidR="001028B0" w:rsidRPr="001028B0" w:rsidRDefault="001028B0" w:rsidP="00634FA9">
            <w:pPr>
              <w:pStyle w:val="Tabletext0"/>
              <w:cnfStyle w:val="000000000000" w:firstRow="0" w:lastRow="0" w:firstColumn="0" w:lastColumn="0" w:oddVBand="0" w:evenVBand="0" w:oddHBand="0" w:evenHBand="0" w:firstRowFirstColumn="0" w:firstRowLastColumn="0" w:lastRowFirstColumn="0" w:lastRowLastColumn="0"/>
              <w:rPr>
                <w:kern w:val="0"/>
                <w:sz w:val="20"/>
                <w:szCs w:val="20"/>
              </w:rPr>
            </w:pPr>
            <w:r w:rsidRPr="001028B0">
              <w:rPr>
                <w:kern w:val="0"/>
                <w:sz w:val="20"/>
                <w:szCs w:val="20"/>
              </w:rPr>
              <w:t>Pericarditis</w:t>
            </w:r>
          </w:p>
        </w:tc>
        <w:tc>
          <w:tcPr>
            <w:tcW w:w="565" w:type="pct"/>
          </w:tcPr>
          <w:p w14:paraId="1DBC8CF0" w14:textId="77777777" w:rsidR="001028B0" w:rsidRPr="009544A3" w:rsidRDefault="001028B0" w:rsidP="00634FA9">
            <w:pPr>
              <w:pStyle w:val="Tabletext0"/>
              <w:jc w:val="center"/>
              <w:cnfStyle w:val="000000000000" w:firstRow="0" w:lastRow="0" w:firstColumn="0" w:lastColumn="0" w:oddVBand="0" w:evenVBand="0" w:oddHBand="0" w:evenHBand="0" w:firstRowFirstColumn="0" w:firstRowLastColumn="0" w:lastRowFirstColumn="0" w:lastRowLastColumn="0"/>
              <w:rPr>
                <w:kern w:val="0"/>
                <w:vertAlign w:val="superscript"/>
              </w:rPr>
            </w:pPr>
            <w:r w:rsidRPr="009544A3">
              <w:rPr>
                <w:rFonts w:eastAsia="Cambria"/>
                <w:kern w:val="0"/>
              </w:rPr>
              <w:sym w:font="Wingdings" w:char="F0FC"/>
            </w:r>
            <w:r w:rsidRPr="009544A3">
              <w:rPr>
                <w:rFonts w:eastAsia="Cambria"/>
                <w:kern w:val="0"/>
                <w:vertAlign w:val="superscript"/>
              </w:rPr>
              <w:t>1</w:t>
            </w:r>
          </w:p>
        </w:tc>
        <w:tc>
          <w:tcPr>
            <w:tcW w:w="685" w:type="pct"/>
          </w:tcPr>
          <w:p w14:paraId="65779EF0" w14:textId="77777777" w:rsidR="001028B0" w:rsidRPr="00220CEA" w:rsidRDefault="001028B0" w:rsidP="00634FA9">
            <w:pPr>
              <w:pStyle w:val="Tabletext0"/>
              <w:jc w:val="center"/>
              <w:cnfStyle w:val="000000000000" w:firstRow="0" w:lastRow="0" w:firstColumn="0" w:lastColumn="0" w:oddVBand="0" w:evenVBand="0" w:oddHBand="0" w:evenHBand="0" w:firstRowFirstColumn="0" w:firstRowLastColumn="0" w:lastRowFirstColumn="0" w:lastRowLastColumn="0"/>
              <w:rPr>
                <w:kern w:val="0"/>
                <w:vertAlign w:val="superscript"/>
              </w:rPr>
            </w:pPr>
            <w:r w:rsidRPr="009544A3">
              <w:rPr>
                <w:rFonts w:eastAsia="Cambria"/>
                <w:kern w:val="0"/>
              </w:rPr>
              <w:sym w:font="Wingdings" w:char="F0FC"/>
            </w:r>
            <w:r>
              <w:rPr>
                <w:rFonts w:eastAsia="Cambria"/>
                <w:kern w:val="0"/>
                <w:vertAlign w:val="superscript"/>
              </w:rPr>
              <w:t>2</w:t>
            </w:r>
          </w:p>
        </w:tc>
        <w:tc>
          <w:tcPr>
            <w:tcW w:w="554" w:type="pct"/>
          </w:tcPr>
          <w:p w14:paraId="39194F87" w14:textId="77777777" w:rsidR="001028B0" w:rsidRPr="009544A3" w:rsidRDefault="001028B0" w:rsidP="00634FA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9544A3">
              <w:rPr>
                <w:rFonts w:eastAsia="Cambria"/>
                <w:kern w:val="0"/>
              </w:rPr>
              <w:sym w:font="Wingdings" w:char="F0FC"/>
            </w:r>
          </w:p>
        </w:tc>
        <w:tc>
          <w:tcPr>
            <w:tcW w:w="676" w:type="pct"/>
          </w:tcPr>
          <w:p w14:paraId="1B0CCEEE" w14:textId="77777777" w:rsidR="001028B0" w:rsidRPr="009544A3" w:rsidRDefault="001028B0" w:rsidP="00634FA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9544A3">
              <w:rPr>
                <w:kern w:val="0"/>
              </w:rPr>
              <w:t>–</w:t>
            </w:r>
          </w:p>
        </w:tc>
      </w:tr>
      <w:tr w:rsidR="001028B0" w:rsidRPr="009544A3" w14:paraId="1504B763" w14:textId="77777777" w:rsidTr="001028B0">
        <w:trPr>
          <w:trHeight w:val="721"/>
        </w:trPr>
        <w:tc>
          <w:tcPr>
            <w:cnfStyle w:val="001000000000" w:firstRow="0" w:lastRow="0" w:firstColumn="1" w:lastColumn="0" w:oddVBand="0" w:evenVBand="0" w:oddHBand="0" w:evenHBand="0" w:firstRowFirstColumn="0" w:firstRowLastColumn="0" w:lastRowFirstColumn="0" w:lastRowLastColumn="0"/>
            <w:tcW w:w="856" w:type="pct"/>
          </w:tcPr>
          <w:p w14:paraId="0BE8390C" w14:textId="77777777" w:rsidR="001028B0" w:rsidRPr="001028B0" w:rsidRDefault="001028B0" w:rsidP="00634FA9">
            <w:pPr>
              <w:pStyle w:val="Tabletext0"/>
              <w:rPr>
                <w:b/>
                <w:kern w:val="0"/>
                <w:sz w:val="22"/>
                <w:szCs w:val="22"/>
              </w:rPr>
            </w:pPr>
            <w:r w:rsidRPr="001028B0">
              <w:rPr>
                <w:b/>
                <w:kern w:val="0"/>
                <w:sz w:val="22"/>
                <w:szCs w:val="22"/>
              </w:rPr>
              <w:t>Important potential risks</w:t>
            </w:r>
          </w:p>
        </w:tc>
        <w:tc>
          <w:tcPr>
            <w:tcW w:w="1664" w:type="pct"/>
          </w:tcPr>
          <w:p w14:paraId="66E12612" w14:textId="77777777" w:rsidR="001028B0" w:rsidRPr="001028B0" w:rsidRDefault="001028B0" w:rsidP="00634F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snapToGrid w:val="0"/>
                <w:sz w:val="20"/>
                <w:szCs w:val="20"/>
              </w:rPr>
            </w:pPr>
            <w:r w:rsidRPr="001028B0">
              <w:rPr>
                <w:rFonts w:eastAsia="Times New Roman"/>
                <w:snapToGrid w:val="0"/>
                <w:sz w:val="20"/>
                <w:szCs w:val="20"/>
              </w:rPr>
              <w:t>Vaccine-associated enhanced disease (VAED) including vaccine associated enhanced respiratory disease (VAERD)</w:t>
            </w:r>
          </w:p>
        </w:tc>
        <w:tc>
          <w:tcPr>
            <w:tcW w:w="565" w:type="pct"/>
          </w:tcPr>
          <w:p w14:paraId="667E80E4" w14:textId="77777777" w:rsidR="001028B0" w:rsidRPr="009544A3" w:rsidRDefault="001028B0" w:rsidP="00634FA9">
            <w:pPr>
              <w:pStyle w:val="Tabletext0"/>
              <w:jc w:val="center"/>
              <w:cnfStyle w:val="000000000000" w:firstRow="0" w:lastRow="0" w:firstColumn="0" w:lastColumn="0" w:oddVBand="0" w:evenVBand="0" w:oddHBand="0" w:evenHBand="0" w:firstRowFirstColumn="0" w:firstRowLastColumn="0" w:lastRowFirstColumn="0" w:lastRowLastColumn="0"/>
              <w:rPr>
                <w:kern w:val="0"/>
              </w:rPr>
            </w:pPr>
          </w:p>
          <w:p w14:paraId="1E238A70" w14:textId="77777777" w:rsidR="001028B0" w:rsidRPr="00B63669" w:rsidRDefault="001028B0" w:rsidP="00634FA9">
            <w:pPr>
              <w:pStyle w:val="Tabletext0"/>
              <w:jc w:val="center"/>
              <w:cnfStyle w:val="000000000000" w:firstRow="0" w:lastRow="0" w:firstColumn="0" w:lastColumn="0" w:oddVBand="0" w:evenVBand="0" w:oddHBand="0" w:evenHBand="0" w:firstRowFirstColumn="0" w:firstRowLastColumn="0" w:lastRowFirstColumn="0" w:lastRowLastColumn="0"/>
              <w:rPr>
                <w:kern w:val="0"/>
                <w:vertAlign w:val="superscript"/>
              </w:rPr>
            </w:pPr>
            <w:r w:rsidRPr="009544A3">
              <w:rPr>
                <w:rFonts w:eastAsia="Cambria"/>
                <w:kern w:val="0"/>
              </w:rPr>
              <w:sym w:font="Wingdings" w:char="F0FC"/>
            </w:r>
            <w:r>
              <w:rPr>
                <w:rFonts w:eastAsia="Cambria"/>
                <w:kern w:val="0"/>
                <w:vertAlign w:val="superscript"/>
              </w:rPr>
              <w:t>1</w:t>
            </w:r>
          </w:p>
        </w:tc>
        <w:tc>
          <w:tcPr>
            <w:tcW w:w="685" w:type="pct"/>
          </w:tcPr>
          <w:p w14:paraId="5482BBD5" w14:textId="77777777" w:rsidR="001028B0" w:rsidRPr="009544A3" w:rsidRDefault="001028B0" w:rsidP="00634FA9">
            <w:pPr>
              <w:pStyle w:val="Tabletext0"/>
              <w:jc w:val="center"/>
              <w:cnfStyle w:val="000000000000" w:firstRow="0" w:lastRow="0" w:firstColumn="0" w:lastColumn="0" w:oddVBand="0" w:evenVBand="0" w:oddHBand="0" w:evenHBand="0" w:firstRowFirstColumn="0" w:firstRowLastColumn="0" w:lastRowFirstColumn="0" w:lastRowLastColumn="0"/>
              <w:rPr>
                <w:kern w:val="0"/>
              </w:rPr>
            </w:pPr>
          </w:p>
          <w:p w14:paraId="366CCFB8" w14:textId="77777777" w:rsidR="001028B0" w:rsidRPr="00220CEA" w:rsidRDefault="001028B0" w:rsidP="00634FA9">
            <w:pPr>
              <w:pStyle w:val="Tabletext0"/>
              <w:jc w:val="center"/>
              <w:cnfStyle w:val="000000000000" w:firstRow="0" w:lastRow="0" w:firstColumn="0" w:lastColumn="0" w:oddVBand="0" w:evenVBand="0" w:oddHBand="0" w:evenHBand="0" w:firstRowFirstColumn="0" w:firstRowLastColumn="0" w:lastRowFirstColumn="0" w:lastRowLastColumn="0"/>
              <w:rPr>
                <w:kern w:val="0"/>
                <w:vertAlign w:val="superscript"/>
              </w:rPr>
            </w:pPr>
            <w:r w:rsidRPr="009544A3">
              <w:rPr>
                <w:rFonts w:eastAsia="Cambria"/>
                <w:kern w:val="0"/>
              </w:rPr>
              <w:sym w:font="Wingdings" w:char="F0FC"/>
            </w:r>
            <w:r>
              <w:rPr>
                <w:rFonts w:eastAsia="Cambria"/>
                <w:kern w:val="0"/>
                <w:vertAlign w:val="superscript"/>
              </w:rPr>
              <w:t>2</w:t>
            </w:r>
          </w:p>
        </w:tc>
        <w:tc>
          <w:tcPr>
            <w:tcW w:w="554" w:type="pct"/>
          </w:tcPr>
          <w:p w14:paraId="07698A8F" w14:textId="77777777" w:rsidR="001028B0" w:rsidRPr="009544A3" w:rsidRDefault="001028B0" w:rsidP="00634FA9">
            <w:pPr>
              <w:pStyle w:val="Tabletext0"/>
              <w:jc w:val="center"/>
              <w:cnfStyle w:val="000000000000" w:firstRow="0" w:lastRow="0" w:firstColumn="0" w:lastColumn="0" w:oddVBand="0" w:evenVBand="0" w:oddHBand="0" w:evenHBand="0" w:firstRowFirstColumn="0" w:firstRowLastColumn="0" w:lastRowFirstColumn="0" w:lastRowLastColumn="0"/>
              <w:rPr>
                <w:kern w:val="0"/>
              </w:rPr>
            </w:pPr>
          </w:p>
          <w:p w14:paraId="76F532B7" w14:textId="77777777" w:rsidR="001028B0" w:rsidRPr="009544A3" w:rsidRDefault="001028B0" w:rsidP="00634FA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9544A3">
              <w:rPr>
                <w:kern w:val="0"/>
              </w:rPr>
              <w:t>–</w:t>
            </w:r>
          </w:p>
        </w:tc>
        <w:tc>
          <w:tcPr>
            <w:tcW w:w="676" w:type="pct"/>
          </w:tcPr>
          <w:p w14:paraId="37A77B1C" w14:textId="77777777" w:rsidR="001028B0" w:rsidRDefault="001028B0" w:rsidP="00634FA9">
            <w:pPr>
              <w:pStyle w:val="Tabletext0"/>
              <w:jc w:val="center"/>
              <w:cnfStyle w:val="000000000000" w:firstRow="0" w:lastRow="0" w:firstColumn="0" w:lastColumn="0" w:oddVBand="0" w:evenVBand="0" w:oddHBand="0" w:evenHBand="0" w:firstRowFirstColumn="0" w:firstRowLastColumn="0" w:lastRowFirstColumn="0" w:lastRowLastColumn="0"/>
              <w:rPr>
                <w:kern w:val="0"/>
              </w:rPr>
            </w:pPr>
          </w:p>
          <w:p w14:paraId="2F2AB8EA" w14:textId="77777777" w:rsidR="001028B0" w:rsidRPr="009544A3" w:rsidRDefault="001028B0" w:rsidP="00634FA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9544A3">
              <w:rPr>
                <w:kern w:val="0"/>
              </w:rPr>
              <w:t>–</w:t>
            </w:r>
          </w:p>
        </w:tc>
      </w:tr>
      <w:tr w:rsidR="001028B0" w:rsidRPr="009544A3" w14:paraId="1F5C0FD5" w14:textId="77777777" w:rsidTr="001028B0">
        <w:trPr>
          <w:trHeight w:val="178"/>
        </w:trPr>
        <w:tc>
          <w:tcPr>
            <w:cnfStyle w:val="001000000000" w:firstRow="0" w:lastRow="0" w:firstColumn="1" w:lastColumn="0" w:oddVBand="0" w:evenVBand="0" w:oddHBand="0" w:evenHBand="0" w:firstRowFirstColumn="0" w:firstRowLastColumn="0" w:lastRowFirstColumn="0" w:lastRowLastColumn="0"/>
            <w:tcW w:w="856" w:type="pct"/>
            <w:vMerge w:val="restart"/>
          </w:tcPr>
          <w:p w14:paraId="70FC044A" w14:textId="77777777" w:rsidR="001028B0" w:rsidRPr="001028B0" w:rsidRDefault="001028B0" w:rsidP="00634FA9">
            <w:pPr>
              <w:pStyle w:val="Tabletext0"/>
              <w:rPr>
                <w:b/>
                <w:kern w:val="0"/>
                <w:sz w:val="22"/>
                <w:szCs w:val="22"/>
              </w:rPr>
            </w:pPr>
            <w:r w:rsidRPr="001028B0">
              <w:rPr>
                <w:b/>
                <w:kern w:val="0"/>
                <w:sz w:val="22"/>
                <w:szCs w:val="22"/>
              </w:rPr>
              <w:t>Missing information</w:t>
            </w:r>
          </w:p>
        </w:tc>
        <w:tc>
          <w:tcPr>
            <w:tcW w:w="1664" w:type="pct"/>
          </w:tcPr>
          <w:p w14:paraId="0F3D74FC" w14:textId="77777777" w:rsidR="001028B0" w:rsidRPr="001028B0" w:rsidRDefault="001028B0" w:rsidP="00634F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snapToGrid w:val="0"/>
                <w:sz w:val="20"/>
                <w:szCs w:val="20"/>
              </w:rPr>
            </w:pPr>
            <w:r w:rsidRPr="001028B0">
              <w:rPr>
                <w:rFonts w:eastAsia="Times New Roman"/>
                <w:snapToGrid w:val="0"/>
                <w:sz w:val="20"/>
                <w:szCs w:val="20"/>
              </w:rPr>
              <w:t xml:space="preserve">Use in pregnancy and </w:t>
            </w:r>
            <w:proofErr w:type="gramStart"/>
            <w:r w:rsidRPr="001028B0">
              <w:rPr>
                <w:rFonts w:eastAsia="Times New Roman"/>
                <w:snapToGrid w:val="0"/>
                <w:sz w:val="20"/>
                <w:szCs w:val="20"/>
              </w:rPr>
              <w:t>while</w:t>
            </w:r>
            <w:proofErr w:type="gramEnd"/>
          </w:p>
          <w:p w14:paraId="43BDA2D1" w14:textId="77777777" w:rsidR="001028B0" w:rsidRPr="001028B0" w:rsidRDefault="001028B0" w:rsidP="00634FA9">
            <w:pPr>
              <w:pStyle w:val="Tabletext0"/>
              <w:cnfStyle w:val="000000000000" w:firstRow="0" w:lastRow="0" w:firstColumn="0" w:lastColumn="0" w:oddVBand="0" w:evenVBand="0" w:oddHBand="0" w:evenHBand="0" w:firstRowFirstColumn="0" w:firstRowLastColumn="0" w:lastRowFirstColumn="0" w:lastRowLastColumn="0"/>
              <w:rPr>
                <w:kern w:val="0"/>
                <w:sz w:val="20"/>
                <w:szCs w:val="20"/>
              </w:rPr>
            </w:pPr>
            <w:r w:rsidRPr="001028B0">
              <w:rPr>
                <w:kern w:val="0"/>
                <w:sz w:val="20"/>
                <w:szCs w:val="20"/>
              </w:rPr>
              <w:t>breastfeeding</w:t>
            </w:r>
          </w:p>
        </w:tc>
        <w:tc>
          <w:tcPr>
            <w:tcW w:w="565" w:type="pct"/>
          </w:tcPr>
          <w:p w14:paraId="5D1BF966" w14:textId="77777777" w:rsidR="001028B0" w:rsidRPr="005454A8" w:rsidRDefault="001028B0" w:rsidP="00634FA9">
            <w:pPr>
              <w:pStyle w:val="Tabletext0"/>
              <w:jc w:val="center"/>
              <w:cnfStyle w:val="000000000000" w:firstRow="0" w:lastRow="0" w:firstColumn="0" w:lastColumn="0" w:oddVBand="0" w:evenVBand="0" w:oddHBand="0" w:evenHBand="0" w:firstRowFirstColumn="0" w:firstRowLastColumn="0" w:lastRowFirstColumn="0" w:lastRowLastColumn="0"/>
              <w:rPr>
                <w:kern w:val="0"/>
                <w:vertAlign w:val="superscript"/>
              </w:rPr>
            </w:pPr>
            <w:r w:rsidRPr="005454A8">
              <w:rPr>
                <w:rFonts w:eastAsia="Cambria"/>
                <w:kern w:val="0"/>
              </w:rPr>
              <w:sym w:font="Wingdings" w:char="F0FC"/>
            </w:r>
          </w:p>
        </w:tc>
        <w:tc>
          <w:tcPr>
            <w:tcW w:w="685" w:type="pct"/>
          </w:tcPr>
          <w:p w14:paraId="153BB737" w14:textId="77777777" w:rsidR="001028B0" w:rsidRPr="00220CEA" w:rsidRDefault="001028B0" w:rsidP="00634FA9">
            <w:pPr>
              <w:pStyle w:val="Tabletext0"/>
              <w:jc w:val="center"/>
              <w:cnfStyle w:val="000000000000" w:firstRow="0" w:lastRow="0" w:firstColumn="0" w:lastColumn="0" w:oddVBand="0" w:evenVBand="0" w:oddHBand="0" w:evenHBand="0" w:firstRowFirstColumn="0" w:firstRowLastColumn="0" w:lastRowFirstColumn="0" w:lastRowLastColumn="0"/>
              <w:rPr>
                <w:kern w:val="0"/>
                <w:vertAlign w:val="superscript"/>
              </w:rPr>
            </w:pPr>
            <w:r w:rsidRPr="009544A3">
              <w:rPr>
                <w:rFonts w:eastAsia="Cambria"/>
                <w:kern w:val="0"/>
              </w:rPr>
              <w:sym w:font="Wingdings" w:char="F0FC"/>
            </w:r>
            <w:r>
              <w:rPr>
                <w:rFonts w:eastAsia="Cambria"/>
                <w:kern w:val="0"/>
                <w:vertAlign w:val="superscript"/>
              </w:rPr>
              <w:t>3</w:t>
            </w:r>
          </w:p>
        </w:tc>
        <w:tc>
          <w:tcPr>
            <w:tcW w:w="554" w:type="pct"/>
          </w:tcPr>
          <w:p w14:paraId="2EF087CE" w14:textId="77777777" w:rsidR="001028B0" w:rsidRPr="009544A3" w:rsidRDefault="001028B0" w:rsidP="00634FA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9544A3">
              <w:rPr>
                <w:rFonts w:eastAsia="Cambria"/>
                <w:kern w:val="0"/>
              </w:rPr>
              <w:sym w:font="Wingdings" w:char="F0FC"/>
            </w:r>
          </w:p>
        </w:tc>
        <w:tc>
          <w:tcPr>
            <w:tcW w:w="676" w:type="pct"/>
          </w:tcPr>
          <w:p w14:paraId="5C96C6F8" w14:textId="77777777" w:rsidR="001028B0" w:rsidRPr="009544A3" w:rsidRDefault="001028B0" w:rsidP="00634FA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9544A3">
              <w:rPr>
                <w:kern w:val="0"/>
              </w:rPr>
              <w:t>–</w:t>
            </w:r>
          </w:p>
        </w:tc>
      </w:tr>
      <w:tr w:rsidR="001028B0" w:rsidRPr="009544A3" w14:paraId="08124B55" w14:textId="77777777" w:rsidTr="001028B0">
        <w:trPr>
          <w:trHeight w:val="103"/>
        </w:trPr>
        <w:tc>
          <w:tcPr>
            <w:cnfStyle w:val="001000000000" w:firstRow="0" w:lastRow="0" w:firstColumn="1" w:lastColumn="0" w:oddVBand="0" w:evenVBand="0" w:oddHBand="0" w:evenHBand="0" w:firstRowFirstColumn="0" w:firstRowLastColumn="0" w:lastRowFirstColumn="0" w:lastRowLastColumn="0"/>
            <w:tcW w:w="856" w:type="pct"/>
            <w:vMerge/>
          </w:tcPr>
          <w:p w14:paraId="29D81BE6" w14:textId="77777777" w:rsidR="001028B0" w:rsidRPr="009544A3" w:rsidRDefault="001028B0" w:rsidP="00634FA9">
            <w:pPr>
              <w:pStyle w:val="Tabletext0"/>
              <w:rPr>
                <w:kern w:val="0"/>
              </w:rPr>
            </w:pPr>
          </w:p>
        </w:tc>
        <w:tc>
          <w:tcPr>
            <w:tcW w:w="1664" w:type="pct"/>
          </w:tcPr>
          <w:p w14:paraId="62B2FEE6" w14:textId="77777777" w:rsidR="001028B0" w:rsidRPr="001028B0" w:rsidRDefault="001028B0" w:rsidP="00634FA9">
            <w:pPr>
              <w:pStyle w:val="Tabletext0"/>
              <w:cnfStyle w:val="000000000000" w:firstRow="0" w:lastRow="0" w:firstColumn="0" w:lastColumn="0" w:oddVBand="0" w:evenVBand="0" w:oddHBand="0" w:evenHBand="0" w:firstRowFirstColumn="0" w:firstRowLastColumn="0" w:lastRowFirstColumn="0" w:lastRowLastColumn="0"/>
              <w:rPr>
                <w:kern w:val="0"/>
                <w:sz w:val="20"/>
                <w:szCs w:val="20"/>
              </w:rPr>
            </w:pPr>
            <w:r w:rsidRPr="001028B0">
              <w:rPr>
                <w:kern w:val="0"/>
                <w:sz w:val="20"/>
                <w:szCs w:val="20"/>
              </w:rPr>
              <w:t>Long-term safety</w:t>
            </w:r>
          </w:p>
        </w:tc>
        <w:tc>
          <w:tcPr>
            <w:tcW w:w="565" w:type="pct"/>
          </w:tcPr>
          <w:p w14:paraId="07E9AE2D" w14:textId="77777777" w:rsidR="001028B0" w:rsidRPr="009544A3" w:rsidRDefault="001028B0" w:rsidP="00634FA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9544A3">
              <w:rPr>
                <w:rFonts w:eastAsia="Cambria"/>
                <w:kern w:val="0"/>
              </w:rPr>
              <w:sym w:font="Wingdings" w:char="F0FC"/>
            </w:r>
          </w:p>
        </w:tc>
        <w:tc>
          <w:tcPr>
            <w:tcW w:w="685" w:type="pct"/>
          </w:tcPr>
          <w:p w14:paraId="2ACBA80D" w14:textId="77777777" w:rsidR="001028B0" w:rsidRPr="009544A3" w:rsidRDefault="001028B0" w:rsidP="00634FA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9544A3">
              <w:rPr>
                <w:rFonts w:eastAsia="Cambria"/>
                <w:kern w:val="0"/>
              </w:rPr>
              <w:sym w:font="Wingdings" w:char="F0FC"/>
            </w:r>
            <w:r>
              <w:rPr>
                <w:rFonts w:eastAsia="Cambria"/>
                <w:kern w:val="0"/>
                <w:vertAlign w:val="superscript"/>
              </w:rPr>
              <w:t>2</w:t>
            </w:r>
          </w:p>
        </w:tc>
        <w:tc>
          <w:tcPr>
            <w:tcW w:w="554" w:type="pct"/>
          </w:tcPr>
          <w:p w14:paraId="61FABAEF" w14:textId="77777777" w:rsidR="001028B0" w:rsidRPr="009544A3" w:rsidRDefault="001028B0" w:rsidP="00634FA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9544A3">
              <w:rPr>
                <w:kern w:val="0"/>
              </w:rPr>
              <w:t>–</w:t>
            </w:r>
          </w:p>
        </w:tc>
        <w:tc>
          <w:tcPr>
            <w:tcW w:w="676" w:type="pct"/>
          </w:tcPr>
          <w:p w14:paraId="6AE25636" w14:textId="77777777" w:rsidR="001028B0" w:rsidRPr="009544A3" w:rsidRDefault="001028B0" w:rsidP="00634FA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9544A3">
              <w:rPr>
                <w:kern w:val="0"/>
              </w:rPr>
              <w:t>–</w:t>
            </w:r>
          </w:p>
        </w:tc>
      </w:tr>
      <w:tr w:rsidR="001028B0" w:rsidRPr="009544A3" w14:paraId="256F348E" w14:textId="77777777" w:rsidTr="001028B0">
        <w:trPr>
          <w:trHeight w:val="103"/>
        </w:trPr>
        <w:tc>
          <w:tcPr>
            <w:cnfStyle w:val="001000000000" w:firstRow="0" w:lastRow="0" w:firstColumn="1" w:lastColumn="0" w:oddVBand="0" w:evenVBand="0" w:oddHBand="0" w:evenHBand="0" w:firstRowFirstColumn="0" w:firstRowLastColumn="0" w:lastRowFirstColumn="0" w:lastRowLastColumn="0"/>
            <w:tcW w:w="856" w:type="pct"/>
            <w:vMerge/>
          </w:tcPr>
          <w:p w14:paraId="40E0BD24" w14:textId="77777777" w:rsidR="001028B0" w:rsidRPr="009544A3" w:rsidRDefault="001028B0" w:rsidP="00634FA9">
            <w:pPr>
              <w:pStyle w:val="Tabletext0"/>
              <w:rPr>
                <w:kern w:val="0"/>
              </w:rPr>
            </w:pPr>
          </w:p>
        </w:tc>
        <w:tc>
          <w:tcPr>
            <w:tcW w:w="1664" w:type="pct"/>
          </w:tcPr>
          <w:p w14:paraId="08C4EFF0" w14:textId="77777777" w:rsidR="001028B0" w:rsidRPr="001028B0" w:rsidRDefault="001028B0" w:rsidP="00634FA9">
            <w:pPr>
              <w:pStyle w:val="Tabletext0"/>
              <w:cnfStyle w:val="000000000000" w:firstRow="0" w:lastRow="0" w:firstColumn="0" w:lastColumn="0" w:oddVBand="0" w:evenVBand="0" w:oddHBand="0" w:evenHBand="0" w:firstRowFirstColumn="0" w:firstRowLastColumn="0" w:lastRowFirstColumn="0" w:lastRowLastColumn="0"/>
              <w:rPr>
                <w:kern w:val="0"/>
                <w:sz w:val="20"/>
                <w:szCs w:val="20"/>
              </w:rPr>
            </w:pPr>
            <w:r w:rsidRPr="001028B0">
              <w:rPr>
                <w:kern w:val="0"/>
                <w:sz w:val="20"/>
                <w:szCs w:val="20"/>
              </w:rPr>
              <w:t>Use in immunocompromised subjects</w:t>
            </w:r>
          </w:p>
        </w:tc>
        <w:tc>
          <w:tcPr>
            <w:tcW w:w="565" w:type="pct"/>
          </w:tcPr>
          <w:p w14:paraId="06358635" w14:textId="77777777" w:rsidR="001028B0" w:rsidRPr="009544A3" w:rsidRDefault="001028B0" w:rsidP="00634FA9">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rPr>
            </w:pPr>
            <w:r w:rsidRPr="009544A3">
              <w:rPr>
                <w:rFonts w:eastAsia="Cambria"/>
                <w:kern w:val="0"/>
              </w:rPr>
              <w:sym w:font="Wingdings" w:char="F0FC"/>
            </w:r>
          </w:p>
        </w:tc>
        <w:tc>
          <w:tcPr>
            <w:tcW w:w="685" w:type="pct"/>
          </w:tcPr>
          <w:p w14:paraId="4E6A65B0" w14:textId="77777777" w:rsidR="001028B0" w:rsidRPr="009544A3" w:rsidRDefault="001028B0" w:rsidP="00634FA9">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rPr>
            </w:pPr>
            <w:r w:rsidRPr="009544A3">
              <w:rPr>
                <w:kern w:val="0"/>
              </w:rPr>
              <w:t>–</w:t>
            </w:r>
          </w:p>
        </w:tc>
        <w:tc>
          <w:tcPr>
            <w:tcW w:w="554" w:type="pct"/>
          </w:tcPr>
          <w:p w14:paraId="62CBE0E2" w14:textId="77777777" w:rsidR="001028B0" w:rsidRPr="009544A3" w:rsidRDefault="001028B0" w:rsidP="00634FA9">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rPr>
            </w:pPr>
            <w:r w:rsidRPr="009544A3">
              <w:rPr>
                <w:rFonts w:eastAsia="Cambria"/>
                <w:kern w:val="0"/>
              </w:rPr>
              <w:sym w:font="Wingdings" w:char="F0FC"/>
            </w:r>
          </w:p>
        </w:tc>
        <w:tc>
          <w:tcPr>
            <w:tcW w:w="676" w:type="pct"/>
          </w:tcPr>
          <w:p w14:paraId="427F3709" w14:textId="77777777" w:rsidR="001028B0" w:rsidRPr="009544A3" w:rsidRDefault="001028B0" w:rsidP="00634FA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9544A3">
              <w:rPr>
                <w:kern w:val="0"/>
              </w:rPr>
              <w:t>–</w:t>
            </w:r>
          </w:p>
        </w:tc>
      </w:tr>
      <w:tr w:rsidR="001028B0" w:rsidRPr="009544A3" w14:paraId="7C8DB129" w14:textId="77777777" w:rsidTr="001028B0">
        <w:trPr>
          <w:trHeight w:val="103"/>
        </w:trPr>
        <w:tc>
          <w:tcPr>
            <w:cnfStyle w:val="001000000000" w:firstRow="0" w:lastRow="0" w:firstColumn="1" w:lastColumn="0" w:oddVBand="0" w:evenVBand="0" w:oddHBand="0" w:evenHBand="0" w:firstRowFirstColumn="0" w:firstRowLastColumn="0" w:lastRowFirstColumn="0" w:lastRowLastColumn="0"/>
            <w:tcW w:w="856" w:type="pct"/>
            <w:vMerge/>
          </w:tcPr>
          <w:p w14:paraId="363FEEB9" w14:textId="77777777" w:rsidR="001028B0" w:rsidRPr="009544A3" w:rsidRDefault="001028B0" w:rsidP="00634FA9">
            <w:pPr>
              <w:pStyle w:val="Tabletext0"/>
              <w:rPr>
                <w:kern w:val="0"/>
              </w:rPr>
            </w:pPr>
          </w:p>
        </w:tc>
        <w:tc>
          <w:tcPr>
            <w:tcW w:w="1664" w:type="pct"/>
          </w:tcPr>
          <w:p w14:paraId="4DB5FF74" w14:textId="77777777" w:rsidR="001028B0" w:rsidRPr="001028B0" w:rsidRDefault="001028B0" w:rsidP="00634FA9">
            <w:pPr>
              <w:pStyle w:val="Tabletext0"/>
              <w:cnfStyle w:val="000000000000" w:firstRow="0" w:lastRow="0" w:firstColumn="0" w:lastColumn="0" w:oddVBand="0" w:evenVBand="0" w:oddHBand="0" w:evenHBand="0" w:firstRowFirstColumn="0" w:firstRowLastColumn="0" w:lastRowFirstColumn="0" w:lastRowLastColumn="0"/>
              <w:rPr>
                <w:kern w:val="0"/>
                <w:sz w:val="20"/>
                <w:szCs w:val="20"/>
              </w:rPr>
            </w:pPr>
            <w:r w:rsidRPr="001028B0">
              <w:rPr>
                <w:kern w:val="0"/>
                <w:sz w:val="20"/>
                <w:szCs w:val="20"/>
              </w:rPr>
              <w:t>Interaction with other vaccines</w:t>
            </w:r>
          </w:p>
        </w:tc>
        <w:tc>
          <w:tcPr>
            <w:tcW w:w="565" w:type="pct"/>
          </w:tcPr>
          <w:p w14:paraId="5A15F395" w14:textId="77777777" w:rsidR="001028B0" w:rsidRPr="009544A3" w:rsidRDefault="001028B0" w:rsidP="00634FA9">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rPr>
            </w:pPr>
            <w:r w:rsidRPr="009544A3">
              <w:rPr>
                <w:rFonts w:eastAsia="Cambria"/>
                <w:kern w:val="0"/>
              </w:rPr>
              <w:sym w:font="Wingdings" w:char="F0FC"/>
            </w:r>
          </w:p>
        </w:tc>
        <w:tc>
          <w:tcPr>
            <w:tcW w:w="685" w:type="pct"/>
          </w:tcPr>
          <w:p w14:paraId="172E914B" w14:textId="77777777" w:rsidR="001028B0" w:rsidRPr="009544A3" w:rsidRDefault="001028B0" w:rsidP="00634FA9">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rPr>
            </w:pPr>
            <w:r w:rsidRPr="009544A3">
              <w:rPr>
                <w:kern w:val="0"/>
              </w:rPr>
              <w:t>–</w:t>
            </w:r>
          </w:p>
        </w:tc>
        <w:tc>
          <w:tcPr>
            <w:tcW w:w="554" w:type="pct"/>
          </w:tcPr>
          <w:p w14:paraId="7088AEE1" w14:textId="77777777" w:rsidR="001028B0" w:rsidRPr="009544A3" w:rsidRDefault="001028B0" w:rsidP="00634FA9">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rPr>
            </w:pPr>
            <w:r w:rsidRPr="009544A3">
              <w:rPr>
                <w:rFonts w:eastAsia="Cambria"/>
                <w:kern w:val="0"/>
              </w:rPr>
              <w:sym w:font="Wingdings" w:char="F0FC"/>
            </w:r>
          </w:p>
        </w:tc>
        <w:tc>
          <w:tcPr>
            <w:tcW w:w="676" w:type="pct"/>
          </w:tcPr>
          <w:p w14:paraId="46A9D643" w14:textId="77777777" w:rsidR="001028B0" w:rsidRPr="009544A3" w:rsidRDefault="001028B0" w:rsidP="00634FA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9544A3">
              <w:rPr>
                <w:kern w:val="0"/>
              </w:rPr>
              <w:t>–</w:t>
            </w:r>
          </w:p>
        </w:tc>
      </w:tr>
      <w:tr w:rsidR="001028B0" w:rsidRPr="009544A3" w14:paraId="088934B0" w14:textId="77777777" w:rsidTr="001028B0">
        <w:trPr>
          <w:trHeight w:val="103"/>
        </w:trPr>
        <w:tc>
          <w:tcPr>
            <w:cnfStyle w:val="001000000000" w:firstRow="0" w:lastRow="0" w:firstColumn="1" w:lastColumn="0" w:oddVBand="0" w:evenVBand="0" w:oddHBand="0" w:evenHBand="0" w:firstRowFirstColumn="0" w:firstRowLastColumn="0" w:lastRowFirstColumn="0" w:lastRowLastColumn="0"/>
            <w:tcW w:w="856" w:type="pct"/>
            <w:vMerge/>
          </w:tcPr>
          <w:p w14:paraId="62D27684" w14:textId="77777777" w:rsidR="001028B0" w:rsidRPr="009544A3" w:rsidRDefault="001028B0" w:rsidP="00634FA9">
            <w:pPr>
              <w:pStyle w:val="Tabletext0"/>
              <w:rPr>
                <w:kern w:val="0"/>
              </w:rPr>
            </w:pPr>
          </w:p>
        </w:tc>
        <w:tc>
          <w:tcPr>
            <w:tcW w:w="1664" w:type="pct"/>
          </w:tcPr>
          <w:p w14:paraId="3F199346" w14:textId="77777777" w:rsidR="001028B0" w:rsidRPr="001028B0" w:rsidRDefault="001028B0" w:rsidP="00634F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snapToGrid w:val="0"/>
                <w:sz w:val="20"/>
                <w:szCs w:val="20"/>
              </w:rPr>
            </w:pPr>
            <w:r w:rsidRPr="001028B0">
              <w:rPr>
                <w:rFonts w:eastAsia="Times New Roman"/>
                <w:snapToGrid w:val="0"/>
                <w:sz w:val="20"/>
                <w:szCs w:val="20"/>
              </w:rPr>
              <w:t xml:space="preserve">Use in frail subjects with </w:t>
            </w:r>
            <w:proofErr w:type="gramStart"/>
            <w:r w:rsidRPr="001028B0">
              <w:rPr>
                <w:rFonts w:eastAsia="Times New Roman"/>
                <w:snapToGrid w:val="0"/>
                <w:sz w:val="20"/>
                <w:szCs w:val="20"/>
              </w:rPr>
              <w:t>unstable</w:t>
            </w:r>
            <w:proofErr w:type="gramEnd"/>
          </w:p>
          <w:p w14:paraId="5333BECB" w14:textId="77777777" w:rsidR="001028B0" w:rsidRPr="001028B0" w:rsidRDefault="001028B0" w:rsidP="00634F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snapToGrid w:val="0"/>
                <w:sz w:val="20"/>
                <w:szCs w:val="20"/>
              </w:rPr>
            </w:pPr>
            <w:r w:rsidRPr="001028B0">
              <w:rPr>
                <w:rFonts w:eastAsia="Times New Roman"/>
                <w:snapToGrid w:val="0"/>
                <w:sz w:val="20"/>
                <w:szCs w:val="20"/>
              </w:rPr>
              <w:t>health conditions and co-morbidities</w:t>
            </w:r>
          </w:p>
          <w:p w14:paraId="032B4DD6" w14:textId="77777777" w:rsidR="001028B0" w:rsidRPr="001028B0" w:rsidRDefault="001028B0" w:rsidP="00634F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snapToGrid w:val="0"/>
                <w:sz w:val="20"/>
                <w:szCs w:val="20"/>
              </w:rPr>
            </w:pPr>
            <w:r w:rsidRPr="001028B0">
              <w:rPr>
                <w:rFonts w:eastAsia="Times New Roman"/>
                <w:snapToGrid w:val="0"/>
                <w:sz w:val="20"/>
                <w:szCs w:val="20"/>
              </w:rPr>
              <w:t>(</w:t>
            </w:r>
            <w:proofErr w:type="gramStart"/>
            <w:r w:rsidRPr="001028B0">
              <w:rPr>
                <w:rFonts w:eastAsia="Times New Roman"/>
                <w:snapToGrid w:val="0"/>
                <w:sz w:val="20"/>
                <w:szCs w:val="20"/>
              </w:rPr>
              <w:t>e.g.</w:t>
            </w:r>
            <w:proofErr w:type="gramEnd"/>
            <w:r w:rsidRPr="001028B0">
              <w:rPr>
                <w:rFonts w:eastAsia="Times New Roman"/>
                <w:snapToGrid w:val="0"/>
                <w:sz w:val="20"/>
                <w:szCs w:val="20"/>
              </w:rPr>
              <w:t xml:space="preserve"> COPD, diabetes, chronic</w:t>
            </w:r>
          </w:p>
          <w:p w14:paraId="2F55C749" w14:textId="77777777" w:rsidR="001028B0" w:rsidRPr="001028B0" w:rsidRDefault="001028B0" w:rsidP="00634F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snapToGrid w:val="0"/>
                <w:sz w:val="20"/>
                <w:szCs w:val="20"/>
              </w:rPr>
            </w:pPr>
            <w:r w:rsidRPr="001028B0">
              <w:rPr>
                <w:rFonts w:eastAsia="Times New Roman"/>
                <w:snapToGrid w:val="0"/>
                <w:sz w:val="20"/>
                <w:szCs w:val="20"/>
              </w:rPr>
              <w:t>neurological disease, cardiovascular</w:t>
            </w:r>
          </w:p>
          <w:p w14:paraId="08CB0C60" w14:textId="77777777" w:rsidR="001028B0" w:rsidRPr="001028B0" w:rsidRDefault="001028B0" w:rsidP="00634FA9">
            <w:pPr>
              <w:pStyle w:val="Tabletext0"/>
              <w:cnfStyle w:val="000000000000" w:firstRow="0" w:lastRow="0" w:firstColumn="0" w:lastColumn="0" w:oddVBand="0" w:evenVBand="0" w:oddHBand="0" w:evenHBand="0" w:firstRowFirstColumn="0" w:firstRowLastColumn="0" w:lastRowFirstColumn="0" w:lastRowLastColumn="0"/>
              <w:rPr>
                <w:kern w:val="0"/>
                <w:sz w:val="20"/>
                <w:szCs w:val="20"/>
              </w:rPr>
            </w:pPr>
            <w:r w:rsidRPr="001028B0">
              <w:rPr>
                <w:kern w:val="0"/>
                <w:sz w:val="20"/>
                <w:szCs w:val="20"/>
              </w:rPr>
              <w:t>disorders)</w:t>
            </w:r>
          </w:p>
        </w:tc>
        <w:tc>
          <w:tcPr>
            <w:tcW w:w="565" w:type="pct"/>
          </w:tcPr>
          <w:p w14:paraId="70A6629D" w14:textId="77777777" w:rsidR="001028B0" w:rsidRPr="009544A3" w:rsidRDefault="001028B0" w:rsidP="00634FA9">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rPr>
            </w:pPr>
            <w:r w:rsidRPr="009544A3">
              <w:rPr>
                <w:rFonts w:eastAsia="Cambria"/>
                <w:kern w:val="0"/>
              </w:rPr>
              <w:sym w:font="Wingdings" w:char="F0FC"/>
            </w:r>
          </w:p>
        </w:tc>
        <w:tc>
          <w:tcPr>
            <w:tcW w:w="685" w:type="pct"/>
          </w:tcPr>
          <w:p w14:paraId="3A221387" w14:textId="77777777" w:rsidR="001028B0" w:rsidRPr="009544A3" w:rsidRDefault="001028B0" w:rsidP="00634FA9">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rPr>
            </w:pPr>
            <w:r w:rsidRPr="009544A3">
              <w:rPr>
                <w:rFonts w:eastAsia="Cambria"/>
                <w:kern w:val="0"/>
              </w:rPr>
              <w:sym w:font="Wingdings" w:char="F0FC"/>
            </w:r>
            <w:r>
              <w:rPr>
                <w:rFonts w:eastAsia="Cambria"/>
                <w:kern w:val="0"/>
                <w:vertAlign w:val="superscript"/>
              </w:rPr>
              <w:t>2</w:t>
            </w:r>
          </w:p>
        </w:tc>
        <w:tc>
          <w:tcPr>
            <w:tcW w:w="554" w:type="pct"/>
          </w:tcPr>
          <w:p w14:paraId="4853EA80" w14:textId="77777777" w:rsidR="001028B0" w:rsidRPr="009544A3" w:rsidRDefault="001028B0" w:rsidP="00634FA9">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rPr>
            </w:pPr>
            <w:r w:rsidRPr="000359BB">
              <w:rPr>
                <w:rFonts w:eastAsia="Cambria"/>
                <w:color w:val="7030A0"/>
                <w:kern w:val="0"/>
              </w:rPr>
              <w:sym w:font="Wingdings" w:char="F0FC"/>
            </w:r>
          </w:p>
        </w:tc>
        <w:tc>
          <w:tcPr>
            <w:tcW w:w="676" w:type="pct"/>
          </w:tcPr>
          <w:p w14:paraId="5657FCC7" w14:textId="77777777" w:rsidR="001028B0" w:rsidRPr="009544A3" w:rsidRDefault="001028B0" w:rsidP="00634FA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9544A3">
              <w:rPr>
                <w:kern w:val="0"/>
              </w:rPr>
              <w:t>–</w:t>
            </w:r>
          </w:p>
        </w:tc>
      </w:tr>
      <w:tr w:rsidR="001028B0" w:rsidRPr="009544A3" w14:paraId="5820C74F" w14:textId="77777777" w:rsidTr="001028B0">
        <w:trPr>
          <w:trHeight w:val="140"/>
        </w:trPr>
        <w:tc>
          <w:tcPr>
            <w:cnfStyle w:val="001000000000" w:firstRow="0" w:lastRow="0" w:firstColumn="1" w:lastColumn="0" w:oddVBand="0" w:evenVBand="0" w:oddHBand="0" w:evenHBand="0" w:firstRowFirstColumn="0" w:firstRowLastColumn="0" w:lastRowFirstColumn="0" w:lastRowLastColumn="0"/>
            <w:tcW w:w="856" w:type="pct"/>
            <w:vMerge/>
          </w:tcPr>
          <w:p w14:paraId="12B707FA" w14:textId="77777777" w:rsidR="001028B0" w:rsidRPr="009544A3" w:rsidRDefault="001028B0" w:rsidP="00634FA9">
            <w:pPr>
              <w:pStyle w:val="Tabletext0"/>
              <w:rPr>
                <w:kern w:val="0"/>
              </w:rPr>
            </w:pPr>
          </w:p>
        </w:tc>
        <w:tc>
          <w:tcPr>
            <w:tcW w:w="1664" w:type="pct"/>
          </w:tcPr>
          <w:p w14:paraId="12B9B29A" w14:textId="77777777" w:rsidR="001028B0" w:rsidRPr="001028B0" w:rsidRDefault="001028B0" w:rsidP="00634FA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snapToGrid w:val="0"/>
                <w:sz w:val="20"/>
                <w:szCs w:val="20"/>
              </w:rPr>
            </w:pPr>
            <w:r w:rsidRPr="001028B0">
              <w:rPr>
                <w:rFonts w:eastAsia="Times New Roman"/>
                <w:snapToGrid w:val="0"/>
                <w:sz w:val="20"/>
                <w:szCs w:val="20"/>
              </w:rPr>
              <w:t>Use in subjects with autoimmune or</w:t>
            </w:r>
          </w:p>
          <w:p w14:paraId="79057AEF" w14:textId="77777777" w:rsidR="001028B0" w:rsidRPr="001028B0" w:rsidRDefault="001028B0" w:rsidP="00634FA9">
            <w:pPr>
              <w:pStyle w:val="Tabletext0"/>
              <w:cnfStyle w:val="000000000000" w:firstRow="0" w:lastRow="0" w:firstColumn="0" w:lastColumn="0" w:oddVBand="0" w:evenVBand="0" w:oddHBand="0" w:evenHBand="0" w:firstRowFirstColumn="0" w:firstRowLastColumn="0" w:lastRowFirstColumn="0" w:lastRowLastColumn="0"/>
              <w:rPr>
                <w:kern w:val="0"/>
                <w:sz w:val="20"/>
                <w:szCs w:val="20"/>
              </w:rPr>
            </w:pPr>
            <w:r w:rsidRPr="001028B0">
              <w:rPr>
                <w:kern w:val="0"/>
                <w:sz w:val="20"/>
                <w:szCs w:val="20"/>
              </w:rPr>
              <w:t>inflammatory disorders</w:t>
            </w:r>
          </w:p>
        </w:tc>
        <w:tc>
          <w:tcPr>
            <w:tcW w:w="565" w:type="pct"/>
          </w:tcPr>
          <w:p w14:paraId="624A1D7B" w14:textId="77777777" w:rsidR="001028B0" w:rsidRPr="009544A3" w:rsidRDefault="001028B0" w:rsidP="00634FA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9544A3">
              <w:rPr>
                <w:rFonts w:eastAsia="Cambria"/>
                <w:kern w:val="0"/>
              </w:rPr>
              <w:sym w:font="Wingdings" w:char="F0FC"/>
            </w:r>
          </w:p>
        </w:tc>
        <w:tc>
          <w:tcPr>
            <w:tcW w:w="685" w:type="pct"/>
          </w:tcPr>
          <w:p w14:paraId="5059DEDC" w14:textId="77777777" w:rsidR="001028B0" w:rsidRPr="009544A3" w:rsidRDefault="001028B0" w:rsidP="00634FA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9544A3">
              <w:rPr>
                <w:rFonts w:eastAsia="Cambria"/>
                <w:kern w:val="0"/>
              </w:rPr>
              <w:sym w:font="Wingdings" w:char="F0FC"/>
            </w:r>
            <w:r>
              <w:rPr>
                <w:rFonts w:eastAsia="Cambria"/>
                <w:kern w:val="0"/>
                <w:vertAlign w:val="superscript"/>
              </w:rPr>
              <w:t>2</w:t>
            </w:r>
          </w:p>
        </w:tc>
        <w:tc>
          <w:tcPr>
            <w:tcW w:w="554" w:type="pct"/>
          </w:tcPr>
          <w:p w14:paraId="22C77C55" w14:textId="77777777" w:rsidR="001028B0" w:rsidRPr="009544A3" w:rsidRDefault="001028B0" w:rsidP="00634FA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9544A3">
              <w:rPr>
                <w:rFonts w:eastAsia="Cambria"/>
                <w:kern w:val="0"/>
              </w:rPr>
              <w:sym w:font="Wingdings" w:char="F0FC"/>
            </w:r>
          </w:p>
        </w:tc>
        <w:tc>
          <w:tcPr>
            <w:tcW w:w="676" w:type="pct"/>
          </w:tcPr>
          <w:p w14:paraId="59F99D9F" w14:textId="77777777" w:rsidR="001028B0" w:rsidRPr="009544A3" w:rsidRDefault="001028B0" w:rsidP="00634FA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9544A3">
              <w:rPr>
                <w:kern w:val="0"/>
              </w:rPr>
              <w:t>–</w:t>
            </w:r>
          </w:p>
        </w:tc>
      </w:tr>
    </w:tbl>
    <w:p w14:paraId="4034B43B" w14:textId="77777777" w:rsidR="001028B0" w:rsidRPr="002A3314" w:rsidRDefault="001028B0" w:rsidP="001028B0">
      <w:pPr>
        <w:pStyle w:val="TableDescription"/>
      </w:pPr>
      <w:r w:rsidRPr="002A3314">
        <w:rPr>
          <w:vertAlign w:val="superscript"/>
        </w:rPr>
        <w:t>1</w:t>
      </w:r>
      <w:r w:rsidRPr="002A3314">
        <w:t xml:space="preserve">Specific </w:t>
      </w:r>
      <w:r>
        <w:t>adverse reaction f</w:t>
      </w:r>
      <w:r w:rsidRPr="002A3314">
        <w:t>ollow-up questionnaires</w:t>
      </w:r>
    </w:p>
    <w:p w14:paraId="40F3186B" w14:textId="77777777" w:rsidR="001028B0" w:rsidRPr="002A3314" w:rsidRDefault="001028B0" w:rsidP="001028B0">
      <w:pPr>
        <w:pStyle w:val="TableDescription"/>
      </w:pPr>
      <w:r w:rsidRPr="002A3314">
        <w:rPr>
          <w:vertAlign w:val="superscript"/>
        </w:rPr>
        <w:t>2</w:t>
      </w:r>
      <w:r w:rsidRPr="002A3314">
        <w:t>Clinical trials</w:t>
      </w:r>
    </w:p>
    <w:p w14:paraId="48FCAAAB" w14:textId="77777777" w:rsidR="001028B0" w:rsidRPr="00DB2E6C" w:rsidRDefault="001028B0" w:rsidP="001028B0">
      <w:pPr>
        <w:pStyle w:val="TableDescription"/>
      </w:pPr>
      <w:r w:rsidRPr="005454A8">
        <w:rPr>
          <w:vertAlign w:val="superscript"/>
        </w:rPr>
        <w:t>3</w:t>
      </w:r>
      <w:r w:rsidRPr="005454A8">
        <w:t>Observational Studies – mRNA</w:t>
      </w:r>
      <w:r w:rsidRPr="00BC5098">
        <w:t>-</w:t>
      </w:r>
      <w:r w:rsidRPr="00DB2E6C">
        <w:t>1273-P905 and mRNA-1273-P919</w:t>
      </w:r>
    </w:p>
    <w:p w14:paraId="0B379EE5" w14:textId="10671A37" w:rsidR="001028B0" w:rsidRDefault="001028B0" w:rsidP="001028B0">
      <w:r>
        <w:t>This summary of safety concerns was evaluated and considered acceptable during the application for provisional registration of Spikevax bivalent Original/Omicron BA.4-5. At this stage, the summary of safety concerns continues to be acceptable from an RMP perspective.</w:t>
      </w:r>
    </w:p>
    <w:p w14:paraId="6FD779A6" w14:textId="188F7F1F" w:rsidR="001028B0" w:rsidRDefault="001028B0" w:rsidP="001028B0">
      <w:r>
        <w:t>The pharmacovigilance plan has been evaluated and accepted during previous submission for provisional registration of Spikevax Bivalent Original/Omicron BA.4-5. The pharmacovigilance plan continues to be acceptable from an RMP perspective.</w:t>
      </w:r>
    </w:p>
    <w:p w14:paraId="7F9D2405" w14:textId="1D32FA61" w:rsidR="001028B0" w:rsidRDefault="001028B0" w:rsidP="001028B0">
      <w:r>
        <w:t xml:space="preserve">Only routine risk minimisation activities are proposed for this submission. This plan was approved during the provisional registration of this product. There are risk minimisation </w:t>
      </w:r>
      <w:r>
        <w:lastRenderedPageBreak/>
        <w:t>measures implemented for COVID-19 vaccines by the Department of Health and Aged Care and State and Territory Governments. The changes proposed in this application do not warrant updates to the currently approved risk minimisation plan.</w:t>
      </w:r>
    </w:p>
    <w:p w14:paraId="47BC2F4F" w14:textId="34DAF480" w:rsidR="001028B0" w:rsidRDefault="001028B0" w:rsidP="001028B0">
      <w:r w:rsidRPr="001028B0">
        <w:t>There are no outstanding or new recommendations for this submission.</w:t>
      </w:r>
    </w:p>
    <w:p w14:paraId="5F240D8A" w14:textId="7559FBE0" w:rsidR="001028B0" w:rsidRDefault="001028B0" w:rsidP="001028B0">
      <w:pPr>
        <w:pStyle w:val="Heading4"/>
      </w:pPr>
      <w:bookmarkStart w:id="65" w:name="_Toc144970844"/>
      <w:r>
        <w:t>Proposed wording for conditions of registration</w:t>
      </w:r>
      <w:bookmarkEnd w:id="65"/>
      <w:r w:rsidR="005635FE">
        <w:fldChar w:fldCharType="begin"/>
      </w:r>
      <w:r w:rsidR="005635FE">
        <w:instrText xml:space="preserve"> DOCVARIABLE vault_nd_2bed3c53-febd-4904-934c-088f4c8cbc7b \* MERGEFORMAT </w:instrText>
      </w:r>
      <w:r w:rsidR="005635FE">
        <w:fldChar w:fldCharType="separate"/>
      </w:r>
      <w:r w:rsidR="007D13D5">
        <w:t xml:space="preserve"> </w:t>
      </w:r>
      <w:r w:rsidR="005635FE">
        <w:fldChar w:fldCharType="end"/>
      </w:r>
    </w:p>
    <w:p w14:paraId="77791DC9" w14:textId="77777777" w:rsidR="001028B0" w:rsidRDefault="001028B0" w:rsidP="001028B0">
      <w:r>
        <w:t xml:space="preserve">Any changes to which the sponsor has agreed should be included in a revised RMP and ASA. However, irrespective of </w:t>
      </w:r>
      <w:proofErr w:type="gramStart"/>
      <w:r>
        <w:t>whether or not</w:t>
      </w:r>
      <w:proofErr w:type="gramEnd"/>
      <w:r>
        <w:t xml:space="preserve"> they are included in the currently available version of the RMP document, the agreed changes become part of the risk management system. </w:t>
      </w:r>
    </w:p>
    <w:p w14:paraId="7C78A0A7" w14:textId="055DDE22" w:rsidR="001028B0" w:rsidRDefault="001028B0" w:rsidP="001028B0">
      <w:r>
        <w:t>The suggested wording is:</w:t>
      </w:r>
    </w:p>
    <w:p w14:paraId="4EE291CE" w14:textId="3F85DE42" w:rsidR="001028B0" w:rsidRPr="001028B0" w:rsidRDefault="001028B0" w:rsidP="001028B0">
      <w:pPr>
        <w:ind w:left="720"/>
      </w:pPr>
      <w:r>
        <w:t>‘The Spikevax bivalent Original/Omicron BA.4-5 EU-RMP (version 6.3, dated 6 December 2022, DLP 17 September 2022), with ASA (version 1.2, dated 20 December 2022), included with submission PM-2023-01714-1-2, and any subsequent revisions, as agreed with the TGA will be implemented in Australia.’</w:t>
      </w:r>
    </w:p>
    <w:p w14:paraId="74A4F87F" w14:textId="3CC21157" w:rsidR="00C22214" w:rsidRDefault="00C22214" w:rsidP="00C22214">
      <w:pPr>
        <w:pStyle w:val="Heading3"/>
      </w:pPr>
      <w:bookmarkStart w:id="66" w:name="_Toc103679299"/>
      <w:bookmarkStart w:id="67" w:name="_Toc144970845"/>
      <w:r>
        <w:t>Risk-benefit analysis</w:t>
      </w:r>
      <w:bookmarkEnd w:id="62"/>
      <w:bookmarkEnd w:id="63"/>
      <w:bookmarkEnd w:id="66"/>
      <w:bookmarkEnd w:id="67"/>
      <w:r w:rsidR="005635FE">
        <w:fldChar w:fldCharType="begin"/>
      </w:r>
      <w:r w:rsidR="005635FE">
        <w:instrText xml:space="preserve"> DOCVARIABLE vault_nd_c94e5a5e-2496-469a-bc5e-cff99afa411f \* MERGEFORMAT </w:instrText>
      </w:r>
      <w:r w:rsidR="005635FE">
        <w:fldChar w:fldCharType="separate"/>
      </w:r>
      <w:r w:rsidR="007D13D5">
        <w:t xml:space="preserve"> </w:t>
      </w:r>
      <w:r w:rsidR="005635FE">
        <w:fldChar w:fldCharType="end"/>
      </w:r>
    </w:p>
    <w:p w14:paraId="77DE2655" w14:textId="76BEC497" w:rsidR="00C22214" w:rsidRDefault="00C22214" w:rsidP="00C22214">
      <w:pPr>
        <w:pStyle w:val="Heading4"/>
      </w:pPr>
      <w:bookmarkStart w:id="68" w:name="_Toc98931932"/>
      <w:bookmarkStart w:id="69" w:name="_Toc144970846"/>
      <w:r>
        <w:t>Delegate’s considerations</w:t>
      </w:r>
      <w:bookmarkEnd w:id="68"/>
      <w:bookmarkEnd w:id="69"/>
      <w:r w:rsidR="005635FE">
        <w:fldChar w:fldCharType="begin"/>
      </w:r>
      <w:r w:rsidR="005635FE">
        <w:instrText xml:space="preserve"> DOCVARIABLE vault_nd_c14cdad6-e7df-44c6-96ad-b773730ca418 \* MERGEFORMAT </w:instrText>
      </w:r>
      <w:r w:rsidR="005635FE">
        <w:fldChar w:fldCharType="separate"/>
      </w:r>
      <w:r w:rsidR="007D13D5">
        <w:t xml:space="preserve"> </w:t>
      </w:r>
      <w:r w:rsidR="005635FE">
        <w:fldChar w:fldCharType="end"/>
      </w:r>
    </w:p>
    <w:p w14:paraId="3E534003" w14:textId="554D0042" w:rsidR="00AF2727" w:rsidRPr="00C21537" w:rsidRDefault="00AF2727" w:rsidP="00AF2727">
      <w:r w:rsidRPr="00E06D23">
        <w:t xml:space="preserve">The guidance for </w:t>
      </w:r>
      <w:hyperlink r:id="rId64" w:anchor="transition-to-full" w:history="1">
        <w:r w:rsidRPr="00AF2727">
          <w:rPr>
            <w:rStyle w:val="Hyperlink"/>
          </w:rPr>
          <w:t>Transition to full registration of the provisionally registered prescription medicines</w:t>
        </w:r>
      </w:hyperlink>
      <w:r>
        <w:t xml:space="preserve"> </w:t>
      </w:r>
      <w:r w:rsidRPr="00E06D23">
        <w:t>should be read in conjunction with the standard </w:t>
      </w:r>
      <w:hyperlink r:id="rId65" w:history="1">
        <w:r w:rsidRPr="00E06D23">
          <w:rPr>
            <w:rStyle w:val="Hyperlink"/>
          </w:rPr>
          <w:t>prescription medicines registration process</w:t>
        </w:r>
      </w:hyperlink>
      <w:r w:rsidRPr="00E06D23">
        <w:t> because the elements for transition to full registration are similar.</w:t>
      </w:r>
    </w:p>
    <w:p w14:paraId="0BC270F8" w14:textId="38E45EBD" w:rsidR="00AF2727" w:rsidRDefault="00AF2727" w:rsidP="00AF2727">
      <w:pPr>
        <w:ind w:left="720"/>
      </w:pPr>
      <w:r>
        <w:t>‘</w:t>
      </w:r>
      <w:r w:rsidRPr="00E06D23">
        <w:t>The collection of confirmatory data on safety and efficacy should lead to submission of a Category 1 Type S application for transition to full registration. The benefit-risk profile of the medicine must be positive, and this must be maintained throughout the period of provisional registration to the transition to full registration.</w:t>
      </w:r>
      <w:r>
        <w:t xml:space="preserve"> E</w:t>
      </w:r>
      <w:r w:rsidRPr="00E06D23">
        <w:t>vidence of having met your RMP obligations. Includ</w:t>
      </w:r>
      <w:r>
        <w:t>ing the</w:t>
      </w:r>
      <w:r w:rsidRPr="00E06D23">
        <w:t xml:space="preserve"> dates when data were submitted and reasons for delays or failure to meet obligations</w:t>
      </w:r>
      <w:r>
        <w:t xml:space="preserve"> A</w:t>
      </w:r>
      <w:r w:rsidRPr="00E06D23">
        <w:t xml:space="preserve">ll </w:t>
      </w:r>
      <w:proofErr w:type="gramStart"/>
      <w:r w:rsidRPr="00E06D23">
        <w:t>final results</w:t>
      </w:r>
      <w:proofErr w:type="gramEnd"/>
      <w:r w:rsidRPr="00E06D23">
        <w:t xml:space="preserve"> not previously submitted from confirmatory trials in the dossier </w:t>
      </w:r>
      <w:r>
        <w:t xml:space="preserve">should be included </w:t>
      </w:r>
      <w:r w:rsidRPr="00E06D23">
        <w:t>as per the current requirements for registering a prescription medicine. Clinical trials data must support the indication in the application for full registration.</w:t>
      </w:r>
      <w:r>
        <w:t>’</w:t>
      </w:r>
    </w:p>
    <w:p w14:paraId="3D747EBC" w14:textId="0FF5AB61" w:rsidR="00AF2727" w:rsidRDefault="00AF2727" w:rsidP="00AF2727">
      <w:r>
        <w:t>The sponsor has listed (</w:t>
      </w:r>
      <w:r>
        <w:fldChar w:fldCharType="begin"/>
      </w:r>
      <w:r>
        <w:instrText xml:space="preserve"> REF _Ref141948675 \h </w:instrText>
      </w:r>
      <w:r>
        <w:fldChar w:fldCharType="separate"/>
      </w:r>
      <w:r w:rsidR="007D13D5" w:rsidRPr="00744EDE">
        <w:t xml:space="preserve">Table </w:t>
      </w:r>
      <w:r w:rsidR="007D13D5">
        <w:rPr>
          <w:noProof/>
        </w:rPr>
        <w:t>2</w:t>
      </w:r>
      <w:r>
        <w:fldChar w:fldCharType="end"/>
      </w:r>
      <w:r>
        <w:t xml:space="preserve">, above) the availability of clinical data to meet the specific conditions (as per the provisional registration) and </w:t>
      </w:r>
      <w:r w:rsidRPr="005216CD">
        <w:t>the current requirements for registering a prescription medicine</w:t>
      </w:r>
      <w:r>
        <w:t xml:space="preserve"> to support this application.</w:t>
      </w:r>
    </w:p>
    <w:p w14:paraId="392EC551" w14:textId="6AD8F48B" w:rsidR="00AF2727" w:rsidRPr="00AF2727" w:rsidRDefault="00AF2727" w:rsidP="00AF2727">
      <w:r w:rsidRPr="00AF2727">
        <w:t>Study mRNA-1273-</w:t>
      </w:r>
      <w:bookmarkStart w:id="70" w:name="_Hlk140828592"/>
      <w:r w:rsidRPr="00AF2727">
        <w:t>P205 Part H</w:t>
      </w:r>
      <w:bookmarkEnd w:id="70"/>
      <w:r w:rsidRPr="00AF2727">
        <w:t>, evaluated the safety, reactogenicity, and immunogenicity of 50</w:t>
      </w:r>
      <w:r>
        <w:t> µ</w:t>
      </w:r>
      <w:r w:rsidRPr="00AF2727">
        <w:t xml:space="preserve">g of mRNA 1273.222 when administered as a second booster dose in </w:t>
      </w:r>
      <w:bookmarkStart w:id="71" w:name="_Hlk125896743"/>
      <w:r w:rsidRPr="00AF2727">
        <w:t xml:space="preserve">adults (individuals </w:t>
      </w:r>
      <w:r>
        <w:t xml:space="preserve">older than </w:t>
      </w:r>
      <w:r w:rsidRPr="00AF2727">
        <w:t xml:space="preserve">18 years of age) </w:t>
      </w:r>
      <w:bookmarkEnd w:id="71"/>
      <w:r w:rsidRPr="00AF2727">
        <w:t xml:space="preserve">who previously received </w:t>
      </w:r>
      <w:r>
        <w:t>two</w:t>
      </w:r>
      <w:r w:rsidRPr="00AF2727">
        <w:t xml:space="preserve"> doses of 100 </w:t>
      </w:r>
      <w:r>
        <w:t>µ</w:t>
      </w:r>
      <w:r w:rsidRPr="00AF2727">
        <w:t xml:space="preserve">g mRNA-1273 as a primary series and a first booster dose of 50 </w:t>
      </w:r>
      <w:r>
        <w:t>µ</w:t>
      </w:r>
      <w:r w:rsidRPr="00AF2727">
        <w:t>g mRNA-1273. mRNA-1273.222 is the Omicron BA.4</w:t>
      </w:r>
      <w:r>
        <w:t>-</w:t>
      </w:r>
      <w:r w:rsidRPr="00AF2727">
        <w:t xml:space="preserve">5 bivalent booster vaccine that contains 25 </w:t>
      </w:r>
      <w:r>
        <w:t>µ</w:t>
      </w:r>
      <w:r w:rsidRPr="00AF2727">
        <w:t>g ancestral SARS-CoV-2 Spike mRNA and 25</w:t>
      </w:r>
      <w:r>
        <w:t> µ</w:t>
      </w:r>
      <w:r w:rsidRPr="00AF2727">
        <w:t>g Omicron BA.4</w:t>
      </w:r>
      <w:r>
        <w:t>-</w:t>
      </w:r>
      <w:r w:rsidRPr="00AF2727">
        <w:t xml:space="preserve">5 Spike mRNA. The </w:t>
      </w:r>
      <w:bookmarkStart w:id="72" w:name="_Hlk126185711"/>
      <w:r w:rsidRPr="00AF2727">
        <w:t xml:space="preserve">mRNA-1273-P205 Part F (cohort 2) </w:t>
      </w:r>
      <w:bookmarkEnd w:id="72"/>
      <w:r w:rsidRPr="00AF2727">
        <w:t xml:space="preserve">serves as the within-study, non-contemporaneous comparator group for </w:t>
      </w:r>
      <w:r>
        <w:t>Study</w:t>
      </w:r>
      <w:r w:rsidRPr="00AF2727">
        <w:t xml:space="preserve"> mRNA-1273-P205 Part H in the immunogenicity comparison between the two booster vaccines. In </w:t>
      </w:r>
      <w:r>
        <w:t>Study</w:t>
      </w:r>
      <w:r w:rsidRPr="00AF2727">
        <w:t xml:space="preserve"> </w:t>
      </w:r>
      <w:bookmarkStart w:id="73" w:name="_Hlk126185743"/>
      <w:r w:rsidRPr="00AF2727">
        <w:t xml:space="preserve">mRNA-1273-P205 Part H </w:t>
      </w:r>
      <w:bookmarkEnd w:id="73"/>
      <w:r w:rsidRPr="00AF2727">
        <w:t xml:space="preserve">Day 29 interim analysis, in adults (individuals </w:t>
      </w:r>
      <w:r>
        <w:t xml:space="preserve">older than </w:t>
      </w:r>
      <w:r w:rsidRPr="00AF2727">
        <w:t xml:space="preserve">18 years of age), all primary objectives were met in participants without prior SARS-CoV-2 infection (PPIS-Neg population), the population pre-specified for the primary analysis. A </w:t>
      </w:r>
      <w:proofErr w:type="gramStart"/>
      <w:r w:rsidRPr="00AF2727">
        <w:t xml:space="preserve">50 </w:t>
      </w:r>
      <w:r>
        <w:t>µ</w:t>
      </w:r>
      <w:r w:rsidRPr="00AF2727">
        <w:t>g</w:t>
      </w:r>
      <w:proofErr w:type="gramEnd"/>
      <w:r w:rsidRPr="00AF2727">
        <w:t xml:space="preserve"> booster dose of mRNA-1273.222 elicited a superior neutrali</w:t>
      </w:r>
      <w:r>
        <w:t>s</w:t>
      </w:r>
      <w:r w:rsidRPr="00AF2727">
        <w:t xml:space="preserve">ing antibody response to the Omicron BA.4 and BA.5 variants </w:t>
      </w:r>
      <w:r w:rsidRPr="00AF2727">
        <w:lastRenderedPageBreak/>
        <w:t>compared to</w:t>
      </w:r>
      <w:r>
        <w:t xml:space="preserve"> 50</w:t>
      </w:r>
      <w:r w:rsidR="0066543A">
        <w:t xml:space="preserve"> </w:t>
      </w:r>
      <w:r>
        <w:t>µg of</w:t>
      </w:r>
      <w:r w:rsidRPr="00AF2727">
        <w:t xml:space="preserve"> mRNA-1273, 28 days after the booster dose regardless of SARS-CoV-2 infection prior to immuni</w:t>
      </w:r>
      <w:r>
        <w:t>s</w:t>
      </w:r>
      <w:r w:rsidRPr="00AF2727">
        <w:t>ation. mRNA-1273.222 elicited a non-inferior neutrali</w:t>
      </w:r>
      <w:r>
        <w:t>s</w:t>
      </w:r>
      <w:r w:rsidRPr="00AF2727">
        <w:t>ing antibody response against the ancestral SARS-CoV-2 (D614G), compared to mRNA-1273. A subgroup analysis of the PPIS-Neg population by age group (</w:t>
      </w:r>
      <w:r>
        <w:rPr>
          <w:rFonts w:hint="eastAsia"/>
        </w:rPr>
        <w:t>a</w:t>
      </w:r>
      <w:r>
        <w:t>t least</w:t>
      </w:r>
      <w:r w:rsidRPr="00AF2727">
        <w:t xml:space="preserve"> 18 to </w:t>
      </w:r>
      <w:r>
        <w:t>younger than</w:t>
      </w:r>
      <w:r w:rsidRPr="00AF2727">
        <w:t xml:space="preserve"> 65 years and </w:t>
      </w:r>
      <w:r>
        <w:rPr>
          <w:rFonts w:hint="eastAsia"/>
        </w:rPr>
        <w:t>a</w:t>
      </w:r>
      <w:r>
        <w:t xml:space="preserve">t least </w:t>
      </w:r>
      <w:r w:rsidRPr="00AF2727">
        <w:t>65 years of age) was performed and the results indicate that the immunogenicity responses were similar between the two age groups.</w:t>
      </w:r>
    </w:p>
    <w:p w14:paraId="52549828" w14:textId="3C21B8BA" w:rsidR="00AF2727" w:rsidRPr="00AF2727" w:rsidRDefault="00AF2727" w:rsidP="00AF2727">
      <w:r w:rsidRPr="00AF2727">
        <w:t>As a supportive study for use in adolescents 12</w:t>
      </w:r>
      <w:r>
        <w:t xml:space="preserve"> to </w:t>
      </w:r>
      <w:r w:rsidRPr="00AF2727">
        <w:t xml:space="preserve">17 years of age, Study P203 Part C is an ongoing now open label Phase </w:t>
      </w:r>
      <w:r>
        <w:t>II</w:t>
      </w:r>
      <w:r w:rsidRPr="00AF2727">
        <w:t>/</w:t>
      </w:r>
      <w:r>
        <w:t>III</w:t>
      </w:r>
      <w:r w:rsidRPr="00AF2727">
        <w:t xml:space="preserve"> study evaluating the safety, reactogenicity, and effectiveness of a primary series of 100 </w:t>
      </w:r>
      <w:r>
        <w:t>µg</w:t>
      </w:r>
      <w:r w:rsidRPr="00AF2727">
        <w:t xml:space="preserve"> </w:t>
      </w:r>
      <w:proofErr w:type="spellStart"/>
      <w:r w:rsidRPr="00AF2727">
        <w:t>elasomeran</w:t>
      </w:r>
      <w:proofErr w:type="spellEnd"/>
      <w:r w:rsidRPr="00AF2727">
        <w:t xml:space="preserve"> (original Spikevax); a booster dose of 50 </w:t>
      </w:r>
      <w:r>
        <w:t xml:space="preserve">µg </w:t>
      </w:r>
      <w:proofErr w:type="spellStart"/>
      <w:r w:rsidRPr="00AF2727">
        <w:t>elasomeran</w:t>
      </w:r>
      <w:proofErr w:type="spellEnd"/>
      <w:r w:rsidRPr="00AF2727">
        <w:t xml:space="preserve"> (original Spikevax) was administered at least </w:t>
      </w:r>
      <w:r>
        <w:t>five</w:t>
      </w:r>
      <w:r w:rsidRPr="00AF2727">
        <w:t xml:space="preserve"> months later. The booster dose effectively boosted serum neutralising antibody levels, as compared with the pre-booster baseline. The GMR of</w:t>
      </w:r>
      <w:r>
        <w:t xml:space="preserve"> Study</w:t>
      </w:r>
      <w:r w:rsidRPr="00AF2727">
        <w:t xml:space="preserve"> P203 </w:t>
      </w:r>
      <w:r>
        <w:t xml:space="preserve">booster dose on </w:t>
      </w:r>
      <w:r w:rsidRPr="00AF2727">
        <w:t xml:space="preserve">Day 29 </w:t>
      </w:r>
      <w:r w:rsidR="0066543A">
        <w:t>geometric mean concentration</w:t>
      </w:r>
      <w:r w:rsidRPr="00AF2727">
        <w:t xml:space="preserve"> in adolescents compared with young adults in Study P301, Day 57 </w:t>
      </w:r>
      <w:r w:rsidR="00DA741F">
        <w:t>geometric mean concentration</w:t>
      </w:r>
      <w:r w:rsidR="00DA741F" w:rsidRPr="00AF2727">
        <w:t xml:space="preserve"> </w:t>
      </w:r>
      <w:r w:rsidRPr="00AF2727">
        <w:t xml:space="preserve">was 5.1 (95% CI: 4.5, 5.8), meeting the prespecified non-inferiority criteria. No further interim analyses are planned. The final </w:t>
      </w:r>
      <w:r w:rsidR="001128A1">
        <w:t xml:space="preserve">clinical study report </w:t>
      </w:r>
      <w:r w:rsidRPr="00AF2727">
        <w:t xml:space="preserve">is due </w:t>
      </w:r>
      <w:r w:rsidR="001128A1">
        <w:t>second quarter of</w:t>
      </w:r>
      <w:r w:rsidRPr="00AF2727">
        <w:t xml:space="preserve"> 2024.</w:t>
      </w:r>
    </w:p>
    <w:p w14:paraId="125E074F" w14:textId="4841EB95" w:rsidR="00AF2727" w:rsidRPr="00AF2727" w:rsidRDefault="00AF2727" w:rsidP="00AF2727">
      <w:r w:rsidRPr="00AF2727">
        <w:t xml:space="preserve">The sponsor also mentions the clinical data from the </w:t>
      </w:r>
      <w:r w:rsidR="001128A1">
        <w:t xml:space="preserve">Study </w:t>
      </w:r>
      <w:r w:rsidRPr="00AF2727">
        <w:t xml:space="preserve">P205 </w:t>
      </w:r>
      <w:r w:rsidR="00DA741F">
        <w:t xml:space="preserve">Part </w:t>
      </w:r>
      <w:r w:rsidRPr="00AF2727">
        <w:t>F/G (S</w:t>
      </w:r>
      <w:r w:rsidR="001128A1">
        <w:t>pikevax b</w:t>
      </w:r>
      <w:r w:rsidRPr="00AF2727">
        <w:t>ivalent Original/BA.1), with persistence of benefit through Day 91 without any new safety signal, as supportive of this application.</w:t>
      </w:r>
    </w:p>
    <w:p w14:paraId="3C4B0DD5" w14:textId="6A6C3D53" w:rsidR="00AF2727" w:rsidRPr="00AF2727" w:rsidRDefault="00AF2727" w:rsidP="00AF2727">
      <w:bookmarkStart w:id="74" w:name="_Hlk140828523"/>
      <w:r w:rsidRPr="00AF2727">
        <w:t>Study mRNA-1273-P901</w:t>
      </w:r>
      <w:bookmarkEnd w:id="74"/>
      <w:r w:rsidR="0066543A">
        <w:t xml:space="preserve"> </w:t>
      </w:r>
      <w:r w:rsidR="001128A1">
        <w:t>is</w:t>
      </w:r>
      <w:r w:rsidRPr="00AF2727">
        <w:t xml:space="preserve"> an ongoing </w:t>
      </w:r>
      <w:r w:rsidR="001128A1">
        <w:t>o</w:t>
      </w:r>
      <w:r w:rsidRPr="00AF2727">
        <w:t xml:space="preserve">bservational study, provided the </w:t>
      </w:r>
      <w:proofErr w:type="gramStart"/>
      <w:r w:rsidR="001128A1">
        <w:t>r</w:t>
      </w:r>
      <w:r w:rsidRPr="00AF2727">
        <w:t>eal</w:t>
      </w:r>
      <w:r w:rsidR="0066543A">
        <w:t xml:space="preserve"> </w:t>
      </w:r>
      <w:r w:rsidR="001128A1">
        <w:t>w</w:t>
      </w:r>
      <w:r w:rsidRPr="00AF2727">
        <w:t>orld</w:t>
      </w:r>
      <w:proofErr w:type="gramEnd"/>
      <w:r w:rsidRPr="00AF2727">
        <w:t xml:space="preserve"> </w:t>
      </w:r>
      <w:r w:rsidR="001128A1">
        <w:t>e</w:t>
      </w:r>
      <w:r w:rsidRPr="00AF2727">
        <w:t>ffectiveness data of an original/BA.4</w:t>
      </w:r>
      <w:r w:rsidR="00DA741F">
        <w:t>-</w:t>
      </w:r>
      <w:r w:rsidRPr="00AF2727">
        <w:t>5 bivalent booster vaccine (mRNA-1273.222) in preventing hospitali</w:t>
      </w:r>
      <w:r w:rsidR="001128A1">
        <w:t>s</w:t>
      </w:r>
      <w:r w:rsidRPr="00AF2727">
        <w:t>ation for COVID-19 (primary outcome) and medically attended SARS-CoV-2 infection and hospital death (secondary outcomes).</w:t>
      </w:r>
    </w:p>
    <w:p w14:paraId="265E7DB2" w14:textId="61E6E4B5" w:rsidR="00AF2727" w:rsidRPr="00AF2727" w:rsidRDefault="00AF2727" w:rsidP="00AF2727">
      <w:r w:rsidRPr="00AF2727">
        <w:t>This analysis included 290,292 individuals 6</w:t>
      </w:r>
      <w:r w:rsidR="001128A1">
        <w:t xml:space="preserve"> plus</w:t>
      </w:r>
      <w:r w:rsidRPr="00AF2727">
        <w:t xml:space="preserve"> years of age (6</w:t>
      </w:r>
      <w:r w:rsidR="001128A1">
        <w:t xml:space="preserve"> to </w:t>
      </w:r>
      <w:r w:rsidRPr="00AF2727">
        <w:t>17 years, N</w:t>
      </w:r>
      <w:r w:rsidR="001128A1">
        <w:t xml:space="preserve"> </w:t>
      </w:r>
      <w:r w:rsidRPr="00AF2727">
        <w:t>=</w:t>
      </w:r>
      <w:r w:rsidR="001128A1">
        <w:t xml:space="preserve"> </w:t>
      </w:r>
      <w:r w:rsidRPr="00AF2727">
        <w:t xml:space="preserve">2715; </w:t>
      </w:r>
      <w:r w:rsidR="001128A1">
        <w:t>m</w:t>
      </w:r>
      <w:r w:rsidRPr="00AF2727">
        <w:t xml:space="preserve">edian age: 60 years) who received mRNA-1273.222 as a booster dose following receipt of </w:t>
      </w:r>
      <w:r w:rsidR="001128A1">
        <w:t>two</w:t>
      </w:r>
      <w:r w:rsidRPr="00AF2727">
        <w:t xml:space="preserve"> or more doses of original mRNA vaccines between 31 August 2022 and 31 December 2022 who are matched to 580,584 individuals who received </w:t>
      </w:r>
      <w:r w:rsidR="001128A1">
        <w:t>two</w:t>
      </w:r>
      <w:r w:rsidRPr="00AF2727">
        <w:t xml:space="preserve"> or more doses of original mRNA vaccine only, and 204,655 unvaccinated individuals by date of vaccination, age, sex, and race/ethnicity. The </w:t>
      </w:r>
      <w:proofErr w:type="spellStart"/>
      <w:r w:rsidRPr="00AF2727">
        <w:t>rVE</w:t>
      </w:r>
      <w:proofErr w:type="spellEnd"/>
      <w:r w:rsidRPr="00AF2727">
        <w:t xml:space="preserve"> of mRNA-1273.222 compared to individuals who received original mRNA vaccine only was 70.3% (95% CI: 64.0%</w:t>
      </w:r>
      <w:r w:rsidR="001128A1">
        <w:t xml:space="preserve"> to </w:t>
      </w:r>
      <w:r w:rsidRPr="00AF2727">
        <w:t>75.4%) against COVID-19 hospitali</w:t>
      </w:r>
      <w:r w:rsidR="001128A1">
        <w:t>s</w:t>
      </w:r>
      <w:r w:rsidRPr="00AF2727">
        <w:t>ation, 82.7%% (63.7%</w:t>
      </w:r>
      <w:r w:rsidR="001128A1">
        <w:t xml:space="preserve"> to </w:t>
      </w:r>
      <w:r w:rsidRPr="00AF2727">
        <w:t>91.7%) against COVID-19 hospital death, and 55% (50.8%</w:t>
      </w:r>
      <w:r w:rsidR="001128A1">
        <w:t xml:space="preserve"> to </w:t>
      </w:r>
      <w:r w:rsidRPr="00AF2727">
        <w:t xml:space="preserve">58.8%) against medically attended SARS-CoV-2 infection at an emergency department/urgent care visit. The </w:t>
      </w:r>
      <w:r w:rsidR="0066543A">
        <w:t>VE</w:t>
      </w:r>
      <w:r w:rsidRPr="00AF2727">
        <w:t xml:space="preserve"> of mRNA-1273.222 compared to unvaccinated individuals was 82.8%% (78.8%</w:t>
      </w:r>
      <w:r w:rsidR="001128A1">
        <w:t xml:space="preserve"> to </w:t>
      </w:r>
      <w:r w:rsidRPr="00AF2727">
        <w:t>86.0%) against COVID-19 hospitali</w:t>
      </w:r>
      <w:r w:rsidR="001128A1">
        <w:t>s</w:t>
      </w:r>
      <w:r w:rsidRPr="00AF2727">
        <w:t>ation, 89.7%% (77.7%</w:t>
      </w:r>
      <w:r w:rsidR="001128A1">
        <w:t xml:space="preserve"> to </w:t>
      </w:r>
      <w:r w:rsidRPr="00AF2727">
        <w:t>95.2%) against COVID-19 hospital death, and 55.4%% (50.3%</w:t>
      </w:r>
      <w:r w:rsidR="001128A1">
        <w:t xml:space="preserve"> to </w:t>
      </w:r>
      <w:r w:rsidRPr="00AF2727">
        <w:t>60.1%) against medically attended SARS-</w:t>
      </w:r>
      <w:proofErr w:type="spellStart"/>
      <w:r w:rsidRPr="00AF2727">
        <w:t>CoV</w:t>
      </w:r>
      <w:proofErr w:type="spellEnd"/>
      <w:r w:rsidRPr="00AF2727">
        <w:t>- 2 infection at an emergency department/urgent care visit. The mRNA-1273.222 bivalent booster provided additional protection against hospitali</w:t>
      </w:r>
      <w:r w:rsidR="0066543A">
        <w:t>s</w:t>
      </w:r>
      <w:r w:rsidRPr="00AF2727">
        <w:t>ation for COVID-19, medically attended SARS</w:t>
      </w:r>
      <w:r w:rsidR="001128A1">
        <w:t>-</w:t>
      </w:r>
      <w:proofErr w:type="spellStart"/>
      <w:r w:rsidRPr="00AF2727">
        <w:t>CoV</w:t>
      </w:r>
      <w:proofErr w:type="spellEnd"/>
      <w:r w:rsidRPr="00AF2727">
        <w:t>- 2 infection, and COVID-19 hospital death.</w:t>
      </w:r>
    </w:p>
    <w:p w14:paraId="32A6A6A1" w14:textId="08D17902" w:rsidR="00AF2727" w:rsidRPr="00AF2727" w:rsidRDefault="001128A1" w:rsidP="00AF2727">
      <w:r w:rsidRPr="001128A1">
        <w:t xml:space="preserve">In </w:t>
      </w:r>
      <w:r>
        <w:t>p</w:t>
      </w:r>
      <w:r w:rsidR="00AF2727" w:rsidRPr="001128A1">
        <w:t>ost-</w:t>
      </w:r>
      <w:r>
        <w:t>a</w:t>
      </w:r>
      <w:r w:rsidR="00AF2727" w:rsidRPr="001128A1">
        <w:t>uthori</w:t>
      </w:r>
      <w:r>
        <w:t>s</w:t>
      </w:r>
      <w:r w:rsidR="00AF2727" w:rsidRPr="001128A1">
        <w:t xml:space="preserve">ation </w:t>
      </w:r>
      <w:r>
        <w:t>s</w:t>
      </w:r>
      <w:r w:rsidR="00AF2727" w:rsidRPr="001128A1">
        <w:t xml:space="preserve">afety </w:t>
      </w:r>
      <w:r>
        <w:t>d</w:t>
      </w:r>
      <w:r w:rsidR="00AF2727" w:rsidRPr="001128A1">
        <w:t>ata</w:t>
      </w:r>
      <w:r w:rsidRPr="001128A1">
        <w:t>, c</w:t>
      </w:r>
      <w:r w:rsidR="00AF2727" w:rsidRPr="001128A1">
        <w:t xml:space="preserve">umulatively as of 17 June 2023, information received after vaccination with </w:t>
      </w:r>
      <w:bookmarkStart w:id="75" w:name="_Hlk140827723"/>
      <w:r w:rsidR="00AF2727" w:rsidRPr="001128A1">
        <w:t>S</w:t>
      </w:r>
      <w:r>
        <w:t>pikevax b</w:t>
      </w:r>
      <w:r w:rsidR="00AF2727" w:rsidRPr="001128A1">
        <w:t xml:space="preserve">ivalent </w:t>
      </w:r>
      <w:r w:rsidRPr="00AF2727">
        <w:t>mRNA-1273</w:t>
      </w:r>
      <w:r w:rsidR="00AF2727" w:rsidRPr="001128A1">
        <w:t>.222 (Original/BA.4</w:t>
      </w:r>
      <w:r>
        <w:t>-</w:t>
      </w:r>
      <w:r w:rsidR="00AF2727" w:rsidRPr="001128A1">
        <w:t xml:space="preserve">5) booster </w:t>
      </w:r>
      <w:bookmarkEnd w:id="75"/>
      <w:r w:rsidR="00AF2727" w:rsidRPr="001128A1">
        <w:t>supports the conclusion that the safety profile for this vaccine is comparable to that observed during the clinical studies for the vaccine and that the safety data evaluated as of 17 June 2023, does not indicate any changes in the benefit-risk profile of S</w:t>
      </w:r>
      <w:r>
        <w:t>pikevax b</w:t>
      </w:r>
      <w:r w:rsidR="00AF2727" w:rsidRPr="001128A1">
        <w:t xml:space="preserve">ivalent </w:t>
      </w:r>
      <w:r w:rsidRPr="00AF2727">
        <w:t>mRNA-1273</w:t>
      </w:r>
      <w:r w:rsidR="00AF2727" w:rsidRPr="001128A1">
        <w:t>.222 (Original/BA.4</w:t>
      </w:r>
      <w:r>
        <w:t>-</w:t>
      </w:r>
      <w:r w:rsidR="00AF2727" w:rsidRPr="001128A1">
        <w:t>5) booster</w:t>
      </w:r>
      <w:r>
        <w:t>.</w:t>
      </w:r>
    </w:p>
    <w:p w14:paraId="406541C7" w14:textId="7CFFF72A" w:rsidR="00C22214" w:rsidRDefault="00C22214" w:rsidP="001128A1">
      <w:pPr>
        <w:pStyle w:val="Heading4"/>
      </w:pPr>
      <w:bookmarkStart w:id="76" w:name="_Toc98931933"/>
      <w:bookmarkStart w:id="77" w:name="_Toc144970847"/>
      <w:r w:rsidRPr="00D23139">
        <w:t>Proposed action</w:t>
      </w:r>
      <w:bookmarkEnd w:id="76"/>
      <w:bookmarkEnd w:id="77"/>
      <w:r w:rsidR="005635FE">
        <w:fldChar w:fldCharType="begin"/>
      </w:r>
      <w:r w:rsidR="005635FE">
        <w:instrText xml:space="preserve"> DOCVARIABLE vault_nd_8375a100-2551-4d1f-9f5c-84b0df6c015a \* MERGEFORMAT </w:instrText>
      </w:r>
      <w:r w:rsidR="005635FE">
        <w:fldChar w:fldCharType="separate"/>
      </w:r>
      <w:r w:rsidR="007D13D5">
        <w:t xml:space="preserve"> </w:t>
      </w:r>
      <w:r w:rsidR="005635FE">
        <w:fldChar w:fldCharType="end"/>
      </w:r>
    </w:p>
    <w:p w14:paraId="761A3200" w14:textId="71E0E079" w:rsidR="001128A1" w:rsidRPr="001128A1" w:rsidRDefault="001128A1" w:rsidP="001128A1">
      <w:r w:rsidRPr="001128A1">
        <w:t>The sponsor has provided comprehensive, confirmatory, post-provisional registration, clinical effectiveness, and safety data for S</w:t>
      </w:r>
      <w:r>
        <w:t>pikevax b</w:t>
      </w:r>
      <w:r w:rsidRPr="001128A1">
        <w:t xml:space="preserve">ivalent </w:t>
      </w:r>
      <w:r w:rsidRPr="00AF2727">
        <w:t>mRNA-1273</w:t>
      </w:r>
      <w:r w:rsidRPr="001128A1">
        <w:t>.222 (Original/BA.4</w:t>
      </w:r>
      <w:r>
        <w:t>-</w:t>
      </w:r>
      <w:r w:rsidRPr="001128A1">
        <w:t>5) as a booster for use in individuals 12 years of age and older.</w:t>
      </w:r>
    </w:p>
    <w:p w14:paraId="0188BF29" w14:textId="20D76DD1" w:rsidR="001128A1" w:rsidRPr="001128A1" w:rsidRDefault="001128A1" w:rsidP="001128A1">
      <w:r w:rsidRPr="001128A1">
        <w:lastRenderedPageBreak/>
        <w:t>The benefit</w:t>
      </w:r>
      <w:r w:rsidR="0066543A">
        <w:t xml:space="preserve"> </w:t>
      </w:r>
      <w:r w:rsidRPr="001128A1">
        <w:t>risk profile of S</w:t>
      </w:r>
      <w:r>
        <w:t>pikevax b</w:t>
      </w:r>
      <w:r w:rsidRPr="001128A1">
        <w:t xml:space="preserve">ivalent Original/BA.4-5 </w:t>
      </w:r>
      <w:bookmarkStart w:id="78" w:name="_Hlk131071638"/>
      <w:r w:rsidRPr="001128A1">
        <w:t xml:space="preserve">booster in individuals 12 years of age and older </w:t>
      </w:r>
      <w:bookmarkEnd w:id="78"/>
      <w:r w:rsidRPr="001128A1">
        <w:t xml:space="preserve">appears well established from the clinical data obtained so far. The </w:t>
      </w:r>
      <w:r>
        <w:t>p</w:t>
      </w:r>
      <w:r w:rsidRPr="001128A1">
        <w:t>ost-</w:t>
      </w:r>
      <w:r>
        <w:t>a</w:t>
      </w:r>
      <w:r w:rsidRPr="001128A1">
        <w:t>uthori</w:t>
      </w:r>
      <w:r>
        <w:t>s</w:t>
      </w:r>
      <w:r w:rsidRPr="001128A1">
        <w:t xml:space="preserve">ation </w:t>
      </w:r>
      <w:r>
        <w:t>s</w:t>
      </w:r>
      <w:r w:rsidRPr="001128A1">
        <w:t xml:space="preserve">afety </w:t>
      </w:r>
      <w:r>
        <w:t>d</w:t>
      </w:r>
      <w:r w:rsidRPr="001128A1">
        <w:t>ata also supports the continued favourable benefit risk of S</w:t>
      </w:r>
      <w:r>
        <w:t>pikevax b</w:t>
      </w:r>
      <w:r w:rsidRPr="001128A1">
        <w:t>ivalent Original/BA.4-5 booster in individuals 12 years of age and older. Even from RMP perspective, there are no outstanding or new recommendations for this submission. The pharmacovigilance plan continues to be acceptable from an RMP perspective. The clinical data supports a favourable benefit risk profile for S</w:t>
      </w:r>
      <w:r>
        <w:t>pikevax b</w:t>
      </w:r>
      <w:r w:rsidRPr="001128A1">
        <w:t xml:space="preserve">ivalent Original/BA.4-5 transitioning from </w:t>
      </w:r>
      <w:r>
        <w:t>p</w:t>
      </w:r>
      <w:r w:rsidRPr="001128A1">
        <w:t xml:space="preserve">rovisional </w:t>
      </w:r>
      <w:r>
        <w:t>r</w:t>
      </w:r>
      <w:r w:rsidRPr="001128A1">
        <w:t>egistration to full registration as a booster in individuals 12 years and older.</w:t>
      </w:r>
    </w:p>
    <w:p w14:paraId="318CFABC" w14:textId="340440B8" w:rsidR="00C22214" w:rsidRPr="00F73346" w:rsidRDefault="00C22214" w:rsidP="00C22214">
      <w:pPr>
        <w:pStyle w:val="Heading4"/>
      </w:pPr>
      <w:bookmarkStart w:id="79" w:name="_Toc98931936"/>
      <w:bookmarkStart w:id="80" w:name="_Toc144970848"/>
      <w:bookmarkStart w:id="81" w:name="_Toc247691532"/>
      <w:bookmarkStart w:id="82" w:name="_Toc314842516"/>
      <w:r w:rsidRPr="00F73346">
        <w:t>Advisory Committee considerations</w:t>
      </w:r>
      <w:bookmarkEnd w:id="79"/>
      <w:bookmarkEnd w:id="80"/>
      <w:r w:rsidR="005635FE">
        <w:fldChar w:fldCharType="begin"/>
      </w:r>
      <w:r w:rsidR="005635FE">
        <w:instrText xml:space="preserve"> DOCVARIABLE vault_nd_460c808b-2f8b-4c13-a759-43fd88667c46 \* MERGEFORMAT </w:instrText>
      </w:r>
      <w:r w:rsidR="005635FE">
        <w:fldChar w:fldCharType="separate"/>
      </w:r>
      <w:r w:rsidR="007D13D5">
        <w:t xml:space="preserve"> </w:t>
      </w:r>
      <w:r w:rsidR="005635FE">
        <w:fldChar w:fldCharType="end"/>
      </w:r>
    </w:p>
    <w:p w14:paraId="087BB9CB" w14:textId="34A8306A" w:rsidR="00C22214" w:rsidRPr="00BD5DBD" w:rsidRDefault="00C22214" w:rsidP="00C22214">
      <w:pPr>
        <w:rPr>
          <w:bCs/>
          <w:szCs w:val="22"/>
        </w:rPr>
      </w:pPr>
      <w:r w:rsidRPr="00BD5DBD">
        <w:rPr>
          <w:bCs/>
          <w:szCs w:val="22"/>
        </w:rPr>
        <w:t xml:space="preserve">The </w:t>
      </w:r>
      <w:hyperlink r:id="rId66" w:history="1">
        <w:r w:rsidRPr="00BD5DBD">
          <w:rPr>
            <w:rStyle w:val="Hyperlink"/>
            <w:szCs w:val="22"/>
          </w:rPr>
          <w:t>Advisory Committee on Vaccines (ACV)</w:t>
        </w:r>
      </w:hyperlink>
      <w:r w:rsidRPr="00BD5DBD">
        <w:rPr>
          <w:szCs w:val="22"/>
        </w:rPr>
        <w:t>,</w:t>
      </w:r>
      <w:r w:rsidRPr="00BD5DBD">
        <w:rPr>
          <w:bCs/>
          <w:szCs w:val="22"/>
        </w:rPr>
        <w:t xml:space="preserve"> having considered the evaluations and the Delegate’s overview, as well as the sponsor’s response to these documents, advised the following.</w:t>
      </w:r>
    </w:p>
    <w:p w14:paraId="3E591D00" w14:textId="07ABD527" w:rsidR="00EF0CE7" w:rsidRDefault="00C22214" w:rsidP="00EF0CE7">
      <w:pPr>
        <w:pStyle w:val="Heading5"/>
      </w:pPr>
      <w:r w:rsidRPr="00F73346">
        <w:t>Specific advice to the Delegate</w:t>
      </w:r>
      <w:r w:rsidR="00783DA7">
        <w:fldChar w:fldCharType="begin"/>
      </w:r>
      <w:r w:rsidR="00783DA7">
        <w:instrText xml:space="preserve"> DOCVARIABLE vault_nd_f9e6406c-2b7c-4263-8b25-e81452caa970 \* MERGEFORMAT </w:instrText>
      </w:r>
      <w:r w:rsidR="00783DA7">
        <w:fldChar w:fldCharType="separate"/>
      </w:r>
      <w:r w:rsidR="007D13D5">
        <w:t xml:space="preserve"> </w:t>
      </w:r>
      <w:r w:rsidR="00783DA7">
        <w:fldChar w:fldCharType="end"/>
      </w:r>
    </w:p>
    <w:p w14:paraId="7BBA5619" w14:textId="2D752490" w:rsidR="00EF0CE7" w:rsidRPr="001128A1" w:rsidRDefault="00EF0CE7" w:rsidP="001128A1">
      <w:pPr>
        <w:pStyle w:val="Numberbullet0"/>
        <w:rPr>
          <w:b/>
          <w:bCs/>
          <w:i/>
          <w:iCs/>
        </w:rPr>
      </w:pPr>
      <w:r w:rsidRPr="001128A1">
        <w:rPr>
          <w:b/>
          <w:bCs/>
          <w:i/>
          <w:iCs/>
        </w:rPr>
        <w:t xml:space="preserve">Please comment on the sponsor’s proposal for the transition from provisional registration to full registration for Spikevax Bivalent Original/Omicron BA.4-5 vaccine as a booster in individuals 12 years of age and older </w:t>
      </w:r>
    </w:p>
    <w:p w14:paraId="3685F9C3" w14:textId="768D7675" w:rsidR="00EF0CE7" w:rsidRDefault="00EF0CE7" w:rsidP="00EF0CE7">
      <w:pPr>
        <w:rPr>
          <w:rFonts w:cs="Cambria"/>
          <w:sz w:val="14"/>
          <w:szCs w:val="14"/>
        </w:rPr>
      </w:pPr>
      <w:r>
        <w:rPr>
          <w:rFonts w:cs="Cambria"/>
          <w:szCs w:val="22"/>
        </w:rPr>
        <w:t xml:space="preserve">The ACV advised that the benefit-risk profile supports the transition from provisional registration to full registration for Spikevax </w:t>
      </w:r>
      <w:r w:rsidR="001128A1">
        <w:rPr>
          <w:rFonts w:cs="Cambria"/>
          <w:szCs w:val="22"/>
        </w:rPr>
        <w:t>b</w:t>
      </w:r>
      <w:r>
        <w:rPr>
          <w:rFonts w:cs="Cambria"/>
          <w:szCs w:val="22"/>
        </w:rPr>
        <w:t>ivalent Original/Omicron BA.4-5 COVID-19 vaccine for use as a booster dose in individuals 12 years and over; the ACV had provided advice on provisional registration in February 2023.</w:t>
      </w:r>
      <w:r>
        <w:rPr>
          <w:rStyle w:val="FootnoteReference"/>
          <w:rFonts w:cs="Cambria"/>
          <w:szCs w:val="22"/>
        </w:rPr>
        <w:footnoteReference w:id="8"/>
      </w:r>
    </w:p>
    <w:p w14:paraId="4CCB9145" w14:textId="0B62CDBB" w:rsidR="00EF0CE7" w:rsidRDefault="00EF0CE7" w:rsidP="00EF0CE7">
      <w:pPr>
        <w:rPr>
          <w:rFonts w:cs="Cambria"/>
          <w:szCs w:val="22"/>
        </w:rPr>
      </w:pPr>
      <w:r>
        <w:rPr>
          <w:rFonts w:cs="Cambria"/>
          <w:szCs w:val="22"/>
        </w:rPr>
        <w:t>The ongoing Study P205 parts H and F have provided supportive immunogenicity data. Study</w:t>
      </w:r>
      <w:r w:rsidR="001128A1">
        <w:rPr>
          <w:rFonts w:cs="Cambria"/>
          <w:szCs w:val="22"/>
        </w:rPr>
        <w:t> </w:t>
      </w:r>
      <w:r>
        <w:rPr>
          <w:rFonts w:cs="Cambria"/>
          <w:szCs w:val="22"/>
        </w:rPr>
        <w:t>P901 provided supportive, but preliminary, vaccine effectiveness data from real world experience in the USA from over 150,000 people.</w:t>
      </w:r>
    </w:p>
    <w:p w14:paraId="3890DF54" w14:textId="4255157E" w:rsidR="00EF0CE7" w:rsidRDefault="00EF0CE7" w:rsidP="00EF0CE7">
      <w:pPr>
        <w:rPr>
          <w:rFonts w:cs="Cambria"/>
          <w:szCs w:val="22"/>
        </w:rPr>
      </w:pPr>
      <w:r>
        <w:rPr>
          <w:rFonts w:cs="Cambria"/>
          <w:szCs w:val="22"/>
        </w:rPr>
        <w:t>Adverse events are well characterised and safety data support the continued favourable benefit risk profile of the bivalent vaccine.</w:t>
      </w:r>
    </w:p>
    <w:p w14:paraId="28D47C7F" w14:textId="016C0E3C" w:rsidR="00EF0CE7" w:rsidRDefault="00EF0CE7" w:rsidP="00EF0CE7">
      <w:pPr>
        <w:rPr>
          <w:rFonts w:cs="Cambria"/>
          <w:szCs w:val="22"/>
        </w:rPr>
      </w:pPr>
      <w:r>
        <w:rPr>
          <w:rFonts w:cs="Cambria"/>
          <w:szCs w:val="22"/>
        </w:rPr>
        <w:t>Spikevax now has full registration in Australia.</w:t>
      </w:r>
      <w:r>
        <w:rPr>
          <w:rStyle w:val="FootnoteReference"/>
          <w:rFonts w:cs="Cambria"/>
          <w:szCs w:val="22"/>
        </w:rPr>
        <w:footnoteReference w:id="9"/>
      </w:r>
      <w:r>
        <w:rPr>
          <w:rFonts w:cs="Cambria"/>
          <w:sz w:val="14"/>
          <w:szCs w:val="14"/>
        </w:rPr>
        <w:t xml:space="preserve"> </w:t>
      </w:r>
      <w:r>
        <w:rPr>
          <w:rFonts w:cs="Cambria"/>
          <w:szCs w:val="22"/>
        </w:rPr>
        <w:t xml:space="preserve">The total quantity of active ingredients (mRNA) is the same in in the Spikevax and the Spikevax </w:t>
      </w:r>
      <w:r w:rsidR="001128A1">
        <w:rPr>
          <w:rFonts w:cs="Cambria"/>
          <w:szCs w:val="22"/>
        </w:rPr>
        <w:t>b</w:t>
      </w:r>
      <w:r>
        <w:rPr>
          <w:rFonts w:cs="Cambria"/>
          <w:szCs w:val="22"/>
        </w:rPr>
        <w:t>ivalent Original/Omicron BA.4-5 COVID-19 vaccines.</w:t>
      </w:r>
    </w:p>
    <w:p w14:paraId="7AB8EBF3" w14:textId="6DB188E9" w:rsidR="00EF0CE7" w:rsidRDefault="00EF0CE7" w:rsidP="00EF0CE7">
      <w:pPr>
        <w:rPr>
          <w:rFonts w:cs="Cambria"/>
          <w:szCs w:val="22"/>
        </w:rPr>
      </w:pPr>
      <w:r>
        <w:rPr>
          <w:rFonts w:cs="Cambria"/>
          <w:szCs w:val="22"/>
        </w:rPr>
        <w:t xml:space="preserve">The risk management plan for Spikevax </w:t>
      </w:r>
      <w:r w:rsidR="001128A1">
        <w:rPr>
          <w:rFonts w:cs="Cambria"/>
          <w:szCs w:val="22"/>
        </w:rPr>
        <w:t>b</w:t>
      </w:r>
      <w:r>
        <w:rPr>
          <w:rFonts w:cs="Cambria"/>
          <w:szCs w:val="22"/>
        </w:rPr>
        <w:t>ivalent Original/Omicron BA.4-5 COVID-19 vaccine includes ongoing clinical trials or observational studies as additional pharmacovigilance activities to address ‘missing information’ on the use of the vaccine in pregnancy and breastfeeding, long term safety, use in frail individuals with unstable health conditions and co-morbidities, and use in individuals with autoimmune or inflammatory disorders.</w:t>
      </w:r>
    </w:p>
    <w:p w14:paraId="3B7A472E" w14:textId="203D221C" w:rsidR="00EF0CE7" w:rsidRPr="00EF0CE7" w:rsidRDefault="00EF0CE7" w:rsidP="00EF0CE7">
      <w:r w:rsidRPr="00EF0CE7">
        <w:t>The ACV noted that the sponsor has adequately addressed the regulatory conditions specified for provisional registration. It is not expected that remaining outstanding data (to be specified in the conditions of registration associated with full registration) will alter the benefit-risk profile.</w:t>
      </w:r>
    </w:p>
    <w:p w14:paraId="5291EA2A" w14:textId="7D959449" w:rsidR="00C22214" w:rsidRPr="00F73346" w:rsidRDefault="00C22214" w:rsidP="00EF0CE7">
      <w:pPr>
        <w:pStyle w:val="Heading5"/>
      </w:pPr>
      <w:r w:rsidRPr="00F73346">
        <w:t>Conclusion</w:t>
      </w:r>
      <w:r w:rsidR="00783DA7">
        <w:fldChar w:fldCharType="begin"/>
      </w:r>
      <w:r w:rsidR="00783DA7">
        <w:instrText xml:space="preserve"> DOCVARIABLE vault_nd_90a6eb86-8558-4f43-8e0c-cb19a6842cd4 \* MERGEFORMAT </w:instrText>
      </w:r>
      <w:r w:rsidR="00783DA7">
        <w:fldChar w:fldCharType="separate"/>
      </w:r>
      <w:r w:rsidR="007D13D5">
        <w:t xml:space="preserve"> </w:t>
      </w:r>
      <w:r w:rsidR="00783DA7">
        <w:fldChar w:fldCharType="end"/>
      </w:r>
    </w:p>
    <w:p w14:paraId="27FB22C1" w14:textId="77777777" w:rsidR="00EF0CE7" w:rsidRPr="00EF0CE7" w:rsidRDefault="00EF0CE7" w:rsidP="00EF0CE7">
      <w:pPr>
        <w:rPr>
          <w:szCs w:val="22"/>
        </w:rPr>
      </w:pPr>
      <w:r w:rsidRPr="00EF0CE7">
        <w:rPr>
          <w:szCs w:val="22"/>
        </w:rPr>
        <w:t>The ACV considered this product to have an overall positive benefit-risk profile for the indication:</w:t>
      </w:r>
    </w:p>
    <w:p w14:paraId="687120CB" w14:textId="77777777" w:rsidR="00EF0CE7" w:rsidRPr="00EF0CE7" w:rsidRDefault="00EF0CE7" w:rsidP="00EF0CE7">
      <w:pPr>
        <w:ind w:left="720"/>
        <w:rPr>
          <w:i/>
          <w:iCs/>
          <w:szCs w:val="22"/>
        </w:rPr>
      </w:pPr>
      <w:r w:rsidRPr="00EF0CE7">
        <w:rPr>
          <w:i/>
          <w:iCs/>
          <w:szCs w:val="22"/>
        </w:rPr>
        <w:lastRenderedPageBreak/>
        <w:t>Spikevax Bivalent Original / Omicron BA.4-5 (</w:t>
      </w:r>
      <w:proofErr w:type="spellStart"/>
      <w:r w:rsidRPr="00EF0CE7">
        <w:rPr>
          <w:i/>
          <w:iCs/>
          <w:szCs w:val="22"/>
        </w:rPr>
        <w:t>elasomeran</w:t>
      </w:r>
      <w:proofErr w:type="spellEnd"/>
      <w:r w:rsidRPr="00EF0CE7">
        <w:rPr>
          <w:i/>
          <w:iCs/>
          <w:szCs w:val="22"/>
        </w:rPr>
        <w:t>/</w:t>
      </w:r>
      <w:proofErr w:type="spellStart"/>
      <w:r w:rsidRPr="00EF0CE7">
        <w:rPr>
          <w:i/>
          <w:iCs/>
          <w:szCs w:val="22"/>
        </w:rPr>
        <w:t>davesomeran</w:t>
      </w:r>
      <w:proofErr w:type="spellEnd"/>
      <w:r w:rsidRPr="00EF0CE7">
        <w:rPr>
          <w:i/>
          <w:iCs/>
          <w:szCs w:val="22"/>
        </w:rPr>
        <w:t>) COVID-19 Vaccine is indicated for:</w:t>
      </w:r>
    </w:p>
    <w:p w14:paraId="5703FBD6" w14:textId="77777777" w:rsidR="00EF0CE7" w:rsidRPr="00EF0CE7" w:rsidRDefault="00EF0CE7" w:rsidP="00EF0CE7">
      <w:pPr>
        <w:ind w:left="720"/>
        <w:rPr>
          <w:i/>
          <w:iCs/>
          <w:szCs w:val="22"/>
        </w:rPr>
      </w:pPr>
      <w:r w:rsidRPr="00EF0CE7">
        <w:rPr>
          <w:i/>
          <w:iCs/>
          <w:szCs w:val="22"/>
        </w:rPr>
        <w:t>As a booster dose for active immunisation to prevent coronavirus disease 2019 (COVID-19) caused by SARS-CoV-2 in individuals 12 years of age and older who have previously received at least a primary vaccination course against COVID-19.</w:t>
      </w:r>
    </w:p>
    <w:p w14:paraId="58CBC7FB" w14:textId="4EE136C1" w:rsidR="00EF0CE7" w:rsidRPr="00BD5DBD" w:rsidRDefault="00EF0CE7" w:rsidP="00EF0CE7">
      <w:pPr>
        <w:ind w:left="720"/>
        <w:rPr>
          <w:szCs w:val="22"/>
        </w:rPr>
      </w:pPr>
      <w:r w:rsidRPr="00EF0CE7">
        <w:rPr>
          <w:i/>
          <w:iCs/>
          <w:szCs w:val="22"/>
        </w:rPr>
        <w:t>The use of this vaccine should be in accordance with official recommendations.</w:t>
      </w:r>
    </w:p>
    <w:p w14:paraId="307F236C" w14:textId="72670F06" w:rsidR="00C22214" w:rsidRPr="002E238E" w:rsidRDefault="00C22214" w:rsidP="00C22214">
      <w:pPr>
        <w:pStyle w:val="Heading2"/>
      </w:pPr>
      <w:bookmarkStart w:id="83" w:name="_Toc103679300"/>
      <w:bookmarkStart w:id="84" w:name="_Toc144970849"/>
      <w:r>
        <w:t>Outcome</w:t>
      </w:r>
      <w:bookmarkEnd w:id="81"/>
      <w:bookmarkEnd w:id="82"/>
      <w:bookmarkEnd w:id="83"/>
      <w:bookmarkEnd w:id="84"/>
      <w:r w:rsidR="005635FE">
        <w:fldChar w:fldCharType="begin"/>
      </w:r>
      <w:r w:rsidR="005635FE">
        <w:instrText xml:space="preserve"> DOCVARIABLE vault_nd_eee9d531-cab5-4b40-9318-dee33f5699bb \* MERGEFORMAT </w:instrText>
      </w:r>
      <w:r w:rsidR="005635FE">
        <w:fldChar w:fldCharType="separate"/>
      </w:r>
      <w:r w:rsidR="007D13D5">
        <w:t xml:space="preserve"> </w:t>
      </w:r>
      <w:r w:rsidR="005635FE">
        <w:fldChar w:fldCharType="end"/>
      </w:r>
    </w:p>
    <w:p w14:paraId="4EF22939" w14:textId="5F7B3788" w:rsidR="00C22214" w:rsidRPr="00BD5DBD" w:rsidRDefault="00C22214" w:rsidP="00C22214">
      <w:pPr>
        <w:spacing w:after="480"/>
        <w:rPr>
          <w:szCs w:val="22"/>
        </w:rPr>
      </w:pPr>
      <w:r w:rsidRPr="00BD5DBD">
        <w:rPr>
          <w:szCs w:val="22"/>
        </w:rPr>
        <w:t xml:space="preserve">Based on a review of quality, safety, and efficacy, the TGA approved </w:t>
      </w:r>
      <w:r w:rsidR="00AD1552">
        <w:rPr>
          <w:szCs w:val="22"/>
        </w:rPr>
        <w:t>the</w:t>
      </w:r>
      <w:r w:rsidR="00B14CCD">
        <w:rPr>
          <w:szCs w:val="22"/>
        </w:rPr>
        <w:t xml:space="preserve"> full </w:t>
      </w:r>
      <w:r w:rsidRPr="00BD5DBD">
        <w:rPr>
          <w:szCs w:val="22"/>
        </w:rPr>
        <w:t xml:space="preserve">registration of </w:t>
      </w:r>
      <w:r w:rsidR="00D83B5B">
        <w:t>Spikevax bivalent Original/Omicron BA.4-5 vaccine</w:t>
      </w:r>
      <w:r w:rsidR="00D83B5B" w:rsidRPr="00460036">
        <w:t xml:space="preserve"> </w:t>
      </w:r>
      <w:r w:rsidR="00D83B5B">
        <w:t>(</w:t>
      </w:r>
      <w:proofErr w:type="spellStart"/>
      <w:r w:rsidR="00D83B5B">
        <w:t>e</w:t>
      </w:r>
      <w:r w:rsidR="00D83B5B" w:rsidRPr="00A00D37">
        <w:t>lasomeran</w:t>
      </w:r>
      <w:proofErr w:type="spellEnd"/>
      <w:r w:rsidR="00D83B5B">
        <w:t xml:space="preserve"> and </w:t>
      </w:r>
      <w:proofErr w:type="spellStart"/>
      <w:r w:rsidR="00D83B5B" w:rsidRPr="00A00D37">
        <w:t>davesomeran</w:t>
      </w:r>
      <w:proofErr w:type="spellEnd"/>
      <w:r w:rsidR="00D83B5B" w:rsidRPr="000A4A42">
        <w:t xml:space="preserve">) </w:t>
      </w:r>
      <w:r w:rsidR="00D83B5B">
        <w:t>0.1 mg/mL</w:t>
      </w:r>
      <w:r w:rsidR="00D83B5B" w:rsidRPr="000A4A42">
        <w:t xml:space="preserve">, </w:t>
      </w:r>
      <w:r w:rsidR="00D83B5B">
        <w:t>suspension for injection</w:t>
      </w:r>
      <w:r w:rsidR="00D83B5B" w:rsidRPr="00BD5DBD">
        <w:rPr>
          <w:szCs w:val="22"/>
        </w:rPr>
        <w:t xml:space="preserve"> </w:t>
      </w:r>
      <w:r w:rsidRPr="00BD5DBD">
        <w:rPr>
          <w:szCs w:val="22"/>
        </w:rPr>
        <w:t>indicated for</w:t>
      </w:r>
      <w:r w:rsidR="00D83B5B">
        <w:rPr>
          <w:szCs w:val="22"/>
        </w:rPr>
        <w:t>:</w:t>
      </w:r>
    </w:p>
    <w:p w14:paraId="53C22DD0" w14:textId="77777777" w:rsidR="00D83B5B" w:rsidRPr="00D83B5B" w:rsidRDefault="00D83B5B" w:rsidP="00D83B5B">
      <w:pPr>
        <w:ind w:left="720"/>
        <w:rPr>
          <w:i/>
          <w:iCs/>
        </w:rPr>
      </w:pPr>
      <w:bookmarkStart w:id="85" w:name="_Toc103679301"/>
      <w:r w:rsidRPr="00D83B5B">
        <w:rPr>
          <w:i/>
          <w:iCs/>
        </w:rPr>
        <w:t>S</w:t>
      </w:r>
      <w:r>
        <w:rPr>
          <w:i/>
          <w:iCs/>
        </w:rPr>
        <w:t xml:space="preserve">pikevax bivalent Original/Omicron BA.4-5 </w:t>
      </w:r>
      <w:r w:rsidRPr="00D83B5B">
        <w:rPr>
          <w:i/>
          <w:iCs/>
        </w:rPr>
        <w:t>(</w:t>
      </w:r>
      <w:proofErr w:type="spellStart"/>
      <w:r w:rsidRPr="00D83B5B">
        <w:rPr>
          <w:i/>
          <w:iCs/>
        </w:rPr>
        <w:t>elasomeran</w:t>
      </w:r>
      <w:proofErr w:type="spellEnd"/>
      <w:r w:rsidRPr="00D83B5B">
        <w:rPr>
          <w:i/>
          <w:iCs/>
        </w:rPr>
        <w:t>/</w:t>
      </w:r>
      <w:proofErr w:type="spellStart"/>
      <w:r w:rsidRPr="00D83B5B">
        <w:rPr>
          <w:i/>
          <w:iCs/>
        </w:rPr>
        <w:t>davesomeran</w:t>
      </w:r>
      <w:proofErr w:type="spellEnd"/>
      <w:r w:rsidRPr="00D83B5B">
        <w:rPr>
          <w:i/>
          <w:iCs/>
        </w:rPr>
        <w:t>) COVID-19 Vaccine is indicated for:</w:t>
      </w:r>
    </w:p>
    <w:p w14:paraId="5B64588E" w14:textId="77777777" w:rsidR="00D83B5B" w:rsidRPr="00D83B5B" w:rsidRDefault="00D83B5B" w:rsidP="00D83B5B">
      <w:pPr>
        <w:ind w:left="720"/>
        <w:rPr>
          <w:i/>
          <w:iCs/>
        </w:rPr>
      </w:pPr>
      <w:r w:rsidRPr="00D83B5B">
        <w:rPr>
          <w:i/>
          <w:iCs/>
        </w:rPr>
        <w:t>As a booster dose for active immunisation to prevent coronavirus disease 2019 (COVID 19) caused by SARS-CoV-2 in individuals 12 years of age and older who have previously received at least a primary vaccination course against COVID-19.</w:t>
      </w:r>
    </w:p>
    <w:p w14:paraId="223A9F68" w14:textId="77777777" w:rsidR="00A86F28" w:rsidRPr="00A86F28" w:rsidRDefault="00D83B5B" w:rsidP="00A86F28">
      <w:pPr>
        <w:ind w:firstLine="720"/>
        <w:rPr>
          <w:i/>
          <w:iCs/>
        </w:rPr>
      </w:pPr>
      <w:r w:rsidRPr="00A86F28">
        <w:rPr>
          <w:i/>
          <w:iCs/>
        </w:rPr>
        <w:t>The use of this vaccine should be in accordance with official recommendations.</w:t>
      </w:r>
    </w:p>
    <w:p w14:paraId="0D732DA4" w14:textId="1835E2C4" w:rsidR="00854D98" w:rsidRPr="00D23139" w:rsidRDefault="00854D98" w:rsidP="00D83B5B">
      <w:pPr>
        <w:pStyle w:val="Heading3"/>
      </w:pPr>
      <w:bookmarkStart w:id="86" w:name="_Toc144970850"/>
      <w:r w:rsidRPr="00D23139">
        <w:t>Specific conditions of registration applying to these goods</w:t>
      </w:r>
      <w:bookmarkEnd w:id="85"/>
      <w:bookmarkEnd w:id="86"/>
      <w:r w:rsidR="005635FE">
        <w:fldChar w:fldCharType="begin"/>
      </w:r>
      <w:r w:rsidR="005635FE">
        <w:instrText xml:space="preserve"> DOCVARIABLE vault_nd_3c6960f6-d2c2-4af6-b216-ff22601b87aa \* MERGEFORMAT </w:instrText>
      </w:r>
      <w:r w:rsidR="005635FE">
        <w:fldChar w:fldCharType="separate"/>
      </w:r>
      <w:r w:rsidR="007D13D5">
        <w:t xml:space="preserve"> </w:t>
      </w:r>
      <w:r w:rsidR="005635FE">
        <w:fldChar w:fldCharType="end"/>
      </w:r>
    </w:p>
    <w:p w14:paraId="6FB10844" w14:textId="3557AF4A" w:rsidR="00C15EA7" w:rsidRPr="00C15EA7" w:rsidRDefault="00C15EA7" w:rsidP="00C15EA7">
      <w:pPr>
        <w:pStyle w:val="ListBullet"/>
        <w:numPr>
          <w:ilvl w:val="0"/>
          <w:numId w:val="0"/>
        </w:numPr>
        <w:ind w:left="360" w:hanging="360"/>
        <w:rPr>
          <w:b/>
          <w:bCs/>
        </w:rPr>
      </w:pPr>
      <w:r w:rsidRPr="00C15EA7">
        <w:rPr>
          <w:b/>
          <w:bCs/>
        </w:rPr>
        <w:t>RMP condition</w:t>
      </w:r>
    </w:p>
    <w:p w14:paraId="726CA9ED" w14:textId="5FE20BF3" w:rsidR="00A86F28" w:rsidRPr="00A86F28" w:rsidRDefault="00A86F28" w:rsidP="00A86F28">
      <w:pPr>
        <w:pStyle w:val="ListBullet"/>
      </w:pPr>
      <w:r w:rsidRPr="00A86F28">
        <w:t xml:space="preserve">The </w:t>
      </w:r>
      <w:r w:rsidR="00C15EA7" w:rsidRPr="00C15EA7">
        <w:t>Spikevax bivalent Original/Omicron BA.4-5</w:t>
      </w:r>
      <w:r w:rsidRPr="00A86F28">
        <w:t xml:space="preserve"> EU-RMP (version 6.3, dated 6 December 2022, </w:t>
      </w:r>
      <w:r w:rsidR="00C15EA7">
        <w:t>DLP</w:t>
      </w:r>
      <w:r w:rsidRPr="00A86F28">
        <w:t xml:space="preserve"> 17 September 2022), with</w:t>
      </w:r>
      <w:r w:rsidR="00C15EA7">
        <w:t xml:space="preserve"> </w:t>
      </w:r>
      <w:proofErr w:type="gramStart"/>
      <w:r w:rsidR="00C15EA7">
        <w:t>ASA</w:t>
      </w:r>
      <w:r w:rsidRPr="00A86F28">
        <w:t>(</w:t>
      </w:r>
      <w:proofErr w:type="gramEnd"/>
      <w:r w:rsidRPr="00A86F28">
        <w:t>version 1.2, dated 20 December 2022), included with</w:t>
      </w:r>
      <w:r w:rsidR="00C15EA7">
        <w:t xml:space="preserve"> S</w:t>
      </w:r>
      <w:r w:rsidRPr="00A86F28">
        <w:t>ubmission PM-2023-01714-1-2, and any subsequent revisions, as agreed with the TGA</w:t>
      </w:r>
      <w:r w:rsidR="00C15EA7">
        <w:t xml:space="preserve"> </w:t>
      </w:r>
      <w:r w:rsidRPr="00A86F28">
        <w:t>will be implemented in Australia.</w:t>
      </w:r>
    </w:p>
    <w:p w14:paraId="4DBFCF60" w14:textId="77777777" w:rsidR="00A86F28" w:rsidRPr="00C15EA7" w:rsidRDefault="00A86F28" w:rsidP="00C15EA7">
      <w:pPr>
        <w:pStyle w:val="ListBullet"/>
        <w:numPr>
          <w:ilvl w:val="0"/>
          <w:numId w:val="0"/>
        </w:numPr>
        <w:rPr>
          <w:b/>
          <w:bCs/>
        </w:rPr>
      </w:pPr>
      <w:r w:rsidRPr="00C15EA7">
        <w:rPr>
          <w:b/>
          <w:bCs/>
        </w:rPr>
        <w:t>Clinical condition</w:t>
      </w:r>
    </w:p>
    <w:p w14:paraId="131BE709" w14:textId="6A3118EF" w:rsidR="00A86F28" w:rsidRPr="00A86F28" w:rsidRDefault="00A86F28" w:rsidP="00A86F28">
      <w:pPr>
        <w:pStyle w:val="ListBullet"/>
      </w:pPr>
      <w:r w:rsidRPr="00A86F28">
        <w:t>Submit the outstanding clinical data from all the requested data (study reports and/or</w:t>
      </w:r>
      <w:r w:rsidR="00C15EA7">
        <w:t xml:space="preserve"> </w:t>
      </w:r>
      <w:r w:rsidRPr="00A86F28">
        <w:t>published data) which were requested, as conditions, and/or part of the Clinical Study</w:t>
      </w:r>
      <w:r w:rsidR="00C15EA7">
        <w:t xml:space="preserve"> </w:t>
      </w:r>
      <w:r w:rsidRPr="00A86F28">
        <w:t>Plan, including Studies P205 Part H and P901, for the provisional registration of</w:t>
      </w:r>
      <w:r w:rsidR="00C15EA7">
        <w:t xml:space="preserve"> </w:t>
      </w:r>
      <w:r w:rsidR="00C15EA7" w:rsidRPr="00C15EA7">
        <w:t>Spikevax bivalent Original/Omicron BA.4-5</w:t>
      </w:r>
      <w:r w:rsidRPr="00A86F28">
        <w:t xml:space="preserve"> as a booster in individuals 12 years</w:t>
      </w:r>
      <w:r w:rsidR="00C15EA7">
        <w:t xml:space="preserve"> </w:t>
      </w:r>
      <w:r w:rsidRPr="00A86F28">
        <w:t>of age and older, when available.</w:t>
      </w:r>
    </w:p>
    <w:p w14:paraId="307AEE3B" w14:textId="77777777" w:rsidR="00A86F28" w:rsidRPr="00C15EA7" w:rsidRDefault="00A86F28" w:rsidP="00A86F28">
      <w:pPr>
        <w:rPr>
          <w:b/>
          <w:bCs/>
        </w:rPr>
      </w:pPr>
      <w:r w:rsidRPr="00C15EA7">
        <w:rPr>
          <w:b/>
          <w:bCs/>
        </w:rPr>
        <w:t>Quality conditions</w:t>
      </w:r>
    </w:p>
    <w:p w14:paraId="61C7377E" w14:textId="7DDBFF7B" w:rsidR="00A86F28" w:rsidRPr="00A86F28" w:rsidRDefault="00A86F28" w:rsidP="00A86F28">
      <w:pPr>
        <w:pStyle w:val="ListBullet"/>
      </w:pPr>
      <w:r w:rsidRPr="00A86F28">
        <w:t>GMP clearance for listed manufacturers: All relevant manufacturing sites require</w:t>
      </w:r>
      <w:r w:rsidR="00C15EA7">
        <w:t xml:space="preserve"> </w:t>
      </w:r>
      <w:r w:rsidRPr="00A86F28">
        <w:t>approved and current GMP Clearances prior to Australian supply. A commitment is</w:t>
      </w:r>
      <w:r w:rsidR="00C15EA7">
        <w:t xml:space="preserve"> </w:t>
      </w:r>
      <w:r w:rsidRPr="00A86F28">
        <w:t xml:space="preserve">required from the </w:t>
      </w:r>
      <w:r w:rsidR="009C6C4B">
        <w:t>s</w:t>
      </w:r>
      <w:r w:rsidRPr="00A86F28">
        <w:t>ponsor that they maintain the validity of all manufacturer GMP</w:t>
      </w:r>
      <w:r w:rsidR="00C15EA7">
        <w:t xml:space="preserve"> </w:t>
      </w:r>
      <w:r w:rsidRPr="00A86F28">
        <w:t>Clearances for the duration of product supply to Australia. Additionally, that adherence</w:t>
      </w:r>
      <w:r w:rsidR="00C15EA7">
        <w:t xml:space="preserve"> </w:t>
      </w:r>
      <w:r w:rsidRPr="00A86F28">
        <w:t>to the conditions of GMP Clearance approval is upheld.</w:t>
      </w:r>
    </w:p>
    <w:p w14:paraId="29522DBC" w14:textId="20EA0D38" w:rsidR="00A86F28" w:rsidRPr="00A86F28" w:rsidRDefault="00A86F28" w:rsidP="00A86F28">
      <w:pPr>
        <w:pStyle w:val="ListBullet"/>
      </w:pPr>
      <w:r w:rsidRPr="00A86F28">
        <w:t>Post-approval stability protocol and stability commitment: The manufacturer has</w:t>
      </w:r>
      <w:r w:rsidR="00C15EA7">
        <w:t xml:space="preserve"> </w:t>
      </w:r>
      <w:r w:rsidRPr="00A86F28">
        <w:t>provided commitment to continue the ongoing stability studies presented in the</w:t>
      </w:r>
      <w:r w:rsidR="00C15EA7">
        <w:t xml:space="preserve"> </w:t>
      </w:r>
      <w:r w:rsidRPr="00A86F28">
        <w:t>stability studies protocol. Additionally, one (1) batch of drug product per year for all</w:t>
      </w:r>
      <w:r w:rsidR="00C15EA7">
        <w:t xml:space="preserve"> </w:t>
      </w:r>
      <w:r w:rsidRPr="00A86F28">
        <w:t>relevant products will be placed on long-term stability program and on accelerated</w:t>
      </w:r>
      <w:r w:rsidR="00C15EA7">
        <w:t xml:space="preserve"> </w:t>
      </w:r>
      <w:r w:rsidRPr="00A86F28">
        <w:t>stability testing where significant changes are made to the manufacturing process. The</w:t>
      </w:r>
      <w:r w:rsidR="00C15EA7">
        <w:t xml:space="preserve"> </w:t>
      </w:r>
      <w:r w:rsidRPr="00A86F28">
        <w:t>manufacturer has committed to communicate any out of specifications stability test</w:t>
      </w:r>
      <w:r w:rsidR="00C15EA7">
        <w:t xml:space="preserve"> </w:t>
      </w:r>
      <w:r w:rsidRPr="00A86F28">
        <w:t>results to the TGA.</w:t>
      </w:r>
    </w:p>
    <w:p w14:paraId="43192271" w14:textId="77777777" w:rsidR="00C15EA7" w:rsidRDefault="00A86F28" w:rsidP="00A86F28">
      <w:pPr>
        <w:pStyle w:val="ListBullet"/>
      </w:pPr>
      <w:r w:rsidRPr="00A86F28">
        <w:lastRenderedPageBreak/>
        <w:t>Batch Release Testing and Compliance</w:t>
      </w:r>
    </w:p>
    <w:p w14:paraId="3C4176D5" w14:textId="2F8B510E" w:rsidR="00C15EA7" w:rsidRDefault="00A86F28" w:rsidP="00C15EA7">
      <w:pPr>
        <w:pStyle w:val="ListBullet"/>
        <w:numPr>
          <w:ilvl w:val="0"/>
          <w:numId w:val="0"/>
        </w:numPr>
        <w:ind w:left="360"/>
      </w:pPr>
      <w:r w:rsidRPr="00A86F28">
        <w:t xml:space="preserve">It is a condition of registration that all independent batches of </w:t>
      </w:r>
      <w:r w:rsidR="00C15EA7">
        <w:t xml:space="preserve">Spikevax bivalent </w:t>
      </w:r>
      <w:r w:rsidRPr="00A86F28">
        <w:t>(</w:t>
      </w:r>
      <w:proofErr w:type="spellStart"/>
      <w:r w:rsidRPr="00A86F28">
        <w:t>elasomeran</w:t>
      </w:r>
      <w:proofErr w:type="spellEnd"/>
      <w:r w:rsidRPr="00A86F28">
        <w:t xml:space="preserve">/ </w:t>
      </w:r>
      <w:proofErr w:type="spellStart"/>
      <w:r w:rsidRPr="00A86F28">
        <w:t>davesomeran</w:t>
      </w:r>
      <w:proofErr w:type="spellEnd"/>
      <w:r w:rsidRPr="00A86F28">
        <w:t>) 0.1 mg/mL suspension for injection vial and pre-filled</w:t>
      </w:r>
      <w:r w:rsidR="00C15EA7">
        <w:t xml:space="preserve"> </w:t>
      </w:r>
      <w:r w:rsidRPr="00A86F28">
        <w:t>syringe imported into Australia are not released for sale until samples and the</w:t>
      </w:r>
      <w:r w:rsidR="00C15EA7">
        <w:t xml:space="preserve"> </w:t>
      </w:r>
      <w:r w:rsidRPr="00A86F28">
        <w:t>manufacturer’s release data have been assessed and you have received notification</w:t>
      </w:r>
      <w:r w:rsidR="00C15EA7">
        <w:t xml:space="preserve"> </w:t>
      </w:r>
      <w:r w:rsidRPr="00A86F28">
        <w:t>acknowledging release from the Laboratories Branch, TGA.</w:t>
      </w:r>
    </w:p>
    <w:p w14:paraId="3EBB6FA7" w14:textId="1D1D0C87" w:rsidR="00A86F28" w:rsidRPr="00A86F28" w:rsidRDefault="00A86F28" w:rsidP="00C15EA7">
      <w:pPr>
        <w:pStyle w:val="ListBullet"/>
        <w:numPr>
          <w:ilvl w:val="0"/>
          <w:numId w:val="0"/>
        </w:numPr>
        <w:ind w:left="360"/>
      </w:pPr>
      <w:r w:rsidRPr="00A86F28">
        <w:t xml:space="preserve">For each independent batch of the product imported into Australia, the </w:t>
      </w:r>
      <w:r w:rsidR="009C6C4B">
        <w:t>s</w:t>
      </w:r>
      <w:r w:rsidRPr="00A86F28">
        <w:t>ponsor must</w:t>
      </w:r>
      <w:r w:rsidR="00C15EA7">
        <w:t xml:space="preserve"> </w:t>
      </w:r>
      <w:r w:rsidRPr="00A86F28">
        <w:t>supply the following:</w:t>
      </w:r>
    </w:p>
    <w:p w14:paraId="37B73EE6" w14:textId="5AF762F9" w:rsidR="00A86F28" w:rsidRPr="00A86F28" w:rsidRDefault="00A86F28" w:rsidP="00C15EA7">
      <w:pPr>
        <w:pStyle w:val="ListBullet2"/>
      </w:pPr>
      <w:r w:rsidRPr="00A86F28">
        <w:t>A completed Request for Release Form, available from vaccines@health.gov.au.</w:t>
      </w:r>
    </w:p>
    <w:p w14:paraId="477FD753" w14:textId="1B34D405" w:rsidR="00A86F28" w:rsidRPr="00A86F28" w:rsidRDefault="00A86F28" w:rsidP="00C15EA7">
      <w:pPr>
        <w:pStyle w:val="ListBullet2"/>
      </w:pPr>
      <w:r w:rsidRPr="00A86F28">
        <w:t>Complete summary protocols for manufacture and QC, including all steps in</w:t>
      </w:r>
      <w:r w:rsidR="00C15EA7">
        <w:t xml:space="preserve"> </w:t>
      </w:r>
      <w:r w:rsidRPr="00A86F28">
        <w:t>production in the agreed format.</w:t>
      </w:r>
    </w:p>
    <w:p w14:paraId="192B3176" w14:textId="0A26F3C8" w:rsidR="00A86F28" w:rsidRPr="00A86F28" w:rsidRDefault="00A86F28" w:rsidP="00C15EA7">
      <w:pPr>
        <w:pStyle w:val="ListBullet2"/>
      </w:pPr>
      <w:r w:rsidRPr="00A86F28">
        <w:t>At least ten (10) vials (samples) of each manufacturing batch of S</w:t>
      </w:r>
      <w:r w:rsidR="00C15EA7">
        <w:t>pikevax bivalent</w:t>
      </w:r>
      <w:r w:rsidRPr="00A86F28">
        <w:t xml:space="preserve"> (</w:t>
      </w:r>
      <w:proofErr w:type="spellStart"/>
      <w:r w:rsidRPr="00A86F28">
        <w:t>elasomeran</w:t>
      </w:r>
      <w:proofErr w:type="spellEnd"/>
      <w:r w:rsidRPr="00A86F28">
        <w:t>/</w:t>
      </w:r>
      <w:proofErr w:type="spellStart"/>
      <w:r w:rsidRPr="00A86F28">
        <w:t>davesomeran</w:t>
      </w:r>
      <w:proofErr w:type="spellEnd"/>
      <w:r w:rsidRPr="00A86F28">
        <w:t>) 0.1 mg/mL suspension for injection vial</w:t>
      </w:r>
      <w:r w:rsidR="00C15EA7">
        <w:t xml:space="preserve"> </w:t>
      </w:r>
      <w:r w:rsidRPr="00A86F28">
        <w:t>and thirty (30) pre-filled syringes (samples) with the Australian approved labels,</w:t>
      </w:r>
      <w:r w:rsidR="00C15EA7">
        <w:t xml:space="preserve"> </w:t>
      </w:r>
      <w:proofErr w:type="gramStart"/>
      <w:r w:rsidRPr="00A86F28">
        <w:t>PI</w:t>
      </w:r>
      <w:proofErr w:type="gramEnd"/>
      <w:r w:rsidRPr="00A86F28">
        <w:t xml:space="preserve"> and packaging (unless an exemption to supply these has been granted)</w:t>
      </w:r>
      <w:r w:rsidR="00C15EA7">
        <w:t xml:space="preserve"> </w:t>
      </w:r>
      <w:r w:rsidRPr="00A86F28">
        <w:t>representative of all batches of product seeking distribution in Australia.</w:t>
      </w:r>
    </w:p>
    <w:p w14:paraId="07C9E6BF" w14:textId="6E47D5D0" w:rsidR="00A86F28" w:rsidRPr="00A86F28" w:rsidRDefault="00A86F28" w:rsidP="00C15EA7">
      <w:pPr>
        <w:pStyle w:val="ListBullet2"/>
      </w:pPr>
      <w:r w:rsidRPr="00A86F28">
        <w:t>At least five (5) vials (samples) of any further consignments of a manufacturing</w:t>
      </w:r>
      <w:r w:rsidR="00C15EA7">
        <w:t xml:space="preserve"> </w:t>
      </w:r>
      <w:r w:rsidRPr="00A86F28">
        <w:t>batch of S</w:t>
      </w:r>
      <w:r w:rsidR="00C15EA7">
        <w:t>pikevax bivalent</w:t>
      </w:r>
      <w:r w:rsidRPr="00A86F28">
        <w:t xml:space="preserve"> (</w:t>
      </w:r>
      <w:proofErr w:type="spellStart"/>
      <w:r w:rsidRPr="00A86F28">
        <w:t>elasomeran</w:t>
      </w:r>
      <w:proofErr w:type="spellEnd"/>
      <w:r w:rsidRPr="00A86F28">
        <w:t>/</w:t>
      </w:r>
      <w:proofErr w:type="spellStart"/>
      <w:r w:rsidRPr="00A86F28">
        <w:t>davesomeran</w:t>
      </w:r>
      <w:proofErr w:type="spellEnd"/>
      <w:r w:rsidRPr="00A86F28">
        <w:t>) 0.1 mg/mL suspension</w:t>
      </w:r>
      <w:r w:rsidR="00C15EA7">
        <w:t xml:space="preserve"> </w:t>
      </w:r>
      <w:r w:rsidRPr="00A86F28">
        <w:t>for injection vial and fifteen (15) pre-filled syringes (samples) with the Australian</w:t>
      </w:r>
      <w:r w:rsidR="00C15EA7">
        <w:t xml:space="preserve"> </w:t>
      </w:r>
      <w:r w:rsidRPr="00A86F28">
        <w:t xml:space="preserve">approved labels, </w:t>
      </w:r>
      <w:proofErr w:type="gramStart"/>
      <w:r w:rsidRPr="00A86F28">
        <w:t>PI</w:t>
      </w:r>
      <w:proofErr w:type="gramEnd"/>
      <w:r w:rsidRPr="00A86F28">
        <w:t xml:space="preserve"> and packaging (unless an exemption to supply these has been</w:t>
      </w:r>
      <w:r w:rsidR="00C15EA7">
        <w:t xml:space="preserve"> </w:t>
      </w:r>
      <w:r w:rsidRPr="00A86F28">
        <w:t>granted). Further consignments cover batches previously supplied to TGA for the</w:t>
      </w:r>
      <w:r w:rsidR="00C15EA7">
        <w:t xml:space="preserve"> </w:t>
      </w:r>
      <w:r w:rsidRPr="00A86F28">
        <w:t>purposes of batch release testing but are seeking to be supplied again.</w:t>
      </w:r>
    </w:p>
    <w:p w14:paraId="6197A650" w14:textId="0E4D8AE6" w:rsidR="00A86F28" w:rsidRPr="00A86F28" w:rsidRDefault="00A86F28" w:rsidP="00C15EA7">
      <w:pPr>
        <w:pStyle w:val="ListBullet2"/>
      </w:pPr>
      <w:r w:rsidRPr="00A86F28">
        <w:t>If the manufacturing batch has been released in Europe or United Kingdom a copy</w:t>
      </w:r>
      <w:r w:rsidR="00C15EA7">
        <w:t xml:space="preserve"> </w:t>
      </w:r>
      <w:r w:rsidRPr="00A86F28">
        <w:t>of the EU Official Control Authority Batch Release (OCABR) certificate (or</w:t>
      </w:r>
      <w:r w:rsidR="00C15EA7">
        <w:t xml:space="preserve"> </w:t>
      </w:r>
      <w:r w:rsidRPr="00A86F28">
        <w:t>equivalent from the UK) must be provided.</w:t>
      </w:r>
    </w:p>
    <w:p w14:paraId="13BF4C92" w14:textId="77777777" w:rsidR="00C15EA7" w:rsidRDefault="00A86F28" w:rsidP="00A86F28">
      <w:pPr>
        <w:pStyle w:val="ListBullet2"/>
      </w:pPr>
      <w:r w:rsidRPr="00A86F28">
        <w:t>Any reagents, reference material and standards required to undertake testing, as</w:t>
      </w:r>
      <w:r w:rsidR="00C15EA7">
        <w:t xml:space="preserve"> </w:t>
      </w:r>
      <w:r w:rsidRPr="00A86F28">
        <w:t>requested by Laboratories Branch, TGA.</w:t>
      </w:r>
    </w:p>
    <w:p w14:paraId="496AC4C3" w14:textId="77777777" w:rsidR="00C15EA7" w:rsidRDefault="00A86F28" w:rsidP="00C15EA7">
      <w:pPr>
        <w:pStyle w:val="ListBullet2"/>
        <w:numPr>
          <w:ilvl w:val="0"/>
          <w:numId w:val="0"/>
        </w:numPr>
        <w:ind w:left="425"/>
      </w:pPr>
      <w:r w:rsidRPr="00A86F28">
        <w:t>Sponsors must provide all requested Samples and data in sufficient time (at least five</w:t>
      </w:r>
      <w:r w:rsidR="00C15EA7">
        <w:t xml:space="preserve"> </w:t>
      </w:r>
      <w:r w:rsidRPr="00A86F28">
        <w:t>(5) business days) prior to any distribution date to allow the TGA to perform testing</w:t>
      </w:r>
      <w:r w:rsidR="00C15EA7">
        <w:t xml:space="preserve"> </w:t>
      </w:r>
      <w:r w:rsidRPr="00A86F28">
        <w:t>and review. Distribution of each batch of vaccine is conditional upon fulfilment of</w:t>
      </w:r>
      <w:r w:rsidR="00C15EA7">
        <w:t xml:space="preserve"> </w:t>
      </w:r>
      <w:r w:rsidRPr="00A86F28">
        <w:t>these conditions and receipt of a letter from the Laboratories Branch acknowledging</w:t>
      </w:r>
      <w:r w:rsidR="00C15EA7">
        <w:t xml:space="preserve"> </w:t>
      </w:r>
      <w:r w:rsidRPr="00A86F28">
        <w:t>release.</w:t>
      </w:r>
    </w:p>
    <w:p w14:paraId="01D989B1" w14:textId="1183F3D7" w:rsidR="00C15EA7" w:rsidRDefault="00A86F28" w:rsidP="00C15EA7">
      <w:pPr>
        <w:pStyle w:val="ListBullet2"/>
        <w:numPr>
          <w:ilvl w:val="0"/>
          <w:numId w:val="0"/>
        </w:numPr>
        <w:ind w:left="425"/>
      </w:pPr>
      <w:r w:rsidRPr="00A86F28">
        <w:t>Samples and data should be forwarded to the Biotherapeutics Section, Laboratories</w:t>
      </w:r>
      <w:r w:rsidR="00C15EA7">
        <w:t xml:space="preserve"> </w:t>
      </w:r>
      <w:r w:rsidRPr="00A86F28">
        <w:t>Branch before release of each batch and with sufficient lead time to allow for</w:t>
      </w:r>
      <w:r w:rsidR="00C15EA7">
        <w:t xml:space="preserve"> </w:t>
      </w:r>
      <w:r w:rsidRPr="00A86F28">
        <w:t>Laboratories Branch testing.</w:t>
      </w:r>
    </w:p>
    <w:p w14:paraId="0E6FCB36" w14:textId="695BCD22" w:rsidR="00A86F28" w:rsidRPr="00A86F28" w:rsidRDefault="00A86F28" w:rsidP="00C15EA7">
      <w:pPr>
        <w:pStyle w:val="ListBullet2"/>
        <w:numPr>
          <w:ilvl w:val="0"/>
          <w:numId w:val="0"/>
        </w:numPr>
        <w:ind w:left="425"/>
      </w:pPr>
      <w:r w:rsidRPr="00A86F28">
        <w:t>The shipments (including reagents) to TGA are the responsibility of the Australian</w:t>
      </w:r>
      <w:r w:rsidR="00C15EA7">
        <w:t xml:space="preserve"> s</w:t>
      </w:r>
      <w:r w:rsidRPr="00A86F28">
        <w:t>ponsor/</w:t>
      </w:r>
      <w:r w:rsidR="00C15EA7">
        <w:t>a</w:t>
      </w:r>
      <w:r w:rsidRPr="00A86F28">
        <w:t>gent who will be required to facilitate the import and customs clearance</w:t>
      </w:r>
      <w:r w:rsidR="00C15EA7">
        <w:t xml:space="preserve"> </w:t>
      </w:r>
      <w:r w:rsidRPr="00A86F28">
        <w:t>process.</w:t>
      </w:r>
    </w:p>
    <w:p w14:paraId="49FD6B22" w14:textId="77777777" w:rsidR="00C15EA7" w:rsidRDefault="00A86F28" w:rsidP="00A86F28">
      <w:pPr>
        <w:pStyle w:val="ListBullet"/>
      </w:pPr>
      <w:r w:rsidRPr="00A86F28">
        <w:t>Certified Product Details</w:t>
      </w:r>
    </w:p>
    <w:p w14:paraId="601B9160" w14:textId="2DDABD49" w:rsidR="00A86F28" w:rsidRPr="00A86F28" w:rsidRDefault="00A86F28" w:rsidP="00C15EA7">
      <w:pPr>
        <w:pStyle w:val="ListBullet"/>
        <w:numPr>
          <w:ilvl w:val="0"/>
          <w:numId w:val="0"/>
        </w:numPr>
        <w:ind w:left="360"/>
      </w:pPr>
      <w:r w:rsidRPr="00A86F28">
        <w:t>An electronic copy of the Certified Product Details (CPD) as described in Guidance 7:</w:t>
      </w:r>
      <w:r w:rsidR="00C15EA7">
        <w:t xml:space="preserve"> </w:t>
      </w:r>
      <w:r w:rsidRPr="00A86F28">
        <w:t>Certified Product Details of the Australian Regulatory Guidelines for Prescription</w:t>
      </w:r>
      <w:r w:rsidR="00C15EA7">
        <w:t xml:space="preserve"> </w:t>
      </w:r>
      <w:r w:rsidRPr="00A86F28">
        <w:t xml:space="preserve">Medicines (ARGPM) </w:t>
      </w:r>
      <w:hyperlink r:id="rId67" w:history="1">
        <w:r w:rsidR="00C15EA7" w:rsidRPr="00187C33">
          <w:rPr>
            <w:rStyle w:val="Hyperlink"/>
          </w:rPr>
          <w:t>https://www.tga.gov.au/guidance-7-certified-product-details</w:t>
        </w:r>
      </w:hyperlink>
      <w:r w:rsidR="00C15EA7">
        <w:t xml:space="preserve"> </w:t>
      </w:r>
      <w:r w:rsidRPr="00A86F28">
        <w:t>should be provided upon registration of the therapeutic good. In addition, an updated</w:t>
      </w:r>
      <w:r w:rsidR="00C15EA7">
        <w:t xml:space="preserve"> </w:t>
      </w:r>
      <w:r w:rsidRPr="00A86F28">
        <w:t>CPD, for the above products incorporating the approved changes is to be provided</w:t>
      </w:r>
      <w:r w:rsidR="00C15EA7">
        <w:t xml:space="preserve"> </w:t>
      </w:r>
      <w:r w:rsidRPr="00A86F28">
        <w:t>within one (1) month of the date of approval letter. A template for preparation of CPD</w:t>
      </w:r>
      <w:r w:rsidR="00C15EA7">
        <w:t xml:space="preserve"> </w:t>
      </w:r>
      <w:r w:rsidRPr="00A86F28">
        <w:t>for biological prescription medicines and Vaccines can be obtained from the TGA</w:t>
      </w:r>
      <w:r w:rsidR="00C15EA7">
        <w:t xml:space="preserve"> </w:t>
      </w:r>
      <w:r w:rsidRPr="00A86F28">
        <w:t xml:space="preserve">website </w:t>
      </w:r>
      <w:hyperlink r:id="rId68" w:history="1">
        <w:r w:rsidR="00C15EA7" w:rsidRPr="00187C33">
          <w:rPr>
            <w:rStyle w:val="Hyperlink"/>
          </w:rPr>
          <w:t>https://www.tga.gov.au/form/certified-product-details-cpd-biologicalprescription-medicines</w:t>
        </w:r>
      </w:hyperlink>
      <w:r w:rsidR="00C15EA7">
        <w:t>]</w:t>
      </w:r>
      <w:r w:rsidRPr="00A86F28">
        <w:t>. The CPD should be sent as a single bookmarked PDF</w:t>
      </w:r>
      <w:r w:rsidR="00C15EA7">
        <w:t xml:space="preserve"> </w:t>
      </w:r>
      <w:r w:rsidRPr="00A86F28">
        <w:t xml:space="preserve">document to </w:t>
      </w:r>
      <w:r w:rsidRPr="00A86F28">
        <w:lastRenderedPageBreak/>
        <w:t>Vaccines@health.gov.au as soon as possible after registration/approval of</w:t>
      </w:r>
      <w:r w:rsidR="00C15EA7">
        <w:t xml:space="preserve"> </w:t>
      </w:r>
      <w:r w:rsidRPr="00A86F28">
        <w:t xml:space="preserve">the product or any subsequent changes as indicated </w:t>
      </w:r>
      <w:proofErr w:type="gramStart"/>
      <w:r w:rsidRPr="00A86F28">
        <w:t>above</w:t>
      </w:r>
      <w:proofErr w:type="gramEnd"/>
    </w:p>
    <w:p w14:paraId="451DC3FC" w14:textId="7B3EEAE2" w:rsidR="00C22214" w:rsidRDefault="00C22214" w:rsidP="00C22214">
      <w:pPr>
        <w:pStyle w:val="Heading2"/>
      </w:pPr>
      <w:bookmarkStart w:id="87" w:name="_Toc103679303"/>
      <w:bookmarkStart w:id="88" w:name="_Toc144970851"/>
      <w:r>
        <w:t>Attachment 1. Product Information</w:t>
      </w:r>
      <w:bookmarkEnd w:id="87"/>
      <w:bookmarkEnd w:id="88"/>
      <w:r w:rsidR="005635FE">
        <w:fldChar w:fldCharType="begin"/>
      </w:r>
      <w:r w:rsidR="005635FE">
        <w:instrText xml:space="preserve"> DOCVARIABLE vault_nd_cd24faed-d660-4aa3-b0ec-b249be69445b \* MERGEFORMAT </w:instrText>
      </w:r>
      <w:r w:rsidR="005635FE">
        <w:fldChar w:fldCharType="separate"/>
      </w:r>
      <w:r w:rsidR="007D13D5">
        <w:t xml:space="preserve"> </w:t>
      </w:r>
      <w:r w:rsidR="005635FE">
        <w:fldChar w:fldCharType="end"/>
      </w:r>
    </w:p>
    <w:p w14:paraId="21F47164" w14:textId="3EEA0EAF" w:rsidR="00C22214" w:rsidRPr="00BD5DBD" w:rsidRDefault="00C22214" w:rsidP="00C22214">
      <w:pPr>
        <w:rPr>
          <w:szCs w:val="22"/>
        </w:rPr>
      </w:pPr>
      <w:r w:rsidRPr="00BD5DBD">
        <w:rPr>
          <w:szCs w:val="22"/>
        </w:rPr>
        <w:t>The PI for</w:t>
      </w:r>
      <w:r w:rsidR="001128A1">
        <w:rPr>
          <w:szCs w:val="22"/>
        </w:rPr>
        <w:t xml:space="preserve"> Spikevax bivalent Original/</w:t>
      </w:r>
      <w:proofErr w:type="spellStart"/>
      <w:r w:rsidR="001128A1">
        <w:rPr>
          <w:szCs w:val="22"/>
        </w:rPr>
        <w:t>Omicorn</w:t>
      </w:r>
      <w:proofErr w:type="spellEnd"/>
      <w:r w:rsidR="001128A1">
        <w:rPr>
          <w:szCs w:val="22"/>
        </w:rPr>
        <w:t xml:space="preserve"> BA.4-5</w:t>
      </w:r>
      <w:r w:rsidRPr="00BD5DBD">
        <w:rPr>
          <w:szCs w:val="22"/>
        </w:rPr>
        <w:t xml:space="preserve"> approved with the submission which is described in this </w:t>
      </w:r>
      <w:proofErr w:type="spellStart"/>
      <w:r w:rsidRPr="00BD5DBD">
        <w:rPr>
          <w:szCs w:val="22"/>
        </w:rPr>
        <w:t>AusPAR</w:t>
      </w:r>
      <w:proofErr w:type="spellEnd"/>
      <w:r w:rsidRPr="00BD5DBD">
        <w:rPr>
          <w:szCs w:val="22"/>
        </w:rPr>
        <w:t xml:space="preserve"> is at Attachment 1. For the most recent PI, please refer to the TGA </w:t>
      </w:r>
      <w:hyperlink r:id="rId69" w:history="1">
        <w:r w:rsidRPr="00BD5DBD">
          <w:rPr>
            <w:rStyle w:val="Hyperlink"/>
            <w:szCs w:val="22"/>
          </w:rPr>
          <w:t>PI/CMI search facility.</w:t>
        </w:r>
      </w:hyperlink>
    </w:p>
    <w:p w14:paraId="40740B65" w14:textId="77777777" w:rsidR="00C22214" w:rsidRPr="008B4DA3" w:rsidRDefault="00C22214" w:rsidP="00C22214">
      <w:pPr>
        <w:autoSpaceDE w:val="0"/>
        <w:autoSpaceDN w:val="0"/>
        <w:adjustRightInd w:val="0"/>
        <w:spacing w:after="0"/>
      </w:pPr>
      <w:r w:rsidRPr="00C80137">
        <w:rPr>
          <w:b/>
        </w:rPr>
        <w:br w:type="page"/>
      </w:r>
    </w:p>
    <w:p w14:paraId="53357BF3" w14:textId="276457B5" w:rsidR="00C22214" w:rsidRDefault="00C22214" w:rsidP="00C22214">
      <w:pPr>
        <w:rPr>
          <w:lang w:eastAsia="ja-JP"/>
        </w:rPr>
        <w:sectPr w:rsidR="00C22214" w:rsidSect="007452E8">
          <w:headerReference w:type="default" r:id="rId70"/>
          <w:footerReference w:type="default" r:id="rId71"/>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1F10E4EC" w:rsidR="00F02AEC" w:rsidRDefault="00F02AEC">
            <w:pPr>
              <w:pStyle w:val="Address"/>
              <w:jc w:val="center"/>
              <w:rPr>
                <w:sz w:val="22"/>
                <w:szCs w:val="22"/>
              </w:rPr>
            </w:pPr>
            <w:r w:rsidRPr="00215D48">
              <w:t xml:space="preserve">Email: </w:t>
            </w:r>
            <w:hyperlink r:id="rId72"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7D8CC95" w:rsidR="00F02AEC" w:rsidRPr="00215D48" w:rsidRDefault="00783DA7">
            <w:pPr>
              <w:pStyle w:val="Address"/>
              <w:jc w:val="center"/>
              <w:rPr>
                <w:rStyle w:val="Hyperlink"/>
                <w:b/>
                <w:color w:val="auto"/>
                <w:sz w:val="22"/>
              </w:rPr>
            </w:pPr>
            <w:hyperlink r:id="rId73"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74"/>
      <w:footerReference w:type="first" r:id="rId75"/>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3320E" w14:textId="77777777" w:rsidR="004F12C1" w:rsidRDefault="004F12C1" w:rsidP="00F02AEC">
      <w:pPr>
        <w:spacing w:after="0" w:line="240" w:lineRule="auto"/>
      </w:pPr>
      <w:r>
        <w:separator/>
      </w:r>
    </w:p>
  </w:endnote>
  <w:endnote w:type="continuationSeparator" w:id="0">
    <w:p w14:paraId="1757E034" w14:textId="77777777" w:rsidR="004F12C1" w:rsidRDefault="004F12C1"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fldSimple w:instr=" NUMPAGES  ">
                <w:r>
                  <w:rPr>
                    <w:noProof/>
                  </w:rPr>
                  <w:t>2</w:t>
                </w:r>
              </w:fldSimple>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4C26B19B" w:rsidR="007452E8" w:rsidRPr="004A3084" w:rsidRDefault="007452E8" w:rsidP="007452E8">
          <w:pPr>
            <w:pStyle w:val="Footer"/>
          </w:pPr>
          <w:proofErr w:type="spellStart"/>
          <w:r w:rsidRPr="00487162">
            <w:t>AusPA</w:t>
          </w:r>
          <w:r>
            <w:t>R</w:t>
          </w:r>
          <w:proofErr w:type="spellEnd"/>
          <w:r>
            <w:t xml:space="preserve"> </w:t>
          </w:r>
          <w:r w:rsidR="00DA075E">
            <w:t>–</w:t>
          </w:r>
          <w:r>
            <w:t xml:space="preserve"> </w:t>
          </w:r>
          <w:r w:rsidR="00DA075E">
            <w:t xml:space="preserve">Spikevax </w:t>
          </w:r>
          <w:r w:rsidR="00570C2C">
            <w:t xml:space="preserve">bivalent </w:t>
          </w:r>
          <w:r w:rsidR="00DA075E">
            <w:t>Original/Omicron BA 4 -5</w:t>
          </w:r>
          <w:r>
            <w:t xml:space="preserve"> -</w:t>
          </w:r>
          <w:r w:rsidRPr="00460036">
            <w:t xml:space="preserve"> </w:t>
          </w:r>
          <w:proofErr w:type="spellStart"/>
          <w:r w:rsidR="00DA075E" w:rsidRPr="00D0179D">
            <w:rPr>
              <w:lang w:val="en-US"/>
            </w:rPr>
            <w:t>elasomeran</w:t>
          </w:r>
          <w:proofErr w:type="spellEnd"/>
          <w:r w:rsidR="00DA075E" w:rsidRPr="00D0179D">
            <w:rPr>
              <w:lang w:val="en-US"/>
            </w:rPr>
            <w:t>/</w:t>
          </w:r>
          <w:proofErr w:type="spellStart"/>
          <w:r w:rsidR="00DA075E" w:rsidRPr="00D0179D">
            <w:rPr>
              <w:lang w:val="en-US"/>
            </w:rPr>
            <w:t>davesomeran</w:t>
          </w:r>
          <w:proofErr w:type="spellEnd"/>
          <w:r w:rsidRPr="00460036">
            <w:t xml:space="preserve"> </w:t>
          </w:r>
          <w:r w:rsidR="008C754C">
            <w:t>-</w:t>
          </w:r>
          <w:r>
            <w:t xml:space="preserve"> </w:t>
          </w:r>
          <w:r w:rsidR="00DA075E" w:rsidRPr="005B6585">
            <w:t>Moderna Australia Pty Ltd</w:t>
          </w:r>
          <w:r>
            <w:t xml:space="preserve"> - </w:t>
          </w:r>
          <w:r w:rsidR="00DA075E" w:rsidRPr="00985004">
            <w:rPr>
              <w:bCs/>
            </w:rPr>
            <w:t>PM-2023-01714-1-2</w:t>
          </w:r>
          <w:r>
            <w:br/>
          </w:r>
          <w:r w:rsidR="003501DE">
            <w:rPr>
              <w:lang w:val="en-GB"/>
            </w:rPr>
            <w:t>FINAL</w:t>
          </w:r>
          <w:r w:rsidR="0078628B" w:rsidRPr="0078628B">
            <w:rPr>
              <w:lang w:val="en-GB"/>
            </w:rPr>
            <w:t xml:space="preserve"> </w:t>
          </w:r>
          <w:r w:rsidR="003501DE">
            <w:rPr>
              <w:lang w:val="en-GB"/>
            </w:rPr>
            <w:t>7</w:t>
          </w:r>
          <w:r w:rsidR="009C6C4B">
            <w:t xml:space="preserve"> </w:t>
          </w:r>
          <w:r w:rsidR="0024446A">
            <w:t>September</w:t>
          </w:r>
          <w:r w:rsidR="009C6C4B">
            <w:t xml:space="preserve"> 2023</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fldSimple w:instr=" NUMPAGES  ">
                <w:r w:rsidR="006D6B44">
                  <w:rPr>
                    <w:noProof/>
                  </w:rPr>
                  <w:t>17</w:t>
                </w:r>
              </w:fldSimple>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8CB28" w14:textId="77777777" w:rsidR="004F12C1" w:rsidRDefault="004F12C1" w:rsidP="00F02AEC">
      <w:pPr>
        <w:spacing w:after="0" w:line="240" w:lineRule="auto"/>
      </w:pPr>
      <w:r>
        <w:separator/>
      </w:r>
    </w:p>
  </w:footnote>
  <w:footnote w:type="continuationSeparator" w:id="0">
    <w:p w14:paraId="091E4A7F" w14:textId="77777777" w:rsidR="004F12C1" w:rsidRDefault="004F12C1" w:rsidP="00F02AEC">
      <w:pPr>
        <w:spacing w:after="0" w:line="240" w:lineRule="auto"/>
      </w:pPr>
      <w:r>
        <w:continuationSeparator/>
      </w:r>
    </w:p>
  </w:footnote>
  <w:footnote w:id="1">
    <w:p w14:paraId="68402A9B" w14:textId="60286C39"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e TGA and registered on the Australian Register of Therapeutic Goods.</w:t>
      </w:r>
    </w:p>
  </w:footnote>
  <w:footnote w:id="2">
    <w:p w14:paraId="6EE615FE" w14:textId="77777777" w:rsidR="008B20B3" w:rsidRDefault="008B20B3" w:rsidP="008B20B3">
      <w:pPr>
        <w:pStyle w:val="FootnoteText"/>
      </w:pPr>
      <w:r>
        <w:rPr>
          <w:rStyle w:val="FootnoteReference"/>
        </w:rPr>
        <w:footnoteRef/>
      </w:r>
      <w:r>
        <w:t xml:space="preserve"> </w:t>
      </w:r>
      <w:hyperlink r:id="rId1" w:history="1">
        <w:r>
          <w:rPr>
            <w:rStyle w:val="Hyperlink"/>
          </w:rPr>
          <w:t>Benefits of Getting A COVID-19 Vaccine | CDC</w:t>
        </w:r>
      </w:hyperlink>
    </w:p>
  </w:footnote>
  <w:footnote w:id="3">
    <w:p w14:paraId="0BE6A591" w14:textId="77777777" w:rsidR="008B20B3" w:rsidRDefault="008B20B3" w:rsidP="008B20B3">
      <w:pPr>
        <w:pStyle w:val="FootnoteText"/>
      </w:pPr>
      <w:r>
        <w:rPr>
          <w:rStyle w:val="FootnoteReference"/>
        </w:rPr>
        <w:footnoteRef/>
      </w:r>
      <w:r>
        <w:t xml:space="preserve"> </w:t>
      </w:r>
      <w:hyperlink r:id="rId2" w:history="1">
        <w:r>
          <w:rPr>
            <w:rStyle w:val="Hyperlink"/>
          </w:rPr>
          <w:t>Coronavirus (COVID-19) case numbers and statistics | Australian Government Department of Health and Aged Care</w:t>
        </w:r>
      </w:hyperlink>
      <w:r>
        <w:t xml:space="preserve"> (accessed 28/2/2023).</w:t>
      </w:r>
    </w:p>
  </w:footnote>
  <w:footnote w:id="4">
    <w:p w14:paraId="2A6A5B8E" w14:textId="77777777" w:rsidR="008B20B3" w:rsidRDefault="008B20B3" w:rsidP="008B20B3">
      <w:pPr>
        <w:pStyle w:val="FootnoteText"/>
      </w:pPr>
      <w:r>
        <w:rPr>
          <w:rStyle w:val="FootnoteReference"/>
        </w:rPr>
        <w:footnoteRef/>
      </w:r>
      <w:r>
        <w:t xml:space="preserve"> </w:t>
      </w:r>
      <w:hyperlink r:id="rId3" w:history="1">
        <w:r>
          <w:rPr>
            <w:rStyle w:val="Hyperlink"/>
          </w:rPr>
          <w:t xml:space="preserve">Australia: WHO Coronavirus Disease (COVID-19) Dashboard </w:t>
        </w:r>
        <w:proofErr w:type="gramStart"/>
        <w:r>
          <w:rPr>
            <w:rStyle w:val="Hyperlink"/>
          </w:rPr>
          <w:t>With</w:t>
        </w:r>
        <w:proofErr w:type="gramEnd"/>
        <w:r>
          <w:rPr>
            <w:rStyle w:val="Hyperlink"/>
          </w:rPr>
          <w:t xml:space="preserve"> Vaccination Data | WHO Coronavirus (COVID-19) Dashboard With Vaccination Data</w:t>
        </w:r>
      </w:hyperlink>
      <w:r>
        <w:t xml:space="preserve"> (accessed 28/2/2023).</w:t>
      </w:r>
    </w:p>
  </w:footnote>
  <w:footnote w:id="5">
    <w:p w14:paraId="58336ED0" w14:textId="482E2762" w:rsidR="00D974AD" w:rsidRDefault="00D974AD">
      <w:pPr>
        <w:pStyle w:val="FootnoteText"/>
      </w:pPr>
      <w:r>
        <w:rPr>
          <w:rStyle w:val="FootnoteReference"/>
        </w:rPr>
        <w:footnoteRef/>
      </w:r>
      <w:r>
        <w:t xml:space="preserve"> </w:t>
      </w:r>
      <w:proofErr w:type="spellStart"/>
      <w:r>
        <w:t>Chalkias</w:t>
      </w:r>
      <w:proofErr w:type="spellEnd"/>
      <w:r>
        <w:t xml:space="preserve"> et al., </w:t>
      </w:r>
      <w:r w:rsidRPr="00D974AD">
        <w:t>A Bivalent Omicron-Containing Booster Vaccine against Covid-19</w:t>
      </w:r>
      <w:r>
        <w:t>.</w:t>
      </w:r>
      <w:r w:rsidRPr="00D974AD">
        <w:t xml:space="preserve"> </w:t>
      </w:r>
      <w:r w:rsidRPr="00D974AD">
        <w:rPr>
          <w:i/>
          <w:iCs/>
        </w:rPr>
        <w:t xml:space="preserve">N </w:t>
      </w:r>
      <w:proofErr w:type="spellStart"/>
      <w:r w:rsidRPr="00D974AD">
        <w:rPr>
          <w:i/>
          <w:iCs/>
        </w:rPr>
        <w:t>Engl</w:t>
      </w:r>
      <w:proofErr w:type="spellEnd"/>
      <w:r w:rsidRPr="00D974AD">
        <w:rPr>
          <w:i/>
          <w:iCs/>
        </w:rPr>
        <w:t xml:space="preserve"> J Med</w:t>
      </w:r>
      <w:r w:rsidRPr="00D974AD">
        <w:t xml:space="preserve"> 2022; 387:1279-1291</w:t>
      </w:r>
    </w:p>
  </w:footnote>
  <w:footnote w:id="6">
    <w:p w14:paraId="41C29699" w14:textId="0A01E037" w:rsidR="00D27054" w:rsidRDefault="00D27054">
      <w:pPr>
        <w:pStyle w:val="FootnoteText"/>
      </w:pPr>
      <w:r>
        <w:rPr>
          <w:rStyle w:val="FootnoteReference"/>
        </w:rPr>
        <w:footnoteRef/>
      </w:r>
      <w:r>
        <w:t xml:space="preserve"> </w:t>
      </w:r>
      <w:hyperlink r:id="rId4" w:history="1">
        <w:r w:rsidRPr="007C7328">
          <w:rPr>
            <w:rStyle w:val="Hyperlink"/>
          </w:rPr>
          <w:t>https://www.fda.gov/media/164810/download</w:t>
        </w:r>
      </w:hyperlink>
    </w:p>
  </w:footnote>
  <w:footnote w:id="7">
    <w:p w14:paraId="5BAB5BF0" w14:textId="784C9224" w:rsidR="009C62D5" w:rsidRDefault="009C62D5">
      <w:pPr>
        <w:pStyle w:val="FootnoteText"/>
      </w:pPr>
      <w:r>
        <w:rPr>
          <w:rStyle w:val="FootnoteReference"/>
        </w:rPr>
        <w:footnoteRef/>
      </w:r>
      <w:r>
        <w:t xml:space="preserve"> Tseng et al, Bivalent Vaccine Efficacy (2023) Manuscript.</w:t>
      </w:r>
    </w:p>
  </w:footnote>
  <w:footnote w:id="8">
    <w:p w14:paraId="4671655F" w14:textId="352D77C3" w:rsidR="00EF0CE7" w:rsidRDefault="00EF0CE7">
      <w:pPr>
        <w:pStyle w:val="FootnoteText"/>
      </w:pPr>
      <w:r>
        <w:rPr>
          <w:rStyle w:val="FootnoteReference"/>
        </w:rPr>
        <w:footnoteRef/>
      </w:r>
      <w:r>
        <w:t xml:space="preserve"> </w:t>
      </w:r>
      <w:proofErr w:type="spellStart"/>
      <w:r>
        <w:t>AusPAR</w:t>
      </w:r>
      <w:proofErr w:type="spellEnd"/>
      <w:r>
        <w:t xml:space="preserve"> for Spikevax bivalent Original/</w:t>
      </w:r>
      <w:proofErr w:type="spellStart"/>
      <w:r>
        <w:t>Omicorn</w:t>
      </w:r>
      <w:proofErr w:type="spellEnd"/>
      <w:r>
        <w:t xml:space="preserve"> BA.4-5 available at </w:t>
      </w:r>
      <w:r w:rsidRPr="00EF0CE7">
        <w:t>https://www.tga.gov.au/sites/default/files/2023-02/auspar-spikevax-bivalent-original-omicron-ba-4-5-230224.pdf</w:t>
      </w:r>
    </w:p>
  </w:footnote>
  <w:footnote w:id="9">
    <w:p w14:paraId="21032236" w14:textId="48C8041A" w:rsidR="00EF0CE7" w:rsidRDefault="00EF0CE7">
      <w:pPr>
        <w:pStyle w:val="FootnoteText"/>
      </w:pPr>
      <w:r>
        <w:rPr>
          <w:rStyle w:val="FootnoteReference"/>
        </w:rPr>
        <w:footnoteRef/>
      </w:r>
      <w:r>
        <w:t xml:space="preserve"> </w:t>
      </w:r>
      <w:proofErr w:type="spellStart"/>
      <w:r>
        <w:t>AusPAR</w:t>
      </w:r>
      <w:proofErr w:type="spellEnd"/>
      <w:r>
        <w:t xml:space="preserve"> for Spikevax available at </w:t>
      </w:r>
      <w:r w:rsidRPr="00EF0CE7">
        <w:t>https://www.tga.gov.au/sites/default/files/2023-05/auspar-spikevax-230511.pdf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783DA7"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109E99C1">
                    <wp:extent cx="7631430" cy="5523865"/>
                    <wp:effectExtent l="0" t="0" r="7620" b="63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inline distT="0" distB="0" distL="0" distR="0" wp14:anchorId="19C10218" wp14:editId="49FC1D40">
          <wp:extent cx="2676525" cy="621665"/>
          <wp:effectExtent l="0" t="0" r="9525" b="6985"/>
          <wp:docPr id="12" name="Picture 1" descr="Australian Government, Department of Health and Aged Care, Therapeutic Goods Admini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Australian Government, Department of Health and Aged Care, Therapeutic Goods Administration. "/>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inline>
      </w:drawing>
    </w:r>
    <w:r w:rsidRPr="002B29B2">
      <w:rPr>
        <w:noProof/>
        <w:lang w:val="en-GB" w:eastAsia="en-GB"/>
      </w:rPr>
      <w:drawing>
        <wp:anchor distT="0" distB="0" distL="114300" distR="114300" simplePos="0" relativeHeight="251660288" behindDoc="0" locked="0" layoutInCell="0" allowOverlap="1" wp14:anchorId="14BBEAC1" wp14:editId="6DD92E5A">
          <wp:simplePos x="0" y="0"/>
          <wp:positionH relativeFrom="page">
            <wp:align>left</wp:align>
          </wp:positionH>
          <wp:positionV relativeFrom="page">
            <wp:posOffset>3239495</wp:posOffset>
          </wp:positionV>
          <wp:extent cx="7663815" cy="4323091"/>
          <wp:effectExtent l="0" t="0" r="0" b="127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4484"/>
    <w:multiLevelType w:val="hybridMultilevel"/>
    <w:tmpl w:val="A31E46CC"/>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0F8F23CA"/>
    <w:multiLevelType w:val="hybridMultilevel"/>
    <w:tmpl w:val="C3E2710C"/>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start w:val="1"/>
      <w:numFmt w:val="bullet"/>
      <w:lvlText w:val=""/>
      <w:lvlJc w:val="left"/>
      <w:pPr>
        <w:ind w:left="2210" w:hanging="360"/>
      </w:pPr>
      <w:rPr>
        <w:rFonts w:ascii="Wingdings" w:hAnsi="Wingdings" w:hint="default"/>
      </w:rPr>
    </w:lvl>
    <w:lvl w:ilvl="3" w:tplc="0C09000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16B9762F"/>
    <w:multiLevelType w:val="hybridMultilevel"/>
    <w:tmpl w:val="DF8E0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1552AA"/>
    <w:multiLevelType w:val="hybridMultilevel"/>
    <w:tmpl w:val="F44E0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396877C9"/>
    <w:multiLevelType w:val="hybridMultilevel"/>
    <w:tmpl w:val="38DCA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7DF78AC"/>
    <w:multiLevelType w:val="hybridMultilevel"/>
    <w:tmpl w:val="6C8A4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1"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85627BD"/>
    <w:multiLevelType w:val="hybridMultilevel"/>
    <w:tmpl w:val="9118B084"/>
    <w:lvl w:ilvl="0" w:tplc="2C3E95E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183391A"/>
    <w:multiLevelType w:val="hybridMultilevel"/>
    <w:tmpl w:val="A790A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E7B411B"/>
    <w:multiLevelType w:val="hybridMultilevel"/>
    <w:tmpl w:val="083A0D8E"/>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712F7A4C"/>
    <w:multiLevelType w:val="hybridMultilevel"/>
    <w:tmpl w:val="0FF80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09123810">
    <w:abstractNumId w:val="4"/>
  </w:num>
  <w:num w:numId="2" w16cid:durableId="1116484231">
    <w:abstractNumId w:val="2"/>
  </w:num>
  <w:num w:numId="3" w16cid:durableId="1839036520">
    <w:abstractNumId w:val="3"/>
  </w:num>
  <w:num w:numId="4" w16cid:durableId="1078284970">
    <w:abstractNumId w:val="11"/>
  </w:num>
  <w:num w:numId="5" w16cid:durableId="487522637">
    <w:abstractNumId w:val="7"/>
  </w:num>
  <w:num w:numId="6" w16cid:durableId="948657835">
    <w:abstractNumId w:val="10"/>
  </w:num>
  <w:num w:numId="7" w16cid:durableId="1409811959">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326520039">
    <w:abstractNumId w:val="6"/>
  </w:num>
  <w:num w:numId="9" w16cid:durableId="1368094407">
    <w:abstractNumId w:val="1"/>
  </w:num>
  <w:num w:numId="10" w16cid:durableId="2066293713">
    <w:abstractNumId w:val="8"/>
  </w:num>
  <w:num w:numId="11" w16cid:durableId="1298608876">
    <w:abstractNumId w:val="12"/>
  </w:num>
  <w:num w:numId="12" w16cid:durableId="127994949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57062635">
    <w:abstractNumId w:val="9"/>
  </w:num>
  <w:num w:numId="14" w16cid:durableId="2042246439">
    <w:abstractNumId w:val="14"/>
  </w:num>
  <w:num w:numId="15" w16cid:durableId="1572813263">
    <w:abstractNumId w:val="5"/>
  </w:num>
  <w:num w:numId="16" w16cid:durableId="1312558513">
    <w:abstractNumId w:val="13"/>
  </w:num>
  <w:num w:numId="17" w16cid:durableId="810172237">
    <w:abstractNumId w:val="0"/>
  </w:num>
  <w:num w:numId="18" w16cid:durableId="3177309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ault_nd_0356734d-8ef7-4e4a-a738-da73de0cdf98" w:val=" "/>
    <w:docVar w:name="vault_nd_07eef8ed-ad4f-4844-aa50-8d0bcab1b716" w:val=" "/>
    <w:docVar w:name="vault_nd_16698bf7-a55f-439c-8593-5d72eeb7a21e" w:val=" "/>
    <w:docVar w:name="vault_nd_19057c61-5b8f-420d-9984-685d8d6e4fe6" w:val=" "/>
    <w:docVar w:name="vault_nd_1aa35b6c-cfca-46af-8007-1a8c2585e049" w:val=" "/>
    <w:docVar w:name="vault_nd_1e809a95-1c5b-48ff-853d-a17350be1733" w:val=" "/>
    <w:docVar w:name="vault_nd_1f7e1596-fe61-4595-82a0-3c6cc796c879" w:val=" "/>
    <w:docVar w:name="vault_nd_23ce759d-10ba-4879-ac8c-73317bcc5378" w:val=" "/>
    <w:docVar w:name="vault_nd_2bed3c53-febd-4904-934c-088f4c8cbc7b" w:val=" "/>
    <w:docVar w:name="vault_nd_3391183e-e712-491f-9074-6f3f5fea8725" w:val=" "/>
    <w:docVar w:name="vault_nd_349b87b9-095d-4019-a714-0a810d3dfdc8" w:val=" "/>
    <w:docVar w:name="vault_nd_3845b105-a2d6-446e-8260-b6f3ff2521d6" w:val=" "/>
    <w:docVar w:name="vault_nd_3c2dc5b8-cdc9-4d71-a3de-94ebbf4de18e" w:val=" "/>
    <w:docVar w:name="vault_nd_3c6960f6-d2c2-4af6-b216-ff22601b87aa" w:val=" "/>
    <w:docVar w:name="vault_nd_3cec8d2f-a567-4a3b-a327-e1ab8b770a2a" w:val=" "/>
    <w:docVar w:name="vault_nd_421d164f-c067-47a2-ab7f-056a1e5ab7d9" w:val=" "/>
    <w:docVar w:name="vault_nd_460c808b-2f8b-4c13-a759-43fd88667c46" w:val=" "/>
    <w:docVar w:name="vault_nd_48a8de9c-b23c-417d-bd13-ff9c96e0aa13" w:val=" "/>
    <w:docVar w:name="vault_nd_48f34514-2be2-42c0-9f89-646c50fe7376" w:val=" "/>
    <w:docVar w:name="vault_nd_4a5844e6-2f41-43dc-9223-1484e87b27ad" w:val=" "/>
    <w:docVar w:name="vault_nd_4c607ef4-2993-40e1-9812-996cf6435f57" w:val=" "/>
    <w:docVar w:name="vault_nd_4d2eab2e-52b4-4dc8-a549-0db1d189e977" w:val=" "/>
    <w:docVar w:name="vault_nd_4e23e6ae-ff7e-4cf6-9116-6defc9271278" w:val=" "/>
    <w:docVar w:name="vault_nd_4e3fc11d-afa2-4218-9470-fed99caffb53" w:val=" "/>
    <w:docVar w:name="vault_nd_549ca58b-1e70-48bf-947e-c0c44d32af1e" w:val=" "/>
    <w:docVar w:name="vault_nd_54a150f9-343a-4833-88b0-c6038d57589e" w:val=" "/>
    <w:docVar w:name="vault_nd_5923c25a-7f75-4be0-b5b3-2f9356aa1a47" w:val=" "/>
    <w:docVar w:name="vault_nd_5e92628e-dba1-4bbe-ba42-5f6cb5414377" w:val=" "/>
    <w:docVar w:name="vault_nd_6565f5a6-084d-40bd-a536-99f69ddedb70" w:val=" "/>
    <w:docVar w:name="vault_nd_6cb0924d-b0e9-481d-8321-a14bd2a61fee" w:val=" "/>
    <w:docVar w:name="vault_nd_6d15baa0-f204-4797-b2ed-bde39262b632" w:val=" "/>
    <w:docVar w:name="vault_nd_6f90f503-947a-4c92-a2c7-ef8e2eab50e7" w:val=" "/>
    <w:docVar w:name="vault_nd_75d69840-5c30-4f61-a377-1b47a47ce61c" w:val=" "/>
    <w:docVar w:name="vault_nd_779bc09a-c4e1-4380-966c-490ac2182197" w:val=" "/>
    <w:docVar w:name="vault_nd_7f11b556-7573-4ee7-a318-4bb1cb443241" w:val=" "/>
    <w:docVar w:name="vault_nd_8375a100-2551-4d1f-9f5c-84b0df6c015a" w:val=" "/>
    <w:docVar w:name="vault_nd_890bad0c-f0a8-4092-8fef-5902d8e932c0" w:val=" "/>
    <w:docVar w:name="vault_nd_89fcf263-3ea3-4024-86fd-543d1f6ac4b9" w:val=" "/>
    <w:docVar w:name="vault_nd_8ba283e0-57dd-429f-8c9c-a2602a2bdee5" w:val=" "/>
    <w:docVar w:name="vault_nd_8dff1b91-26a4-47b9-b720-8b481a947be5" w:val=" "/>
    <w:docVar w:name="vault_nd_8ef5640d-f42d-4d3e-b23f-f82b32489c3c" w:val=" "/>
    <w:docVar w:name="vault_nd_90a6eb86-8558-4f43-8e0c-cb19a6842cd4" w:val=" "/>
    <w:docVar w:name="vault_nd_9cbc02c9-57c9-48e5-bc3a-eb32c3ec02d6" w:val=" "/>
    <w:docVar w:name="vault_nd_b00cbe1c-def2-42fc-87b9-726b2717411b" w:val=" "/>
    <w:docVar w:name="vault_nd_b0d03446-5f1c-4517-bd68-9c60b343da58" w:val=" "/>
    <w:docVar w:name="vault_nd_b1990b2c-b791-49dc-9a11-4d3b99473b31" w:val=" "/>
    <w:docVar w:name="vault_nd_b4de3b98-262e-4061-8549-3261c5145dd9" w:val=" "/>
    <w:docVar w:name="vault_nd_be5113c9-221f-4d82-a3eb-5809eabef02c" w:val=" "/>
    <w:docVar w:name="vault_nd_bfeee99b-504f-47f8-b61b-c1be012a9918" w:val=" "/>
    <w:docVar w:name="vault_nd_c14cdad6-e7df-44c6-96ad-b773730ca418" w:val=" "/>
    <w:docVar w:name="vault_nd_c1b6edfe-acd9-437f-9aef-b4094a20484e" w:val=" "/>
    <w:docVar w:name="vault_nd_c776f896-3992-4f6d-8997-b98c1749b0d3" w:val=" "/>
    <w:docVar w:name="vault_nd_c93b6abe-224d-4c5f-94dd-7a1d8034dc0c" w:val=" "/>
    <w:docVar w:name="vault_nd_c94e5a5e-2496-469a-bc5e-cff99afa411f" w:val=" "/>
    <w:docVar w:name="vault_nd_cc18e2d8-0c01-4a10-a49d-e9fd1d10cf46" w:val=" "/>
    <w:docVar w:name="vault_nd_cd24faed-d660-4aa3-b0ec-b249be69445b" w:val=" "/>
    <w:docVar w:name="vault_nd_d8ff3c2f-396f-476c-b925-f2ad31210b35" w:val=" "/>
    <w:docVar w:name="vault_nd_dca88b67-823e-4516-8eea-711540f6dedd" w:val=" "/>
    <w:docVar w:name="vault_nd_dd28e063-c84c-4c01-94cb-e7870322893b" w:val=" "/>
    <w:docVar w:name="vault_nd_e9f536c6-0250-4b09-a8ed-b92d8cce8f38" w:val=" "/>
    <w:docVar w:name="vault_nd_eee9d531-cab5-4b40-9318-dee33f5699bb" w:val=" "/>
    <w:docVar w:name="vault_nd_f0127bca-0347-4d31-a423-48b770761715" w:val=" "/>
    <w:docVar w:name="vault_nd_f9e6406c-2b7c-4263-8b25-e81452caa970" w:val=" "/>
  </w:docVars>
  <w:rsids>
    <w:rsidRoot w:val="00346EC2"/>
    <w:rsid w:val="00047C90"/>
    <w:rsid w:val="00077844"/>
    <w:rsid w:val="00084419"/>
    <w:rsid w:val="00092B68"/>
    <w:rsid w:val="00094B81"/>
    <w:rsid w:val="000975AA"/>
    <w:rsid w:val="000B5638"/>
    <w:rsid w:val="000C728A"/>
    <w:rsid w:val="000D7934"/>
    <w:rsid w:val="000F6381"/>
    <w:rsid w:val="00100D27"/>
    <w:rsid w:val="00101FB1"/>
    <w:rsid w:val="001028B0"/>
    <w:rsid w:val="001128A1"/>
    <w:rsid w:val="00120504"/>
    <w:rsid w:val="0012473C"/>
    <w:rsid w:val="0013132F"/>
    <w:rsid w:val="0013528C"/>
    <w:rsid w:val="00156F37"/>
    <w:rsid w:val="0016200C"/>
    <w:rsid w:val="00165D28"/>
    <w:rsid w:val="00175CD8"/>
    <w:rsid w:val="00181F98"/>
    <w:rsid w:val="001C1C2E"/>
    <w:rsid w:val="001C3229"/>
    <w:rsid w:val="001D3F77"/>
    <w:rsid w:val="001E30F9"/>
    <w:rsid w:val="0020369B"/>
    <w:rsid w:val="00226F39"/>
    <w:rsid w:val="002350D5"/>
    <w:rsid w:val="002358DF"/>
    <w:rsid w:val="00241B60"/>
    <w:rsid w:val="0024446A"/>
    <w:rsid w:val="00261787"/>
    <w:rsid w:val="00264FC5"/>
    <w:rsid w:val="00282BB3"/>
    <w:rsid w:val="002A2397"/>
    <w:rsid w:val="002B48D2"/>
    <w:rsid w:val="002C077F"/>
    <w:rsid w:val="002C5E29"/>
    <w:rsid w:val="002C6C0C"/>
    <w:rsid w:val="002D7127"/>
    <w:rsid w:val="003008D8"/>
    <w:rsid w:val="00303959"/>
    <w:rsid w:val="00310440"/>
    <w:rsid w:val="00310643"/>
    <w:rsid w:val="00312AC3"/>
    <w:rsid w:val="00314430"/>
    <w:rsid w:val="00324B33"/>
    <w:rsid w:val="0032551B"/>
    <w:rsid w:val="00343227"/>
    <w:rsid w:val="00346EC2"/>
    <w:rsid w:val="003501DE"/>
    <w:rsid w:val="0035444D"/>
    <w:rsid w:val="0035600B"/>
    <w:rsid w:val="00362571"/>
    <w:rsid w:val="003911BD"/>
    <w:rsid w:val="00395140"/>
    <w:rsid w:val="003B149C"/>
    <w:rsid w:val="003C3010"/>
    <w:rsid w:val="003D2B13"/>
    <w:rsid w:val="003D71A1"/>
    <w:rsid w:val="003E5C4C"/>
    <w:rsid w:val="003F4AD8"/>
    <w:rsid w:val="0041688F"/>
    <w:rsid w:val="0042376F"/>
    <w:rsid w:val="004246B8"/>
    <w:rsid w:val="00433318"/>
    <w:rsid w:val="00477C4E"/>
    <w:rsid w:val="00480E2D"/>
    <w:rsid w:val="00483A80"/>
    <w:rsid w:val="00491A55"/>
    <w:rsid w:val="004B3081"/>
    <w:rsid w:val="004E281D"/>
    <w:rsid w:val="004E4388"/>
    <w:rsid w:val="004F12C1"/>
    <w:rsid w:val="00505324"/>
    <w:rsid w:val="00535DFE"/>
    <w:rsid w:val="00554C8A"/>
    <w:rsid w:val="00557498"/>
    <w:rsid w:val="00562F42"/>
    <w:rsid w:val="005635FE"/>
    <w:rsid w:val="0056766D"/>
    <w:rsid w:val="00570C2C"/>
    <w:rsid w:val="0058575E"/>
    <w:rsid w:val="0058783C"/>
    <w:rsid w:val="005911AE"/>
    <w:rsid w:val="0059120E"/>
    <w:rsid w:val="0059313A"/>
    <w:rsid w:val="005A69DA"/>
    <w:rsid w:val="005B023F"/>
    <w:rsid w:val="005C585A"/>
    <w:rsid w:val="005D2089"/>
    <w:rsid w:val="005D7514"/>
    <w:rsid w:val="005E1A7B"/>
    <w:rsid w:val="00602876"/>
    <w:rsid w:val="006277A1"/>
    <w:rsid w:val="006351D9"/>
    <w:rsid w:val="00637130"/>
    <w:rsid w:val="00637F0E"/>
    <w:rsid w:val="006423F2"/>
    <w:rsid w:val="0066543A"/>
    <w:rsid w:val="00692CCD"/>
    <w:rsid w:val="006A118B"/>
    <w:rsid w:val="006A1DF7"/>
    <w:rsid w:val="006A1F0B"/>
    <w:rsid w:val="006A277A"/>
    <w:rsid w:val="006C66D5"/>
    <w:rsid w:val="006D6B44"/>
    <w:rsid w:val="006F3E8F"/>
    <w:rsid w:val="007072A1"/>
    <w:rsid w:val="00710BC5"/>
    <w:rsid w:val="0072003B"/>
    <w:rsid w:val="007357B9"/>
    <w:rsid w:val="00744EDE"/>
    <w:rsid w:val="007452E8"/>
    <w:rsid w:val="00746990"/>
    <w:rsid w:val="00750D70"/>
    <w:rsid w:val="007664FD"/>
    <w:rsid w:val="00783DA7"/>
    <w:rsid w:val="0078628B"/>
    <w:rsid w:val="00793272"/>
    <w:rsid w:val="007A4F2F"/>
    <w:rsid w:val="007B04DE"/>
    <w:rsid w:val="007B48FD"/>
    <w:rsid w:val="007C57BC"/>
    <w:rsid w:val="007D13D5"/>
    <w:rsid w:val="007D4138"/>
    <w:rsid w:val="007F0A77"/>
    <w:rsid w:val="007F3807"/>
    <w:rsid w:val="007F50D3"/>
    <w:rsid w:val="00800796"/>
    <w:rsid w:val="0080387D"/>
    <w:rsid w:val="00814FAF"/>
    <w:rsid w:val="00824C3C"/>
    <w:rsid w:val="008329DB"/>
    <w:rsid w:val="008361C5"/>
    <w:rsid w:val="0083628F"/>
    <w:rsid w:val="00837AB9"/>
    <w:rsid w:val="00850637"/>
    <w:rsid w:val="00854D98"/>
    <w:rsid w:val="0085752E"/>
    <w:rsid w:val="0085798D"/>
    <w:rsid w:val="00860B29"/>
    <w:rsid w:val="00865309"/>
    <w:rsid w:val="008804CF"/>
    <w:rsid w:val="008964B3"/>
    <w:rsid w:val="008A747F"/>
    <w:rsid w:val="008B20B3"/>
    <w:rsid w:val="008C49C6"/>
    <w:rsid w:val="008C754C"/>
    <w:rsid w:val="008D6A54"/>
    <w:rsid w:val="0090605E"/>
    <w:rsid w:val="009108CE"/>
    <w:rsid w:val="00915A9F"/>
    <w:rsid w:val="00930D58"/>
    <w:rsid w:val="00937D76"/>
    <w:rsid w:val="00940207"/>
    <w:rsid w:val="00966EF1"/>
    <w:rsid w:val="0097084A"/>
    <w:rsid w:val="0098350E"/>
    <w:rsid w:val="009867FF"/>
    <w:rsid w:val="0099006B"/>
    <w:rsid w:val="00996FA5"/>
    <w:rsid w:val="009C08D8"/>
    <w:rsid w:val="009C62D5"/>
    <w:rsid w:val="009C6C4B"/>
    <w:rsid w:val="009D22EA"/>
    <w:rsid w:val="009D245E"/>
    <w:rsid w:val="009E0020"/>
    <w:rsid w:val="009E6F8C"/>
    <w:rsid w:val="00A01C56"/>
    <w:rsid w:val="00A356ED"/>
    <w:rsid w:val="00A358E7"/>
    <w:rsid w:val="00A44768"/>
    <w:rsid w:val="00A51A2D"/>
    <w:rsid w:val="00A60119"/>
    <w:rsid w:val="00A63D9B"/>
    <w:rsid w:val="00A65B36"/>
    <w:rsid w:val="00A86F28"/>
    <w:rsid w:val="00A93DC6"/>
    <w:rsid w:val="00AB7CBF"/>
    <w:rsid w:val="00AD1552"/>
    <w:rsid w:val="00AE1947"/>
    <w:rsid w:val="00AF2727"/>
    <w:rsid w:val="00AF46E8"/>
    <w:rsid w:val="00B14CCD"/>
    <w:rsid w:val="00B30779"/>
    <w:rsid w:val="00B46BC0"/>
    <w:rsid w:val="00B54697"/>
    <w:rsid w:val="00B55681"/>
    <w:rsid w:val="00B61D96"/>
    <w:rsid w:val="00B731AD"/>
    <w:rsid w:val="00B967FF"/>
    <w:rsid w:val="00BA7F7D"/>
    <w:rsid w:val="00BB1C14"/>
    <w:rsid w:val="00BD07DF"/>
    <w:rsid w:val="00BD5DBD"/>
    <w:rsid w:val="00BE584A"/>
    <w:rsid w:val="00BF4638"/>
    <w:rsid w:val="00C00371"/>
    <w:rsid w:val="00C07551"/>
    <w:rsid w:val="00C15EA7"/>
    <w:rsid w:val="00C17ED7"/>
    <w:rsid w:val="00C22214"/>
    <w:rsid w:val="00C407AB"/>
    <w:rsid w:val="00C570FF"/>
    <w:rsid w:val="00C6574E"/>
    <w:rsid w:val="00C76BCD"/>
    <w:rsid w:val="00C816C6"/>
    <w:rsid w:val="00C820AB"/>
    <w:rsid w:val="00C825C1"/>
    <w:rsid w:val="00CB0550"/>
    <w:rsid w:val="00D01DDB"/>
    <w:rsid w:val="00D078BE"/>
    <w:rsid w:val="00D13F8A"/>
    <w:rsid w:val="00D27054"/>
    <w:rsid w:val="00D62877"/>
    <w:rsid w:val="00D63760"/>
    <w:rsid w:val="00D71D87"/>
    <w:rsid w:val="00D83B5B"/>
    <w:rsid w:val="00D918D5"/>
    <w:rsid w:val="00D94C8E"/>
    <w:rsid w:val="00D974AD"/>
    <w:rsid w:val="00DA075E"/>
    <w:rsid w:val="00DA4310"/>
    <w:rsid w:val="00DA741F"/>
    <w:rsid w:val="00DB192C"/>
    <w:rsid w:val="00DB1CF3"/>
    <w:rsid w:val="00DF2BCE"/>
    <w:rsid w:val="00DF5BFE"/>
    <w:rsid w:val="00E30188"/>
    <w:rsid w:val="00E47E0C"/>
    <w:rsid w:val="00E51813"/>
    <w:rsid w:val="00E53D3F"/>
    <w:rsid w:val="00E5579B"/>
    <w:rsid w:val="00E603EA"/>
    <w:rsid w:val="00E63916"/>
    <w:rsid w:val="00E840E5"/>
    <w:rsid w:val="00E9319F"/>
    <w:rsid w:val="00EA1E4D"/>
    <w:rsid w:val="00EB7798"/>
    <w:rsid w:val="00EC4599"/>
    <w:rsid w:val="00EF0CE7"/>
    <w:rsid w:val="00F02AEC"/>
    <w:rsid w:val="00F157FC"/>
    <w:rsid w:val="00F16DB7"/>
    <w:rsid w:val="00F30AF3"/>
    <w:rsid w:val="00F327F7"/>
    <w:rsid w:val="00F448E3"/>
    <w:rsid w:val="00F519CC"/>
    <w:rsid w:val="00F657B4"/>
    <w:rsid w:val="00F76F27"/>
    <w:rsid w:val="00F80961"/>
    <w:rsid w:val="00F816C9"/>
    <w:rsid w:val="00F81807"/>
    <w:rsid w:val="00F865A7"/>
    <w:rsid w:val="00FA0754"/>
    <w:rsid w:val="00FA1BC9"/>
    <w:rsid w:val="00FA49C3"/>
    <w:rsid w:val="00FB236E"/>
    <w:rsid w:val="00FB2A28"/>
    <w:rsid w:val="00FC6F56"/>
    <w:rsid w:val="00FD55AB"/>
    <w:rsid w:val="00FE087C"/>
    <w:rsid w:val="00FE6B3C"/>
    <w:rsid w:val="00FF7F90"/>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Normal"/>
    <w:next w:val="Normal"/>
    <w:link w:val="Heading1Char"/>
    <w:uiPriority w:val="9"/>
    <w:qFormat/>
    <w:rsid w:val="00D974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2A2397"/>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uiPriority w:val="99"/>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98350E"/>
    <w:rPr>
      <w:color w:val="000000" w:themeColor="text1"/>
      <w:sz w:val="20"/>
      <w:lang w:val="en-GB"/>
    </w:rPr>
  </w:style>
  <w:style w:type="paragraph" w:customStyle="1" w:styleId="FigureTitle">
    <w:name w:val="Figure Title"/>
    <w:basedOn w:val="Normal"/>
    <w:qFormat/>
    <w:rsid w:val="00FC6F56"/>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98350E"/>
    <w:rPr>
      <w:b w:val="0"/>
      <w:sz w:val="19"/>
    </w:rPr>
  </w:style>
  <w:style w:type="paragraph" w:customStyle="1" w:styleId="Standard">
    <w:name w:val="Standard"/>
    <w:basedOn w:val="Normal"/>
    <w:link w:val="StandardChar"/>
    <w:qFormat/>
    <w:rsid w:val="007664FD"/>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7664FD"/>
    <w:rPr>
      <w:rFonts w:ascii="Cambria" w:eastAsia="Times New Roman" w:hAnsi="Cambria" w:cs="Times New Roman"/>
      <w:snapToGrid w:val="0"/>
      <w:kern w:val="16"/>
      <w:sz w:val="23"/>
      <w:szCs w:val="24"/>
    </w:rPr>
  </w:style>
  <w:style w:type="character" w:customStyle="1" w:styleId="Heading7Char">
    <w:name w:val="Heading 7 Char"/>
    <w:basedOn w:val="DefaultParagraphFont"/>
    <w:link w:val="Heading7"/>
    <w:uiPriority w:val="9"/>
    <w:rsid w:val="002A2397"/>
    <w:rPr>
      <w:rFonts w:asciiTheme="majorHAnsi" w:eastAsiaTheme="majorEastAsia" w:hAnsiTheme="majorHAnsi" w:cstheme="majorBidi"/>
      <w:i/>
      <w:iCs/>
      <w:color w:val="1F3763" w:themeColor="accent1" w:themeShade="7F"/>
      <w:sz w:val="22"/>
    </w:rPr>
  </w:style>
  <w:style w:type="paragraph" w:customStyle="1" w:styleId="Default">
    <w:name w:val="Default"/>
    <w:rsid w:val="00EF0CE7"/>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rsid w:val="00AF46E8"/>
    <w:pPr>
      <w:adjustRightInd w:val="0"/>
      <w:snapToGrid w:val="0"/>
      <w:spacing w:before="180" w:after="180" w:line="240" w:lineRule="atLeast"/>
      <w:ind w:left="720"/>
      <w:contextualSpacing/>
    </w:pPr>
    <w:rPr>
      <w:rFonts w:eastAsia="MS Mincho" w:cs="Times New Roman"/>
      <w:lang w:eastAsia="ja-JP"/>
    </w:rPr>
  </w:style>
  <w:style w:type="paragraph" w:customStyle="1" w:styleId="Tabletext0">
    <w:name w:val="Table text"/>
    <w:basedOn w:val="Standard"/>
    <w:link w:val="TabletextChar"/>
    <w:qFormat/>
    <w:rsid w:val="001028B0"/>
    <w:pPr>
      <w:spacing w:before="20" w:after="20"/>
    </w:pPr>
  </w:style>
  <w:style w:type="character" w:customStyle="1" w:styleId="TabletextChar">
    <w:name w:val="Table text Char"/>
    <w:basedOn w:val="StandardChar"/>
    <w:link w:val="Tabletext0"/>
    <w:rsid w:val="001028B0"/>
    <w:rPr>
      <w:rFonts w:ascii="Cambria" w:eastAsia="Times New Roman" w:hAnsi="Cambria" w:cs="Times New Roman"/>
      <w:snapToGrid w:val="0"/>
      <w:kern w:val="16"/>
      <w:sz w:val="23"/>
      <w:szCs w:val="24"/>
    </w:rPr>
  </w:style>
  <w:style w:type="character" w:customStyle="1" w:styleId="Heading1Char">
    <w:name w:val="Heading 1 Char"/>
    <w:basedOn w:val="DefaultParagraphFont"/>
    <w:link w:val="Heading1"/>
    <w:uiPriority w:val="9"/>
    <w:rsid w:val="00D974A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83165662">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085224639">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470784626">
      <w:bodyDiv w:val="1"/>
      <w:marLeft w:val="0"/>
      <w:marRight w:val="0"/>
      <w:marTop w:val="0"/>
      <w:marBottom w:val="0"/>
      <w:divBdr>
        <w:top w:val="none" w:sz="0" w:space="0" w:color="auto"/>
        <w:left w:val="none" w:sz="0" w:space="0" w:color="auto"/>
        <w:bottom w:val="none" w:sz="0" w:space="0" w:color="auto"/>
        <w:right w:val="none" w:sz="0" w:space="0" w:color="auto"/>
      </w:divBdr>
    </w:div>
    <w:div w:id="1690788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black-triangle-scheme" TargetMode="External"/><Relationship Id="rId26" Type="http://schemas.openxmlformats.org/officeDocument/2006/relationships/hyperlink" Target="https://www.tga.gov.au/access-consortium-statement-covid-19-vaccines-evidence" TargetMode="External"/><Relationship Id="rId39" Type="http://schemas.openxmlformats.org/officeDocument/2006/relationships/hyperlink" Target="https://www.tga.gov.au/guidance-7-certified-product-details" TargetMode="External"/><Relationship Id="rId21" Type="http://schemas.openxmlformats.org/officeDocument/2006/relationships/hyperlink" Target="https://www.tga.gov.au/products/australian-register-therapeutic-goods-artg/product-information-one" TargetMode="External"/><Relationship Id="rId34" Type="http://schemas.openxmlformats.org/officeDocument/2006/relationships/hyperlink" Target="https://www.fda.gov/media/139638/download" TargetMode="External"/><Relationship Id="rId42" Type="http://schemas.openxmlformats.org/officeDocument/2006/relationships/image" Target="media/image4.png"/><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image" Target="media/image17.png"/><Relationship Id="rId63" Type="http://schemas.openxmlformats.org/officeDocument/2006/relationships/image" Target="media/image25.emf"/><Relationship Id="rId68" Type="http://schemas.openxmlformats.org/officeDocument/2006/relationships/hyperlink" Target="https://www.tga.gov.au/form/certified-product-details-cpd-biologicalprescription-medicines"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9" Type="http://schemas.openxmlformats.org/officeDocument/2006/relationships/hyperlink" Target="https://www.ema.europa.eu/en/switching-between-superiority-non-inferiority-scientific-guideline" TargetMode="External"/><Relationship Id="rId11" Type="http://schemas.openxmlformats.org/officeDocument/2006/relationships/header" Target="header1.xml"/><Relationship Id="rId24" Type="http://schemas.openxmlformats.org/officeDocument/2006/relationships/hyperlink" Target="https://www.tga.gov.au/access-consortium-alignment-icmra-consensus-immunobridging-authorising-new-covid-19-vaccines" TargetMode="External"/><Relationship Id="rId32" Type="http://schemas.openxmlformats.org/officeDocument/2006/relationships/hyperlink" Target="https://www.ema.europa.eu/en/documents/other/ema-considerations-covid-19-vaccine-approval_en.pdf" TargetMode="External"/><Relationship Id="rId37" Type="http://schemas.openxmlformats.org/officeDocument/2006/relationships/hyperlink" Target="https://www.who.int/docs/default-source/blue-print/working-group-for-vaccine-evaluation-(4th-consultation)/ap1-guidelines-online-consultation.pdf" TargetMode="External"/><Relationship Id="rId40" Type="http://schemas.openxmlformats.org/officeDocument/2006/relationships/hyperlink" Target="https://www.tga.gov.au/form/certified-product-details-cpd-biological-prescription-medicines" TargetMode="External"/><Relationship Id="rId45" Type="http://schemas.openxmlformats.org/officeDocument/2006/relationships/image" Target="media/image7.png"/><Relationship Id="rId53" Type="http://schemas.openxmlformats.org/officeDocument/2006/relationships/image" Target="media/image15.png"/><Relationship Id="rId58" Type="http://schemas.openxmlformats.org/officeDocument/2006/relationships/image" Target="media/image20.png"/><Relationship Id="rId66" Type="http://schemas.openxmlformats.org/officeDocument/2006/relationships/hyperlink" Target="https://www.tga.gov.au/committee/advisory-committee-vaccines-acv" TargetMode="External"/><Relationship Id="rId7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s://www.tga.gov.au" TargetMode="External"/><Relationship Id="rId23" Type="http://schemas.openxmlformats.org/officeDocument/2006/relationships/hyperlink" Target="https://www.tga.gov.au/picmi-search-facility" TargetMode="External"/><Relationship Id="rId28" Type="http://schemas.openxmlformats.org/officeDocument/2006/relationships/hyperlink" Target="https://www.ema.europa.eu/en/application-1-meta-analyses-2-one-pivotal-study-scientific-guideline" TargetMode="External"/><Relationship Id="rId36" Type="http://schemas.openxmlformats.org/officeDocument/2006/relationships/hyperlink" Target="https://www.fda.gov/media/73679/download" TargetMode="External"/><Relationship Id="rId49" Type="http://schemas.openxmlformats.org/officeDocument/2006/relationships/image" Target="media/image11.png"/><Relationship Id="rId57" Type="http://schemas.openxmlformats.org/officeDocument/2006/relationships/image" Target="media/image19.png"/><Relationship Id="rId61"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hyperlink" Target="https://www.tga.gov.au/products/covid-19/covid-19-vaccines/covid-19-vaccines-regulatory-status" TargetMode="External"/><Relationship Id="rId31" Type="http://schemas.openxmlformats.org/officeDocument/2006/relationships/hyperlink" Target="https://www.who.int/publications/i/item/WHO-2019-nCoV-vaccine_effectiveness-measurement-2021.1" TargetMode="External"/><Relationship Id="rId44" Type="http://schemas.openxmlformats.org/officeDocument/2006/relationships/image" Target="media/image6.emf"/><Relationship Id="rId52" Type="http://schemas.openxmlformats.org/officeDocument/2006/relationships/image" Target="media/image14.png"/><Relationship Id="rId60" Type="http://schemas.openxmlformats.org/officeDocument/2006/relationships/image" Target="media/image22.png"/><Relationship Id="rId65" Type="http://schemas.openxmlformats.org/officeDocument/2006/relationships/hyperlink" Target="https://www.tga.gov.au/node/285720" TargetMode="External"/><Relationship Id="rId73" Type="http://schemas.openxmlformats.org/officeDocument/2006/relationships/hyperlink" Target="https://www.tga.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products/australian-register-therapeutic-goods-artg/consumer-medicines-information-cmi" TargetMode="External"/><Relationship Id="rId27" Type="http://schemas.openxmlformats.org/officeDocument/2006/relationships/hyperlink" Target="https://www.ema.europa.eu/en/documents/scientific-guideline/guideline-clinical-evaluation-new-vaccines_en.pdf" TargetMode="External"/><Relationship Id="rId30" Type="http://schemas.openxmlformats.org/officeDocument/2006/relationships/hyperlink" Target="https://www.fda.gov/media/142749/download" TargetMode="External"/><Relationship Id="rId35" Type="http://schemas.openxmlformats.org/officeDocument/2006/relationships/hyperlink" Target="https://www.who.int/publications/m/item/WHO-TRS-1004-web-annex-9" TargetMode="External"/><Relationship Id="rId43" Type="http://schemas.openxmlformats.org/officeDocument/2006/relationships/image" Target="media/image5.png"/><Relationship Id="rId48" Type="http://schemas.openxmlformats.org/officeDocument/2006/relationships/image" Target="media/image10.png"/><Relationship Id="rId56" Type="http://schemas.openxmlformats.org/officeDocument/2006/relationships/image" Target="media/image18.png"/><Relationship Id="rId64" Type="http://schemas.openxmlformats.org/officeDocument/2006/relationships/hyperlink" Target="https://www.tga.gov.au/resources/resource/guidance/provisional-registration-extension-and-transition-full-registration" TargetMode="External"/><Relationship Id="rId69" Type="http://schemas.openxmlformats.org/officeDocument/2006/relationships/hyperlink" Target="https://www.tga.gov.au/picmi-search-facility"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3.png"/><Relationship Id="rId72" Type="http://schemas.openxmlformats.org/officeDocument/2006/relationships/hyperlink" Target="mailto:info@tga.gov.au"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hyperlink" Target="https://www.tga.gov.au/resources/publication/publications/points-consider-strain-changes-authorised-covid-19-vaccines-ongoing-sars-cov-2-pandemic" TargetMode="External"/><Relationship Id="rId33" Type="http://schemas.openxmlformats.org/officeDocument/2006/relationships/hyperlink" Target="https://www.fda.gov/media/137926/download" TargetMode="External"/><Relationship Id="rId38" Type="http://schemas.openxmlformats.org/officeDocument/2006/relationships/hyperlink" Target="mailto:vaccines@health.gov.au" TargetMode="External"/><Relationship Id="rId46" Type="http://schemas.openxmlformats.org/officeDocument/2006/relationships/image" Target="media/image8.png"/><Relationship Id="rId59" Type="http://schemas.openxmlformats.org/officeDocument/2006/relationships/image" Target="media/image21.png"/><Relationship Id="rId67" Type="http://schemas.openxmlformats.org/officeDocument/2006/relationships/hyperlink" Target="https://www.tga.gov.au/guidance-7-certified-product-details" TargetMode="External"/><Relationship Id="rId20" Type="http://schemas.openxmlformats.org/officeDocument/2006/relationships/hyperlink" Target="https://www.tga.gov.au/products/australian-register-therapeutic-goods-artg/product-information-one" TargetMode="External"/><Relationship Id="rId41" Type="http://schemas.openxmlformats.org/officeDocument/2006/relationships/hyperlink" Target="mailto:Vaccines@health.gov.au" TargetMode="External"/><Relationship Id="rId54" Type="http://schemas.openxmlformats.org/officeDocument/2006/relationships/image" Target="media/image16.png"/><Relationship Id="rId62" Type="http://schemas.openxmlformats.org/officeDocument/2006/relationships/image" Target="media/image24.emf"/><Relationship Id="rId70" Type="http://schemas.openxmlformats.org/officeDocument/2006/relationships/header" Target="header3.xm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covid19.who.int/region/wpro/country/au" TargetMode="External"/><Relationship Id="rId2" Type="http://schemas.openxmlformats.org/officeDocument/2006/relationships/hyperlink" Target="https://www.health.gov.au/health-alerts/covid-19/case-numbers-and-statistics" TargetMode="External"/><Relationship Id="rId1" Type="http://schemas.openxmlformats.org/officeDocument/2006/relationships/hyperlink" Target="https://www.cdc.gov/coronavirus/2019-ncov/vaccines/vaccine-benefits.html" TargetMode="External"/><Relationship Id="rId4" Type="http://schemas.openxmlformats.org/officeDocument/2006/relationships/hyperlink" Target="https://www.fda.gov/media/164810/download"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0478049D6F4B4408C09CDB7EF399612" ma:contentTypeVersion="7" ma:contentTypeDescription="Create a new document." ma:contentTypeScope="" ma:versionID="c2e2756382fec6e70fd04ae4e80f2738">
  <xsd:schema xmlns:xsd="http://www.w3.org/2001/XMLSchema" xmlns:xs="http://www.w3.org/2001/XMLSchema" xmlns:p="http://schemas.microsoft.com/office/2006/metadata/properties" xmlns:ns2="fe8e9ee1-c2e3-4952-8c38-c734ea004ddf" xmlns:ns3="e75b8da0-2475-4e39-99e2-00680a850146" targetNamespace="http://schemas.microsoft.com/office/2006/metadata/properties" ma:root="true" ma:fieldsID="e2d074ca1e0c92eb670ede524d1dc537" ns2:_="" ns3:_="">
    <xsd:import namespace="fe8e9ee1-c2e3-4952-8c38-c734ea004ddf"/>
    <xsd:import namespace="e75b8da0-2475-4e39-99e2-00680a85014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e9ee1-c2e3-4952-8c38-c734ea004dd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5b8da0-2475-4e39-99e2-00680a85014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fe8e9ee1-c2e3-4952-8c38-c734ea004ddf">
      <UserInfo>
        <DisplayName>Michelle Olsen</DisplayName>
        <AccountId>28</AccountId>
        <AccountType/>
      </UserInfo>
      <UserInfo>
        <DisplayName>Lana Gregory</DisplayName>
        <AccountId>894</AccountId>
        <AccountType/>
      </UserInfo>
    </SharedWithUsers>
  </documentManagement>
</p:properties>
</file>

<file path=customXml/itemProps1.xml><?xml version="1.0" encoding="utf-8"?>
<ds:datastoreItem xmlns:ds="http://schemas.openxmlformats.org/officeDocument/2006/customXml" ds:itemID="{FA6070C2-88CE-4489-BC9E-5D8ED321B0DA}">
  <ds:schemaRefs>
    <ds:schemaRef ds:uri="http://schemas.microsoft.com/sharepoint/v3/contenttype/forms"/>
  </ds:schemaRefs>
</ds:datastoreItem>
</file>

<file path=customXml/itemProps2.xml><?xml version="1.0" encoding="utf-8"?>
<ds:datastoreItem xmlns:ds="http://schemas.openxmlformats.org/officeDocument/2006/customXml" ds:itemID="{4681EEAD-32CC-45C7-8653-C2D636BF96BD}">
  <ds:schemaRefs>
    <ds:schemaRef ds:uri="http://schemas.openxmlformats.org/officeDocument/2006/bibliography"/>
  </ds:schemaRefs>
</ds:datastoreItem>
</file>

<file path=customXml/itemProps3.xml><?xml version="1.0" encoding="utf-8"?>
<ds:datastoreItem xmlns:ds="http://schemas.openxmlformats.org/officeDocument/2006/customXml" ds:itemID="{EE7E1EFF-315C-4077-B403-9B03E8B52F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8e9ee1-c2e3-4952-8c38-c734ea004ddf"/>
    <ds:schemaRef ds:uri="e75b8da0-2475-4e39-99e2-00680a8501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50B081-2683-4EE5-B6BD-7B75F6781E2A}">
  <ds:schemaRefs>
    <ds:schemaRef ds:uri="http://schemas.openxmlformats.org/package/2006/metadata/core-properties"/>
    <ds:schemaRef ds:uri="http://purl.org/dc/elements/1.1/"/>
    <ds:schemaRef ds:uri="http://schemas.microsoft.com/office/2006/metadata/properties"/>
    <ds:schemaRef ds:uri="fe8e9ee1-c2e3-4952-8c38-c734ea004ddf"/>
    <ds:schemaRef ds:uri="http://purl.org/dc/terms/"/>
    <ds:schemaRef ds:uri="http://schemas.microsoft.com/office/infopath/2007/PartnerControls"/>
    <ds:schemaRef ds:uri="http://schemas.microsoft.com/office/2006/documentManagement/types"/>
    <ds:schemaRef ds:uri="e75b8da0-2475-4e39-99e2-00680a850146"/>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37</Pages>
  <Words>9796</Words>
  <Characters>67976</Characters>
  <Application>Microsoft Office Word</Application>
  <DocSecurity>0</DocSecurity>
  <Lines>566</Lines>
  <Paragraphs>155</Paragraphs>
  <ScaleCrop>false</ScaleCrop>
  <HeadingPairs>
    <vt:vector size="2" baseType="variant">
      <vt:variant>
        <vt:lpstr>Title</vt:lpstr>
      </vt:variant>
      <vt:variant>
        <vt:i4>1</vt:i4>
      </vt:variant>
    </vt:vector>
  </HeadingPairs>
  <TitlesOfParts>
    <vt:vector size="1" baseType="lpstr">
      <vt:lpstr>Australian public assessment report for Spikevax Bivalent Original/Omicron BA.4 - 5</vt:lpstr>
    </vt:vector>
  </TitlesOfParts>
  <Company>Department of Health and Aged Care</Company>
  <LinksUpToDate>false</LinksUpToDate>
  <CharactersWithSpaces>77617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Spikevax Bivalent Original/Omicron BA.4 - 5</dc:title>
  <dc:subject>Prescription medicine regulation</dc:subject>
  <dc:creator>Therapeutic Goods Administration</dc:creator>
  <cp:keywords/>
  <dc:description/>
  <cp:lastModifiedBy>MCMAHON, Emily</cp:lastModifiedBy>
  <cp:revision>10</cp:revision>
  <dcterms:created xsi:type="dcterms:W3CDTF">2023-09-07T02:46:00Z</dcterms:created>
  <dcterms:modified xsi:type="dcterms:W3CDTF">2023-09-07T03:04:00Z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0x010100A0478049D6F4B4408C09CDB7EF399612</vt:lpwstr>
  </property>
</Properties>
</file>