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A0D2" w14:textId="5BFCF49A" w:rsidR="00CA00F2" w:rsidRPr="00CA00F2" w:rsidRDefault="00CA00F2" w:rsidP="002A6B0A">
      <w:pPr>
        <w:widowControl w:val="0"/>
        <w:tabs>
          <w:tab w:val="left" w:pos="284"/>
        </w:tabs>
        <w:spacing w:before="120" w:after="480" w:line="240" w:lineRule="auto"/>
        <w:contextualSpacing/>
        <w:jc w:val="left"/>
        <w:rPr>
          <w:rFonts w:ascii="Cambria" w:eastAsia="Calibri" w:hAnsi="Cambria" w:cs="Times New Roman"/>
        </w:rPr>
      </w:pPr>
      <w:r w:rsidRPr="00CA00F2">
        <w:rPr>
          <w:rFonts w:ascii="Calibri" w:eastAsia="Calibri" w:hAnsi="Calibri" w:cs="Times New Roman"/>
          <w:noProof/>
          <w:lang w:eastAsia="en-AU"/>
        </w:rPr>
        <mc:AlternateContent>
          <mc:Choice Requires="wps">
            <w:drawing>
              <wp:inline distT="0" distB="0" distL="0" distR="0" wp14:anchorId="787F798B" wp14:editId="4D66C0DB">
                <wp:extent cx="252095" cy="320722"/>
                <wp:effectExtent l="0" t="0" r="0" b="31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20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3DF63" w14:textId="77777777" w:rsidR="00CB37D7" w:rsidRPr="00BE2A26" w:rsidRDefault="00CB37D7" w:rsidP="00CA00F2">
                            <w:pPr>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87F798B" id="_x0000_t202" coordsize="21600,21600" o:spt="202" path="m,l,21600r21600,l21600,xe">
                <v:stroke joinstyle="miter"/>
                <v:path gradientshapeok="t" o:connecttype="rect"/>
              </v:shapetype>
              <v:shape id="Text Box 10" o:spid="_x0000_s1026" type="#_x0000_t202" style="width:19.8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0k6QEAALkDAAAOAAAAZHJzL2Uyb0RvYy54bWysU9tu2zAMfR+wfxD0vtjx0F2MOEWXIsOA&#10;bh3Q9QNkWbaFyaJGKbGzrx8lx+m2vg3zg0CJ5CHPIb25ngbDjgq9Blvx9SrnTFkJjbZdxR+/7V+9&#10;48wHYRthwKqKn5Tn19uXLzajK1UBPZhGISMQ68vRVbwPwZVZ5mWvBuFX4JQlZws4iEBX7LIGxUjo&#10;g8mKPH+TjYCNQ5DKe3q9nZ18m/DbVslw37ZeBWYqTr2FdGI663hm240oOxSu1/LchviHLgahLRW9&#10;QN2KINgB9TOoQUsED21YSRgyaFstVeJAbNb5X2weeuFU4kLieHeRyf8/WPnl+OC+IgvTB5hogImE&#10;d3cgv3tmYdcL26kbRBh7JRoqvI6SZaPz5Tk1Su1LH0Hq8TM0NGRxCJCAphaHqArxZIROAzhdRFdT&#10;YJIei6sif3/FmSTX6yJ/WxSpgiiXZIc+fFQwsGhUHGmmCVwc73yIzYhyCYm1PBjd7LUx6YJdvTPI&#10;joLmv0/fGf2PMGNjsIWYNiPGl8QyEpsphqmeyBnZ1tCciC/CvE+0/2T0gD85G2mXKu5/HAQqzswn&#10;S5rFxVsMXIx6MYSVlFrxwNls7sK8oAeHuusJeZ6KhRvStdWJ81MX5z5pP5IU512OC/j7PUU9/XHb&#10;XwAAAP//AwBQSwMEFAAGAAgAAAAhAKAbe3bbAAAAAwEAAA8AAABkcnMvZG93bnJldi54bWxMj81O&#10;wzAQhO9IvIO1SFwQdSjqXxqnghZu9NBS9byNt0lEvI5sp0nfHsMFLiuNZjTzbbYaTCMu5HxtWcHT&#10;KAFBXFhdc6ng8Pn+OAfhA7LGxjIpuJKHVX57k2Gqbc87uuxDKWIJ+xQVVCG0qZS+qMigH9mWOHpn&#10;6wyGKF0ptcM+lptGjpNkKg3WHBcqbGldUfG174yC6cZ1/Y7XD5vD2wdu23J8fL0elbq/G16WIAIN&#10;4S8MP/gRHfLIdLIday8aBfGR8Huj97yYgTgpmCQTkHkm/7Pn3wAAAP//AwBQSwECLQAUAAYACAAA&#10;ACEAtoM4kv4AAADhAQAAEwAAAAAAAAAAAAAAAAAAAAAAW0NvbnRlbnRfVHlwZXNdLnhtbFBLAQIt&#10;ABQABgAIAAAAIQA4/SH/1gAAAJQBAAALAAAAAAAAAAAAAAAAAC8BAABfcmVscy8ucmVsc1BLAQIt&#10;ABQABgAIAAAAIQC3bE0k6QEAALkDAAAOAAAAAAAAAAAAAAAAAC4CAABkcnMvZTJvRG9jLnhtbFBL&#10;AQItABQABgAIAAAAIQCgG3t22wAAAAMBAAAPAAAAAAAAAAAAAAAAAEMEAABkcnMvZG93bnJldi54&#10;bWxQSwUGAAAAAAQABADzAAAASwUAAAAA&#10;" stroked="f">
                <v:textbox inset="0,0,0,0">
                  <w:txbxContent>
                    <w:p w14:paraId="38D3DF63" w14:textId="77777777" w:rsidR="00CB37D7" w:rsidRPr="00BE2A26" w:rsidRDefault="00CB37D7" w:rsidP="00CA00F2">
                      <w:pPr>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2F4A27" w:rsidRPr="002F4A27">
        <w:rPr>
          <w:rFonts w:eastAsia="Cambria" w:cs="Times New Roman"/>
          <w:szCs w:val="19"/>
        </w:rPr>
        <w:t>This medicinal product is subject to additional monitoring in Australia. This will allow quick identification of new safety information. Healthcare professionals are asked to report any suspected adverse events at https://www.tga.gov.au/reporting-problems.</w:t>
      </w:r>
    </w:p>
    <w:p w14:paraId="0FE4AFC1" w14:textId="742A41CA" w:rsidR="004032BD" w:rsidRPr="00CA00F2" w:rsidRDefault="004032BD" w:rsidP="002A6B0A">
      <w:pPr>
        <w:pStyle w:val="Heading1"/>
        <w:numPr>
          <w:ilvl w:val="0"/>
          <w:numId w:val="0"/>
        </w:numPr>
        <w:spacing w:after="240"/>
        <w:jc w:val="left"/>
        <w:rPr>
          <w:rFonts w:ascii="Arial" w:eastAsia="SimSun" w:hAnsi="Arial" w:cs="Arial"/>
        </w:rPr>
      </w:pPr>
      <w:r w:rsidRPr="00CA00F2">
        <w:rPr>
          <w:rFonts w:ascii="Arial" w:eastAsia="SimSun" w:hAnsi="Arial" w:cs="Arial"/>
        </w:rPr>
        <w:t>Australian P</w:t>
      </w:r>
      <w:r w:rsidR="00677840" w:rsidRPr="00CA00F2">
        <w:rPr>
          <w:rFonts w:ascii="Arial" w:eastAsia="SimSun" w:hAnsi="Arial" w:cs="Arial"/>
        </w:rPr>
        <w:t xml:space="preserve">roduct </w:t>
      </w:r>
      <w:r w:rsidRPr="00CA00F2">
        <w:rPr>
          <w:rFonts w:ascii="Arial" w:eastAsia="SimSun" w:hAnsi="Arial" w:cs="Arial"/>
        </w:rPr>
        <w:t>I</w:t>
      </w:r>
      <w:r w:rsidR="00677840" w:rsidRPr="00CA00F2">
        <w:rPr>
          <w:rFonts w:ascii="Arial" w:eastAsia="SimSun" w:hAnsi="Arial" w:cs="Arial"/>
        </w:rPr>
        <w:t>nformation</w:t>
      </w:r>
      <w:r w:rsidRPr="00CA00F2">
        <w:rPr>
          <w:rFonts w:ascii="Arial" w:eastAsia="SimSun" w:hAnsi="Arial" w:cs="Arial"/>
        </w:rPr>
        <w:t xml:space="preserve"> – </w:t>
      </w:r>
      <w:r w:rsidR="00027D80">
        <w:rPr>
          <w:rFonts w:ascii="Arial" w:eastAsia="SimSun" w:hAnsi="Arial" w:cs="Arial"/>
        </w:rPr>
        <w:t>WELIREG</w:t>
      </w:r>
      <w:r w:rsidR="00E6039F">
        <w:rPr>
          <w:rFonts w:ascii="Arial" w:eastAsia="SimSun" w:hAnsi="Arial" w:cs="Arial"/>
          <w:vertAlign w:val="superscript"/>
        </w:rPr>
        <w:t>®</w:t>
      </w:r>
      <w:r w:rsidR="00027D80" w:rsidRPr="00CA00F2">
        <w:rPr>
          <w:rFonts w:ascii="Arial" w:eastAsia="SimSun" w:hAnsi="Arial" w:cs="Arial"/>
        </w:rPr>
        <w:t xml:space="preserve"> </w:t>
      </w:r>
      <w:r w:rsidRPr="00CA00F2">
        <w:rPr>
          <w:rFonts w:ascii="Arial" w:eastAsia="SimSun" w:hAnsi="Arial" w:cs="Arial"/>
        </w:rPr>
        <w:t>(</w:t>
      </w:r>
      <w:r w:rsidR="00CA00F2">
        <w:rPr>
          <w:rFonts w:ascii="Arial" w:eastAsia="SimSun" w:hAnsi="Arial" w:cs="Arial"/>
        </w:rPr>
        <w:t>belzutifan</w:t>
      </w:r>
      <w:r w:rsidRPr="00CA00F2">
        <w:rPr>
          <w:rFonts w:ascii="Arial" w:eastAsia="SimSun" w:hAnsi="Arial" w:cs="Arial"/>
        </w:rPr>
        <w:t>)</w:t>
      </w:r>
      <w:r w:rsidR="00497C85" w:rsidRPr="00CA00F2">
        <w:rPr>
          <w:rFonts w:ascii="Arial" w:eastAsia="SimSun" w:hAnsi="Arial" w:cs="Arial"/>
        </w:rPr>
        <w:t xml:space="preserve"> </w:t>
      </w:r>
      <w:r w:rsidR="00CA00F2">
        <w:rPr>
          <w:rFonts w:ascii="Arial" w:eastAsia="SimSun" w:hAnsi="Arial" w:cs="Arial"/>
        </w:rPr>
        <w:t>tablet</w:t>
      </w:r>
      <w:r w:rsidR="00774226">
        <w:rPr>
          <w:rFonts w:ascii="Arial" w:eastAsia="SimSun" w:hAnsi="Arial" w:cs="Arial"/>
        </w:rPr>
        <w:t>s</w:t>
      </w:r>
    </w:p>
    <w:p w14:paraId="5337374F" w14:textId="6F2BA962" w:rsidR="001A3992" w:rsidRDefault="001A3992" w:rsidP="002A6B0A">
      <w:pPr>
        <w:pStyle w:val="Heading1"/>
        <w:spacing w:before="0" w:after="120"/>
        <w:ind w:left="431" w:hanging="431"/>
        <w:jc w:val="left"/>
        <w:rPr>
          <w:rFonts w:ascii="Arial" w:hAnsi="Arial" w:cs="Arial"/>
        </w:rPr>
      </w:pPr>
      <w:r w:rsidRPr="00CA00F2">
        <w:rPr>
          <w:rFonts w:ascii="Arial" w:hAnsi="Arial" w:cs="Arial"/>
        </w:rPr>
        <w:t>Name of the medicine</w:t>
      </w:r>
    </w:p>
    <w:p w14:paraId="790E02F8" w14:textId="029A6F42" w:rsidR="004534BD" w:rsidRPr="004534BD" w:rsidRDefault="00774226" w:rsidP="002A6B0A">
      <w:pPr>
        <w:jc w:val="left"/>
      </w:pPr>
      <w:r>
        <w:t>B</w:t>
      </w:r>
      <w:r w:rsidR="004534BD" w:rsidRPr="004534BD">
        <w:t>elzutifan</w:t>
      </w:r>
    </w:p>
    <w:p w14:paraId="0851B462" w14:textId="50542E09" w:rsidR="001A3992" w:rsidRDefault="001A3992" w:rsidP="002A6B0A">
      <w:pPr>
        <w:pStyle w:val="Heading1"/>
        <w:spacing w:before="0" w:after="120"/>
        <w:jc w:val="left"/>
        <w:rPr>
          <w:rFonts w:ascii="Arial" w:hAnsi="Arial" w:cs="Arial"/>
        </w:rPr>
      </w:pPr>
      <w:r w:rsidRPr="00CA00F2">
        <w:rPr>
          <w:rFonts w:ascii="Arial" w:hAnsi="Arial" w:cs="Arial"/>
        </w:rPr>
        <w:t>Qualitative and quantitative composition</w:t>
      </w:r>
    </w:p>
    <w:p w14:paraId="4876FAB7" w14:textId="5D8EE298" w:rsidR="004F2974" w:rsidRDefault="004F2974" w:rsidP="002A6B0A">
      <w:pPr>
        <w:jc w:val="left"/>
      </w:pPr>
      <w:r w:rsidRPr="004F2974">
        <w:t xml:space="preserve">Each </w:t>
      </w:r>
      <w:r w:rsidR="00027D80">
        <w:t>WELIREG</w:t>
      </w:r>
      <w:r w:rsidRPr="004F2974">
        <w:t xml:space="preserve"> tablet contains 40 mg of </w:t>
      </w:r>
      <w:proofErr w:type="spellStart"/>
      <w:r w:rsidRPr="004F2974">
        <w:t>belzutifan</w:t>
      </w:r>
      <w:proofErr w:type="spellEnd"/>
      <w:r w:rsidRPr="004F2974">
        <w:t>.</w:t>
      </w:r>
    </w:p>
    <w:p w14:paraId="4D97BC7B" w14:textId="6EE09BB8" w:rsidR="00205CA9" w:rsidRPr="004F2974" w:rsidRDefault="00977A69" w:rsidP="002A6B0A">
      <w:pPr>
        <w:jc w:val="left"/>
      </w:pPr>
      <w:r w:rsidRPr="00205CA9">
        <w:t xml:space="preserve">For the full list of excipients, see </w:t>
      </w:r>
      <w:r w:rsidRPr="00705249">
        <w:rPr>
          <w:b/>
          <w:bCs/>
        </w:rPr>
        <w:t>Section 6.1 List of excipients</w:t>
      </w:r>
      <w:r w:rsidR="00205CA9" w:rsidRPr="00205CA9">
        <w:t>.</w:t>
      </w:r>
    </w:p>
    <w:p w14:paraId="2C03ED53" w14:textId="5D76EF81" w:rsidR="001A3992" w:rsidRDefault="001A3992" w:rsidP="002A6B0A">
      <w:pPr>
        <w:pStyle w:val="Heading1"/>
        <w:spacing w:before="0" w:after="120"/>
        <w:jc w:val="left"/>
        <w:rPr>
          <w:rFonts w:ascii="Arial" w:hAnsi="Arial" w:cs="Arial"/>
        </w:rPr>
      </w:pPr>
      <w:r w:rsidRPr="00CA00F2">
        <w:rPr>
          <w:rFonts w:ascii="Arial" w:hAnsi="Arial" w:cs="Arial"/>
        </w:rPr>
        <w:t>Pharmaceutical form</w:t>
      </w:r>
    </w:p>
    <w:p w14:paraId="36CF11BD" w14:textId="49D961F8" w:rsidR="004F2974" w:rsidRPr="004F2974" w:rsidRDefault="00027D80" w:rsidP="002A6B0A">
      <w:pPr>
        <w:jc w:val="left"/>
      </w:pPr>
      <w:r>
        <w:t>WELIREG</w:t>
      </w:r>
      <w:r w:rsidR="004F2974" w:rsidRPr="004F2974">
        <w:t xml:space="preserve"> 40 mg tablet is a blue</w:t>
      </w:r>
      <w:r w:rsidR="008D2E56" w:rsidRPr="008D2E56">
        <w:t xml:space="preserve"> oval shaped, film-coated tablet debossed with “177” on one side and plain on the other side</w:t>
      </w:r>
      <w:r w:rsidR="004F2974" w:rsidRPr="004F2974">
        <w:t>.</w:t>
      </w:r>
    </w:p>
    <w:p w14:paraId="2DB45D39" w14:textId="77777777" w:rsidR="001A3992" w:rsidRPr="00CA00F2" w:rsidRDefault="001A3992" w:rsidP="002A6B0A">
      <w:pPr>
        <w:pStyle w:val="Heading1"/>
        <w:spacing w:before="0" w:after="120"/>
        <w:jc w:val="left"/>
        <w:rPr>
          <w:rFonts w:ascii="Arial" w:hAnsi="Arial" w:cs="Arial"/>
        </w:rPr>
      </w:pPr>
      <w:r w:rsidRPr="00CA00F2">
        <w:rPr>
          <w:rFonts w:ascii="Arial" w:hAnsi="Arial" w:cs="Arial"/>
        </w:rPr>
        <w:t>Clinical particulars</w:t>
      </w:r>
    </w:p>
    <w:p w14:paraId="7B6925E6" w14:textId="56F6C636" w:rsidR="001A3992" w:rsidRDefault="001A3992" w:rsidP="002A6B0A">
      <w:pPr>
        <w:pStyle w:val="Heading2"/>
        <w:spacing w:before="0" w:after="120"/>
        <w:jc w:val="left"/>
        <w:rPr>
          <w:rFonts w:ascii="Arial" w:hAnsi="Arial" w:cs="Arial"/>
        </w:rPr>
      </w:pPr>
      <w:r w:rsidRPr="00CA00F2">
        <w:rPr>
          <w:rFonts w:ascii="Arial" w:hAnsi="Arial" w:cs="Arial"/>
        </w:rPr>
        <w:t xml:space="preserve">Therapeutic indications </w:t>
      </w:r>
    </w:p>
    <w:p w14:paraId="541EDBC9" w14:textId="41A1C990" w:rsidR="002F4A27" w:rsidRPr="002F4A27" w:rsidRDefault="00027D80" w:rsidP="002A6B0A">
      <w:pPr>
        <w:jc w:val="left"/>
      </w:pPr>
      <w:bookmarkStart w:id="0" w:name="_Hlk122086455"/>
      <w:r>
        <w:t>WELIREG</w:t>
      </w:r>
      <w:r w:rsidR="002F4A27" w:rsidRPr="002F4A27">
        <w:t xml:space="preserve"> (</w:t>
      </w:r>
      <w:proofErr w:type="spellStart"/>
      <w:r w:rsidR="002F4A27" w:rsidRPr="002F4A27">
        <w:t>belzutifan</w:t>
      </w:r>
      <w:proofErr w:type="spellEnd"/>
      <w:r w:rsidR="002F4A27" w:rsidRPr="002F4A27">
        <w:t>) is indicated for the treatment of</w:t>
      </w:r>
      <w:r w:rsidR="00977A69">
        <w:t xml:space="preserve"> adult</w:t>
      </w:r>
      <w:r w:rsidR="002F4A27" w:rsidRPr="002F4A27">
        <w:t xml:space="preserve"> patients with von Hippel-Lindau (VHL) disease</w:t>
      </w:r>
      <w:r w:rsidR="002C4987" w:rsidRPr="002C4987">
        <w:t xml:space="preserve"> </w:t>
      </w:r>
      <w:r w:rsidR="002C4987" w:rsidRPr="00977A69">
        <w:t xml:space="preserve">who require therapy for </w:t>
      </w:r>
      <w:r w:rsidR="002F4A27" w:rsidRPr="002F4A27">
        <w:t xml:space="preserve">associated renal cell carcinoma (RCC), </w:t>
      </w:r>
      <w:r w:rsidR="00977A69" w:rsidRPr="00977A69">
        <w:t xml:space="preserve">central nervous system (CNS) </w:t>
      </w:r>
      <w:proofErr w:type="spellStart"/>
      <w:r w:rsidR="00977A69" w:rsidRPr="00977A69">
        <w:t>h</w:t>
      </w:r>
      <w:r w:rsidR="008335CE">
        <w:t>a</w:t>
      </w:r>
      <w:r w:rsidR="00977A69" w:rsidRPr="00977A69">
        <w:t>emangioblastomas</w:t>
      </w:r>
      <w:proofErr w:type="spellEnd"/>
      <w:r w:rsidR="00977A69" w:rsidRPr="00977A69">
        <w:t>, or pancreatic neuroendocrine tumo</w:t>
      </w:r>
      <w:r w:rsidR="00977A69">
        <w:t>u</w:t>
      </w:r>
      <w:r w:rsidR="00977A69" w:rsidRPr="00977A69">
        <w:t>rs (</w:t>
      </w:r>
      <w:proofErr w:type="spellStart"/>
      <w:r w:rsidR="00977A69" w:rsidRPr="00977A69">
        <w:t>pNET</w:t>
      </w:r>
      <w:proofErr w:type="spellEnd"/>
      <w:r w:rsidR="00977A69" w:rsidRPr="00977A69">
        <w:t>)</w:t>
      </w:r>
      <w:r w:rsidR="00977A69">
        <w:t xml:space="preserve">, </w:t>
      </w:r>
      <w:bookmarkEnd w:id="0"/>
      <w:r w:rsidR="002F4A27" w:rsidRPr="002F4A27">
        <w:t>not requiring immediate surgery.</w:t>
      </w:r>
      <w:r w:rsidR="00AE409A" w:rsidRPr="00AE409A">
        <w:t xml:space="preserve"> </w:t>
      </w:r>
    </w:p>
    <w:p w14:paraId="0BDFF2BA" w14:textId="1F64E412" w:rsidR="001A3992" w:rsidRDefault="001A3992" w:rsidP="002A6B0A">
      <w:pPr>
        <w:pStyle w:val="Heading2"/>
        <w:spacing w:before="0" w:after="120"/>
        <w:jc w:val="left"/>
        <w:rPr>
          <w:rFonts w:ascii="Arial" w:hAnsi="Arial" w:cs="Arial"/>
        </w:rPr>
      </w:pPr>
      <w:r w:rsidRPr="00CA00F2">
        <w:rPr>
          <w:rFonts w:ascii="Arial" w:hAnsi="Arial" w:cs="Arial"/>
        </w:rPr>
        <w:t xml:space="preserve">Dose and method of administration </w:t>
      </w:r>
    </w:p>
    <w:p w14:paraId="19633645" w14:textId="7DCFD499" w:rsidR="002F4A27" w:rsidRDefault="002F4A27" w:rsidP="002A6B0A">
      <w:pPr>
        <w:jc w:val="left"/>
      </w:pPr>
      <w:r>
        <w:t xml:space="preserve">The recommended dose of </w:t>
      </w:r>
      <w:r w:rsidR="00027D80">
        <w:t>WELIREG</w:t>
      </w:r>
      <w:r>
        <w:t xml:space="preserve"> is 120 mg (three 40 mg tablets) administered orally once daily, with or without food. Swallow tablets whole.</w:t>
      </w:r>
    </w:p>
    <w:p w14:paraId="7C8E537D" w14:textId="604BE856" w:rsidR="002F4A27" w:rsidRDefault="002F4A27" w:rsidP="002A6B0A">
      <w:pPr>
        <w:jc w:val="left"/>
      </w:pPr>
      <w:r>
        <w:t xml:space="preserve">If a dose of </w:t>
      </w:r>
      <w:r w:rsidR="00027D80">
        <w:t>WELIREG</w:t>
      </w:r>
      <w:r>
        <w:t xml:space="preserve"> is missed, it can be taken as soon as possible on the same day. Resume the regular daily dose schedule for </w:t>
      </w:r>
      <w:r w:rsidR="00027D80">
        <w:t>WELIREG</w:t>
      </w:r>
      <w:r>
        <w:t xml:space="preserve"> the next day. Extra tablets should not be taken to make up for the missed dose. If vomiting occurs any time after taking </w:t>
      </w:r>
      <w:r w:rsidR="00027D80">
        <w:t>WELIREG</w:t>
      </w:r>
      <w:r>
        <w:t>, do not retake the dose. The next dose should be taken the next day. Treatment should continue until disease progression or unacceptable toxicity occurs.</w:t>
      </w:r>
    </w:p>
    <w:p w14:paraId="1D367380" w14:textId="2CFA0D26" w:rsidR="002F4A27" w:rsidRPr="002F4A27" w:rsidRDefault="002F4A27" w:rsidP="002A6B0A">
      <w:pPr>
        <w:pStyle w:val="Heading3"/>
        <w:jc w:val="left"/>
      </w:pPr>
      <w:r w:rsidRPr="002F4A27">
        <w:t>Dose Modifications</w:t>
      </w:r>
    </w:p>
    <w:p w14:paraId="4CF9AAB3" w14:textId="344EE784" w:rsidR="002F4A27" w:rsidRDefault="002F4A27" w:rsidP="002A6B0A">
      <w:pPr>
        <w:jc w:val="left"/>
      </w:pPr>
      <w:r>
        <w:t xml:space="preserve">Dosage modifications for </w:t>
      </w:r>
      <w:r w:rsidR="00027D80">
        <w:t>WELIREG</w:t>
      </w:r>
      <w:r>
        <w:t xml:space="preserve"> for adverse </w:t>
      </w:r>
      <w:r w:rsidR="00C8545F">
        <w:t xml:space="preserve">reactions </w:t>
      </w:r>
      <w:r>
        <w:t>are summarised in</w:t>
      </w:r>
      <w:r w:rsidR="00BA612D">
        <w:t xml:space="preserve"> </w:t>
      </w:r>
      <w:r w:rsidR="00BA612D">
        <w:fldChar w:fldCharType="begin" w:fldLock="1"/>
      </w:r>
      <w:r w:rsidR="00BA612D">
        <w:instrText xml:space="preserve"> REF _Ref61946656 \h </w:instrText>
      </w:r>
      <w:r w:rsidR="00146E0A">
        <w:instrText xml:space="preserve"> \* MERGEFORMAT </w:instrText>
      </w:r>
      <w:r w:rsidR="00BA612D">
        <w:fldChar w:fldCharType="separate"/>
      </w:r>
      <w:r w:rsidR="00205CA9" w:rsidRPr="00BA612D">
        <w:rPr>
          <w:b/>
          <w:bCs/>
        </w:rPr>
        <w:t xml:space="preserve">Table </w:t>
      </w:r>
      <w:r w:rsidR="00205CA9" w:rsidRPr="006F1617">
        <w:rPr>
          <w:b/>
          <w:bCs/>
          <w:noProof/>
        </w:rPr>
        <w:t>1</w:t>
      </w:r>
      <w:r w:rsidR="00BA612D">
        <w:fldChar w:fldCharType="end"/>
      </w:r>
      <w:r>
        <w:t>.</w:t>
      </w:r>
    </w:p>
    <w:p w14:paraId="23868448" w14:textId="4363A857" w:rsidR="002F4A27" w:rsidRPr="00BA612D" w:rsidRDefault="00BA612D" w:rsidP="002A6B0A">
      <w:pPr>
        <w:pStyle w:val="Caption"/>
        <w:keepNext/>
        <w:keepLines/>
        <w:jc w:val="left"/>
        <w:rPr>
          <w:b/>
          <w:bCs/>
          <w:i w:val="0"/>
          <w:iCs w:val="0"/>
          <w:color w:val="auto"/>
          <w:sz w:val="22"/>
          <w:szCs w:val="22"/>
        </w:rPr>
      </w:pPr>
      <w:bookmarkStart w:id="1" w:name="_Ref61946656"/>
      <w:r w:rsidRPr="00BA612D">
        <w:rPr>
          <w:b/>
          <w:bCs/>
          <w:i w:val="0"/>
          <w:iCs w:val="0"/>
          <w:color w:val="auto"/>
          <w:sz w:val="22"/>
          <w:szCs w:val="22"/>
        </w:rPr>
        <w:lastRenderedPageBreak/>
        <w:t xml:space="preserve">Table </w:t>
      </w:r>
      <w:r w:rsidRPr="00BA612D">
        <w:rPr>
          <w:b/>
          <w:bCs/>
          <w:i w:val="0"/>
          <w:iCs w:val="0"/>
          <w:color w:val="auto"/>
          <w:sz w:val="22"/>
          <w:szCs w:val="22"/>
        </w:rPr>
        <w:fldChar w:fldCharType="begin" w:fldLock="1"/>
      </w:r>
      <w:r w:rsidRPr="00BA612D">
        <w:rPr>
          <w:b/>
          <w:bCs/>
          <w:i w:val="0"/>
          <w:iCs w:val="0"/>
          <w:color w:val="auto"/>
          <w:sz w:val="22"/>
          <w:szCs w:val="22"/>
        </w:rPr>
        <w:instrText xml:space="preserve"> SEQ Table \* ARABIC </w:instrText>
      </w:r>
      <w:r w:rsidRPr="00BA612D">
        <w:rPr>
          <w:b/>
          <w:bCs/>
          <w:i w:val="0"/>
          <w:iCs w:val="0"/>
          <w:color w:val="auto"/>
          <w:sz w:val="22"/>
          <w:szCs w:val="22"/>
        </w:rPr>
        <w:fldChar w:fldCharType="separate"/>
      </w:r>
      <w:r w:rsidR="00205CA9">
        <w:rPr>
          <w:b/>
          <w:bCs/>
          <w:i w:val="0"/>
          <w:iCs w:val="0"/>
          <w:noProof/>
          <w:color w:val="auto"/>
          <w:sz w:val="22"/>
          <w:szCs w:val="22"/>
        </w:rPr>
        <w:t>1</w:t>
      </w:r>
      <w:r w:rsidRPr="00BA612D">
        <w:rPr>
          <w:b/>
          <w:bCs/>
          <w:i w:val="0"/>
          <w:iCs w:val="0"/>
          <w:color w:val="auto"/>
          <w:sz w:val="22"/>
          <w:szCs w:val="22"/>
        </w:rPr>
        <w:fldChar w:fldCharType="end"/>
      </w:r>
      <w:bookmarkEnd w:id="1"/>
      <w:r w:rsidR="002F4A27" w:rsidRPr="00BA612D">
        <w:rPr>
          <w:b/>
          <w:bCs/>
          <w:i w:val="0"/>
          <w:iCs w:val="0"/>
          <w:color w:val="auto"/>
          <w:sz w:val="22"/>
          <w:szCs w:val="22"/>
        </w:rPr>
        <w:t xml:space="preserve">: </w:t>
      </w:r>
      <w:bookmarkStart w:id="2" w:name="_Hlk56614285"/>
      <w:r w:rsidR="002F4A27" w:rsidRPr="00BA612D">
        <w:rPr>
          <w:b/>
          <w:bCs/>
          <w:i w:val="0"/>
          <w:iCs w:val="0"/>
          <w:color w:val="auto"/>
          <w:sz w:val="22"/>
          <w:szCs w:val="22"/>
        </w:rPr>
        <w:t>Recommended Dose Modifications</w:t>
      </w:r>
      <w:bookmarkEnd w:id="2"/>
    </w:p>
    <w:tbl>
      <w:tblPr>
        <w:tblStyle w:val="TableGrid"/>
        <w:tblW w:w="9355" w:type="dxa"/>
        <w:tblLook w:val="04A0" w:firstRow="1" w:lastRow="0" w:firstColumn="1" w:lastColumn="0" w:noHBand="0" w:noVBand="1"/>
      </w:tblPr>
      <w:tblGrid>
        <w:gridCol w:w="2996"/>
        <w:gridCol w:w="1679"/>
        <w:gridCol w:w="4680"/>
      </w:tblGrid>
      <w:tr w:rsidR="002F4A27" w:rsidRPr="002F4A27" w14:paraId="4861FF02" w14:textId="77777777" w:rsidTr="00EE54A5">
        <w:tc>
          <w:tcPr>
            <w:tcW w:w="2996" w:type="dxa"/>
          </w:tcPr>
          <w:p w14:paraId="7A8D9359" w14:textId="77777777" w:rsidR="002F4A27" w:rsidRPr="002F4A27" w:rsidRDefault="002F4A27" w:rsidP="002A6B0A">
            <w:pPr>
              <w:keepNext/>
              <w:keepLines/>
              <w:tabs>
                <w:tab w:val="left" w:pos="540"/>
                <w:tab w:val="left" w:pos="630"/>
              </w:tabs>
              <w:jc w:val="left"/>
              <w:rPr>
                <w:rFonts w:eastAsia="Times New Roman" w:cs="Arial"/>
                <w:b/>
                <w:bCs/>
              </w:rPr>
            </w:pPr>
            <w:bookmarkStart w:id="3" w:name="_Hlk56614295"/>
            <w:r w:rsidRPr="002F4A27">
              <w:rPr>
                <w:rFonts w:eastAsia="Times New Roman" w:cs="Arial"/>
                <w:b/>
                <w:bCs/>
              </w:rPr>
              <w:t>Adverse Reactions</w:t>
            </w:r>
          </w:p>
        </w:tc>
        <w:tc>
          <w:tcPr>
            <w:tcW w:w="1679" w:type="dxa"/>
          </w:tcPr>
          <w:p w14:paraId="245AAB54" w14:textId="77777777" w:rsidR="002F4A27" w:rsidRPr="002F4A27" w:rsidRDefault="002F4A27" w:rsidP="002A6B0A">
            <w:pPr>
              <w:keepNext/>
              <w:keepLines/>
              <w:tabs>
                <w:tab w:val="left" w:pos="540"/>
                <w:tab w:val="left" w:pos="630"/>
              </w:tabs>
              <w:jc w:val="left"/>
              <w:rPr>
                <w:rFonts w:eastAsia="Times New Roman" w:cs="Arial"/>
                <w:b/>
                <w:bCs/>
              </w:rPr>
            </w:pPr>
            <w:r w:rsidRPr="002F4A27">
              <w:rPr>
                <w:rFonts w:eastAsia="Times New Roman" w:cs="Arial"/>
                <w:b/>
                <w:bCs/>
              </w:rPr>
              <w:t>Severity*</w:t>
            </w:r>
          </w:p>
        </w:tc>
        <w:tc>
          <w:tcPr>
            <w:tcW w:w="4680" w:type="dxa"/>
          </w:tcPr>
          <w:p w14:paraId="456B81DE" w14:textId="77777777" w:rsidR="002F4A27" w:rsidRPr="002F4A27" w:rsidRDefault="002F4A27" w:rsidP="002A6B0A">
            <w:pPr>
              <w:keepNext/>
              <w:keepLines/>
              <w:tabs>
                <w:tab w:val="left" w:pos="540"/>
                <w:tab w:val="left" w:pos="630"/>
              </w:tabs>
              <w:jc w:val="left"/>
              <w:rPr>
                <w:rFonts w:eastAsia="Times New Roman" w:cs="Arial"/>
                <w:b/>
                <w:bCs/>
              </w:rPr>
            </w:pPr>
            <w:r w:rsidRPr="002F4A27">
              <w:rPr>
                <w:rFonts w:eastAsia="Times New Roman" w:cs="Arial"/>
                <w:b/>
                <w:bCs/>
              </w:rPr>
              <w:t>Dose Modification</w:t>
            </w:r>
          </w:p>
        </w:tc>
      </w:tr>
      <w:tr w:rsidR="002F4A27" w:rsidRPr="002F4A27" w14:paraId="367A6EB7" w14:textId="77777777" w:rsidTr="00EE54A5">
        <w:tc>
          <w:tcPr>
            <w:tcW w:w="2996" w:type="dxa"/>
            <w:vMerge w:val="restart"/>
          </w:tcPr>
          <w:p w14:paraId="7280D600" w14:textId="5F7D63DC" w:rsidR="002F4A27" w:rsidRPr="002F4A27" w:rsidRDefault="002F4A27" w:rsidP="002A6B0A">
            <w:pPr>
              <w:tabs>
                <w:tab w:val="left" w:pos="540"/>
                <w:tab w:val="left" w:pos="630"/>
              </w:tabs>
              <w:jc w:val="left"/>
              <w:rPr>
                <w:rFonts w:eastAsia="Times New Roman" w:cs="Arial"/>
              </w:rPr>
            </w:pPr>
            <w:proofErr w:type="spellStart"/>
            <w:r w:rsidRPr="002F4A27">
              <w:rPr>
                <w:rFonts w:eastAsia="Times New Roman" w:cs="Arial"/>
              </w:rPr>
              <w:t>An</w:t>
            </w:r>
            <w:r w:rsidR="00C8545F">
              <w:rPr>
                <w:rFonts w:eastAsia="Times New Roman" w:cs="Arial"/>
              </w:rPr>
              <w:t>a</w:t>
            </w:r>
            <w:r w:rsidRPr="002F4A27">
              <w:rPr>
                <w:rFonts w:eastAsia="Times New Roman" w:cs="Arial"/>
              </w:rPr>
              <w:t>emia</w:t>
            </w:r>
            <w:proofErr w:type="spellEnd"/>
            <w:r w:rsidRPr="002F4A27">
              <w:rPr>
                <w:rFonts w:eastAsia="Times New Roman" w:cs="Arial"/>
              </w:rPr>
              <w:t xml:space="preserve"> due to decreased erythropoietin </w:t>
            </w:r>
          </w:p>
          <w:p w14:paraId="539EBBE1" w14:textId="561CD48C" w:rsidR="002F4A27" w:rsidRPr="006672C3" w:rsidRDefault="006672C3" w:rsidP="002A6B0A">
            <w:pPr>
              <w:tabs>
                <w:tab w:val="left" w:pos="540"/>
                <w:tab w:val="left" w:pos="630"/>
              </w:tabs>
              <w:jc w:val="left"/>
              <w:rPr>
                <w:rFonts w:eastAsia="Times New Roman" w:cs="Arial"/>
                <w:bCs/>
                <w:i/>
                <w:iCs/>
                <w:sz w:val="16"/>
                <w:szCs w:val="24"/>
              </w:rPr>
            </w:pPr>
            <w:r w:rsidRPr="00107009">
              <w:t>(</w:t>
            </w:r>
            <w:proofErr w:type="gramStart"/>
            <w:r w:rsidRPr="00107009">
              <w:t>see</w:t>
            </w:r>
            <w:proofErr w:type="gramEnd"/>
            <w:r w:rsidRPr="00107009">
              <w:rPr>
                <w:b/>
              </w:rPr>
              <w:t xml:space="preserve"> Section 4.4 </w:t>
            </w:r>
            <w:r w:rsidRPr="00107009">
              <w:rPr>
                <w:b/>
                <w:color w:val="000000"/>
              </w:rPr>
              <w:t>Special Warnings and Precautions for Use</w:t>
            </w:r>
            <w:r>
              <w:rPr>
                <w:bCs/>
                <w:color w:val="000000"/>
              </w:rPr>
              <w:t>)</w:t>
            </w:r>
          </w:p>
        </w:tc>
        <w:tc>
          <w:tcPr>
            <w:tcW w:w="1679" w:type="dxa"/>
          </w:tcPr>
          <w:p w14:paraId="0B9A8693" w14:textId="2775E7E9" w:rsidR="00CB4B72" w:rsidRPr="002F4A27" w:rsidRDefault="002F4A27" w:rsidP="002A6B0A">
            <w:pPr>
              <w:tabs>
                <w:tab w:val="left" w:pos="540"/>
                <w:tab w:val="left" w:pos="630"/>
              </w:tabs>
              <w:jc w:val="left"/>
              <w:rPr>
                <w:rFonts w:eastAsia="Times New Roman" w:cs="Arial"/>
              </w:rPr>
            </w:pPr>
            <w:r w:rsidRPr="002F4A27">
              <w:rPr>
                <w:rFonts w:eastAsia="Times New Roman" w:cs="Arial"/>
              </w:rPr>
              <w:t>Grade 3</w:t>
            </w:r>
            <w:r w:rsidR="004F70F8" w:rsidRPr="00195856">
              <w:rPr>
                <w:rFonts w:eastAsia="Times New Roman" w:cs="Arial"/>
                <w:vertAlign w:val="superscript"/>
              </w:rPr>
              <w:t>†</w:t>
            </w:r>
          </w:p>
        </w:tc>
        <w:tc>
          <w:tcPr>
            <w:tcW w:w="4680" w:type="dxa"/>
          </w:tcPr>
          <w:p w14:paraId="42297517"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Withhold until resolved to ≤</w:t>
            </w:r>
            <w:r w:rsidRPr="002F4A27">
              <w:rPr>
                <w:rFonts w:cs="Arial"/>
                <w:lang w:eastAsia="ja-JP"/>
              </w:rPr>
              <w:t> </w:t>
            </w:r>
            <w:r w:rsidRPr="002F4A27">
              <w:rPr>
                <w:rFonts w:cs="Arial"/>
                <w:szCs w:val="24"/>
                <w:lang w:eastAsia="ja-JP"/>
              </w:rPr>
              <w:t>Grade</w:t>
            </w:r>
            <w:r w:rsidRPr="002F4A27">
              <w:rPr>
                <w:rFonts w:cs="Arial"/>
                <w:lang w:eastAsia="ja-JP"/>
              </w:rPr>
              <w:t> </w:t>
            </w:r>
            <w:r w:rsidRPr="002F4A27">
              <w:rPr>
                <w:rFonts w:cs="Arial"/>
                <w:szCs w:val="24"/>
                <w:lang w:eastAsia="ja-JP"/>
              </w:rPr>
              <w:t>2.</w:t>
            </w:r>
          </w:p>
          <w:p w14:paraId="4B7DDC54" w14:textId="77777777" w:rsidR="002F4A27" w:rsidRPr="002F4A27" w:rsidRDefault="002F4A27" w:rsidP="002A6B0A">
            <w:pPr>
              <w:numPr>
                <w:ilvl w:val="0"/>
                <w:numId w:val="11"/>
              </w:numPr>
              <w:ind w:left="346"/>
              <w:jc w:val="left"/>
              <w:rPr>
                <w:rFonts w:cs="Arial"/>
                <w:szCs w:val="24"/>
                <w:lang w:eastAsia="ja-JP"/>
              </w:rPr>
            </w:pPr>
            <w:r w:rsidRPr="002F4A27">
              <w:rPr>
                <w:rFonts w:cs="Arial"/>
                <w:szCs w:val="24"/>
                <w:lang w:eastAsia="ja-JP"/>
              </w:rPr>
              <w:t>Resume at a reduced dose (reduce by 40</w:t>
            </w:r>
            <w:r w:rsidRPr="002F4A27">
              <w:rPr>
                <w:rFonts w:cs="Arial"/>
                <w:lang w:eastAsia="ja-JP"/>
              </w:rPr>
              <w:t> </w:t>
            </w:r>
            <w:r w:rsidRPr="002F4A27">
              <w:rPr>
                <w:rFonts w:cs="Arial"/>
                <w:szCs w:val="24"/>
                <w:lang w:eastAsia="ja-JP"/>
              </w:rPr>
              <w:t>mg) or discontinue depending on the severity and persistence of anemia.</w:t>
            </w:r>
          </w:p>
        </w:tc>
      </w:tr>
      <w:tr w:rsidR="002F4A27" w:rsidRPr="002F4A27" w14:paraId="532E5154" w14:textId="77777777" w:rsidTr="00EE54A5">
        <w:tc>
          <w:tcPr>
            <w:tcW w:w="2996" w:type="dxa"/>
            <w:vMerge/>
          </w:tcPr>
          <w:p w14:paraId="11F6210C" w14:textId="77777777" w:rsidR="002F4A27" w:rsidRPr="002F4A27" w:rsidRDefault="002F4A27" w:rsidP="002A6B0A">
            <w:pPr>
              <w:spacing w:before="160"/>
              <w:jc w:val="left"/>
              <w:rPr>
                <w:rFonts w:cs="Arial"/>
                <w:lang w:eastAsia="ja-JP"/>
              </w:rPr>
            </w:pPr>
          </w:p>
        </w:tc>
        <w:tc>
          <w:tcPr>
            <w:tcW w:w="1679" w:type="dxa"/>
          </w:tcPr>
          <w:p w14:paraId="3E12A24C" w14:textId="4D29D11C" w:rsidR="002F4A27" w:rsidRDefault="002F4A27" w:rsidP="002A6B0A">
            <w:pPr>
              <w:tabs>
                <w:tab w:val="left" w:pos="540"/>
                <w:tab w:val="left" w:pos="630"/>
              </w:tabs>
              <w:jc w:val="left"/>
              <w:rPr>
                <w:rFonts w:eastAsia="Times New Roman" w:cs="Arial"/>
              </w:rPr>
            </w:pPr>
            <w:r w:rsidRPr="002F4A27">
              <w:rPr>
                <w:rFonts w:eastAsia="Times New Roman" w:cs="Arial"/>
              </w:rPr>
              <w:t>Grade 4</w:t>
            </w:r>
            <w:r w:rsidR="004F70F8" w:rsidRPr="00195856">
              <w:rPr>
                <w:rFonts w:eastAsia="Times New Roman" w:cs="Arial"/>
                <w:vertAlign w:val="superscript"/>
              </w:rPr>
              <w:t>‡</w:t>
            </w:r>
          </w:p>
          <w:p w14:paraId="2A5E968A" w14:textId="65350521" w:rsidR="00CB4B72" w:rsidRPr="002F4A27" w:rsidRDefault="00CB4B72" w:rsidP="002A6B0A">
            <w:pPr>
              <w:tabs>
                <w:tab w:val="left" w:pos="540"/>
                <w:tab w:val="left" w:pos="630"/>
              </w:tabs>
              <w:jc w:val="left"/>
              <w:rPr>
                <w:rFonts w:eastAsia="Times New Roman" w:cs="Arial"/>
                <w:sz w:val="16"/>
                <w:szCs w:val="24"/>
              </w:rPr>
            </w:pPr>
          </w:p>
        </w:tc>
        <w:tc>
          <w:tcPr>
            <w:tcW w:w="4680" w:type="dxa"/>
          </w:tcPr>
          <w:p w14:paraId="09C1E30F"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Withhold until resolved to ≤</w:t>
            </w:r>
            <w:r w:rsidRPr="002F4A27">
              <w:rPr>
                <w:rFonts w:cs="Arial"/>
                <w:lang w:eastAsia="ja-JP"/>
              </w:rPr>
              <w:t> </w:t>
            </w:r>
            <w:r w:rsidRPr="002F4A27">
              <w:rPr>
                <w:rFonts w:cs="Arial"/>
                <w:szCs w:val="24"/>
                <w:lang w:eastAsia="ja-JP"/>
              </w:rPr>
              <w:t>Grade</w:t>
            </w:r>
            <w:r w:rsidRPr="002F4A27">
              <w:rPr>
                <w:rFonts w:cs="Arial"/>
                <w:lang w:eastAsia="ja-JP"/>
              </w:rPr>
              <w:t> </w:t>
            </w:r>
            <w:r w:rsidRPr="002F4A27">
              <w:rPr>
                <w:rFonts w:cs="Arial"/>
                <w:szCs w:val="24"/>
                <w:lang w:eastAsia="ja-JP"/>
              </w:rPr>
              <w:t>2.</w:t>
            </w:r>
          </w:p>
          <w:p w14:paraId="6E306F64"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Resume at a reduced dose (reduce by 40</w:t>
            </w:r>
            <w:r w:rsidRPr="002F4A27">
              <w:rPr>
                <w:rFonts w:cs="Arial"/>
                <w:lang w:eastAsia="ja-JP"/>
              </w:rPr>
              <w:t> </w:t>
            </w:r>
            <w:r w:rsidRPr="002F4A27">
              <w:rPr>
                <w:rFonts w:cs="Arial"/>
                <w:szCs w:val="24"/>
                <w:lang w:eastAsia="ja-JP"/>
              </w:rPr>
              <w:t>mg) or permanently discontinue upon recurrence of Grade</w:t>
            </w:r>
            <w:r w:rsidRPr="002F4A27">
              <w:rPr>
                <w:rFonts w:cs="Arial"/>
                <w:lang w:eastAsia="ja-JP"/>
              </w:rPr>
              <w:t> </w:t>
            </w:r>
            <w:r w:rsidRPr="002F4A27">
              <w:rPr>
                <w:rFonts w:cs="Arial"/>
                <w:szCs w:val="24"/>
                <w:lang w:eastAsia="ja-JP"/>
              </w:rPr>
              <w:t>4.</w:t>
            </w:r>
          </w:p>
        </w:tc>
      </w:tr>
      <w:tr w:rsidR="002F4A27" w:rsidRPr="002F4A27" w14:paraId="6FF79323" w14:textId="77777777" w:rsidTr="00EE54A5">
        <w:tc>
          <w:tcPr>
            <w:tcW w:w="2996" w:type="dxa"/>
            <w:vMerge w:val="restart"/>
          </w:tcPr>
          <w:p w14:paraId="32F2E30D" w14:textId="77777777" w:rsidR="002F4A27" w:rsidRPr="002F4A27" w:rsidRDefault="002F4A27" w:rsidP="002A6B0A">
            <w:pPr>
              <w:tabs>
                <w:tab w:val="left" w:pos="540"/>
                <w:tab w:val="left" w:pos="630"/>
              </w:tabs>
              <w:jc w:val="left"/>
              <w:rPr>
                <w:rFonts w:eastAsia="Times New Roman" w:cs="Arial"/>
              </w:rPr>
            </w:pPr>
            <w:r w:rsidRPr="002F4A27">
              <w:rPr>
                <w:rFonts w:eastAsia="Times New Roman" w:cs="Arial"/>
              </w:rPr>
              <w:t xml:space="preserve">Hypoxia </w:t>
            </w:r>
          </w:p>
          <w:p w14:paraId="2AFD33E7" w14:textId="7BD9C2BD" w:rsidR="002F4A27" w:rsidRPr="002F4A27" w:rsidRDefault="006672C3" w:rsidP="002A6B0A">
            <w:pPr>
              <w:tabs>
                <w:tab w:val="left" w:pos="540"/>
                <w:tab w:val="left" w:pos="630"/>
              </w:tabs>
              <w:jc w:val="left"/>
              <w:rPr>
                <w:rFonts w:eastAsia="Times New Roman" w:cs="Arial"/>
              </w:rPr>
            </w:pPr>
            <w:r w:rsidRPr="00107009">
              <w:t>(</w:t>
            </w:r>
            <w:proofErr w:type="gramStart"/>
            <w:r w:rsidRPr="00107009">
              <w:t>see</w:t>
            </w:r>
            <w:proofErr w:type="gramEnd"/>
            <w:r w:rsidRPr="00107009">
              <w:rPr>
                <w:b/>
              </w:rPr>
              <w:t xml:space="preserve"> Section 4.4 </w:t>
            </w:r>
            <w:r w:rsidRPr="00107009">
              <w:rPr>
                <w:b/>
                <w:color w:val="000000"/>
              </w:rPr>
              <w:t>Special Warnings and Precautions for Use</w:t>
            </w:r>
            <w:r>
              <w:rPr>
                <w:bCs/>
                <w:color w:val="000000"/>
              </w:rPr>
              <w:t>)</w:t>
            </w:r>
          </w:p>
        </w:tc>
        <w:tc>
          <w:tcPr>
            <w:tcW w:w="1679" w:type="dxa"/>
          </w:tcPr>
          <w:p w14:paraId="7E7C5D1F" w14:textId="0BE312C9" w:rsidR="002F4A27" w:rsidRDefault="002F4A27" w:rsidP="002A6B0A">
            <w:pPr>
              <w:tabs>
                <w:tab w:val="left" w:pos="540"/>
                <w:tab w:val="left" w:pos="630"/>
              </w:tabs>
              <w:jc w:val="left"/>
              <w:rPr>
                <w:rFonts w:eastAsia="Times New Roman" w:cs="Arial"/>
              </w:rPr>
            </w:pPr>
            <w:r w:rsidRPr="002F4A27">
              <w:rPr>
                <w:rFonts w:eastAsia="Times New Roman" w:cs="Arial"/>
              </w:rPr>
              <w:t>Grade 3</w:t>
            </w:r>
            <w:r w:rsidR="004F70F8">
              <w:rPr>
                <w:rFonts w:cs="Arial"/>
                <w:noProof/>
                <w:szCs w:val="16"/>
                <w:vertAlign w:val="superscript"/>
              </w:rPr>
              <w:t>§</w:t>
            </w:r>
            <w:r w:rsidRPr="002F4A27">
              <w:rPr>
                <w:rFonts w:eastAsia="Times New Roman" w:cs="Arial"/>
              </w:rPr>
              <w:t xml:space="preserve"> (asymptomatic)</w:t>
            </w:r>
          </w:p>
          <w:p w14:paraId="4EBCF803" w14:textId="3B26AC1F" w:rsidR="00CB4B72" w:rsidRPr="002F4A27" w:rsidRDefault="00CB4B72" w:rsidP="002A6B0A">
            <w:pPr>
              <w:tabs>
                <w:tab w:val="left" w:pos="540"/>
                <w:tab w:val="left" w:pos="630"/>
              </w:tabs>
              <w:jc w:val="left"/>
              <w:rPr>
                <w:rFonts w:eastAsia="Times New Roman" w:cs="Arial"/>
              </w:rPr>
            </w:pPr>
          </w:p>
        </w:tc>
        <w:tc>
          <w:tcPr>
            <w:tcW w:w="4680" w:type="dxa"/>
          </w:tcPr>
          <w:p w14:paraId="428375CA"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Option to continue or withhold until resolved to ≤ Grade</w:t>
            </w:r>
            <w:r w:rsidRPr="002F4A27">
              <w:rPr>
                <w:rFonts w:cs="Arial"/>
                <w:lang w:eastAsia="ja-JP"/>
              </w:rPr>
              <w:t> </w:t>
            </w:r>
            <w:r w:rsidRPr="002F4A27">
              <w:rPr>
                <w:rFonts w:cs="Arial"/>
                <w:szCs w:val="24"/>
                <w:lang w:eastAsia="ja-JP"/>
              </w:rPr>
              <w:t>2.</w:t>
            </w:r>
          </w:p>
          <w:p w14:paraId="484A9309"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Resume at reduced dose (reduce by 40</w:t>
            </w:r>
            <w:r w:rsidRPr="002F4A27">
              <w:rPr>
                <w:rFonts w:cs="Arial"/>
                <w:lang w:eastAsia="ja-JP"/>
              </w:rPr>
              <w:t> </w:t>
            </w:r>
            <w:r w:rsidRPr="002F4A27">
              <w:rPr>
                <w:rFonts w:cs="Arial"/>
                <w:szCs w:val="24"/>
                <w:lang w:eastAsia="ja-JP"/>
              </w:rPr>
              <w:t>mg) or discontinue depending on the severity and persistence of hypoxia.</w:t>
            </w:r>
          </w:p>
        </w:tc>
      </w:tr>
      <w:tr w:rsidR="002F4A27" w:rsidRPr="002F4A27" w14:paraId="6BF049D5" w14:textId="77777777" w:rsidTr="00EE54A5">
        <w:tc>
          <w:tcPr>
            <w:tcW w:w="2996" w:type="dxa"/>
            <w:vMerge/>
          </w:tcPr>
          <w:p w14:paraId="07D4A1E0" w14:textId="77777777" w:rsidR="002F4A27" w:rsidRPr="002F4A27" w:rsidRDefault="002F4A27" w:rsidP="002A6B0A">
            <w:pPr>
              <w:tabs>
                <w:tab w:val="left" w:pos="540"/>
                <w:tab w:val="left" w:pos="630"/>
              </w:tabs>
              <w:jc w:val="left"/>
              <w:rPr>
                <w:rFonts w:eastAsia="Times New Roman" w:cs="Arial"/>
              </w:rPr>
            </w:pPr>
          </w:p>
        </w:tc>
        <w:tc>
          <w:tcPr>
            <w:tcW w:w="1679" w:type="dxa"/>
          </w:tcPr>
          <w:p w14:paraId="0352C11B" w14:textId="6B0DFD26" w:rsidR="002F4A27" w:rsidRPr="002F4A27" w:rsidRDefault="002F4A27" w:rsidP="002A6B0A">
            <w:pPr>
              <w:tabs>
                <w:tab w:val="left" w:pos="540"/>
                <w:tab w:val="left" w:pos="630"/>
              </w:tabs>
              <w:jc w:val="left"/>
              <w:rPr>
                <w:rFonts w:eastAsia="Times New Roman" w:cs="Arial"/>
              </w:rPr>
            </w:pPr>
            <w:r w:rsidRPr="002F4A27">
              <w:rPr>
                <w:rFonts w:eastAsia="Times New Roman" w:cs="Arial"/>
              </w:rPr>
              <w:t>Grade 3</w:t>
            </w:r>
            <w:r w:rsidR="004F70F8">
              <w:rPr>
                <w:rFonts w:cs="Arial"/>
                <w:noProof/>
                <w:szCs w:val="16"/>
                <w:vertAlign w:val="superscript"/>
              </w:rPr>
              <w:t>§</w:t>
            </w:r>
            <w:r w:rsidRPr="002F4A27">
              <w:rPr>
                <w:rFonts w:eastAsia="Times New Roman" w:cs="Arial"/>
              </w:rPr>
              <w:t xml:space="preserve"> (symptomatic)</w:t>
            </w:r>
          </w:p>
        </w:tc>
        <w:tc>
          <w:tcPr>
            <w:tcW w:w="4680" w:type="dxa"/>
          </w:tcPr>
          <w:p w14:paraId="18C6DB2A" w14:textId="77777777" w:rsidR="002F4A27" w:rsidRPr="002F4A27" w:rsidRDefault="002F4A27" w:rsidP="002A6B0A">
            <w:pPr>
              <w:numPr>
                <w:ilvl w:val="0"/>
                <w:numId w:val="11"/>
              </w:numPr>
              <w:ind w:left="342"/>
              <w:jc w:val="left"/>
              <w:rPr>
                <w:rFonts w:cs="Arial"/>
                <w:szCs w:val="24"/>
                <w:lang w:eastAsia="ja-JP"/>
              </w:rPr>
            </w:pPr>
            <w:r w:rsidRPr="002F4A27">
              <w:rPr>
                <w:rFonts w:cs="Arial"/>
                <w:szCs w:val="24"/>
                <w:lang w:eastAsia="ja-JP"/>
              </w:rPr>
              <w:t>Withhold until resolved to ≤ Grade</w:t>
            </w:r>
            <w:r w:rsidRPr="002F4A27">
              <w:rPr>
                <w:rFonts w:cs="Arial"/>
                <w:lang w:eastAsia="ja-JP"/>
              </w:rPr>
              <w:t> </w:t>
            </w:r>
            <w:r w:rsidRPr="002F4A27">
              <w:rPr>
                <w:rFonts w:cs="Arial"/>
                <w:szCs w:val="24"/>
                <w:lang w:eastAsia="ja-JP"/>
              </w:rPr>
              <w:t xml:space="preserve">2. </w:t>
            </w:r>
          </w:p>
          <w:p w14:paraId="1FD29023" w14:textId="77777777" w:rsidR="002F4A27" w:rsidRPr="002F4A27" w:rsidRDefault="002F4A27" w:rsidP="002A6B0A">
            <w:pPr>
              <w:numPr>
                <w:ilvl w:val="0"/>
                <w:numId w:val="11"/>
              </w:numPr>
              <w:ind w:left="342"/>
              <w:jc w:val="left"/>
              <w:rPr>
                <w:rFonts w:cs="Arial"/>
                <w:lang w:eastAsia="ja-JP"/>
              </w:rPr>
            </w:pPr>
            <w:r w:rsidRPr="002F4A27">
              <w:rPr>
                <w:rFonts w:cs="Arial"/>
                <w:szCs w:val="24"/>
                <w:lang w:eastAsia="ja-JP"/>
              </w:rPr>
              <w:t>Resume at reduced dose (reduce by 40</w:t>
            </w:r>
            <w:r w:rsidRPr="002F4A27">
              <w:rPr>
                <w:rFonts w:cs="Arial"/>
                <w:lang w:eastAsia="ja-JP"/>
              </w:rPr>
              <w:t> </w:t>
            </w:r>
            <w:r w:rsidRPr="002F4A27">
              <w:rPr>
                <w:rFonts w:cs="Arial"/>
                <w:szCs w:val="24"/>
                <w:lang w:eastAsia="ja-JP"/>
              </w:rPr>
              <w:t>mg) or discontinue depending on the severity and persistence of hypoxia.</w:t>
            </w:r>
          </w:p>
        </w:tc>
      </w:tr>
      <w:tr w:rsidR="002F4A27" w:rsidRPr="002F4A27" w14:paraId="04D4BF37" w14:textId="77777777" w:rsidTr="00EE54A5">
        <w:tc>
          <w:tcPr>
            <w:tcW w:w="2996" w:type="dxa"/>
            <w:vMerge/>
            <w:tcBorders>
              <w:bottom w:val="single" w:sz="4" w:space="0" w:color="auto"/>
            </w:tcBorders>
          </w:tcPr>
          <w:p w14:paraId="7C4D5647" w14:textId="77777777" w:rsidR="002F4A27" w:rsidRPr="002F4A27" w:rsidRDefault="002F4A27" w:rsidP="002A6B0A">
            <w:pPr>
              <w:tabs>
                <w:tab w:val="left" w:pos="540"/>
                <w:tab w:val="left" w:pos="630"/>
              </w:tabs>
              <w:jc w:val="left"/>
              <w:rPr>
                <w:rFonts w:eastAsia="Times New Roman" w:cs="Arial"/>
              </w:rPr>
            </w:pPr>
          </w:p>
        </w:tc>
        <w:tc>
          <w:tcPr>
            <w:tcW w:w="1679" w:type="dxa"/>
            <w:tcBorders>
              <w:bottom w:val="single" w:sz="4" w:space="0" w:color="auto"/>
            </w:tcBorders>
          </w:tcPr>
          <w:p w14:paraId="3DF3E332" w14:textId="6694C01B" w:rsidR="002F4A27" w:rsidRPr="002F4A27" w:rsidRDefault="002F4A27" w:rsidP="002A6B0A">
            <w:pPr>
              <w:tabs>
                <w:tab w:val="left" w:pos="540"/>
                <w:tab w:val="left" w:pos="630"/>
              </w:tabs>
              <w:jc w:val="left"/>
              <w:rPr>
                <w:rFonts w:eastAsia="Times New Roman" w:cs="Arial"/>
              </w:rPr>
            </w:pPr>
            <w:r w:rsidRPr="002F4A27">
              <w:rPr>
                <w:rFonts w:eastAsia="Times New Roman" w:cs="Arial"/>
              </w:rPr>
              <w:t>Grade 4</w:t>
            </w:r>
            <w:r w:rsidR="004F70F8">
              <w:rPr>
                <w:rFonts w:cs="Arial"/>
                <w:noProof/>
                <w:szCs w:val="16"/>
                <w:vertAlign w:val="superscript"/>
              </w:rPr>
              <w:t>¶</w:t>
            </w:r>
          </w:p>
        </w:tc>
        <w:tc>
          <w:tcPr>
            <w:tcW w:w="4680" w:type="dxa"/>
            <w:tcBorders>
              <w:bottom w:val="single" w:sz="4" w:space="0" w:color="auto"/>
            </w:tcBorders>
          </w:tcPr>
          <w:p w14:paraId="505FC350" w14:textId="77777777" w:rsidR="002F4A27" w:rsidRPr="002F4A27" w:rsidRDefault="002F4A27" w:rsidP="002A6B0A">
            <w:pPr>
              <w:numPr>
                <w:ilvl w:val="0"/>
                <w:numId w:val="11"/>
              </w:numPr>
              <w:ind w:left="342"/>
              <w:jc w:val="left"/>
              <w:rPr>
                <w:rFonts w:cs="Arial"/>
                <w:szCs w:val="24"/>
                <w:lang w:eastAsia="ja-JP"/>
              </w:rPr>
            </w:pPr>
            <w:r w:rsidRPr="002F4A27">
              <w:rPr>
                <w:rFonts w:cs="Arial"/>
                <w:lang w:eastAsia="ja-JP"/>
              </w:rPr>
              <w:t>Permanently discontinue.</w:t>
            </w:r>
          </w:p>
        </w:tc>
      </w:tr>
      <w:tr w:rsidR="002F4A27" w:rsidRPr="002F4A27" w14:paraId="69172EFC" w14:textId="77777777" w:rsidTr="00403CDE">
        <w:tc>
          <w:tcPr>
            <w:tcW w:w="9355" w:type="dxa"/>
            <w:gridSpan w:val="3"/>
            <w:tcBorders>
              <w:left w:val="nil"/>
              <w:bottom w:val="nil"/>
              <w:right w:val="nil"/>
            </w:tcBorders>
          </w:tcPr>
          <w:p w14:paraId="4A181665" w14:textId="1B964720" w:rsidR="004F70F8" w:rsidRDefault="002F4A27" w:rsidP="002A6B0A">
            <w:pPr>
              <w:spacing w:line="216" w:lineRule="auto"/>
              <w:ind w:left="340"/>
              <w:jc w:val="left"/>
              <w:rPr>
                <w:rFonts w:cs="Arial"/>
                <w:sz w:val="16"/>
                <w:szCs w:val="16"/>
                <w:lang w:eastAsia="ja-JP"/>
              </w:rPr>
            </w:pPr>
            <w:bookmarkStart w:id="4" w:name="_Hlk57723483"/>
            <w:bookmarkStart w:id="5" w:name="_Hlk57824616"/>
            <w:r w:rsidRPr="002F4A27">
              <w:rPr>
                <w:rFonts w:cs="Arial"/>
                <w:sz w:val="16"/>
                <w:szCs w:val="16"/>
                <w:lang w:eastAsia="ja-JP"/>
              </w:rPr>
              <w:t>*</w:t>
            </w:r>
            <w:r w:rsidR="004F70F8">
              <w:rPr>
                <w:rFonts w:cs="Arial"/>
                <w:sz w:val="16"/>
                <w:szCs w:val="16"/>
                <w:lang w:eastAsia="ja-JP"/>
              </w:rPr>
              <w:t xml:space="preserve"> </w:t>
            </w:r>
            <w:r w:rsidRPr="00195856">
              <w:rPr>
                <w:rStyle w:val="FootnoteTextChar"/>
              </w:rPr>
              <w:t>Based on National Cancer Institute Common Terminology Criteria for Adverse Events (NCI CTCAE), version 4.0</w:t>
            </w:r>
            <w:bookmarkEnd w:id="4"/>
            <w:bookmarkEnd w:id="5"/>
          </w:p>
          <w:p w14:paraId="5DBBA60E" w14:textId="2324170F" w:rsidR="002F4A27" w:rsidRPr="00195856" w:rsidRDefault="004F70F8" w:rsidP="002A6B0A">
            <w:pPr>
              <w:pStyle w:val="FootnoteText"/>
              <w:jc w:val="left"/>
            </w:pPr>
            <w:r w:rsidRPr="00195856">
              <w:rPr>
                <w:noProof/>
                <w:vertAlign w:val="superscript"/>
              </w:rPr>
              <w:t>†</w:t>
            </w:r>
            <w:r>
              <w:rPr>
                <w:noProof/>
              </w:rPr>
              <w:t xml:space="preserve"> </w:t>
            </w:r>
            <w:proofErr w:type="spellStart"/>
            <w:r w:rsidRPr="00195856">
              <w:t>Anaemia</w:t>
            </w:r>
            <w:proofErr w:type="spellEnd"/>
            <w:r w:rsidRPr="00195856">
              <w:t xml:space="preserve"> Grade 3: Hgb &lt;8.0 g/dL; &lt;4.9 mmol/L; &lt;80 g/L; transfusion indicated</w:t>
            </w:r>
          </w:p>
          <w:p w14:paraId="3B55FE39" w14:textId="106D65A6" w:rsidR="004F70F8" w:rsidRDefault="004F70F8" w:rsidP="002A6B0A">
            <w:pPr>
              <w:pStyle w:val="FootnoteText"/>
              <w:jc w:val="left"/>
              <w:rPr>
                <w:noProof/>
              </w:rPr>
            </w:pPr>
            <w:r w:rsidRPr="00195856">
              <w:rPr>
                <w:noProof/>
                <w:vertAlign w:val="superscript"/>
              </w:rPr>
              <w:t>‡</w:t>
            </w:r>
            <w:r>
              <w:rPr>
                <w:noProof/>
              </w:rPr>
              <w:t xml:space="preserve"> </w:t>
            </w:r>
            <w:r w:rsidRPr="00195856">
              <w:rPr>
                <w:noProof/>
              </w:rPr>
              <w:t>Anaemia Grade 4: Life-threatening consequences; urgent intervention indicated</w:t>
            </w:r>
          </w:p>
          <w:p w14:paraId="5825C937" w14:textId="24F69B75" w:rsidR="004F70F8" w:rsidRDefault="004F70F8" w:rsidP="002A6B0A">
            <w:pPr>
              <w:pStyle w:val="FootnoteText"/>
              <w:jc w:val="left"/>
              <w:rPr>
                <w:noProof/>
              </w:rPr>
            </w:pPr>
            <w:r>
              <w:rPr>
                <w:noProof/>
                <w:vertAlign w:val="superscript"/>
              </w:rPr>
              <w:t xml:space="preserve">§ </w:t>
            </w:r>
            <w:r w:rsidRPr="00195856">
              <w:rPr>
                <w:noProof/>
              </w:rPr>
              <w:t>Hypoxia Grade 3: Decreased oxygen saturation at rest (e.g., pulse oximeter &lt;88% or PaO2 &lt;=55 mm Hg)</w:t>
            </w:r>
          </w:p>
          <w:p w14:paraId="70B84AB6" w14:textId="00EC7F9C" w:rsidR="00CB4B72" w:rsidRPr="00195856" w:rsidRDefault="004F70F8" w:rsidP="002A6B0A">
            <w:pPr>
              <w:pStyle w:val="FootnoteText"/>
              <w:jc w:val="left"/>
            </w:pPr>
            <w:r>
              <w:rPr>
                <w:noProof/>
                <w:vertAlign w:val="superscript"/>
              </w:rPr>
              <w:t>¶</w:t>
            </w:r>
            <w:r>
              <w:t xml:space="preserve"> </w:t>
            </w:r>
            <w:r w:rsidRPr="00195856">
              <w:rPr>
                <w:noProof/>
              </w:rPr>
              <w:t>Hypoxia Grade 4: Life-threatening airway compromise; urgent intervention indicated (e.g., tracheotomy or intubation)</w:t>
            </w:r>
          </w:p>
        </w:tc>
      </w:tr>
      <w:bookmarkEnd w:id="3"/>
    </w:tbl>
    <w:p w14:paraId="75E427A5" w14:textId="6EA0178E" w:rsidR="002F4A27" w:rsidRDefault="002F4A27" w:rsidP="002A6B0A">
      <w:pPr>
        <w:jc w:val="left"/>
        <w:rPr>
          <w:rFonts w:cs="Arial"/>
        </w:rPr>
      </w:pPr>
    </w:p>
    <w:p w14:paraId="40EBE7C3" w14:textId="48752BD3" w:rsidR="001244B9" w:rsidRDefault="002F4A27" w:rsidP="002A6B0A">
      <w:pPr>
        <w:jc w:val="left"/>
      </w:pPr>
      <w:r w:rsidRPr="002F4A27">
        <w:t xml:space="preserve">If a patient experiences a Grade 3 adverse reaction, not addressed in </w:t>
      </w:r>
      <w:r w:rsidR="006672C3">
        <w:fldChar w:fldCharType="begin" w:fldLock="1"/>
      </w:r>
      <w:r w:rsidR="006672C3">
        <w:instrText xml:space="preserve"> REF _Ref61946656 \h </w:instrText>
      </w:r>
      <w:r w:rsidR="001244B9">
        <w:instrText xml:space="preserve"> \* MERGEFORMAT </w:instrText>
      </w:r>
      <w:r w:rsidR="006672C3">
        <w:fldChar w:fldCharType="separate"/>
      </w:r>
      <w:r w:rsidR="00205CA9" w:rsidRPr="00BA612D">
        <w:rPr>
          <w:b/>
          <w:bCs/>
        </w:rPr>
        <w:t xml:space="preserve">Table </w:t>
      </w:r>
      <w:r w:rsidR="00205CA9" w:rsidRPr="004B2543">
        <w:rPr>
          <w:b/>
          <w:bCs/>
          <w:noProof/>
        </w:rPr>
        <w:t>1</w:t>
      </w:r>
      <w:r w:rsidR="006672C3">
        <w:fldChar w:fldCharType="end"/>
      </w:r>
      <w:r w:rsidRPr="002F4A27">
        <w:t xml:space="preserve">, withhold dosing until symptoms improve to ≤ Grade 2, then consider resuming at a reduced dose (reduce by 40 mg). Permanently discontinue </w:t>
      </w:r>
      <w:r w:rsidR="00027D80">
        <w:t>WELIREG</w:t>
      </w:r>
      <w:r w:rsidRPr="002F4A27">
        <w:t xml:space="preserve"> if Grade 3 adverse reaction recurs</w:t>
      </w:r>
      <w:r w:rsidR="001244B9">
        <w:t xml:space="preserve"> (see </w:t>
      </w:r>
      <w:r w:rsidR="001244B9" w:rsidRPr="001244B9">
        <w:rPr>
          <w:b/>
          <w:bCs/>
        </w:rPr>
        <w:t>Section 4.8 Adverse Effects (Undesirable Effects)</w:t>
      </w:r>
      <w:r w:rsidR="001244B9" w:rsidRPr="001244B9">
        <w:t xml:space="preserve">). If a patient experiences a Grade 4 adverse reaction, not previously addressed in </w:t>
      </w:r>
      <w:r w:rsidR="001244B9" w:rsidRPr="001244B9">
        <w:rPr>
          <w:b/>
          <w:bCs/>
        </w:rPr>
        <w:fldChar w:fldCharType="begin" w:fldLock="1"/>
      </w:r>
      <w:r w:rsidR="001244B9" w:rsidRPr="001244B9">
        <w:rPr>
          <w:b/>
          <w:bCs/>
        </w:rPr>
        <w:instrText xml:space="preserve"> REF _Ref61946656 \h  \* MERGEFORMAT </w:instrText>
      </w:r>
      <w:r w:rsidR="001244B9" w:rsidRPr="001244B9">
        <w:rPr>
          <w:b/>
          <w:bCs/>
        </w:rPr>
      </w:r>
      <w:r w:rsidR="001244B9" w:rsidRPr="001244B9">
        <w:rPr>
          <w:b/>
          <w:bCs/>
        </w:rPr>
        <w:fldChar w:fldCharType="separate"/>
      </w:r>
      <w:r w:rsidR="00205CA9" w:rsidRPr="00BA612D">
        <w:rPr>
          <w:b/>
          <w:bCs/>
        </w:rPr>
        <w:t xml:space="preserve">Table </w:t>
      </w:r>
      <w:r w:rsidR="00205CA9" w:rsidRPr="004B2543">
        <w:rPr>
          <w:b/>
          <w:bCs/>
          <w:noProof/>
        </w:rPr>
        <w:t>1</w:t>
      </w:r>
      <w:r w:rsidR="001244B9" w:rsidRPr="001244B9">
        <w:rPr>
          <w:b/>
          <w:bCs/>
        </w:rPr>
        <w:fldChar w:fldCharType="end"/>
      </w:r>
      <w:r w:rsidR="001244B9" w:rsidRPr="001244B9">
        <w:t xml:space="preserve">, permanently discontinue </w:t>
      </w:r>
      <w:r w:rsidR="00027D80">
        <w:t>WELIREG</w:t>
      </w:r>
      <w:r w:rsidR="001244B9" w:rsidRPr="001244B9">
        <w:t xml:space="preserve"> (see </w:t>
      </w:r>
      <w:r w:rsidR="001244B9" w:rsidRPr="001244B9">
        <w:rPr>
          <w:b/>
          <w:bCs/>
        </w:rPr>
        <w:t>Section 4.8 Adverse Effects (Undesirable Effects)</w:t>
      </w:r>
      <w:r w:rsidR="001244B9" w:rsidRPr="001244B9">
        <w:t>).</w:t>
      </w:r>
    </w:p>
    <w:p w14:paraId="532CF060" w14:textId="4091B47A" w:rsidR="002F4A27" w:rsidRPr="002F4A27" w:rsidRDefault="002F4A27" w:rsidP="002A6B0A">
      <w:pPr>
        <w:pStyle w:val="Heading3"/>
        <w:jc w:val="left"/>
      </w:pPr>
      <w:r w:rsidRPr="002F4A27">
        <w:t>P</w:t>
      </w:r>
      <w:r>
        <w:t>a</w:t>
      </w:r>
      <w:r w:rsidRPr="002F4A27">
        <w:t>ediatric Patients</w:t>
      </w:r>
    </w:p>
    <w:p w14:paraId="0C19C6E3" w14:textId="42537F70" w:rsidR="002F4A27" w:rsidRPr="002F4A27" w:rsidRDefault="002F4A27" w:rsidP="002A6B0A">
      <w:pPr>
        <w:jc w:val="left"/>
        <w:rPr>
          <w:rFonts w:cs="Arial"/>
        </w:rPr>
      </w:pPr>
      <w:r w:rsidRPr="002F4A27">
        <w:rPr>
          <w:rFonts w:cs="Arial"/>
        </w:rPr>
        <w:t xml:space="preserve">Safety and efficacy of </w:t>
      </w:r>
      <w:r w:rsidR="00027D80">
        <w:rPr>
          <w:rFonts w:cs="Arial"/>
        </w:rPr>
        <w:t>WELIREG</w:t>
      </w:r>
      <w:r w:rsidRPr="002F4A27">
        <w:rPr>
          <w:rFonts w:cs="Arial"/>
        </w:rPr>
        <w:t xml:space="preserve"> have not been established in p</w:t>
      </w:r>
      <w:r w:rsidR="008E2B2E">
        <w:rPr>
          <w:rFonts w:cs="Arial"/>
        </w:rPr>
        <w:t>a</w:t>
      </w:r>
      <w:r w:rsidRPr="002F4A27">
        <w:rPr>
          <w:rFonts w:cs="Arial"/>
        </w:rPr>
        <w:t xml:space="preserve">ediatric patients less than 18 years of age </w:t>
      </w:r>
      <w:r w:rsidR="007139B2" w:rsidRPr="00107009">
        <w:t>(see</w:t>
      </w:r>
      <w:r w:rsidR="007139B2" w:rsidRPr="00107009">
        <w:rPr>
          <w:b/>
        </w:rPr>
        <w:t xml:space="preserve"> Section 4.4 </w:t>
      </w:r>
      <w:r w:rsidR="007139B2" w:rsidRPr="00107009">
        <w:rPr>
          <w:b/>
          <w:color w:val="000000"/>
        </w:rPr>
        <w:t>Special Warnings and Precautions for Use</w:t>
      </w:r>
      <w:r w:rsidR="007139B2">
        <w:rPr>
          <w:bCs/>
          <w:color w:val="000000"/>
        </w:rPr>
        <w:t xml:space="preserve"> </w:t>
      </w:r>
      <w:r w:rsidRPr="002F4A27">
        <w:rPr>
          <w:rFonts w:cs="Arial"/>
        </w:rPr>
        <w:t xml:space="preserve">and </w:t>
      </w:r>
      <w:r w:rsidR="00F95BE9" w:rsidRPr="00107009">
        <w:rPr>
          <w:b/>
          <w:color w:val="000000"/>
        </w:rPr>
        <w:t>Section 5.2 Pharmacokinetic Properties</w:t>
      </w:r>
      <w:r w:rsidR="00F95BE9">
        <w:rPr>
          <w:bCs/>
          <w:color w:val="000000"/>
        </w:rPr>
        <w:t>)</w:t>
      </w:r>
      <w:r w:rsidRPr="002F4A27">
        <w:rPr>
          <w:rFonts w:cs="Arial"/>
        </w:rPr>
        <w:t>.</w:t>
      </w:r>
    </w:p>
    <w:p w14:paraId="53EFA557" w14:textId="0817CF8D" w:rsidR="002F4A27" w:rsidRPr="002F4A27" w:rsidRDefault="002F4A27" w:rsidP="002A6B0A">
      <w:pPr>
        <w:pStyle w:val="Heading3"/>
        <w:jc w:val="left"/>
      </w:pPr>
      <w:r w:rsidRPr="002F4A27">
        <w:t>Geriatric Patients</w:t>
      </w:r>
    </w:p>
    <w:p w14:paraId="3C1C74F9" w14:textId="51E10D9D" w:rsidR="002F4A27" w:rsidRPr="002F4A27" w:rsidRDefault="002F4A27" w:rsidP="002A6B0A">
      <w:pPr>
        <w:jc w:val="left"/>
        <w:rPr>
          <w:rFonts w:cs="Arial"/>
        </w:rPr>
      </w:pPr>
      <w:r w:rsidRPr="002F4A27">
        <w:rPr>
          <w:rFonts w:cs="Arial"/>
        </w:rPr>
        <w:t xml:space="preserve">There are limited data available on the use of </w:t>
      </w:r>
      <w:r w:rsidR="00027D80">
        <w:rPr>
          <w:rFonts w:cs="Arial"/>
        </w:rPr>
        <w:t>WELIREG</w:t>
      </w:r>
      <w:r w:rsidRPr="002F4A27">
        <w:rPr>
          <w:rFonts w:cs="Arial"/>
        </w:rPr>
        <w:t xml:space="preserve"> in patients aged 65 years and over. There is no evidence that elderly patients require a different dose than younger adult patients </w:t>
      </w:r>
      <w:r w:rsidR="00F95BE9" w:rsidRPr="00107009">
        <w:t>(see</w:t>
      </w:r>
      <w:r w:rsidR="00F95BE9" w:rsidRPr="00107009">
        <w:rPr>
          <w:b/>
        </w:rPr>
        <w:t xml:space="preserve"> Section 4.4 </w:t>
      </w:r>
      <w:r w:rsidR="00F95BE9" w:rsidRPr="00107009">
        <w:rPr>
          <w:b/>
          <w:color w:val="000000"/>
        </w:rPr>
        <w:t>Special Warnings and Precautions for Use</w:t>
      </w:r>
      <w:r w:rsidR="00F95BE9">
        <w:rPr>
          <w:bCs/>
          <w:color w:val="000000"/>
        </w:rPr>
        <w:t xml:space="preserve"> </w:t>
      </w:r>
      <w:r w:rsidR="00F95BE9" w:rsidRPr="002F4A27">
        <w:rPr>
          <w:rFonts w:cs="Arial"/>
        </w:rPr>
        <w:t xml:space="preserve">and </w:t>
      </w:r>
      <w:r w:rsidR="00F95BE9" w:rsidRPr="00107009">
        <w:rPr>
          <w:b/>
          <w:color w:val="000000"/>
        </w:rPr>
        <w:t>Section 5.2 Pharmacokinetic Properties</w:t>
      </w:r>
      <w:r w:rsidR="00F95BE9">
        <w:rPr>
          <w:bCs/>
          <w:color w:val="000000"/>
        </w:rPr>
        <w:t>)</w:t>
      </w:r>
      <w:r w:rsidRPr="002F4A27">
        <w:rPr>
          <w:rFonts w:cs="Arial"/>
        </w:rPr>
        <w:t xml:space="preserve">. No dose adjustment of </w:t>
      </w:r>
      <w:r w:rsidR="00027D80">
        <w:rPr>
          <w:rFonts w:cs="Arial"/>
        </w:rPr>
        <w:t>WELIREG</w:t>
      </w:r>
      <w:r w:rsidRPr="002F4A27">
        <w:rPr>
          <w:rFonts w:cs="Arial"/>
        </w:rPr>
        <w:t xml:space="preserve"> is recommended in elderly patients.</w:t>
      </w:r>
    </w:p>
    <w:p w14:paraId="2AC03FB0" w14:textId="30C570F5" w:rsidR="002F4A27" w:rsidRPr="002F4A27" w:rsidRDefault="002F4A27" w:rsidP="002A6B0A">
      <w:pPr>
        <w:pStyle w:val="Heading3"/>
        <w:jc w:val="left"/>
      </w:pPr>
      <w:r w:rsidRPr="002F4A27">
        <w:t>Renal Impairment</w:t>
      </w:r>
    </w:p>
    <w:p w14:paraId="47B179DE" w14:textId="1333A31A" w:rsidR="002F4A27" w:rsidRPr="002F4A27" w:rsidRDefault="002F4A27" w:rsidP="002A6B0A">
      <w:pPr>
        <w:jc w:val="left"/>
        <w:rPr>
          <w:rFonts w:cs="Arial"/>
        </w:rPr>
      </w:pPr>
      <w:r w:rsidRPr="002F4A27">
        <w:rPr>
          <w:rFonts w:cs="Arial"/>
        </w:rPr>
        <w:t xml:space="preserve">No dose adjustment of </w:t>
      </w:r>
      <w:r w:rsidR="00027D80">
        <w:rPr>
          <w:rFonts w:cs="Arial"/>
        </w:rPr>
        <w:t>WELIREG</w:t>
      </w:r>
      <w:r w:rsidRPr="002F4A27">
        <w:rPr>
          <w:rFonts w:cs="Arial"/>
        </w:rPr>
        <w:t xml:space="preserve"> is recommended in patients with mild and moderate renal impairment. </w:t>
      </w:r>
      <w:r w:rsidR="00027D80">
        <w:rPr>
          <w:rFonts w:cs="Arial"/>
        </w:rPr>
        <w:t>WELIREG</w:t>
      </w:r>
      <w:r w:rsidRPr="002F4A27">
        <w:rPr>
          <w:rFonts w:cs="Arial"/>
        </w:rPr>
        <w:t xml:space="preserve"> has not been studied in patients with severe renal impairment </w:t>
      </w:r>
      <w:r w:rsidR="00F95BE9" w:rsidRPr="00107009">
        <w:t>(see</w:t>
      </w:r>
      <w:r w:rsidR="00F95BE9" w:rsidRPr="00107009">
        <w:rPr>
          <w:b/>
        </w:rPr>
        <w:t xml:space="preserve"> </w:t>
      </w:r>
      <w:r w:rsidR="00F95BE9" w:rsidRPr="00107009">
        <w:rPr>
          <w:b/>
        </w:rPr>
        <w:lastRenderedPageBreak/>
        <w:t xml:space="preserve">Section 4.4 </w:t>
      </w:r>
      <w:r w:rsidR="00F95BE9" w:rsidRPr="00107009">
        <w:rPr>
          <w:b/>
          <w:color w:val="000000"/>
        </w:rPr>
        <w:t>Special Warnings and Precautions for Use</w:t>
      </w:r>
      <w:r w:rsidR="00F95BE9">
        <w:rPr>
          <w:bCs/>
          <w:color w:val="000000"/>
        </w:rPr>
        <w:t xml:space="preserve"> </w:t>
      </w:r>
      <w:r w:rsidR="00F95BE9" w:rsidRPr="002F4A27">
        <w:rPr>
          <w:rFonts w:cs="Arial"/>
        </w:rPr>
        <w:t xml:space="preserve">and </w:t>
      </w:r>
      <w:r w:rsidR="00F95BE9" w:rsidRPr="00107009">
        <w:rPr>
          <w:b/>
          <w:color w:val="000000"/>
        </w:rPr>
        <w:t>Section 5.2 Pharmacokinetic Properties</w:t>
      </w:r>
      <w:r w:rsidR="00F95BE9">
        <w:rPr>
          <w:bCs/>
          <w:color w:val="000000"/>
        </w:rPr>
        <w:t>)</w:t>
      </w:r>
      <w:r w:rsidRPr="002F4A27">
        <w:rPr>
          <w:rFonts w:cs="Arial"/>
        </w:rPr>
        <w:t>.</w:t>
      </w:r>
    </w:p>
    <w:p w14:paraId="7E9D0B8B" w14:textId="218B292B" w:rsidR="002F4A27" w:rsidRPr="002F4A27" w:rsidRDefault="002F4A27" w:rsidP="002A6B0A">
      <w:pPr>
        <w:pStyle w:val="Heading3"/>
        <w:jc w:val="left"/>
      </w:pPr>
      <w:r w:rsidRPr="002F4A27">
        <w:t>Hepatic Impairment</w:t>
      </w:r>
    </w:p>
    <w:p w14:paraId="2F49C8D1" w14:textId="18599894" w:rsidR="002F4A27" w:rsidRPr="002F4A27" w:rsidRDefault="002F4A27" w:rsidP="002A6B0A">
      <w:pPr>
        <w:jc w:val="left"/>
        <w:rPr>
          <w:rFonts w:cs="Arial"/>
        </w:rPr>
      </w:pPr>
      <w:r w:rsidRPr="002F4A27">
        <w:rPr>
          <w:rFonts w:cs="Arial"/>
        </w:rPr>
        <w:t xml:space="preserve">No dose adjustment of </w:t>
      </w:r>
      <w:r w:rsidR="00027D80">
        <w:rPr>
          <w:rFonts w:cs="Arial"/>
        </w:rPr>
        <w:t>WELIREG</w:t>
      </w:r>
      <w:r w:rsidRPr="002F4A27">
        <w:rPr>
          <w:rFonts w:cs="Arial"/>
        </w:rPr>
        <w:t xml:space="preserve"> is recommended in patients with mild hepatic impairment. </w:t>
      </w:r>
      <w:r w:rsidR="00027D80">
        <w:rPr>
          <w:rFonts w:cs="Arial"/>
        </w:rPr>
        <w:t>WELIREG</w:t>
      </w:r>
      <w:r w:rsidRPr="002F4A27">
        <w:rPr>
          <w:rFonts w:cs="Arial"/>
        </w:rPr>
        <w:t xml:space="preserve"> has not been studied in patients with moderate or severe hepatic impairment </w:t>
      </w:r>
      <w:r w:rsidR="00F95BE9" w:rsidRPr="00107009">
        <w:t>(see</w:t>
      </w:r>
      <w:r w:rsidR="00F95BE9" w:rsidRPr="00107009">
        <w:rPr>
          <w:b/>
        </w:rPr>
        <w:t xml:space="preserve"> Section 4.4 </w:t>
      </w:r>
      <w:r w:rsidR="00F95BE9" w:rsidRPr="00107009">
        <w:rPr>
          <w:b/>
          <w:color w:val="000000"/>
        </w:rPr>
        <w:t>Special Warnings and Precautions for Use</w:t>
      </w:r>
      <w:r w:rsidR="00F95BE9">
        <w:rPr>
          <w:bCs/>
          <w:color w:val="000000"/>
        </w:rPr>
        <w:t xml:space="preserve"> </w:t>
      </w:r>
      <w:r w:rsidR="00F95BE9" w:rsidRPr="002F4A27">
        <w:rPr>
          <w:rFonts w:cs="Arial"/>
        </w:rPr>
        <w:t xml:space="preserve">and </w:t>
      </w:r>
      <w:r w:rsidR="00F95BE9" w:rsidRPr="00107009">
        <w:rPr>
          <w:b/>
          <w:color w:val="000000"/>
        </w:rPr>
        <w:t>Section 5.2 Pharmacokinetic Properties</w:t>
      </w:r>
      <w:r w:rsidR="00F95BE9">
        <w:rPr>
          <w:bCs/>
          <w:color w:val="000000"/>
        </w:rPr>
        <w:t>)</w:t>
      </w:r>
      <w:r w:rsidRPr="002F4A27">
        <w:rPr>
          <w:rFonts w:cs="Arial"/>
        </w:rPr>
        <w:t>.</w:t>
      </w:r>
    </w:p>
    <w:p w14:paraId="296F7AF3" w14:textId="2EB6C8D5" w:rsidR="001A3992" w:rsidRDefault="001A3992" w:rsidP="002A6B0A">
      <w:pPr>
        <w:pStyle w:val="Heading2"/>
        <w:spacing w:before="0" w:after="120"/>
        <w:jc w:val="left"/>
        <w:rPr>
          <w:rFonts w:ascii="Arial" w:hAnsi="Arial" w:cs="Arial"/>
        </w:rPr>
      </w:pPr>
      <w:r w:rsidRPr="00CA00F2">
        <w:rPr>
          <w:rFonts w:ascii="Arial" w:hAnsi="Arial" w:cs="Arial"/>
        </w:rPr>
        <w:t>Contraindications</w:t>
      </w:r>
    </w:p>
    <w:p w14:paraId="35435757" w14:textId="03EC04FA" w:rsidR="002F4A27" w:rsidRPr="002F4A27" w:rsidRDefault="002F4A27" w:rsidP="002A6B0A">
      <w:pPr>
        <w:jc w:val="left"/>
      </w:pPr>
      <w:r>
        <w:t>None</w:t>
      </w:r>
    </w:p>
    <w:p w14:paraId="34CC8AA7" w14:textId="77777777" w:rsidR="001A3992" w:rsidRPr="00CA00F2" w:rsidRDefault="00E74A56" w:rsidP="002A6B0A">
      <w:pPr>
        <w:pStyle w:val="Heading2"/>
        <w:spacing w:before="0" w:after="120"/>
        <w:jc w:val="left"/>
        <w:rPr>
          <w:rFonts w:ascii="Arial" w:hAnsi="Arial" w:cs="Arial"/>
        </w:rPr>
      </w:pPr>
      <w:r w:rsidRPr="00CA00F2">
        <w:rPr>
          <w:rFonts w:ascii="Arial" w:hAnsi="Arial" w:cs="Arial"/>
        </w:rPr>
        <w:t>Special warnings and p</w:t>
      </w:r>
      <w:r w:rsidR="001A3992" w:rsidRPr="00CA00F2">
        <w:rPr>
          <w:rFonts w:ascii="Arial" w:hAnsi="Arial" w:cs="Arial"/>
        </w:rPr>
        <w:t xml:space="preserve">recautions </w:t>
      </w:r>
      <w:r w:rsidRPr="00CA00F2">
        <w:rPr>
          <w:rFonts w:ascii="Arial" w:hAnsi="Arial" w:cs="Arial"/>
        </w:rPr>
        <w:t>for use</w:t>
      </w:r>
    </w:p>
    <w:p w14:paraId="0756A062" w14:textId="26998AC5" w:rsidR="002F4A27" w:rsidRDefault="002F4A27" w:rsidP="002A6B0A">
      <w:pPr>
        <w:pStyle w:val="Heading3"/>
        <w:jc w:val="left"/>
      </w:pPr>
      <w:r>
        <w:t>Anaemia due to Decreased Erythropoietin</w:t>
      </w:r>
    </w:p>
    <w:p w14:paraId="6B6D617C" w14:textId="47EEBCC0" w:rsidR="00B06911" w:rsidRPr="00B06911" w:rsidRDefault="00B06911" w:rsidP="002A6B0A">
      <w:pPr>
        <w:jc w:val="left"/>
      </w:pPr>
      <w:r>
        <w:t>WELIREG can cause severe anaemia that can require blood transfusion</w:t>
      </w:r>
    </w:p>
    <w:p w14:paraId="1A8DD6D0" w14:textId="2EBB20AB" w:rsidR="002F4A27" w:rsidRDefault="002F4A27" w:rsidP="002A6B0A">
      <w:pPr>
        <w:jc w:val="left"/>
      </w:pPr>
      <w:r>
        <w:t xml:space="preserve">In a clinical trial (Study-004) with </w:t>
      </w:r>
      <w:r w:rsidR="00027D80">
        <w:t>WELIREG</w:t>
      </w:r>
      <w:r>
        <w:t xml:space="preserve"> for the treatment of patients with VHL disease-associated RCC, anaemia was reported in 55 patients (90.2%). Grade 3 anaemia occurred in </w:t>
      </w:r>
      <w:r w:rsidR="0066513A">
        <w:t xml:space="preserve">6 </w:t>
      </w:r>
      <w:r>
        <w:t>patients (</w:t>
      </w:r>
      <w:r w:rsidR="0066513A">
        <w:t>9.8</w:t>
      </w:r>
      <w:r>
        <w:t xml:space="preserve">%) </w:t>
      </w:r>
      <w:r w:rsidR="006728A0" w:rsidRPr="00107009">
        <w:t>(</w:t>
      </w:r>
      <w:r w:rsidR="006728A0" w:rsidRPr="00107009">
        <w:rPr>
          <w:color w:val="000000"/>
        </w:rPr>
        <w:t xml:space="preserve">see </w:t>
      </w:r>
      <w:r w:rsidR="006728A0" w:rsidRPr="00107009">
        <w:rPr>
          <w:b/>
          <w:color w:val="000000"/>
        </w:rPr>
        <w:t>Section 4.8 Adverse Effects (Undesirable Effects)</w:t>
      </w:r>
      <w:r w:rsidR="006728A0">
        <w:rPr>
          <w:bCs/>
          <w:color w:val="000000"/>
        </w:rPr>
        <w:t>)</w:t>
      </w:r>
      <w:r>
        <w:t>. Median time to onset of all Grade an</w:t>
      </w:r>
      <w:r w:rsidR="006728A0">
        <w:t>a</w:t>
      </w:r>
      <w:r>
        <w:t xml:space="preserve">emia events was </w:t>
      </w:r>
      <w:r w:rsidR="0066513A">
        <w:t xml:space="preserve">30 </w:t>
      </w:r>
      <w:r>
        <w:t xml:space="preserve">days (range: 1 day to 8.38 months). </w:t>
      </w:r>
      <w:bookmarkStart w:id="6" w:name="_Hlk122086729"/>
      <w:r w:rsidRPr="00160B92">
        <w:t xml:space="preserve">Of the </w:t>
      </w:r>
      <w:r w:rsidR="0066513A" w:rsidRPr="00160B92">
        <w:t xml:space="preserve">13 </w:t>
      </w:r>
      <w:r w:rsidRPr="00160B92">
        <w:t xml:space="preserve">patients that were treated with an erythropoiesis-stimulating agent (ESA), </w:t>
      </w:r>
      <w:r w:rsidR="0066513A" w:rsidRPr="00160B92">
        <w:t xml:space="preserve">4 </w:t>
      </w:r>
      <w:r w:rsidRPr="00160B92">
        <w:t xml:space="preserve">received treatment with both an ESA and blood transfusions, while </w:t>
      </w:r>
      <w:r w:rsidR="0066513A" w:rsidRPr="00160B92">
        <w:t xml:space="preserve">9 </w:t>
      </w:r>
      <w:r w:rsidRPr="00160B92">
        <w:t>received treatment with an ESA alone. Patients received an ESA based on h</w:t>
      </w:r>
      <w:r w:rsidR="006728A0" w:rsidRPr="00160B92">
        <w:t>a</w:t>
      </w:r>
      <w:r w:rsidRPr="00160B92">
        <w:t>emoglobin levels and physician discretion</w:t>
      </w:r>
      <w:bookmarkEnd w:id="6"/>
      <w:r w:rsidR="00403CDE">
        <w:t xml:space="preserve"> (See </w:t>
      </w:r>
      <w:r w:rsidR="00403CDE" w:rsidRPr="00107009">
        <w:rPr>
          <w:b/>
          <w:color w:val="000000"/>
        </w:rPr>
        <w:t xml:space="preserve">Section </w:t>
      </w:r>
      <w:r w:rsidR="00403CDE">
        <w:rPr>
          <w:b/>
          <w:color w:val="000000"/>
        </w:rPr>
        <w:t>5.1</w:t>
      </w:r>
      <w:r w:rsidR="00403CDE" w:rsidRPr="00107009">
        <w:rPr>
          <w:b/>
          <w:color w:val="000000"/>
        </w:rPr>
        <w:t xml:space="preserve"> </w:t>
      </w:r>
      <w:r w:rsidR="00403CDE">
        <w:rPr>
          <w:b/>
          <w:color w:val="000000"/>
        </w:rPr>
        <w:t>Pharmacodynamic properties</w:t>
      </w:r>
      <w:r w:rsidR="00403CDE" w:rsidRPr="00403CDE">
        <w:rPr>
          <w:bCs/>
          <w:color w:val="000000"/>
        </w:rPr>
        <w:t>)</w:t>
      </w:r>
      <w:r>
        <w:t>. In another clinical trial (Study-001) for the treatment of non-VHL disease-associated advanced solid tumo</w:t>
      </w:r>
      <w:r w:rsidR="006728A0">
        <w:t>u</w:t>
      </w:r>
      <w:r>
        <w:t xml:space="preserve">rs using the same dose of </w:t>
      </w:r>
      <w:r w:rsidR="00027D80">
        <w:t>WELIREG</w:t>
      </w:r>
      <w:r>
        <w:t>, an</w:t>
      </w:r>
      <w:r w:rsidR="006728A0">
        <w:t>a</w:t>
      </w:r>
      <w:r>
        <w:t>emia was reported in 44 patients (75.9%). Grade 3 an</w:t>
      </w:r>
      <w:r w:rsidR="006728A0">
        <w:t>a</w:t>
      </w:r>
      <w:r>
        <w:t>emia occurred in 16 patients (27.6%).</w:t>
      </w:r>
    </w:p>
    <w:p w14:paraId="396A63AC" w14:textId="05D57401" w:rsidR="002F4A27" w:rsidRDefault="002F4A27" w:rsidP="002A6B0A">
      <w:pPr>
        <w:jc w:val="left"/>
      </w:pPr>
      <w:r>
        <w:t>Monitor for an</w:t>
      </w:r>
      <w:r w:rsidR="006728A0">
        <w:t>a</w:t>
      </w:r>
      <w:r>
        <w:t xml:space="preserve">emia before initiation of and periodically throughout treatment with </w:t>
      </w:r>
      <w:r w:rsidR="00027D80">
        <w:t>WELIREG</w:t>
      </w:r>
      <w:r>
        <w:t xml:space="preserve">. </w:t>
      </w:r>
      <w:r w:rsidR="00CD099E" w:rsidRPr="00CD099E">
        <w:t>Closely monitor patients who are dual UGT2B17 and CYP2C19 poor metabolisers due to potential increases in exposure that may increase the incidence or severity of anaemia</w:t>
      </w:r>
      <w:r w:rsidR="00CD099E">
        <w:t xml:space="preserve">. </w:t>
      </w:r>
      <w:r>
        <w:t>For patients who develop Grade 3 an</w:t>
      </w:r>
      <w:r w:rsidR="006728A0">
        <w:t>a</w:t>
      </w:r>
      <w:r>
        <w:t xml:space="preserve">emia, withhold </w:t>
      </w:r>
      <w:r w:rsidR="00027D80">
        <w:t>WELIREG</w:t>
      </w:r>
      <w:r>
        <w:t xml:space="preserve"> and treat according to standard medical practice, until resolved to ≤ Grade 2. For recurrent Grade 3 an</w:t>
      </w:r>
      <w:r w:rsidR="006728A0">
        <w:t>a</w:t>
      </w:r>
      <w:r>
        <w:t xml:space="preserve">emia, discontinue </w:t>
      </w:r>
      <w:r w:rsidR="00027D80">
        <w:t>WELIREG</w:t>
      </w:r>
      <w:r>
        <w:t>. For patients who develop Grade 4 an</w:t>
      </w:r>
      <w:r w:rsidR="006728A0">
        <w:t>a</w:t>
      </w:r>
      <w:r>
        <w:t xml:space="preserve">emia, withhold </w:t>
      </w:r>
      <w:r w:rsidR="00027D80">
        <w:t>WELIREG</w:t>
      </w:r>
      <w:r>
        <w:t xml:space="preserve"> and permanently discontinue for recurrent Grade 4 an</w:t>
      </w:r>
      <w:r w:rsidR="006728A0">
        <w:t>ae</w:t>
      </w:r>
      <w:r>
        <w:t>mia</w:t>
      </w:r>
      <w:r w:rsidR="006728A0">
        <w:t xml:space="preserve"> (See </w:t>
      </w:r>
      <w:r w:rsidR="006728A0" w:rsidRPr="00107009">
        <w:rPr>
          <w:b/>
          <w:color w:val="000000"/>
        </w:rPr>
        <w:t>Section 4.2 Dose and Method of Administration</w:t>
      </w:r>
      <w:r w:rsidR="006728A0" w:rsidRPr="00107009">
        <w:t>)</w:t>
      </w:r>
      <w:r>
        <w:t xml:space="preserve">. </w:t>
      </w:r>
    </w:p>
    <w:p w14:paraId="417E9E97" w14:textId="165EAE91" w:rsidR="002F4A27" w:rsidRDefault="002F4A27" w:rsidP="002A6B0A">
      <w:pPr>
        <w:pStyle w:val="Heading3"/>
        <w:jc w:val="left"/>
      </w:pPr>
      <w:r>
        <w:t>Hypoxia</w:t>
      </w:r>
    </w:p>
    <w:p w14:paraId="72E8AC3C" w14:textId="12D88104" w:rsidR="00CD099E" w:rsidRDefault="00CD099E" w:rsidP="002A6B0A">
      <w:pPr>
        <w:jc w:val="left"/>
      </w:pPr>
      <w:r>
        <w:t>WELIREG</w:t>
      </w:r>
      <w:r w:rsidRPr="00CD099E">
        <w:t xml:space="preserve"> can cause severe hypoxia that may require discontinuation, supplemental oxygen, or hospitalisation</w:t>
      </w:r>
      <w:r>
        <w:t>.</w:t>
      </w:r>
    </w:p>
    <w:p w14:paraId="068CC371" w14:textId="23F17D69" w:rsidR="002F4A27" w:rsidRDefault="002F4A27" w:rsidP="002A6B0A">
      <w:pPr>
        <w:jc w:val="left"/>
      </w:pPr>
      <w:r>
        <w:t xml:space="preserve">In a clinical trial (Study-004) with </w:t>
      </w:r>
      <w:r w:rsidR="00027D80">
        <w:t>WELIREG</w:t>
      </w:r>
      <w:r>
        <w:t xml:space="preserve"> for the treatment of patients with VHL disease-associated RCC, Grade 3 hypoxia occurred in 1 patient (1.6%) </w:t>
      </w:r>
      <w:r w:rsidR="006728A0" w:rsidRPr="00107009">
        <w:t>(</w:t>
      </w:r>
      <w:r w:rsidR="006728A0" w:rsidRPr="00107009">
        <w:rPr>
          <w:color w:val="000000"/>
        </w:rPr>
        <w:t xml:space="preserve">see </w:t>
      </w:r>
      <w:r w:rsidR="006728A0" w:rsidRPr="00107009">
        <w:rPr>
          <w:b/>
          <w:color w:val="000000"/>
        </w:rPr>
        <w:t>Section 4.8 Adverse Effects (Undesirable Effects)</w:t>
      </w:r>
      <w:r w:rsidR="006728A0">
        <w:rPr>
          <w:bCs/>
          <w:color w:val="000000"/>
        </w:rPr>
        <w:t>)</w:t>
      </w:r>
      <w:r w:rsidR="006728A0">
        <w:t>.</w:t>
      </w:r>
      <w:r>
        <w:t xml:space="preserve"> In another clinical trial (Study-001) for the treatment of non-</w:t>
      </w:r>
      <w:r>
        <w:lastRenderedPageBreak/>
        <w:t>VHL disease-associated advanced solid tumo</w:t>
      </w:r>
      <w:r w:rsidR="006728A0">
        <w:t>u</w:t>
      </w:r>
      <w:r>
        <w:t xml:space="preserve">rs using the same dose of </w:t>
      </w:r>
      <w:r w:rsidR="00027D80">
        <w:t>WELIREG</w:t>
      </w:r>
      <w:r>
        <w:t xml:space="preserve">, hypoxia occurred in 17 patients (29.3%%), Grade 3 hypoxia occurred in 9 patients (15.5%). </w:t>
      </w:r>
    </w:p>
    <w:p w14:paraId="6661D940" w14:textId="17C8B82B" w:rsidR="002F4A27" w:rsidRDefault="002F4A27" w:rsidP="002A6B0A">
      <w:pPr>
        <w:jc w:val="left"/>
      </w:pPr>
      <w:r>
        <w:t xml:space="preserve">Monitor oxygen saturation with pulse oximetry before initiation of and periodically throughout treatment with </w:t>
      </w:r>
      <w:r w:rsidR="00027D80">
        <w:t>WELIREG</w:t>
      </w:r>
      <w:r>
        <w:t>. For Grade 3 asymptomatic hypoxia</w:t>
      </w:r>
      <w:r w:rsidR="0066513A">
        <w:t xml:space="preserve"> </w:t>
      </w:r>
      <w:r w:rsidR="0066513A" w:rsidRPr="0066513A">
        <w:t xml:space="preserve">(e.g., pulse </w:t>
      </w:r>
      <w:proofErr w:type="gramStart"/>
      <w:r w:rsidR="0066513A" w:rsidRPr="0066513A">
        <w:t>oximetry  &lt;</w:t>
      </w:r>
      <w:proofErr w:type="gramEnd"/>
      <w:r w:rsidR="0066513A" w:rsidRPr="0066513A">
        <w:t>88% or P</w:t>
      </w:r>
      <w:r w:rsidR="0066513A" w:rsidRPr="0066513A">
        <w:rPr>
          <w:vertAlign w:val="subscript"/>
        </w:rPr>
        <w:t>a</w:t>
      </w:r>
      <w:r w:rsidR="0066513A" w:rsidRPr="0066513A">
        <w:t>O</w:t>
      </w:r>
      <w:r w:rsidR="0066513A" w:rsidRPr="0066513A">
        <w:rPr>
          <w:vertAlign w:val="subscript"/>
        </w:rPr>
        <w:t>2</w:t>
      </w:r>
      <w:r w:rsidR="0066513A" w:rsidRPr="0066513A">
        <w:t xml:space="preserve"> ≤55 mm Hg at rest)</w:t>
      </w:r>
      <w:r>
        <w:t>, consider providing supplemental oxygen and consider continuing or withholding treatment. If withheld, resume at a reduced dose. For patients who have Grade 3 symptomatic hypoxia</w:t>
      </w:r>
      <w:r w:rsidR="0066513A" w:rsidRPr="0066513A">
        <w:t xml:space="preserve"> (e.g., pulse </w:t>
      </w:r>
      <w:proofErr w:type="gramStart"/>
      <w:r w:rsidR="0066513A" w:rsidRPr="0066513A">
        <w:t>oximetry  &lt;</w:t>
      </w:r>
      <w:proofErr w:type="gramEnd"/>
      <w:r w:rsidR="0066513A" w:rsidRPr="0066513A">
        <w:t>88% or P</w:t>
      </w:r>
      <w:r w:rsidR="0066513A" w:rsidRPr="0066513A">
        <w:rPr>
          <w:vertAlign w:val="subscript"/>
        </w:rPr>
        <w:t>a</w:t>
      </w:r>
      <w:r w:rsidR="0066513A" w:rsidRPr="0066513A">
        <w:t>O</w:t>
      </w:r>
      <w:r w:rsidR="0066513A" w:rsidRPr="0066513A">
        <w:rPr>
          <w:vertAlign w:val="subscript"/>
        </w:rPr>
        <w:t>2</w:t>
      </w:r>
      <w:r w:rsidR="0066513A" w:rsidRPr="0066513A">
        <w:t xml:space="preserve"> ≤55 mm Hg at rest)</w:t>
      </w:r>
      <w:r>
        <w:t xml:space="preserve">, withhold </w:t>
      </w:r>
      <w:r w:rsidR="00027D80">
        <w:t>WELIREG</w:t>
      </w:r>
      <w:r>
        <w:t>, treat hypoxia, and consider dose reduction. If symptomatic hypoxia continues to recur, discontinue treatment. For Grade 4 hypoxia</w:t>
      </w:r>
      <w:r w:rsidR="0066513A" w:rsidRPr="0066513A">
        <w:t xml:space="preserve"> (life-threatening airway compromise; urgent intervention indicated e.g., tracheotomy or intubation)</w:t>
      </w:r>
      <w:r>
        <w:t xml:space="preserve">, permanently discontinue treatment </w:t>
      </w:r>
      <w:r w:rsidR="006728A0">
        <w:t xml:space="preserve">(See </w:t>
      </w:r>
      <w:r w:rsidR="006728A0" w:rsidRPr="00107009">
        <w:rPr>
          <w:b/>
          <w:color w:val="000000"/>
        </w:rPr>
        <w:t>Section 4.2 Dose and Method of Administration</w:t>
      </w:r>
      <w:r w:rsidR="006728A0" w:rsidRPr="00107009">
        <w:t>)</w:t>
      </w:r>
      <w:r>
        <w:t xml:space="preserve">. </w:t>
      </w:r>
    </w:p>
    <w:p w14:paraId="7089BA74" w14:textId="59616900" w:rsidR="00CD099E" w:rsidRDefault="00CD099E" w:rsidP="002A6B0A">
      <w:pPr>
        <w:jc w:val="left"/>
      </w:pPr>
      <w:r w:rsidRPr="00CD099E">
        <w:t>Advise patients to report signs and symptoms of hypoxia immediately to a healthcare provider</w:t>
      </w:r>
      <w:r w:rsidR="007918FB">
        <w:t>.</w:t>
      </w:r>
    </w:p>
    <w:p w14:paraId="52D85AC5" w14:textId="5187B0FC" w:rsidR="002F4A27" w:rsidRDefault="002F4A27" w:rsidP="002A6B0A">
      <w:pPr>
        <w:pStyle w:val="Heading3"/>
        <w:jc w:val="left"/>
      </w:pPr>
      <w:r>
        <w:t>Embryo-Fetal Toxicity</w:t>
      </w:r>
    </w:p>
    <w:p w14:paraId="22B8DEEF" w14:textId="68105D27" w:rsidR="002F4A27" w:rsidRDefault="002F4A27" w:rsidP="002A6B0A">
      <w:pPr>
        <w:jc w:val="left"/>
      </w:pPr>
      <w:r>
        <w:t xml:space="preserve">Based on findings in animals, </w:t>
      </w:r>
      <w:r w:rsidR="00027D80">
        <w:t>WELIREG</w:t>
      </w:r>
      <w:r>
        <w:t xml:space="preserve"> may cause fetal harm, including fetal loss, in humans. In a rat study, </w:t>
      </w:r>
      <w:r w:rsidR="00027D80">
        <w:t>WELIREG</w:t>
      </w:r>
      <w:r>
        <w:t xml:space="preserve"> caused embryo-fetal toxicity when administered during the period of organogenesis at maternal exposures that were lower than the human exposures at the recommended dose of 120 mg daily. Advise females of reproductive potential to use effective </w:t>
      </w:r>
      <w:r w:rsidR="007918FB">
        <w:t xml:space="preserve">non-hormonal </w:t>
      </w:r>
      <w:r>
        <w:t xml:space="preserve">contraceptive during treatment with </w:t>
      </w:r>
      <w:r w:rsidR="00027D80">
        <w:t>WELIREG</w:t>
      </w:r>
      <w:r>
        <w:t xml:space="preserve"> and for 1 week after the last dose due to the potential risk to the </w:t>
      </w:r>
      <w:proofErr w:type="spellStart"/>
      <w:r>
        <w:t>fetus</w:t>
      </w:r>
      <w:proofErr w:type="spellEnd"/>
      <w:r>
        <w:t xml:space="preserve">. </w:t>
      </w:r>
      <w:r w:rsidR="007918FB" w:rsidRPr="007918FB">
        <w:t>This is because the use of WELIREG may reduce the efficacy of hormonal contraceptives.</w:t>
      </w:r>
      <w:r w:rsidR="007918FB">
        <w:t xml:space="preserve"> </w:t>
      </w:r>
      <w:r>
        <w:t>Advise male</w:t>
      </w:r>
      <w:r w:rsidR="007918FB">
        <w:t xml:space="preserve"> patients</w:t>
      </w:r>
      <w:r>
        <w:t xml:space="preserve"> with female partners of reproductive potential to use highly effective contraception during treatment with </w:t>
      </w:r>
      <w:r w:rsidR="00027D80">
        <w:t>WELIREG</w:t>
      </w:r>
      <w:r>
        <w:t xml:space="preserve"> and for 1 week after the last dose </w:t>
      </w:r>
      <w:r w:rsidR="00403CDE">
        <w:t xml:space="preserve">(See </w:t>
      </w:r>
      <w:r w:rsidR="007918FB" w:rsidRPr="00107009">
        <w:rPr>
          <w:b/>
          <w:color w:val="000000"/>
        </w:rPr>
        <w:t>Section 4.</w:t>
      </w:r>
      <w:r w:rsidR="007918FB">
        <w:rPr>
          <w:b/>
          <w:color w:val="000000"/>
        </w:rPr>
        <w:t>5</w:t>
      </w:r>
      <w:r w:rsidR="007918FB" w:rsidRPr="00107009">
        <w:rPr>
          <w:b/>
          <w:color w:val="000000"/>
        </w:rPr>
        <w:t xml:space="preserve"> </w:t>
      </w:r>
      <w:r w:rsidR="007918FB">
        <w:rPr>
          <w:b/>
          <w:color w:val="000000"/>
        </w:rPr>
        <w:t>Interactions with other medicines and other forms of interactions</w:t>
      </w:r>
      <w:r w:rsidR="007918FB" w:rsidRPr="00107009">
        <w:rPr>
          <w:b/>
          <w:color w:val="000000"/>
        </w:rPr>
        <w:t xml:space="preserve"> </w:t>
      </w:r>
      <w:r w:rsidR="007918FB">
        <w:rPr>
          <w:b/>
          <w:color w:val="000000"/>
        </w:rPr>
        <w:t xml:space="preserve">and </w:t>
      </w:r>
      <w:r w:rsidR="00403CDE" w:rsidRPr="00107009">
        <w:rPr>
          <w:b/>
          <w:color w:val="000000"/>
        </w:rPr>
        <w:t>Section 4.</w:t>
      </w:r>
      <w:r w:rsidR="00403CDE">
        <w:rPr>
          <w:b/>
          <w:color w:val="000000"/>
        </w:rPr>
        <w:t>6</w:t>
      </w:r>
      <w:r w:rsidR="00403CDE" w:rsidRPr="00107009">
        <w:rPr>
          <w:b/>
          <w:color w:val="000000"/>
        </w:rPr>
        <w:t xml:space="preserve"> </w:t>
      </w:r>
      <w:r w:rsidR="00403CDE">
        <w:rPr>
          <w:b/>
          <w:color w:val="000000"/>
        </w:rPr>
        <w:t xml:space="preserve">Fertility, </w:t>
      </w:r>
      <w:proofErr w:type="gramStart"/>
      <w:r w:rsidR="00403CDE">
        <w:rPr>
          <w:b/>
          <w:color w:val="000000"/>
        </w:rPr>
        <w:t>pregnancy</w:t>
      </w:r>
      <w:proofErr w:type="gramEnd"/>
      <w:r w:rsidR="00403CDE">
        <w:rPr>
          <w:b/>
          <w:color w:val="000000"/>
        </w:rPr>
        <w:t xml:space="preserve"> and lactation</w:t>
      </w:r>
      <w:r w:rsidR="00403CDE" w:rsidRPr="00107009">
        <w:t>)</w:t>
      </w:r>
      <w:r>
        <w:t>.</w:t>
      </w:r>
    </w:p>
    <w:p w14:paraId="7D8744FA" w14:textId="1B58BF1D" w:rsidR="00334121" w:rsidRDefault="00334121" w:rsidP="002A6B0A">
      <w:pPr>
        <w:pStyle w:val="Heading3"/>
        <w:jc w:val="left"/>
      </w:pPr>
      <w:r>
        <w:t>Dual UGT2BI7 and CYP2C19 Poor Metabolisers</w:t>
      </w:r>
    </w:p>
    <w:p w14:paraId="496E2A46" w14:textId="77777777" w:rsidR="00334121" w:rsidRDefault="00334121" w:rsidP="002A6B0A">
      <w:pPr>
        <w:jc w:val="left"/>
      </w:pPr>
      <w:r>
        <w:t xml:space="preserve">Patients who are dual UGT2B17 and CYP2C19 poor metabolisers have higher </w:t>
      </w:r>
      <w:proofErr w:type="spellStart"/>
      <w:r>
        <w:t>belzutifan</w:t>
      </w:r>
      <w:proofErr w:type="spellEnd"/>
      <w:r>
        <w:t xml:space="preserve"> exposures, which may increase the incidence and severity of adverse reactions of </w:t>
      </w:r>
      <w:proofErr w:type="spellStart"/>
      <w:r>
        <w:t>belzutifan</w:t>
      </w:r>
      <w:proofErr w:type="spellEnd"/>
      <w:r>
        <w:t xml:space="preserve"> and should be closely monitored (See </w:t>
      </w:r>
      <w:r w:rsidRPr="001244B9">
        <w:rPr>
          <w:b/>
          <w:bCs/>
        </w:rPr>
        <w:t>Section 4.8 Adverse Effects (Undesirable Effects)</w:t>
      </w:r>
      <w:r>
        <w:rPr>
          <w:b/>
          <w:bCs/>
        </w:rPr>
        <w:t xml:space="preserve">, </w:t>
      </w:r>
      <w:r w:rsidRPr="00435489">
        <w:rPr>
          <w:bCs/>
          <w:color w:val="000000"/>
        </w:rPr>
        <w:t>and</w:t>
      </w:r>
      <w:r w:rsidRPr="00107009">
        <w:rPr>
          <w:b/>
          <w:color w:val="000000"/>
        </w:rPr>
        <w:t xml:space="preserve"> Section </w:t>
      </w:r>
      <w:r>
        <w:rPr>
          <w:b/>
          <w:color w:val="000000"/>
        </w:rPr>
        <w:t>5.1</w:t>
      </w:r>
      <w:r w:rsidRPr="00107009">
        <w:rPr>
          <w:b/>
          <w:color w:val="000000"/>
        </w:rPr>
        <w:t xml:space="preserve"> </w:t>
      </w:r>
      <w:r>
        <w:rPr>
          <w:b/>
          <w:color w:val="000000"/>
        </w:rPr>
        <w:t>Pharmacodynamic properties</w:t>
      </w:r>
      <w:r w:rsidRPr="00435489">
        <w:rPr>
          <w:bCs/>
          <w:color w:val="000000"/>
        </w:rPr>
        <w:t>)</w:t>
      </w:r>
      <w:r>
        <w:t>.</w:t>
      </w:r>
    </w:p>
    <w:p w14:paraId="1B8A5706" w14:textId="2A88C12A" w:rsidR="00E3313B" w:rsidRDefault="00E3313B" w:rsidP="002A6B0A">
      <w:pPr>
        <w:pStyle w:val="Heading3"/>
        <w:jc w:val="left"/>
      </w:pPr>
      <w:r w:rsidRPr="00E3313B">
        <w:t>Use in hepatic impairment</w:t>
      </w:r>
    </w:p>
    <w:p w14:paraId="5B672B9E" w14:textId="6E2B7586" w:rsidR="00E3313B" w:rsidRPr="00E3313B" w:rsidRDefault="00E3313B" w:rsidP="002A6B0A">
      <w:pPr>
        <w:jc w:val="left"/>
      </w:pPr>
      <w:r w:rsidRPr="00E3313B">
        <w:t xml:space="preserve">No dose adjustment of </w:t>
      </w:r>
      <w:r w:rsidR="00027D80">
        <w:t>WELIREG</w:t>
      </w:r>
      <w:r w:rsidRPr="00E3313B">
        <w:t xml:space="preserve"> is recommended in patients with mild hepatic impairment. </w:t>
      </w:r>
      <w:r w:rsidR="00027D80">
        <w:t>WELIREG</w:t>
      </w:r>
      <w:r w:rsidRPr="00E3313B">
        <w:t xml:space="preserve"> has not been studied in patients with moderate or severe hepatic impairment </w:t>
      </w:r>
      <w:r w:rsidR="00403CDE">
        <w:t xml:space="preserve">(See </w:t>
      </w:r>
      <w:r w:rsidR="00403CDE" w:rsidRPr="00107009">
        <w:rPr>
          <w:b/>
          <w:color w:val="000000"/>
        </w:rPr>
        <w:t>Section 4.2 Dose and Method of Administration</w:t>
      </w:r>
      <w:r w:rsidR="00403CDE">
        <w:rPr>
          <w:bCs/>
          <w:color w:val="000000"/>
        </w:rPr>
        <w:t xml:space="preserve"> and </w:t>
      </w:r>
      <w:r w:rsidR="00403CDE" w:rsidRPr="00107009">
        <w:rPr>
          <w:b/>
          <w:color w:val="000000"/>
        </w:rPr>
        <w:t>Section 5.2 Pharmacokinetic Properties</w:t>
      </w:r>
      <w:r w:rsidR="00403CDE">
        <w:rPr>
          <w:bCs/>
          <w:color w:val="000000"/>
        </w:rPr>
        <w:t>)</w:t>
      </w:r>
      <w:r w:rsidRPr="00E3313B">
        <w:t>.</w:t>
      </w:r>
    </w:p>
    <w:p w14:paraId="2E81CF02" w14:textId="79034EE5" w:rsidR="00E3313B" w:rsidRDefault="00E3313B" w:rsidP="002A6B0A">
      <w:pPr>
        <w:pStyle w:val="Heading3"/>
        <w:jc w:val="left"/>
      </w:pPr>
      <w:r w:rsidRPr="00E3313B">
        <w:t>Use in renal impairment</w:t>
      </w:r>
    </w:p>
    <w:p w14:paraId="33C3F6C3" w14:textId="608829AF" w:rsidR="002240E4" w:rsidRPr="00E3313B" w:rsidRDefault="00E3313B" w:rsidP="002A6B0A">
      <w:pPr>
        <w:jc w:val="left"/>
      </w:pPr>
      <w:r w:rsidRPr="00E3313B">
        <w:t xml:space="preserve">No dose adjustment of </w:t>
      </w:r>
      <w:r w:rsidR="00027D80">
        <w:t>WELIREG</w:t>
      </w:r>
      <w:r w:rsidRPr="00E3313B">
        <w:t xml:space="preserve"> is recommended in patients with mild or moderate renal impairment. </w:t>
      </w:r>
      <w:r w:rsidR="00027D80">
        <w:t>WELIREG</w:t>
      </w:r>
      <w:r w:rsidRPr="00E3313B">
        <w:t xml:space="preserve"> has not been studied in patients with severe renal impairment </w:t>
      </w:r>
      <w:r w:rsidR="00403CDE">
        <w:t xml:space="preserve">(See </w:t>
      </w:r>
      <w:r w:rsidR="00403CDE" w:rsidRPr="00107009">
        <w:rPr>
          <w:b/>
          <w:color w:val="000000"/>
        </w:rPr>
        <w:lastRenderedPageBreak/>
        <w:t>Section 4.2 Dose and Method of Administration</w:t>
      </w:r>
      <w:r w:rsidR="00403CDE">
        <w:rPr>
          <w:bCs/>
          <w:color w:val="000000"/>
        </w:rPr>
        <w:t xml:space="preserve"> and </w:t>
      </w:r>
      <w:r w:rsidR="00403CDE" w:rsidRPr="00107009">
        <w:rPr>
          <w:b/>
          <w:color w:val="000000"/>
        </w:rPr>
        <w:t>Section 5.2 Pharmacokinetic Properties</w:t>
      </w:r>
      <w:r w:rsidR="00403CDE">
        <w:rPr>
          <w:bCs/>
          <w:color w:val="000000"/>
        </w:rPr>
        <w:t>)</w:t>
      </w:r>
      <w:r w:rsidRPr="00E3313B">
        <w:t>.</w:t>
      </w:r>
    </w:p>
    <w:p w14:paraId="386037BC" w14:textId="325FAD5B" w:rsidR="001A3992" w:rsidRDefault="001A3992" w:rsidP="002A6B0A">
      <w:pPr>
        <w:pStyle w:val="Heading3"/>
        <w:jc w:val="left"/>
      </w:pPr>
      <w:r w:rsidRPr="00CA00F2">
        <w:t>Use in the elderly</w:t>
      </w:r>
    </w:p>
    <w:p w14:paraId="392ED2BE" w14:textId="03E69634" w:rsidR="00E3313B" w:rsidRPr="00E3313B" w:rsidRDefault="00E3313B" w:rsidP="002A6B0A">
      <w:pPr>
        <w:jc w:val="left"/>
      </w:pPr>
      <w:bookmarkStart w:id="7" w:name="_Hlk122086849"/>
      <w:r w:rsidRPr="00E3313B">
        <w:t xml:space="preserve">No dosage adjustment of </w:t>
      </w:r>
      <w:r w:rsidR="00027D80">
        <w:t>WELIREG</w:t>
      </w:r>
      <w:r w:rsidRPr="00E3313B">
        <w:t xml:space="preserve"> is recommended in geriatric patients. </w:t>
      </w:r>
      <w:r w:rsidR="002A1CCB" w:rsidRPr="00E3313B">
        <w:t xml:space="preserve">Clinical trials of </w:t>
      </w:r>
      <w:r w:rsidR="002A1CCB">
        <w:t>WELIREG</w:t>
      </w:r>
      <w:r w:rsidR="002A1CCB" w:rsidRPr="00E3313B">
        <w:t xml:space="preserve"> did not include </w:t>
      </w:r>
      <w:proofErr w:type="gramStart"/>
      <w:r w:rsidR="002A1CCB" w:rsidRPr="00E3313B">
        <w:t>sufficient numbers of</w:t>
      </w:r>
      <w:proofErr w:type="gramEnd"/>
      <w:r w:rsidR="002A1CCB" w:rsidRPr="00E3313B">
        <w:t xml:space="preserve"> patients aged 65 years and over to determine </w:t>
      </w:r>
      <w:r w:rsidR="002A1CCB">
        <w:t>whether there is a difference in</w:t>
      </w:r>
      <w:r w:rsidR="002A1CCB" w:rsidRPr="00E3313B">
        <w:t xml:space="preserve"> safety or effectiveness compared to younger patients </w:t>
      </w:r>
      <w:r w:rsidR="002A1CCB">
        <w:t xml:space="preserve">(See </w:t>
      </w:r>
      <w:r w:rsidR="002A1CCB" w:rsidRPr="00107009">
        <w:rPr>
          <w:b/>
          <w:color w:val="000000"/>
        </w:rPr>
        <w:t xml:space="preserve">Section </w:t>
      </w:r>
      <w:r w:rsidR="002A1CCB">
        <w:rPr>
          <w:b/>
          <w:color w:val="000000"/>
        </w:rPr>
        <w:t>5.1</w:t>
      </w:r>
      <w:r w:rsidR="002A1CCB" w:rsidRPr="00107009">
        <w:rPr>
          <w:b/>
          <w:color w:val="000000"/>
        </w:rPr>
        <w:t xml:space="preserve"> </w:t>
      </w:r>
      <w:r w:rsidR="002A1CCB">
        <w:rPr>
          <w:b/>
          <w:color w:val="000000"/>
        </w:rPr>
        <w:t xml:space="preserve">Pharmacodynamic properties, Clinical Trials </w:t>
      </w:r>
      <w:r w:rsidR="002A1CCB">
        <w:rPr>
          <w:bCs/>
          <w:color w:val="000000"/>
        </w:rPr>
        <w:t xml:space="preserve">and </w:t>
      </w:r>
      <w:r w:rsidR="002A1CCB" w:rsidRPr="00107009">
        <w:rPr>
          <w:b/>
          <w:color w:val="000000"/>
        </w:rPr>
        <w:t>Section 5.2 Pharmacokinetic Properties</w:t>
      </w:r>
      <w:r w:rsidR="0000342A" w:rsidRPr="0000342A">
        <w:rPr>
          <w:bCs/>
          <w:color w:val="000000"/>
        </w:rPr>
        <w:t>).</w:t>
      </w:r>
      <w:r w:rsidR="0000342A">
        <w:rPr>
          <w:bCs/>
          <w:color w:val="000000"/>
        </w:rPr>
        <w:t xml:space="preserve"> </w:t>
      </w:r>
      <w:bookmarkEnd w:id="7"/>
      <w:r w:rsidRPr="00E3313B">
        <w:t xml:space="preserve">Of the 61 patients with VHL disease-associated RCC (Study-004) treated with </w:t>
      </w:r>
      <w:r w:rsidR="00027D80">
        <w:t>WELIREG</w:t>
      </w:r>
      <w:r w:rsidRPr="00E3313B">
        <w:t>, only 2 patients were 65 years and over. Another clinical trial (Study-001) for the treatment of non-VHL disease-associated advanced solid tumo</w:t>
      </w:r>
      <w:r w:rsidR="00403CDE">
        <w:t>u</w:t>
      </w:r>
      <w:r w:rsidRPr="00E3313B">
        <w:t xml:space="preserve">rs included 24 patients were 65 years and over. </w:t>
      </w:r>
    </w:p>
    <w:p w14:paraId="5E46FA17" w14:textId="77777777" w:rsidR="001A3992" w:rsidRPr="00CA00F2" w:rsidRDefault="001A3992" w:rsidP="002A6B0A">
      <w:pPr>
        <w:pStyle w:val="Heading3"/>
        <w:jc w:val="left"/>
      </w:pPr>
      <w:r w:rsidRPr="00CA00F2">
        <w:t>Paediatric use</w:t>
      </w:r>
    </w:p>
    <w:p w14:paraId="6AA464AE" w14:textId="475D9A5F" w:rsidR="00E3313B" w:rsidRDefault="00E3313B" w:rsidP="002A6B0A">
      <w:pPr>
        <w:jc w:val="left"/>
      </w:pPr>
      <w:r w:rsidRPr="00E3313B">
        <w:t xml:space="preserve">Safety and effectiveness of </w:t>
      </w:r>
      <w:r w:rsidR="00027D80">
        <w:t>WELIREG</w:t>
      </w:r>
      <w:r w:rsidRPr="00E3313B">
        <w:t xml:space="preserve"> in p</w:t>
      </w:r>
      <w:r w:rsidR="004116AD">
        <w:t>a</w:t>
      </w:r>
      <w:r w:rsidRPr="00E3313B">
        <w:t>ediatric patients under 18 years of age have not been established.</w:t>
      </w:r>
    </w:p>
    <w:p w14:paraId="63F5398B" w14:textId="3FB060F5" w:rsidR="001A3992" w:rsidRDefault="001A3992" w:rsidP="002A6B0A">
      <w:pPr>
        <w:pStyle w:val="Heading3"/>
        <w:jc w:val="left"/>
      </w:pPr>
      <w:r w:rsidRPr="00CA00F2">
        <w:t>Effects on laboratory tests</w:t>
      </w:r>
    </w:p>
    <w:p w14:paraId="6C845FFB" w14:textId="27CDE60C" w:rsidR="004116AD" w:rsidRPr="004116AD" w:rsidRDefault="004116AD" w:rsidP="002A6B0A">
      <w:pPr>
        <w:jc w:val="left"/>
      </w:pPr>
      <w:r>
        <w:t>No data available.</w:t>
      </w:r>
    </w:p>
    <w:p w14:paraId="51AD66A2" w14:textId="75638432" w:rsidR="001A3992" w:rsidRDefault="001A3992" w:rsidP="002A6B0A">
      <w:pPr>
        <w:pStyle w:val="Heading2"/>
        <w:keepNext/>
        <w:keepLines/>
        <w:spacing w:before="0" w:after="120"/>
        <w:jc w:val="left"/>
        <w:rPr>
          <w:rFonts w:ascii="Arial" w:hAnsi="Arial" w:cs="Arial"/>
        </w:rPr>
      </w:pPr>
      <w:r w:rsidRPr="00CA00F2">
        <w:rPr>
          <w:rFonts w:ascii="Arial" w:hAnsi="Arial" w:cs="Arial"/>
        </w:rPr>
        <w:t>Interactions with other medicines and other forms of interactions</w:t>
      </w:r>
    </w:p>
    <w:p w14:paraId="5CF9D28F" w14:textId="44BFC43D" w:rsidR="00E3313B" w:rsidRDefault="00E3313B" w:rsidP="002A6B0A">
      <w:pPr>
        <w:jc w:val="left"/>
      </w:pPr>
      <w:bookmarkStart w:id="8" w:name="_Hlk103037386"/>
      <w:r>
        <w:t xml:space="preserve">In vitro and pharmacogenomic studies indicate that </w:t>
      </w:r>
      <w:proofErr w:type="spellStart"/>
      <w:r w:rsidR="00BB7D15">
        <w:t>belzutifan</w:t>
      </w:r>
      <w:proofErr w:type="spellEnd"/>
      <w:r w:rsidR="00BB7D15">
        <w:t xml:space="preserve"> </w:t>
      </w:r>
      <w:r>
        <w:t>is metaboli</w:t>
      </w:r>
      <w:r w:rsidR="004116AD">
        <w:t>s</w:t>
      </w:r>
      <w:r>
        <w:t>ed by</w:t>
      </w:r>
      <w:bookmarkEnd w:id="8"/>
      <w:r>
        <w:t xml:space="preserve"> UGT2B17 and by CYP2C19.</w:t>
      </w:r>
    </w:p>
    <w:p w14:paraId="770F9DB3" w14:textId="61AF2ED0" w:rsidR="00E3313B" w:rsidRDefault="00E3313B" w:rsidP="002A6B0A">
      <w:pPr>
        <w:pStyle w:val="Heading3"/>
        <w:jc w:val="left"/>
      </w:pPr>
      <w:r>
        <w:t xml:space="preserve">Effects of </w:t>
      </w:r>
      <w:r w:rsidR="00027D80">
        <w:t>WELIREG</w:t>
      </w:r>
      <w:r>
        <w:t xml:space="preserve"> on Other Drugs</w:t>
      </w:r>
    </w:p>
    <w:p w14:paraId="751EF9D8" w14:textId="0BD8359A" w:rsidR="00951267" w:rsidRDefault="00951267" w:rsidP="002A6B0A">
      <w:pPr>
        <w:jc w:val="left"/>
      </w:pPr>
      <w:r w:rsidRPr="00951267">
        <w:rPr>
          <w:i/>
          <w:iCs/>
        </w:rPr>
        <w:t xml:space="preserve">In vitro </w:t>
      </w:r>
      <w:r w:rsidRPr="00951267">
        <w:t xml:space="preserve">studies have shown that </w:t>
      </w:r>
      <w:proofErr w:type="spellStart"/>
      <w:r w:rsidR="00BB7D15">
        <w:t>belzutifan</w:t>
      </w:r>
      <w:proofErr w:type="spellEnd"/>
      <w:r w:rsidRPr="00951267">
        <w:t xml:space="preserve"> induces CYP3A4.</w:t>
      </w:r>
    </w:p>
    <w:p w14:paraId="706E66F4" w14:textId="5217C64B" w:rsidR="00941374" w:rsidRDefault="00941374" w:rsidP="002A6B0A">
      <w:pPr>
        <w:jc w:val="left"/>
      </w:pPr>
      <w:r w:rsidRPr="00941374">
        <w:t>Coadministration of WELIREG with CYP3A4 substrates, including hormonal contraceptives, decreases concentrations of CYP3A substrates, which may reduce the efficacy of these substrates. The magnitude of this decrease may be more pronounced in patients who are dual UGT2B17 and CYP2C19 poor metaboli</w:t>
      </w:r>
      <w:r>
        <w:t>s</w:t>
      </w:r>
      <w:r w:rsidRPr="00941374">
        <w:t>ers (</w:t>
      </w:r>
      <w:r w:rsidR="003D54C4">
        <w:t xml:space="preserve">See </w:t>
      </w:r>
      <w:r w:rsidR="003D54C4" w:rsidRPr="00107009">
        <w:rPr>
          <w:b/>
          <w:color w:val="000000"/>
        </w:rPr>
        <w:t xml:space="preserve">Section </w:t>
      </w:r>
      <w:r w:rsidR="003D54C4">
        <w:rPr>
          <w:b/>
          <w:color w:val="000000"/>
        </w:rPr>
        <w:t>5.1</w:t>
      </w:r>
      <w:r w:rsidR="003D54C4" w:rsidRPr="00107009">
        <w:rPr>
          <w:b/>
          <w:color w:val="000000"/>
        </w:rPr>
        <w:t xml:space="preserve"> </w:t>
      </w:r>
      <w:r w:rsidR="003D54C4">
        <w:rPr>
          <w:b/>
          <w:color w:val="000000"/>
        </w:rPr>
        <w:t xml:space="preserve">Pharmacodynamic properties, Clinical </w:t>
      </w:r>
      <w:proofErr w:type="gramStart"/>
      <w:r w:rsidR="003D54C4">
        <w:rPr>
          <w:b/>
          <w:color w:val="000000"/>
        </w:rPr>
        <w:t>Trials</w:t>
      </w:r>
      <w:proofErr w:type="gramEnd"/>
      <w:r w:rsidR="003D54C4">
        <w:rPr>
          <w:b/>
          <w:color w:val="000000"/>
        </w:rPr>
        <w:t xml:space="preserve"> </w:t>
      </w:r>
      <w:r w:rsidR="003D54C4">
        <w:rPr>
          <w:bCs/>
          <w:color w:val="000000"/>
        </w:rPr>
        <w:t xml:space="preserve">and </w:t>
      </w:r>
      <w:r w:rsidR="003D54C4" w:rsidRPr="00107009">
        <w:rPr>
          <w:b/>
          <w:color w:val="000000"/>
        </w:rPr>
        <w:t>Section 5.2 Pharmacokinetic Properties</w:t>
      </w:r>
      <w:r w:rsidRPr="00941374">
        <w:t>).</w:t>
      </w:r>
    </w:p>
    <w:p w14:paraId="399A70BC" w14:textId="05679DD3" w:rsidR="00951267" w:rsidRDefault="00941374" w:rsidP="002A6B0A">
      <w:pPr>
        <w:jc w:val="left"/>
      </w:pPr>
      <w:r w:rsidRPr="00941374">
        <w:t>Coadministration of WELIREG with hormonal contraceptives may lead to contraceptive failure or an increase in breakthrough bleeding.</w:t>
      </w:r>
    </w:p>
    <w:p w14:paraId="731E4DB7" w14:textId="58246EB3" w:rsidR="00BB7D15" w:rsidRDefault="00BB7D15" w:rsidP="002A6B0A">
      <w:pPr>
        <w:jc w:val="left"/>
      </w:pPr>
      <w:r w:rsidRPr="009F236A">
        <w:t>Belzutifan inhibits MATE2K (IC</w:t>
      </w:r>
      <w:r w:rsidRPr="009F236A">
        <w:rPr>
          <w:vertAlign w:val="subscript"/>
        </w:rPr>
        <w:t>50</w:t>
      </w:r>
      <w:r w:rsidRPr="009F236A">
        <w:t xml:space="preserve"> 0.7 </w:t>
      </w:r>
      <w:proofErr w:type="spellStart"/>
      <w:r w:rsidRPr="009F236A">
        <w:t>μM</w:t>
      </w:r>
      <w:proofErr w:type="spellEnd"/>
      <w:r w:rsidRPr="009F236A">
        <w:t>), OCT1 (IC</w:t>
      </w:r>
      <w:r w:rsidRPr="009F236A">
        <w:rPr>
          <w:vertAlign w:val="subscript"/>
        </w:rPr>
        <w:t>50</w:t>
      </w:r>
      <w:r w:rsidRPr="009F236A">
        <w:t xml:space="preserve"> 47 </w:t>
      </w:r>
      <w:proofErr w:type="spellStart"/>
      <w:r w:rsidRPr="009F236A">
        <w:t>μM</w:t>
      </w:r>
      <w:proofErr w:type="spellEnd"/>
      <w:r w:rsidRPr="009F236A">
        <w:t>) and MATE1 (IC</w:t>
      </w:r>
      <w:r w:rsidRPr="009F236A">
        <w:rPr>
          <w:vertAlign w:val="subscript"/>
        </w:rPr>
        <w:t>50</w:t>
      </w:r>
      <w:r w:rsidRPr="009F236A">
        <w:t xml:space="preserve"> 39 </w:t>
      </w:r>
      <w:proofErr w:type="spellStart"/>
      <w:r w:rsidRPr="009F236A">
        <w:t>μM</w:t>
      </w:r>
      <w:proofErr w:type="spellEnd"/>
      <w:r w:rsidRPr="009F236A">
        <w:t xml:space="preserve">) </w:t>
      </w:r>
      <w:r w:rsidRPr="009F236A">
        <w:rPr>
          <w:i/>
          <w:iCs/>
        </w:rPr>
        <w:t>in vitro</w:t>
      </w:r>
      <w:r w:rsidRPr="009F236A">
        <w:t xml:space="preserve"> while the clinical unbound </w:t>
      </w:r>
      <w:proofErr w:type="spellStart"/>
      <w:r w:rsidRPr="009F236A">
        <w:t>C</w:t>
      </w:r>
      <w:r w:rsidRPr="009F236A">
        <w:rPr>
          <w:vertAlign w:val="subscript"/>
        </w:rPr>
        <w:t>max</w:t>
      </w:r>
      <w:proofErr w:type="spellEnd"/>
      <w:r w:rsidRPr="009F236A">
        <w:t xml:space="preserve"> is </w:t>
      </w:r>
      <w:r>
        <w:t>1.8</w:t>
      </w:r>
      <w:r w:rsidRPr="009F236A">
        <w:t xml:space="preserve"> </w:t>
      </w:r>
      <w:proofErr w:type="spellStart"/>
      <w:r w:rsidRPr="009F236A">
        <w:t>μM</w:t>
      </w:r>
      <w:proofErr w:type="spellEnd"/>
      <w:r w:rsidRPr="009F236A">
        <w:t>. Belzutifan might increase plasma exposures of co-administered drugs that are predominantly cleared by these transporters.</w:t>
      </w:r>
    </w:p>
    <w:p w14:paraId="0521EB2B" w14:textId="222727C0" w:rsidR="00E3313B" w:rsidRDefault="00E3313B" w:rsidP="002A6B0A">
      <w:pPr>
        <w:pStyle w:val="Heading3"/>
        <w:jc w:val="left"/>
      </w:pPr>
      <w:r>
        <w:t xml:space="preserve">Effects of Other Drugs on </w:t>
      </w:r>
      <w:r w:rsidR="00027D80">
        <w:t>WELIREG</w:t>
      </w:r>
    </w:p>
    <w:p w14:paraId="05D3712C" w14:textId="462A1529" w:rsidR="00E3313B" w:rsidRPr="00E3313B" w:rsidRDefault="00E3313B" w:rsidP="002A6B0A">
      <w:pPr>
        <w:jc w:val="left"/>
      </w:pPr>
      <w:r>
        <w:t xml:space="preserve">Co-administration with inhibitors of UGT2B17 or CYP2C19 is expected to increase plasma exposures of </w:t>
      </w:r>
      <w:r w:rsidR="00027D80">
        <w:t>WELIREG</w:t>
      </w:r>
      <w:r>
        <w:t xml:space="preserve">. Dose adjustment is not required on co-administration with inhibitors of UGT2B17 or CYP2C19. Drugs that induce CYP2C19 are expected to reduce plasma exposures of </w:t>
      </w:r>
      <w:r w:rsidR="00027D80">
        <w:t>WELIREG</w:t>
      </w:r>
      <w:r>
        <w:t>.</w:t>
      </w:r>
    </w:p>
    <w:p w14:paraId="0447263A" w14:textId="77777777" w:rsidR="001A3992" w:rsidRPr="00CA00F2" w:rsidRDefault="001A3992" w:rsidP="002A6B0A">
      <w:pPr>
        <w:pStyle w:val="Heading2"/>
        <w:spacing w:before="0" w:after="120"/>
        <w:jc w:val="left"/>
        <w:rPr>
          <w:rFonts w:ascii="Arial" w:hAnsi="Arial" w:cs="Arial"/>
        </w:rPr>
      </w:pPr>
      <w:r w:rsidRPr="00CA00F2">
        <w:rPr>
          <w:rFonts w:ascii="Arial" w:hAnsi="Arial" w:cs="Arial"/>
        </w:rPr>
        <w:lastRenderedPageBreak/>
        <w:t xml:space="preserve">Fertility, pregnancy and lactation </w:t>
      </w:r>
    </w:p>
    <w:p w14:paraId="38923C96" w14:textId="672DF22B" w:rsidR="001A3992" w:rsidRDefault="001A3992" w:rsidP="002A6B0A">
      <w:pPr>
        <w:pStyle w:val="Heading3"/>
        <w:jc w:val="left"/>
      </w:pPr>
      <w:r w:rsidRPr="00CA00F2">
        <w:t>Effects on fertility</w:t>
      </w:r>
    </w:p>
    <w:p w14:paraId="68B04831" w14:textId="3E2421EC" w:rsidR="00E3313B" w:rsidRPr="00E3313B" w:rsidRDefault="00BB7D15" w:rsidP="002A6B0A">
      <w:pPr>
        <w:jc w:val="left"/>
      </w:pPr>
      <w:r w:rsidRPr="009F236A">
        <w:t xml:space="preserve">No fertility studies in animals were conducted. Testicular atrophy and </w:t>
      </w:r>
      <w:proofErr w:type="spellStart"/>
      <w:r w:rsidRPr="009F236A">
        <w:t>hypospermia</w:t>
      </w:r>
      <w:proofErr w:type="spellEnd"/>
      <w:r w:rsidRPr="009F236A">
        <w:t xml:space="preserve">, associated with decreased sperm count and motility and abnormal sperm morphology, were observed in general toxicology studies in rats at exposures lower than the human exposure at the recommended dose of 120 mg daily, and did not reverse at the end of a 26-week recovery period. Belzutifan caused post implantation loss in pregnant rats at exposures lower than the human exposure at the recommended dose of 120 mg daily. </w:t>
      </w:r>
      <w:r w:rsidR="00E3313B" w:rsidRPr="00E3313B">
        <w:t xml:space="preserve">Based on findings in animals, </w:t>
      </w:r>
      <w:r w:rsidR="00027D80">
        <w:t>WELIREG</w:t>
      </w:r>
      <w:r w:rsidR="00E3313B" w:rsidRPr="00E3313B">
        <w:t xml:space="preserve"> may impair fertility in males</w:t>
      </w:r>
      <w:r w:rsidR="00A20267">
        <w:t xml:space="preserve"> and females</w:t>
      </w:r>
      <w:r w:rsidR="00E3313B" w:rsidRPr="00E3313B">
        <w:t xml:space="preserve"> of reproductive potential. Advise </w:t>
      </w:r>
      <w:r w:rsidR="007E7F49">
        <w:t>patients</w:t>
      </w:r>
      <w:r w:rsidR="00E3313B" w:rsidRPr="00E3313B">
        <w:t xml:space="preserve"> of this potential risk.</w:t>
      </w:r>
    </w:p>
    <w:p w14:paraId="5D2B2533" w14:textId="07C08B95" w:rsidR="001A3992" w:rsidRDefault="001A3992" w:rsidP="002A6B0A">
      <w:pPr>
        <w:pStyle w:val="Heading3"/>
        <w:jc w:val="left"/>
      </w:pPr>
      <w:r w:rsidRPr="00CA00F2">
        <w:t xml:space="preserve">Use in pregnancy </w:t>
      </w:r>
      <w:r w:rsidR="00497C85" w:rsidRPr="00CA00F2">
        <w:t xml:space="preserve">– Pregnancy Category </w:t>
      </w:r>
      <w:r w:rsidR="001244B9">
        <w:t>D</w:t>
      </w:r>
    </w:p>
    <w:p w14:paraId="53134CA0" w14:textId="0B363BC5" w:rsidR="00E3313B" w:rsidRPr="00E3313B" w:rsidRDefault="00E3313B" w:rsidP="002A6B0A">
      <w:pPr>
        <w:jc w:val="left"/>
      </w:pPr>
      <w:r w:rsidRPr="00E3313B">
        <w:t xml:space="preserve">Based on findings in animal studies, </w:t>
      </w:r>
      <w:r w:rsidR="00027D80">
        <w:t>WELIREG</w:t>
      </w:r>
      <w:r w:rsidRPr="00E3313B">
        <w:t xml:space="preserve"> may cause fetal harm, including fetal loss, when administered to a pregnant woman. There are no available data on the use of </w:t>
      </w:r>
      <w:r w:rsidR="00027D80">
        <w:t>WELIREG</w:t>
      </w:r>
      <w:r w:rsidRPr="00E3313B">
        <w:t xml:space="preserve"> in pregnant women to evaluate drug-associated risk. In a rat embryo-fetal development study, administration of </w:t>
      </w:r>
      <w:bookmarkStart w:id="9" w:name="_Hlk103037552"/>
      <w:proofErr w:type="spellStart"/>
      <w:r w:rsidR="005C17EA">
        <w:t>belzutifan</w:t>
      </w:r>
      <w:bookmarkEnd w:id="9"/>
      <w:proofErr w:type="spellEnd"/>
      <w:r w:rsidRPr="00E3313B">
        <w:t xml:space="preserve"> during organogenesis caused embryo-fetal lethality, reduced fetal body weight, and fetal skeletal abnormalities at exposures </w:t>
      </w:r>
      <w:proofErr w:type="gramStart"/>
      <w:r w:rsidRPr="00E3313B">
        <w:t>similar to</w:t>
      </w:r>
      <w:proofErr w:type="gramEnd"/>
      <w:r w:rsidRPr="00E3313B">
        <w:t xml:space="preserve"> or below the human exposure at the recommended dose of 120 mg daily. Advise females of reproductive potential of the potential risk to a </w:t>
      </w:r>
      <w:proofErr w:type="spellStart"/>
      <w:r w:rsidRPr="00E3313B">
        <w:t>fetus</w:t>
      </w:r>
      <w:proofErr w:type="spellEnd"/>
      <w:r w:rsidRPr="00E3313B">
        <w:t>.</w:t>
      </w:r>
    </w:p>
    <w:p w14:paraId="5B3F0625" w14:textId="62283445" w:rsidR="001A3992" w:rsidRDefault="001A3992" w:rsidP="002A6B0A">
      <w:pPr>
        <w:pStyle w:val="Heading3"/>
        <w:keepNext/>
        <w:keepLines/>
        <w:widowControl w:val="0"/>
        <w:jc w:val="left"/>
      </w:pPr>
      <w:r w:rsidRPr="00CA00F2">
        <w:t xml:space="preserve">Use in lactation </w:t>
      </w:r>
    </w:p>
    <w:p w14:paraId="454BFA58" w14:textId="26FA1A9D" w:rsidR="00E3313B" w:rsidRDefault="00E3313B" w:rsidP="002A6B0A">
      <w:pPr>
        <w:keepNext/>
        <w:keepLines/>
        <w:widowControl w:val="0"/>
        <w:jc w:val="left"/>
      </w:pPr>
      <w:r w:rsidRPr="00E3313B">
        <w:t xml:space="preserve">There are no data on the presence of </w:t>
      </w:r>
      <w:r w:rsidR="00027D80">
        <w:t>WELIREG</w:t>
      </w:r>
      <w:r w:rsidRPr="00E3313B">
        <w:t xml:space="preserve"> or its metabolites in human milk, their effects on the breastfed child, or on milk production. Because of the potential for serious adverse reactions in breastfed children, advise women not to breastfeed during treatment with </w:t>
      </w:r>
      <w:r w:rsidR="00027D80">
        <w:t>WELIREG</w:t>
      </w:r>
      <w:r w:rsidRPr="00E3313B">
        <w:t xml:space="preserve"> and for 1 week after the last dose.</w:t>
      </w:r>
    </w:p>
    <w:p w14:paraId="448DA329" w14:textId="735E14A6" w:rsidR="00E3313B" w:rsidRDefault="00E3313B" w:rsidP="002A6B0A">
      <w:pPr>
        <w:pStyle w:val="Heading3"/>
        <w:jc w:val="left"/>
      </w:pPr>
      <w:r>
        <w:t>Females and Males of Reproductive Potential</w:t>
      </w:r>
    </w:p>
    <w:p w14:paraId="08B924CE" w14:textId="77777777" w:rsidR="00E3313B" w:rsidRPr="00E3313B" w:rsidRDefault="00E3313B" w:rsidP="002A6B0A">
      <w:pPr>
        <w:jc w:val="left"/>
        <w:rPr>
          <w:u w:val="single"/>
        </w:rPr>
      </w:pPr>
      <w:r w:rsidRPr="00E3313B">
        <w:rPr>
          <w:u w:val="single"/>
        </w:rPr>
        <w:t>Pregnancy Testing</w:t>
      </w:r>
    </w:p>
    <w:p w14:paraId="55060E31" w14:textId="7F337B36" w:rsidR="00E3313B" w:rsidRDefault="00E3313B" w:rsidP="002A6B0A">
      <w:pPr>
        <w:jc w:val="left"/>
      </w:pPr>
      <w:r>
        <w:t xml:space="preserve">Verify the pregnancy status of females of reproductive potential prior to initiating treatment with </w:t>
      </w:r>
      <w:r w:rsidR="00027D80">
        <w:t>WELIREG</w:t>
      </w:r>
      <w:r>
        <w:t xml:space="preserve">. </w:t>
      </w:r>
    </w:p>
    <w:p w14:paraId="645B5A72" w14:textId="77777777" w:rsidR="00E3313B" w:rsidRPr="00E3313B" w:rsidRDefault="00E3313B" w:rsidP="002A6B0A">
      <w:pPr>
        <w:jc w:val="left"/>
        <w:rPr>
          <w:u w:val="single"/>
        </w:rPr>
      </w:pPr>
      <w:r w:rsidRPr="00E3313B">
        <w:rPr>
          <w:u w:val="single"/>
        </w:rPr>
        <w:t>Contraception</w:t>
      </w:r>
    </w:p>
    <w:p w14:paraId="4BC9B332" w14:textId="39F0A58F" w:rsidR="00E3313B" w:rsidRDefault="00027D80" w:rsidP="002A6B0A">
      <w:pPr>
        <w:jc w:val="left"/>
      </w:pPr>
      <w:r>
        <w:t>WELIREG</w:t>
      </w:r>
      <w:r w:rsidR="00E3313B">
        <w:t xml:space="preserve"> may cause embryo-fetal harm, including fetal loss, when administered to a pregnant woman </w:t>
      </w:r>
      <w:r w:rsidR="004116AD">
        <w:t xml:space="preserve">(See </w:t>
      </w:r>
      <w:r w:rsidR="004116AD" w:rsidRPr="00107009">
        <w:rPr>
          <w:b/>
          <w:color w:val="000000"/>
        </w:rPr>
        <w:t>Section 4.</w:t>
      </w:r>
      <w:r w:rsidR="004116AD">
        <w:rPr>
          <w:b/>
          <w:color w:val="000000"/>
        </w:rPr>
        <w:t>6</w:t>
      </w:r>
      <w:r w:rsidR="004116AD" w:rsidRPr="00107009">
        <w:rPr>
          <w:b/>
          <w:color w:val="000000"/>
        </w:rPr>
        <w:t xml:space="preserve"> </w:t>
      </w:r>
      <w:r w:rsidR="004116AD">
        <w:rPr>
          <w:b/>
          <w:color w:val="000000"/>
        </w:rPr>
        <w:t xml:space="preserve">Fertility, </w:t>
      </w:r>
      <w:proofErr w:type="gramStart"/>
      <w:r w:rsidR="004116AD">
        <w:rPr>
          <w:b/>
          <w:color w:val="000000"/>
        </w:rPr>
        <w:t>pregnancy</w:t>
      </w:r>
      <w:proofErr w:type="gramEnd"/>
      <w:r w:rsidR="004116AD">
        <w:rPr>
          <w:b/>
          <w:color w:val="000000"/>
        </w:rPr>
        <w:t xml:space="preserve"> and lactation</w:t>
      </w:r>
      <w:r w:rsidR="00A62369">
        <w:rPr>
          <w:b/>
          <w:color w:val="000000"/>
        </w:rPr>
        <w:t>, Use in pregnancy</w:t>
      </w:r>
      <w:r w:rsidR="004116AD" w:rsidRPr="00107009">
        <w:t>)</w:t>
      </w:r>
      <w:r w:rsidR="00E3313B">
        <w:t>.</w:t>
      </w:r>
    </w:p>
    <w:p w14:paraId="13EC64B3" w14:textId="77777777" w:rsidR="00E3313B" w:rsidRPr="00E3313B" w:rsidRDefault="00E3313B" w:rsidP="002A6B0A">
      <w:pPr>
        <w:jc w:val="left"/>
        <w:rPr>
          <w:i/>
          <w:iCs/>
        </w:rPr>
      </w:pPr>
      <w:r w:rsidRPr="00E3313B">
        <w:rPr>
          <w:i/>
          <w:iCs/>
        </w:rPr>
        <w:t xml:space="preserve">Females </w:t>
      </w:r>
    </w:p>
    <w:p w14:paraId="2035515A" w14:textId="2F891228" w:rsidR="00E3313B" w:rsidRDefault="00E3313B" w:rsidP="002A6B0A">
      <w:pPr>
        <w:jc w:val="left"/>
      </w:pPr>
      <w:r>
        <w:t xml:space="preserve">Advise females of reproductive potential to use highly effective contraception during treatment with </w:t>
      </w:r>
      <w:r w:rsidR="00027D80">
        <w:t>WELIREG</w:t>
      </w:r>
      <w:r>
        <w:t xml:space="preserve"> and for at least 1 week after the last dose. Use of </w:t>
      </w:r>
      <w:r w:rsidR="00027D80">
        <w:t>WELIREG</w:t>
      </w:r>
      <w:r>
        <w:t xml:space="preserve"> may reduce the efficacy of hormonal contraceptives. Advise patients using hormonal contraceptives to use an alternative non-hormonal contraceptive method or </w:t>
      </w:r>
      <w:r w:rsidR="0066513A">
        <w:t xml:space="preserve">add a barrier method of contraception (e.g. </w:t>
      </w:r>
      <w:r w:rsidR="00245549">
        <w:t xml:space="preserve"> male condom</w:t>
      </w:r>
      <w:r w:rsidR="006D60C8">
        <w:t>)</w:t>
      </w:r>
      <w:r w:rsidR="00245549">
        <w:t xml:space="preserve"> </w:t>
      </w:r>
      <w:r>
        <w:t xml:space="preserve">during treatment with </w:t>
      </w:r>
      <w:r w:rsidR="00027D80">
        <w:t>WELIREG</w:t>
      </w:r>
      <w:r>
        <w:t xml:space="preserve"> </w:t>
      </w:r>
      <w:r w:rsidR="00A62369">
        <w:t xml:space="preserve">(See </w:t>
      </w:r>
      <w:r w:rsidR="00A62369" w:rsidRPr="00107009">
        <w:rPr>
          <w:b/>
          <w:color w:val="000000"/>
        </w:rPr>
        <w:t>Section 4.</w:t>
      </w:r>
      <w:r w:rsidR="00A62369">
        <w:rPr>
          <w:b/>
          <w:color w:val="000000"/>
        </w:rPr>
        <w:t>5</w:t>
      </w:r>
      <w:r w:rsidR="00A62369" w:rsidRPr="00107009">
        <w:rPr>
          <w:b/>
          <w:color w:val="000000"/>
        </w:rPr>
        <w:t xml:space="preserve"> </w:t>
      </w:r>
      <w:r w:rsidR="00A62369">
        <w:rPr>
          <w:b/>
          <w:color w:val="000000"/>
        </w:rPr>
        <w:t>Interactions with other medicines and other forms of interactions</w:t>
      </w:r>
      <w:r w:rsidR="00A62369" w:rsidRPr="00107009">
        <w:t>)</w:t>
      </w:r>
      <w:r>
        <w:t>.</w:t>
      </w:r>
    </w:p>
    <w:p w14:paraId="387EAE1B" w14:textId="77777777" w:rsidR="00E3313B" w:rsidRPr="00E3313B" w:rsidRDefault="00E3313B" w:rsidP="002A6B0A">
      <w:pPr>
        <w:jc w:val="left"/>
        <w:rPr>
          <w:i/>
          <w:iCs/>
        </w:rPr>
      </w:pPr>
      <w:r w:rsidRPr="00E3313B">
        <w:rPr>
          <w:i/>
          <w:iCs/>
        </w:rPr>
        <w:lastRenderedPageBreak/>
        <w:t>Males</w:t>
      </w:r>
    </w:p>
    <w:p w14:paraId="48590927" w14:textId="322DCBC1" w:rsidR="00E3313B" w:rsidRPr="00E3313B" w:rsidRDefault="00E3313B" w:rsidP="002A6B0A">
      <w:pPr>
        <w:jc w:val="left"/>
      </w:pPr>
      <w:r>
        <w:t xml:space="preserve">Advise male patients with female partners of reproductive potential to use highly effective contraception during treatment with </w:t>
      </w:r>
      <w:r w:rsidR="00027D80">
        <w:t>WELIREG</w:t>
      </w:r>
      <w:r>
        <w:t xml:space="preserve"> and for at least 1 week after the last dose.</w:t>
      </w:r>
    </w:p>
    <w:p w14:paraId="1BDB9382" w14:textId="77777777" w:rsidR="001A3992" w:rsidRPr="00CA00F2" w:rsidRDefault="001A3992" w:rsidP="002A6B0A">
      <w:pPr>
        <w:pStyle w:val="Heading2"/>
        <w:spacing w:before="0" w:after="120"/>
        <w:jc w:val="left"/>
        <w:rPr>
          <w:rFonts w:ascii="Arial" w:hAnsi="Arial" w:cs="Arial"/>
        </w:rPr>
      </w:pPr>
      <w:r w:rsidRPr="00CA00F2">
        <w:rPr>
          <w:rFonts w:ascii="Arial" w:hAnsi="Arial" w:cs="Arial"/>
        </w:rPr>
        <w:t xml:space="preserve">Effects on ability to drive and use machines </w:t>
      </w:r>
    </w:p>
    <w:p w14:paraId="24C5E81B" w14:textId="77777777" w:rsidR="001244B9" w:rsidRDefault="001244B9" w:rsidP="002A6B0A">
      <w:pPr>
        <w:keepNext/>
        <w:keepLines/>
        <w:spacing w:line="240" w:lineRule="auto"/>
        <w:jc w:val="left"/>
        <w:rPr>
          <w:noProof/>
        </w:rPr>
      </w:pPr>
      <w:r w:rsidRPr="009A1D30">
        <w:rPr>
          <w:noProof/>
        </w:rPr>
        <w:t>No studies on the effects on the ability to drive and use machines have been performed.</w:t>
      </w:r>
      <w:r>
        <w:rPr>
          <w:noProof/>
        </w:rPr>
        <w:t xml:space="preserve"> </w:t>
      </w:r>
    </w:p>
    <w:p w14:paraId="66829613" w14:textId="77777777" w:rsidR="001A3992" w:rsidRPr="00CA00F2" w:rsidRDefault="001A3992" w:rsidP="002A6B0A">
      <w:pPr>
        <w:pStyle w:val="Heading2"/>
        <w:keepNext/>
        <w:keepLines/>
        <w:spacing w:before="0" w:after="120"/>
        <w:jc w:val="left"/>
        <w:rPr>
          <w:rFonts w:ascii="Arial" w:hAnsi="Arial" w:cs="Arial"/>
        </w:rPr>
      </w:pPr>
      <w:r w:rsidRPr="00CA00F2">
        <w:rPr>
          <w:rFonts w:ascii="Arial" w:hAnsi="Arial" w:cs="Arial"/>
        </w:rPr>
        <w:t>Adverse effects (Undesirable effects)</w:t>
      </w:r>
    </w:p>
    <w:p w14:paraId="69AD0053" w14:textId="77777777" w:rsidR="00E3313B" w:rsidRDefault="00E3313B" w:rsidP="002A6B0A">
      <w:pPr>
        <w:pStyle w:val="Heading3"/>
        <w:jc w:val="left"/>
      </w:pPr>
      <w:r>
        <w:t>Clinical Trials Experience</w:t>
      </w:r>
    </w:p>
    <w:p w14:paraId="670A5B90" w14:textId="5AC78AA4" w:rsidR="00E3313B" w:rsidRDefault="00E3313B" w:rsidP="002A6B0A">
      <w:pPr>
        <w:jc w:val="left"/>
      </w:pPr>
      <w:r>
        <w:t xml:space="preserve">The safety of </w:t>
      </w:r>
      <w:r w:rsidR="00027D80">
        <w:t>WELIREG</w:t>
      </w:r>
      <w:r>
        <w:t xml:space="preserve"> was evaluated in an open-label Phase 2 clinical trial (Study-004), in 61 patients with VHL disease who had at least one measurable solid tumo</w:t>
      </w:r>
      <w:r w:rsidR="00A62369">
        <w:t>u</w:t>
      </w:r>
      <w:r>
        <w:t>r locali</w:t>
      </w:r>
      <w:r w:rsidR="00A62369">
        <w:t>s</w:t>
      </w:r>
      <w:r>
        <w:t>ed to the kidney as defined by Response Evaluation Criteria in Solid Tumo</w:t>
      </w:r>
      <w:r w:rsidR="00A62369">
        <w:t>u</w:t>
      </w:r>
      <w:r>
        <w:t xml:space="preserve">rs version 1.1 (RECIST v1.1) and who did not require immediate surgery. Patients were treated with </w:t>
      </w:r>
      <w:r w:rsidR="00027D80">
        <w:t>WELIREG</w:t>
      </w:r>
      <w:r>
        <w:t xml:space="preserve"> 120 mg once daily </w:t>
      </w:r>
      <w:r w:rsidR="00A62369">
        <w:t xml:space="preserve">(See </w:t>
      </w:r>
      <w:r w:rsidR="00A62369" w:rsidRPr="00107009">
        <w:rPr>
          <w:b/>
          <w:color w:val="000000"/>
        </w:rPr>
        <w:t xml:space="preserve">Section </w:t>
      </w:r>
      <w:r w:rsidR="00A62369">
        <w:rPr>
          <w:b/>
          <w:color w:val="000000"/>
        </w:rPr>
        <w:t>5.1</w:t>
      </w:r>
      <w:r w:rsidR="00A62369" w:rsidRPr="00107009">
        <w:rPr>
          <w:b/>
          <w:color w:val="000000"/>
        </w:rPr>
        <w:t xml:space="preserve"> </w:t>
      </w:r>
      <w:r w:rsidR="00A62369">
        <w:rPr>
          <w:b/>
          <w:color w:val="000000"/>
        </w:rPr>
        <w:t>Pharmacodynamic properties, Clinical Trials</w:t>
      </w:r>
      <w:r w:rsidR="00A62369" w:rsidRPr="00A62369">
        <w:rPr>
          <w:bCs/>
          <w:color w:val="000000"/>
        </w:rPr>
        <w:t>)</w:t>
      </w:r>
      <w:r>
        <w:t xml:space="preserve">. The median duration of exposure to </w:t>
      </w:r>
      <w:r w:rsidR="00027D80">
        <w:t>WELIREG</w:t>
      </w:r>
      <w:r>
        <w:t xml:space="preserve"> was </w:t>
      </w:r>
      <w:r w:rsidR="006D60C8">
        <w:t xml:space="preserve">125 </w:t>
      </w:r>
      <w:r>
        <w:t xml:space="preserve">weeks (range: 8.4 to </w:t>
      </w:r>
      <w:r w:rsidR="006D60C8">
        <w:t>163.1</w:t>
      </w:r>
      <w:r>
        <w:t xml:space="preserve"> weeks).</w:t>
      </w:r>
    </w:p>
    <w:p w14:paraId="7FB38AD3" w14:textId="77777777" w:rsidR="002A1CCB" w:rsidRPr="00CA00F2" w:rsidRDefault="002A1CCB" w:rsidP="002A6B0A">
      <w:pPr>
        <w:pStyle w:val="Heading3"/>
        <w:jc w:val="left"/>
      </w:pPr>
      <w:r>
        <w:t>A</w:t>
      </w:r>
      <w:r w:rsidRPr="00CA00F2">
        <w:t xml:space="preserve">dverse </w:t>
      </w:r>
      <w:r>
        <w:t>events</w:t>
      </w:r>
    </w:p>
    <w:p w14:paraId="25E1BFCF" w14:textId="202451CE" w:rsidR="002A1CCB" w:rsidRDefault="002A1CCB" w:rsidP="002A6B0A">
      <w:pPr>
        <w:jc w:val="left"/>
      </w:pPr>
      <w:r>
        <w:t xml:space="preserve">WELIREG was discontinued due to adverse events in </w:t>
      </w:r>
      <w:r w:rsidR="006D60C8">
        <w:t>3</w:t>
      </w:r>
      <w:r>
        <w:t xml:space="preserve"> patients (</w:t>
      </w:r>
      <w:r w:rsidR="006D60C8">
        <w:t>4.9</w:t>
      </w:r>
      <w:r>
        <w:t xml:space="preserve">%): 1 patient for Grade 1 dizziness; </w:t>
      </w:r>
      <w:r w:rsidR="006D60C8" w:rsidRPr="006D60C8">
        <w:t xml:space="preserve">one patient for haemorrhage intracranial </w:t>
      </w:r>
      <w:r>
        <w:t xml:space="preserve">and 1 patient due to death from a concomitantly administered toxic agent. Adverse events leading to dose interruption of WELIREG occurred in </w:t>
      </w:r>
      <w:r w:rsidR="006D60C8">
        <w:t>27</w:t>
      </w:r>
      <w:r>
        <w:t xml:space="preserve"> patients (</w:t>
      </w:r>
      <w:r w:rsidR="006D60C8">
        <w:t>44</w:t>
      </w:r>
      <w:r>
        <w:t xml:space="preserve">.3%) and adverse events leading to dose reduction of WELIREG occurred in </w:t>
      </w:r>
      <w:r w:rsidR="006D60C8">
        <w:t>9</w:t>
      </w:r>
      <w:r>
        <w:t xml:space="preserve"> patients (</w:t>
      </w:r>
      <w:r w:rsidR="006D60C8">
        <w:t>14.8</w:t>
      </w:r>
      <w:r>
        <w:t xml:space="preserve">%). The most common (≥10%) adverse event resulting in dose interruption or reduction of WELIREG was fatigue. Serious adverse events occurred in </w:t>
      </w:r>
      <w:r w:rsidR="006D60C8">
        <w:t>14</w:t>
      </w:r>
      <w:r>
        <w:t xml:space="preserve"> patients (</w:t>
      </w:r>
      <w:r w:rsidR="006D60C8">
        <w:t>23.0</w:t>
      </w:r>
      <w:r>
        <w:t xml:space="preserve">%), of which </w:t>
      </w:r>
      <w:r w:rsidR="006D60C8">
        <w:t>4</w:t>
      </w:r>
      <w:r>
        <w:t xml:space="preserve"> were determined to be drug-related (anaemia</w:t>
      </w:r>
      <w:r w:rsidR="006D60C8">
        <w:t>,</w:t>
      </w:r>
      <w:r w:rsidR="006D60C8" w:rsidRPr="006D60C8">
        <w:t xml:space="preserve"> urinary tract infection, haemorrhage intracranial,</w:t>
      </w:r>
      <w:r>
        <w:t xml:space="preserve"> and hypoxia).</w:t>
      </w:r>
    </w:p>
    <w:p w14:paraId="6088251D" w14:textId="4828375C" w:rsidR="002A1CCB" w:rsidRDefault="002A1CCB" w:rsidP="002A6B0A">
      <w:pPr>
        <w:jc w:val="left"/>
      </w:pPr>
      <w:r>
        <w:t>The most common adverse events (≥ 25%) that occurred in patients treated with WELIREG were anaemia, fatigue, headache, dizziness, and nausea</w:t>
      </w:r>
      <w:r w:rsidRPr="00146E0A">
        <w:t xml:space="preserve">. </w:t>
      </w:r>
      <w:r w:rsidR="00124384" w:rsidRPr="00124384">
        <w:fldChar w:fldCharType="begin" w:fldLock="1"/>
      </w:r>
      <w:r w:rsidR="00124384" w:rsidRPr="00124384">
        <w:instrText xml:space="preserve"> REF _Ref123907972 \h  \* MERGEFORMAT </w:instrText>
      </w:r>
      <w:r w:rsidR="00124384" w:rsidRPr="00124384">
        <w:fldChar w:fldCharType="separate"/>
      </w:r>
      <w:r w:rsidR="00124384" w:rsidRPr="00124384">
        <w:rPr>
          <w:b/>
          <w:bCs/>
        </w:rPr>
        <w:t xml:space="preserve">Table </w:t>
      </w:r>
      <w:r w:rsidR="00124384" w:rsidRPr="00124384">
        <w:rPr>
          <w:b/>
          <w:bCs/>
          <w:noProof/>
        </w:rPr>
        <w:t>2</w:t>
      </w:r>
      <w:r w:rsidR="00124384" w:rsidRPr="00124384">
        <w:fldChar w:fldCharType="end"/>
      </w:r>
      <w:r>
        <w:t xml:space="preserve"> summarises the adverse events reported in patients treated with WELIREG.</w:t>
      </w:r>
    </w:p>
    <w:p w14:paraId="0FC70A0B" w14:textId="763F2C31" w:rsidR="00CA628D" w:rsidRPr="00CA628D" w:rsidRDefault="00CA628D" w:rsidP="002A6B0A">
      <w:pPr>
        <w:pStyle w:val="Caption"/>
        <w:keepNext/>
        <w:ind w:firstLine="720"/>
        <w:jc w:val="left"/>
        <w:rPr>
          <w:b/>
          <w:bCs/>
          <w:i w:val="0"/>
          <w:iCs w:val="0"/>
          <w:color w:val="auto"/>
          <w:sz w:val="22"/>
          <w:szCs w:val="22"/>
        </w:rPr>
      </w:pPr>
      <w:bookmarkStart w:id="10" w:name="_Ref123907972"/>
      <w:r w:rsidRPr="00CA628D">
        <w:rPr>
          <w:b/>
          <w:bCs/>
          <w:i w:val="0"/>
          <w:iCs w:val="0"/>
          <w:color w:val="auto"/>
          <w:sz w:val="22"/>
          <w:szCs w:val="22"/>
        </w:rPr>
        <w:t xml:space="preserve">Table </w:t>
      </w:r>
      <w:r w:rsidRPr="00CA628D">
        <w:rPr>
          <w:b/>
          <w:bCs/>
          <w:i w:val="0"/>
          <w:iCs w:val="0"/>
          <w:color w:val="auto"/>
          <w:sz w:val="22"/>
          <w:szCs w:val="22"/>
        </w:rPr>
        <w:fldChar w:fldCharType="begin" w:fldLock="1"/>
      </w:r>
      <w:r w:rsidRPr="00CA628D">
        <w:rPr>
          <w:b/>
          <w:bCs/>
          <w:i w:val="0"/>
          <w:iCs w:val="0"/>
          <w:color w:val="auto"/>
          <w:sz w:val="22"/>
          <w:szCs w:val="22"/>
        </w:rPr>
        <w:instrText xml:space="preserve"> SEQ Table \* ARABIC </w:instrText>
      </w:r>
      <w:r w:rsidRPr="00CA628D">
        <w:rPr>
          <w:b/>
          <w:bCs/>
          <w:i w:val="0"/>
          <w:iCs w:val="0"/>
          <w:color w:val="auto"/>
          <w:sz w:val="22"/>
          <w:szCs w:val="22"/>
        </w:rPr>
        <w:fldChar w:fldCharType="separate"/>
      </w:r>
      <w:r w:rsidR="00124384">
        <w:rPr>
          <w:b/>
          <w:bCs/>
          <w:i w:val="0"/>
          <w:iCs w:val="0"/>
          <w:noProof/>
          <w:color w:val="auto"/>
          <w:sz w:val="22"/>
          <w:szCs w:val="22"/>
        </w:rPr>
        <w:t>2</w:t>
      </w:r>
      <w:r w:rsidRPr="00CA628D">
        <w:rPr>
          <w:b/>
          <w:bCs/>
          <w:i w:val="0"/>
          <w:iCs w:val="0"/>
          <w:color w:val="auto"/>
          <w:sz w:val="22"/>
          <w:szCs w:val="22"/>
        </w:rPr>
        <w:fldChar w:fldCharType="end"/>
      </w:r>
      <w:bookmarkEnd w:id="10"/>
      <w:r>
        <w:rPr>
          <w:b/>
          <w:bCs/>
          <w:i w:val="0"/>
          <w:iCs w:val="0"/>
          <w:color w:val="auto"/>
          <w:sz w:val="22"/>
          <w:szCs w:val="22"/>
        </w:rPr>
        <w:t xml:space="preserve">: </w:t>
      </w:r>
      <w:r w:rsidRPr="00A62369">
        <w:rPr>
          <w:rFonts w:eastAsia="MS Mincho" w:cs="Times New Roman"/>
          <w:b/>
          <w:bCs/>
          <w:i w:val="0"/>
          <w:iCs w:val="0"/>
          <w:color w:val="auto"/>
          <w:sz w:val="22"/>
          <w:szCs w:val="22"/>
          <w:lang w:val="en-US" w:eastAsia="ja-JP"/>
        </w:rPr>
        <w:t xml:space="preserve">Adverse Events Occurring in </w:t>
      </w:r>
      <w:r w:rsidRPr="00A62369">
        <w:rPr>
          <w:rFonts w:eastAsia="MS Mincho" w:cs="Arial"/>
          <w:b/>
          <w:bCs/>
          <w:i w:val="0"/>
          <w:iCs w:val="0"/>
          <w:color w:val="auto"/>
          <w:sz w:val="22"/>
          <w:szCs w:val="22"/>
          <w:lang w:val="en-US" w:eastAsia="ja-JP"/>
        </w:rPr>
        <w:t>≥10%</w:t>
      </w:r>
      <w:r w:rsidRPr="00A62369">
        <w:rPr>
          <w:rFonts w:eastAsia="MS Mincho" w:cs="Times New Roman"/>
          <w:b/>
          <w:bCs/>
          <w:i w:val="0"/>
          <w:iCs w:val="0"/>
          <w:color w:val="auto"/>
          <w:sz w:val="22"/>
          <w:szCs w:val="22"/>
          <w:lang w:val="en-US" w:eastAsia="ja-JP"/>
        </w:rPr>
        <w:t xml:space="preserve"> of Patients Treated with </w:t>
      </w:r>
      <w:r>
        <w:rPr>
          <w:rFonts w:eastAsia="MS Mincho" w:cs="Times New Roman"/>
          <w:b/>
          <w:bCs/>
          <w:i w:val="0"/>
          <w:iCs w:val="0"/>
          <w:color w:val="auto"/>
          <w:sz w:val="22"/>
          <w:szCs w:val="22"/>
          <w:lang w:val="en-US" w:eastAsia="ja-JP"/>
        </w:rPr>
        <w:t>WELIREG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409"/>
        <w:gridCol w:w="1530"/>
      </w:tblGrid>
      <w:tr w:rsidR="002A1CCB" w:rsidRPr="00E3313B" w14:paraId="0EA14E1F" w14:textId="77777777" w:rsidTr="006D021F">
        <w:trPr>
          <w:jc w:val="center"/>
        </w:trPr>
        <w:tc>
          <w:tcPr>
            <w:tcW w:w="2996" w:type="dxa"/>
            <w:shd w:val="clear" w:color="auto" w:fill="auto"/>
          </w:tcPr>
          <w:p w14:paraId="6ADC1EED" w14:textId="77777777" w:rsidR="002A1CCB" w:rsidRPr="00E3313B" w:rsidRDefault="002A1CCB" w:rsidP="002A6B0A">
            <w:pPr>
              <w:spacing w:after="0" w:line="240" w:lineRule="auto"/>
              <w:jc w:val="left"/>
              <w:rPr>
                <w:rFonts w:eastAsia="MS Mincho" w:cs="Times New Roman"/>
                <w:b/>
                <w:bCs/>
                <w:sz w:val="20"/>
                <w:szCs w:val="20"/>
                <w:lang w:val="en-US" w:eastAsia="ja-JP"/>
              </w:rPr>
            </w:pPr>
          </w:p>
        </w:tc>
        <w:tc>
          <w:tcPr>
            <w:tcW w:w="2939" w:type="dxa"/>
            <w:gridSpan w:val="2"/>
            <w:shd w:val="clear" w:color="auto" w:fill="auto"/>
          </w:tcPr>
          <w:p w14:paraId="199B6788" w14:textId="77777777" w:rsidR="002A1CCB" w:rsidRPr="00E3313B" w:rsidRDefault="002A1CCB" w:rsidP="002A6B0A">
            <w:pPr>
              <w:spacing w:after="0" w:line="240" w:lineRule="auto"/>
              <w:jc w:val="left"/>
              <w:rPr>
                <w:rFonts w:eastAsia="MS Mincho" w:cs="Times New Roman"/>
                <w:b/>
                <w:bCs/>
                <w:sz w:val="20"/>
                <w:szCs w:val="20"/>
                <w:lang w:val="en-US" w:eastAsia="ja-JP"/>
              </w:rPr>
            </w:pPr>
            <w:r>
              <w:rPr>
                <w:rFonts w:eastAsia="MS Mincho" w:cs="Times New Roman"/>
                <w:b/>
                <w:bCs/>
                <w:sz w:val="20"/>
                <w:szCs w:val="20"/>
                <w:lang w:val="en-US" w:eastAsia="ja-JP"/>
              </w:rPr>
              <w:t>WELIREG</w:t>
            </w:r>
          </w:p>
          <w:p w14:paraId="79DF8294"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N=61</w:t>
            </w:r>
          </w:p>
        </w:tc>
      </w:tr>
      <w:tr w:rsidR="002A1CCB" w:rsidRPr="00E3313B" w14:paraId="13BD3FFE" w14:textId="77777777" w:rsidTr="006D021F">
        <w:trPr>
          <w:jc w:val="center"/>
        </w:trPr>
        <w:tc>
          <w:tcPr>
            <w:tcW w:w="2996" w:type="dxa"/>
            <w:shd w:val="clear" w:color="auto" w:fill="auto"/>
          </w:tcPr>
          <w:p w14:paraId="5D3EB388"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Adverse Event</w:t>
            </w:r>
          </w:p>
        </w:tc>
        <w:tc>
          <w:tcPr>
            <w:tcW w:w="1409" w:type="dxa"/>
            <w:shd w:val="clear" w:color="auto" w:fill="auto"/>
          </w:tcPr>
          <w:p w14:paraId="497A520E"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All Grades</w:t>
            </w:r>
            <w:r w:rsidRPr="00E3313B">
              <w:rPr>
                <w:rFonts w:eastAsia="MS Mincho" w:cs="Times New Roman"/>
                <w:b/>
                <w:sz w:val="16"/>
                <w:szCs w:val="16"/>
                <w:vertAlign w:val="superscript"/>
                <w:lang w:val="en-US" w:eastAsia="ja-JP"/>
              </w:rPr>
              <w:t>*</w:t>
            </w:r>
          </w:p>
          <w:p w14:paraId="74AAC145"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w:t>
            </w:r>
          </w:p>
        </w:tc>
        <w:tc>
          <w:tcPr>
            <w:tcW w:w="1530" w:type="dxa"/>
            <w:shd w:val="clear" w:color="auto" w:fill="auto"/>
          </w:tcPr>
          <w:p w14:paraId="55C55A45"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Grade 3-4</w:t>
            </w:r>
          </w:p>
          <w:p w14:paraId="0F24D99E"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w:t>
            </w:r>
          </w:p>
        </w:tc>
      </w:tr>
      <w:tr w:rsidR="002A1CCB" w:rsidRPr="00E3313B" w14:paraId="094BFD64" w14:textId="77777777" w:rsidTr="006D021F">
        <w:trPr>
          <w:jc w:val="center"/>
        </w:trPr>
        <w:tc>
          <w:tcPr>
            <w:tcW w:w="2996" w:type="dxa"/>
            <w:shd w:val="clear" w:color="auto" w:fill="auto"/>
          </w:tcPr>
          <w:p w14:paraId="5E4CB296"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Blood and Lymphatic</w:t>
            </w:r>
          </w:p>
        </w:tc>
        <w:tc>
          <w:tcPr>
            <w:tcW w:w="1409" w:type="dxa"/>
            <w:shd w:val="clear" w:color="auto" w:fill="auto"/>
          </w:tcPr>
          <w:p w14:paraId="3F6C10FD"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2FD4945A"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315BD502" w14:textId="77777777" w:rsidTr="006D021F">
        <w:trPr>
          <w:jc w:val="center"/>
        </w:trPr>
        <w:tc>
          <w:tcPr>
            <w:tcW w:w="2996" w:type="dxa"/>
            <w:shd w:val="clear" w:color="auto" w:fill="auto"/>
          </w:tcPr>
          <w:p w14:paraId="43449DC0" w14:textId="4B1B766C" w:rsidR="002A1CCB" w:rsidRPr="00E3313B" w:rsidRDefault="002A1CCB" w:rsidP="002A6B0A">
            <w:pPr>
              <w:spacing w:after="0" w:line="240" w:lineRule="auto"/>
              <w:jc w:val="left"/>
              <w:rPr>
                <w:rFonts w:eastAsia="MS Mincho" w:cs="Times New Roman"/>
                <w:sz w:val="20"/>
                <w:szCs w:val="20"/>
                <w:lang w:val="en-US" w:eastAsia="ja-JP"/>
              </w:rPr>
            </w:pPr>
            <w:proofErr w:type="spellStart"/>
            <w:r w:rsidRPr="00E3313B">
              <w:rPr>
                <w:rFonts w:eastAsia="MS Mincho" w:cs="Times New Roman"/>
                <w:sz w:val="20"/>
                <w:szCs w:val="20"/>
                <w:lang w:val="en-US" w:eastAsia="ja-JP"/>
              </w:rPr>
              <w:t>An</w:t>
            </w:r>
            <w:r w:rsidR="00E11AD1">
              <w:rPr>
                <w:rFonts w:eastAsia="MS Mincho" w:cs="Times New Roman"/>
                <w:sz w:val="20"/>
                <w:szCs w:val="20"/>
                <w:lang w:val="en-US" w:eastAsia="ja-JP"/>
              </w:rPr>
              <w:t>a</w:t>
            </w:r>
            <w:r w:rsidRPr="00E3313B">
              <w:rPr>
                <w:rFonts w:eastAsia="MS Mincho" w:cs="Times New Roman"/>
                <w:sz w:val="20"/>
                <w:szCs w:val="20"/>
                <w:lang w:val="en-US" w:eastAsia="ja-JP"/>
              </w:rPr>
              <w:t>emia</w:t>
            </w:r>
            <w:proofErr w:type="spellEnd"/>
            <w:r w:rsidRPr="00E3313B">
              <w:rPr>
                <w:rFonts w:eastAsia="MS Mincho" w:cs="Times New Roman"/>
                <w:sz w:val="20"/>
                <w:szCs w:val="20"/>
                <w:lang w:val="en-US" w:eastAsia="ja-JP"/>
              </w:rPr>
              <w:t xml:space="preserve"> </w:t>
            </w:r>
          </w:p>
        </w:tc>
        <w:tc>
          <w:tcPr>
            <w:tcW w:w="1409" w:type="dxa"/>
            <w:shd w:val="clear" w:color="auto" w:fill="auto"/>
          </w:tcPr>
          <w:p w14:paraId="3A649FF9"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90</w:t>
            </w:r>
          </w:p>
        </w:tc>
        <w:tc>
          <w:tcPr>
            <w:tcW w:w="1530" w:type="dxa"/>
            <w:shd w:val="clear" w:color="auto" w:fill="auto"/>
          </w:tcPr>
          <w:p w14:paraId="4159E966" w14:textId="45E869BB"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10</w:t>
            </w:r>
          </w:p>
        </w:tc>
      </w:tr>
      <w:tr w:rsidR="002A1CCB" w:rsidRPr="00E3313B" w14:paraId="48C2DD3B" w14:textId="77777777" w:rsidTr="006D021F">
        <w:trPr>
          <w:jc w:val="center"/>
        </w:trPr>
        <w:tc>
          <w:tcPr>
            <w:tcW w:w="2996" w:type="dxa"/>
            <w:shd w:val="clear" w:color="auto" w:fill="auto"/>
          </w:tcPr>
          <w:p w14:paraId="2B07773C"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General</w:t>
            </w:r>
          </w:p>
        </w:tc>
        <w:tc>
          <w:tcPr>
            <w:tcW w:w="1409" w:type="dxa"/>
            <w:shd w:val="clear" w:color="auto" w:fill="auto"/>
          </w:tcPr>
          <w:p w14:paraId="5875F38A"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400CDE8F"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4A8ACA10" w14:textId="77777777" w:rsidTr="006D021F">
        <w:trPr>
          <w:jc w:val="center"/>
        </w:trPr>
        <w:tc>
          <w:tcPr>
            <w:tcW w:w="2996" w:type="dxa"/>
            <w:shd w:val="clear" w:color="auto" w:fill="auto"/>
          </w:tcPr>
          <w:p w14:paraId="76ADECA2"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Fatigue</w:t>
            </w:r>
          </w:p>
        </w:tc>
        <w:tc>
          <w:tcPr>
            <w:tcW w:w="1409" w:type="dxa"/>
            <w:shd w:val="clear" w:color="auto" w:fill="auto"/>
          </w:tcPr>
          <w:p w14:paraId="095BF8A4" w14:textId="30DFACC8" w:rsidR="002A1CCB" w:rsidRPr="00E3313B" w:rsidRDefault="0000342A"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70</w:t>
            </w:r>
          </w:p>
        </w:tc>
        <w:tc>
          <w:tcPr>
            <w:tcW w:w="1530" w:type="dxa"/>
            <w:shd w:val="clear" w:color="auto" w:fill="auto"/>
          </w:tcPr>
          <w:p w14:paraId="285E73BC" w14:textId="1264FFA4"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5</w:t>
            </w:r>
          </w:p>
        </w:tc>
      </w:tr>
      <w:tr w:rsidR="006D60C8" w:rsidRPr="00E3313B" w14:paraId="41387119" w14:textId="77777777" w:rsidTr="006D021F">
        <w:trPr>
          <w:jc w:val="center"/>
        </w:trPr>
        <w:tc>
          <w:tcPr>
            <w:tcW w:w="2996" w:type="dxa"/>
            <w:shd w:val="clear" w:color="auto" w:fill="auto"/>
          </w:tcPr>
          <w:p w14:paraId="0C2E85A3" w14:textId="69BE5F5A" w:rsidR="006D60C8" w:rsidRPr="00E3313B" w:rsidRDefault="006D60C8" w:rsidP="002A6B0A">
            <w:pPr>
              <w:spacing w:after="0" w:line="240" w:lineRule="auto"/>
              <w:jc w:val="left"/>
              <w:rPr>
                <w:rFonts w:eastAsia="MS Mincho" w:cs="Times New Roman"/>
                <w:sz w:val="20"/>
                <w:szCs w:val="20"/>
                <w:lang w:val="en-US" w:eastAsia="ja-JP"/>
              </w:rPr>
            </w:pPr>
            <w:r w:rsidRPr="006D60C8">
              <w:rPr>
                <w:rFonts w:eastAsia="MS Mincho" w:cs="Times New Roman"/>
                <w:sz w:val="20"/>
                <w:szCs w:val="20"/>
                <w:lang w:val="en-US" w:eastAsia="ja-JP"/>
              </w:rPr>
              <w:t>Oedema peripheral</w:t>
            </w:r>
          </w:p>
        </w:tc>
        <w:tc>
          <w:tcPr>
            <w:tcW w:w="1409" w:type="dxa"/>
            <w:shd w:val="clear" w:color="auto" w:fill="auto"/>
          </w:tcPr>
          <w:p w14:paraId="6FC9791B" w14:textId="51CFBA65" w:rsidR="006D60C8" w:rsidRPr="00E3313B" w:rsidDel="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13</w:t>
            </w:r>
          </w:p>
        </w:tc>
        <w:tc>
          <w:tcPr>
            <w:tcW w:w="1530" w:type="dxa"/>
            <w:shd w:val="clear" w:color="auto" w:fill="auto"/>
          </w:tcPr>
          <w:p w14:paraId="1F37F82C" w14:textId="292E9B7F" w:rsidR="006D60C8" w:rsidRPr="00E3313B" w:rsidDel="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2A1CCB" w:rsidRPr="00E3313B" w14:paraId="424C5F25" w14:textId="77777777" w:rsidTr="006D021F">
        <w:trPr>
          <w:jc w:val="center"/>
        </w:trPr>
        <w:tc>
          <w:tcPr>
            <w:tcW w:w="2996" w:type="dxa"/>
            <w:shd w:val="clear" w:color="auto" w:fill="auto"/>
          </w:tcPr>
          <w:p w14:paraId="4976AEB0"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Nervous system</w:t>
            </w:r>
          </w:p>
        </w:tc>
        <w:tc>
          <w:tcPr>
            <w:tcW w:w="1409" w:type="dxa"/>
            <w:shd w:val="clear" w:color="auto" w:fill="auto"/>
          </w:tcPr>
          <w:p w14:paraId="69187ED6"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6BC6BCF8"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1A4E2235" w14:textId="77777777" w:rsidTr="006D021F">
        <w:trPr>
          <w:jc w:val="center"/>
        </w:trPr>
        <w:tc>
          <w:tcPr>
            <w:tcW w:w="2996" w:type="dxa"/>
            <w:shd w:val="clear" w:color="auto" w:fill="auto"/>
          </w:tcPr>
          <w:p w14:paraId="06EADB66"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Headache</w:t>
            </w:r>
          </w:p>
        </w:tc>
        <w:tc>
          <w:tcPr>
            <w:tcW w:w="1409" w:type="dxa"/>
            <w:shd w:val="clear" w:color="auto" w:fill="auto"/>
          </w:tcPr>
          <w:p w14:paraId="7AEF7A12" w14:textId="7ECC0071"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44</w:t>
            </w:r>
          </w:p>
        </w:tc>
        <w:tc>
          <w:tcPr>
            <w:tcW w:w="1530" w:type="dxa"/>
            <w:shd w:val="clear" w:color="auto" w:fill="auto"/>
          </w:tcPr>
          <w:p w14:paraId="502AF036"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2A1CCB" w:rsidRPr="00E3313B" w14:paraId="2CFC1BE9" w14:textId="77777777" w:rsidTr="006D021F">
        <w:trPr>
          <w:jc w:val="center"/>
        </w:trPr>
        <w:tc>
          <w:tcPr>
            <w:tcW w:w="2996" w:type="dxa"/>
            <w:shd w:val="clear" w:color="auto" w:fill="auto"/>
          </w:tcPr>
          <w:p w14:paraId="428315E2"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sz w:val="20"/>
                <w:szCs w:val="20"/>
                <w:lang w:val="en-US" w:eastAsia="ja-JP"/>
              </w:rPr>
              <w:t>Dizziness</w:t>
            </w:r>
          </w:p>
        </w:tc>
        <w:tc>
          <w:tcPr>
            <w:tcW w:w="1409" w:type="dxa"/>
            <w:shd w:val="clear" w:color="auto" w:fill="auto"/>
          </w:tcPr>
          <w:p w14:paraId="39EB55A5" w14:textId="7339F3AC"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44</w:t>
            </w:r>
          </w:p>
        </w:tc>
        <w:tc>
          <w:tcPr>
            <w:tcW w:w="1530" w:type="dxa"/>
            <w:shd w:val="clear" w:color="auto" w:fill="auto"/>
          </w:tcPr>
          <w:p w14:paraId="14416CEA"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2A1CCB" w:rsidRPr="00E3313B" w14:paraId="25B680FD" w14:textId="77777777" w:rsidTr="006D021F">
        <w:trPr>
          <w:jc w:val="center"/>
        </w:trPr>
        <w:tc>
          <w:tcPr>
            <w:tcW w:w="2996" w:type="dxa"/>
            <w:shd w:val="clear" w:color="auto" w:fill="auto"/>
          </w:tcPr>
          <w:p w14:paraId="5EC77762"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b/>
                <w:bCs/>
                <w:sz w:val="20"/>
                <w:szCs w:val="20"/>
                <w:lang w:val="en-US" w:eastAsia="ja-JP"/>
              </w:rPr>
              <w:t>Gastrointestinal</w:t>
            </w:r>
          </w:p>
        </w:tc>
        <w:tc>
          <w:tcPr>
            <w:tcW w:w="1409" w:type="dxa"/>
            <w:shd w:val="clear" w:color="auto" w:fill="auto"/>
          </w:tcPr>
          <w:p w14:paraId="253BDE38"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04C8C83D"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5CDC3C6A" w14:textId="77777777" w:rsidTr="006D021F">
        <w:trPr>
          <w:jc w:val="center"/>
        </w:trPr>
        <w:tc>
          <w:tcPr>
            <w:tcW w:w="2996" w:type="dxa"/>
            <w:shd w:val="clear" w:color="auto" w:fill="auto"/>
          </w:tcPr>
          <w:p w14:paraId="657F1F8F"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Nausea</w:t>
            </w:r>
          </w:p>
        </w:tc>
        <w:tc>
          <w:tcPr>
            <w:tcW w:w="1409" w:type="dxa"/>
            <w:shd w:val="clear" w:color="auto" w:fill="auto"/>
          </w:tcPr>
          <w:p w14:paraId="58EA8CE3" w14:textId="375DD487"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36</w:t>
            </w:r>
          </w:p>
        </w:tc>
        <w:tc>
          <w:tcPr>
            <w:tcW w:w="1530" w:type="dxa"/>
            <w:shd w:val="clear" w:color="auto" w:fill="auto"/>
          </w:tcPr>
          <w:p w14:paraId="392BB56F"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2A1CCB" w:rsidRPr="00E3313B" w14:paraId="74B5BA72" w14:textId="77777777" w:rsidTr="006D021F">
        <w:trPr>
          <w:jc w:val="center"/>
        </w:trPr>
        <w:tc>
          <w:tcPr>
            <w:tcW w:w="2996" w:type="dxa"/>
            <w:shd w:val="clear" w:color="auto" w:fill="auto"/>
          </w:tcPr>
          <w:p w14:paraId="0806873A"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Constipation</w:t>
            </w:r>
          </w:p>
        </w:tc>
        <w:tc>
          <w:tcPr>
            <w:tcW w:w="1409" w:type="dxa"/>
            <w:shd w:val="clear" w:color="auto" w:fill="auto"/>
          </w:tcPr>
          <w:p w14:paraId="7D7E71F1" w14:textId="25AF03AE"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21</w:t>
            </w:r>
          </w:p>
        </w:tc>
        <w:tc>
          <w:tcPr>
            <w:tcW w:w="1530" w:type="dxa"/>
            <w:shd w:val="clear" w:color="auto" w:fill="auto"/>
          </w:tcPr>
          <w:p w14:paraId="76E61B64"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2A1CCB" w:rsidRPr="00E3313B" w14:paraId="0CF8FAA4" w14:textId="77777777" w:rsidTr="006D021F">
        <w:trPr>
          <w:jc w:val="center"/>
        </w:trPr>
        <w:tc>
          <w:tcPr>
            <w:tcW w:w="2996" w:type="dxa"/>
            <w:shd w:val="clear" w:color="auto" w:fill="auto"/>
          </w:tcPr>
          <w:p w14:paraId="7ABE8FA3"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lastRenderedPageBreak/>
              <w:t>Abdominal pain</w:t>
            </w:r>
          </w:p>
        </w:tc>
        <w:tc>
          <w:tcPr>
            <w:tcW w:w="1409" w:type="dxa"/>
            <w:shd w:val="clear" w:color="auto" w:fill="auto"/>
          </w:tcPr>
          <w:p w14:paraId="7B995387" w14:textId="462CFA02"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18</w:t>
            </w:r>
          </w:p>
        </w:tc>
        <w:tc>
          <w:tcPr>
            <w:tcW w:w="1530" w:type="dxa"/>
            <w:shd w:val="clear" w:color="auto" w:fill="auto"/>
          </w:tcPr>
          <w:p w14:paraId="442650DD"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6D60C8" w:rsidRPr="00E3313B" w14:paraId="72CB42C9" w14:textId="77777777" w:rsidTr="006D021F">
        <w:trPr>
          <w:jc w:val="center"/>
        </w:trPr>
        <w:tc>
          <w:tcPr>
            <w:tcW w:w="2996" w:type="dxa"/>
            <w:shd w:val="clear" w:color="auto" w:fill="auto"/>
          </w:tcPr>
          <w:p w14:paraId="40325697" w14:textId="6A8603EE"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Diarrhoea</w:t>
            </w:r>
          </w:p>
        </w:tc>
        <w:tc>
          <w:tcPr>
            <w:tcW w:w="1409" w:type="dxa"/>
            <w:shd w:val="clear" w:color="auto" w:fill="auto"/>
          </w:tcPr>
          <w:p w14:paraId="6630B5D8" w14:textId="007D621D" w:rsidR="006D60C8" w:rsidRPr="00E3313B" w:rsidDel="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15</w:t>
            </w:r>
          </w:p>
        </w:tc>
        <w:tc>
          <w:tcPr>
            <w:tcW w:w="1530" w:type="dxa"/>
            <w:shd w:val="clear" w:color="auto" w:fill="auto"/>
          </w:tcPr>
          <w:p w14:paraId="75BD1B3F" w14:textId="6529A21D"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w:t>
            </w:r>
          </w:p>
        </w:tc>
      </w:tr>
      <w:tr w:rsidR="002A1CCB" w:rsidRPr="00E3313B" w14:paraId="54D16267" w14:textId="77777777" w:rsidTr="006D021F">
        <w:trPr>
          <w:jc w:val="center"/>
        </w:trPr>
        <w:tc>
          <w:tcPr>
            <w:tcW w:w="2996" w:type="dxa"/>
            <w:shd w:val="clear" w:color="auto" w:fill="auto"/>
          </w:tcPr>
          <w:p w14:paraId="46B41C93"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Respiratory, Thoracic and Mediastinal</w:t>
            </w:r>
          </w:p>
        </w:tc>
        <w:tc>
          <w:tcPr>
            <w:tcW w:w="1409" w:type="dxa"/>
            <w:shd w:val="clear" w:color="auto" w:fill="auto"/>
          </w:tcPr>
          <w:p w14:paraId="06B919AF"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061AFFBB"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47552CE3" w14:textId="77777777" w:rsidTr="006D021F">
        <w:trPr>
          <w:jc w:val="center"/>
        </w:trPr>
        <w:tc>
          <w:tcPr>
            <w:tcW w:w="2996" w:type="dxa"/>
            <w:shd w:val="clear" w:color="auto" w:fill="auto"/>
          </w:tcPr>
          <w:p w14:paraId="7FB8EF77"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sz w:val="20"/>
                <w:szCs w:val="20"/>
                <w:lang w:val="en-US" w:eastAsia="ja-JP"/>
              </w:rPr>
              <w:t>Dyspnea</w:t>
            </w:r>
          </w:p>
        </w:tc>
        <w:tc>
          <w:tcPr>
            <w:tcW w:w="1409" w:type="dxa"/>
            <w:shd w:val="clear" w:color="auto" w:fill="auto"/>
          </w:tcPr>
          <w:p w14:paraId="74C7B791" w14:textId="1A522029"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23</w:t>
            </w:r>
          </w:p>
        </w:tc>
        <w:tc>
          <w:tcPr>
            <w:tcW w:w="1530" w:type="dxa"/>
            <w:shd w:val="clear" w:color="auto" w:fill="auto"/>
          </w:tcPr>
          <w:p w14:paraId="2CDA21F3" w14:textId="47AFE81B" w:rsidR="002A1CCB"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w:t>
            </w:r>
          </w:p>
        </w:tc>
      </w:tr>
      <w:tr w:rsidR="002A1CCB" w:rsidRPr="00E3313B" w14:paraId="2F3E6490" w14:textId="77777777" w:rsidTr="006D021F">
        <w:trPr>
          <w:jc w:val="center"/>
        </w:trPr>
        <w:tc>
          <w:tcPr>
            <w:tcW w:w="2996" w:type="dxa"/>
            <w:shd w:val="clear" w:color="auto" w:fill="auto"/>
          </w:tcPr>
          <w:p w14:paraId="29A7D07D"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Infections</w:t>
            </w:r>
          </w:p>
        </w:tc>
        <w:tc>
          <w:tcPr>
            <w:tcW w:w="1409" w:type="dxa"/>
            <w:shd w:val="clear" w:color="auto" w:fill="auto"/>
          </w:tcPr>
          <w:p w14:paraId="25F624F4"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6EF45A70"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2A1CCB" w:rsidRPr="00E3313B" w14:paraId="5059FB14" w14:textId="77777777" w:rsidTr="006D021F">
        <w:trPr>
          <w:jc w:val="center"/>
        </w:trPr>
        <w:tc>
          <w:tcPr>
            <w:tcW w:w="2996" w:type="dxa"/>
            <w:shd w:val="clear" w:color="auto" w:fill="auto"/>
          </w:tcPr>
          <w:p w14:paraId="07A4B51E"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Upper respiratory tract infection</w:t>
            </w:r>
          </w:p>
        </w:tc>
        <w:tc>
          <w:tcPr>
            <w:tcW w:w="1409" w:type="dxa"/>
            <w:shd w:val="clear" w:color="auto" w:fill="auto"/>
          </w:tcPr>
          <w:p w14:paraId="54C4FA57"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18</w:t>
            </w:r>
          </w:p>
        </w:tc>
        <w:tc>
          <w:tcPr>
            <w:tcW w:w="1530" w:type="dxa"/>
            <w:shd w:val="clear" w:color="auto" w:fill="auto"/>
          </w:tcPr>
          <w:p w14:paraId="23C4CF86" w14:textId="77777777" w:rsidR="002A1CCB" w:rsidRPr="00E3313B" w:rsidRDefault="002A1CCB"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6D60C8" w:rsidRPr="00E3313B" w14:paraId="47B9E95A" w14:textId="77777777" w:rsidTr="006D021F">
        <w:trPr>
          <w:jc w:val="center"/>
        </w:trPr>
        <w:tc>
          <w:tcPr>
            <w:tcW w:w="2996" w:type="dxa"/>
            <w:shd w:val="clear" w:color="auto" w:fill="auto"/>
          </w:tcPr>
          <w:p w14:paraId="60E40243" w14:textId="47D34CE1" w:rsidR="006D60C8" w:rsidRPr="00E3313B" w:rsidRDefault="006D60C8" w:rsidP="002A6B0A">
            <w:pPr>
              <w:spacing w:after="0" w:line="240" w:lineRule="auto"/>
              <w:jc w:val="left"/>
              <w:rPr>
                <w:rFonts w:eastAsia="MS Mincho" w:cs="Times New Roman"/>
                <w:sz w:val="20"/>
                <w:szCs w:val="20"/>
                <w:lang w:val="en-US" w:eastAsia="ja-JP"/>
              </w:rPr>
            </w:pPr>
            <w:r w:rsidRPr="006D60C8">
              <w:rPr>
                <w:rFonts w:eastAsia="MS Mincho" w:cs="Times New Roman"/>
                <w:sz w:val="20"/>
                <w:szCs w:val="20"/>
                <w:lang w:val="en-US" w:eastAsia="ja-JP"/>
              </w:rPr>
              <w:t>Urinary tract infection</w:t>
            </w:r>
          </w:p>
        </w:tc>
        <w:tc>
          <w:tcPr>
            <w:tcW w:w="1409" w:type="dxa"/>
            <w:shd w:val="clear" w:color="auto" w:fill="auto"/>
          </w:tcPr>
          <w:p w14:paraId="26379F4E" w14:textId="7DE3C96F"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13</w:t>
            </w:r>
          </w:p>
        </w:tc>
        <w:tc>
          <w:tcPr>
            <w:tcW w:w="1530" w:type="dxa"/>
            <w:shd w:val="clear" w:color="auto" w:fill="auto"/>
          </w:tcPr>
          <w:p w14:paraId="3EE73A71" w14:textId="26B39565"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w:t>
            </w:r>
          </w:p>
        </w:tc>
      </w:tr>
      <w:tr w:rsidR="006D60C8" w:rsidRPr="00E3313B" w14:paraId="6022DD3E" w14:textId="77777777" w:rsidTr="006D021F">
        <w:trPr>
          <w:jc w:val="center"/>
        </w:trPr>
        <w:tc>
          <w:tcPr>
            <w:tcW w:w="2996" w:type="dxa"/>
            <w:shd w:val="clear" w:color="auto" w:fill="auto"/>
          </w:tcPr>
          <w:p w14:paraId="1D081DD2" w14:textId="7A5FC220" w:rsidR="006D60C8" w:rsidRPr="006D60C8" w:rsidRDefault="006D60C8" w:rsidP="002A6B0A">
            <w:pPr>
              <w:spacing w:after="0" w:line="240" w:lineRule="auto"/>
              <w:jc w:val="left"/>
              <w:rPr>
                <w:rFonts w:eastAsia="MS Mincho" w:cs="Times New Roman"/>
                <w:sz w:val="20"/>
                <w:szCs w:val="20"/>
                <w:lang w:val="en-US" w:eastAsia="ja-JP"/>
              </w:rPr>
            </w:pPr>
            <w:r>
              <w:rPr>
                <w:rFonts w:eastAsia="MS Mincho" w:cs="Times New Roman"/>
                <w:b/>
                <w:bCs/>
                <w:sz w:val="20"/>
                <w:szCs w:val="20"/>
                <w:lang w:val="en-US" w:eastAsia="ja-JP"/>
              </w:rPr>
              <w:t>Investigations</w:t>
            </w:r>
          </w:p>
        </w:tc>
        <w:tc>
          <w:tcPr>
            <w:tcW w:w="1409" w:type="dxa"/>
            <w:shd w:val="clear" w:color="auto" w:fill="auto"/>
          </w:tcPr>
          <w:p w14:paraId="5B6CC8FE" w14:textId="77777777" w:rsidR="006D60C8" w:rsidRDefault="006D60C8"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7767B1F4" w14:textId="77777777" w:rsidR="006D60C8" w:rsidRDefault="006D60C8" w:rsidP="002A6B0A">
            <w:pPr>
              <w:spacing w:after="0" w:line="240" w:lineRule="auto"/>
              <w:jc w:val="left"/>
              <w:rPr>
                <w:rFonts w:eastAsia="MS Mincho" w:cs="Times New Roman"/>
                <w:sz w:val="20"/>
                <w:szCs w:val="20"/>
                <w:lang w:val="en-US" w:eastAsia="ja-JP"/>
              </w:rPr>
            </w:pPr>
          </w:p>
        </w:tc>
      </w:tr>
      <w:tr w:rsidR="006D60C8" w:rsidRPr="00E3313B" w14:paraId="25D960E5" w14:textId="77777777" w:rsidTr="006D021F">
        <w:trPr>
          <w:jc w:val="center"/>
        </w:trPr>
        <w:tc>
          <w:tcPr>
            <w:tcW w:w="2996" w:type="dxa"/>
            <w:shd w:val="clear" w:color="auto" w:fill="auto"/>
          </w:tcPr>
          <w:p w14:paraId="5952E94B" w14:textId="46A74C7F" w:rsidR="006D60C8" w:rsidRPr="006D60C8" w:rsidRDefault="006D60C8" w:rsidP="002A6B0A">
            <w:pPr>
              <w:spacing w:after="0" w:line="240" w:lineRule="auto"/>
              <w:jc w:val="left"/>
              <w:rPr>
                <w:rFonts w:eastAsia="MS Mincho" w:cs="Times New Roman"/>
                <w:sz w:val="20"/>
                <w:szCs w:val="20"/>
                <w:lang w:val="en-US" w:eastAsia="ja-JP"/>
              </w:rPr>
            </w:pPr>
            <w:r w:rsidRPr="00D02EB2">
              <w:rPr>
                <w:rFonts w:eastAsia="MS Mincho" w:cs="Times New Roman"/>
                <w:sz w:val="20"/>
                <w:szCs w:val="20"/>
                <w:lang w:val="en-US" w:eastAsia="ja-JP"/>
              </w:rPr>
              <w:t>Weight increased</w:t>
            </w:r>
          </w:p>
        </w:tc>
        <w:tc>
          <w:tcPr>
            <w:tcW w:w="1409" w:type="dxa"/>
            <w:shd w:val="clear" w:color="auto" w:fill="auto"/>
          </w:tcPr>
          <w:p w14:paraId="5CCCB617" w14:textId="1B2E7C2E" w:rsidR="006D60C8" w:rsidRDefault="006D60C8" w:rsidP="002A6B0A">
            <w:pPr>
              <w:spacing w:after="0" w:line="240" w:lineRule="auto"/>
              <w:jc w:val="left"/>
              <w:rPr>
                <w:rFonts w:eastAsia="MS Mincho" w:cs="Times New Roman"/>
                <w:sz w:val="20"/>
                <w:szCs w:val="20"/>
                <w:lang w:val="en-US" w:eastAsia="ja-JP"/>
              </w:rPr>
            </w:pPr>
            <w:r w:rsidRPr="003C2E5D">
              <w:rPr>
                <w:rFonts w:eastAsia="MS Mincho" w:cs="Times New Roman"/>
                <w:sz w:val="20"/>
                <w:szCs w:val="20"/>
                <w:lang w:val="en-US" w:eastAsia="ja-JP"/>
              </w:rPr>
              <w:t>16</w:t>
            </w:r>
          </w:p>
        </w:tc>
        <w:tc>
          <w:tcPr>
            <w:tcW w:w="1530" w:type="dxa"/>
            <w:shd w:val="clear" w:color="auto" w:fill="auto"/>
          </w:tcPr>
          <w:p w14:paraId="34727403" w14:textId="615EB498" w:rsidR="006D60C8" w:rsidRDefault="006D60C8" w:rsidP="002A6B0A">
            <w:pPr>
              <w:spacing w:after="0" w:line="240" w:lineRule="auto"/>
              <w:jc w:val="left"/>
              <w:rPr>
                <w:rFonts w:eastAsia="MS Mincho" w:cs="Times New Roman"/>
                <w:sz w:val="20"/>
                <w:szCs w:val="20"/>
                <w:lang w:val="en-US" w:eastAsia="ja-JP"/>
              </w:rPr>
            </w:pPr>
            <w:r w:rsidRPr="003C2E5D">
              <w:rPr>
                <w:rFonts w:eastAsia="MS Mincho" w:cs="Times New Roman"/>
                <w:sz w:val="20"/>
                <w:szCs w:val="20"/>
                <w:lang w:val="en-US" w:eastAsia="ja-JP"/>
              </w:rPr>
              <w:t>2</w:t>
            </w:r>
          </w:p>
        </w:tc>
      </w:tr>
      <w:tr w:rsidR="006D60C8" w:rsidRPr="00E3313B" w14:paraId="52CBBF46" w14:textId="77777777" w:rsidTr="006D021F">
        <w:trPr>
          <w:jc w:val="center"/>
        </w:trPr>
        <w:tc>
          <w:tcPr>
            <w:tcW w:w="2996" w:type="dxa"/>
            <w:shd w:val="clear" w:color="auto" w:fill="auto"/>
          </w:tcPr>
          <w:p w14:paraId="5D953A09" w14:textId="09431ACA" w:rsidR="006D60C8" w:rsidRPr="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Alanine aminotransferase increased</w:t>
            </w:r>
          </w:p>
        </w:tc>
        <w:tc>
          <w:tcPr>
            <w:tcW w:w="1409" w:type="dxa"/>
            <w:shd w:val="clear" w:color="auto" w:fill="auto"/>
          </w:tcPr>
          <w:p w14:paraId="40E05B70" w14:textId="6E677C9D" w:rsidR="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18</w:t>
            </w:r>
          </w:p>
        </w:tc>
        <w:tc>
          <w:tcPr>
            <w:tcW w:w="1530" w:type="dxa"/>
            <w:shd w:val="clear" w:color="auto" w:fill="auto"/>
          </w:tcPr>
          <w:p w14:paraId="7A20AE4D" w14:textId="13248CF2" w:rsidR="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6D60C8" w:rsidRPr="00E3313B" w14:paraId="540F27E9" w14:textId="77777777" w:rsidTr="006D021F">
        <w:trPr>
          <w:jc w:val="center"/>
        </w:trPr>
        <w:tc>
          <w:tcPr>
            <w:tcW w:w="2996" w:type="dxa"/>
            <w:shd w:val="clear" w:color="auto" w:fill="auto"/>
          </w:tcPr>
          <w:p w14:paraId="3AE645F4" w14:textId="7C3FE7C4" w:rsidR="006D60C8" w:rsidRPr="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Aspartate aminotransferase increased</w:t>
            </w:r>
          </w:p>
        </w:tc>
        <w:tc>
          <w:tcPr>
            <w:tcW w:w="1409" w:type="dxa"/>
            <w:shd w:val="clear" w:color="auto" w:fill="auto"/>
          </w:tcPr>
          <w:p w14:paraId="2F1672F0" w14:textId="2D05CB3A" w:rsidR="006D60C8" w:rsidRDefault="0000342A"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11</w:t>
            </w:r>
          </w:p>
        </w:tc>
        <w:tc>
          <w:tcPr>
            <w:tcW w:w="1530" w:type="dxa"/>
            <w:shd w:val="clear" w:color="auto" w:fill="auto"/>
          </w:tcPr>
          <w:p w14:paraId="0B443E1A" w14:textId="596EDCCC" w:rsidR="006D60C8"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2A1CCB" w:rsidRPr="00E3313B" w14:paraId="20369AFD" w14:textId="77777777" w:rsidTr="006D021F">
        <w:trPr>
          <w:jc w:val="center"/>
        </w:trPr>
        <w:tc>
          <w:tcPr>
            <w:tcW w:w="2996" w:type="dxa"/>
            <w:shd w:val="clear" w:color="auto" w:fill="auto"/>
          </w:tcPr>
          <w:p w14:paraId="27021F56" w14:textId="77777777" w:rsidR="002A1CCB" w:rsidRPr="00E3313B" w:rsidRDefault="002A1CCB" w:rsidP="002A6B0A">
            <w:pPr>
              <w:spacing w:after="0" w:line="240" w:lineRule="auto"/>
              <w:jc w:val="left"/>
              <w:rPr>
                <w:rFonts w:eastAsia="MS Mincho" w:cs="Times New Roman"/>
                <w:b/>
                <w:bCs/>
                <w:sz w:val="20"/>
                <w:szCs w:val="20"/>
                <w:lang w:val="en-US" w:eastAsia="ja-JP"/>
              </w:rPr>
            </w:pPr>
            <w:r w:rsidRPr="00E3313B">
              <w:rPr>
                <w:rFonts w:eastAsia="MS Mincho" w:cs="Times New Roman"/>
                <w:b/>
                <w:bCs/>
                <w:sz w:val="20"/>
                <w:szCs w:val="20"/>
                <w:lang w:val="en-US" w:eastAsia="ja-JP"/>
              </w:rPr>
              <w:t>Musculoskeletal and Connective Tissue</w:t>
            </w:r>
          </w:p>
        </w:tc>
        <w:tc>
          <w:tcPr>
            <w:tcW w:w="1409" w:type="dxa"/>
            <w:shd w:val="clear" w:color="auto" w:fill="auto"/>
          </w:tcPr>
          <w:p w14:paraId="1778DD64" w14:textId="77777777" w:rsidR="002A1CCB" w:rsidRPr="00E3313B" w:rsidRDefault="002A1CCB"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12D2132F" w14:textId="77777777" w:rsidR="002A1CCB" w:rsidRPr="00E3313B" w:rsidRDefault="002A1CCB" w:rsidP="002A6B0A">
            <w:pPr>
              <w:spacing w:after="0" w:line="240" w:lineRule="auto"/>
              <w:jc w:val="left"/>
              <w:rPr>
                <w:rFonts w:eastAsia="MS Mincho" w:cs="Times New Roman"/>
                <w:sz w:val="20"/>
                <w:szCs w:val="20"/>
                <w:lang w:val="en-US" w:eastAsia="ja-JP"/>
              </w:rPr>
            </w:pPr>
          </w:p>
        </w:tc>
      </w:tr>
      <w:tr w:rsidR="006D60C8" w:rsidRPr="00E3313B" w14:paraId="545FBD3B" w14:textId="77777777" w:rsidTr="006D021F">
        <w:trPr>
          <w:jc w:val="center"/>
        </w:trPr>
        <w:tc>
          <w:tcPr>
            <w:tcW w:w="2996" w:type="dxa"/>
            <w:shd w:val="clear" w:color="auto" w:fill="auto"/>
          </w:tcPr>
          <w:p w14:paraId="73EE71B4" w14:textId="62C11369" w:rsidR="006D60C8" w:rsidRPr="00E3313B" w:rsidRDefault="006D60C8" w:rsidP="002A6B0A">
            <w:pPr>
              <w:spacing w:after="0" w:line="240" w:lineRule="auto"/>
              <w:jc w:val="left"/>
              <w:rPr>
                <w:rFonts w:eastAsia="MS Mincho" w:cs="Times New Roman"/>
                <w:b/>
                <w:bCs/>
                <w:sz w:val="20"/>
                <w:szCs w:val="20"/>
                <w:lang w:val="en-US" w:eastAsia="ja-JP"/>
              </w:rPr>
            </w:pPr>
            <w:r w:rsidRPr="00E3313B">
              <w:rPr>
                <w:rFonts w:eastAsia="MS Mincho" w:cs="Times New Roman"/>
                <w:sz w:val="20"/>
                <w:szCs w:val="20"/>
                <w:lang w:val="en-US" w:eastAsia="ja-JP"/>
              </w:rPr>
              <w:t>Myalgia</w:t>
            </w:r>
          </w:p>
        </w:tc>
        <w:tc>
          <w:tcPr>
            <w:tcW w:w="1409" w:type="dxa"/>
            <w:shd w:val="clear" w:color="auto" w:fill="auto"/>
          </w:tcPr>
          <w:p w14:paraId="1D8CEBC5" w14:textId="017CDCA6"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25</w:t>
            </w:r>
          </w:p>
        </w:tc>
        <w:tc>
          <w:tcPr>
            <w:tcW w:w="1530" w:type="dxa"/>
            <w:shd w:val="clear" w:color="auto" w:fill="auto"/>
          </w:tcPr>
          <w:p w14:paraId="423DB544" w14:textId="067D0B56"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w:t>
            </w:r>
          </w:p>
        </w:tc>
      </w:tr>
      <w:tr w:rsidR="006D60C8" w:rsidRPr="00E3313B" w14:paraId="731692C8" w14:textId="77777777" w:rsidTr="006D021F">
        <w:trPr>
          <w:jc w:val="center"/>
        </w:trPr>
        <w:tc>
          <w:tcPr>
            <w:tcW w:w="2996" w:type="dxa"/>
            <w:shd w:val="clear" w:color="auto" w:fill="auto"/>
          </w:tcPr>
          <w:p w14:paraId="69E49621"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Arthralgia</w:t>
            </w:r>
          </w:p>
        </w:tc>
        <w:tc>
          <w:tcPr>
            <w:tcW w:w="1409" w:type="dxa"/>
            <w:shd w:val="clear" w:color="auto" w:fill="auto"/>
          </w:tcPr>
          <w:p w14:paraId="01604F00" w14:textId="320AE6B6"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21</w:t>
            </w:r>
          </w:p>
        </w:tc>
        <w:tc>
          <w:tcPr>
            <w:tcW w:w="1530" w:type="dxa"/>
            <w:shd w:val="clear" w:color="auto" w:fill="auto"/>
          </w:tcPr>
          <w:p w14:paraId="66C372C3" w14:textId="4268301F" w:rsidR="006D60C8" w:rsidRPr="00E3313B" w:rsidRDefault="006D60C8"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2</w:t>
            </w:r>
          </w:p>
        </w:tc>
      </w:tr>
      <w:tr w:rsidR="006D60C8" w:rsidRPr="00E3313B" w14:paraId="757042BF" w14:textId="77777777" w:rsidTr="006D021F">
        <w:trPr>
          <w:jc w:val="center"/>
        </w:trPr>
        <w:tc>
          <w:tcPr>
            <w:tcW w:w="2996" w:type="dxa"/>
            <w:shd w:val="clear" w:color="auto" w:fill="auto"/>
          </w:tcPr>
          <w:p w14:paraId="4014ADBC" w14:textId="4B49430D" w:rsidR="006D60C8"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Back pain</w:t>
            </w:r>
          </w:p>
        </w:tc>
        <w:tc>
          <w:tcPr>
            <w:tcW w:w="1409" w:type="dxa"/>
            <w:shd w:val="clear" w:color="auto" w:fill="auto"/>
          </w:tcPr>
          <w:p w14:paraId="7459D6BE" w14:textId="523A17CF" w:rsidR="006D60C8" w:rsidRPr="00E3313B" w:rsidDel="006D60C8"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13</w:t>
            </w:r>
          </w:p>
        </w:tc>
        <w:tc>
          <w:tcPr>
            <w:tcW w:w="1530" w:type="dxa"/>
            <w:shd w:val="clear" w:color="auto" w:fill="auto"/>
          </w:tcPr>
          <w:p w14:paraId="359021DF" w14:textId="19B05491" w:rsidR="006D60C8" w:rsidRPr="00E3313B" w:rsidDel="006D60C8"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6D60C8" w:rsidRPr="00E3313B" w14:paraId="1874A5C3" w14:textId="77777777" w:rsidTr="006D021F">
        <w:trPr>
          <w:jc w:val="center"/>
        </w:trPr>
        <w:tc>
          <w:tcPr>
            <w:tcW w:w="2996" w:type="dxa"/>
            <w:shd w:val="clear" w:color="auto" w:fill="auto"/>
          </w:tcPr>
          <w:p w14:paraId="43919B5A"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b/>
                <w:bCs/>
                <w:sz w:val="20"/>
                <w:szCs w:val="20"/>
                <w:lang w:val="en-US" w:eastAsia="ja-JP"/>
              </w:rPr>
              <w:t>Eye Disorders</w:t>
            </w:r>
          </w:p>
        </w:tc>
        <w:tc>
          <w:tcPr>
            <w:tcW w:w="1409" w:type="dxa"/>
            <w:shd w:val="clear" w:color="auto" w:fill="auto"/>
          </w:tcPr>
          <w:p w14:paraId="4401AE3A" w14:textId="77777777" w:rsidR="006D60C8" w:rsidRPr="00E3313B" w:rsidRDefault="006D60C8"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0F85BB71" w14:textId="77777777" w:rsidR="006D60C8" w:rsidRPr="00E3313B" w:rsidRDefault="006D60C8" w:rsidP="002A6B0A">
            <w:pPr>
              <w:spacing w:after="0" w:line="240" w:lineRule="auto"/>
              <w:jc w:val="left"/>
              <w:rPr>
                <w:rFonts w:eastAsia="MS Mincho" w:cs="Times New Roman"/>
                <w:sz w:val="20"/>
                <w:szCs w:val="20"/>
                <w:lang w:val="en-US" w:eastAsia="ja-JP"/>
              </w:rPr>
            </w:pPr>
          </w:p>
        </w:tc>
      </w:tr>
      <w:tr w:rsidR="006D60C8" w:rsidRPr="00E3313B" w14:paraId="180F948B" w14:textId="77777777" w:rsidTr="006D021F">
        <w:trPr>
          <w:jc w:val="center"/>
        </w:trPr>
        <w:tc>
          <w:tcPr>
            <w:tcW w:w="2996" w:type="dxa"/>
            <w:shd w:val="clear" w:color="auto" w:fill="auto"/>
          </w:tcPr>
          <w:p w14:paraId="4E07D6CC"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Vision blurred</w:t>
            </w:r>
          </w:p>
        </w:tc>
        <w:tc>
          <w:tcPr>
            <w:tcW w:w="1409" w:type="dxa"/>
            <w:shd w:val="clear" w:color="auto" w:fill="auto"/>
          </w:tcPr>
          <w:p w14:paraId="1DC8295A" w14:textId="6D0FEFAB" w:rsidR="006D60C8"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18</w:t>
            </w:r>
          </w:p>
        </w:tc>
        <w:tc>
          <w:tcPr>
            <w:tcW w:w="1530" w:type="dxa"/>
            <w:shd w:val="clear" w:color="auto" w:fill="auto"/>
          </w:tcPr>
          <w:p w14:paraId="22E721FC"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0</w:t>
            </w:r>
          </w:p>
        </w:tc>
      </w:tr>
      <w:tr w:rsidR="006D60C8" w:rsidRPr="00E3313B" w14:paraId="4D0D8FBD" w14:textId="77777777" w:rsidTr="006D021F">
        <w:trPr>
          <w:jc w:val="center"/>
        </w:trPr>
        <w:tc>
          <w:tcPr>
            <w:tcW w:w="2996" w:type="dxa"/>
            <w:shd w:val="clear" w:color="auto" w:fill="auto"/>
          </w:tcPr>
          <w:p w14:paraId="28C263BA"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b/>
                <w:bCs/>
                <w:sz w:val="20"/>
                <w:szCs w:val="20"/>
                <w:lang w:val="en-US" w:eastAsia="ja-JP"/>
              </w:rPr>
              <w:t>Vascular</w:t>
            </w:r>
          </w:p>
        </w:tc>
        <w:tc>
          <w:tcPr>
            <w:tcW w:w="1409" w:type="dxa"/>
            <w:shd w:val="clear" w:color="auto" w:fill="auto"/>
          </w:tcPr>
          <w:p w14:paraId="44789822" w14:textId="77777777" w:rsidR="006D60C8" w:rsidRPr="00E3313B" w:rsidRDefault="006D60C8"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617127B7" w14:textId="77777777" w:rsidR="006D60C8" w:rsidRPr="00E3313B" w:rsidRDefault="006D60C8" w:rsidP="002A6B0A">
            <w:pPr>
              <w:spacing w:after="0" w:line="240" w:lineRule="auto"/>
              <w:jc w:val="left"/>
              <w:rPr>
                <w:rFonts w:eastAsia="MS Mincho" w:cs="Times New Roman"/>
                <w:sz w:val="20"/>
                <w:szCs w:val="20"/>
                <w:lang w:val="en-US" w:eastAsia="ja-JP"/>
              </w:rPr>
            </w:pPr>
          </w:p>
        </w:tc>
      </w:tr>
      <w:tr w:rsidR="006D60C8" w:rsidRPr="00E3313B" w14:paraId="773B6074" w14:textId="77777777" w:rsidTr="006D021F">
        <w:trPr>
          <w:jc w:val="center"/>
        </w:trPr>
        <w:tc>
          <w:tcPr>
            <w:tcW w:w="2996" w:type="dxa"/>
            <w:shd w:val="clear" w:color="auto" w:fill="auto"/>
          </w:tcPr>
          <w:p w14:paraId="1C5033F5" w14:textId="77777777" w:rsidR="006D60C8" w:rsidRPr="00E3313B" w:rsidRDefault="006D60C8" w:rsidP="002A6B0A">
            <w:pPr>
              <w:spacing w:after="0" w:line="240" w:lineRule="auto"/>
              <w:jc w:val="left"/>
              <w:rPr>
                <w:rFonts w:eastAsia="MS Mincho" w:cs="Times New Roman"/>
                <w:sz w:val="20"/>
                <w:szCs w:val="20"/>
                <w:lang w:val="en-US" w:eastAsia="ja-JP"/>
              </w:rPr>
            </w:pPr>
            <w:r w:rsidRPr="00E3313B">
              <w:rPr>
                <w:rFonts w:eastAsia="MS Mincho" w:cs="Times New Roman"/>
                <w:sz w:val="20"/>
                <w:szCs w:val="20"/>
                <w:lang w:val="en-US" w:eastAsia="ja-JP"/>
              </w:rPr>
              <w:t>Hypertension</w:t>
            </w:r>
          </w:p>
        </w:tc>
        <w:tc>
          <w:tcPr>
            <w:tcW w:w="1409" w:type="dxa"/>
            <w:shd w:val="clear" w:color="auto" w:fill="auto"/>
          </w:tcPr>
          <w:p w14:paraId="4BE5FFDE" w14:textId="5A882688" w:rsidR="006D60C8"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16</w:t>
            </w:r>
          </w:p>
        </w:tc>
        <w:tc>
          <w:tcPr>
            <w:tcW w:w="1530" w:type="dxa"/>
            <w:shd w:val="clear" w:color="auto" w:fill="auto"/>
          </w:tcPr>
          <w:p w14:paraId="5195B486" w14:textId="67419899" w:rsidR="006D60C8"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10</w:t>
            </w:r>
          </w:p>
        </w:tc>
      </w:tr>
      <w:tr w:rsidR="00E11AD1" w:rsidRPr="00E3313B" w14:paraId="3CDE4984" w14:textId="77777777" w:rsidTr="006D021F">
        <w:trPr>
          <w:jc w:val="center"/>
        </w:trPr>
        <w:tc>
          <w:tcPr>
            <w:tcW w:w="2996" w:type="dxa"/>
            <w:shd w:val="clear" w:color="auto" w:fill="auto"/>
          </w:tcPr>
          <w:p w14:paraId="324EB1ED" w14:textId="3B1EB997" w:rsidR="00E11AD1" w:rsidRPr="00E3313B" w:rsidRDefault="00E11AD1" w:rsidP="002A6B0A">
            <w:pPr>
              <w:spacing w:after="0" w:line="240" w:lineRule="auto"/>
              <w:jc w:val="left"/>
              <w:rPr>
                <w:rFonts w:eastAsia="MS Mincho" w:cs="Times New Roman"/>
                <w:sz w:val="20"/>
                <w:szCs w:val="20"/>
                <w:lang w:val="en-US" w:eastAsia="ja-JP"/>
              </w:rPr>
            </w:pPr>
            <w:r w:rsidRPr="003C2E5D">
              <w:rPr>
                <w:rFonts w:eastAsia="MS Mincho" w:cs="Times New Roman"/>
                <w:b/>
                <w:bCs/>
                <w:sz w:val="20"/>
                <w:szCs w:val="20"/>
                <w:lang w:val="en-US" w:eastAsia="ja-JP"/>
              </w:rPr>
              <w:t>Psychiatric Disorders</w:t>
            </w:r>
          </w:p>
        </w:tc>
        <w:tc>
          <w:tcPr>
            <w:tcW w:w="1409" w:type="dxa"/>
            <w:shd w:val="clear" w:color="auto" w:fill="auto"/>
          </w:tcPr>
          <w:p w14:paraId="100C8E05" w14:textId="77777777" w:rsidR="00E11AD1" w:rsidRPr="00E3313B" w:rsidDel="00E11AD1" w:rsidRDefault="00E11AD1" w:rsidP="002A6B0A">
            <w:pPr>
              <w:spacing w:after="0" w:line="240" w:lineRule="auto"/>
              <w:jc w:val="left"/>
              <w:rPr>
                <w:rFonts w:eastAsia="MS Mincho" w:cs="Times New Roman"/>
                <w:sz w:val="20"/>
                <w:szCs w:val="20"/>
                <w:lang w:val="en-US" w:eastAsia="ja-JP"/>
              </w:rPr>
            </w:pPr>
          </w:p>
        </w:tc>
        <w:tc>
          <w:tcPr>
            <w:tcW w:w="1530" w:type="dxa"/>
            <w:shd w:val="clear" w:color="auto" w:fill="auto"/>
          </w:tcPr>
          <w:p w14:paraId="4CB0FCC7" w14:textId="77777777" w:rsidR="00E11AD1" w:rsidRPr="00E3313B" w:rsidDel="00E11AD1" w:rsidRDefault="00E11AD1" w:rsidP="002A6B0A">
            <w:pPr>
              <w:spacing w:after="0" w:line="240" w:lineRule="auto"/>
              <w:jc w:val="left"/>
              <w:rPr>
                <w:rFonts w:eastAsia="MS Mincho" w:cs="Times New Roman"/>
                <w:sz w:val="20"/>
                <w:szCs w:val="20"/>
                <w:lang w:val="en-US" w:eastAsia="ja-JP"/>
              </w:rPr>
            </w:pPr>
          </w:p>
        </w:tc>
      </w:tr>
      <w:tr w:rsidR="00E11AD1" w:rsidRPr="00E3313B" w14:paraId="62F871B5" w14:textId="77777777" w:rsidTr="006D021F">
        <w:trPr>
          <w:jc w:val="center"/>
        </w:trPr>
        <w:tc>
          <w:tcPr>
            <w:tcW w:w="2996" w:type="dxa"/>
            <w:shd w:val="clear" w:color="auto" w:fill="auto"/>
          </w:tcPr>
          <w:p w14:paraId="0158FE11" w14:textId="24C2BC49" w:rsidR="00E11AD1"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Insomnia</w:t>
            </w:r>
          </w:p>
        </w:tc>
        <w:tc>
          <w:tcPr>
            <w:tcW w:w="1409" w:type="dxa"/>
            <w:shd w:val="clear" w:color="auto" w:fill="auto"/>
          </w:tcPr>
          <w:p w14:paraId="4E1786DA" w14:textId="5DBDFB9C" w:rsidR="00E11AD1" w:rsidRPr="00E3313B" w:rsidDel="00E11AD1"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13</w:t>
            </w:r>
          </w:p>
        </w:tc>
        <w:tc>
          <w:tcPr>
            <w:tcW w:w="1530" w:type="dxa"/>
            <w:shd w:val="clear" w:color="auto" w:fill="auto"/>
          </w:tcPr>
          <w:p w14:paraId="779D2745" w14:textId="5C6A6743" w:rsidR="00E11AD1" w:rsidRPr="00E3313B" w:rsidDel="00E11AD1"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E11AD1" w:rsidRPr="00E3313B" w14:paraId="0EE90F1C" w14:textId="77777777" w:rsidTr="006D021F">
        <w:trPr>
          <w:jc w:val="center"/>
        </w:trPr>
        <w:tc>
          <w:tcPr>
            <w:tcW w:w="2996" w:type="dxa"/>
            <w:shd w:val="clear" w:color="auto" w:fill="auto"/>
          </w:tcPr>
          <w:p w14:paraId="1A84DFA2" w14:textId="79085C23" w:rsidR="00E11AD1" w:rsidRPr="00E3313B"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Anxiety</w:t>
            </w:r>
          </w:p>
        </w:tc>
        <w:tc>
          <w:tcPr>
            <w:tcW w:w="1409" w:type="dxa"/>
            <w:shd w:val="clear" w:color="auto" w:fill="auto"/>
          </w:tcPr>
          <w:p w14:paraId="7683FB14" w14:textId="50C3B302" w:rsidR="00E11AD1" w:rsidRPr="00E3313B" w:rsidDel="00E11AD1"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11</w:t>
            </w:r>
          </w:p>
        </w:tc>
        <w:tc>
          <w:tcPr>
            <w:tcW w:w="1530" w:type="dxa"/>
            <w:shd w:val="clear" w:color="auto" w:fill="auto"/>
          </w:tcPr>
          <w:p w14:paraId="40441511" w14:textId="7EB73D26" w:rsidR="00E11AD1" w:rsidRPr="00E3313B" w:rsidDel="00E11AD1" w:rsidRDefault="00E11AD1" w:rsidP="002A6B0A">
            <w:pPr>
              <w:spacing w:after="0" w:line="240" w:lineRule="auto"/>
              <w:jc w:val="left"/>
              <w:rPr>
                <w:rFonts w:eastAsia="MS Mincho" w:cs="Times New Roman"/>
                <w:sz w:val="20"/>
                <w:szCs w:val="20"/>
                <w:lang w:val="en-US" w:eastAsia="ja-JP"/>
              </w:rPr>
            </w:pPr>
            <w:r>
              <w:rPr>
                <w:rFonts w:eastAsia="MS Mincho" w:cs="Times New Roman"/>
                <w:sz w:val="20"/>
                <w:szCs w:val="20"/>
                <w:lang w:val="en-US" w:eastAsia="ja-JP"/>
              </w:rPr>
              <w:t>0</w:t>
            </w:r>
          </w:p>
        </w:tc>
      </w:tr>
      <w:tr w:rsidR="006D60C8" w:rsidRPr="00E3313B" w14:paraId="447AE496" w14:textId="77777777" w:rsidTr="006D021F">
        <w:trPr>
          <w:jc w:val="center"/>
        </w:trPr>
        <w:tc>
          <w:tcPr>
            <w:tcW w:w="5935" w:type="dxa"/>
            <w:gridSpan w:val="3"/>
            <w:tcBorders>
              <w:left w:val="nil"/>
              <w:bottom w:val="nil"/>
              <w:right w:val="nil"/>
            </w:tcBorders>
            <w:shd w:val="clear" w:color="auto" w:fill="auto"/>
          </w:tcPr>
          <w:p w14:paraId="393E280B" w14:textId="77777777" w:rsidR="006D60C8" w:rsidRPr="00E3313B" w:rsidRDefault="006D60C8" w:rsidP="002A6B0A">
            <w:pPr>
              <w:keepNext/>
              <w:keepLines/>
              <w:autoSpaceDE w:val="0"/>
              <w:autoSpaceDN w:val="0"/>
              <w:adjustRightInd w:val="0"/>
              <w:spacing w:after="0" w:line="240" w:lineRule="auto"/>
              <w:jc w:val="left"/>
              <w:rPr>
                <w:rFonts w:eastAsia="MS Mincho" w:cs="Times New Roman"/>
                <w:bCs/>
                <w:sz w:val="16"/>
                <w:szCs w:val="16"/>
                <w:lang w:val="en-US" w:eastAsia="ja-JP"/>
              </w:rPr>
            </w:pPr>
            <w:r w:rsidRPr="00E3313B">
              <w:rPr>
                <w:rFonts w:eastAsia="MS Mincho" w:cs="Times New Roman"/>
                <w:bCs/>
                <w:sz w:val="16"/>
                <w:szCs w:val="16"/>
                <w:lang w:val="en-US" w:eastAsia="ja-JP"/>
              </w:rPr>
              <w:t>*Graded per NCI CTCAE v4.0</w:t>
            </w:r>
          </w:p>
          <w:p w14:paraId="20930D88" w14:textId="77777777" w:rsidR="006D60C8" w:rsidRPr="00E3313B" w:rsidRDefault="006D60C8" w:rsidP="002A6B0A">
            <w:pPr>
              <w:spacing w:after="0" w:line="240" w:lineRule="auto"/>
              <w:jc w:val="left"/>
              <w:rPr>
                <w:rFonts w:eastAsia="MS Mincho" w:cs="Times New Roman"/>
                <w:sz w:val="16"/>
                <w:szCs w:val="16"/>
                <w:lang w:val="en-US" w:eastAsia="ja-JP"/>
              </w:rPr>
            </w:pPr>
          </w:p>
        </w:tc>
      </w:tr>
    </w:tbl>
    <w:p w14:paraId="5C3F33D0" w14:textId="77777777" w:rsidR="002A1CCB" w:rsidRDefault="002A1CCB" w:rsidP="002A6B0A">
      <w:pPr>
        <w:jc w:val="left"/>
      </w:pPr>
    </w:p>
    <w:p w14:paraId="364C6F2A" w14:textId="18DD3D5E" w:rsidR="00CE32EC" w:rsidRPr="00CE32EC" w:rsidRDefault="00CE32EC" w:rsidP="002A6B0A">
      <w:pPr>
        <w:pStyle w:val="Heading3"/>
        <w:jc w:val="left"/>
      </w:pPr>
      <w:bookmarkStart w:id="11" w:name="_Hlk103037574"/>
      <w:r w:rsidRPr="00CE32EC">
        <w:t>Adverse drug reactions</w:t>
      </w:r>
    </w:p>
    <w:bookmarkEnd w:id="11"/>
    <w:p w14:paraId="4E8609DE" w14:textId="75D98C8F" w:rsidR="00245549" w:rsidRDefault="00245549" w:rsidP="002A6B0A">
      <w:pPr>
        <w:autoSpaceDE w:val="0"/>
        <w:autoSpaceDN w:val="0"/>
        <w:adjustRightInd w:val="0"/>
        <w:jc w:val="left"/>
      </w:pPr>
      <w:r w:rsidRPr="00D91B24">
        <w:t xml:space="preserve">The </w:t>
      </w:r>
      <w:r>
        <w:t xml:space="preserve">most common </w:t>
      </w:r>
      <w:r w:rsidRPr="00D91B24">
        <w:t xml:space="preserve">adverse reactions under treatment with </w:t>
      </w:r>
      <w:proofErr w:type="spellStart"/>
      <w:r>
        <w:t>belzutifan</w:t>
      </w:r>
      <w:proofErr w:type="spellEnd"/>
      <w:r>
        <w:t xml:space="preserve"> </w:t>
      </w:r>
      <w:r w:rsidRPr="00D91B24">
        <w:t xml:space="preserve">were </w:t>
      </w:r>
      <w:r>
        <w:t>anaemia</w:t>
      </w:r>
      <w:r w:rsidRPr="00D91B24">
        <w:t xml:space="preserve"> (</w:t>
      </w:r>
      <w:r>
        <w:t>90</w:t>
      </w:r>
      <w:r w:rsidRPr="00D91B24">
        <w:t xml:space="preserve">%), </w:t>
      </w:r>
      <w:r>
        <w:t>fatigue</w:t>
      </w:r>
      <w:r w:rsidRPr="00D91B24">
        <w:t xml:space="preserve"> (</w:t>
      </w:r>
      <w:r w:rsidR="0000342A">
        <w:t>70</w:t>
      </w:r>
      <w:r w:rsidRPr="00D91B24">
        <w:t xml:space="preserve">%), </w:t>
      </w:r>
      <w:r>
        <w:t>dizziness (</w:t>
      </w:r>
      <w:r w:rsidR="00E11AD1">
        <w:t>44</w:t>
      </w:r>
      <w:r>
        <w:t>%) and nausea (</w:t>
      </w:r>
      <w:r w:rsidR="00E11AD1">
        <w:t>36</w:t>
      </w:r>
      <w:r>
        <w:t>%)</w:t>
      </w:r>
      <w:r w:rsidRPr="00D91B24">
        <w:t>.</w:t>
      </w:r>
    </w:p>
    <w:p w14:paraId="073567FD" w14:textId="2A5BEBB9" w:rsidR="00245549" w:rsidRPr="00000897" w:rsidRDefault="00245549" w:rsidP="002A6B0A">
      <w:pPr>
        <w:jc w:val="left"/>
        <w:rPr>
          <w:rFonts w:cs="Arial"/>
        </w:rPr>
      </w:pPr>
      <w:r w:rsidRPr="00000897">
        <w:t xml:space="preserve">The </w:t>
      </w:r>
      <w:r w:rsidRPr="00000897">
        <w:rPr>
          <w:rFonts w:cs="Arial"/>
        </w:rPr>
        <w:t xml:space="preserve">most common adverse reactions resulting in dose interruption of </w:t>
      </w:r>
      <w:proofErr w:type="spellStart"/>
      <w:r w:rsidRPr="00000897">
        <w:rPr>
          <w:rFonts w:cs="Arial"/>
        </w:rPr>
        <w:t>belzutifan</w:t>
      </w:r>
      <w:proofErr w:type="spellEnd"/>
      <w:r w:rsidRPr="00000897">
        <w:rPr>
          <w:rFonts w:cs="Arial"/>
        </w:rPr>
        <w:t xml:space="preserve"> were fatigue </w:t>
      </w:r>
      <w:r w:rsidRPr="004117EB">
        <w:rPr>
          <w:rFonts w:cs="Arial"/>
        </w:rPr>
        <w:t>(</w:t>
      </w:r>
      <w:r w:rsidR="00E11AD1">
        <w:rPr>
          <w:rFonts w:cs="Arial"/>
        </w:rPr>
        <w:t>13.1</w:t>
      </w:r>
      <w:r w:rsidRPr="004117EB">
        <w:rPr>
          <w:rFonts w:cs="Arial"/>
        </w:rPr>
        <w:t xml:space="preserve">%), </w:t>
      </w:r>
      <w:r w:rsidR="00E11AD1">
        <w:rPr>
          <w:rFonts w:cs="Arial"/>
        </w:rPr>
        <w:t xml:space="preserve">nausea (8.2%) and </w:t>
      </w:r>
      <w:r w:rsidRPr="004117EB">
        <w:rPr>
          <w:rFonts w:cs="Arial"/>
        </w:rPr>
        <w:t>an</w:t>
      </w:r>
      <w:r>
        <w:rPr>
          <w:rFonts w:cs="Arial"/>
        </w:rPr>
        <w:t>a</w:t>
      </w:r>
      <w:r w:rsidRPr="004117EB">
        <w:rPr>
          <w:rFonts w:cs="Arial"/>
        </w:rPr>
        <w:t>emia (</w:t>
      </w:r>
      <w:r>
        <w:rPr>
          <w:rFonts w:cs="Arial"/>
        </w:rPr>
        <w:t>4.9</w:t>
      </w:r>
      <w:r w:rsidRPr="004117EB">
        <w:rPr>
          <w:rFonts w:cs="Arial"/>
        </w:rPr>
        <w:t xml:space="preserve">%). </w:t>
      </w:r>
      <w:r w:rsidRPr="000B5DE5">
        <w:t xml:space="preserve">The most common adverse reactions resulting in dose reduction of </w:t>
      </w:r>
      <w:proofErr w:type="spellStart"/>
      <w:r>
        <w:t>belzutifan</w:t>
      </w:r>
      <w:proofErr w:type="spellEnd"/>
      <w:r w:rsidRPr="000B5DE5">
        <w:t xml:space="preserve"> were fatigue (</w:t>
      </w:r>
      <w:r w:rsidR="00E11AD1">
        <w:t>8.2</w:t>
      </w:r>
      <w:r w:rsidRPr="000B5DE5">
        <w:t>%)</w:t>
      </w:r>
      <w:r>
        <w:t xml:space="preserve">, anaemia (1.6%) </w:t>
      </w:r>
      <w:r w:rsidRPr="000B5DE5">
        <w:t>and hypoxia (1.6%)</w:t>
      </w:r>
      <w:r>
        <w:t xml:space="preserve">. </w:t>
      </w:r>
      <w:r w:rsidRPr="00000897">
        <w:rPr>
          <w:rFonts w:cs="Arial"/>
        </w:rPr>
        <w:t>Belzutifan was discontinued due to adverse reaction in 1 patient (1.6%) (Grade 1 dizziness).</w:t>
      </w:r>
    </w:p>
    <w:p w14:paraId="26E2FC53" w14:textId="77777777" w:rsidR="00245549" w:rsidRPr="00D91B24" w:rsidRDefault="00245549" w:rsidP="002A6B0A">
      <w:pPr>
        <w:keepNext/>
        <w:jc w:val="left"/>
        <w:rPr>
          <w:u w:val="single"/>
        </w:rPr>
      </w:pPr>
      <w:r w:rsidRPr="00D91B24">
        <w:rPr>
          <w:u w:val="single"/>
        </w:rPr>
        <w:t>Tabulated list of adverse reactions.</w:t>
      </w:r>
    </w:p>
    <w:p w14:paraId="6CF6C475" w14:textId="77777777" w:rsidR="00245549" w:rsidRDefault="00245549" w:rsidP="002A6B0A">
      <w:pPr>
        <w:jc w:val="left"/>
      </w:pPr>
      <w:r>
        <w:t>Adverse</w:t>
      </w:r>
      <w:r w:rsidRPr="00D91B24">
        <w:t xml:space="preserve"> reactions reported </w:t>
      </w:r>
      <w:r>
        <w:t xml:space="preserve">in clinical studies </w:t>
      </w:r>
      <w:r w:rsidRPr="00D91B24">
        <w:t xml:space="preserve">with </w:t>
      </w:r>
      <w:proofErr w:type="spellStart"/>
      <w:r>
        <w:t>belzutifan</w:t>
      </w:r>
      <w:proofErr w:type="spellEnd"/>
      <w:r>
        <w:t xml:space="preserve"> </w:t>
      </w:r>
      <w:r w:rsidRPr="00D91B24">
        <w:t>are listed in the table below by MedDRA system organ class and by frequency. Frequencies are defined as very common (≥</w:t>
      </w:r>
      <w:r>
        <w:rPr>
          <w:rFonts w:cs="Arial"/>
        </w:rPr>
        <w:t> </w:t>
      </w:r>
      <w:r w:rsidRPr="00D91B24">
        <w:t>1/10), common (≥</w:t>
      </w:r>
      <w:r>
        <w:rPr>
          <w:rFonts w:cs="Arial"/>
        </w:rPr>
        <w:t> </w:t>
      </w:r>
      <w:r w:rsidRPr="00D91B24">
        <w:t>1/100 to &lt;</w:t>
      </w:r>
      <w:r>
        <w:rPr>
          <w:rFonts w:cs="Arial"/>
        </w:rPr>
        <w:t> </w:t>
      </w:r>
      <w:r w:rsidRPr="00D91B24">
        <w:t>1/10), uncommon (≥</w:t>
      </w:r>
      <w:r>
        <w:rPr>
          <w:rFonts w:cs="Arial"/>
        </w:rPr>
        <w:t> </w:t>
      </w:r>
      <w:r w:rsidRPr="00D91B24">
        <w:t>1/1,000 to &lt;</w:t>
      </w:r>
      <w:r>
        <w:rPr>
          <w:rFonts w:cs="Arial"/>
        </w:rPr>
        <w:t> </w:t>
      </w:r>
      <w:r w:rsidRPr="00D91B24">
        <w:t>1/100), rare (≥</w:t>
      </w:r>
      <w:r>
        <w:rPr>
          <w:rFonts w:cs="Arial"/>
        </w:rPr>
        <w:t> </w:t>
      </w:r>
      <w:r w:rsidRPr="00D91B24">
        <w:t>1/10,000 to &lt;</w:t>
      </w:r>
      <w:r>
        <w:rPr>
          <w:rFonts w:cs="Arial"/>
        </w:rPr>
        <w:t> </w:t>
      </w:r>
      <w:r w:rsidRPr="00D91B24">
        <w:t>1/1,000), and very rare (&lt;</w:t>
      </w:r>
      <w:r>
        <w:rPr>
          <w:rFonts w:cs="Arial"/>
        </w:rPr>
        <w:t> </w:t>
      </w:r>
      <w:r w:rsidRPr="00D91B24">
        <w:t>1/10,000).</w:t>
      </w:r>
    </w:p>
    <w:p w14:paraId="14D512DA" w14:textId="19C57D1D" w:rsidR="00100C02" w:rsidRPr="00100C02" w:rsidRDefault="00100C02" w:rsidP="002A6B0A">
      <w:pPr>
        <w:keepNext/>
        <w:jc w:val="left"/>
        <w:rPr>
          <w:b/>
        </w:rPr>
      </w:pPr>
      <w:bookmarkStart w:id="12" w:name="_Ref123908054"/>
      <w:r w:rsidRPr="00100C02">
        <w:rPr>
          <w:b/>
          <w:bCs/>
        </w:rPr>
        <w:lastRenderedPageBreak/>
        <w:t xml:space="preserve">Table </w:t>
      </w:r>
      <w:r w:rsidRPr="00100C02">
        <w:rPr>
          <w:b/>
          <w:bCs/>
        </w:rPr>
        <w:fldChar w:fldCharType="begin" w:fldLock="1"/>
      </w:r>
      <w:r w:rsidRPr="00100C02">
        <w:rPr>
          <w:b/>
          <w:bCs/>
        </w:rPr>
        <w:instrText xml:space="preserve"> SEQ Table \* ARABIC </w:instrText>
      </w:r>
      <w:r w:rsidRPr="00100C02">
        <w:rPr>
          <w:b/>
          <w:bCs/>
        </w:rPr>
        <w:fldChar w:fldCharType="separate"/>
      </w:r>
      <w:r w:rsidR="00124384">
        <w:rPr>
          <w:b/>
          <w:bCs/>
          <w:noProof/>
        </w:rPr>
        <w:t>3</w:t>
      </w:r>
      <w:r w:rsidRPr="00100C02">
        <w:rPr>
          <w:b/>
          <w:bCs/>
        </w:rPr>
        <w:fldChar w:fldCharType="end"/>
      </w:r>
      <w:bookmarkEnd w:id="12"/>
      <w:r>
        <w:rPr>
          <w:b/>
          <w:bCs/>
          <w:i/>
          <w:iCs/>
        </w:rPr>
        <w:t xml:space="preserve">: </w:t>
      </w:r>
      <w:r w:rsidRPr="003B7C8C">
        <w:rPr>
          <w:b/>
        </w:rPr>
        <w:t xml:space="preserve">Adverse reactions for </w:t>
      </w:r>
      <w:r>
        <w:rPr>
          <w:b/>
        </w:rPr>
        <w:t>WELIREG</w:t>
      </w:r>
      <w:r w:rsidRPr="003B7C8C">
        <w:rPr>
          <w:b/>
        </w:rPr>
        <w:t xml:space="preserve"> </w:t>
      </w:r>
      <w:r>
        <w:rPr>
          <w:b/>
        </w:rPr>
        <w:t xml:space="preserve">120 mg Once </w:t>
      </w:r>
      <w:r w:rsidRPr="003B7C8C">
        <w:rPr>
          <w:b/>
        </w:rPr>
        <w:t>Daily</w:t>
      </w:r>
      <w:r>
        <w:rPr>
          <w:b/>
        </w:rPr>
        <w:t>*</w:t>
      </w:r>
    </w:p>
    <w:tbl>
      <w:tblPr>
        <w:tblStyle w:val="TableGrid"/>
        <w:tblW w:w="0" w:type="auto"/>
        <w:tblLook w:val="04A0" w:firstRow="1" w:lastRow="0" w:firstColumn="1" w:lastColumn="0" w:noHBand="0" w:noVBand="1"/>
      </w:tblPr>
      <w:tblGrid>
        <w:gridCol w:w="4500"/>
        <w:gridCol w:w="4490"/>
      </w:tblGrid>
      <w:tr w:rsidR="00245549" w:rsidRPr="001C2498" w14:paraId="367ACF29" w14:textId="77777777" w:rsidTr="002916D1">
        <w:trPr>
          <w:cantSplit/>
          <w:tblHeader/>
        </w:trPr>
        <w:tc>
          <w:tcPr>
            <w:tcW w:w="4500" w:type="dxa"/>
          </w:tcPr>
          <w:p w14:paraId="489AF977" w14:textId="77777777" w:rsidR="00245549" w:rsidRPr="001C2498" w:rsidRDefault="00245549" w:rsidP="002A6B0A">
            <w:pPr>
              <w:keepNext/>
              <w:autoSpaceDE w:val="0"/>
              <w:autoSpaceDN w:val="0"/>
              <w:adjustRightInd w:val="0"/>
              <w:jc w:val="left"/>
              <w:rPr>
                <w:noProof/>
                <w:szCs w:val="22"/>
              </w:rPr>
            </w:pPr>
            <w:r w:rsidRPr="001C2498">
              <w:rPr>
                <w:b/>
                <w:bCs/>
                <w:szCs w:val="22"/>
              </w:rPr>
              <w:t>System Organ Class</w:t>
            </w:r>
            <w:r w:rsidRPr="001C2498">
              <w:rPr>
                <w:szCs w:val="22"/>
              </w:rPr>
              <w:t xml:space="preserve"> </w:t>
            </w:r>
          </w:p>
        </w:tc>
        <w:tc>
          <w:tcPr>
            <w:tcW w:w="4490" w:type="dxa"/>
          </w:tcPr>
          <w:p w14:paraId="7C612950" w14:textId="77777777" w:rsidR="00245549" w:rsidRPr="001C2498" w:rsidRDefault="00245549" w:rsidP="002A6B0A">
            <w:pPr>
              <w:keepNext/>
              <w:autoSpaceDE w:val="0"/>
              <w:autoSpaceDN w:val="0"/>
              <w:adjustRightInd w:val="0"/>
              <w:jc w:val="left"/>
              <w:rPr>
                <w:noProof/>
                <w:szCs w:val="22"/>
              </w:rPr>
            </w:pPr>
            <w:r w:rsidRPr="001C2498">
              <w:rPr>
                <w:b/>
                <w:bCs/>
                <w:szCs w:val="22"/>
              </w:rPr>
              <w:t xml:space="preserve">Adverse Drug Reaction </w:t>
            </w:r>
            <w:r w:rsidRPr="001C2498">
              <w:rPr>
                <w:szCs w:val="22"/>
              </w:rPr>
              <w:t xml:space="preserve"> </w:t>
            </w:r>
          </w:p>
        </w:tc>
      </w:tr>
      <w:tr w:rsidR="00245549" w:rsidRPr="001C2498" w14:paraId="4C60E339" w14:textId="77777777" w:rsidTr="002916D1">
        <w:trPr>
          <w:cantSplit/>
          <w:tblHeader/>
        </w:trPr>
        <w:tc>
          <w:tcPr>
            <w:tcW w:w="4500" w:type="dxa"/>
          </w:tcPr>
          <w:p w14:paraId="206A1D5B" w14:textId="77777777" w:rsidR="00245549" w:rsidRPr="001C2498" w:rsidRDefault="00245549" w:rsidP="002A6B0A">
            <w:pPr>
              <w:keepNext/>
              <w:autoSpaceDE w:val="0"/>
              <w:autoSpaceDN w:val="0"/>
              <w:adjustRightInd w:val="0"/>
              <w:jc w:val="left"/>
              <w:rPr>
                <w:b/>
                <w:bCs/>
                <w:szCs w:val="22"/>
              </w:rPr>
            </w:pPr>
            <w:r w:rsidRPr="001C2498">
              <w:rPr>
                <w:b/>
                <w:bCs/>
                <w:szCs w:val="22"/>
              </w:rPr>
              <w:t>Blood and lymphatic disorders</w:t>
            </w:r>
          </w:p>
        </w:tc>
        <w:tc>
          <w:tcPr>
            <w:tcW w:w="4490" w:type="dxa"/>
          </w:tcPr>
          <w:p w14:paraId="21F4EE26" w14:textId="77777777" w:rsidR="00245549" w:rsidRPr="001C2498" w:rsidRDefault="00245549" w:rsidP="002A6B0A">
            <w:pPr>
              <w:keepNext/>
              <w:autoSpaceDE w:val="0"/>
              <w:autoSpaceDN w:val="0"/>
              <w:adjustRightInd w:val="0"/>
              <w:jc w:val="left"/>
              <w:rPr>
                <w:szCs w:val="22"/>
              </w:rPr>
            </w:pPr>
          </w:p>
        </w:tc>
      </w:tr>
      <w:tr w:rsidR="00245549" w:rsidRPr="001C2498" w14:paraId="7952F97F" w14:textId="77777777" w:rsidTr="002916D1">
        <w:trPr>
          <w:cantSplit/>
          <w:tblHeader/>
        </w:trPr>
        <w:tc>
          <w:tcPr>
            <w:tcW w:w="4500" w:type="dxa"/>
          </w:tcPr>
          <w:p w14:paraId="3BF9DD1F" w14:textId="77777777" w:rsidR="00245549" w:rsidRPr="001C2498" w:rsidRDefault="00245549" w:rsidP="002A6B0A">
            <w:pPr>
              <w:keepNext/>
              <w:autoSpaceDE w:val="0"/>
              <w:autoSpaceDN w:val="0"/>
              <w:adjustRightInd w:val="0"/>
              <w:jc w:val="left"/>
              <w:rPr>
                <w:szCs w:val="22"/>
              </w:rPr>
            </w:pPr>
            <w:r w:rsidRPr="001C2498">
              <w:rPr>
                <w:szCs w:val="22"/>
              </w:rPr>
              <w:t>Very Common</w:t>
            </w:r>
          </w:p>
        </w:tc>
        <w:tc>
          <w:tcPr>
            <w:tcW w:w="4490" w:type="dxa"/>
          </w:tcPr>
          <w:p w14:paraId="7BA4B8D0" w14:textId="260D3F0A" w:rsidR="00245549" w:rsidRPr="001C2498" w:rsidRDefault="00245549" w:rsidP="002A6B0A">
            <w:pPr>
              <w:keepNext/>
              <w:autoSpaceDE w:val="0"/>
              <w:autoSpaceDN w:val="0"/>
              <w:adjustRightInd w:val="0"/>
              <w:jc w:val="left"/>
              <w:rPr>
                <w:szCs w:val="22"/>
              </w:rPr>
            </w:pPr>
            <w:proofErr w:type="spellStart"/>
            <w:r w:rsidRPr="001C2498">
              <w:rPr>
                <w:szCs w:val="22"/>
              </w:rPr>
              <w:t>an</w:t>
            </w:r>
            <w:r>
              <w:rPr>
                <w:szCs w:val="22"/>
              </w:rPr>
              <w:t>a</w:t>
            </w:r>
            <w:r w:rsidRPr="001C2498">
              <w:rPr>
                <w:szCs w:val="22"/>
              </w:rPr>
              <w:t>emia</w:t>
            </w:r>
            <w:proofErr w:type="spellEnd"/>
          </w:p>
        </w:tc>
      </w:tr>
      <w:tr w:rsidR="00245549" w:rsidRPr="001C2498" w14:paraId="73023660" w14:textId="77777777" w:rsidTr="002916D1">
        <w:trPr>
          <w:cantSplit/>
          <w:tblHeader/>
        </w:trPr>
        <w:tc>
          <w:tcPr>
            <w:tcW w:w="4500" w:type="dxa"/>
          </w:tcPr>
          <w:p w14:paraId="7F3A79BD" w14:textId="77777777" w:rsidR="00245549" w:rsidRPr="001C2498" w:rsidRDefault="00245549" w:rsidP="002A6B0A">
            <w:pPr>
              <w:keepNext/>
              <w:autoSpaceDE w:val="0"/>
              <w:autoSpaceDN w:val="0"/>
              <w:adjustRightInd w:val="0"/>
              <w:jc w:val="left"/>
              <w:rPr>
                <w:noProof/>
                <w:szCs w:val="22"/>
              </w:rPr>
            </w:pPr>
            <w:r w:rsidRPr="001C2498">
              <w:rPr>
                <w:b/>
                <w:bCs/>
                <w:szCs w:val="22"/>
              </w:rPr>
              <w:t>Nervous system disorders</w:t>
            </w:r>
          </w:p>
        </w:tc>
        <w:tc>
          <w:tcPr>
            <w:tcW w:w="4490" w:type="dxa"/>
          </w:tcPr>
          <w:p w14:paraId="015D4A90" w14:textId="77777777" w:rsidR="00245549" w:rsidRPr="001C2498" w:rsidRDefault="00245549" w:rsidP="002A6B0A">
            <w:pPr>
              <w:keepNext/>
              <w:autoSpaceDE w:val="0"/>
              <w:autoSpaceDN w:val="0"/>
              <w:adjustRightInd w:val="0"/>
              <w:jc w:val="left"/>
              <w:rPr>
                <w:noProof/>
                <w:szCs w:val="22"/>
              </w:rPr>
            </w:pPr>
          </w:p>
        </w:tc>
      </w:tr>
      <w:tr w:rsidR="00245549" w:rsidRPr="001C2498" w14:paraId="5B2B2AB1" w14:textId="77777777" w:rsidTr="002916D1">
        <w:trPr>
          <w:cantSplit/>
          <w:tblHeader/>
        </w:trPr>
        <w:tc>
          <w:tcPr>
            <w:tcW w:w="4500" w:type="dxa"/>
          </w:tcPr>
          <w:p w14:paraId="36ECE654" w14:textId="77777777" w:rsidR="00245549" w:rsidRPr="001C2498" w:rsidRDefault="00245549" w:rsidP="002A6B0A">
            <w:pPr>
              <w:keepNext/>
              <w:autoSpaceDE w:val="0"/>
              <w:autoSpaceDN w:val="0"/>
              <w:adjustRightInd w:val="0"/>
              <w:jc w:val="left"/>
              <w:rPr>
                <w:noProof/>
                <w:szCs w:val="22"/>
              </w:rPr>
            </w:pPr>
            <w:r w:rsidRPr="001C2498">
              <w:rPr>
                <w:szCs w:val="22"/>
              </w:rPr>
              <w:t>Very Common</w:t>
            </w:r>
          </w:p>
        </w:tc>
        <w:tc>
          <w:tcPr>
            <w:tcW w:w="4490" w:type="dxa"/>
          </w:tcPr>
          <w:p w14:paraId="394D07A6" w14:textId="77777777" w:rsidR="00245549" w:rsidRPr="001C2498" w:rsidRDefault="00245549" w:rsidP="002A6B0A">
            <w:pPr>
              <w:keepNext/>
              <w:autoSpaceDE w:val="0"/>
              <w:autoSpaceDN w:val="0"/>
              <w:adjustRightInd w:val="0"/>
              <w:jc w:val="left"/>
              <w:rPr>
                <w:noProof/>
                <w:szCs w:val="22"/>
              </w:rPr>
            </w:pPr>
            <w:r w:rsidRPr="001C2498">
              <w:rPr>
                <w:noProof/>
                <w:szCs w:val="22"/>
              </w:rPr>
              <w:t>dizziness</w:t>
            </w:r>
          </w:p>
        </w:tc>
      </w:tr>
      <w:tr w:rsidR="00245549" w:rsidRPr="001C2498" w14:paraId="194EE5C0" w14:textId="77777777" w:rsidTr="002916D1">
        <w:trPr>
          <w:cantSplit/>
          <w:tblHeader/>
        </w:trPr>
        <w:tc>
          <w:tcPr>
            <w:tcW w:w="4500" w:type="dxa"/>
          </w:tcPr>
          <w:p w14:paraId="2211BBC4" w14:textId="77777777" w:rsidR="00245549" w:rsidRPr="001C2498" w:rsidRDefault="00245549" w:rsidP="002A6B0A">
            <w:pPr>
              <w:keepNext/>
              <w:autoSpaceDE w:val="0"/>
              <w:autoSpaceDN w:val="0"/>
              <w:adjustRightInd w:val="0"/>
              <w:jc w:val="left"/>
              <w:rPr>
                <w:noProof/>
                <w:szCs w:val="22"/>
              </w:rPr>
            </w:pPr>
            <w:r w:rsidRPr="001C2498">
              <w:rPr>
                <w:b/>
                <w:bCs/>
                <w:szCs w:val="22"/>
              </w:rPr>
              <w:t xml:space="preserve">Respiratory, </w:t>
            </w:r>
            <w:proofErr w:type="gramStart"/>
            <w:r w:rsidRPr="001C2498">
              <w:rPr>
                <w:b/>
                <w:bCs/>
                <w:szCs w:val="22"/>
              </w:rPr>
              <w:t>thoracic</w:t>
            </w:r>
            <w:proofErr w:type="gramEnd"/>
            <w:r w:rsidRPr="001C2498">
              <w:rPr>
                <w:b/>
                <w:bCs/>
                <w:szCs w:val="22"/>
              </w:rPr>
              <w:t xml:space="preserve"> and mediastinal disorders</w:t>
            </w:r>
          </w:p>
        </w:tc>
        <w:tc>
          <w:tcPr>
            <w:tcW w:w="4490" w:type="dxa"/>
          </w:tcPr>
          <w:p w14:paraId="1D5D2486" w14:textId="77777777" w:rsidR="00245549" w:rsidRPr="001C2498" w:rsidRDefault="00245549" w:rsidP="002A6B0A">
            <w:pPr>
              <w:keepNext/>
              <w:autoSpaceDE w:val="0"/>
              <w:autoSpaceDN w:val="0"/>
              <w:adjustRightInd w:val="0"/>
              <w:jc w:val="left"/>
              <w:rPr>
                <w:noProof/>
                <w:szCs w:val="22"/>
              </w:rPr>
            </w:pPr>
          </w:p>
        </w:tc>
      </w:tr>
      <w:tr w:rsidR="00245549" w:rsidRPr="001C2498" w14:paraId="6BD6E256" w14:textId="77777777" w:rsidTr="002916D1">
        <w:trPr>
          <w:cantSplit/>
          <w:trHeight w:val="70"/>
          <w:tblHeader/>
        </w:trPr>
        <w:tc>
          <w:tcPr>
            <w:tcW w:w="4500" w:type="dxa"/>
          </w:tcPr>
          <w:p w14:paraId="02D0ABA7" w14:textId="77777777" w:rsidR="00245549" w:rsidRPr="001C2498" w:rsidRDefault="00245549" w:rsidP="002A6B0A">
            <w:pPr>
              <w:keepNext/>
              <w:autoSpaceDE w:val="0"/>
              <w:autoSpaceDN w:val="0"/>
              <w:adjustRightInd w:val="0"/>
              <w:jc w:val="left"/>
              <w:rPr>
                <w:szCs w:val="22"/>
              </w:rPr>
            </w:pPr>
            <w:r w:rsidRPr="001C2498">
              <w:rPr>
                <w:szCs w:val="22"/>
              </w:rPr>
              <w:t>Very Common</w:t>
            </w:r>
          </w:p>
        </w:tc>
        <w:tc>
          <w:tcPr>
            <w:tcW w:w="4490" w:type="dxa"/>
          </w:tcPr>
          <w:p w14:paraId="1A55E24A" w14:textId="77777777" w:rsidR="00245549" w:rsidRPr="001C2498" w:rsidRDefault="00245549" w:rsidP="002A6B0A">
            <w:pPr>
              <w:keepNext/>
              <w:autoSpaceDE w:val="0"/>
              <w:autoSpaceDN w:val="0"/>
              <w:adjustRightInd w:val="0"/>
              <w:jc w:val="left"/>
              <w:rPr>
                <w:szCs w:val="22"/>
              </w:rPr>
            </w:pPr>
            <w:proofErr w:type="spellStart"/>
            <w:r w:rsidRPr="001C2498">
              <w:rPr>
                <w:szCs w:val="22"/>
              </w:rPr>
              <w:t>dyspnoea</w:t>
            </w:r>
            <w:proofErr w:type="spellEnd"/>
          </w:p>
        </w:tc>
      </w:tr>
      <w:tr w:rsidR="00245549" w:rsidRPr="001C2498" w14:paraId="4105D819" w14:textId="77777777" w:rsidTr="002916D1">
        <w:trPr>
          <w:cantSplit/>
          <w:trHeight w:val="70"/>
          <w:tblHeader/>
        </w:trPr>
        <w:tc>
          <w:tcPr>
            <w:tcW w:w="4500" w:type="dxa"/>
          </w:tcPr>
          <w:p w14:paraId="2DB5E997" w14:textId="77777777" w:rsidR="00245549" w:rsidRPr="001C2498" w:rsidDel="00D7522F" w:rsidRDefault="00245549" w:rsidP="002A6B0A">
            <w:pPr>
              <w:keepNext/>
              <w:autoSpaceDE w:val="0"/>
              <w:autoSpaceDN w:val="0"/>
              <w:adjustRightInd w:val="0"/>
              <w:jc w:val="left"/>
              <w:rPr>
                <w:szCs w:val="22"/>
              </w:rPr>
            </w:pPr>
            <w:r w:rsidRPr="001C2498">
              <w:rPr>
                <w:szCs w:val="22"/>
              </w:rPr>
              <w:t>Common</w:t>
            </w:r>
          </w:p>
        </w:tc>
        <w:tc>
          <w:tcPr>
            <w:tcW w:w="4490" w:type="dxa"/>
          </w:tcPr>
          <w:p w14:paraId="36CF1282" w14:textId="77777777" w:rsidR="00245549" w:rsidRPr="001C2498" w:rsidRDefault="00245549" w:rsidP="002A6B0A">
            <w:pPr>
              <w:keepNext/>
              <w:autoSpaceDE w:val="0"/>
              <w:autoSpaceDN w:val="0"/>
              <w:adjustRightInd w:val="0"/>
              <w:jc w:val="left"/>
              <w:rPr>
                <w:szCs w:val="22"/>
              </w:rPr>
            </w:pPr>
            <w:r w:rsidRPr="001C2498">
              <w:rPr>
                <w:szCs w:val="22"/>
              </w:rPr>
              <w:t>hypoxia</w:t>
            </w:r>
          </w:p>
        </w:tc>
      </w:tr>
      <w:tr w:rsidR="00245549" w:rsidRPr="001C2498" w14:paraId="25D9BC14" w14:textId="77777777" w:rsidTr="002916D1">
        <w:trPr>
          <w:cantSplit/>
          <w:tblHeader/>
        </w:trPr>
        <w:tc>
          <w:tcPr>
            <w:tcW w:w="4500" w:type="dxa"/>
          </w:tcPr>
          <w:p w14:paraId="18400CE1" w14:textId="77777777" w:rsidR="00245549" w:rsidRPr="001C2498" w:rsidRDefault="00245549" w:rsidP="002A6B0A">
            <w:pPr>
              <w:keepNext/>
              <w:autoSpaceDE w:val="0"/>
              <w:autoSpaceDN w:val="0"/>
              <w:adjustRightInd w:val="0"/>
              <w:jc w:val="left"/>
              <w:rPr>
                <w:noProof/>
                <w:szCs w:val="22"/>
              </w:rPr>
            </w:pPr>
            <w:r w:rsidRPr="001C2498">
              <w:rPr>
                <w:szCs w:val="22"/>
              </w:rPr>
              <w:t xml:space="preserve"> </w:t>
            </w:r>
            <w:r w:rsidRPr="001C2498">
              <w:rPr>
                <w:b/>
                <w:bCs/>
                <w:szCs w:val="22"/>
              </w:rPr>
              <w:t>Gastrointestinal disorders</w:t>
            </w:r>
          </w:p>
        </w:tc>
        <w:tc>
          <w:tcPr>
            <w:tcW w:w="4490" w:type="dxa"/>
          </w:tcPr>
          <w:p w14:paraId="6C3AC663" w14:textId="77777777" w:rsidR="00245549" w:rsidRPr="001C2498" w:rsidRDefault="00245549" w:rsidP="002A6B0A">
            <w:pPr>
              <w:keepNext/>
              <w:autoSpaceDE w:val="0"/>
              <w:autoSpaceDN w:val="0"/>
              <w:adjustRightInd w:val="0"/>
              <w:jc w:val="left"/>
              <w:rPr>
                <w:noProof/>
                <w:szCs w:val="22"/>
              </w:rPr>
            </w:pPr>
          </w:p>
        </w:tc>
      </w:tr>
      <w:tr w:rsidR="00245549" w:rsidRPr="001C2498" w14:paraId="72353C6E" w14:textId="77777777" w:rsidTr="002916D1">
        <w:trPr>
          <w:cantSplit/>
          <w:tblHeader/>
        </w:trPr>
        <w:tc>
          <w:tcPr>
            <w:tcW w:w="4500" w:type="dxa"/>
          </w:tcPr>
          <w:p w14:paraId="2D110556" w14:textId="77777777" w:rsidR="00245549" w:rsidRPr="001C2498" w:rsidRDefault="00245549" w:rsidP="002A6B0A">
            <w:pPr>
              <w:autoSpaceDE w:val="0"/>
              <w:autoSpaceDN w:val="0"/>
              <w:adjustRightInd w:val="0"/>
              <w:jc w:val="left"/>
              <w:rPr>
                <w:noProof/>
                <w:szCs w:val="22"/>
              </w:rPr>
            </w:pPr>
            <w:r w:rsidRPr="001C2498">
              <w:rPr>
                <w:szCs w:val="22"/>
              </w:rPr>
              <w:t>Very Common</w:t>
            </w:r>
          </w:p>
        </w:tc>
        <w:tc>
          <w:tcPr>
            <w:tcW w:w="4490" w:type="dxa"/>
          </w:tcPr>
          <w:p w14:paraId="01068552" w14:textId="77777777" w:rsidR="00245549" w:rsidRPr="001C2498" w:rsidRDefault="00245549" w:rsidP="002A6B0A">
            <w:pPr>
              <w:autoSpaceDE w:val="0"/>
              <w:autoSpaceDN w:val="0"/>
              <w:adjustRightInd w:val="0"/>
              <w:jc w:val="left"/>
              <w:rPr>
                <w:noProof/>
                <w:szCs w:val="22"/>
              </w:rPr>
            </w:pPr>
            <w:r w:rsidRPr="001C2498">
              <w:rPr>
                <w:noProof/>
                <w:szCs w:val="22"/>
              </w:rPr>
              <w:t>nausea</w:t>
            </w:r>
          </w:p>
        </w:tc>
      </w:tr>
      <w:tr w:rsidR="00245549" w:rsidRPr="001C2498" w14:paraId="5930FED4" w14:textId="77777777" w:rsidTr="002916D1">
        <w:trPr>
          <w:cantSplit/>
          <w:tblHeader/>
        </w:trPr>
        <w:tc>
          <w:tcPr>
            <w:tcW w:w="4500" w:type="dxa"/>
          </w:tcPr>
          <w:p w14:paraId="7F5C3727" w14:textId="77777777" w:rsidR="00245549" w:rsidRPr="001C2498" w:rsidRDefault="00245549" w:rsidP="002A6B0A">
            <w:pPr>
              <w:autoSpaceDE w:val="0"/>
              <w:autoSpaceDN w:val="0"/>
              <w:adjustRightInd w:val="0"/>
              <w:jc w:val="left"/>
              <w:rPr>
                <w:szCs w:val="22"/>
              </w:rPr>
            </w:pPr>
            <w:r w:rsidRPr="001C2498">
              <w:rPr>
                <w:b/>
                <w:bCs/>
                <w:szCs w:val="22"/>
              </w:rPr>
              <w:t>General disorders and administration site disorders</w:t>
            </w:r>
          </w:p>
        </w:tc>
        <w:tc>
          <w:tcPr>
            <w:tcW w:w="4490" w:type="dxa"/>
          </w:tcPr>
          <w:p w14:paraId="0FBCCDD4" w14:textId="77777777" w:rsidR="00245549" w:rsidRPr="001C2498" w:rsidRDefault="00245549" w:rsidP="002A6B0A">
            <w:pPr>
              <w:autoSpaceDE w:val="0"/>
              <w:autoSpaceDN w:val="0"/>
              <w:adjustRightInd w:val="0"/>
              <w:jc w:val="left"/>
              <w:rPr>
                <w:noProof/>
                <w:szCs w:val="22"/>
              </w:rPr>
            </w:pPr>
          </w:p>
        </w:tc>
      </w:tr>
      <w:tr w:rsidR="00245549" w:rsidRPr="001C2498" w14:paraId="0EB62728" w14:textId="77777777" w:rsidTr="002916D1">
        <w:trPr>
          <w:cantSplit/>
          <w:tblHeader/>
        </w:trPr>
        <w:tc>
          <w:tcPr>
            <w:tcW w:w="4500" w:type="dxa"/>
          </w:tcPr>
          <w:p w14:paraId="47ACE96D" w14:textId="77777777" w:rsidR="00245549" w:rsidRPr="001C2498" w:rsidRDefault="00245549" w:rsidP="002A6B0A">
            <w:pPr>
              <w:autoSpaceDE w:val="0"/>
              <w:autoSpaceDN w:val="0"/>
              <w:adjustRightInd w:val="0"/>
              <w:jc w:val="left"/>
              <w:rPr>
                <w:szCs w:val="22"/>
              </w:rPr>
            </w:pPr>
            <w:r w:rsidRPr="001C2498">
              <w:rPr>
                <w:szCs w:val="22"/>
              </w:rPr>
              <w:t>Very Common</w:t>
            </w:r>
          </w:p>
        </w:tc>
        <w:tc>
          <w:tcPr>
            <w:tcW w:w="4490" w:type="dxa"/>
          </w:tcPr>
          <w:p w14:paraId="4F83CF57" w14:textId="77777777" w:rsidR="00245549" w:rsidRPr="001C2498" w:rsidRDefault="00245549" w:rsidP="002A6B0A">
            <w:pPr>
              <w:autoSpaceDE w:val="0"/>
              <w:autoSpaceDN w:val="0"/>
              <w:adjustRightInd w:val="0"/>
              <w:jc w:val="left"/>
              <w:rPr>
                <w:noProof/>
                <w:szCs w:val="22"/>
              </w:rPr>
            </w:pPr>
            <w:r w:rsidRPr="001C2498">
              <w:rPr>
                <w:noProof/>
                <w:szCs w:val="22"/>
              </w:rPr>
              <w:t>fatigue</w:t>
            </w:r>
          </w:p>
        </w:tc>
      </w:tr>
    </w:tbl>
    <w:p w14:paraId="7D08E83E" w14:textId="393BDA9B" w:rsidR="00245549" w:rsidRPr="00111B45" w:rsidRDefault="00245549" w:rsidP="002A6B0A">
      <w:pPr>
        <w:jc w:val="left"/>
        <w:rPr>
          <w:rFonts w:eastAsia="SimSun"/>
        </w:rPr>
      </w:pPr>
      <w:r w:rsidRPr="00111B45">
        <w:rPr>
          <w:rFonts w:eastAsia="SimSun"/>
        </w:rPr>
        <w:t xml:space="preserve">*Adverse reaction frequencies presented in </w:t>
      </w:r>
      <w:r w:rsidR="006A1F46" w:rsidRPr="006A1F46">
        <w:rPr>
          <w:rFonts w:eastAsia="SimSun"/>
        </w:rPr>
        <w:fldChar w:fldCharType="begin" w:fldLock="1"/>
      </w:r>
      <w:r w:rsidR="006A1F46" w:rsidRPr="006A1F46">
        <w:rPr>
          <w:rFonts w:eastAsia="SimSun"/>
        </w:rPr>
        <w:instrText xml:space="preserve"> REF _Ref123908054 \h  \* MERGEFORMAT </w:instrText>
      </w:r>
      <w:r w:rsidR="006A1F46" w:rsidRPr="006A1F46">
        <w:rPr>
          <w:rFonts w:eastAsia="SimSun"/>
        </w:rPr>
      </w:r>
      <w:r w:rsidR="006A1F46" w:rsidRPr="006A1F46">
        <w:rPr>
          <w:rFonts w:eastAsia="SimSun"/>
        </w:rPr>
        <w:fldChar w:fldCharType="separate"/>
      </w:r>
      <w:r w:rsidR="006A1F46" w:rsidRPr="006A1F46">
        <w:t xml:space="preserve">Table </w:t>
      </w:r>
      <w:r w:rsidR="006A1F46" w:rsidRPr="006A1F46">
        <w:rPr>
          <w:noProof/>
        </w:rPr>
        <w:t>3</w:t>
      </w:r>
      <w:r w:rsidR="006A1F46" w:rsidRPr="006A1F46">
        <w:rPr>
          <w:rFonts w:eastAsia="SimSun"/>
        </w:rPr>
        <w:fldChar w:fldCharType="end"/>
      </w:r>
      <w:r w:rsidR="006A1F46">
        <w:rPr>
          <w:rFonts w:eastAsia="SimSun"/>
        </w:rPr>
        <w:t xml:space="preserve"> </w:t>
      </w:r>
      <w:r w:rsidRPr="00111B45">
        <w:rPr>
          <w:rFonts w:eastAsia="SimSun"/>
        </w:rPr>
        <w:t>may contain contributions from the underlying disease.</w:t>
      </w:r>
    </w:p>
    <w:p w14:paraId="21180823" w14:textId="09374C39" w:rsidR="000F49C1" w:rsidRDefault="00E3313B" w:rsidP="002A6B0A">
      <w:pPr>
        <w:jc w:val="left"/>
      </w:pPr>
      <w:r w:rsidRPr="00E3313B">
        <w:t xml:space="preserve">The safety of </w:t>
      </w:r>
      <w:r w:rsidR="00027D80">
        <w:t>WELIREG</w:t>
      </w:r>
      <w:r w:rsidRPr="00E3313B">
        <w:t xml:space="preserve"> was also evaluated in a Phase 1 clinical trial (Study-001), in 58 patients with non-VHL disease-associated advanced solid tumo</w:t>
      </w:r>
      <w:r w:rsidR="00A62369">
        <w:t>u</w:t>
      </w:r>
      <w:r w:rsidRPr="00E3313B">
        <w:t xml:space="preserve">rs, treated with </w:t>
      </w:r>
      <w:r w:rsidR="00027D80">
        <w:t>WELIREG</w:t>
      </w:r>
      <w:r w:rsidRPr="00E3313B">
        <w:t xml:space="preserve"> 120 mg once daily. Study-001 patients differed from VHL-associated RCC patients (Study-004). Study-001 patients were older, had worse ECOG PS, had metastatic disease, had prior therapies, had more comorbidities, and had lower baseline h</w:t>
      </w:r>
      <w:r w:rsidR="00A62369">
        <w:t>a</w:t>
      </w:r>
      <w:r w:rsidRPr="00E3313B">
        <w:t xml:space="preserve">emoglobin levels at treatment initiation. Study-001 had a median duration of exposure to </w:t>
      </w:r>
      <w:r w:rsidR="00027D80">
        <w:t>WELIREG</w:t>
      </w:r>
      <w:r w:rsidRPr="00E3313B">
        <w:t xml:space="preserve"> of 25.4 weeks (range: 1.1 to 145.9 weeks). </w:t>
      </w:r>
      <w:r w:rsidR="00027D80">
        <w:t>WELIREG</w:t>
      </w:r>
      <w:r w:rsidRPr="00E3313B">
        <w:t xml:space="preserve"> was discontinued due to adverse reactions in 6 patients (10.3%), most commonly due to hypoxia. Adverse reactions leading to dose interruption occurred in 24 patients (41.4%) and adverse reactions leading to dose reduction occurred in 6 patients (10.3%). The most common (≥ 10%) adverse reaction resulting in dose interruption or reduction was hypoxia. The most common adverse reactions (≥ 25%) that occurred in patients treated with </w:t>
      </w:r>
      <w:r w:rsidR="00027D80">
        <w:t>WELIREG</w:t>
      </w:r>
      <w:r w:rsidRPr="00E3313B">
        <w:t xml:space="preserve"> were an</w:t>
      </w:r>
      <w:r w:rsidR="00A62369">
        <w:t>a</w:t>
      </w:r>
      <w:r w:rsidRPr="00E3313B">
        <w:t>emia, fatigue, dyspn</w:t>
      </w:r>
      <w:r w:rsidR="00A62369">
        <w:t>o</w:t>
      </w:r>
      <w:r w:rsidRPr="00E3313B">
        <w:t xml:space="preserve">ea, nausea, hypoxia, cough, vomiting, and peripheral </w:t>
      </w:r>
      <w:r w:rsidR="00A62369">
        <w:t>o</w:t>
      </w:r>
      <w:r w:rsidRPr="00E3313B">
        <w:t>edema.</w:t>
      </w:r>
    </w:p>
    <w:p w14:paraId="3AC44C9E" w14:textId="1EA2D227" w:rsidR="002B424E" w:rsidRPr="00CA00F2" w:rsidRDefault="002B424E" w:rsidP="002A6B0A">
      <w:pPr>
        <w:pStyle w:val="Heading3"/>
        <w:jc w:val="left"/>
      </w:pPr>
      <w:r w:rsidRPr="00CA00F2">
        <w:t>Reporting suspected adverse effects</w:t>
      </w:r>
    </w:p>
    <w:p w14:paraId="48CCF882" w14:textId="5ACA4A69" w:rsidR="00E3313B" w:rsidRPr="00CA00F2" w:rsidRDefault="00E3313B" w:rsidP="002A6B0A">
      <w:pPr>
        <w:jc w:val="left"/>
        <w:rPr>
          <w:rFonts w:cs="Arial"/>
        </w:rPr>
      </w:pPr>
      <w:r w:rsidRPr="00CA00F2">
        <w:rPr>
          <w:rFonts w:cs="Arial"/>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CA00F2">
          <w:rPr>
            <w:rStyle w:val="Hyperlink"/>
            <w:rFonts w:cs="Arial"/>
            <w:lang w:val="en"/>
          </w:rPr>
          <w:t>www.tga.gov.au/reporting-problems</w:t>
        </w:r>
      </w:hyperlink>
      <w:r w:rsidRPr="00CA00F2">
        <w:rPr>
          <w:rFonts w:cs="Arial"/>
          <w:lang w:val="en"/>
        </w:rPr>
        <w:t>.</w:t>
      </w:r>
    </w:p>
    <w:p w14:paraId="23EEF762" w14:textId="77777777" w:rsidR="001A3992" w:rsidRPr="00CA00F2" w:rsidRDefault="001A3992" w:rsidP="002A6B0A">
      <w:pPr>
        <w:pStyle w:val="Heading2"/>
        <w:keepNext/>
        <w:keepLines/>
        <w:spacing w:before="0" w:after="120"/>
        <w:jc w:val="left"/>
        <w:rPr>
          <w:rFonts w:ascii="Arial" w:hAnsi="Arial" w:cs="Arial"/>
        </w:rPr>
      </w:pPr>
      <w:r w:rsidRPr="00CA00F2">
        <w:rPr>
          <w:rFonts w:ascii="Arial" w:hAnsi="Arial" w:cs="Arial"/>
        </w:rPr>
        <w:t>Overdose</w:t>
      </w:r>
    </w:p>
    <w:p w14:paraId="43FCEE20" w14:textId="21BA0518" w:rsidR="00E3313B" w:rsidRDefault="00E3313B" w:rsidP="002A6B0A">
      <w:pPr>
        <w:jc w:val="left"/>
        <w:rPr>
          <w:rFonts w:cs="Arial"/>
          <w:lang w:val="en"/>
        </w:rPr>
      </w:pPr>
      <w:r w:rsidRPr="00E3313B">
        <w:rPr>
          <w:rFonts w:cs="Arial"/>
          <w:lang w:val="en"/>
        </w:rPr>
        <w:t xml:space="preserve">There is no specific treatment for </w:t>
      </w:r>
      <w:r w:rsidR="00027D80">
        <w:rPr>
          <w:rFonts w:cs="Arial"/>
          <w:lang w:val="en"/>
        </w:rPr>
        <w:t>WELIREG</w:t>
      </w:r>
      <w:r w:rsidRPr="00E3313B">
        <w:rPr>
          <w:rFonts w:cs="Arial"/>
          <w:lang w:val="en"/>
        </w:rPr>
        <w:t xml:space="preserve"> overdose. In cases of suspected overdose, if necessary, consider withholding </w:t>
      </w:r>
      <w:r w:rsidR="00027D80">
        <w:rPr>
          <w:rFonts w:cs="Arial"/>
          <w:lang w:val="en"/>
        </w:rPr>
        <w:t>WELIREG</w:t>
      </w:r>
      <w:r w:rsidRPr="00E3313B">
        <w:rPr>
          <w:rFonts w:cs="Arial"/>
          <w:lang w:val="en"/>
        </w:rPr>
        <w:t xml:space="preserve"> and instituting supportive care. The highest dose of </w:t>
      </w:r>
      <w:r w:rsidR="00027D80">
        <w:rPr>
          <w:rFonts w:cs="Arial"/>
          <w:lang w:val="en"/>
        </w:rPr>
        <w:t>WELIREG</w:t>
      </w:r>
      <w:r w:rsidRPr="00E3313B">
        <w:rPr>
          <w:rFonts w:cs="Arial"/>
          <w:lang w:val="en"/>
        </w:rPr>
        <w:t xml:space="preserve"> studied clinically was 240 mg total daily dose (120 mg twice a day or 240 mg once a day). Grade 3 hypoxia </w:t>
      </w:r>
      <w:r w:rsidR="00AC5CD1">
        <w:rPr>
          <w:rFonts w:cs="Arial"/>
          <w:lang w:val="en"/>
        </w:rPr>
        <w:t xml:space="preserve">occurred at </w:t>
      </w:r>
      <w:r w:rsidRPr="00E3313B">
        <w:rPr>
          <w:rFonts w:cs="Arial"/>
          <w:lang w:val="en"/>
        </w:rPr>
        <w:t xml:space="preserve">120 mg twice a day and Grade 4 thrombocytopenia </w:t>
      </w:r>
      <w:r w:rsidR="00AC5CD1">
        <w:rPr>
          <w:rFonts w:cs="Arial"/>
          <w:lang w:val="en"/>
        </w:rPr>
        <w:t xml:space="preserve">occurred at </w:t>
      </w:r>
      <w:r w:rsidRPr="00E3313B">
        <w:rPr>
          <w:rFonts w:cs="Arial"/>
          <w:lang w:val="en"/>
        </w:rPr>
        <w:t>240 mg once daily.</w:t>
      </w:r>
    </w:p>
    <w:p w14:paraId="21952ABE" w14:textId="35D83F30" w:rsidR="00497C85" w:rsidRPr="00CA00F2" w:rsidRDefault="00497C85" w:rsidP="002A6B0A">
      <w:pPr>
        <w:jc w:val="left"/>
        <w:rPr>
          <w:rFonts w:cs="Arial"/>
        </w:rPr>
      </w:pPr>
      <w:r w:rsidRPr="00CA00F2">
        <w:rPr>
          <w:rFonts w:cs="Arial"/>
          <w:lang w:val="en"/>
        </w:rPr>
        <w:t>For information on the management of overdose, contact the Poisons Information Centre on 13 11 26 (Australia).</w:t>
      </w:r>
    </w:p>
    <w:p w14:paraId="72958114" w14:textId="082635CC" w:rsidR="001A3992" w:rsidRDefault="001A3992" w:rsidP="002A6B0A">
      <w:pPr>
        <w:pStyle w:val="Heading1"/>
        <w:spacing w:before="0" w:after="120"/>
        <w:jc w:val="left"/>
        <w:rPr>
          <w:rFonts w:ascii="Arial" w:hAnsi="Arial" w:cs="Arial"/>
          <w:lang w:val="en-US"/>
        </w:rPr>
      </w:pPr>
      <w:r w:rsidRPr="00CA00F2">
        <w:rPr>
          <w:rFonts w:ascii="Arial" w:hAnsi="Arial" w:cs="Arial"/>
          <w:lang w:val="en-US"/>
        </w:rPr>
        <w:lastRenderedPageBreak/>
        <w:t>Pharmacological properties</w:t>
      </w:r>
    </w:p>
    <w:p w14:paraId="3CEA7DF8" w14:textId="0FC927E7" w:rsidR="004534BD" w:rsidRPr="004534BD" w:rsidRDefault="004534BD" w:rsidP="002A6B0A">
      <w:pPr>
        <w:jc w:val="left"/>
        <w:rPr>
          <w:lang w:val="en-US"/>
        </w:rPr>
      </w:pPr>
      <w:r w:rsidRPr="004534BD">
        <w:rPr>
          <w:lang w:val="en-US"/>
        </w:rPr>
        <w:t>Pharmacotherapeutic group: not yet assigned, ATC code: not yet assigned.</w:t>
      </w:r>
    </w:p>
    <w:p w14:paraId="6C85D619" w14:textId="7C745E8A" w:rsidR="001A3992" w:rsidRDefault="001A3992" w:rsidP="002A6B0A">
      <w:pPr>
        <w:pStyle w:val="Heading2"/>
        <w:spacing w:before="0" w:after="120"/>
        <w:jc w:val="left"/>
        <w:rPr>
          <w:rFonts w:ascii="Arial" w:hAnsi="Arial" w:cs="Arial"/>
          <w:lang w:val="en-US"/>
        </w:rPr>
      </w:pPr>
      <w:r w:rsidRPr="00CA00F2">
        <w:rPr>
          <w:rFonts w:ascii="Arial" w:hAnsi="Arial" w:cs="Arial"/>
          <w:lang w:val="en-US"/>
        </w:rPr>
        <w:t xml:space="preserve">Pharmacodynamic properties </w:t>
      </w:r>
    </w:p>
    <w:p w14:paraId="65736468" w14:textId="0434BC07" w:rsidR="001A3992" w:rsidRDefault="001A3992" w:rsidP="002A6B0A">
      <w:pPr>
        <w:pStyle w:val="Heading3"/>
        <w:jc w:val="left"/>
      </w:pPr>
      <w:r w:rsidRPr="00CA00F2">
        <w:t>Mechanism of action</w:t>
      </w:r>
    </w:p>
    <w:p w14:paraId="11BE431F" w14:textId="35E4C1A6" w:rsidR="001244B9" w:rsidRDefault="00820756" w:rsidP="002A6B0A">
      <w:pPr>
        <w:jc w:val="left"/>
      </w:pPr>
      <w:r w:rsidRPr="00820756">
        <w:t>Belzutifan is an inhibitor of</w:t>
      </w:r>
      <w:r>
        <w:t xml:space="preserve"> h</w:t>
      </w:r>
      <w:r w:rsidR="004534BD" w:rsidRPr="004534BD">
        <w:t>ypoxia-inducible factor 2 alpha (HIF-2α)</w:t>
      </w:r>
      <w:r>
        <w:t>.</w:t>
      </w:r>
      <w:r w:rsidR="004534BD" w:rsidRPr="004534BD">
        <w:t xml:space="preserve"> </w:t>
      </w:r>
      <w:r w:rsidRPr="004534BD">
        <w:t xml:space="preserve">HIF-2α </w:t>
      </w:r>
      <w:r w:rsidR="004534BD" w:rsidRPr="004534BD">
        <w:t>is a</w:t>
      </w:r>
      <w:r w:rsidR="00914EBA" w:rsidRPr="00914EBA">
        <w:t xml:space="preserve">   transcription factor that plays a role in oxygen sensing by regulating genes that promote adaptation to hypoxia. Under normal oxygen levels, HIF-2α is targeted for ubiquitin-proteasomal degradation by VHL protein. Lack of functional VHL protein results in stabilization and accumulation of HIF-2α. Upon stabilization, HIF-2α translocates into the nucleus and interacts with hypoxia-inducible factor 1 beta (HIF-1</w:t>
      </w:r>
      <w:r w:rsidR="006F1617">
        <w:rPr>
          <w:rFonts w:ascii="Symbol" w:hAnsi="Symbol" w:cs="Arial"/>
        </w:rPr>
        <w:t>b</w:t>
      </w:r>
      <w:r w:rsidR="00914EBA" w:rsidRPr="00914EBA">
        <w:t>)</w:t>
      </w:r>
      <w:r w:rsidR="00BB7D15">
        <w:t xml:space="preserve"> domains</w:t>
      </w:r>
      <w:r w:rsidR="00914EBA" w:rsidRPr="00914EBA">
        <w:t xml:space="preserve"> to form a transcriptional complex that induces expression of downstream genes, including genes associated with cellular proliferation, angiogenesis, and tumo</w:t>
      </w:r>
      <w:r w:rsidR="00914EBA">
        <w:t>u</w:t>
      </w:r>
      <w:r w:rsidR="00914EBA" w:rsidRPr="00914EBA">
        <w:t>r growth.</w:t>
      </w:r>
      <w:r w:rsidR="00914EBA">
        <w:t xml:space="preserve"> </w:t>
      </w:r>
      <w:r w:rsidR="00F43F74" w:rsidRPr="00F43F74">
        <w:t xml:space="preserve">Belzutifan binds to HIF-2α, and in conditions of hypoxia or impairment of VHL protein function, </w:t>
      </w:r>
      <w:proofErr w:type="spellStart"/>
      <w:r w:rsidR="00F43F74" w:rsidRPr="00F43F74">
        <w:t>belzutifan</w:t>
      </w:r>
      <w:proofErr w:type="spellEnd"/>
      <w:r w:rsidR="00F43F74" w:rsidRPr="00F43F74">
        <w:t xml:space="preserve"> blocks the H</w:t>
      </w:r>
      <w:r w:rsidR="00F43F74" w:rsidRPr="00914EBA">
        <w:rPr>
          <w:rFonts w:cs="Arial"/>
        </w:rPr>
        <w:t>IF-2α-</w:t>
      </w:r>
      <w:r w:rsidR="00914EBA" w:rsidRPr="00914EBA">
        <w:rPr>
          <w:rFonts w:cs="Arial"/>
          <w:sz w:val="24"/>
          <w:szCs w:val="24"/>
        </w:rPr>
        <w:t>HIF-1</w:t>
      </w:r>
      <w:r w:rsidR="00914EBA">
        <w:rPr>
          <w:rFonts w:ascii="Symbol" w:hAnsi="Symbol" w:cs="Arial"/>
        </w:rPr>
        <w:t>b</w:t>
      </w:r>
      <w:r w:rsidR="00F43F74" w:rsidRPr="00914EBA">
        <w:rPr>
          <w:rFonts w:cs="Arial"/>
        </w:rPr>
        <w:t xml:space="preserve"> interaction, lea</w:t>
      </w:r>
      <w:r w:rsidR="00F43F74" w:rsidRPr="00F43F74">
        <w:t>ding to reduced transcription and expression of HIF-2α target genes.</w:t>
      </w:r>
      <w:r w:rsidR="00F43F74" w:rsidRPr="00F43F74" w:rsidDel="00F43F74">
        <w:t xml:space="preserve"> </w:t>
      </w:r>
      <w:r w:rsidR="00914EBA">
        <w:t xml:space="preserve">In vivo, </w:t>
      </w:r>
      <w:proofErr w:type="spellStart"/>
      <w:r w:rsidR="00914EBA">
        <w:t>b</w:t>
      </w:r>
      <w:r w:rsidR="004534BD" w:rsidRPr="004534BD">
        <w:t>elzutifan</w:t>
      </w:r>
      <w:proofErr w:type="spellEnd"/>
      <w:r w:rsidR="004534BD" w:rsidRPr="004534BD">
        <w:t xml:space="preserve"> has demonstrated anti-tumo</w:t>
      </w:r>
      <w:r w:rsidR="004023D6">
        <w:t>u</w:t>
      </w:r>
      <w:r w:rsidR="004534BD" w:rsidRPr="004534BD">
        <w:t>r activity in mouse xenograft models of clear cell renal cell carcinoma (</w:t>
      </w:r>
      <w:proofErr w:type="spellStart"/>
      <w:r w:rsidR="004534BD" w:rsidRPr="004534BD">
        <w:t>ccRCC</w:t>
      </w:r>
      <w:proofErr w:type="spellEnd"/>
      <w:r w:rsidR="004534BD" w:rsidRPr="004534BD">
        <w:t>).</w:t>
      </w:r>
    </w:p>
    <w:p w14:paraId="1003FF0F" w14:textId="27D015E6" w:rsidR="001244B9" w:rsidRDefault="001244B9" w:rsidP="002A6B0A">
      <w:pPr>
        <w:jc w:val="left"/>
      </w:pPr>
      <w:r w:rsidRPr="008B0006">
        <w:t xml:space="preserve">The pharmacodynamic effects of </w:t>
      </w:r>
      <w:r w:rsidR="00027D80">
        <w:t>WELIREG</w:t>
      </w:r>
      <w:r w:rsidRPr="008B0006">
        <w:t xml:space="preserve"> were evaluated in patients with VHL disease-associated RCC (Study-004) and in patients with </w:t>
      </w:r>
      <w:r>
        <w:t xml:space="preserve">non-VHL disease-associated </w:t>
      </w:r>
      <w:r w:rsidRPr="008B0006">
        <w:t>advanced solid tumo</w:t>
      </w:r>
      <w:r w:rsidR="00146E0A">
        <w:t>u</w:t>
      </w:r>
      <w:r w:rsidRPr="008B0006">
        <w:t xml:space="preserve">rs (Study-001). Circulating plasma levels of erythropoietin (EPO) were monitored in patients as a pharmacodynamic marker of HIF-2α inhibition. Treatment in patients with </w:t>
      </w:r>
      <w:r w:rsidR="00027D80">
        <w:t>WELIREG</w:t>
      </w:r>
      <w:r w:rsidRPr="008B0006">
        <w:t xml:space="preserve"> resulted in reductions in EPO at all dose levels. Reductions in EPO were observed to be dose/exposure dependent and showed a plateauing effect on reduction </w:t>
      </w:r>
      <w:bookmarkStart w:id="13" w:name="_Hlk56614608"/>
      <w:r w:rsidRPr="008B0006">
        <w:t>at</w:t>
      </w:r>
      <w:r>
        <w:t xml:space="preserve"> exposures achieved with doses above 120 mg once daily</w:t>
      </w:r>
      <w:bookmarkEnd w:id="13"/>
      <w:r w:rsidRPr="008B0006">
        <w:t xml:space="preserve">. In patients with VHL </w:t>
      </w:r>
      <w:proofErr w:type="gramStart"/>
      <w:r w:rsidRPr="008B0006">
        <w:t>disease-associated</w:t>
      </w:r>
      <w:proofErr w:type="gramEnd"/>
      <w:r w:rsidRPr="008B0006">
        <w:t xml:space="preserve"> RCC receiving 120</w:t>
      </w:r>
      <w:r>
        <w:t> </w:t>
      </w:r>
      <w:r w:rsidRPr="008B0006">
        <w:t xml:space="preserve">mg once daily of </w:t>
      </w:r>
      <w:r w:rsidR="00027D80">
        <w:t>WELIREG</w:t>
      </w:r>
      <w:r w:rsidRPr="008B0006">
        <w:t>, peak EPO suppression occurred at 2</w:t>
      </w:r>
      <w:r>
        <w:t> </w:t>
      </w:r>
      <w:r w:rsidRPr="008B0006">
        <w:t>weeks of treatment (mean percent decrease from baseline of approximately 60%). Mean EPO levels gradually returned to baseline values after 12</w:t>
      </w:r>
      <w:r>
        <w:t> </w:t>
      </w:r>
      <w:r w:rsidRPr="008B0006">
        <w:t>weeks of treatment.</w:t>
      </w:r>
    </w:p>
    <w:p w14:paraId="49D1B19B" w14:textId="002B820E" w:rsidR="00AC5CD1" w:rsidRPr="00403CDE" w:rsidRDefault="00AC5CD1" w:rsidP="002A6B0A">
      <w:pPr>
        <w:jc w:val="left"/>
      </w:pPr>
      <w:r w:rsidRPr="00AC5CD1">
        <w:t>The incidence of Grade 3 an</w:t>
      </w:r>
      <w:r>
        <w:t>a</w:t>
      </w:r>
      <w:r w:rsidRPr="00AC5CD1">
        <w:t xml:space="preserve">emia increased with higher </w:t>
      </w:r>
      <w:proofErr w:type="spellStart"/>
      <w:r w:rsidRPr="00AC5CD1">
        <w:t>belzutifan</w:t>
      </w:r>
      <w:proofErr w:type="spellEnd"/>
      <w:r w:rsidRPr="00AC5CD1">
        <w:t xml:space="preserve"> exposure in patients with baseline haemoglobin levels &lt;12 g/dL </w:t>
      </w:r>
      <w:r w:rsidR="00435489">
        <w:t>(S</w:t>
      </w:r>
      <w:r w:rsidRPr="00AC5CD1">
        <w:t>ee</w:t>
      </w:r>
      <w:r w:rsidRPr="00107009">
        <w:rPr>
          <w:b/>
        </w:rPr>
        <w:t xml:space="preserve"> Section 4.4 </w:t>
      </w:r>
      <w:r w:rsidRPr="00107009">
        <w:rPr>
          <w:b/>
          <w:color w:val="000000"/>
        </w:rPr>
        <w:t>Special Warnings and Precautions for Use</w:t>
      </w:r>
      <w:r w:rsidR="00435489">
        <w:t>)</w:t>
      </w:r>
      <w:r w:rsidRPr="00AC5CD1">
        <w:t>.</w:t>
      </w:r>
    </w:p>
    <w:p w14:paraId="045C9D59" w14:textId="77777777" w:rsidR="001244B9" w:rsidRPr="00CF0E9E" w:rsidRDefault="001244B9" w:rsidP="002A6B0A">
      <w:pPr>
        <w:jc w:val="left"/>
        <w:rPr>
          <w:u w:val="single"/>
        </w:rPr>
      </w:pPr>
      <w:bookmarkStart w:id="14" w:name="_Hlk47963915"/>
      <w:r w:rsidRPr="00CF0E9E">
        <w:rPr>
          <w:u w:val="single"/>
        </w:rPr>
        <w:t>Cardiac Electrophysiology</w:t>
      </w:r>
    </w:p>
    <w:p w14:paraId="700D09F7" w14:textId="68A9FCE2" w:rsidR="001244B9" w:rsidRPr="00403CDE" w:rsidRDefault="001244B9" w:rsidP="002A6B0A">
      <w:pPr>
        <w:jc w:val="left"/>
        <w:rPr>
          <w:rFonts w:cs="Calibri"/>
          <w:bCs/>
        </w:rPr>
      </w:pPr>
      <w:bookmarkStart w:id="15" w:name="_Hlk47963941"/>
      <w:bookmarkEnd w:id="14"/>
      <w:r w:rsidRPr="000D751A">
        <w:rPr>
          <w:rFonts w:cs="Calibri"/>
          <w:bCs/>
        </w:rPr>
        <w:t>At the recommended dose</w:t>
      </w:r>
      <w:r>
        <w:rPr>
          <w:rFonts w:cs="Calibri"/>
          <w:bCs/>
        </w:rPr>
        <w:t xml:space="preserve"> </w:t>
      </w:r>
      <w:r w:rsidRPr="000D751A">
        <w:rPr>
          <w:rFonts w:cs="Calibri"/>
          <w:bCs/>
        </w:rPr>
        <w:t>(120</w:t>
      </w:r>
      <w:r>
        <w:t> </w:t>
      </w:r>
      <w:r w:rsidRPr="000D751A">
        <w:rPr>
          <w:rFonts w:cs="Calibri"/>
          <w:bCs/>
        </w:rPr>
        <w:t>mg once daily)</w:t>
      </w:r>
      <w:r>
        <w:rPr>
          <w:rFonts w:cs="Calibri"/>
          <w:bCs/>
        </w:rPr>
        <w:t xml:space="preserve"> for </w:t>
      </w:r>
      <w:r w:rsidR="00027D80">
        <w:rPr>
          <w:rFonts w:cs="Calibri"/>
          <w:bCs/>
        </w:rPr>
        <w:t>WELIREG</w:t>
      </w:r>
      <w:r w:rsidRPr="000D751A">
        <w:rPr>
          <w:rFonts w:cs="Calibri"/>
          <w:bCs/>
        </w:rPr>
        <w:t xml:space="preserve">, there were no clinically relevant effects on the QTc interval. </w:t>
      </w:r>
      <w:bookmarkEnd w:id="15"/>
    </w:p>
    <w:p w14:paraId="3F443022" w14:textId="77777777" w:rsidR="001244B9" w:rsidRPr="00CF0E9E" w:rsidRDefault="001244B9" w:rsidP="002A6B0A">
      <w:pPr>
        <w:jc w:val="left"/>
        <w:rPr>
          <w:u w:val="single"/>
        </w:rPr>
      </w:pPr>
      <w:bookmarkStart w:id="16" w:name="_Hlk47964013"/>
      <w:r w:rsidRPr="00CF0E9E">
        <w:rPr>
          <w:u w:val="single"/>
        </w:rPr>
        <w:t>Pharmacogenomics</w:t>
      </w:r>
    </w:p>
    <w:p w14:paraId="35F7554E" w14:textId="01E541A6" w:rsidR="001244B9" w:rsidRDefault="00027D80" w:rsidP="002A6B0A">
      <w:pPr>
        <w:jc w:val="left"/>
      </w:pPr>
      <w:bookmarkStart w:id="17" w:name="_Hlk56614748"/>
      <w:bookmarkEnd w:id="16"/>
      <w:r>
        <w:t>WELIREG</w:t>
      </w:r>
      <w:r w:rsidR="001244B9" w:rsidRPr="00DB168F">
        <w:t xml:space="preserve"> is primarily metaboli</w:t>
      </w:r>
      <w:r w:rsidR="001244B9">
        <w:t>s</w:t>
      </w:r>
      <w:r w:rsidR="001244B9" w:rsidRPr="00DB168F">
        <w:t xml:space="preserve">ed by UGT2B17 and CYP2C19. </w:t>
      </w:r>
      <w:r w:rsidR="001244B9">
        <w:t>The activity of these enzymes varies</w:t>
      </w:r>
      <w:r w:rsidR="001244B9" w:rsidRPr="00DB168F">
        <w:t xml:space="preserve"> among individuals who carry different genetic variants, which may impact </w:t>
      </w:r>
      <w:r>
        <w:t>WELIREG</w:t>
      </w:r>
      <w:r w:rsidR="001244B9" w:rsidRPr="00DB168F">
        <w:t xml:space="preserve"> concentrations. Poor metaboli</w:t>
      </w:r>
      <w:r w:rsidR="001244B9">
        <w:t>s</w:t>
      </w:r>
      <w:r w:rsidR="001244B9" w:rsidRPr="00DB168F">
        <w:t>ers</w:t>
      </w:r>
      <w:r w:rsidR="001244B9">
        <w:t xml:space="preserve"> </w:t>
      </w:r>
      <w:r w:rsidR="001244B9" w:rsidRPr="00DB168F">
        <w:t xml:space="preserve">are individuals who are considered to have no enzyme activity. Approximately 15% of Caucasians, </w:t>
      </w:r>
      <w:r w:rsidR="001244B9">
        <w:t xml:space="preserve">11% of Latinos, </w:t>
      </w:r>
      <w:r w:rsidR="001244B9" w:rsidRPr="00DB168F">
        <w:t>6% of African</w:t>
      </w:r>
      <w:r w:rsidR="001244B9">
        <w:t xml:space="preserve"> Americans</w:t>
      </w:r>
      <w:r w:rsidR="001244B9" w:rsidRPr="00DB168F">
        <w:t>, 38% of South Asians, and 70% of East Asians are UGT2B17 poor metaboli</w:t>
      </w:r>
      <w:r w:rsidR="00146E0A">
        <w:t>s</w:t>
      </w:r>
      <w:r w:rsidR="001244B9" w:rsidRPr="00DB168F">
        <w:t xml:space="preserve">ers. Approximately </w:t>
      </w:r>
      <w:r w:rsidR="001244B9">
        <w:t>2</w:t>
      </w:r>
      <w:r w:rsidR="001244B9" w:rsidRPr="00DB168F">
        <w:t xml:space="preserve">% of Caucasians, </w:t>
      </w:r>
      <w:r w:rsidR="001244B9">
        <w:t>1% of Latinos,</w:t>
      </w:r>
      <w:r w:rsidR="001244B9" w:rsidRPr="00DB168F">
        <w:t xml:space="preserve"> 5% of African </w:t>
      </w:r>
      <w:r w:rsidR="001244B9">
        <w:t>Americans</w:t>
      </w:r>
      <w:r w:rsidR="001244B9" w:rsidRPr="00DB168F">
        <w:t xml:space="preserve">, 8% of South </w:t>
      </w:r>
      <w:r w:rsidR="001244B9" w:rsidRPr="00DB168F">
        <w:lastRenderedPageBreak/>
        <w:t>Asians, and 13% of East Asians are CYP2C19 poor metaboli</w:t>
      </w:r>
      <w:r w:rsidR="001244B9">
        <w:t>s</w:t>
      </w:r>
      <w:r w:rsidR="001244B9" w:rsidRPr="00DB168F">
        <w:t>ers.</w:t>
      </w:r>
      <w:r w:rsidR="001244B9" w:rsidRPr="000229F1">
        <w:t xml:space="preserve"> </w:t>
      </w:r>
      <w:r w:rsidR="001244B9">
        <w:t>Approximately 0.3</w:t>
      </w:r>
      <w:r w:rsidR="001244B9" w:rsidRPr="00DB168F">
        <w:t>% of Caucasians,</w:t>
      </w:r>
      <w:r w:rsidR="001244B9" w:rsidRPr="005448AE">
        <w:t xml:space="preserve"> </w:t>
      </w:r>
      <w:r w:rsidR="001244B9">
        <w:t>0.1% of Latinos,</w:t>
      </w:r>
      <w:r w:rsidR="001244B9" w:rsidRPr="00DB168F">
        <w:t xml:space="preserve"> </w:t>
      </w:r>
      <w:r w:rsidR="001244B9">
        <w:t>0.3</w:t>
      </w:r>
      <w:r w:rsidR="001244B9" w:rsidRPr="00DB168F">
        <w:t xml:space="preserve">% of African </w:t>
      </w:r>
      <w:r w:rsidR="001244B9">
        <w:t>Americans</w:t>
      </w:r>
      <w:r w:rsidR="001244B9" w:rsidRPr="00DB168F">
        <w:t xml:space="preserve">, </w:t>
      </w:r>
      <w:r w:rsidR="001244B9">
        <w:t>3</w:t>
      </w:r>
      <w:r w:rsidR="001244B9" w:rsidRPr="00DB168F">
        <w:t>% of South</w:t>
      </w:r>
      <w:r w:rsidR="001244B9">
        <w:t xml:space="preserve"> </w:t>
      </w:r>
      <w:r w:rsidR="001244B9" w:rsidRPr="00DB168F">
        <w:t xml:space="preserve">Asians, and </w:t>
      </w:r>
      <w:r w:rsidR="001244B9">
        <w:t>9</w:t>
      </w:r>
      <w:r w:rsidR="001244B9" w:rsidRPr="00DB168F">
        <w:t>% of East Asians</w:t>
      </w:r>
      <w:r w:rsidR="001244B9">
        <w:t xml:space="preserve"> are dual UGT2B17 and CYP2C19 poor metabolisers. </w:t>
      </w:r>
      <w:r w:rsidR="001244B9" w:rsidRPr="00B72E32">
        <w:t xml:space="preserve">Expected frequencies in the Japanese population for the UGT2B17, CYP2C19, and </w:t>
      </w:r>
      <w:r w:rsidR="001244B9">
        <w:t>dual</w:t>
      </w:r>
      <w:r w:rsidR="001244B9" w:rsidRPr="00B72E32">
        <w:t xml:space="preserve"> UGT2B17 and CYP2C19 poor metaboli</w:t>
      </w:r>
      <w:r w:rsidR="001244B9">
        <w:t>s</w:t>
      </w:r>
      <w:r w:rsidR="001244B9" w:rsidRPr="00B72E32">
        <w:t>er</w:t>
      </w:r>
      <w:r w:rsidR="001244B9">
        <w:t>s</w:t>
      </w:r>
      <w:r w:rsidR="001244B9" w:rsidRPr="00B72E32">
        <w:t xml:space="preserve"> are approximately 77%, 19%, and 15%</w:t>
      </w:r>
      <w:r w:rsidR="001244B9">
        <w:t>,</w:t>
      </w:r>
      <w:r w:rsidR="001244B9" w:rsidRPr="00B72E32">
        <w:t xml:space="preserve"> respectively.</w:t>
      </w:r>
      <w:r w:rsidR="001244B9">
        <w:t xml:space="preserve"> </w:t>
      </w:r>
      <w:r w:rsidR="001244B9" w:rsidRPr="00DB168F">
        <w:t xml:space="preserve">Expected frequencies in the United States </w:t>
      </w:r>
      <w:r w:rsidR="001244B9">
        <w:t>population</w:t>
      </w:r>
      <w:r w:rsidR="001244B9" w:rsidRPr="00DB168F">
        <w:t xml:space="preserve"> for the UGT2B17, CYP2C19, and </w:t>
      </w:r>
      <w:r w:rsidR="001244B9">
        <w:t>dual</w:t>
      </w:r>
      <w:r w:rsidR="001244B9" w:rsidRPr="00DB168F">
        <w:t xml:space="preserve"> UGT2B17 and CYP2C19 poor metaboli</w:t>
      </w:r>
      <w:r w:rsidR="001244B9">
        <w:t>s</w:t>
      </w:r>
      <w:r w:rsidR="001244B9" w:rsidRPr="00DB168F">
        <w:t>er</w:t>
      </w:r>
      <w:r w:rsidR="001244B9">
        <w:t>s</w:t>
      </w:r>
      <w:r w:rsidR="001244B9" w:rsidRPr="00DB168F">
        <w:t xml:space="preserve"> are approximately 16%, 3%, and 0.5%</w:t>
      </w:r>
      <w:r w:rsidR="001244B9">
        <w:t>,</w:t>
      </w:r>
      <w:r w:rsidR="001244B9" w:rsidRPr="00DB168F">
        <w:t xml:space="preserve"> respectively based on the reported proportion of the US population represented by major rac</w:t>
      </w:r>
      <w:r w:rsidR="001244B9">
        <w:t>ial</w:t>
      </w:r>
      <w:r w:rsidR="001244B9" w:rsidRPr="00DB168F">
        <w:t>/ethnic groups</w:t>
      </w:r>
      <w:r w:rsidR="001244B9">
        <w:t>.</w:t>
      </w:r>
      <w:r w:rsidR="001244B9" w:rsidRPr="00DB168F">
        <w:t xml:space="preserve"> </w:t>
      </w:r>
      <w:bookmarkEnd w:id="17"/>
    </w:p>
    <w:p w14:paraId="6811DACE" w14:textId="09704D6B" w:rsidR="001244B9" w:rsidRPr="004534BD" w:rsidRDefault="001244B9" w:rsidP="002A6B0A">
      <w:pPr>
        <w:jc w:val="left"/>
      </w:pPr>
      <w:bookmarkStart w:id="18" w:name="_Hlk56614763"/>
      <w:r w:rsidRPr="00DB168F">
        <w:t>The impact of CYP2C19 and UGT2B17 poor metaboli</w:t>
      </w:r>
      <w:r>
        <w:t>s</w:t>
      </w:r>
      <w:r w:rsidRPr="00DB168F">
        <w:t xml:space="preserve">ers </w:t>
      </w:r>
      <w:r>
        <w:t xml:space="preserve">on </w:t>
      </w:r>
      <w:r w:rsidR="00027D80">
        <w:t>WELIREG</w:t>
      </w:r>
      <w:r>
        <w:t xml:space="preserve"> exposure </w:t>
      </w:r>
      <w:r w:rsidRPr="00DB168F">
        <w:t>was assessed in a population</w:t>
      </w:r>
      <w:r>
        <w:t xml:space="preserve"> </w:t>
      </w:r>
      <w:r w:rsidRPr="00DB168F">
        <w:t>PK analysis</w:t>
      </w:r>
      <w:r>
        <w:t>.</w:t>
      </w:r>
      <w:r w:rsidRPr="00DB168F">
        <w:t xml:space="preserve"> Based on the analysis, </w:t>
      </w:r>
      <w:r>
        <w:t xml:space="preserve">VHL disease-associated RCC patients who are </w:t>
      </w:r>
      <w:r w:rsidRPr="00DB168F">
        <w:t>UGT2B17, CYP2C19</w:t>
      </w:r>
      <w:r>
        <w:t>,</w:t>
      </w:r>
      <w:r w:rsidRPr="00DB168F">
        <w:t xml:space="preserve"> </w:t>
      </w:r>
      <w:r>
        <w:t xml:space="preserve">or dual </w:t>
      </w:r>
      <w:r w:rsidRPr="00DB168F">
        <w:t>UGT2B17</w:t>
      </w:r>
      <w:r>
        <w:t xml:space="preserve"> and </w:t>
      </w:r>
      <w:r w:rsidRPr="00DB168F">
        <w:t xml:space="preserve">CYP2C19 </w:t>
      </w:r>
      <w:r>
        <w:t xml:space="preserve">poor metabolisers, </w:t>
      </w:r>
      <w:r w:rsidRPr="00DB168F">
        <w:t>are projected to have 1.5-, 1.6-</w:t>
      </w:r>
      <w:r>
        <w:t>,</w:t>
      </w:r>
      <w:r w:rsidRPr="00DB168F">
        <w:t xml:space="preserve"> </w:t>
      </w:r>
      <w:r>
        <w:t xml:space="preserve">or </w:t>
      </w:r>
      <w:r w:rsidRPr="00DB168F">
        <w:t>2.3-fold the exposures (steady state AUC</w:t>
      </w:r>
      <w:r w:rsidRPr="00C025FA">
        <w:rPr>
          <w:vertAlign w:val="subscript"/>
        </w:rPr>
        <w:t>0-24</w:t>
      </w:r>
      <w:r w:rsidR="00AC5CD1">
        <w:rPr>
          <w:vertAlign w:val="subscript"/>
        </w:rPr>
        <w:t>hr</w:t>
      </w:r>
      <w:r w:rsidRPr="00DB168F">
        <w:t>), respectively</w:t>
      </w:r>
      <w:r>
        <w:t>,</w:t>
      </w:r>
      <w:r w:rsidRPr="00DB168F">
        <w:t xml:space="preserve"> compared to a typical reference</w:t>
      </w:r>
      <w:r>
        <w:t xml:space="preserve"> </w:t>
      </w:r>
      <w:r w:rsidRPr="00DB168F">
        <w:t>patient</w:t>
      </w:r>
      <w:r>
        <w:t xml:space="preserve"> (UGT2B17 intermediate metaboliser, CYP2C19 non-poor metaboli</w:t>
      </w:r>
      <w:r w:rsidR="00146E0A">
        <w:t>s</w:t>
      </w:r>
      <w:r>
        <w:t>er)</w:t>
      </w:r>
      <w:r w:rsidRPr="00DB168F">
        <w:t xml:space="preserve"> for the recommended dose. </w:t>
      </w:r>
      <w:r>
        <w:t>N</w:t>
      </w:r>
      <w:r w:rsidRPr="00DB168F">
        <w:t xml:space="preserve">o dose adjustment is recommended </w:t>
      </w:r>
      <w:r>
        <w:t>b</w:t>
      </w:r>
      <w:r w:rsidRPr="00DB168F">
        <w:t xml:space="preserve">ased on exposure-response analyses for efficacy and safety </w:t>
      </w:r>
      <w:r>
        <w:t>and</w:t>
      </w:r>
      <w:r w:rsidRPr="00DB168F">
        <w:t xml:space="preserve"> the risk-benefit</w:t>
      </w:r>
      <w:r>
        <w:t xml:space="preserve"> profile</w:t>
      </w:r>
      <w:r w:rsidRPr="00DB168F">
        <w:t>.</w:t>
      </w:r>
      <w:bookmarkEnd w:id="18"/>
    </w:p>
    <w:p w14:paraId="16DFD635" w14:textId="3F113A03" w:rsidR="001A3992" w:rsidRDefault="001A3992" w:rsidP="002A6B0A">
      <w:pPr>
        <w:pStyle w:val="Heading3"/>
        <w:jc w:val="left"/>
        <w:rPr>
          <w:lang w:val="en-US"/>
        </w:rPr>
      </w:pPr>
      <w:r w:rsidRPr="00CA00F2">
        <w:t>Clinical</w:t>
      </w:r>
      <w:r w:rsidRPr="00CA00F2">
        <w:rPr>
          <w:lang w:val="en-US"/>
        </w:rPr>
        <w:t xml:space="preserve"> trials</w:t>
      </w:r>
    </w:p>
    <w:p w14:paraId="4EC62633" w14:textId="78624042" w:rsidR="00E3313B" w:rsidRPr="00E3313B" w:rsidRDefault="00E3313B" w:rsidP="002A6B0A">
      <w:pPr>
        <w:jc w:val="left"/>
        <w:rPr>
          <w:lang w:val="en-US"/>
        </w:rPr>
      </w:pPr>
      <w:bookmarkStart w:id="19" w:name="_Hlk93698153"/>
      <w:r w:rsidRPr="00E3313B">
        <w:rPr>
          <w:lang w:val="en-US"/>
        </w:rPr>
        <w:t xml:space="preserve">The efficacy of </w:t>
      </w:r>
      <w:r w:rsidR="00027D80">
        <w:rPr>
          <w:lang w:val="en-US"/>
        </w:rPr>
        <w:t>WELIREG</w:t>
      </w:r>
      <w:r w:rsidRPr="00E3313B">
        <w:rPr>
          <w:lang w:val="en-US"/>
        </w:rPr>
        <w:t xml:space="preserve"> was investigated in Study-004, an open-label Phase 2 clinical trial in 61 patients with VHL disease who had at least one measurable solid </w:t>
      </w:r>
      <w:r w:rsidR="009B07B4">
        <w:rPr>
          <w:lang w:val="en-US"/>
        </w:rPr>
        <w:t>tumour</w:t>
      </w:r>
      <w:r w:rsidRPr="00E3313B">
        <w:rPr>
          <w:lang w:val="en-US"/>
        </w:rPr>
        <w:t xml:space="preserve"> (as defined by RECIST v1.1) </w:t>
      </w:r>
      <w:proofErr w:type="spellStart"/>
      <w:r w:rsidRPr="00E3313B">
        <w:rPr>
          <w:lang w:val="en-US"/>
        </w:rPr>
        <w:t>locali</w:t>
      </w:r>
      <w:r w:rsidR="004023D6">
        <w:rPr>
          <w:lang w:val="en-US"/>
        </w:rPr>
        <w:t>s</w:t>
      </w:r>
      <w:r w:rsidRPr="00E3313B">
        <w:rPr>
          <w:lang w:val="en-US"/>
        </w:rPr>
        <w:t>ed</w:t>
      </w:r>
      <w:proofErr w:type="spellEnd"/>
      <w:r w:rsidRPr="00E3313B">
        <w:rPr>
          <w:lang w:val="en-US"/>
        </w:rPr>
        <w:t xml:space="preserve"> to the kidney and who did not require immediate surgery. Patients received </w:t>
      </w:r>
      <w:r w:rsidR="00027D80">
        <w:rPr>
          <w:lang w:val="en-US"/>
        </w:rPr>
        <w:t>WELIREG</w:t>
      </w:r>
      <w:r w:rsidRPr="00E3313B">
        <w:rPr>
          <w:lang w:val="en-US"/>
        </w:rPr>
        <w:t xml:space="preserve"> at a dose of 120 mg once daily. Patients were evaluated radiologically approximately 12 weeks after initiation of treatment and every 12 weeks thereafter. Treatment was continued until progression of disease or unacceptable toxicity. The study excluded patients who had any evidence of metastatic disease, either RCC or other VHL disease-associated tumo</w:t>
      </w:r>
      <w:r w:rsidR="00A706BB">
        <w:rPr>
          <w:lang w:val="en-US"/>
        </w:rPr>
        <w:t>u</w:t>
      </w:r>
      <w:r w:rsidRPr="00E3313B">
        <w:rPr>
          <w:lang w:val="en-US"/>
        </w:rPr>
        <w:t>rs, an immediate need for surgical intervention for tumo</w:t>
      </w:r>
      <w:r w:rsidR="004023D6">
        <w:rPr>
          <w:lang w:val="en-US"/>
        </w:rPr>
        <w:t>u</w:t>
      </w:r>
      <w:r w:rsidRPr="00E3313B">
        <w:rPr>
          <w:lang w:val="en-US"/>
        </w:rPr>
        <w:t xml:space="preserve">r treatment, any major surgical procedure completed within 4 weeks prior to study enrollment, any major cardiovascular event within 6 months prior to study drug administration, or prior systemic treatments for VHL disease-associated RCC. </w:t>
      </w:r>
    </w:p>
    <w:p w14:paraId="79F6A2E9" w14:textId="46A53C4A" w:rsidR="00E3313B" w:rsidRPr="00E3313B" w:rsidRDefault="00E3313B" w:rsidP="002A6B0A">
      <w:pPr>
        <w:jc w:val="left"/>
        <w:rPr>
          <w:lang w:val="en-US"/>
        </w:rPr>
      </w:pPr>
      <w:r w:rsidRPr="00E3313B">
        <w:rPr>
          <w:lang w:val="en-US"/>
        </w:rPr>
        <w:t xml:space="preserve">The study population characteristics </w:t>
      </w:r>
      <w:proofErr w:type="gramStart"/>
      <w:r w:rsidRPr="00E3313B">
        <w:rPr>
          <w:lang w:val="en-US"/>
        </w:rPr>
        <w:t>were:</w:t>
      </w:r>
      <w:proofErr w:type="gramEnd"/>
      <w:r w:rsidRPr="00E3313B">
        <w:rPr>
          <w:lang w:val="en-US"/>
        </w:rPr>
        <w:t xml:space="preserve"> median age of 41 years, 3.3% age 65 or over; 52.5% male; 90.2% White; and 82.0% had an ECOG PS of 0 and 16.4% had an ECOG PS of 1. Seventy-seven percent of patients had prior RCC surgical procedures. Other VHL disease-associated tumo</w:t>
      </w:r>
      <w:r w:rsidR="004023D6">
        <w:rPr>
          <w:lang w:val="en-US"/>
        </w:rPr>
        <w:t>u</w:t>
      </w:r>
      <w:r w:rsidRPr="00E3313B">
        <w:rPr>
          <w:lang w:val="en-US"/>
        </w:rPr>
        <w:t xml:space="preserve">rs in patients included pancreatic lesions (100.0%) of which </w:t>
      </w:r>
      <w:r w:rsidR="00A706BB">
        <w:rPr>
          <w:lang w:val="en-US"/>
        </w:rPr>
        <w:t>36.1</w:t>
      </w:r>
      <w:r w:rsidRPr="00E3313B">
        <w:rPr>
          <w:lang w:val="en-US"/>
        </w:rPr>
        <w:t>% were pancreatic neuroendocrine tumo</w:t>
      </w:r>
      <w:r w:rsidR="004023D6">
        <w:rPr>
          <w:lang w:val="en-US"/>
        </w:rPr>
        <w:t>u</w:t>
      </w:r>
      <w:r w:rsidRPr="00E3313B">
        <w:rPr>
          <w:lang w:val="en-US"/>
        </w:rPr>
        <w:t xml:space="preserve">rs, CNS </w:t>
      </w:r>
      <w:r w:rsidR="004023D6" w:rsidRPr="00E3313B">
        <w:rPr>
          <w:lang w:val="en-US"/>
        </w:rPr>
        <w:t>h</w:t>
      </w:r>
      <w:r w:rsidR="004023D6">
        <w:rPr>
          <w:lang w:val="en-US"/>
        </w:rPr>
        <w:t>e</w:t>
      </w:r>
      <w:r w:rsidR="004023D6" w:rsidRPr="00E3313B">
        <w:rPr>
          <w:lang w:val="en-US"/>
        </w:rPr>
        <w:t>mangioblastomas</w:t>
      </w:r>
      <w:r w:rsidRPr="00E3313B">
        <w:rPr>
          <w:lang w:val="en-US"/>
        </w:rPr>
        <w:t xml:space="preserve"> (82.0%), and retinal angiomas (</w:t>
      </w:r>
      <w:r w:rsidR="00A706BB">
        <w:rPr>
          <w:lang w:val="en-US"/>
        </w:rPr>
        <w:t>19.7</w:t>
      </w:r>
      <w:r w:rsidRPr="00E3313B">
        <w:rPr>
          <w:lang w:val="en-US"/>
        </w:rPr>
        <w:t xml:space="preserve">%). </w:t>
      </w:r>
    </w:p>
    <w:p w14:paraId="12EB5C16" w14:textId="08106A36" w:rsidR="00E3313B" w:rsidRDefault="00E3313B" w:rsidP="002A6B0A">
      <w:pPr>
        <w:jc w:val="left"/>
        <w:rPr>
          <w:lang w:val="en-US"/>
        </w:rPr>
      </w:pPr>
      <w:r w:rsidRPr="00E3313B">
        <w:rPr>
          <w:lang w:val="en-US"/>
        </w:rPr>
        <w:t xml:space="preserve">The primary efficacy endpoint for the treatment of VHL </w:t>
      </w:r>
      <w:proofErr w:type="gramStart"/>
      <w:r w:rsidRPr="00E3313B">
        <w:rPr>
          <w:lang w:val="en-US"/>
        </w:rPr>
        <w:t>disease-associated</w:t>
      </w:r>
      <w:proofErr w:type="gramEnd"/>
      <w:r w:rsidRPr="00E3313B">
        <w:rPr>
          <w:lang w:val="en-US"/>
        </w:rPr>
        <w:t xml:space="preserve"> RCC was overall response rate (ORR) measured by Integrated Radiology and Oncology Assessment (IRO) assessment using RECIST v1.1 as assessed by </w:t>
      </w:r>
      <w:r w:rsidR="00A706BB">
        <w:rPr>
          <w:lang w:val="en-US"/>
        </w:rPr>
        <w:t xml:space="preserve">a </w:t>
      </w:r>
      <w:r w:rsidR="00A706BB" w:rsidRPr="00E3313B">
        <w:rPr>
          <w:lang w:val="en-US"/>
        </w:rPr>
        <w:t xml:space="preserve">central independent review committee </w:t>
      </w:r>
      <w:r w:rsidR="00A706BB">
        <w:rPr>
          <w:lang w:val="en-US"/>
        </w:rPr>
        <w:t>(</w:t>
      </w:r>
      <w:r w:rsidRPr="00E3313B">
        <w:rPr>
          <w:lang w:val="en-US"/>
        </w:rPr>
        <w:t>IRC</w:t>
      </w:r>
      <w:r w:rsidR="00A706BB">
        <w:rPr>
          <w:lang w:val="en-US"/>
        </w:rPr>
        <w:t>)</w:t>
      </w:r>
      <w:r w:rsidRPr="00E3313B">
        <w:rPr>
          <w:lang w:val="en-US"/>
        </w:rPr>
        <w:t xml:space="preserve">. Additional efficacy endpoints included disease control rate (DCR), response </w:t>
      </w:r>
      <w:proofErr w:type="gramStart"/>
      <w:r w:rsidRPr="00E3313B">
        <w:rPr>
          <w:lang w:val="en-US"/>
        </w:rPr>
        <w:t>duration,  time</w:t>
      </w:r>
      <w:proofErr w:type="gramEnd"/>
      <w:r w:rsidRPr="00E3313B">
        <w:rPr>
          <w:lang w:val="en-US"/>
        </w:rPr>
        <w:t xml:space="preserve"> to response (TTR), and time to surgery (TTS). Radiographic endpoints were assessed by IRC using RECIST v1.1. The clinical benefit of </w:t>
      </w:r>
      <w:r w:rsidR="00027D80">
        <w:rPr>
          <w:lang w:val="en-US"/>
        </w:rPr>
        <w:t>WELIREG</w:t>
      </w:r>
      <w:r w:rsidRPr="00E3313B">
        <w:rPr>
          <w:lang w:val="en-US"/>
        </w:rPr>
        <w:t xml:space="preserve"> in reducing RCC </w:t>
      </w:r>
      <w:r w:rsidR="009B07B4">
        <w:rPr>
          <w:lang w:val="en-US"/>
        </w:rPr>
        <w:t>tumour</w:t>
      </w:r>
      <w:r w:rsidRPr="00E3313B">
        <w:rPr>
          <w:lang w:val="en-US"/>
        </w:rPr>
        <w:t xml:space="preserve"> size and slowing the growth of </w:t>
      </w:r>
      <w:r w:rsidR="009B07B4">
        <w:rPr>
          <w:lang w:val="en-US"/>
        </w:rPr>
        <w:t>tumour</w:t>
      </w:r>
      <w:r w:rsidRPr="00E3313B">
        <w:rPr>
          <w:lang w:val="en-US"/>
        </w:rPr>
        <w:t>s was supported by pre-treatment</w:t>
      </w:r>
      <w:r w:rsidR="00A706BB">
        <w:rPr>
          <w:lang w:val="en-US"/>
        </w:rPr>
        <w:t xml:space="preserve"> and post-treatment</w:t>
      </w:r>
      <w:r w:rsidRPr="00E3313B">
        <w:rPr>
          <w:lang w:val="en-US"/>
        </w:rPr>
        <w:t xml:space="preserve"> linear growth rate of 3.</w:t>
      </w:r>
      <w:r w:rsidR="00F23B4E">
        <w:rPr>
          <w:lang w:val="en-US"/>
        </w:rPr>
        <w:t>52</w:t>
      </w:r>
      <w:r w:rsidR="00A706BB">
        <w:rPr>
          <w:lang w:val="en-US"/>
        </w:rPr>
        <w:t xml:space="preserve"> and 3.</w:t>
      </w:r>
      <w:r w:rsidR="00F23B4E">
        <w:rPr>
          <w:lang w:val="en-US"/>
        </w:rPr>
        <w:t>37</w:t>
      </w:r>
      <w:r w:rsidR="00A706BB" w:rsidRPr="00E3313B">
        <w:rPr>
          <w:lang w:val="en-US"/>
        </w:rPr>
        <w:t xml:space="preserve"> </w:t>
      </w:r>
      <w:r w:rsidRPr="00E3313B">
        <w:rPr>
          <w:lang w:val="en-US"/>
        </w:rPr>
        <w:t xml:space="preserve">mm/year </w:t>
      </w:r>
      <w:r w:rsidR="00A706BB">
        <w:rPr>
          <w:lang w:val="en-US"/>
        </w:rPr>
        <w:t xml:space="preserve">respectively </w:t>
      </w:r>
      <w:r w:rsidRPr="00E3313B">
        <w:rPr>
          <w:lang w:val="en-US"/>
        </w:rPr>
        <w:t>in Study-004.</w:t>
      </w:r>
      <w:r w:rsidR="0015512E" w:rsidRPr="0015512E">
        <w:rPr>
          <w:lang w:val="en-US"/>
        </w:rPr>
        <w:t xml:space="preserve"> A total of 91.8% of </w:t>
      </w:r>
      <w:r w:rsidR="0015512E" w:rsidRPr="0015512E">
        <w:rPr>
          <w:lang w:val="en-US"/>
        </w:rPr>
        <w:lastRenderedPageBreak/>
        <w:t xml:space="preserve">participants (56/61) had a decrease in the sum of target </w:t>
      </w:r>
      <w:proofErr w:type="spellStart"/>
      <w:r w:rsidR="009B07B4">
        <w:rPr>
          <w:lang w:val="en-US"/>
        </w:rPr>
        <w:t>tumour</w:t>
      </w:r>
      <w:proofErr w:type="spellEnd"/>
      <w:r w:rsidR="0015512E" w:rsidRPr="0015512E">
        <w:rPr>
          <w:lang w:val="en-US"/>
        </w:rPr>
        <w:t xml:space="preserve"> diameters</w:t>
      </w:r>
      <w:r w:rsidR="00F23B4E" w:rsidRPr="00F23B4E">
        <w:rPr>
          <w:lang w:val="en-US"/>
        </w:rPr>
        <w:t>, including 3.3% (2/61) achieved complete response</w:t>
      </w:r>
      <w:r w:rsidR="0015512E" w:rsidRPr="0015512E">
        <w:rPr>
          <w:lang w:val="en-US"/>
        </w:rPr>
        <w:t xml:space="preserve"> (</w:t>
      </w:r>
      <w:r w:rsidR="0015512E">
        <w:rPr>
          <w:lang w:val="en-US"/>
        </w:rPr>
        <w:fldChar w:fldCharType="begin" w:fldLock="1"/>
      </w:r>
      <w:r w:rsidR="0015512E">
        <w:rPr>
          <w:lang w:val="en-US"/>
        </w:rPr>
        <w:instrText xml:space="preserve"> REF _Ref93616268 \h </w:instrText>
      </w:r>
      <w:r w:rsidR="0015512E">
        <w:rPr>
          <w:lang w:val="en-US"/>
        </w:rPr>
      </w:r>
      <w:r w:rsidR="002A6B0A">
        <w:rPr>
          <w:lang w:val="en-US"/>
        </w:rPr>
        <w:instrText xml:space="preserve"> \* MERGEFORMAT </w:instrText>
      </w:r>
      <w:r w:rsidR="0015512E">
        <w:rPr>
          <w:lang w:val="en-US"/>
        </w:rPr>
        <w:fldChar w:fldCharType="separate"/>
      </w:r>
      <w:r w:rsidR="006C73E8" w:rsidRPr="008F3955">
        <w:rPr>
          <w:b/>
          <w:bCs/>
          <w:i/>
          <w:iCs/>
        </w:rPr>
        <w:t xml:space="preserve">Figure </w:t>
      </w:r>
      <w:r w:rsidR="006C73E8">
        <w:rPr>
          <w:b/>
          <w:bCs/>
          <w:i/>
          <w:iCs/>
          <w:noProof/>
        </w:rPr>
        <w:t>1</w:t>
      </w:r>
      <w:r w:rsidR="0015512E">
        <w:rPr>
          <w:lang w:val="en-US"/>
        </w:rPr>
        <w:fldChar w:fldCharType="end"/>
      </w:r>
      <w:r w:rsidR="0015512E" w:rsidRPr="0015512E">
        <w:rPr>
          <w:lang w:val="en-US"/>
        </w:rPr>
        <w:t>).</w:t>
      </w:r>
      <w:r w:rsidRPr="00E3313B">
        <w:rPr>
          <w:lang w:val="en-US"/>
        </w:rPr>
        <w:t xml:space="preserve"> After a median follow-up time of </w:t>
      </w:r>
      <w:r w:rsidR="00F23B4E">
        <w:rPr>
          <w:lang w:val="en-US"/>
        </w:rPr>
        <w:t>29.2</w:t>
      </w:r>
      <w:r w:rsidRPr="00E3313B">
        <w:rPr>
          <w:lang w:val="en-US"/>
        </w:rPr>
        <w:t xml:space="preserve"> months, one out of 61 (2%) patients required an RCC tumo</w:t>
      </w:r>
      <w:r w:rsidR="004023D6">
        <w:rPr>
          <w:lang w:val="en-US"/>
        </w:rPr>
        <w:t>u</w:t>
      </w:r>
      <w:r w:rsidRPr="00E3313B">
        <w:rPr>
          <w:lang w:val="en-US"/>
        </w:rPr>
        <w:t xml:space="preserve">r reduction procedure during treatment. In a natural history study, RCC patients undergoing active surveillance </w:t>
      </w:r>
      <w:r w:rsidR="00A706BB">
        <w:rPr>
          <w:lang w:val="en-US"/>
        </w:rPr>
        <w:t>have demonstrated linear tumour growth of</w:t>
      </w:r>
      <w:r w:rsidR="00A706BB" w:rsidRPr="00E3313B">
        <w:rPr>
          <w:lang w:val="en-US"/>
        </w:rPr>
        <w:t xml:space="preserve"> </w:t>
      </w:r>
      <w:r w:rsidRPr="00E3313B">
        <w:rPr>
          <w:lang w:val="en-US"/>
        </w:rPr>
        <w:t xml:space="preserve">3.56 mm/year and </w:t>
      </w:r>
      <w:r w:rsidR="00A706BB">
        <w:rPr>
          <w:lang w:val="en-US"/>
        </w:rPr>
        <w:t xml:space="preserve">showed that </w:t>
      </w:r>
      <w:r w:rsidR="00F23B4E">
        <w:rPr>
          <w:lang w:val="en-US"/>
        </w:rPr>
        <w:t>28.7</w:t>
      </w:r>
      <w:r w:rsidRPr="00E3313B">
        <w:rPr>
          <w:lang w:val="en-US"/>
        </w:rPr>
        <w:t>% of patients had their first tumo</w:t>
      </w:r>
      <w:r w:rsidR="004023D6">
        <w:rPr>
          <w:lang w:val="en-US"/>
        </w:rPr>
        <w:t>u</w:t>
      </w:r>
      <w:r w:rsidRPr="00E3313B">
        <w:rPr>
          <w:lang w:val="en-US"/>
        </w:rPr>
        <w:t xml:space="preserve">r reduction procedure within </w:t>
      </w:r>
      <w:r w:rsidR="00F23B4E">
        <w:rPr>
          <w:lang w:val="en-US"/>
        </w:rPr>
        <w:t>24</w:t>
      </w:r>
      <w:r w:rsidRPr="00E3313B">
        <w:rPr>
          <w:lang w:val="en-US"/>
        </w:rPr>
        <w:t xml:space="preserve"> months of follow-up. </w:t>
      </w:r>
      <w:r w:rsidR="00124384" w:rsidRPr="00124384">
        <w:rPr>
          <w:lang w:val="en-US"/>
        </w:rPr>
        <w:fldChar w:fldCharType="begin" w:fldLock="1"/>
      </w:r>
      <w:r w:rsidR="00124384" w:rsidRPr="00124384">
        <w:rPr>
          <w:lang w:val="en-US"/>
        </w:rPr>
        <w:instrText xml:space="preserve"> REF _Ref123907936 \h  \* MERGEFORMAT </w:instrText>
      </w:r>
      <w:r w:rsidR="00124384" w:rsidRPr="00124384">
        <w:rPr>
          <w:lang w:val="en-US"/>
        </w:rPr>
      </w:r>
      <w:r w:rsidR="00124384" w:rsidRPr="00124384">
        <w:rPr>
          <w:lang w:val="en-US"/>
        </w:rPr>
        <w:fldChar w:fldCharType="separate"/>
      </w:r>
      <w:r w:rsidR="00124384" w:rsidRPr="00124384">
        <w:rPr>
          <w:b/>
          <w:bCs/>
        </w:rPr>
        <w:t xml:space="preserve">Table </w:t>
      </w:r>
      <w:r w:rsidR="00124384" w:rsidRPr="00124384">
        <w:rPr>
          <w:b/>
          <w:bCs/>
          <w:noProof/>
        </w:rPr>
        <w:t>4</w:t>
      </w:r>
      <w:r w:rsidR="00124384" w:rsidRPr="00124384">
        <w:rPr>
          <w:lang w:val="en-US"/>
        </w:rPr>
        <w:fldChar w:fldCharType="end"/>
      </w:r>
      <w:r w:rsidR="004023D6" w:rsidRPr="00146E0A">
        <w:rPr>
          <w:lang w:val="en-US"/>
        </w:rPr>
        <w:t xml:space="preserve"> </w:t>
      </w:r>
      <w:proofErr w:type="spellStart"/>
      <w:r w:rsidRPr="00E3313B">
        <w:rPr>
          <w:lang w:val="en-US"/>
        </w:rPr>
        <w:t>summari</w:t>
      </w:r>
      <w:r w:rsidR="004023D6">
        <w:rPr>
          <w:lang w:val="en-US"/>
        </w:rPr>
        <w:t>s</w:t>
      </w:r>
      <w:r w:rsidRPr="00E3313B">
        <w:rPr>
          <w:lang w:val="en-US"/>
        </w:rPr>
        <w:t>es</w:t>
      </w:r>
      <w:proofErr w:type="spellEnd"/>
      <w:r w:rsidRPr="00E3313B">
        <w:rPr>
          <w:lang w:val="en-US"/>
        </w:rPr>
        <w:t xml:space="preserve"> the efficacy results for VHL disease-associated RCC </w:t>
      </w:r>
      <w:proofErr w:type="spellStart"/>
      <w:r w:rsidRPr="00E3313B">
        <w:rPr>
          <w:lang w:val="en-US"/>
        </w:rPr>
        <w:t>tumo</w:t>
      </w:r>
      <w:r w:rsidR="004023D6">
        <w:rPr>
          <w:lang w:val="en-US"/>
        </w:rPr>
        <w:t>u</w:t>
      </w:r>
      <w:r w:rsidRPr="00E3313B">
        <w:rPr>
          <w:lang w:val="en-US"/>
        </w:rPr>
        <w:t>rs</w:t>
      </w:r>
      <w:proofErr w:type="spellEnd"/>
      <w:r w:rsidRPr="00E3313B">
        <w:rPr>
          <w:lang w:val="en-US"/>
        </w:rPr>
        <w:t xml:space="preserve"> in Study-004.</w:t>
      </w:r>
    </w:p>
    <w:p w14:paraId="346E8FC4" w14:textId="03CD8DA8" w:rsidR="0015512E" w:rsidRPr="008F3955" w:rsidRDefault="0015512E" w:rsidP="002A6B0A">
      <w:pPr>
        <w:pStyle w:val="Caption"/>
        <w:keepNext/>
        <w:jc w:val="left"/>
        <w:rPr>
          <w:i w:val="0"/>
          <w:iCs w:val="0"/>
          <w:color w:val="auto"/>
          <w:sz w:val="22"/>
          <w:szCs w:val="22"/>
        </w:rPr>
      </w:pPr>
      <w:bookmarkStart w:id="20" w:name="_Ref93616268"/>
      <w:r w:rsidRPr="008F3955">
        <w:rPr>
          <w:b/>
          <w:bCs/>
          <w:i w:val="0"/>
          <w:iCs w:val="0"/>
          <w:color w:val="auto"/>
          <w:sz w:val="22"/>
          <w:szCs w:val="22"/>
        </w:rPr>
        <w:t xml:space="preserve">Figure </w:t>
      </w:r>
      <w:r w:rsidRPr="008F3955">
        <w:rPr>
          <w:b/>
          <w:bCs/>
          <w:i w:val="0"/>
          <w:iCs w:val="0"/>
          <w:color w:val="auto"/>
          <w:sz w:val="22"/>
          <w:szCs w:val="22"/>
        </w:rPr>
        <w:fldChar w:fldCharType="begin" w:fldLock="1"/>
      </w:r>
      <w:r w:rsidRPr="008F3955">
        <w:rPr>
          <w:b/>
          <w:bCs/>
          <w:i w:val="0"/>
          <w:iCs w:val="0"/>
          <w:color w:val="auto"/>
          <w:sz w:val="22"/>
          <w:szCs w:val="22"/>
        </w:rPr>
        <w:instrText xml:space="preserve"> SEQ Figure \* ARABIC </w:instrText>
      </w:r>
      <w:r w:rsidRPr="008F3955">
        <w:rPr>
          <w:b/>
          <w:bCs/>
          <w:i w:val="0"/>
          <w:iCs w:val="0"/>
          <w:color w:val="auto"/>
          <w:sz w:val="22"/>
          <w:szCs w:val="22"/>
        </w:rPr>
        <w:fldChar w:fldCharType="separate"/>
      </w:r>
      <w:r w:rsidR="006C73E8">
        <w:rPr>
          <w:b/>
          <w:bCs/>
          <w:i w:val="0"/>
          <w:iCs w:val="0"/>
          <w:noProof/>
          <w:color w:val="auto"/>
          <w:sz w:val="22"/>
          <w:szCs w:val="22"/>
        </w:rPr>
        <w:t>1</w:t>
      </w:r>
      <w:r w:rsidRPr="008F3955">
        <w:rPr>
          <w:b/>
          <w:bCs/>
          <w:i w:val="0"/>
          <w:iCs w:val="0"/>
          <w:color w:val="auto"/>
          <w:sz w:val="22"/>
          <w:szCs w:val="22"/>
        </w:rPr>
        <w:fldChar w:fldCharType="end"/>
      </w:r>
      <w:bookmarkEnd w:id="20"/>
      <w:r w:rsidRPr="008F3955">
        <w:rPr>
          <w:b/>
          <w:bCs/>
          <w:i w:val="0"/>
          <w:iCs w:val="0"/>
          <w:color w:val="auto"/>
          <w:sz w:val="22"/>
          <w:szCs w:val="22"/>
        </w:rPr>
        <w:t xml:space="preserve">: </w:t>
      </w:r>
      <w:r w:rsidRPr="008F3955">
        <w:rPr>
          <w:rFonts w:cs="Arial"/>
          <w:b/>
          <w:i w:val="0"/>
          <w:iCs w:val="0"/>
          <w:color w:val="auto"/>
          <w:sz w:val="22"/>
          <w:szCs w:val="22"/>
        </w:rPr>
        <w:t xml:space="preserve">Waterfall Plot- Percentage Change in Total Sum of RCC Target Lesions Diameters </w:t>
      </w:r>
      <w:proofErr w:type="gramStart"/>
      <w:r w:rsidRPr="008F3955">
        <w:rPr>
          <w:rFonts w:cs="Arial"/>
          <w:b/>
          <w:i w:val="0"/>
          <w:iCs w:val="0"/>
          <w:color w:val="auto"/>
          <w:sz w:val="22"/>
          <w:szCs w:val="22"/>
        </w:rPr>
        <w:t>From</w:t>
      </w:r>
      <w:proofErr w:type="gramEnd"/>
      <w:r w:rsidRPr="008F3955">
        <w:rPr>
          <w:rFonts w:cs="Arial"/>
          <w:b/>
          <w:i w:val="0"/>
          <w:iCs w:val="0"/>
          <w:color w:val="auto"/>
          <w:sz w:val="22"/>
          <w:szCs w:val="22"/>
        </w:rPr>
        <w:t xml:space="preserve"> Baseline to Post-Baseline Maximum % Reduction (RECIST 1.1)- IRC Efficacy Analysis Set – Patients with Evaluable RCC Tumours at Baseline</w:t>
      </w:r>
    </w:p>
    <w:p w14:paraId="2C19B006" w14:textId="6C66D29A" w:rsidR="0015512E" w:rsidRDefault="00F23B4E" w:rsidP="002A6B0A">
      <w:pPr>
        <w:jc w:val="left"/>
        <w:rPr>
          <w:rFonts w:cs="Arial"/>
          <w:b/>
        </w:rPr>
      </w:pPr>
      <w:r>
        <w:rPr>
          <w:noProof/>
        </w:rPr>
        <w:drawing>
          <wp:inline distT="0" distB="0" distL="0" distR="0" wp14:anchorId="79C37AC3" wp14:editId="5B49729D">
            <wp:extent cx="5486400" cy="2253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0984" cy="2258995"/>
                    </a:xfrm>
                    <a:prstGeom prst="rect">
                      <a:avLst/>
                    </a:prstGeom>
                    <a:noFill/>
                    <a:ln>
                      <a:noFill/>
                    </a:ln>
                  </pic:spPr>
                </pic:pic>
              </a:graphicData>
            </a:graphic>
          </wp:inline>
        </w:drawing>
      </w:r>
    </w:p>
    <w:p w14:paraId="7082A633" w14:textId="465123C3" w:rsidR="0015512E" w:rsidRPr="00637D83" w:rsidRDefault="0015512E" w:rsidP="002A6B0A">
      <w:pPr>
        <w:spacing w:line="230" w:lineRule="auto"/>
        <w:ind w:left="275" w:right="1354" w:hanging="46"/>
        <w:jc w:val="left"/>
        <w:rPr>
          <w:sz w:val="16"/>
          <w:szCs w:val="16"/>
        </w:rPr>
      </w:pPr>
      <w:r w:rsidRPr="00637D83">
        <w:rPr>
          <w:sz w:val="16"/>
          <w:szCs w:val="16"/>
        </w:rPr>
        <w:t>Subjects without either post-baseline evaluable lesion measurements or target lesions or with all post</w:t>
      </w:r>
      <w:r>
        <w:rPr>
          <w:sz w:val="16"/>
          <w:szCs w:val="16"/>
        </w:rPr>
        <w:t>-</w:t>
      </w:r>
      <w:r w:rsidRPr="00637D83">
        <w:rPr>
          <w:sz w:val="16"/>
          <w:szCs w:val="16"/>
        </w:rPr>
        <w:t>baseline</w:t>
      </w:r>
      <w:r w:rsidRPr="00637D83">
        <w:rPr>
          <w:spacing w:val="-42"/>
          <w:sz w:val="16"/>
          <w:szCs w:val="16"/>
        </w:rPr>
        <w:t xml:space="preserve"> </w:t>
      </w:r>
      <w:r w:rsidRPr="00637D83">
        <w:rPr>
          <w:sz w:val="16"/>
          <w:szCs w:val="16"/>
        </w:rPr>
        <w:t>non-evaluable</w:t>
      </w:r>
      <w:r w:rsidRPr="00637D83">
        <w:rPr>
          <w:spacing w:val="-2"/>
          <w:sz w:val="16"/>
          <w:szCs w:val="16"/>
        </w:rPr>
        <w:t xml:space="preserve"> </w:t>
      </w:r>
      <w:r w:rsidRPr="00637D83">
        <w:rPr>
          <w:sz w:val="16"/>
          <w:szCs w:val="16"/>
        </w:rPr>
        <w:t>time-point</w:t>
      </w:r>
      <w:r w:rsidRPr="00637D83">
        <w:rPr>
          <w:spacing w:val="-2"/>
          <w:sz w:val="16"/>
          <w:szCs w:val="16"/>
        </w:rPr>
        <w:t xml:space="preserve"> </w:t>
      </w:r>
      <w:r w:rsidRPr="00637D83">
        <w:rPr>
          <w:sz w:val="16"/>
          <w:szCs w:val="16"/>
        </w:rPr>
        <w:t>responses</w:t>
      </w:r>
      <w:r w:rsidRPr="00637D83">
        <w:rPr>
          <w:spacing w:val="-1"/>
          <w:sz w:val="16"/>
          <w:szCs w:val="16"/>
        </w:rPr>
        <w:t xml:space="preserve"> </w:t>
      </w:r>
      <w:r w:rsidRPr="00637D83">
        <w:rPr>
          <w:sz w:val="16"/>
          <w:szCs w:val="16"/>
        </w:rPr>
        <w:t>appear</w:t>
      </w:r>
      <w:r w:rsidRPr="00637D83">
        <w:rPr>
          <w:spacing w:val="-2"/>
          <w:sz w:val="16"/>
          <w:szCs w:val="16"/>
        </w:rPr>
        <w:t xml:space="preserve"> </w:t>
      </w:r>
      <w:r w:rsidRPr="00637D83">
        <w:rPr>
          <w:sz w:val="16"/>
          <w:szCs w:val="16"/>
        </w:rPr>
        <w:t>as</w:t>
      </w:r>
      <w:r w:rsidRPr="00637D83">
        <w:rPr>
          <w:spacing w:val="-2"/>
          <w:sz w:val="16"/>
          <w:szCs w:val="16"/>
        </w:rPr>
        <w:t xml:space="preserve"> </w:t>
      </w:r>
      <w:r w:rsidRPr="00637D83">
        <w:rPr>
          <w:sz w:val="16"/>
          <w:szCs w:val="16"/>
        </w:rPr>
        <w:t>blank</w:t>
      </w:r>
      <w:r w:rsidRPr="00637D83">
        <w:rPr>
          <w:spacing w:val="-1"/>
          <w:sz w:val="16"/>
          <w:szCs w:val="16"/>
        </w:rPr>
        <w:t xml:space="preserve"> </w:t>
      </w:r>
      <w:r w:rsidRPr="00637D83">
        <w:rPr>
          <w:sz w:val="16"/>
          <w:szCs w:val="16"/>
        </w:rPr>
        <w:t>on</w:t>
      </w:r>
      <w:r w:rsidRPr="00637D83">
        <w:rPr>
          <w:spacing w:val="-2"/>
          <w:sz w:val="16"/>
          <w:szCs w:val="16"/>
        </w:rPr>
        <w:t xml:space="preserve"> </w:t>
      </w:r>
      <w:r w:rsidRPr="00637D83">
        <w:rPr>
          <w:sz w:val="16"/>
          <w:szCs w:val="16"/>
        </w:rPr>
        <w:t>the</w:t>
      </w:r>
      <w:r w:rsidRPr="00637D83">
        <w:rPr>
          <w:spacing w:val="-2"/>
          <w:sz w:val="16"/>
          <w:szCs w:val="16"/>
        </w:rPr>
        <w:t xml:space="preserve"> </w:t>
      </w:r>
      <w:r w:rsidRPr="00637D83">
        <w:rPr>
          <w:sz w:val="16"/>
          <w:szCs w:val="16"/>
        </w:rPr>
        <w:t>right</w:t>
      </w:r>
      <w:r w:rsidRPr="00637D83">
        <w:rPr>
          <w:spacing w:val="-1"/>
          <w:sz w:val="16"/>
          <w:szCs w:val="16"/>
        </w:rPr>
        <w:t xml:space="preserve"> </w:t>
      </w:r>
      <w:r w:rsidRPr="00637D83">
        <w:rPr>
          <w:sz w:val="16"/>
          <w:szCs w:val="16"/>
        </w:rPr>
        <w:t>of</w:t>
      </w:r>
      <w:r w:rsidRPr="00637D83">
        <w:rPr>
          <w:spacing w:val="-2"/>
          <w:sz w:val="16"/>
          <w:szCs w:val="16"/>
        </w:rPr>
        <w:t xml:space="preserve"> </w:t>
      </w:r>
      <w:r w:rsidRPr="00637D83">
        <w:rPr>
          <w:sz w:val="16"/>
          <w:szCs w:val="16"/>
        </w:rPr>
        <w:t>the</w:t>
      </w:r>
      <w:r w:rsidRPr="00637D83">
        <w:rPr>
          <w:spacing w:val="-1"/>
          <w:sz w:val="16"/>
          <w:szCs w:val="16"/>
        </w:rPr>
        <w:t xml:space="preserve"> </w:t>
      </w:r>
      <w:r w:rsidRPr="00637D83">
        <w:rPr>
          <w:sz w:val="16"/>
          <w:szCs w:val="16"/>
        </w:rPr>
        <w:t>figure. Number</w:t>
      </w:r>
      <w:r w:rsidRPr="00637D83">
        <w:rPr>
          <w:spacing w:val="-4"/>
          <w:sz w:val="16"/>
          <w:szCs w:val="16"/>
        </w:rPr>
        <w:t xml:space="preserve"> </w:t>
      </w:r>
      <w:r w:rsidRPr="00637D83">
        <w:rPr>
          <w:sz w:val="16"/>
          <w:szCs w:val="16"/>
        </w:rPr>
        <w:t>(%)</w:t>
      </w:r>
      <w:r w:rsidRPr="00637D83">
        <w:rPr>
          <w:spacing w:val="-3"/>
          <w:sz w:val="16"/>
          <w:szCs w:val="16"/>
        </w:rPr>
        <w:t xml:space="preserve"> </w:t>
      </w:r>
      <w:r w:rsidRPr="00637D83">
        <w:rPr>
          <w:sz w:val="16"/>
          <w:szCs w:val="16"/>
        </w:rPr>
        <w:t>of</w:t>
      </w:r>
      <w:r w:rsidRPr="00637D83">
        <w:rPr>
          <w:spacing w:val="-3"/>
          <w:sz w:val="16"/>
          <w:szCs w:val="16"/>
        </w:rPr>
        <w:t xml:space="preserve"> </w:t>
      </w:r>
      <w:r w:rsidRPr="00637D83">
        <w:rPr>
          <w:sz w:val="16"/>
          <w:szCs w:val="16"/>
        </w:rPr>
        <w:t>patients</w:t>
      </w:r>
      <w:r w:rsidRPr="00637D83">
        <w:rPr>
          <w:spacing w:val="-3"/>
          <w:sz w:val="16"/>
          <w:szCs w:val="16"/>
        </w:rPr>
        <w:t xml:space="preserve"> </w:t>
      </w:r>
      <w:r w:rsidRPr="00637D83">
        <w:rPr>
          <w:sz w:val="16"/>
          <w:szCs w:val="16"/>
        </w:rPr>
        <w:t>with</w:t>
      </w:r>
      <w:r w:rsidRPr="00637D83">
        <w:rPr>
          <w:spacing w:val="-3"/>
          <w:sz w:val="16"/>
          <w:szCs w:val="16"/>
        </w:rPr>
        <w:t xml:space="preserve"> </w:t>
      </w:r>
      <w:r w:rsidRPr="00637D83">
        <w:rPr>
          <w:sz w:val="16"/>
          <w:szCs w:val="16"/>
        </w:rPr>
        <w:t>maximum</w:t>
      </w:r>
      <w:r w:rsidRPr="00637D83">
        <w:rPr>
          <w:spacing w:val="-4"/>
          <w:sz w:val="16"/>
          <w:szCs w:val="16"/>
        </w:rPr>
        <w:t xml:space="preserve"> </w:t>
      </w:r>
      <w:r w:rsidRPr="00637D83">
        <w:rPr>
          <w:sz w:val="16"/>
          <w:szCs w:val="16"/>
        </w:rPr>
        <w:t>%</w:t>
      </w:r>
      <w:r w:rsidRPr="00637D83">
        <w:rPr>
          <w:spacing w:val="-3"/>
          <w:sz w:val="16"/>
          <w:szCs w:val="16"/>
        </w:rPr>
        <w:t xml:space="preserve"> </w:t>
      </w:r>
      <w:r w:rsidRPr="00637D83">
        <w:rPr>
          <w:sz w:val="16"/>
          <w:szCs w:val="16"/>
        </w:rPr>
        <w:t>reduction</w:t>
      </w:r>
      <w:r w:rsidRPr="00637D83">
        <w:rPr>
          <w:spacing w:val="-3"/>
          <w:sz w:val="16"/>
          <w:szCs w:val="16"/>
        </w:rPr>
        <w:t xml:space="preserve"> </w:t>
      </w:r>
      <w:r w:rsidRPr="00637D83">
        <w:rPr>
          <w:sz w:val="16"/>
          <w:szCs w:val="16"/>
        </w:rPr>
        <w:t>in</w:t>
      </w:r>
      <w:r w:rsidRPr="00637D83">
        <w:rPr>
          <w:spacing w:val="-3"/>
          <w:sz w:val="16"/>
          <w:szCs w:val="16"/>
        </w:rPr>
        <w:t xml:space="preserve"> </w:t>
      </w:r>
      <w:r w:rsidRPr="00637D83">
        <w:rPr>
          <w:sz w:val="16"/>
          <w:szCs w:val="16"/>
        </w:rPr>
        <w:t>sum</w:t>
      </w:r>
      <w:r w:rsidRPr="00637D83">
        <w:rPr>
          <w:spacing w:val="-3"/>
          <w:sz w:val="16"/>
          <w:szCs w:val="16"/>
        </w:rPr>
        <w:t xml:space="preserve"> </w:t>
      </w:r>
      <w:r w:rsidRPr="00637D83">
        <w:rPr>
          <w:sz w:val="16"/>
          <w:szCs w:val="16"/>
        </w:rPr>
        <w:t>of</w:t>
      </w:r>
      <w:r w:rsidRPr="00637D83">
        <w:rPr>
          <w:spacing w:val="-3"/>
          <w:sz w:val="16"/>
          <w:szCs w:val="16"/>
        </w:rPr>
        <w:t xml:space="preserve"> </w:t>
      </w:r>
      <w:r w:rsidRPr="00637D83">
        <w:rPr>
          <w:sz w:val="16"/>
          <w:szCs w:val="16"/>
        </w:rPr>
        <w:t>diameters</w:t>
      </w:r>
      <w:r w:rsidRPr="00637D83">
        <w:rPr>
          <w:spacing w:val="-4"/>
          <w:sz w:val="16"/>
          <w:szCs w:val="16"/>
        </w:rPr>
        <w:t xml:space="preserve"> </w:t>
      </w:r>
      <w:r w:rsidRPr="00637D83">
        <w:rPr>
          <w:sz w:val="16"/>
          <w:szCs w:val="16"/>
        </w:rPr>
        <w:t>of</w:t>
      </w:r>
      <w:r w:rsidRPr="00637D83">
        <w:rPr>
          <w:spacing w:val="-3"/>
          <w:sz w:val="16"/>
          <w:szCs w:val="16"/>
        </w:rPr>
        <w:t xml:space="preserve"> </w:t>
      </w:r>
      <w:r w:rsidRPr="00637D83">
        <w:rPr>
          <w:sz w:val="16"/>
          <w:szCs w:val="16"/>
        </w:rPr>
        <w:t>target</w:t>
      </w:r>
      <w:r w:rsidRPr="00637D83">
        <w:rPr>
          <w:spacing w:val="-3"/>
          <w:sz w:val="16"/>
          <w:szCs w:val="16"/>
        </w:rPr>
        <w:t xml:space="preserve"> </w:t>
      </w:r>
      <w:r w:rsidRPr="00637D83">
        <w:rPr>
          <w:sz w:val="16"/>
          <w:szCs w:val="16"/>
        </w:rPr>
        <w:t>lesions</w:t>
      </w:r>
      <w:r w:rsidRPr="00637D83">
        <w:rPr>
          <w:spacing w:val="-3"/>
          <w:sz w:val="16"/>
          <w:szCs w:val="16"/>
        </w:rPr>
        <w:t xml:space="preserve"> </w:t>
      </w:r>
      <w:r w:rsidRPr="00637D83">
        <w:rPr>
          <w:sz w:val="16"/>
          <w:szCs w:val="16"/>
        </w:rPr>
        <w:t>&lt;</w:t>
      </w:r>
      <w:r w:rsidRPr="00637D83">
        <w:rPr>
          <w:spacing w:val="-3"/>
          <w:sz w:val="16"/>
          <w:szCs w:val="16"/>
        </w:rPr>
        <w:t xml:space="preserve"> </w:t>
      </w:r>
      <w:r w:rsidRPr="00637D83">
        <w:rPr>
          <w:sz w:val="16"/>
          <w:szCs w:val="16"/>
        </w:rPr>
        <w:t>0</w:t>
      </w:r>
      <w:r w:rsidRPr="00637D83">
        <w:rPr>
          <w:spacing w:val="-4"/>
          <w:sz w:val="16"/>
          <w:szCs w:val="16"/>
        </w:rPr>
        <w:t xml:space="preserve"> </w:t>
      </w:r>
      <w:r w:rsidRPr="00637D83">
        <w:rPr>
          <w:sz w:val="16"/>
          <w:szCs w:val="16"/>
        </w:rPr>
        <w:t>=</w:t>
      </w:r>
      <w:r w:rsidRPr="00637D83">
        <w:rPr>
          <w:spacing w:val="-3"/>
          <w:sz w:val="16"/>
          <w:szCs w:val="16"/>
        </w:rPr>
        <w:t xml:space="preserve"> </w:t>
      </w:r>
      <w:r w:rsidRPr="00637D83">
        <w:rPr>
          <w:sz w:val="16"/>
          <w:szCs w:val="16"/>
        </w:rPr>
        <w:t>56</w:t>
      </w:r>
      <w:r w:rsidRPr="00637D83">
        <w:rPr>
          <w:spacing w:val="-3"/>
          <w:sz w:val="16"/>
          <w:szCs w:val="16"/>
        </w:rPr>
        <w:t xml:space="preserve"> </w:t>
      </w:r>
      <w:proofErr w:type="gramStart"/>
      <w:r w:rsidRPr="00637D83">
        <w:rPr>
          <w:sz w:val="16"/>
          <w:szCs w:val="16"/>
        </w:rPr>
        <w:t>(</w:t>
      </w:r>
      <w:r w:rsidRPr="00637D83">
        <w:rPr>
          <w:spacing w:val="-3"/>
          <w:sz w:val="16"/>
          <w:szCs w:val="16"/>
        </w:rPr>
        <w:t xml:space="preserve"> </w:t>
      </w:r>
      <w:r w:rsidRPr="00637D83">
        <w:rPr>
          <w:sz w:val="16"/>
          <w:szCs w:val="16"/>
        </w:rPr>
        <w:t>91.8</w:t>
      </w:r>
      <w:proofErr w:type="gramEnd"/>
      <w:r w:rsidRPr="00637D83">
        <w:rPr>
          <w:sz w:val="16"/>
          <w:szCs w:val="16"/>
        </w:rPr>
        <w:t>)</w:t>
      </w:r>
      <w:r w:rsidRPr="00637D83">
        <w:rPr>
          <w:spacing w:val="1"/>
          <w:sz w:val="16"/>
          <w:szCs w:val="16"/>
        </w:rPr>
        <w:t xml:space="preserve"> </w:t>
      </w:r>
      <w:r w:rsidRPr="00637D83">
        <w:rPr>
          <w:sz w:val="16"/>
          <w:szCs w:val="16"/>
        </w:rPr>
        <w:t>Date</w:t>
      </w:r>
      <w:r w:rsidRPr="00637D83">
        <w:rPr>
          <w:spacing w:val="-2"/>
          <w:sz w:val="16"/>
          <w:szCs w:val="16"/>
        </w:rPr>
        <w:t xml:space="preserve"> </w:t>
      </w:r>
      <w:r w:rsidRPr="00637D83">
        <w:rPr>
          <w:sz w:val="16"/>
          <w:szCs w:val="16"/>
        </w:rPr>
        <w:t>of</w:t>
      </w:r>
      <w:r w:rsidRPr="00637D83">
        <w:rPr>
          <w:spacing w:val="-1"/>
          <w:sz w:val="16"/>
          <w:szCs w:val="16"/>
        </w:rPr>
        <w:t xml:space="preserve"> </w:t>
      </w:r>
      <w:r w:rsidRPr="00637D83">
        <w:rPr>
          <w:sz w:val="16"/>
          <w:szCs w:val="16"/>
        </w:rPr>
        <w:t>Data</w:t>
      </w:r>
      <w:r w:rsidRPr="00637D83">
        <w:rPr>
          <w:spacing w:val="-1"/>
          <w:sz w:val="16"/>
          <w:szCs w:val="16"/>
        </w:rPr>
        <w:t xml:space="preserve"> </w:t>
      </w:r>
      <w:r w:rsidRPr="00637D83">
        <w:rPr>
          <w:sz w:val="16"/>
          <w:szCs w:val="16"/>
        </w:rPr>
        <w:t>Cut-off:</w:t>
      </w:r>
      <w:r w:rsidRPr="00637D83">
        <w:rPr>
          <w:spacing w:val="-1"/>
          <w:sz w:val="16"/>
          <w:szCs w:val="16"/>
        </w:rPr>
        <w:t xml:space="preserve"> </w:t>
      </w:r>
      <w:r w:rsidR="00F23B4E">
        <w:rPr>
          <w:sz w:val="16"/>
          <w:szCs w:val="16"/>
        </w:rPr>
        <w:t>15JUL2021</w:t>
      </w:r>
    </w:p>
    <w:p w14:paraId="0EA73D74" w14:textId="77777777" w:rsidR="0015512E" w:rsidRDefault="0015512E" w:rsidP="002A6B0A">
      <w:pPr>
        <w:jc w:val="left"/>
        <w:rPr>
          <w:lang w:val="en-US"/>
        </w:rPr>
      </w:pPr>
    </w:p>
    <w:p w14:paraId="612A2D83" w14:textId="5E10D495" w:rsidR="00124384" w:rsidRPr="004023D6" w:rsidRDefault="00124384" w:rsidP="002A6B0A">
      <w:pPr>
        <w:pStyle w:val="Caption"/>
        <w:keepNext/>
        <w:keepLines/>
        <w:jc w:val="left"/>
        <w:rPr>
          <w:rFonts w:eastAsia="MS Mincho" w:cs="Arial"/>
          <w:b/>
          <w:bCs/>
          <w:i w:val="0"/>
          <w:iCs w:val="0"/>
          <w:color w:val="auto"/>
          <w:sz w:val="22"/>
          <w:szCs w:val="22"/>
          <w:lang w:val="en-US" w:eastAsia="ja-JP"/>
        </w:rPr>
      </w:pPr>
      <w:bookmarkStart w:id="21" w:name="_Ref123907936"/>
      <w:r w:rsidRPr="00124384">
        <w:rPr>
          <w:b/>
          <w:bCs/>
          <w:i w:val="0"/>
          <w:iCs w:val="0"/>
          <w:color w:val="auto"/>
          <w:sz w:val="22"/>
          <w:szCs w:val="22"/>
        </w:rPr>
        <w:lastRenderedPageBreak/>
        <w:t xml:space="preserve">Table </w:t>
      </w:r>
      <w:r w:rsidRPr="00124384">
        <w:rPr>
          <w:b/>
          <w:bCs/>
          <w:i w:val="0"/>
          <w:iCs w:val="0"/>
          <w:color w:val="auto"/>
          <w:sz w:val="22"/>
          <w:szCs w:val="22"/>
        </w:rPr>
        <w:fldChar w:fldCharType="begin" w:fldLock="1"/>
      </w:r>
      <w:r w:rsidRPr="00124384">
        <w:rPr>
          <w:b/>
          <w:bCs/>
          <w:i w:val="0"/>
          <w:iCs w:val="0"/>
          <w:color w:val="auto"/>
          <w:sz w:val="22"/>
          <w:szCs w:val="22"/>
        </w:rPr>
        <w:instrText xml:space="preserve"> SEQ Table \* ARABIC </w:instrText>
      </w:r>
      <w:r w:rsidRPr="00124384">
        <w:rPr>
          <w:b/>
          <w:bCs/>
          <w:i w:val="0"/>
          <w:iCs w:val="0"/>
          <w:color w:val="auto"/>
          <w:sz w:val="22"/>
          <w:szCs w:val="22"/>
        </w:rPr>
        <w:fldChar w:fldCharType="separate"/>
      </w:r>
      <w:r>
        <w:rPr>
          <w:b/>
          <w:bCs/>
          <w:i w:val="0"/>
          <w:iCs w:val="0"/>
          <w:noProof/>
          <w:color w:val="auto"/>
          <w:sz w:val="22"/>
          <w:szCs w:val="22"/>
        </w:rPr>
        <w:t>4</w:t>
      </w:r>
      <w:r w:rsidRPr="00124384">
        <w:rPr>
          <w:b/>
          <w:bCs/>
          <w:i w:val="0"/>
          <w:iCs w:val="0"/>
          <w:color w:val="auto"/>
          <w:sz w:val="22"/>
          <w:szCs w:val="22"/>
        </w:rPr>
        <w:fldChar w:fldCharType="end"/>
      </w:r>
      <w:bookmarkEnd w:id="21"/>
      <w:r>
        <w:rPr>
          <w:b/>
          <w:bCs/>
          <w:i w:val="0"/>
          <w:iCs w:val="0"/>
          <w:color w:val="auto"/>
          <w:sz w:val="22"/>
          <w:szCs w:val="22"/>
        </w:rPr>
        <w:t>:</w:t>
      </w:r>
      <w:r w:rsidRPr="00124384">
        <w:rPr>
          <w:rFonts w:eastAsia="MS Mincho" w:cs="Arial"/>
          <w:b/>
          <w:bCs/>
          <w:i w:val="0"/>
          <w:iCs w:val="0"/>
          <w:color w:val="auto"/>
          <w:sz w:val="28"/>
          <w:szCs w:val="28"/>
          <w:lang w:val="en-US" w:eastAsia="ja-JP"/>
        </w:rPr>
        <w:t xml:space="preserve"> </w:t>
      </w:r>
      <w:r w:rsidRPr="004023D6">
        <w:rPr>
          <w:rFonts w:eastAsia="MS Mincho" w:cs="Arial"/>
          <w:b/>
          <w:bCs/>
          <w:i w:val="0"/>
          <w:iCs w:val="0"/>
          <w:color w:val="auto"/>
          <w:sz w:val="22"/>
          <w:szCs w:val="22"/>
          <w:lang w:val="en-US" w:eastAsia="ja-JP"/>
        </w:rPr>
        <w:t xml:space="preserve">Efficacy Results for </w:t>
      </w:r>
      <w:r>
        <w:rPr>
          <w:rFonts w:eastAsia="MS Mincho" w:cs="Arial"/>
          <w:b/>
          <w:bCs/>
          <w:i w:val="0"/>
          <w:iCs w:val="0"/>
          <w:color w:val="auto"/>
          <w:sz w:val="22"/>
          <w:szCs w:val="22"/>
          <w:lang w:val="en-US" w:eastAsia="ja-JP"/>
        </w:rPr>
        <w:t>WELIREG</w:t>
      </w:r>
      <w:r w:rsidRPr="004023D6">
        <w:rPr>
          <w:rFonts w:eastAsia="MS Mincho" w:cs="Arial"/>
          <w:b/>
          <w:bCs/>
          <w:i w:val="0"/>
          <w:iCs w:val="0"/>
          <w:color w:val="auto"/>
          <w:sz w:val="22"/>
          <w:szCs w:val="22"/>
          <w:lang w:val="en-US" w:eastAsia="ja-JP"/>
        </w:rPr>
        <w:t xml:space="preserve"> for VHL Disease-Associated RCC </w:t>
      </w:r>
      <w:r>
        <w:rPr>
          <w:rFonts w:eastAsia="MS Mincho" w:cs="Arial"/>
          <w:b/>
          <w:bCs/>
          <w:i w:val="0"/>
          <w:iCs w:val="0"/>
          <w:color w:val="auto"/>
          <w:sz w:val="22"/>
          <w:szCs w:val="22"/>
          <w:lang w:val="en-US" w:eastAsia="ja-JP"/>
        </w:rPr>
        <w:t>Tumour</w:t>
      </w:r>
      <w:r w:rsidRPr="004023D6">
        <w:rPr>
          <w:rFonts w:eastAsia="MS Mincho" w:cs="Arial"/>
          <w:b/>
          <w:bCs/>
          <w:i w:val="0"/>
          <w:iCs w:val="0"/>
          <w:color w:val="auto"/>
          <w:sz w:val="22"/>
          <w:szCs w:val="22"/>
          <w:lang w:val="en-US" w:eastAsia="ja-JP"/>
        </w:rPr>
        <w:t>s</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3397"/>
      </w:tblGrid>
      <w:tr w:rsidR="00E3313B" w:rsidRPr="00E3313B" w14:paraId="36724BDE" w14:textId="77777777" w:rsidTr="00403CDE">
        <w:trPr>
          <w:jc w:val="center"/>
        </w:trPr>
        <w:tc>
          <w:tcPr>
            <w:tcW w:w="3528" w:type="dxa"/>
            <w:shd w:val="clear" w:color="auto" w:fill="auto"/>
          </w:tcPr>
          <w:p w14:paraId="7AD9E9DA"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sz w:val="20"/>
                <w:lang w:val="en-US" w:eastAsia="ja-JP"/>
              </w:rPr>
            </w:pPr>
            <w:bookmarkStart w:id="22" w:name="_Hlk49859694"/>
            <w:r w:rsidRPr="00E3313B">
              <w:rPr>
                <w:rFonts w:eastAsia="MS Mincho" w:cs="Times New Roman"/>
                <w:b/>
                <w:bCs/>
                <w:sz w:val="20"/>
                <w:lang w:val="en-US" w:eastAsia="ja-JP"/>
              </w:rPr>
              <w:t>Endpoint</w:t>
            </w:r>
          </w:p>
        </w:tc>
        <w:tc>
          <w:tcPr>
            <w:tcW w:w="3397" w:type="dxa"/>
          </w:tcPr>
          <w:p w14:paraId="14ED5439" w14:textId="58DB1CCE" w:rsidR="00E3313B" w:rsidRPr="00E3313B" w:rsidRDefault="00027D80" w:rsidP="002A6B0A">
            <w:pPr>
              <w:keepNext/>
              <w:keepLines/>
              <w:autoSpaceDE w:val="0"/>
              <w:autoSpaceDN w:val="0"/>
              <w:adjustRightInd w:val="0"/>
              <w:spacing w:after="0" w:line="240" w:lineRule="auto"/>
              <w:jc w:val="left"/>
              <w:rPr>
                <w:rFonts w:eastAsia="MS Mincho" w:cs="Times New Roman"/>
                <w:b/>
                <w:sz w:val="20"/>
                <w:lang w:val="en-US" w:eastAsia="ja-JP"/>
              </w:rPr>
            </w:pPr>
            <w:r>
              <w:rPr>
                <w:rFonts w:eastAsia="MS Mincho" w:cs="Times New Roman"/>
                <w:b/>
                <w:sz w:val="20"/>
                <w:lang w:val="en-US" w:eastAsia="ja-JP"/>
              </w:rPr>
              <w:t>WELIREG</w:t>
            </w:r>
          </w:p>
          <w:p w14:paraId="6FC4C447"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120 mg daily</w:t>
            </w:r>
          </w:p>
          <w:p w14:paraId="6AAAD31F"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n=61</w:t>
            </w:r>
          </w:p>
        </w:tc>
      </w:tr>
      <w:tr w:rsidR="00E3313B" w:rsidRPr="00E3313B" w14:paraId="31D8304E" w14:textId="77777777" w:rsidTr="00403CDE">
        <w:trPr>
          <w:jc w:val="center"/>
        </w:trPr>
        <w:tc>
          <w:tcPr>
            <w:tcW w:w="3528" w:type="dxa"/>
            <w:shd w:val="clear" w:color="auto" w:fill="auto"/>
          </w:tcPr>
          <w:p w14:paraId="59D543F0" w14:textId="19EEC6CC" w:rsidR="00E3313B" w:rsidRPr="00E3313B" w:rsidRDefault="00E3313B" w:rsidP="002A6B0A">
            <w:pPr>
              <w:keepNext/>
              <w:keepLines/>
              <w:autoSpaceDE w:val="0"/>
              <w:autoSpaceDN w:val="0"/>
              <w:adjustRightInd w:val="0"/>
              <w:spacing w:after="0" w:line="240" w:lineRule="auto"/>
              <w:jc w:val="left"/>
              <w:rPr>
                <w:rFonts w:eastAsia="MS Mincho" w:cs="Times New Roman"/>
                <w:b/>
                <w:bCs/>
                <w:sz w:val="20"/>
                <w:lang w:val="en-US" w:eastAsia="ja-JP"/>
              </w:rPr>
            </w:pPr>
            <w:r w:rsidRPr="00E3313B">
              <w:rPr>
                <w:rFonts w:eastAsia="MS Mincho" w:cs="Times New Roman"/>
                <w:b/>
                <w:bCs/>
                <w:sz w:val="20"/>
                <w:lang w:val="en-US" w:eastAsia="ja-JP"/>
              </w:rPr>
              <w:t>Overall Response Rate</w:t>
            </w:r>
            <w:r w:rsidR="00642423" w:rsidRPr="00E3313B">
              <w:rPr>
                <w:rFonts w:eastAsia="MS Mincho" w:cs="Times New Roman"/>
                <w:bCs/>
                <w:sz w:val="20"/>
                <w:szCs w:val="20"/>
                <w:lang w:val="en-US" w:eastAsia="ja-JP"/>
              </w:rPr>
              <w:t>*</w:t>
            </w:r>
          </w:p>
        </w:tc>
        <w:tc>
          <w:tcPr>
            <w:tcW w:w="3397" w:type="dxa"/>
          </w:tcPr>
          <w:p w14:paraId="659C222E"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bCs/>
                <w:sz w:val="20"/>
                <w:lang w:val="en-US" w:eastAsia="ja-JP"/>
              </w:rPr>
            </w:pPr>
          </w:p>
        </w:tc>
      </w:tr>
      <w:tr w:rsidR="00E3313B" w:rsidRPr="00E3313B" w14:paraId="104A2EA2" w14:textId="77777777" w:rsidTr="00403CDE">
        <w:trPr>
          <w:jc w:val="center"/>
        </w:trPr>
        <w:tc>
          <w:tcPr>
            <w:tcW w:w="3528" w:type="dxa"/>
            <w:shd w:val="clear" w:color="auto" w:fill="auto"/>
          </w:tcPr>
          <w:p w14:paraId="4DC1E1E6" w14:textId="2D2D03FA" w:rsidR="00E3313B" w:rsidRPr="00E3313B" w:rsidRDefault="00E3313B" w:rsidP="002A6B0A">
            <w:pPr>
              <w:keepNext/>
              <w:keepLines/>
              <w:autoSpaceDE w:val="0"/>
              <w:autoSpaceDN w:val="0"/>
              <w:adjustRightInd w:val="0"/>
              <w:spacing w:after="0" w:line="240" w:lineRule="auto"/>
              <w:ind w:left="150"/>
              <w:jc w:val="left"/>
              <w:rPr>
                <w:rFonts w:eastAsia="MS Mincho" w:cs="Times New Roman"/>
                <w:bCs/>
                <w:sz w:val="20"/>
                <w:lang w:val="en-US" w:eastAsia="ja-JP"/>
              </w:rPr>
            </w:pPr>
            <w:r w:rsidRPr="00E3313B">
              <w:rPr>
                <w:rFonts w:eastAsia="MS Mincho" w:cs="Times New Roman"/>
                <w:bCs/>
                <w:sz w:val="20"/>
                <w:lang w:val="en-US" w:eastAsia="ja-JP"/>
              </w:rPr>
              <w:t xml:space="preserve">ORR </w:t>
            </w:r>
            <w:r w:rsidR="00642423">
              <w:rPr>
                <w:rFonts w:eastAsia="MS Mincho" w:cs="Times New Roman"/>
                <w:bCs/>
                <w:sz w:val="20"/>
                <w:lang w:val="en-US" w:eastAsia="ja-JP"/>
              </w:rPr>
              <w:t xml:space="preserve">% </w:t>
            </w:r>
            <w:r w:rsidRPr="00E3313B">
              <w:rPr>
                <w:rFonts w:eastAsia="MS Mincho" w:cs="Times New Roman"/>
                <w:bCs/>
                <w:sz w:val="20"/>
                <w:lang w:val="en-US" w:eastAsia="ja-JP"/>
              </w:rPr>
              <w:t>(95% CI)</w:t>
            </w:r>
          </w:p>
        </w:tc>
        <w:tc>
          <w:tcPr>
            <w:tcW w:w="3397" w:type="dxa"/>
          </w:tcPr>
          <w:p w14:paraId="22040BEC" w14:textId="69450B1B" w:rsidR="00E3313B" w:rsidRPr="00E3313B" w:rsidRDefault="00F23B4E"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59.0</w:t>
            </w:r>
            <w:r w:rsidR="00E3313B" w:rsidRPr="00E3313B">
              <w:rPr>
                <w:rFonts w:eastAsia="MS Mincho" w:cs="Times New Roman"/>
                <w:bCs/>
                <w:sz w:val="20"/>
                <w:lang w:val="en-US" w:eastAsia="ja-JP"/>
              </w:rPr>
              <w:t>% (</w:t>
            </w:r>
            <w:r>
              <w:rPr>
                <w:rFonts w:eastAsia="MS Mincho" w:cs="Times New Roman"/>
                <w:bCs/>
                <w:sz w:val="20"/>
                <w:lang w:val="en-US" w:eastAsia="ja-JP"/>
              </w:rPr>
              <w:t>45.7</w:t>
            </w:r>
            <w:r w:rsidR="00E3313B" w:rsidRPr="00E3313B">
              <w:rPr>
                <w:rFonts w:eastAsia="MS Mincho" w:cs="Times New Roman"/>
                <w:bCs/>
                <w:sz w:val="20"/>
                <w:lang w:val="en-US" w:eastAsia="ja-JP"/>
              </w:rPr>
              <w:t xml:space="preserve">, </w:t>
            </w:r>
            <w:r>
              <w:rPr>
                <w:rFonts w:eastAsia="MS Mincho" w:cs="Times New Roman"/>
                <w:bCs/>
                <w:sz w:val="20"/>
                <w:lang w:val="en-US" w:eastAsia="ja-JP"/>
              </w:rPr>
              <w:t>71.4</w:t>
            </w:r>
            <w:r w:rsidR="00E3313B" w:rsidRPr="00E3313B">
              <w:rPr>
                <w:rFonts w:eastAsia="MS Mincho" w:cs="Times New Roman"/>
                <w:bCs/>
                <w:sz w:val="20"/>
                <w:lang w:val="en-US" w:eastAsia="ja-JP"/>
              </w:rPr>
              <w:t>)</w:t>
            </w:r>
          </w:p>
        </w:tc>
      </w:tr>
      <w:tr w:rsidR="00E3313B" w:rsidRPr="00E3313B" w14:paraId="23D2EEFB" w14:textId="77777777" w:rsidTr="00403CDE">
        <w:trPr>
          <w:jc w:val="center"/>
        </w:trPr>
        <w:tc>
          <w:tcPr>
            <w:tcW w:w="3528" w:type="dxa"/>
            <w:shd w:val="clear" w:color="auto" w:fill="auto"/>
          </w:tcPr>
          <w:p w14:paraId="08EBC4C9" w14:textId="77777777" w:rsidR="00E3313B" w:rsidRPr="00E3313B" w:rsidRDefault="00E3313B" w:rsidP="002A6B0A">
            <w:pPr>
              <w:keepNext/>
              <w:keepLines/>
              <w:autoSpaceDE w:val="0"/>
              <w:autoSpaceDN w:val="0"/>
              <w:adjustRightInd w:val="0"/>
              <w:spacing w:after="0" w:line="240" w:lineRule="auto"/>
              <w:ind w:left="150" w:firstLine="281"/>
              <w:jc w:val="left"/>
              <w:rPr>
                <w:rFonts w:eastAsia="MS Mincho" w:cs="Times New Roman"/>
                <w:bCs/>
                <w:sz w:val="20"/>
                <w:lang w:val="en-US" w:eastAsia="ja-JP"/>
              </w:rPr>
            </w:pPr>
            <w:r w:rsidRPr="00E3313B">
              <w:rPr>
                <w:rFonts w:eastAsia="MS Mincho" w:cs="Times New Roman"/>
                <w:bCs/>
                <w:sz w:val="20"/>
                <w:lang w:val="en-US" w:eastAsia="ja-JP"/>
              </w:rPr>
              <w:t xml:space="preserve">Complete response </w:t>
            </w:r>
          </w:p>
        </w:tc>
        <w:tc>
          <w:tcPr>
            <w:tcW w:w="3397" w:type="dxa"/>
          </w:tcPr>
          <w:p w14:paraId="57E914E1" w14:textId="18C7FF06" w:rsidR="00E3313B" w:rsidRPr="00E3313B" w:rsidRDefault="00F23B4E"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3.3</w:t>
            </w:r>
            <w:r w:rsidR="00E3313B" w:rsidRPr="00E3313B">
              <w:rPr>
                <w:rFonts w:eastAsia="MS Mincho" w:cs="Times New Roman"/>
                <w:bCs/>
                <w:sz w:val="20"/>
                <w:lang w:val="en-US" w:eastAsia="ja-JP"/>
              </w:rPr>
              <w:t>%</w:t>
            </w:r>
          </w:p>
        </w:tc>
      </w:tr>
      <w:tr w:rsidR="00E3313B" w:rsidRPr="00E3313B" w14:paraId="17313C3B" w14:textId="77777777" w:rsidTr="00403CDE">
        <w:trPr>
          <w:jc w:val="center"/>
        </w:trPr>
        <w:tc>
          <w:tcPr>
            <w:tcW w:w="3528" w:type="dxa"/>
            <w:shd w:val="clear" w:color="auto" w:fill="auto"/>
          </w:tcPr>
          <w:p w14:paraId="6E26D498" w14:textId="77777777" w:rsidR="00E3313B" w:rsidRPr="00E3313B" w:rsidRDefault="00E3313B" w:rsidP="002A6B0A">
            <w:pPr>
              <w:keepNext/>
              <w:keepLines/>
              <w:autoSpaceDE w:val="0"/>
              <w:autoSpaceDN w:val="0"/>
              <w:adjustRightInd w:val="0"/>
              <w:spacing w:after="0" w:line="240" w:lineRule="auto"/>
              <w:ind w:left="150" w:firstLine="281"/>
              <w:jc w:val="left"/>
              <w:rPr>
                <w:rFonts w:eastAsia="MS Mincho" w:cs="Times New Roman"/>
                <w:bCs/>
                <w:sz w:val="20"/>
                <w:lang w:val="en-US" w:eastAsia="ja-JP"/>
              </w:rPr>
            </w:pPr>
            <w:r w:rsidRPr="00E3313B">
              <w:rPr>
                <w:rFonts w:eastAsia="MS Mincho" w:cs="Times New Roman"/>
                <w:bCs/>
                <w:sz w:val="20"/>
                <w:lang w:val="en-US" w:eastAsia="ja-JP"/>
              </w:rPr>
              <w:t xml:space="preserve">Partial response </w:t>
            </w:r>
          </w:p>
        </w:tc>
        <w:tc>
          <w:tcPr>
            <w:tcW w:w="3397" w:type="dxa"/>
          </w:tcPr>
          <w:p w14:paraId="62B6BB03" w14:textId="4B8F5874" w:rsidR="00E3313B" w:rsidRPr="00E3313B" w:rsidRDefault="00F23B4E"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55.7</w:t>
            </w:r>
            <w:r w:rsidR="00E3313B" w:rsidRPr="00E3313B">
              <w:rPr>
                <w:rFonts w:eastAsia="MS Mincho" w:cs="Times New Roman"/>
                <w:bCs/>
                <w:sz w:val="20"/>
                <w:lang w:val="en-US" w:eastAsia="ja-JP"/>
              </w:rPr>
              <w:t>%</w:t>
            </w:r>
          </w:p>
        </w:tc>
      </w:tr>
      <w:tr w:rsidR="00E3313B" w:rsidRPr="00E3313B" w14:paraId="5B50980F" w14:textId="77777777" w:rsidTr="00403CDE">
        <w:trPr>
          <w:jc w:val="center"/>
        </w:trPr>
        <w:tc>
          <w:tcPr>
            <w:tcW w:w="3528" w:type="dxa"/>
            <w:shd w:val="clear" w:color="auto" w:fill="auto"/>
          </w:tcPr>
          <w:p w14:paraId="56E06A9D" w14:textId="59D16959" w:rsidR="00E3313B" w:rsidRPr="00E3313B" w:rsidRDefault="00E3313B" w:rsidP="002A6B0A">
            <w:pPr>
              <w:keepNext/>
              <w:keepLines/>
              <w:autoSpaceDE w:val="0"/>
              <w:autoSpaceDN w:val="0"/>
              <w:adjustRightInd w:val="0"/>
              <w:spacing w:after="0" w:line="240" w:lineRule="auto"/>
              <w:ind w:left="150" w:firstLine="281"/>
              <w:jc w:val="left"/>
              <w:rPr>
                <w:rFonts w:eastAsia="MS Mincho" w:cs="Times New Roman"/>
                <w:bCs/>
                <w:sz w:val="20"/>
                <w:lang w:val="en-US" w:eastAsia="ja-JP"/>
              </w:rPr>
            </w:pPr>
            <w:r w:rsidRPr="00E3313B">
              <w:rPr>
                <w:rFonts w:eastAsia="MS Mincho" w:cs="Times New Roman"/>
                <w:bCs/>
                <w:sz w:val="20"/>
                <w:lang w:val="en-US" w:eastAsia="ja-JP"/>
              </w:rPr>
              <w:t xml:space="preserve">Stable disease </w:t>
            </w:r>
          </w:p>
        </w:tc>
        <w:tc>
          <w:tcPr>
            <w:tcW w:w="3397" w:type="dxa"/>
          </w:tcPr>
          <w:p w14:paraId="7A66F84D" w14:textId="5D6CE61B" w:rsidR="00E3313B" w:rsidRPr="00E3313B" w:rsidRDefault="00F23B4E"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39.3%</w:t>
            </w:r>
          </w:p>
        </w:tc>
      </w:tr>
      <w:tr w:rsidR="00E3313B" w:rsidRPr="00E3313B" w14:paraId="274C431B" w14:textId="77777777" w:rsidTr="00403CDE">
        <w:trPr>
          <w:jc w:val="center"/>
        </w:trPr>
        <w:tc>
          <w:tcPr>
            <w:tcW w:w="3528" w:type="dxa"/>
            <w:shd w:val="clear" w:color="auto" w:fill="auto"/>
          </w:tcPr>
          <w:p w14:paraId="3DE65B7B" w14:textId="5EA22BB9" w:rsidR="00E3313B" w:rsidRPr="00E3313B" w:rsidRDefault="00E3313B" w:rsidP="002A6B0A">
            <w:pPr>
              <w:keepNext/>
              <w:keepLines/>
              <w:autoSpaceDE w:val="0"/>
              <w:autoSpaceDN w:val="0"/>
              <w:adjustRightInd w:val="0"/>
              <w:spacing w:after="0" w:line="240" w:lineRule="auto"/>
              <w:ind w:left="161"/>
              <w:jc w:val="left"/>
              <w:rPr>
                <w:rFonts w:eastAsia="MS Mincho" w:cs="Times New Roman"/>
                <w:b/>
                <w:bCs/>
                <w:sz w:val="20"/>
                <w:lang w:val="en-US" w:eastAsia="ja-JP"/>
              </w:rPr>
            </w:pPr>
            <w:r w:rsidRPr="00E3313B">
              <w:rPr>
                <w:rFonts w:eastAsia="MS Mincho" w:cs="Times New Roman"/>
                <w:bCs/>
                <w:sz w:val="20"/>
                <w:lang w:val="en-US" w:eastAsia="ja-JP"/>
              </w:rPr>
              <w:t>Disease control rate</w:t>
            </w:r>
            <w:r w:rsidRPr="00E3313B">
              <w:rPr>
                <w:rFonts w:eastAsia="MS Mincho" w:cs="Times New Roman"/>
                <w:bCs/>
                <w:sz w:val="20"/>
                <w:szCs w:val="20"/>
                <w:vertAlign w:val="superscript"/>
                <w:lang w:val="en-US" w:eastAsia="ja-JP"/>
              </w:rPr>
              <w:t>†</w:t>
            </w:r>
          </w:p>
        </w:tc>
        <w:tc>
          <w:tcPr>
            <w:tcW w:w="3397" w:type="dxa"/>
          </w:tcPr>
          <w:p w14:paraId="495043F7" w14:textId="51C36E0C"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98.4%</w:t>
            </w:r>
          </w:p>
        </w:tc>
      </w:tr>
      <w:tr w:rsidR="00E3313B" w:rsidRPr="00E3313B" w14:paraId="4FE719CA" w14:textId="77777777" w:rsidTr="00403CDE">
        <w:trPr>
          <w:jc w:val="center"/>
        </w:trPr>
        <w:tc>
          <w:tcPr>
            <w:tcW w:w="3528" w:type="dxa"/>
            <w:shd w:val="clear" w:color="auto" w:fill="auto"/>
          </w:tcPr>
          <w:p w14:paraId="33B73D9F" w14:textId="77777777" w:rsidR="00E3313B" w:rsidRPr="00E3313B" w:rsidRDefault="00E3313B" w:rsidP="002A6B0A">
            <w:pPr>
              <w:keepNext/>
              <w:keepLines/>
              <w:autoSpaceDE w:val="0"/>
              <w:autoSpaceDN w:val="0"/>
              <w:adjustRightInd w:val="0"/>
              <w:spacing w:after="0" w:line="240" w:lineRule="auto"/>
              <w:jc w:val="left"/>
              <w:rPr>
                <w:rFonts w:eastAsia="MS Mincho" w:cs="Times New Roman"/>
                <w:sz w:val="20"/>
                <w:lang w:val="en-US" w:eastAsia="ja-JP"/>
              </w:rPr>
            </w:pPr>
            <w:r w:rsidRPr="00E3313B">
              <w:rPr>
                <w:rFonts w:eastAsia="MS Mincho" w:cs="Times New Roman"/>
                <w:b/>
                <w:bCs/>
                <w:sz w:val="20"/>
                <w:lang w:val="en-US" w:eastAsia="ja-JP"/>
              </w:rPr>
              <w:t>Response Duration</w:t>
            </w:r>
            <w:r w:rsidRPr="00E3313B">
              <w:rPr>
                <w:rFonts w:eastAsia="MS Mincho" w:cs="Arial"/>
                <w:b/>
                <w:sz w:val="20"/>
                <w:szCs w:val="20"/>
                <w:vertAlign w:val="superscript"/>
                <w:lang w:val="en-US" w:eastAsia="ja-JP"/>
              </w:rPr>
              <w:t>‡</w:t>
            </w:r>
          </w:p>
        </w:tc>
        <w:tc>
          <w:tcPr>
            <w:tcW w:w="3397" w:type="dxa"/>
          </w:tcPr>
          <w:p w14:paraId="17C3DC4C"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p>
        </w:tc>
      </w:tr>
      <w:tr w:rsidR="00E3313B" w:rsidRPr="00E3313B" w14:paraId="244A9677" w14:textId="77777777" w:rsidTr="00403CDE">
        <w:trPr>
          <w:jc w:val="center"/>
        </w:trPr>
        <w:tc>
          <w:tcPr>
            <w:tcW w:w="3528" w:type="dxa"/>
            <w:shd w:val="clear" w:color="auto" w:fill="auto"/>
          </w:tcPr>
          <w:p w14:paraId="6FD52D7A" w14:textId="77777777" w:rsidR="00E3313B" w:rsidRPr="00E3313B" w:rsidRDefault="00E3313B" w:rsidP="002A6B0A">
            <w:pPr>
              <w:keepNext/>
              <w:keepLines/>
              <w:autoSpaceDE w:val="0"/>
              <w:autoSpaceDN w:val="0"/>
              <w:adjustRightInd w:val="0"/>
              <w:spacing w:after="0" w:line="240" w:lineRule="auto"/>
              <w:ind w:left="161"/>
              <w:jc w:val="left"/>
              <w:rPr>
                <w:rFonts w:eastAsia="MS Mincho" w:cs="Times New Roman"/>
                <w:b/>
                <w:sz w:val="20"/>
                <w:lang w:val="en-US" w:eastAsia="ja-JP"/>
              </w:rPr>
            </w:pPr>
            <w:r w:rsidRPr="00E3313B">
              <w:rPr>
                <w:rFonts w:eastAsia="MS Mincho" w:cs="Times New Roman"/>
                <w:bCs/>
                <w:sz w:val="20"/>
                <w:lang w:val="en-US" w:eastAsia="ja-JP"/>
              </w:rPr>
              <w:t>Median in weeks (range)</w:t>
            </w:r>
          </w:p>
        </w:tc>
        <w:tc>
          <w:tcPr>
            <w:tcW w:w="3397" w:type="dxa"/>
          </w:tcPr>
          <w:p w14:paraId="603E8C04"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Not reached</w:t>
            </w:r>
          </w:p>
          <w:p w14:paraId="5A8E6877" w14:textId="0B56B114"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w:t>
            </w:r>
            <w:r w:rsidR="00F23B4E">
              <w:rPr>
                <w:rFonts w:eastAsia="MS Mincho" w:cs="Times New Roman"/>
                <w:bCs/>
                <w:sz w:val="20"/>
                <w:lang w:val="en-US" w:eastAsia="ja-JP"/>
              </w:rPr>
              <w:t>36.1</w:t>
            </w:r>
            <w:r w:rsidRPr="00E3313B">
              <w:rPr>
                <w:rFonts w:eastAsia="MS Mincho" w:cs="Times New Roman"/>
                <w:bCs/>
                <w:sz w:val="20"/>
                <w:lang w:val="en-US" w:eastAsia="ja-JP"/>
              </w:rPr>
              <w:t xml:space="preserve">+, </w:t>
            </w:r>
            <w:r w:rsidR="00F23B4E">
              <w:rPr>
                <w:rFonts w:eastAsia="MS Mincho" w:cs="Times New Roman"/>
                <w:bCs/>
                <w:sz w:val="20"/>
                <w:lang w:val="en-US" w:eastAsia="ja-JP"/>
              </w:rPr>
              <w:t>119</w:t>
            </w:r>
            <w:r w:rsidR="004F2728">
              <w:rPr>
                <w:rFonts w:eastAsia="MS Mincho" w:cs="Times New Roman"/>
                <w:bCs/>
                <w:sz w:val="20"/>
                <w:lang w:val="en-US" w:eastAsia="ja-JP"/>
              </w:rPr>
              <w:t>.9</w:t>
            </w:r>
            <w:r w:rsidRPr="00E3313B">
              <w:rPr>
                <w:rFonts w:eastAsia="MS Mincho" w:cs="Times New Roman"/>
                <w:bCs/>
                <w:sz w:val="20"/>
                <w:lang w:val="en-US" w:eastAsia="ja-JP"/>
              </w:rPr>
              <w:t>+)</w:t>
            </w:r>
          </w:p>
        </w:tc>
      </w:tr>
      <w:tr w:rsidR="00E3313B" w:rsidRPr="00E3313B" w14:paraId="1A64E3EA" w14:textId="77777777" w:rsidTr="00403CDE">
        <w:trPr>
          <w:jc w:val="center"/>
        </w:trPr>
        <w:tc>
          <w:tcPr>
            <w:tcW w:w="3528" w:type="dxa"/>
            <w:shd w:val="clear" w:color="auto" w:fill="auto"/>
          </w:tcPr>
          <w:p w14:paraId="5C7B2906" w14:textId="04F4B894" w:rsidR="00E3313B" w:rsidRPr="00E3313B" w:rsidRDefault="00E3313B" w:rsidP="002A6B0A">
            <w:pPr>
              <w:keepNext/>
              <w:keepLines/>
              <w:autoSpaceDE w:val="0"/>
              <w:autoSpaceDN w:val="0"/>
              <w:adjustRightInd w:val="0"/>
              <w:spacing w:after="0" w:line="240" w:lineRule="auto"/>
              <w:ind w:left="161"/>
              <w:jc w:val="left"/>
              <w:rPr>
                <w:rFonts w:eastAsia="MS Mincho" w:cs="Times New Roman"/>
                <w:bCs/>
                <w:sz w:val="20"/>
                <w:lang w:val="en-US" w:eastAsia="ja-JP"/>
              </w:rPr>
            </w:pPr>
            <w:r w:rsidRPr="00E3313B">
              <w:rPr>
                <w:rFonts w:eastAsia="MS Mincho" w:cs="Times New Roman"/>
                <w:bCs/>
                <w:sz w:val="20"/>
                <w:lang w:val="en-US" w:eastAsia="ja-JP"/>
              </w:rPr>
              <w:t>% (n) with duration ≥ </w:t>
            </w:r>
            <w:r w:rsidR="0000342A">
              <w:rPr>
                <w:rFonts w:eastAsia="MS Mincho" w:cs="Times New Roman"/>
                <w:bCs/>
                <w:sz w:val="20"/>
                <w:lang w:val="en-US" w:eastAsia="ja-JP"/>
              </w:rPr>
              <w:t>18</w:t>
            </w:r>
            <w:r w:rsidR="0000342A" w:rsidRPr="00E3313B">
              <w:rPr>
                <w:rFonts w:eastAsia="MS Mincho" w:cs="Times New Roman"/>
                <w:bCs/>
                <w:sz w:val="20"/>
                <w:lang w:val="en-US" w:eastAsia="ja-JP"/>
              </w:rPr>
              <w:t> </w:t>
            </w:r>
            <w:r w:rsidRPr="00E3313B">
              <w:rPr>
                <w:rFonts w:eastAsia="MS Mincho" w:cs="Times New Roman"/>
                <w:bCs/>
                <w:sz w:val="20"/>
                <w:lang w:val="en-US" w:eastAsia="ja-JP"/>
              </w:rPr>
              <w:t>months</w:t>
            </w:r>
          </w:p>
        </w:tc>
        <w:tc>
          <w:tcPr>
            <w:tcW w:w="3397" w:type="dxa"/>
          </w:tcPr>
          <w:p w14:paraId="7BE1A431" w14:textId="64B8DCBB" w:rsidR="00E3313B" w:rsidRPr="00E3313B" w:rsidRDefault="00F23B4E"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95</w:t>
            </w:r>
            <w:r w:rsidR="00E3313B" w:rsidRPr="00E3313B">
              <w:rPr>
                <w:rFonts w:eastAsia="MS Mincho" w:cs="Times New Roman"/>
                <w:bCs/>
                <w:sz w:val="20"/>
                <w:lang w:val="en-US" w:eastAsia="ja-JP"/>
              </w:rPr>
              <w:t>.0% (</w:t>
            </w:r>
            <w:r>
              <w:rPr>
                <w:rFonts w:eastAsia="MS Mincho" w:cs="Times New Roman"/>
                <w:bCs/>
                <w:sz w:val="20"/>
                <w:lang w:val="en-US" w:eastAsia="ja-JP"/>
              </w:rPr>
              <w:t>19</w:t>
            </w:r>
            <w:r w:rsidR="00E3313B" w:rsidRPr="00E3313B">
              <w:rPr>
                <w:rFonts w:eastAsia="MS Mincho" w:cs="Times New Roman"/>
                <w:bCs/>
                <w:sz w:val="20"/>
                <w:lang w:val="en-US" w:eastAsia="ja-JP"/>
              </w:rPr>
              <w:t>)</w:t>
            </w:r>
          </w:p>
        </w:tc>
      </w:tr>
      <w:tr w:rsidR="00E3313B" w:rsidRPr="00E3313B" w14:paraId="4D6E339C" w14:textId="77777777" w:rsidTr="00403CDE">
        <w:trPr>
          <w:jc w:val="center"/>
        </w:trPr>
        <w:tc>
          <w:tcPr>
            <w:tcW w:w="3528" w:type="dxa"/>
            <w:shd w:val="clear" w:color="auto" w:fill="auto"/>
          </w:tcPr>
          <w:p w14:paraId="2B884214" w14:textId="3D50F76D" w:rsidR="00E3313B" w:rsidRPr="00E3313B" w:rsidRDefault="00E3313B" w:rsidP="002A6B0A">
            <w:pPr>
              <w:keepNext/>
              <w:keepLines/>
              <w:autoSpaceDE w:val="0"/>
              <w:autoSpaceDN w:val="0"/>
              <w:adjustRightInd w:val="0"/>
              <w:spacing w:after="0" w:line="240" w:lineRule="auto"/>
              <w:jc w:val="left"/>
              <w:rPr>
                <w:rFonts w:eastAsia="MS Mincho" w:cs="Times New Roman"/>
                <w:b/>
                <w:bCs/>
                <w:sz w:val="20"/>
                <w:lang w:val="en-US" w:eastAsia="ja-JP"/>
              </w:rPr>
            </w:pPr>
            <w:r w:rsidRPr="00E3313B">
              <w:rPr>
                <w:rFonts w:eastAsia="MS Mincho" w:cs="Times New Roman"/>
                <w:b/>
                <w:bCs/>
                <w:sz w:val="20"/>
                <w:lang w:val="en-US" w:eastAsia="ja-JP"/>
              </w:rPr>
              <w:t>Time to Response</w:t>
            </w:r>
          </w:p>
        </w:tc>
        <w:tc>
          <w:tcPr>
            <w:tcW w:w="3397" w:type="dxa"/>
          </w:tcPr>
          <w:p w14:paraId="255BCA57"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p>
        </w:tc>
      </w:tr>
      <w:tr w:rsidR="00E3313B" w:rsidRPr="00E3313B" w14:paraId="03991693" w14:textId="77777777" w:rsidTr="00403CDE">
        <w:trPr>
          <w:jc w:val="center"/>
        </w:trPr>
        <w:tc>
          <w:tcPr>
            <w:tcW w:w="3528" w:type="dxa"/>
            <w:shd w:val="clear" w:color="auto" w:fill="auto"/>
          </w:tcPr>
          <w:p w14:paraId="17BED6DE" w14:textId="094AAB0A" w:rsidR="00E3313B" w:rsidRPr="00E3313B" w:rsidRDefault="00E3313B" w:rsidP="002A6B0A">
            <w:pPr>
              <w:keepNext/>
              <w:keepLines/>
              <w:autoSpaceDE w:val="0"/>
              <w:autoSpaceDN w:val="0"/>
              <w:adjustRightInd w:val="0"/>
              <w:spacing w:after="0" w:line="240" w:lineRule="auto"/>
              <w:ind w:left="162"/>
              <w:jc w:val="left"/>
              <w:rPr>
                <w:rFonts w:eastAsia="MS Mincho" w:cs="Times New Roman"/>
                <w:b/>
                <w:bCs/>
                <w:sz w:val="20"/>
                <w:lang w:val="en-US" w:eastAsia="ja-JP"/>
              </w:rPr>
            </w:pPr>
            <w:r w:rsidRPr="00E3313B">
              <w:rPr>
                <w:rFonts w:eastAsia="MS Mincho" w:cs="Times New Roman"/>
                <w:bCs/>
                <w:sz w:val="20"/>
                <w:lang w:val="en-US" w:eastAsia="ja-JP"/>
              </w:rPr>
              <w:t>Median in weeks (range)</w:t>
            </w:r>
          </w:p>
        </w:tc>
        <w:tc>
          <w:tcPr>
            <w:tcW w:w="3397" w:type="dxa"/>
          </w:tcPr>
          <w:p w14:paraId="0F45CB68" w14:textId="7C8BCC89" w:rsidR="00E3313B" w:rsidRPr="00E3313B" w:rsidRDefault="009E462A"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Arial"/>
                <w:sz w:val="20"/>
                <w:szCs w:val="20"/>
                <w:lang w:val="en-US" w:eastAsia="ja-JP"/>
              </w:rPr>
              <w:t>47.6</w:t>
            </w:r>
            <w:r w:rsidR="00E3313B" w:rsidRPr="00E3313B">
              <w:rPr>
                <w:rFonts w:eastAsia="MS Mincho" w:cs="Arial"/>
                <w:sz w:val="20"/>
                <w:szCs w:val="20"/>
                <w:lang w:val="en-US" w:eastAsia="ja-JP"/>
              </w:rPr>
              <w:t xml:space="preserve"> (11.6, </w:t>
            </w:r>
            <w:r w:rsidR="00F23B4E">
              <w:rPr>
                <w:rFonts w:eastAsia="MS Mincho" w:cs="Arial"/>
                <w:sz w:val="20"/>
                <w:szCs w:val="20"/>
                <w:lang w:val="en-US" w:eastAsia="ja-JP"/>
              </w:rPr>
              <w:t>96.6</w:t>
            </w:r>
            <w:r w:rsidR="00E3313B" w:rsidRPr="00E3313B">
              <w:rPr>
                <w:rFonts w:eastAsia="MS Mincho" w:cs="Arial"/>
                <w:sz w:val="20"/>
                <w:szCs w:val="20"/>
                <w:lang w:val="en-US" w:eastAsia="ja-JP"/>
              </w:rPr>
              <w:t>)</w:t>
            </w:r>
          </w:p>
        </w:tc>
      </w:tr>
      <w:tr w:rsidR="00E3313B" w:rsidRPr="00E3313B" w14:paraId="52F3CB9E" w14:textId="77777777" w:rsidTr="00403CDE">
        <w:trPr>
          <w:jc w:val="center"/>
        </w:trPr>
        <w:tc>
          <w:tcPr>
            <w:tcW w:w="3528" w:type="dxa"/>
            <w:shd w:val="clear" w:color="auto" w:fill="auto"/>
          </w:tcPr>
          <w:p w14:paraId="2303A4F3" w14:textId="1090625F" w:rsidR="00E3313B" w:rsidRPr="00E3313B" w:rsidRDefault="00E3313B" w:rsidP="002A6B0A">
            <w:pPr>
              <w:keepNext/>
              <w:keepLines/>
              <w:autoSpaceDE w:val="0"/>
              <w:autoSpaceDN w:val="0"/>
              <w:adjustRightInd w:val="0"/>
              <w:spacing w:after="0" w:line="240" w:lineRule="auto"/>
              <w:jc w:val="left"/>
              <w:rPr>
                <w:rFonts w:eastAsia="MS Mincho" w:cs="Times New Roman"/>
                <w:b/>
                <w:bCs/>
                <w:sz w:val="20"/>
                <w:lang w:val="en-US" w:eastAsia="ja-JP"/>
              </w:rPr>
            </w:pPr>
            <w:r w:rsidRPr="00E3313B">
              <w:rPr>
                <w:rFonts w:eastAsia="MS Mincho" w:cs="Times New Roman"/>
                <w:b/>
                <w:bCs/>
                <w:sz w:val="20"/>
                <w:lang w:val="en-US" w:eastAsia="ja-JP"/>
              </w:rPr>
              <w:t>Time to Surgery</w:t>
            </w:r>
          </w:p>
        </w:tc>
        <w:tc>
          <w:tcPr>
            <w:tcW w:w="3397" w:type="dxa"/>
          </w:tcPr>
          <w:p w14:paraId="5DDBC3CF"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p>
        </w:tc>
      </w:tr>
      <w:tr w:rsidR="00E3313B" w:rsidRPr="00E3313B" w14:paraId="12BF1D15" w14:textId="77777777" w:rsidTr="00403CDE">
        <w:trPr>
          <w:jc w:val="center"/>
        </w:trPr>
        <w:tc>
          <w:tcPr>
            <w:tcW w:w="3528" w:type="dxa"/>
            <w:shd w:val="clear" w:color="auto" w:fill="auto"/>
          </w:tcPr>
          <w:p w14:paraId="6DD74A0E" w14:textId="47072AA1" w:rsidR="00E3313B" w:rsidRPr="00E3313B" w:rsidRDefault="00E3313B" w:rsidP="002A6B0A">
            <w:pPr>
              <w:keepNext/>
              <w:keepLines/>
              <w:autoSpaceDE w:val="0"/>
              <w:autoSpaceDN w:val="0"/>
              <w:adjustRightInd w:val="0"/>
              <w:spacing w:after="0" w:line="240" w:lineRule="auto"/>
              <w:ind w:left="161"/>
              <w:jc w:val="left"/>
              <w:rPr>
                <w:rFonts w:eastAsia="MS Mincho" w:cs="Times New Roman"/>
                <w:bCs/>
                <w:sz w:val="20"/>
                <w:lang w:val="en-US" w:eastAsia="ja-JP"/>
              </w:rPr>
            </w:pPr>
            <w:r w:rsidRPr="00E3313B">
              <w:rPr>
                <w:rFonts w:eastAsia="MS Mincho" w:cs="Times New Roman"/>
                <w:bCs/>
                <w:sz w:val="20"/>
                <w:lang w:val="en-US" w:eastAsia="ja-JP"/>
              </w:rPr>
              <w:t>Median in weeks (95% CI)</w:t>
            </w:r>
          </w:p>
        </w:tc>
        <w:tc>
          <w:tcPr>
            <w:tcW w:w="3397" w:type="dxa"/>
          </w:tcPr>
          <w:p w14:paraId="7740FD3C" w14:textId="2C577322"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Not reached</w:t>
            </w:r>
          </w:p>
          <w:p w14:paraId="133FD445" w14:textId="31E8B226" w:rsidR="00E3313B" w:rsidRPr="00E3313B" w:rsidRDefault="00E3313B"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(NE, NE)</w:t>
            </w:r>
          </w:p>
        </w:tc>
      </w:tr>
      <w:tr w:rsidR="00E3313B" w:rsidRPr="00E3313B" w14:paraId="0F2535A4" w14:textId="77777777" w:rsidTr="00403CDE">
        <w:trPr>
          <w:jc w:val="center"/>
        </w:trPr>
        <w:tc>
          <w:tcPr>
            <w:tcW w:w="6925" w:type="dxa"/>
            <w:gridSpan w:val="2"/>
            <w:tcBorders>
              <w:left w:val="nil"/>
              <w:bottom w:val="nil"/>
              <w:right w:val="nil"/>
            </w:tcBorders>
            <w:shd w:val="clear" w:color="auto" w:fill="auto"/>
          </w:tcPr>
          <w:p w14:paraId="144CB121" w14:textId="3072EDF5" w:rsidR="00E3313B" w:rsidRPr="00E3313B" w:rsidRDefault="00E3313B" w:rsidP="002A6B0A">
            <w:pPr>
              <w:keepNext/>
              <w:keepLines/>
              <w:autoSpaceDE w:val="0"/>
              <w:autoSpaceDN w:val="0"/>
              <w:adjustRightInd w:val="0"/>
              <w:spacing w:after="0" w:line="240" w:lineRule="auto"/>
              <w:jc w:val="left"/>
              <w:rPr>
                <w:rFonts w:eastAsia="MS Mincho" w:cs="Arial"/>
                <w:bCs/>
                <w:sz w:val="16"/>
                <w:szCs w:val="16"/>
                <w:lang w:val="en-US" w:eastAsia="ja-JP"/>
              </w:rPr>
            </w:pPr>
            <w:r w:rsidRPr="00E3313B">
              <w:rPr>
                <w:rFonts w:eastAsia="MS Mincho" w:cs="Times New Roman"/>
                <w:bCs/>
                <w:sz w:val="16"/>
                <w:szCs w:val="16"/>
                <w:lang w:val="en-US" w:eastAsia="ja-JP"/>
              </w:rPr>
              <w:t>*</w:t>
            </w:r>
            <w:r w:rsidRPr="00E3313B">
              <w:rPr>
                <w:rFonts w:eastAsia="MS Mincho" w:cs="Times New Roman"/>
                <w:bCs/>
                <w:sz w:val="16"/>
                <w:szCs w:val="16"/>
                <w:lang w:val="en-US" w:eastAsia="ja-JP"/>
              </w:rPr>
              <w:tab/>
            </w:r>
            <w:r w:rsidR="00642423" w:rsidRPr="00642423">
              <w:rPr>
                <w:rFonts w:eastAsia="MS Mincho" w:cs="Arial"/>
                <w:bCs/>
                <w:sz w:val="16"/>
                <w:szCs w:val="16"/>
                <w:lang w:val="en-GB" w:eastAsia="ja-JP"/>
              </w:rPr>
              <w:t>Based on the stratified Cox proportional hazard model</w:t>
            </w:r>
          </w:p>
          <w:p w14:paraId="5D340066" w14:textId="77777777" w:rsidR="00E3313B" w:rsidRPr="00E3313B" w:rsidRDefault="00E3313B" w:rsidP="002A6B0A">
            <w:pPr>
              <w:keepNext/>
              <w:keepLines/>
              <w:autoSpaceDE w:val="0"/>
              <w:autoSpaceDN w:val="0"/>
              <w:adjustRightInd w:val="0"/>
              <w:spacing w:after="0" w:line="240" w:lineRule="auto"/>
              <w:jc w:val="left"/>
              <w:rPr>
                <w:rFonts w:eastAsia="MS Mincho" w:cs="Arial"/>
                <w:bCs/>
                <w:sz w:val="16"/>
                <w:szCs w:val="16"/>
                <w:lang w:val="en-US" w:eastAsia="ja-JP"/>
              </w:rPr>
            </w:pPr>
            <w:r w:rsidRPr="00E3313B">
              <w:rPr>
                <w:rFonts w:eastAsia="MS Mincho" w:cs="Times New Roman"/>
                <w:bCs/>
                <w:sz w:val="16"/>
                <w:szCs w:val="16"/>
                <w:vertAlign w:val="superscript"/>
                <w:lang w:val="en-US" w:eastAsia="ja-JP"/>
              </w:rPr>
              <w:t>†</w:t>
            </w:r>
            <w:r w:rsidRPr="00E3313B">
              <w:rPr>
                <w:rFonts w:eastAsia="MS Mincho" w:cs="Times New Roman"/>
                <w:bCs/>
                <w:sz w:val="16"/>
                <w:szCs w:val="16"/>
                <w:lang w:val="en-US" w:eastAsia="ja-JP"/>
              </w:rPr>
              <w:tab/>
            </w:r>
            <w:r w:rsidRPr="00E3313B">
              <w:rPr>
                <w:rFonts w:eastAsia="MS Mincho" w:cs="Arial"/>
                <w:bCs/>
                <w:sz w:val="16"/>
                <w:szCs w:val="16"/>
                <w:lang w:val="en-US" w:eastAsia="ja-JP"/>
              </w:rPr>
              <w:t>Based on best response of stable disease or better</w:t>
            </w:r>
          </w:p>
          <w:p w14:paraId="2F0038D9" w14:textId="77777777" w:rsidR="00E3313B" w:rsidRPr="00E3313B" w:rsidRDefault="00E3313B" w:rsidP="002A6B0A">
            <w:pPr>
              <w:keepNext/>
              <w:keepLines/>
              <w:autoSpaceDE w:val="0"/>
              <w:autoSpaceDN w:val="0"/>
              <w:adjustRightInd w:val="0"/>
              <w:spacing w:after="0" w:line="240" w:lineRule="auto"/>
              <w:ind w:left="702" w:hanging="702"/>
              <w:jc w:val="left"/>
              <w:rPr>
                <w:rFonts w:eastAsia="MS Mincho" w:cs="Arial"/>
                <w:bCs/>
                <w:sz w:val="16"/>
                <w:szCs w:val="16"/>
                <w:lang w:val="en-US" w:eastAsia="ja-JP"/>
              </w:rPr>
            </w:pPr>
            <w:r w:rsidRPr="00E3313B">
              <w:rPr>
                <w:rFonts w:eastAsia="MS Mincho" w:cs="Arial"/>
                <w:bCs/>
                <w:sz w:val="16"/>
                <w:szCs w:val="16"/>
                <w:vertAlign w:val="superscript"/>
                <w:lang w:val="en-US" w:eastAsia="ja-JP"/>
              </w:rPr>
              <w:t>‡</w:t>
            </w:r>
            <w:r w:rsidRPr="00E3313B">
              <w:rPr>
                <w:rFonts w:eastAsia="Times New Roman" w:cs="Arial"/>
                <w:bCs/>
                <w:sz w:val="16"/>
                <w:szCs w:val="16"/>
                <w:lang w:val="en-GB"/>
              </w:rPr>
              <w:tab/>
            </w:r>
            <w:r w:rsidRPr="00E3313B">
              <w:rPr>
                <w:rFonts w:eastAsia="MS Mincho" w:cs="Arial"/>
                <w:bCs/>
                <w:sz w:val="16"/>
                <w:szCs w:val="16"/>
                <w:lang w:val="en-US" w:eastAsia="ja-JP"/>
              </w:rPr>
              <w:t>Based on Kaplan-Meier estimates</w:t>
            </w:r>
          </w:p>
          <w:p w14:paraId="3691B6F9" w14:textId="77777777" w:rsidR="00E3313B" w:rsidRPr="00E3313B" w:rsidRDefault="00E3313B" w:rsidP="002A6B0A">
            <w:pPr>
              <w:keepNext/>
              <w:keepLines/>
              <w:autoSpaceDE w:val="0"/>
              <w:autoSpaceDN w:val="0"/>
              <w:adjustRightInd w:val="0"/>
              <w:spacing w:after="0" w:line="240" w:lineRule="auto"/>
              <w:jc w:val="left"/>
              <w:rPr>
                <w:rFonts w:eastAsia="MS Mincho" w:cs="Times New Roman"/>
                <w:sz w:val="16"/>
                <w:szCs w:val="16"/>
                <w:lang w:val="en-US" w:eastAsia="ja-JP"/>
              </w:rPr>
            </w:pPr>
            <w:r w:rsidRPr="00E3313B">
              <w:rPr>
                <w:rFonts w:eastAsia="MS Mincho" w:cs="Times New Roman"/>
                <w:sz w:val="16"/>
                <w:szCs w:val="16"/>
                <w:lang w:val="en-US" w:eastAsia="ja-JP"/>
              </w:rPr>
              <w:t>NE = Not estimable</w:t>
            </w:r>
          </w:p>
        </w:tc>
      </w:tr>
      <w:bookmarkEnd w:id="22"/>
    </w:tbl>
    <w:p w14:paraId="7CA66761" w14:textId="5AE96DDD" w:rsidR="00E3313B" w:rsidRDefault="00E3313B" w:rsidP="002A6B0A">
      <w:pPr>
        <w:jc w:val="left"/>
        <w:rPr>
          <w:lang w:val="en-US"/>
        </w:rPr>
      </w:pPr>
    </w:p>
    <w:p w14:paraId="48289FA9" w14:textId="3CAD7D30" w:rsidR="00E3313B" w:rsidRDefault="00E3313B" w:rsidP="002A6B0A">
      <w:pPr>
        <w:jc w:val="left"/>
        <w:rPr>
          <w:lang w:val="en-US"/>
        </w:rPr>
      </w:pPr>
      <w:r w:rsidRPr="00E3313B">
        <w:rPr>
          <w:lang w:val="en-US"/>
        </w:rPr>
        <w:t>Efficacy endpoints for the treatment of other VHL disease-associated tumo</w:t>
      </w:r>
      <w:r w:rsidR="00D401D1">
        <w:rPr>
          <w:lang w:val="en-US"/>
        </w:rPr>
        <w:t>u</w:t>
      </w:r>
      <w:r w:rsidRPr="00E3313B">
        <w:rPr>
          <w:lang w:val="en-US"/>
        </w:rPr>
        <w:t>rs included ORR, DCR and response duration, as assessed by IRC using RECIST v1.1. These results are shown in</w:t>
      </w:r>
      <w:r w:rsidR="00124384">
        <w:rPr>
          <w:lang w:val="en-US"/>
        </w:rPr>
        <w:t xml:space="preserve"> </w:t>
      </w:r>
      <w:r w:rsidR="00124384" w:rsidRPr="00124384">
        <w:rPr>
          <w:lang w:val="en-US"/>
        </w:rPr>
        <w:fldChar w:fldCharType="begin" w:fldLock="1"/>
      </w:r>
      <w:r w:rsidR="00124384" w:rsidRPr="00124384">
        <w:rPr>
          <w:lang w:val="en-US"/>
        </w:rPr>
        <w:instrText xml:space="preserve"> REF _Ref123907480 \h  \* MERGEFORMAT </w:instrText>
      </w:r>
      <w:r w:rsidR="00124384" w:rsidRPr="00124384">
        <w:rPr>
          <w:lang w:val="en-US"/>
        </w:rPr>
      </w:r>
      <w:r w:rsidR="00124384" w:rsidRPr="00124384">
        <w:rPr>
          <w:lang w:val="en-US"/>
        </w:rPr>
        <w:fldChar w:fldCharType="separate"/>
      </w:r>
      <w:r w:rsidR="00124384" w:rsidRPr="00124384">
        <w:rPr>
          <w:b/>
          <w:bCs/>
        </w:rPr>
        <w:t xml:space="preserve">Table </w:t>
      </w:r>
      <w:r w:rsidR="00124384" w:rsidRPr="00124384">
        <w:rPr>
          <w:b/>
          <w:bCs/>
          <w:noProof/>
        </w:rPr>
        <w:t>5</w:t>
      </w:r>
      <w:r w:rsidR="00124384" w:rsidRPr="00124384">
        <w:rPr>
          <w:lang w:val="en-US"/>
        </w:rPr>
        <w:fldChar w:fldCharType="end"/>
      </w:r>
      <w:r w:rsidRPr="00146E0A">
        <w:rPr>
          <w:lang w:val="en-US"/>
        </w:rPr>
        <w:t>.</w:t>
      </w:r>
    </w:p>
    <w:p w14:paraId="0452CBB2" w14:textId="47B0BF73" w:rsidR="00124384" w:rsidRDefault="00124384" w:rsidP="002A6B0A">
      <w:pPr>
        <w:pStyle w:val="Caption"/>
        <w:keepNext/>
        <w:jc w:val="left"/>
      </w:pPr>
      <w:bookmarkStart w:id="23" w:name="_Ref123907480"/>
      <w:r w:rsidRPr="00124384">
        <w:rPr>
          <w:b/>
          <w:bCs/>
          <w:i w:val="0"/>
          <w:iCs w:val="0"/>
          <w:color w:val="auto"/>
          <w:sz w:val="22"/>
          <w:szCs w:val="22"/>
        </w:rPr>
        <w:t xml:space="preserve">Table </w:t>
      </w:r>
      <w:r w:rsidRPr="00124384">
        <w:rPr>
          <w:b/>
          <w:bCs/>
          <w:i w:val="0"/>
          <w:iCs w:val="0"/>
          <w:color w:val="auto"/>
          <w:sz w:val="22"/>
          <w:szCs w:val="22"/>
        </w:rPr>
        <w:fldChar w:fldCharType="begin" w:fldLock="1"/>
      </w:r>
      <w:r w:rsidRPr="00124384">
        <w:rPr>
          <w:b/>
          <w:bCs/>
          <w:i w:val="0"/>
          <w:iCs w:val="0"/>
          <w:color w:val="auto"/>
          <w:sz w:val="22"/>
          <w:szCs w:val="22"/>
        </w:rPr>
        <w:instrText xml:space="preserve"> SEQ Table \* ARABIC </w:instrText>
      </w:r>
      <w:r w:rsidRPr="00124384">
        <w:rPr>
          <w:b/>
          <w:bCs/>
          <w:i w:val="0"/>
          <w:iCs w:val="0"/>
          <w:color w:val="auto"/>
          <w:sz w:val="22"/>
          <w:szCs w:val="22"/>
        </w:rPr>
        <w:fldChar w:fldCharType="separate"/>
      </w:r>
      <w:r w:rsidRPr="00124384">
        <w:rPr>
          <w:b/>
          <w:bCs/>
          <w:i w:val="0"/>
          <w:iCs w:val="0"/>
          <w:noProof/>
          <w:color w:val="auto"/>
          <w:sz w:val="22"/>
          <w:szCs w:val="22"/>
        </w:rPr>
        <w:t>5</w:t>
      </w:r>
      <w:r w:rsidRPr="00124384">
        <w:rPr>
          <w:b/>
          <w:bCs/>
          <w:i w:val="0"/>
          <w:iCs w:val="0"/>
          <w:color w:val="auto"/>
          <w:sz w:val="22"/>
          <w:szCs w:val="22"/>
        </w:rPr>
        <w:fldChar w:fldCharType="end"/>
      </w:r>
      <w:bookmarkEnd w:id="23"/>
      <w:r w:rsidRPr="00124384">
        <w:rPr>
          <w:b/>
          <w:bCs/>
          <w:i w:val="0"/>
          <w:iCs w:val="0"/>
          <w:color w:val="auto"/>
          <w:sz w:val="22"/>
          <w:szCs w:val="22"/>
        </w:rPr>
        <w:t>:</w:t>
      </w:r>
      <w:r w:rsidRPr="00124384">
        <w:rPr>
          <w:color w:val="auto"/>
          <w:sz w:val="22"/>
          <w:szCs w:val="22"/>
        </w:rPr>
        <w:t xml:space="preserve"> </w:t>
      </w:r>
      <w:r w:rsidRPr="00D401D1">
        <w:rPr>
          <w:rFonts w:eastAsia="MS Mincho" w:cs="Arial"/>
          <w:b/>
          <w:bCs/>
          <w:i w:val="0"/>
          <w:iCs w:val="0"/>
          <w:color w:val="auto"/>
          <w:sz w:val="22"/>
          <w:szCs w:val="22"/>
          <w:lang w:val="en-US" w:eastAsia="ja-JP"/>
        </w:rPr>
        <w:t xml:space="preserve">Efficacy Results for </w:t>
      </w:r>
      <w:r>
        <w:rPr>
          <w:rFonts w:eastAsia="MS Mincho" w:cs="Arial"/>
          <w:b/>
          <w:bCs/>
          <w:i w:val="0"/>
          <w:iCs w:val="0"/>
          <w:color w:val="auto"/>
          <w:sz w:val="22"/>
          <w:szCs w:val="22"/>
          <w:lang w:val="en-US" w:eastAsia="ja-JP"/>
        </w:rPr>
        <w:t>WELIREG</w:t>
      </w:r>
      <w:r w:rsidRPr="00D401D1">
        <w:rPr>
          <w:rFonts w:eastAsia="MS Mincho" w:cs="Arial"/>
          <w:b/>
          <w:bCs/>
          <w:i w:val="0"/>
          <w:iCs w:val="0"/>
          <w:color w:val="auto"/>
          <w:sz w:val="22"/>
          <w:szCs w:val="22"/>
          <w:lang w:val="en-US" w:eastAsia="ja-JP"/>
        </w:rPr>
        <w:t xml:space="preserve"> for Other VHL Disease-Associated Tumo</w:t>
      </w:r>
      <w:r>
        <w:rPr>
          <w:rFonts w:eastAsia="MS Mincho" w:cs="Arial"/>
          <w:b/>
          <w:bCs/>
          <w:i w:val="0"/>
          <w:iCs w:val="0"/>
          <w:color w:val="auto"/>
          <w:sz w:val="22"/>
          <w:szCs w:val="22"/>
          <w:lang w:val="en-US" w:eastAsia="ja-JP"/>
        </w:rPr>
        <w:t>u</w:t>
      </w:r>
      <w:r w:rsidRPr="00D401D1">
        <w:rPr>
          <w:rFonts w:eastAsia="MS Mincho" w:cs="Arial"/>
          <w:b/>
          <w:bCs/>
          <w:i w:val="0"/>
          <w:iCs w:val="0"/>
          <w:color w:val="auto"/>
          <w:sz w:val="22"/>
          <w:szCs w:val="22"/>
          <w:lang w:val="en-US" w:eastAsia="ja-JP"/>
        </w:rPr>
        <w:t>rs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2250"/>
        <w:gridCol w:w="2307"/>
      </w:tblGrid>
      <w:tr w:rsidR="00E3313B" w:rsidRPr="00E3313B" w14:paraId="028CE48B" w14:textId="77777777" w:rsidTr="00A902C2">
        <w:trPr>
          <w:jc w:val="center"/>
        </w:trPr>
        <w:tc>
          <w:tcPr>
            <w:tcW w:w="3235" w:type="dxa"/>
            <w:shd w:val="clear" w:color="auto" w:fill="auto"/>
          </w:tcPr>
          <w:p w14:paraId="7139D3A5"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bCs/>
                <w:sz w:val="20"/>
                <w:lang w:val="en-US" w:eastAsia="ja-JP"/>
              </w:rPr>
            </w:pPr>
            <w:bookmarkStart w:id="24" w:name="_Hlk49859943"/>
          </w:p>
        </w:tc>
        <w:tc>
          <w:tcPr>
            <w:tcW w:w="4557" w:type="dxa"/>
            <w:gridSpan w:val="2"/>
          </w:tcPr>
          <w:p w14:paraId="52794412" w14:textId="01B2D1C5" w:rsidR="00E3313B" w:rsidRPr="00E3313B" w:rsidRDefault="00027D80" w:rsidP="002A6B0A">
            <w:pPr>
              <w:keepNext/>
              <w:keepLines/>
              <w:autoSpaceDE w:val="0"/>
              <w:autoSpaceDN w:val="0"/>
              <w:adjustRightInd w:val="0"/>
              <w:spacing w:after="0" w:line="240" w:lineRule="auto"/>
              <w:jc w:val="left"/>
              <w:rPr>
                <w:rFonts w:eastAsia="MS Mincho" w:cs="Times New Roman"/>
                <w:b/>
                <w:sz w:val="20"/>
                <w:lang w:val="en-US" w:eastAsia="ja-JP"/>
              </w:rPr>
            </w:pPr>
            <w:r>
              <w:rPr>
                <w:rFonts w:eastAsia="MS Mincho" w:cs="Times New Roman"/>
                <w:b/>
                <w:sz w:val="20"/>
                <w:lang w:val="en-US" w:eastAsia="ja-JP"/>
              </w:rPr>
              <w:t>WELIREG</w:t>
            </w:r>
          </w:p>
          <w:p w14:paraId="11354C5F"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120 mg daily</w:t>
            </w:r>
          </w:p>
          <w:p w14:paraId="44BF8638" w14:textId="77777777" w:rsidR="00E3313B" w:rsidRPr="00E3313B" w:rsidRDefault="00E3313B"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n=61</w:t>
            </w:r>
          </w:p>
        </w:tc>
      </w:tr>
      <w:tr w:rsidR="002156D4" w:rsidRPr="00E3313B" w14:paraId="31B780EB" w14:textId="77777777" w:rsidTr="00A902C2">
        <w:trPr>
          <w:jc w:val="center"/>
        </w:trPr>
        <w:tc>
          <w:tcPr>
            <w:tcW w:w="3235" w:type="dxa"/>
            <w:shd w:val="clear" w:color="auto" w:fill="auto"/>
          </w:tcPr>
          <w:p w14:paraId="722865EF"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bCs/>
                <w:sz w:val="20"/>
                <w:lang w:val="en-US" w:eastAsia="ja-JP"/>
              </w:rPr>
              <w:t>Endpoint</w:t>
            </w:r>
          </w:p>
        </w:tc>
        <w:tc>
          <w:tcPr>
            <w:tcW w:w="2250" w:type="dxa"/>
          </w:tcPr>
          <w:p w14:paraId="13E9747F" w14:textId="04EB0EB0"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 xml:space="preserve">Patients with Evaluable Pancreatic Neuroendocrine </w:t>
            </w:r>
            <w:r>
              <w:rPr>
                <w:rFonts w:eastAsia="MS Mincho" w:cs="Times New Roman"/>
                <w:b/>
                <w:sz w:val="20"/>
                <w:lang w:val="en-US" w:eastAsia="ja-JP"/>
              </w:rPr>
              <w:t>Tumour</w:t>
            </w:r>
            <w:r w:rsidRPr="00E3313B">
              <w:rPr>
                <w:rFonts w:eastAsia="MS Mincho" w:cs="Times New Roman"/>
                <w:b/>
                <w:sz w:val="20"/>
                <w:lang w:val="en-US" w:eastAsia="ja-JP"/>
              </w:rPr>
              <w:t>s</w:t>
            </w:r>
          </w:p>
          <w:p w14:paraId="7E26E754"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p>
          <w:p w14:paraId="35856E63" w14:textId="489F3793"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n=</w:t>
            </w:r>
            <w:r>
              <w:rPr>
                <w:rFonts w:eastAsia="MS Mincho" w:cs="Times New Roman"/>
                <w:b/>
                <w:sz w:val="20"/>
                <w:lang w:val="en-US" w:eastAsia="ja-JP"/>
              </w:rPr>
              <w:t>20</w:t>
            </w:r>
          </w:p>
        </w:tc>
        <w:tc>
          <w:tcPr>
            <w:tcW w:w="2307" w:type="dxa"/>
          </w:tcPr>
          <w:p w14:paraId="5AE8A2F5" w14:textId="282D44F8"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 xml:space="preserve">Patients with Evaluable CNS </w:t>
            </w:r>
            <w:proofErr w:type="spellStart"/>
            <w:r w:rsidRPr="00E3313B">
              <w:rPr>
                <w:rFonts w:eastAsia="MS Mincho" w:cs="Times New Roman"/>
                <w:b/>
                <w:sz w:val="20"/>
                <w:lang w:val="en-US" w:eastAsia="ja-JP"/>
              </w:rPr>
              <w:t>H</w:t>
            </w:r>
            <w:r w:rsidR="000645CA">
              <w:rPr>
                <w:rFonts w:eastAsia="MS Mincho" w:cs="Times New Roman"/>
                <w:b/>
                <w:sz w:val="20"/>
                <w:lang w:val="en-US" w:eastAsia="ja-JP"/>
              </w:rPr>
              <w:t>a</w:t>
            </w:r>
            <w:r w:rsidRPr="00E3313B">
              <w:rPr>
                <w:rFonts w:eastAsia="MS Mincho" w:cs="Times New Roman"/>
                <w:b/>
                <w:sz w:val="20"/>
                <w:lang w:val="en-US" w:eastAsia="ja-JP"/>
              </w:rPr>
              <w:t>emangioblastomas</w:t>
            </w:r>
            <w:proofErr w:type="spellEnd"/>
          </w:p>
          <w:p w14:paraId="29C0666D" w14:textId="17883134" w:rsidR="002156D4"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p>
          <w:p w14:paraId="5ED45B40" w14:textId="77777777" w:rsidR="008A4FE7" w:rsidRPr="00E3313B" w:rsidRDefault="008A4FE7" w:rsidP="002A6B0A">
            <w:pPr>
              <w:keepNext/>
              <w:keepLines/>
              <w:autoSpaceDE w:val="0"/>
              <w:autoSpaceDN w:val="0"/>
              <w:adjustRightInd w:val="0"/>
              <w:spacing w:after="0" w:line="240" w:lineRule="auto"/>
              <w:jc w:val="left"/>
              <w:rPr>
                <w:rFonts w:eastAsia="MS Mincho" w:cs="Times New Roman"/>
                <w:b/>
                <w:sz w:val="20"/>
                <w:lang w:val="en-US" w:eastAsia="ja-JP"/>
              </w:rPr>
            </w:pPr>
          </w:p>
          <w:p w14:paraId="552619C5"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
                <w:sz w:val="20"/>
                <w:lang w:val="en-US" w:eastAsia="ja-JP"/>
              </w:rPr>
            </w:pPr>
            <w:r w:rsidRPr="00E3313B">
              <w:rPr>
                <w:rFonts w:eastAsia="MS Mincho" w:cs="Times New Roman"/>
                <w:b/>
                <w:sz w:val="20"/>
                <w:lang w:val="en-US" w:eastAsia="ja-JP"/>
              </w:rPr>
              <w:t>n=50</w:t>
            </w:r>
          </w:p>
        </w:tc>
      </w:tr>
      <w:tr w:rsidR="002156D4" w:rsidRPr="00E3313B" w14:paraId="5F14BEA9" w14:textId="77777777" w:rsidTr="00A902C2">
        <w:trPr>
          <w:jc w:val="center"/>
        </w:trPr>
        <w:tc>
          <w:tcPr>
            <w:tcW w:w="3235" w:type="dxa"/>
            <w:shd w:val="clear" w:color="auto" w:fill="auto"/>
          </w:tcPr>
          <w:p w14:paraId="67D995DB" w14:textId="2959D566" w:rsidR="002156D4" w:rsidRPr="00E3313B" w:rsidRDefault="002156D4" w:rsidP="002A6B0A">
            <w:pPr>
              <w:keepNext/>
              <w:keepLines/>
              <w:autoSpaceDE w:val="0"/>
              <w:autoSpaceDN w:val="0"/>
              <w:adjustRightInd w:val="0"/>
              <w:spacing w:after="0" w:line="240" w:lineRule="auto"/>
              <w:jc w:val="left"/>
              <w:rPr>
                <w:rFonts w:eastAsia="MS Mincho" w:cs="Times New Roman"/>
                <w:b/>
                <w:bCs/>
                <w:sz w:val="20"/>
                <w:lang w:val="en-US" w:eastAsia="ja-JP"/>
              </w:rPr>
            </w:pPr>
            <w:r w:rsidRPr="00E3313B">
              <w:rPr>
                <w:rFonts w:eastAsia="MS Mincho" w:cs="Times New Roman"/>
                <w:b/>
                <w:bCs/>
                <w:sz w:val="20"/>
                <w:lang w:val="en-US" w:eastAsia="ja-JP"/>
              </w:rPr>
              <w:t>Overall Response Rate</w:t>
            </w:r>
            <w:r w:rsidRPr="00E3313B">
              <w:rPr>
                <w:rFonts w:eastAsia="MS Mincho" w:cs="Times New Roman"/>
                <w:bCs/>
                <w:sz w:val="20"/>
                <w:szCs w:val="20"/>
                <w:lang w:val="en-US" w:eastAsia="ja-JP"/>
              </w:rPr>
              <w:t>*</w:t>
            </w:r>
          </w:p>
        </w:tc>
        <w:tc>
          <w:tcPr>
            <w:tcW w:w="2250" w:type="dxa"/>
          </w:tcPr>
          <w:p w14:paraId="1A34137F"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
                <w:bCs/>
                <w:sz w:val="20"/>
                <w:lang w:val="en-US" w:eastAsia="ja-JP"/>
              </w:rPr>
            </w:pPr>
          </w:p>
        </w:tc>
        <w:tc>
          <w:tcPr>
            <w:tcW w:w="2307" w:type="dxa"/>
          </w:tcPr>
          <w:p w14:paraId="5ADCAE3A"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
                <w:bCs/>
                <w:sz w:val="20"/>
                <w:lang w:val="en-US" w:eastAsia="ja-JP"/>
              </w:rPr>
            </w:pPr>
          </w:p>
        </w:tc>
      </w:tr>
      <w:tr w:rsidR="002156D4" w:rsidRPr="00E3313B" w14:paraId="6C9FD197" w14:textId="77777777" w:rsidTr="00A902C2">
        <w:trPr>
          <w:jc w:val="center"/>
        </w:trPr>
        <w:tc>
          <w:tcPr>
            <w:tcW w:w="3235" w:type="dxa"/>
            <w:shd w:val="clear" w:color="auto" w:fill="auto"/>
          </w:tcPr>
          <w:p w14:paraId="39E34032" w14:textId="3E4887AE" w:rsidR="002156D4" w:rsidRPr="00E3313B" w:rsidRDefault="002156D4" w:rsidP="002A6B0A">
            <w:pPr>
              <w:keepNext/>
              <w:keepLines/>
              <w:autoSpaceDE w:val="0"/>
              <w:autoSpaceDN w:val="0"/>
              <w:adjustRightInd w:val="0"/>
              <w:spacing w:after="0" w:line="240" w:lineRule="auto"/>
              <w:ind w:left="150"/>
              <w:jc w:val="left"/>
              <w:rPr>
                <w:rFonts w:eastAsia="MS Mincho" w:cs="Times New Roman"/>
                <w:bCs/>
                <w:sz w:val="20"/>
                <w:lang w:val="en-US" w:eastAsia="ja-JP"/>
              </w:rPr>
            </w:pPr>
            <w:r w:rsidRPr="00E3313B">
              <w:rPr>
                <w:rFonts w:eastAsia="MS Mincho" w:cs="Times New Roman"/>
                <w:bCs/>
                <w:sz w:val="20"/>
                <w:lang w:val="en-US" w:eastAsia="ja-JP"/>
              </w:rPr>
              <w:t>ORR</w:t>
            </w:r>
            <w:r>
              <w:rPr>
                <w:rFonts w:eastAsia="MS Mincho" w:cs="Times New Roman"/>
                <w:bCs/>
                <w:sz w:val="20"/>
                <w:szCs w:val="20"/>
                <w:lang w:val="en-US" w:eastAsia="ja-JP"/>
              </w:rPr>
              <w:t xml:space="preserve"> %</w:t>
            </w:r>
            <w:r w:rsidRPr="00E3313B">
              <w:rPr>
                <w:rFonts w:eastAsia="MS Mincho" w:cs="Times New Roman"/>
                <w:bCs/>
                <w:sz w:val="20"/>
                <w:lang w:val="en-US" w:eastAsia="ja-JP"/>
              </w:rPr>
              <w:t xml:space="preserve"> (95% CI)</w:t>
            </w:r>
          </w:p>
        </w:tc>
        <w:tc>
          <w:tcPr>
            <w:tcW w:w="2250" w:type="dxa"/>
          </w:tcPr>
          <w:p w14:paraId="7164A211" w14:textId="7E5C6C8E"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90.</w:t>
            </w:r>
            <w:r w:rsidR="008A4FE7">
              <w:rPr>
                <w:rFonts w:eastAsia="MS Mincho" w:cs="Times New Roman"/>
                <w:bCs/>
                <w:sz w:val="20"/>
                <w:lang w:val="en-US" w:eastAsia="ja-JP"/>
              </w:rPr>
              <w:t>0</w:t>
            </w:r>
            <w:r w:rsidRPr="00E3313B">
              <w:rPr>
                <w:rFonts w:eastAsia="MS Mincho" w:cs="Times New Roman"/>
                <w:bCs/>
                <w:sz w:val="20"/>
                <w:lang w:val="en-US" w:eastAsia="ja-JP"/>
              </w:rPr>
              <w:t>% (</w:t>
            </w:r>
            <w:r w:rsidR="008A4FE7">
              <w:rPr>
                <w:rFonts w:eastAsia="MS Mincho" w:cs="Times New Roman"/>
                <w:bCs/>
                <w:sz w:val="20"/>
                <w:lang w:val="en-US" w:eastAsia="ja-JP"/>
              </w:rPr>
              <w:t>68.3</w:t>
            </w:r>
            <w:r w:rsidRPr="00E3313B">
              <w:rPr>
                <w:rFonts w:eastAsia="MS Mincho" w:cs="Times New Roman"/>
                <w:bCs/>
                <w:sz w:val="20"/>
                <w:lang w:val="en-US" w:eastAsia="ja-JP"/>
              </w:rPr>
              <w:t xml:space="preserve">, </w:t>
            </w:r>
            <w:r>
              <w:rPr>
                <w:rFonts w:eastAsia="MS Mincho" w:cs="Times New Roman"/>
                <w:bCs/>
                <w:sz w:val="20"/>
                <w:lang w:val="en-US" w:eastAsia="ja-JP"/>
              </w:rPr>
              <w:t>98.</w:t>
            </w:r>
            <w:r w:rsidR="008A4FE7">
              <w:rPr>
                <w:rFonts w:eastAsia="MS Mincho" w:cs="Times New Roman"/>
                <w:bCs/>
                <w:sz w:val="20"/>
                <w:lang w:val="en-US" w:eastAsia="ja-JP"/>
              </w:rPr>
              <w:t>8</w:t>
            </w:r>
            <w:r w:rsidRPr="00E3313B">
              <w:rPr>
                <w:rFonts w:eastAsia="MS Mincho" w:cs="Times New Roman"/>
                <w:bCs/>
                <w:sz w:val="20"/>
                <w:lang w:val="en-US" w:eastAsia="ja-JP"/>
              </w:rPr>
              <w:t>)</w:t>
            </w:r>
          </w:p>
        </w:tc>
        <w:tc>
          <w:tcPr>
            <w:tcW w:w="2307" w:type="dxa"/>
          </w:tcPr>
          <w:p w14:paraId="3CAA4EDA" w14:textId="44A51B12"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38</w:t>
            </w:r>
            <w:r w:rsidR="002156D4" w:rsidRPr="00E3313B">
              <w:rPr>
                <w:rFonts w:eastAsia="MS Mincho" w:cs="Times New Roman"/>
                <w:bCs/>
                <w:sz w:val="20"/>
                <w:lang w:val="en-US" w:eastAsia="ja-JP"/>
              </w:rPr>
              <w:t>% (</w:t>
            </w:r>
            <w:r>
              <w:rPr>
                <w:rFonts w:eastAsia="MS Mincho" w:cs="Times New Roman"/>
                <w:bCs/>
                <w:sz w:val="20"/>
                <w:lang w:val="en-US" w:eastAsia="ja-JP"/>
              </w:rPr>
              <w:t>24.7</w:t>
            </w:r>
            <w:r w:rsidR="002156D4" w:rsidRPr="00E3313B">
              <w:rPr>
                <w:rFonts w:eastAsia="MS Mincho" w:cs="Times New Roman"/>
                <w:bCs/>
                <w:sz w:val="20"/>
                <w:lang w:val="en-US" w:eastAsia="ja-JP"/>
              </w:rPr>
              <w:t xml:space="preserve">, </w:t>
            </w:r>
            <w:r>
              <w:rPr>
                <w:rFonts w:eastAsia="MS Mincho" w:cs="Times New Roman"/>
                <w:bCs/>
                <w:sz w:val="20"/>
                <w:lang w:val="en-US" w:eastAsia="ja-JP"/>
              </w:rPr>
              <w:t>52.8</w:t>
            </w:r>
            <w:r w:rsidR="002156D4" w:rsidRPr="00E3313B">
              <w:rPr>
                <w:rFonts w:eastAsia="MS Mincho" w:cs="Times New Roman"/>
                <w:bCs/>
                <w:sz w:val="20"/>
                <w:lang w:val="en-US" w:eastAsia="ja-JP"/>
              </w:rPr>
              <w:t>)</w:t>
            </w:r>
          </w:p>
        </w:tc>
      </w:tr>
      <w:tr w:rsidR="002156D4" w:rsidRPr="00E3313B" w14:paraId="590329DE" w14:textId="77777777" w:rsidTr="00A902C2">
        <w:trPr>
          <w:jc w:val="center"/>
        </w:trPr>
        <w:tc>
          <w:tcPr>
            <w:tcW w:w="3235" w:type="dxa"/>
            <w:shd w:val="clear" w:color="auto" w:fill="auto"/>
          </w:tcPr>
          <w:p w14:paraId="4A388A3C" w14:textId="77777777" w:rsidR="002156D4" w:rsidRPr="00E3313B" w:rsidRDefault="002156D4" w:rsidP="002A6B0A">
            <w:pPr>
              <w:keepNext/>
              <w:keepLines/>
              <w:autoSpaceDE w:val="0"/>
              <w:autoSpaceDN w:val="0"/>
              <w:adjustRightInd w:val="0"/>
              <w:spacing w:after="0" w:line="240" w:lineRule="auto"/>
              <w:ind w:left="150" w:firstLine="280"/>
              <w:jc w:val="left"/>
              <w:rPr>
                <w:rFonts w:eastAsia="MS Mincho" w:cs="Times New Roman"/>
                <w:bCs/>
                <w:sz w:val="20"/>
                <w:lang w:val="en-US" w:eastAsia="ja-JP"/>
              </w:rPr>
            </w:pPr>
            <w:r w:rsidRPr="00E3313B">
              <w:rPr>
                <w:rFonts w:eastAsia="MS Mincho" w:cs="Times New Roman"/>
                <w:bCs/>
                <w:sz w:val="20"/>
                <w:lang w:val="en-US" w:eastAsia="ja-JP"/>
              </w:rPr>
              <w:t xml:space="preserve">Complete response </w:t>
            </w:r>
          </w:p>
        </w:tc>
        <w:tc>
          <w:tcPr>
            <w:tcW w:w="2250" w:type="dxa"/>
          </w:tcPr>
          <w:p w14:paraId="2D47113B" w14:textId="5AF7B6C8"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15.0</w:t>
            </w:r>
            <w:r w:rsidR="002156D4" w:rsidRPr="00E3313B">
              <w:rPr>
                <w:rFonts w:eastAsia="MS Mincho" w:cs="Times New Roman"/>
                <w:bCs/>
                <w:sz w:val="20"/>
                <w:lang w:val="en-US" w:eastAsia="ja-JP"/>
              </w:rPr>
              <w:t>%</w:t>
            </w:r>
          </w:p>
        </w:tc>
        <w:tc>
          <w:tcPr>
            <w:tcW w:w="2307" w:type="dxa"/>
          </w:tcPr>
          <w:p w14:paraId="1A6CBFB4" w14:textId="2E35836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6</w:t>
            </w:r>
            <w:r w:rsidRPr="00E3313B">
              <w:rPr>
                <w:rFonts w:eastAsia="MS Mincho" w:cs="Times New Roman"/>
                <w:bCs/>
                <w:sz w:val="20"/>
                <w:lang w:val="en-US" w:eastAsia="ja-JP"/>
              </w:rPr>
              <w:t>.0%</w:t>
            </w:r>
          </w:p>
        </w:tc>
      </w:tr>
      <w:tr w:rsidR="002156D4" w:rsidRPr="00E3313B" w14:paraId="4E595E36" w14:textId="77777777" w:rsidTr="00A902C2">
        <w:trPr>
          <w:jc w:val="center"/>
        </w:trPr>
        <w:tc>
          <w:tcPr>
            <w:tcW w:w="3235" w:type="dxa"/>
            <w:shd w:val="clear" w:color="auto" w:fill="auto"/>
          </w:tcPr>
          <w:p w14:paraId="6969FC71" w14:textId="77777777" w:rsidR="002156D4" w:rsidRPr="00E3313B" w:rsidRDefault="002156D4" w:rsidP="002A6B0A">
            <w:pPr>
              <w:keepNext/>
              <w:keepLines/>
              <w:autoSpaceDE w:val="0"/>
              <w:autoSpaceDN w:val="0"/>
              <w:adjustRightInd w:val="0"/>
              <w:spacing w:after="0" w:line="240" w:lineRule="auto"/>
              <w:ind w:left="150" w:firstLine="280"/>
              <w:jc w:val="left"/>
              <w:rPr>
                <w:rFonts w:eastAsia="MS Mincho" w:cs="Times New Roman"/>
                <w:bCs/>
                <w:sz w:val="20"/>
                <w:lang w:val="en-US" w:eastAsia="ja-JP"/>
              </w:rPr>
            </w:pPr>
            <w:r w:rsidRPr="00E3313B">
              <w:rPr>
                <w:rFonts w:eastAsia="MS Mincho" w:cs="Times New Roman"/>
                <w:bCs/>
                <w:sz w:val="20"/>
                <w:lang w:val="en-US" w:eastAsia="ja-JP"/>
              </w:rPr>
              <w:t xml:space="preserve">Partial response </w:t>
            </w:r>
          </w:p>
        </w:tc>
        <w:tc>
          <w:tcPr>
            <w:tcW w:w="2250" w:type="dxa"/>
          </w:tcPr>
          <w:p w14:paraId="6C0CB14B" w14:textId="6C2BEAF3"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7</w:t>
            </w:r>
            <w:r w:rsidR="008A4FE7">
              <w:rPr>
                <w:rFonts w:eastAsia="MS Mincho" w:cs="Times New Roman"/>
                <w:bCs/>
                <w:sz w:val="20"/>
                <w:lang w:val="en-US" w:eastAsia="ja-JP"/>
              </w:rPr>
              <w:t>5.0</w:t>
            </w:r>
            <w:r w:rsidRPr="00E3313B">
              <w:rPr>
                <w:rFonts w:eastAsia="MS Mincho" w:cs="Times New Roman"/>
                <w:bCs/>
                <w:sz w:val="20"/>
                <w:lang w:val="en-US" w:eastAsia="ja-JP"/>
              </w:rPr>
              <w:t>%</w:t>
            </w:r>
          </w:p>
        </w:tc>
        <w:tc>
          <w:tcPr>
            <w:tcW w:w="2307" w:type="dxa"/>
          </w:tcPr>
          <w:p w14:paraId="3DFA81FB" w14:textId="55FECFEC"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32</w:t>
            </w:r>
            <w:r w:rsidR="002156D4" w:rsidRPr="00E3313B">
              <w:rPr>
                <w:rFonts w:eastAsia="MS Mincho" w:cs="Times New Roman"/>
                <w:bCs/>
                <w:sz w:val="20"/>
                <w:lang w:val="en-US" w:eastAsia="ja-JP"/>
              </w:rPr>
              <w:t>.0%</w:t>
            </w:r>
          </w:p>
        </w:tc>
      </w:tr>
      <w:tr w:rsidR="002156D4" w:rsidRPr="00E3313B" w14:paraId="182AB1EA" w14:textId="77777777" w:rsidTr="00A902C2">
        <w:trPr>
          <w:jc w:val="center"/>
        </w:trPr>
        <w:tc>
          <w:tcPr>
            <w:tcW w:w="3235" w:type="dxa"/>
            <w:shd w:val="clear" w:color="auto" w:fill="auto"/>
          </w:tcPr>
          <w:p w14:paraId="55802A43" w14:textId="77777777" w:rsidR="002156D4" w:rsidRPr="00E3313B" w:rsidRDefault="002156D4" w:rsidP="002A6B0A">
            <w:pPr>
              <w:keepNext/>
              <w:keepLines/>
              <w:autoSpaceDE w:val="0"/>
              <w:autoSpaceDN w:val="0"/>
              <w:adjustRightInd w:val="0"/>
              <w:spacing w:after="0" w:line="240" w:lineRule="auto"/>
              <w:ind w:left="150" w:firstLine="280"/>
              <w:jc w:val="left"/>
              <w:rPr>
                <w:rFonts w:eastAsia="MS Mincho" w:cs="Times New Roman"/>
                <w:bCs/>
                <w:sz w:val="20"/>
                <w:lang w:val="en-US" w:eastAsia="ja-JP"/>
              </w:rPr>
            </w:pPr>
            <w:r w:rsidRPr="00E3313B">
              <w:rPr>
                <w:rFonts w:eastAsia="MS Mincho" w:cs="Times New Roman"/>
                <w:bCs/>
                <w:sz w:val="20"/>
                <w:lang w:val="en-US" w:eastAsia="ja-JP"/>
              </w:rPr>
              <w:t>Stable disease</w:t>
            </w:r>
          </w:p>
        </w:tc>
        <w:tc>
          <w:tcPr>
            <w:tcW w:w="2250" w:type="dxa"/>
          </w:tcPr>
          <w:p w14:paraId="710D2B4A" w14:textId="6BE15360"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10.0</w:t>
            </w:r>
            <w:r w:rsidR="002156D4" w:rsidRPr="00E3313B">
              <w:rPr>
                <w:rFonts w:eastAsia="MS Mincho" w:cs="Times New Roman"/>
                <w:bCs/>
                <w:sz w:val="20"/>
                <w:lang w:val="en-US" w:eastAsia="ja-JP"/>
              </w:rPr>
              <w:t>%</w:t>
            </w:r>
          </w:p>
        </w:tc>
        <w:tc>
          <w:tcPr>
            <w:tcW w:w="2307" w:type="dxa"/>
          </w:tcPr>
          <w:p w14:paraId="2142BBC8" w14:textId="2B7B71D8"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5</w:t>
            </w:r>
            <w:r w:rsidR="002156D4">
              <w:rPr>
                <w:rFonts w:eastAsia="MS Mincho" w:cs="Times New Roman"/>
                <w:bCs/>
                <w:sz w:val="20"/>
                <w:lang w:val="en-US" w:eastAsia="ja-JP"/>
              </w:rPr>
              <w:t>2</w:t>
            </w:r>
            <w:r w:rsidR="002156D4" w:rsidRPr="00E3313B">
              <w:rPr>
                <w:rFonts w:eastAsia="MS Mincho" w:cs="Times New Roman"/>
                <w:bCs/>
                <w:sz w:val="20"/>
                <w:lang w:val="en-US" w:eastAsia="ja-JP"/>
              </w:rPr>
              <w:t>.0%</w:t>
            </w:r>
          </w:p>
        </w:tc>
      </w:tr>
      <w:tr w:rsidR="002156D4" w:rsidRPr="00E3313B" w14:paraId="1345FF1E" w14:textId="77777777" w:rsidTr="00A902C2">
        <w:trPr>
          <w:jc w:val="center"/>
        </w:trPr>
        <w:tc>
          <w:tcPr>
            <w:tcW w:w="3235" w:type="dxa"/>
            <w:shd w:val="clear" w:color="auto" w:fill="auto"/>
          </w:tcPr>
          <w:p w14:paraId="38F811B6" w14:textId="6ADB5DF2" w:rsidR="002156D4" w:rsidRPr="00E3313B" w:rsidRDefault="002156D4" w:rsidP="002A6B0A">
            <w:pPr>
              <w:keepNext/>
              <w:keepLines/>
              <w:autoSpaceDE w:val="0"/>
              <w:autoSpaceDN w:val="0"/>
              <w:adjustRightInd w:val="0"/>
              <w:spacing w:after="0" w:line="240" w:lineRule="auto"/>
              <w:ind w:left="161"/>
              <w:jc w:val="left"/>
              <w:rPr>
                <w:rFonts w:eastAsia="MS Mincho" w:cs="Times New Roman"/>
                <w:b/>
                <w:bCs/>
                <w:sz w:val="20"/>
                <w:lang w:val="en-US" w:eastAsia="ja-JP"/>
              </w:rPr>
            </w:pPr>
            <w:r w:rsidRPr="00E3313B">
              <w:rPr>
                <w:rFonts w:eastAsia="MS Mincho" w:cs="Times New Roman"/>
                <w:bCs/>
                <w:sz w:val="20"/>
                <w:lang w:val="en-US" w:eastAsia="ja-JP"/>
              </w:rPr>
              <w:t xml:space="preserve">Disease </w:t>
            </w:r>
            <w:r>
              <w:rPr>
                <w:rFonts w:eastAsia="MS Mincho" w:cs="Times New Roman"/>
                <w:bCs/>
                <w:sz w:val="20"/>
                <w:lang w:val="en-US" w:eastAsia="ja-JP"/>
              </w:rPr>
              <w:t>C</w:t>
            </w:r>
            <w:r w:rsidRPr="00E3313B">
              <w:rPr>
                <w:rFonts w:eastAsia="MS Mincho" w:cs="Times New Roman"/>
                <w:bCs/>
                <w:sz w:val="20"/>
                <w:lang w:val="en-US" w:eastAsia="ja-JP"/>
              </w:rPr>
              <w:t xml:space="preserve">ontrol </w:t>
            </w:r>
            <w:r>
              <w:rPr>
                <w:rFonts w:eastAsia="MS Mincho" w:cs="Times New Roman"/>
                <w:bCs/>
                <w:sz w:val="20"/>
                <w:lang w:val="en-US" w:eastAsia="ja-JP"/>
              </w:rPr>
              <w:t>R</w:t>
            </w:r>
            <w:r w:rsidRPr="00E3313B">
              <w:rPr>
                <w:rFonts w:eastAsia="MS Mincho" w:cs="Times New Roman"/>
                <w:bCs/>
                <w:sz w:val="20"/>
                <w:lang w:val="en-US" w:eastAsia="ja-JP"/>
              </w:rPr>
              <w:t>ate</w:t>
            </w:r>
            <w:r w:rsidRPr="00E3313B">
              <w:rPr>
                <w:rFonts w:eastAsia="MS Mincho" w:cs="Times New Roman"/>
                <w:bCs/>
                <w:sz w:val="20"/>
                <w:szCs w:val="20"/>
                <w:vertAlign w:val="superscript"/>
                <w:lang w:val="en-US" w:eastAsia="ja-JP"/>
              </w:rPr>
              <w:t>†</w:t>
            </w:r>
          </w:p>
        </w:tc>
        <w:tc>
          <w:tcPr>
            <w:tcW w:w="2250" w:type="dxa"/>
          </w:tcPr>
          <w:p w14:paraId="77DA10E7"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100.0%</w:t>
            </w:r>
          </w:p>
        </w:tc>
        <w:tc>
          <w:tcPr>
            <w:tcW w:w="2307" w:type="dxa"/>
          </w:tcPr>
          <w:p w14:paraId="03C763A2" w14:textId="39CB2E88"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9</w:t>
            </w:r>
            <w:r w:rsidR="008A4FE7">
              <w:rPr>
                <w:rFonts w:eastAsia="MS Mincho" w:cs="Times New Roman"/>
                <w:bCs/>
                <w:sz w:val="20"/>
                <w:lang w:val="en-US" w:eastAsia="ja-JP"/>
              </w:rPr>
              <w:t>0</w:t>
            </w:r>
            <w:r w:rsidRPr="00E3313B">
              <w:rPr>
                <w:rFonts w:eastAsia="MS Mincho" w:cs="Times New Roman"/>
                <w:bCs/>
                <w:sz w:val="20"/>
                <w:lang w:val="en-US" w:eastAsia="ja-JP"/>
              </w:rPr>
              <w:t>.0%</w:t>
            </w:r>
          </w:p>
        </w:tc>
      </w:tr>
      <w:tr w:rsidR="002156D4" w:rsidRPr="00E3313B" w14:paraId="65349072" w14:textId="77777777" w:rsidTr="00A902C2">
        <w:trPr>
          <w:jc w:val="center"/>
        </w:trPr>
        <w:tc>
          <w:tcPr>
            <w:tcW w:w="3235" w:type="dxa"/>
            <w:shd w:val="clear" w:color="auto" w:fill="auto"/>
          </w:tcPr>
          <w:p w14:paraId="7F58DD63" w14:textId="77777777" w:rsidR="002156D4" w:rsidRPr="00E3313B" w:rsidRDefault="002156D4" w:rsidP="002A6B0A">
            <w:pPr>
              <w:keepNext/>
              <w:keepLines/>
              <w:autoSpaceDE w:val="0"/>
              <w:autoSpaceDN w:val="0"/>
              <w:adjustRightInd w:val="0"/>
              <w:spacing w:after="0" w:line="240" w:lineRule="auto"/>
              <w:jc w:val="left"/>
              <w:rPr>
                <w:rFonts w:eastAsia="MS Mincho" w:cs="Times New Roman"/>
                <w:sz w:val="20"/>
                <w:lang w:val="en-US" w:eastAsia="ja-JP"/>
              </w:rPr>
            </w:pPr>
            <w:r w:rsidRPr="00E3313B">
              <w:rPr>
                <w:rFonts w:eastAsia="MS Mincho" w:cs="Times New Roman"/>
                <w:b/>
                <w:bCs/>
                <w:sz w:val="20"/>
                <w:lang w:val="en-US" w:eastAsia="ja-JP"/>
              </w:rPr>
              <w:t>Response Duration</w:t>
            </w:r>
            <w:r w:rsidRPr="00E3313B">
              <w:rPr>
                <w:rFonts w:eastAsia="MS Mincho" w:cs="Arial"/>
                <w:b/>
                <w:sz w:val="20"/>
                <w:szCs w:val="20"/>
                <w:vertAlign w:val="superscript"/>
                <w:lang w:val="en-US" w:eastAsia="ja-JP"/>
              </w:rPr>
              <w:t>‡</w:t>
            </w:r>
          </w:p>
        </w:tc>
        <w:tc>
          <w:tcPr>
            <w:tcW w:w="2250" w:type="dxa"/>
          </w:tcPr>
          <w:p w14:paraId="122A37A1"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p>
        </w:tc>
        <w:tc>
          <w:tcPr>
            <w:tcW w:w="2307" w:type="dxa"/>
          </w:tcPr>
          <w:p w14:paraId="78A4CC0A"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p>
        </w:tc>
      </w:tr>
      <w:tr w:rsidR="002156D4" w:rsidRPr="00E3313B" w14:paraId="5133DB80" w14:textId="77777777" w:rsidTr="00A902C2">
        <w:trPr>
          <w:jc w:val="center"/>
        </w:trPr>
        <w:tc>
          <w:tcPr>
            <w:tcW w:w="3235" w:type="dxa"/>
            <w:shd w:val="clear" w:color="auto" w:fill="auto"/>
          </w:tcPr>
          <w:p w14:paraId="2C964626" w14:textId="77777777" w:rsidR="002156D4" w:rsidRPr="00E3313B" w:rsidRDefault="002156D4" w:rsidP="002A6B0A">
            <w:pPr>
              <w:keepNext/>
              <w:keepLines/>
              <w:autoSpaceDE w:val="0"/>
              <w:autoSpaceDN w:val="0"/>
              <w:adjustRightInd w:val="0"/>
              <w:spacing w:after="0" w:line="240" w:lineRule="auto"/>
              <w:ind w:left="161"/>
              <w:jc w:val="left"/>
              <w:rPr>
                <w:rFonts w:eastAsia="MS Mincho" w:cs="Times New Roman"/>
                <w:b/>
                <w:sz w:val="20"/>
                <w:lang w:val="en-US" w:eastAsia="ja-JP"/>
              </w:rPr>
            </w:pPr>
            <w:r w:rsidRPr="00E3313B">
              <w:rPr>
                <w:rFonts w:eastAsia="MS Mincho" w:cs="Times New Roman"/>
                <w:bCs/>
                <w:sz w:val="20"/>
                <w:lang w:val="en-US" w:eastAsia="ja-JP"/>
              </w:rPr>
              <w:t>Median in weeks (range)</w:t>
            </w:r>
          </w:p>
        </w:tc>
        <w:tc>
          <w:tcPr>
            <w:tcW w:w="2250" w:type="dxa"/>
          </w:tcPr>
          <w:p w14:paraId="74871285"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Not reached</w:t>
            </w:r>
          </w:p>
          <w:p w14:paraId="7CDE7FB5" w14:textId="57DEDBAF"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w:t>
            </w:r>
            <w:r w:rsidR="008A4FE7">
              <w:rPr>
                <w:rFonts w:eastAsia="MS Mincho" w:cs="Times New Roman"/>
                <w:bCs/>
                <w:sz w:val="20"/>
                <w:lang w:val="en-US" w:eastAsia="ja-JP"/>
              </w:rPr>
              <w:t>48.0</w:t>
            </w:r>
            <w:r w:rsidRPr="00E3313B">
              <w:rPr>
                <w:rFonts w:eastAsia="MS Mincho" w:cs="Times New Roman"/>
                <w:bCs/>
                <w:sz w:val="20"/>
                <w:lang w:val="en-US" w:eastAsia="ja-JP"/>
              </w:rPr>
              <w:t xml:space="preserve">+, </w:t>
            </w:r>
            <w:r w:rsidR="008A4FE7">
              <w:rPr>
                <w:rFonts w:eastAsia="MS Mincho" w:cs="Times New Roman"/>
                <w:bCs/>
                <w:sz w:val="20"/>
                <w:lang w:val="en-US" w:eastAsia="ja-JP"/>
              </w:rPr>
              <w:t>134.9</w:t>
            </w:r>
            <w:r w:rsidRPr="00E3313B">
              <w:rPr>
                <w:rFonts w:eastAsia="MS Mincho" w:cs="Times New Roman"/>
                <w:bCs/>
                <w:sz w:val="20"/>
                <w:lang w:val="en-US" w:eastAsia="ja-JP"/>
              </w:rPr>
              <w:t>+)</w:t>
            </w:r>
          </w:p>
        </w:tc>
        <w:tc>
          <w:tcPr>
            <w:tcW w:w="2307" w:type="dxa"/>
          </w:tcPr>
          <w:p w14:paraId="7ED64BA5" w14:textId="77777777"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Not reached</w:t>
            </w:r>
          </w:p>
          <w:p w14:paraId="7E20F3BF" w14:textId="2FA9EF9B"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sidRPr="00E3313B">
              <w:rPr>
                <w:rFonts w:eastAsia="MS Mincho" w:cs="Times New Roman"/>
                <w:bCs/>
                <w:sz w:val="20"/>
                <w:lang w:val="en-US" w:eastAsia="ja-JP"/>
              </w:rPr>
              <w:t>(</w:t>
            </w:r>
            <w:r>
              <w:rPr>
                <w:rFonts w:eastAsia="MS Mincho" w:cs="Times New Roman"/>
                <w:bCs/>
                <w:sz w:val="20"/>
                <w:lang w:val="en-US" w:eastAsia="ja-JP"/>
              </w:rPr>
              <w:t>1</w:t>
            </w:r>
            <w:r w:rsidR="008A4FE7">
              <w:rPr>
                <w:rFonts w:eastAsia="MS Mincho" w:cs="Times New Roman"/>
                <w:bCs/>
                <w:sz w:val="20"/>
                <w:lang w:val="en-US" w:eastAsia="ja-JP"/>
              </w:rPr>
              <w:t>6</w:t>
            </w:r>
            <w:r>
              <w:rPr>
                <w:rFonts w:eastAsia="MS Mincho" w:cs="Times New Roman"/>
                <w:bCs/>
                <w:sz w:val="20"/>
                <w:lang w:val="en-US" w:eastAsia="ja-JP"/>
              </w:rPr>
              <w:t>.1</w:t>
            </w:r>
            <w:r w:rsidRPr="00E3313B">
              <w:rPr>
                <w:rFonts w:eastAsia="MS Mincho" w:cs="Times New Roman"/>
                <w:bCs/>
                <w:sz w:val="20"/>
                <w:lang w:val="en-US" w:eastAsia="ja-JP"/>
              </w:rPr>
              <w:t xml:space="preserve">+, </w:t>
            </w:r>
            <w:r w:rsidR="008A4FE7">
              <w:rPr>
                <w:rFonts w:eastAsia="MS Mincho" w:cs="Times New Roman"/>
                <w:bCs/>
                <w:sz w:val="20"/>
                <w:lang w:val="en-US" w:eastAsia="ja-JP"/>
              </w:rPr>
              <w:t>121</w:t>
            </w:r>
            <w:r>
              <w:rPr>
                <w:rFonts w:eastAsia="MS Mincho" w:cs="Times New Roman"/>
                <w:bCs/>
                <w:sz w:val="20"/>
                <w:lang w:val="en-US" w:eastAsia="ja-JP"/>
              </w:rPr>
              <w:t>.9</w:t>
            </w:r>
            <w:r w:rsidRPr="00E3313B">
              <w:rPr>
                <w:rFonts w:eastAsia="MS Mincho" w:cs="Times New Roman"/>
                <w:bCs/>
                <w:sz w:val="20"/>
                <w:lang w:val="en-US" w:eastAsia="ja-JP"/>
              </w:rPr>
              <w:t>+)</w:t>
            </w:r>
          </w:p>
        </w:tc>
      </w:tr>
      <w:tr w:rsidR="002156D4" w:rsidRPr="00E3313B" w14:paraId="64E37C03" w14:textId="77777777" w:rsidTr="00A902C2">
        <w:trPr>
          <w:jc w:val="center"/>
        </w:trPr>
        <w:tc>
          <w:tcPr>
            <w:tcW w:w="3235" w:type="dxa"/>
            <w:tcBorders>
              <w:bottom w:val="single" w:sz="4" w:space="0" w:color="auto"/>
            </w:tcBorders>
            <w:shd w:val="clear" w:color="auto" w:fill="auto"/>
          </w:tcPr>
          <w:p w14:paraId="4D7893BE" w14:textId="7AEDC5BF" w:rsidR="002156D4" w:rsidRPr="00E3313B" w:rsidRDefault="002156D4" w:rsidP="002A6B0A">
            <w:pPr>
              <w:keepNext/>
              <w:keepLines/>
              <w:autoSpaceDE w:val="0"/>
              <w:autoSpaceDN w:val="0"/>
              <w:adjustRightInd w:val="0"/>
              <w:spacing w:after="0" w:line="240" w:lineRule="auto"/>
              <w:ind w:left="161"/>
              <w:jc w:val="left"/>
              <w:rPr>
                <w:rFonts w:eastAsia="MS Mincho" w:cs="Times New Roman"/>
                <w:bCs/>
                <w:sz w:val="20"/>
                <w:lang w:val="en-US" w:eastAsia="ja-JP"/>
              </w:rPr>
            </w:pPr>
            <w:r w:rsidRPr="00E3313B">
              <w:rPr>
                <w:rFonts w:eastAsia="MS Mincho" w:cs="Times New Roman"/>
                <w:bCs/>
                <w:sz w:val="20"/>
                <w:lang w:val="en-US" w:eastAsia="ja-JP"/>
              </w:rPr>
              <w:t>% (n) with duration ≥ </w:t>
            </w:r>
            <w:r>
              <w:rPr>
                <w:rFonts w:eastAsia="MS Mincho" w:cs="Times New Roman"/>
                <w:bCs/>
                <w:sz w:val="20"/>
                <w:lang w:val="en-US" w:eastAsia="ja-JP"/>
              </w:rPr>
              <w:t>1</w:t>
            </w:r>
            <w:r w:rsidR="008A4FE7">
              <w:rPr>
                <w:rFonts w:eastAsia="MS Mincho" w:cs="Times New Roman"/>
                <w:bCs/>
                <w:sz w:val="20"/>
                <w:lang w:val="en-US" w:eastAsia="ja-JP"/>
              </w:rPr>
              <w:t>8</w:t>
            </w:r>
            <w:r w:rsidRPr="00E3313B">
              <w:rPr>
                <w:rFonts w:eastAsia="MS Mincho" w:cs="Times New Roman"/>
                <w:bCs/>
                <w:sz w:val="20"/>
                <w:lang w:val="en-US" w:eastAsia="ja-JP"/>
              </w:rPr>
              <w:t> months</w:t>
            </w:r>
          </w:p>
        </w:tc>
        <w:tc>
          <w:tcPr>
            <w:tcW w:w="2250" w:type="dxa"/>
            <w:tcBorders>
              <w:bottom w:val="single" w:sz="4" w:space="0" w:color="auto"/>
            </w:tcBorders>
          </w:tcPr>
          <w:p w14:paraId="20F3C06F" w14:textId="16691645" w:rsidR="002156D4" w:rsidRPr="00E3313B" w:rsidRDefault="002156D4"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10</w:t>
            </w:r>
            <w:r w:rsidRPr="00E3313B">
              <w:rPr>
                <w:rFonts w:eastAsia="MS Mincho" w:cs="Times New Roman"/>
                <w:bCs/>
                <w:sz w:val="20"/>
                <w:lang w:val="en-US" w:eastAsia="ja-JP"/>
              </w:rPr>
              <w:t>0.0% (</w:t>
            </w:r>
            <w:r w:rsidR="0000342A">
              <w:rPr>
                <w:rFonts w:eastAsia="MS Mincho" w:cs="Times New Roman"/>
                <w:bCs/>
                <w:sz w:val="20"/>
                <w:lang w:val="en-US" w:eastAsia="ja-JP"/>
              </w:rPr>
              <w:t>13</w:t>
            </w:r>
            <w:r w:rsidRPr="00E3313B">
              <w:rPr>
                <w:rFonts w:eastAsia="MS Mincho" w:cs="Times New Roman"/>
                <w:bCs/>
                <w:sz w:val="20"/>
                <w:lang w:val="en-US" w:eastAsia="ja-JP"/>
              </w:rPr>
              <w:t>)</w:t>
            </w:r>
          </w:p>
        </w:tc>
        <w:tc>
          <w:tcPr>
            <w:tcW w:w="2307" w:type="dxa"/>
            <w:tcBorders>
              <w:bottom w:val="single" w:sz="4" w:space="0" w:color="auto"/>
            </w:tcBorders>
          </w:tcPr>
          <w:p w14:paraId="422A1E91" w14:textId="783AB174" w:rsidR="002156D4" w:rsidRPr="00E3313B" w:rsidRDefault="008A4FE7" w:rsidP="002A6B0A">
            <w:pPr>
              <w:keepNext/>
              <w:keepLines/>
              <w:autoSpaceDE w:val="0"/>
              <w:autoSpaceDN w:val="0"/>
              <w:adjustRightInd w:val="0"/>
              <w:spacing w:after="0" w:line="240" w:lineRule="auto"/>
              <w:jc w:val="left"/>
              <w:rPr>
                <w:rFonts w:eastAsia="MS Mincho" w:cs="Times New Roman"/>
                <w:bCs/>
                <w:sz w:val="20"/>
                <w:lang w:val="en-US" w:eastAsia="ja-JP"/>
              </w:rPr>
            </w:pPr>
            <w:r>
              <w:rPr>
                <w:rFonts w:eastAsia="MS Mincho" w:cs="Times New Roman"/>
                <w:bCs/>
                <w:sz w:val="20"/>
                <w:lang w:val="en-US" w:eastAsia="ja-JP"/>
              </w:rPr>
              <w:t>94.4</w:t>
            </w:r>
            <w:r w:rsidR="002156D4" w:rsidRPr="00E3313B">
              <w:rPr>
                <w:rFonts w:eastAsia="MS Mincho" w:cs="Times New Roman"/>
                <w:bCs/>
                <w:sz w:val="20"/>
                <w:lang w:val="en-US" w:eastAsia="ja-JP"/>
              </w:rPr>
              <w:t>% (</w:t>
            </w:r>
            <w:r w:rsidR="002156D4">
              <w:rPr>
                <w:rFonts w:eastAsia="MS Mincho" w:cs="Times New Roman"/>
                <w:bCs/>
                <w:sz w:val="20"/>
                <w:lang w:val="en-US" w:eastAsia="ja-JP"/>
              </w:rPr>
              <w:t>1</w:t>
            </w:r>
            <w:r w:rsidR="0000342A">
              <w:rPr>
                <w:rFonts w:eastAsia="MS Mincho" w:cs="Times New Roman"/>
                <w:bCs/>
                <w:sz w:val="20"/>
                <w:lang w:val="en-US" w:eastAsia="ja-JP"/>
              </w:rPr>
              <w:t>1</w:t>
            </w:r>
            <w:r w:rsidR="002156D4" w:rsidRPr="00E3313B">
              <w:rPr>
                <w:rFonts w:eastAsia="MS Mincho" w:cs="Times New Roman"/>
                <w:bCs/>
                <w:sz w:val="20"/>
                <w:lang w:val="en-US" w:eastAsia="ja-JP"/>
              </w:rPr>
              <w:t>)</w:t>
            </w:r>
          </w:p>
        </w:tc>
      </w:tr>
      <w:tr w:rsidR="00E3313B" w:rsidRPr="00E3313B" w14:paraId="43A28B69" w14:textId="77777777" w:rsidTr="00A902C2">
        <w:trPr>
          <w:jc w:val="center"/>
        </w:trPr>
        <w:tc>
          <w:tcPr>
            <w:tcW w:w="7792" w:type="dxa"/>
            <w:gridSpan w:val="3"/>
            <w:tcBorders>
              <w:left w:val="nil"/>
              <w:bottom w:val="nil"/>
              <w:right w:val="nil"/>
            </w:tcBorders>
            <w:shd w:val="clear" w:color="auto" w:fill="auto"/>
          </w:tcPr>
          <w:p w14:paraId="0619690B" w14:textId="26489731" w:rsidR="00E3313B" w:rsidRPr="00E3313B" w:rsidRDefault="00E3313B" w:rsidP="002A6B0A">
            <w:pPr>
              <w:keepNext/>
              <w:keepLines/>
              <w:autoSpaceDE w:val="0"/>
              <w:autoSpaceDN w:val="0"/>
              <w:adjustRightInd w:val="0"/>
              <w:spacing w:after="0" w:line="240" w:lineRule="auto"/>
              <w:jc w:val="left"/>
              <w:rPr>
                <w:rFonts w:eastAsia="MS Mincho" w:cs="Arial"/>
                <w:bCs/>
                <w:sz w:val="16"/>
                <w:szCs w:val="16"/>
                <w:lang w:val="en-US" w:eastAsia="ja-JP"/>
              </w:rPr>
            </w:pPr>
            <w:r w:rsidRPr="00E3313B">
              <w:rPr>
                <w:rFonts w:eastAsia="MS Mincho" w:cs="Times New Roman"/>
                <w:bCs/>
                <w:sz w:val="16"/>
                <w:szCs w:val="16"/>
                <w:lang w:val="en-US" w:eastAsia="ja-JP"/>
              </w:rPr>
              <w:t>*</w:t>
            </w:r>
            <w:r w:rsidRPr="00E3313B">
              <w:rPr>
                <w:rFonts w:eastAsia="MS Mincho" w:cs="Times New Roman"/>
                <w:bCs/>
                <w:sz w:val="16"/>
                <w:szCs w:val="16"/>
                <w:lang w:val="en-US" w:eastAsia="ja-JP"/>
              </w:rPr>
              <w:tab/>
            </w:r>
            <w:r w:rsidR="00642423" w:rsidRPr="00642423">
              <w:rPr>
                <w:rFonts w:eastAsia="MS Mincho" w:cs="Arial"/>
                <w:bCs/>
                <w:sz w:val="16"/>
                <w:szCs w:val="16"/>
                <w:lang w:val="en-GB" w:eastAsia="ja-JP"/>
              </w:rPr>
              <w:t>Based on the stratified Cox proportional hazard model</w:t>
            </w:r>
          </w:p>
          <w:p w14:paraId="17DF7855" w14:textId="77777777" w:rsidR="00E3313B" w:rsidRPr="00E3313B" w:rsidRDefault="00E3313B" w:rsidP="002A6B0A">
            <w:pPr>
              <w:keepNext/>
              <w:keepLines/>
              <w:autoSpaceDE w:val="0"/>
              <w:autoSpaceDN w:val="0"/>
              <w:adjustRightInd w:val="0"/>
              <w:spacing w:after="0" w:line="240" w:lineRule="auto"/>
              <w:jc w:val="left"/>
              <w:rPr>
                <w:rFonts w:eastAsia="MS Mincho" w:cs="Arial"/>
                <w:bCs/>
                <w:sz w:val="16"/>
                <w:szCs w:val="16"/>
                <w:lang w:val="en-US" w:eastAsia="ja-JP"/>
              </w:rPr>
            </w:pPr>
            <w:r w:rsidRPr="00E3313B">
              <w:rPr>
                <w:rFonts w:eastAsia="MS Mincho" w:cs="Times New Roman"/>
                <w:bCs/>
                <w:sz w:val="16"/>
                <w:szCs w:val="16"/>
                <w:vertAlign w:val="superscript"/>
                <w:lang w:val="en-US" w:eastAsia="ja-JP"/>
              </w:rPr>
              <w:t>†</w:t>
            </w:r>
            <w:r w:rsidRPr="00E3313B">
              <w:rPr>
                <w:rFonts w:eastAsia="MS Mincho" w:cs="Times New Roman"/>
                <w:bCs/>
                <w:sz w:val="16"/>
                <w:szCs w:val="16"/>
                <w:lang w:val="en-US" w:eastAsia="ja-JP"/>
              </w:rPr>
              <w:tab/>
            </w:r>
            <w:bookmarkStart w:id="25" w:name="_Hlk49859974"/>
            <w:r w:rsidRPr="00E3313B">
              <w:rPr>
                <w:rFonts w:eastAsia="MS Mincho" w:cs="Arial"/>
                <w:bCs/>
                <w:sz w:val="16"/>
                <w:szCs w:val="16"/>
                <w:lang w:val="en-US" w:eastAsia="ja-JP"/>
              </w:rPr>
              <w:t>Based on best response of stable disease or better</w:t>
            </w:r>
          </w:p>
          <w:p w14:paraId="7318043B" w14:textId="77777777" w:rsidR="00E3313B" w:rsidRPr="00E3313B" w:rsidRDefault="00E3313B" w:rsidP="002A6B0A">
            <w:pPr>
              <w:keepNext/>
              <w:keepLines/>
              <w:autoSpaceDE w:val="0"/>
              <w:autoSpaceDN w:val="0"/>
              <w:adjustRightInd w:val="0"/>
              <w:spacing w:after="0" w:line="240" w:lineRule="auto"/>
              <w:ind w:left="702" w:hanging="702"/>
              <w:jc w:val="left"/>
              <w:rPr>
                <w:rFonts w:eastAsia="MS Mincho" w:cs="Arial"/>
                <w:bCs/>
                <w:sz w:val="16"/>
                <w:szCs w:val="16"/>
                <w:lang w:val="en-US" w:eastAsia="ja-JP"/>
              </w:rPr>
            </w:pPr>
            <w:r w:rsidRPr="00E3313B">
              <w:rPr>
                <w:rFonts w:eastAsia="MS Mincho" w:cs="Arial"/>
                <w:bCs/>
                <w:sz w:val="16"/>
                <w:szCs w:val="16"/>
                <w:vertAlign w:val="superscript"/>
                <w:lang w:val="en-US" w:eastAsia="ja-JP"/>
              </w:rPr>
              <w:t>‡</w:t>
            </w:r>
            <w:r w:rsidRPr="00E3313B">
              <w:rPr>
                <w:rFonts w:eastAsia="Times New Roman" w:cs="Arial"/>
                <w:bCs/>
                <w:sz w:val="16"/>
                <w:szCs w:val="16"/>
                <w:lang w:val="en-GB"/>
              </w:rPr>
              <w:tab/>
            </w:r>
            <w:r w:rsidRPr="00E3313B">
              <w:rPr>
                <w:rFonts w:eastAsia="MS Mincho" w:cs="Arial"/>
                <w:bCs/>
                <w:sz w:val="16"/>
                <w:szCs w:val="16"/>
                <w:lang w:val="en-US" w:eastAsia="ja-JP"/>
              </w:rPr>
              <w:t>Based on Kaplan-Meier estimates</w:t>
            </w:r>
            <w:bookmarkEnd w:id="25"/>
          </w:p>
          <w:p w14:paraId="7B6743D7" w14:textId="77777777" w:rsidR="00E3313B" w:rsidRPr="00E3313B" w:rsidRDefault="00E3313B" w:rsidP="002A6B0A">
            <w:pPr>
              <w:keepNext/>
              <w:keepLines/>
              <w:autoSpaceDE w:val="0"/>
              <w:autoSpaceDN w:val="0"/>
              <w:adjustRightInd w:val="0"/>
              <w:spacing w:after="0" w:line="240" w:lineRule="auto"/>
              <w:ind w:left="702" w:hanging="702"/>
              <w:jc w:val="left"/>
              <w:rPr>
                <w:rFonts w:eastAsia="MS Mincho" w:cs="Arial"/>
                <w:bCs/>
                <w:sz w:val="16"/>
                <w:szCs w:val="16"/>
                <w:lang w:val="en-US" w:eastAsia="ja-JP"/>
              </w:rPr>
            </w:pPr>
            <w:r w:rsidRPr="00E3313B">
              <w:rPr>
                <w:rFonts w:eastAsia="MS Mincho" w:cs="Arial"/>
                <w:bCs/>
                <w:sz w:val="16"/>
                <w:szCs w:val="16"/>
                <w:lang w:val="en-US" w:eastAsia="ja-JP"/>
              </w:rPr>
              <w:t>+</w:t>
            </w:r>
            <w:r w:rsidRPr="00E3313B">
              <w:rPr>
                <w:rFonts w:eastAsia="Times New Roman" w:cs="Arial"/>
                <w:bCs/>
                <w:sz w:val="16"/>
                <w:szCs w:val="16"/>
                <w:lang w:val="en-GB"/>
              </w:rPr>
              <w:tab/>
            </w:r>
            <w:r w:rsidRPr="00E3313B">
              <w:rPr>
                <w:rFonts w:eastAsia="MS Mincho" w:cs="Arial"/>
                <w:bCs/>
                <w:sz w:val="16"/>
                <w:szCs w:val="16"/>
                <w:lang w:val="en-US" w:eastAsia="ja-JP"/>
              </w:rPr>
              <w:t>Denotes ongoing response</w:t>
            </w:r>
          </w:p>
        </w:tc>
      </w:tr>
      <w:bookmarkEnd w:id="24"/>
    </w:tbl>
    <w:p w14:paraId="1E0BA126" w14:textId="63B4A835" w:rsidR="00E3313B" w:rsidRDefault="00E3313B" w:rsidP="002A6B0A">
      <w:pPr>
        <w:jc w:val="left"/>
        <w:rPr>
          <w:lang w:val="en-US"/>
        </w:rPr>
      </w:pPr>
    </w:p>
    <w:bookmarkEnd w:id="19"/>
    <w:p w14:paraId="24295C5D" w14:textId="510E0A56" w:rsidR="001A3992" w:rsidRDefault="001A3992" w:rsidP="002A6B0A">
      <w:pPr>
        <w:pStyle w:val="Heading2"/>
        <w:keepNext/>
        <w:spacing w:before="0" w:after="120"/>
        <w:jc w:val="left"/>
        <w:rPr>
          <w:rFonts w:ascii="Arial" w:hAnsi="Arial" w:cs="Arial"/>
          <w:lang w:val="en-US"/>
        </w:rPr>
      </w:pPr>
      <w:r w:rsidRPr="00CA00F2">
        <w:rPr>
          <w:rFonts w:ascii="Arial" w:hAnsi="Arial" w:cs="Arial"/>
          <w:lang w:val="en-US"/>
        </w:rPr>
        <w:lastRenderedPageBreak/>
        <w:t xml:space="preserve">Pharmacokinetic properties </w:t>
      </w:r>
    </w:p>
    <w:p w14:paraId="7F17B0D2" w14:textId="7F18D147" w:rsidR="004534BD" w:rsidRPr="004534BD" w:rsidRDefault="004534BD" w:rsidP="002A6B0A">
      <w:pPr>
        <w:jc w:val="left"/>
        <w:rPr>
          <w:rFonts w:cs="Arial"/>
        </w:rPr>
      </w:pPr>
      <w:bookmarkStart w:id="26" w:name="_Hlk47964070"/>
      <w:r w:rsidRPr="00EF3828">
        <w:rPr>
          <w:rFonts w:cs="Arial"/>
        </w:rPr>
        <w:t xml:space="preserve">The </w:t>
      </w:r>
      <w:bookmarkStart w:id="27" w:name="_Hlk56614665"/>
      <w:r w:rsidRPr="00EF3828">
        <w:rPr>
          <w:rFonts w:cs="Arial"/>
        </w:rPr>
        <w:t xml:space="preserve">pharmacokinetics of </w:t>
      </w:r>
      <w:r w:rsidR="00027D80">
        <w:t>WELIREG</w:t>
      </w:r>
      <w:r w:rsidRPr="00EF3828">
        <w:rPr>
          <w:rFonts w:cs="Arial"/>
        </w:rPr>
        <w:t xml:space="preserve"> are similar in healthy </w:t>
      </w:r>
      <w:r w:rsidRPr="00EF3828">
        <w:t xml:space="preserve">subjects </w:t>
      </w:r>
      <w:r w:rsidRPr="00EF3828">
        <w:rPr>
          <w:rFonts w:cs="Arial"/>
        </w:rPr>
        <w:t xml:space="preserve">and patients with </w:t>
      </w:r>
      <w:r>
        <w:t>solid tumo</w:t>
      </w:r>
      <w:r w:rsidR="00D401D1">
        <w:t>u</w:t>
      </w:r>
      <w:r>
        <w:t>rs including advanced RCC</w:t>
      </w:r>
      <w:r w:rsidRPr="00EF3828">
        <w:rPr>
          <w:rFonts w:cs="Arial"/>
        </w:rPr>
        <w:t xml:space="preserve">. </w:t>
      </w:r>
      <w:r>
        <w:t>B</w:t>
      </w:r>
      <w:r w:rsidRPr="00D76DA1">
        <w:t xml:space="preserve">ased on </w:t>
      </w:r>
      <w:r>
        <w:t xml:space="preserve">a </w:t>
      </w:r>
      <w:r w:rsidRPr="00D76DA1">
        <w:t>pop</w:t>
      </w:r>
      <w:r>
        <w:t>ulation-</w:t>
      </w:r>
      <w:r w:rsidRPr="00D76DA1">
        <w:t>PK model</w:t>
      </w:r>
      <w:r>
        <w:t xml:space="preserve"> analysis,</w:t>
      </w:r>
      <w:r w:rsidRPr="00D76DA1">
        <w:t xml:space="preserve"> </w:t>
      </w:r>
      <w:r>
        <w:t xml:space="preserve">the steady-state geometric mean (GCV%) for </w:t>
      </w:r>
      <w:proofErr w:type="spellStart"/>
      <w:r>
        <w:t>C</w:t>
      </w:r>
      <w:r w:rsidRPr="005B5FF1">
        <w:rPr>
          <w:vertAlign w:val="subscript"/>
        </w:rPr>
        <w:t>max</w:t>
      </w:r>
      <w:proofErr w:type="spellEnd"/>
      <w:r w:rsidRPr="009D51C5">
        <w:t xml:space="preserve"> </w:t>
      </w:r>
      <w:r>
        <w:t>and</w:t>
      </w:r>
      <w:r w:rsidRPr="009D51C5">
        <w:t xml:space="preserve"> AUC</w:t>
      </w:r>
      <w:r w:rsidRPr="005B5FF1">
        <w:rPr>
          <w:vertAlign w:val="subscript"/>
        </w:rPr>
        <w:t>0-24hr</w:t>
      </w:r>
      <w:r w:rsidRPr="005B5FF1">
        <w:t xml:space="preserve"> </w:t>
      </w:r>
      <w:r>
        <w:t>for 120</w:t>
      </w:r>
      <w:r>
        <w:rPr>
          <w:rFonts w:cs="Arial"/>
        </w:rPr>
        <w:t> </w:t>
      </w:r>
      <w:r>
        <w:t xml:space="preserve">mg once daily in </w:t>
      </w:r>
      <w:r w:rsidRPr="008B0006">
        <w:rPr>
          <w:rFonts w:cs="Arial"/>
        </w:rPr>
        <w:t>patients with VHL disease-associated RCC</w:t>
      </w:r>
      <w:r w:rsidRPr="00D76DA1">
        <w:t xml:space="preserve"> </w:t>
      </w:r>
      <w:r>
        <w:t>are predicted to be</w:t>
      </w:r>
      <w:r w:rsidRPr="009D51C5">
        <w:t xml:space="preserve"> </w:t>
      </w:r>
      <w:r>
        <w:t>1.3 </w:t>
      </w:r>
      <w:proofErr w:type="spellStart"/>
      <w:r w:rsidRPr="009D51C5">
        <w:t>μg</w:t>
      </w:r>
      <w:proofErr w:type="spellEnd"/>
      <w:r w:rsidRPr="009D51C5">
        <w:t>/mL (</w:t>
      </w:r>
      <w:r>
        <w:t>42.2%</w:t>
      </w:r>
      <w:r w:rsidRPr="009D51C5">
        <w:t>)</w:t>
      </w:r>
      <w:r>
        <w:t xml:space="preserve"> and 16.7 </w:t>
      </w:r>
      <w:r w:rsidRPr="009D51C5">
        <w:t>µ</w:t>
      </w:r>
      <w:proofErr w:type="spellStart"/>
      <w:r w:rsidRPr="009D51C5">
        <w:t>g</w:t>
      </w:r>
      <w:r w:rsidRPr="00895365">
        <w:t>•</w:t>
      </w:r>
      <w:r w:rsidRPr="00DA2202">
        <w:t>hr</w:t>
      </w:r>
      <w:proofErr w:type="spellEnd"/>
      <w:r w:rsidRPr="00DA2202">
        <w:t>/mL</w:t>
      </w:r>
      <w:r w:rsidRPr="009D51C5">
        <w:t xml:space="preserve"> (</w:t>
      </w:r>
      <w:r>
        <w:t>52.3%</w:t>
      </w:r>
      <w:r w:rsidRPr="009D51C5">
        <w:t>)</w:t>
      </w:r>
      <w:r>
        <w:t>, respectively</w:t>
      </w:r>
      <w:r w:rsidRPr="00EF3828">
        <w:rPr>
          <w:rFonts w:cs="Arial"/>
        </w:rPr>
        <w:t>. Steady</w:t>
      </w:r>
      <w:r>
        <w:rPr>
          <w:rFonts w:cs="Arial"/>
        </w:rPr>
        <w:t xml:space="preserve"> </w:t>
      </w:r>
      <w:r w:rsidRPr="00EF3828">
        <w:rPr>
          <w:rFonts w:cs="Arial"/>
        </w:rPr>
        <w:t xml:space="preserve">state is reached after </w:t>
      </w:r>
      <w:r>
        <w:rPr>
          <w:rFonts w:cs="Arial"/>
        </w:rPr>
        <w:t>approximately 3</w:t>
      </w:r>
      <w:r w:rsidRPr="00EF3828">
        <w:rPr>
          <w:rFonts w:cs="Arial"/>
        </w:rPr>
        <w:t> days of once</w:t>
      </w:r>
      <w:r>
        <w:rPr>
          <w:rFonts w:cs="Arial"/>
        </w:rPr>
        <w:t xml:space="preserve"> </w:t>
      </w:r>
      <w:r w:rsidRPr="00EF3828">
        <w:rPr>
          <w:rFonts w:cs="Arial"/>
        </w:rPr>
        <w:t xml:space="preserve">daily dosing with </w:t>
      </w:r>
      <w:r w:rsidR="00027D80">
        <w:t>WELIREG</w:t>
      </w:r>
      <w:r w:rsidRPr="00EF3828">
        <w:rPr>
          <w:rFonts w:cs="Arial"/>
        </w:rPr>
        <w:t>.</w:t>
      </w:r>
      <w:bookmarkEnd w:id="27"/>
      <w:r>
        <w:rPr>
          <w:rFonts w:cs="Arial"/>
        </w:rPr>
        <w:t xml:space="preserve"> </w:t>
      </w:r>
      <w:r w:rsidRPr="00EF3828">
        <w:rPr>
          <w:rFonts w:cs="Arial"/>
        </w:rPr>
        <w:t xml:space="preserve">Plasma </w:t>
      </w:r>
      <w:proofErr w:type="spellStart"/>
      <w:r w:rsidRPr="00EF3828">
        <w:rPr>
          <w:rFonts w:cs="Arial"/>
        </w:rPr>
        <w:t>C</w:t>
      </w:r>
      <w:r w:rsidRPr="00EF3828">
        <w:rPr>
          <w:rFonts w:cs="Arial"/>
          <w:vertAlign w:val="subscript"/>
        </w:rPr>
        <w:t>max</w:t>
      </w:r>
      <w:proofErr w:type="spellEnd"/>
      <w:r w:rsidRPr="00EF3828">
        <w:rPr>
          <w:rFonts w:cs="Arial"/>
        </w:rPr>
        <w:t xml:space="preserve"> and AUC of</w:t>
      </w:r>
      <w:r>
        <w:rPr>
          <w:rFonts w:cs="Arial"/>
        </w:rPr>
        <w:t xml:space="preserve"> </w:t>
      </w:r>
      <w:r w:rsidR="00027D80">
        <w:t>WELIREG</w:t>
      </w:r>
      <w:r w:rsidRPr="00EF3828">
        <w:rPr>
          <w:rFonts w:cs="Arial"/>
        </w:rPr>
        <w:t xml:space="preserve"> increase</w:t>
      </w:r>
      <w:r>
        <w:rPr>
          <w:rFonts w:cs="Arial"/>
        </w:rPr>
        <w:t>d</w:t>
      </w:r>
      <w:r w:rsidRPr="00EF3828">
        <w:rPr>
          <w:rFonts w:cs="Arial"/>
        </w:rPr>
        <w:t xml:space="preserve"> in a dose-proportional manner following </w:t>
      </w:r>
      <w:r w:rsidRPr="00743C0A">
        <w:rPr>
          <w:rFonts w:cs="Arial"/>
        </w:rPr>
        <w:t xml:space="preserve">doses </w:t>
      </w:r>
      <w:r>
        <w:rPr>
          <w:rFonts w:cs="Arial"/>
        </w:rPr>
        <w:t>up to the recommended dose</w:t>
      </w:r>
      <w:r w:rsidRPr="00EF3828">
        <w:rPr>
          <w:rFonts w:cs="Arial"/>
        </w:rPr>
        <w:t>.</w:t>
      </w:r>
      <w:bookmarkEnd w:id="26"/>
    </w:p>
    <w:p w14:paraId="61C91C99" w14:textId="6452B5A6" w:rsidR="001A3992" w:rsidRDefault="001A3992" w:rsidP="002A6B0A">
      <w:pPr>
        <w:pStyle w:val="Heading3"/>
        <w:jc w:val="left"/>
      </w:pPr>
      <w:r w:rsidRPr="00CA00F2">
        <w:t>Absorption</w:t>
      </w:r>
    </w:p>
    <w:p w14:paraId="67F32566" w14:textId="765833DD" w:rsidR="004534BD" w:rsidRDefault="004534BD" w:rsidP="002A6B0A">
      <w:pPr>
        <w:jc w:val="left"/>
        <w:rPr>
          <w:lang w:val="en-US" w:eastAsia="ja-JP"/>
        </w:rPr>
      </w:pPr>
      <w:bookmarkStart w:id="28" w:name="_Hlk47964086"/>
      <w:r w:rsidRPr="004534BD">
        <w:rPr>
          <w:lang w:val="en-US" w:eastAsia="ja-JP"/>
        </w:rPr>
        <w:t xml:space="preserve">Following </w:t>
      </w:r>
      <w:r w:rsidR="00AC5CD1">
        <w:rPr>
          <w:lang w:val="en-US" w:eastAsia="ja-JP"/>
        </w:rPr>
        <w:t xml:space="preserve">single-dose </w:t>
      </w:r>
      <w:r w:rsidRPr="004534BD">
        <w:rPr>
          <w:lang w:val="en-US" w:eastAsia="ja-JP"/>
        </w:rPr>
        <w:t xml:space="preserve">oral administration of 120 mg of </w:t>
      </w:r>
      <w:r w:rsidR="00027D80">
        <w:rPr>
          <w:rFonts w:cs="Times New Roman"/>
          <w:lang w:val="en-US" w:eastAsia="ja-JP"/>
        </w:rPr>
        <w:t>WELIREG</w:t>
      </w:r>
      <w:r w:rsidRPr="004534BD">
        <w:rPr>
          <w:lang w:val="en-US" w:eastAsia="ja-JP"/>
        </w:rPr>
        <w:t>, peak plasma concentrations (median T</w:t>
      </w:r>
      <w:r w:rsidRPr="004534BD">
        <w:rPr>
          <w:vertAlign w:val="subscript"/>
          <w:lang w:val="en-US" w:eastAsia="ja-JP"/>
        </w:rPr>
        <w:t>max</w:t>
      </w:r>
      <w:r w:rsidRPr="004534BD">
        <w:rPr>
          <w:lang w:val="en-US" w:eastAsia="ja-JP"/>
        </w:rPr>
        <w:t xml:space="preserve">) of </w:t>
      </w:r>
      <w:r w:rsidR="00027D80">
        <w:rPr>
          <w:rFonts w:cs="Times New Roman"/>
          <w:lang w:val="en-US" w:eastAsia="ja-JP"/>
        </w:rPr>
        <w:t>WELIREG</w:t>
      </w:r>
      <w:r w:rsidRPr="004534BD">
        <w:rPr>
          <w:lang w:val="en-US" w:eastAsia="ja-JP"/>
        </w:rPr>
        <w:t xml:space="preserve"> occurred at 1 to 2 hours </w:t>
      </w:r>
      <w:proofErr w:type="spellStart"/>
      <w:r w:rsidRPr="004534BD">
        <w:rPr>
          <w:lang w:val="en-US" w:eastAsia="ja-JP"/>
        </w:rPr>
        <w:t>postdose</w:t>
      </w:r>
      <w:proofErr w:type="spellEnd"/>
      <w:r w:rsidRPr="004534BD">
        <w:rPr>
          <w:lang w:val="en-US" w:eastAsia="ja-JP"/>
        </w:rPr>
        <w:t>.</w:t>
      </w:r>
      <w:bookmarkEnd w:id="28"/>
    </w:p>
    <w:p w14:paraId="21F2492F" w14:textId="77777777" w:rsidR="004534BD" w:rsidRPr="004534BD" w:rsidRDefault="004534BD" w:rsidP="002A6B0A">
      <w:pPr>
        <w:jc w:val="left"/>
        <w:rPr>
          <w:i/>
          <w:iCs/>
        </w:rPr>
      </w:pPr>
      <w:bookmarkStart w:id="29" w:name="_Hlk47964354"/>
      <w:r w:rsidRPr="004534BD">
        <w:rPr>
          <w:i/>
          <w:iCs/>
        </w:rPr>
        <w:t>Effect of Food</w:t>
      </w:r>
    </w:p>
    <w:p w14:paraId="248EE8A8" w14:textId="703FF1F2" w:rsidR="004534BD" w:rsidRPr="004534BD" w:rsidRDefault="004534BD" w:rsidP="002A6B0A">
      <w:pPr>
        <w:jc w:val="left"/>
      </w:pPr>
      <w:r w:rsidRPr="00F2294E">
        <w:t>A high</w:t>
      </w:r>
      <w:r>
        <w:t>-</w:t>
      </w:r>
      <w:r w:rsidRPr="00F2294E">
        <w:t>fat</w:t>
      </w:r>
      <w:r>
        <w:t>,</w:t>
      </w:r>
      <w:r w:rsidRPr="00F2294E">
        <w:t xml:space="preserve"> high</w:t>
      </w:r>
      <w:r>
        <w:t>-</w:t>
      </w:r>
      <w:r w:rsidRPr="00F2294E">
        <w:t xml:space="preserve">calorie meal delayed peak </w:t>
      </w:r>
      <w:r w:rsidR="00027D80">
        <w:t>WELIREG</w:t>
      </w:r>
      <w:r w:rsidRPr="00F2294E">
        <w:t xml:space="preserve"> concentration by approximately 2</w:t>
      </w:r>
      <w:r>
        <w:t> </w:t>
      </w:r>
      <w:r w:rsidRPr="00F2294E">
        <w:t xml:space="preserve">hours but, had no effect on exposure (AUC). There was a modest decrease of </w:t>
      </w:r>
      <w:proofErr w:type="spellStart"/>
      <w:r w:rsidRPr="00F2294E">
        <w:t>C</w:t>
      </w:r>
      <w:r w:rsidRPr="00FA1977">
        <w:rPr>
          <w:vertAlign w:val="subscript"/>
        </w:rPr>
        <w:t>max</w:t>
      </w:r>
      <w:proofErr w:type="spellEnd"/>
      <w:r w:rsidRPr="00F2294E">
        <w:t xml:space="preserve"> by 35% following consumption of a high</w:t>
      </w:r>
      <w:r>
        <w:t>-</w:t>
      </w:r>
      <w:r w:rsidRPr="00F2294E">
        <w:t>fat</w:t>
      </w:r>
      <w:r>
        <w:t xml:space="preserve">, </w:t>
      </w:r>
      <w:r w:rsidRPr="00F2294E">
        <w:t>high</w:t>
      </w:r>
      <w:r>
        <w:t>-</w:t>
      </w:r>
      <w:r w:rsidRPr="00F2294E">
        <w:t>calorie meal, but this was not clinically meaningful.</w:t>
      </w:r>
      <w:r>
        <w:t xml:space="preserve"> Therefore, </w:t>
      </w:r>
      <w:r w:rsidR="00027D80">
        <w:t>WELIREG</w:t>
      </w:r>
      <w:r>
        <w:t xml:space="preserve"> can be taken without regard to food.</w:t>
      </w:r>
      <w:bookmarkEnd w:id="29"/>
    </w:p>
    <w:p w14:paraId="7B5AF7FD" w14:textId="4C4A1A9A" w:rsidR="001A3992" w:rsidRDefault="001A3992" w:rsidP="002A6B0A">
      <w:pPr>
        <w:pStyle w:val="Heading3"/>
        <w:jc w:val="left"/>
      </w:pPr>
      <w:r w:rsidRPr="00CA00F2">
        <w:t>Distribution</w:t>
      </w:r>
      <w:r w:rsidR="00677840" w:rsidRPr="00CA00F2">
        <w:t xml:space="preserve"> </w:t>
      </w:r>
    </w:p>
    <w:p w14:paraId="51EB56DE" w14:textId="3C74ECB4" w:rsidR="004534BD" w:rsidRPr="004534BD" w:rsidRDefault="004534BD" w:rsidP="002A6B0A">
      <w:pPr>
        <w:jc w:val="left"/>
      </w:pPr>
      <w:bookmarkStart w:id="30" w:name="_Hlk47964372"/>
      <w:bookmarkStart w:id="31" w:name="_Hlk103037659"/>
      <w:r w:rsidRPr="00EF3828">
        <w:t xml:space="preserve">The mean steady-state </w:t>
      </w:r>
      <w:r>
        <w:t xml:space="preserve">apparent </w:t>
      </w:r>
      <w:r w:rsidRPr="00EF3828">
        <w:t xml:space="preserve">volume of distribution of </w:t>
      </w:r>
      <w:r w:rsidR="00027D80">
        <w:t>WELIREG</w:t>
      </w:r>
      <w:r w:rsidRPr="00EF3828">
        <w:t xml:space="preserve"> following an </w:t>
      </w:r>
      <w:r>
        <w:t>oral</w:t>
      </w:r>
      <w:r w:rsidRPr="00EF3828">
        <w:t xml:space="preserve"> dose is</w:t>
      </w:r>
      <w:r>
        <w:t xml:space="preserve"> 130</w:t>
      </w:r>
      <w:r w:rsidRPr="00EF3828">
        <w:t xml:space="preserve"> L. Plasma protein binding of </w:t>
      </w:r>
      <w:proofErr w:type="spellStart"/>
      <w:r w:rsidR="005C17EA">
        <w:t>belzutifan</w:t>
      </w:r>
      <w:proofErr w:type="spellEnd"/>
      <w:r w:rsidRPr="00EF3828">
        <w:t xml:space="preserve"> is </w:t>
      </w:r>
      <w:r>
        <w:t>45</w:t>
      </w:r>
      <w:r w:rsidRPr="00EF3828">
        <w:t>%</w:t>
      </w:r>
      <w:r>
        <w:t xml:space="preserve">. </w:t>
      </w:r>
      <w:r w:rsidRPr="00EF3828">
        <w:t xml:space="preserve">The blood-to-plasma concentration ratio of </w:t>
      </w:r>
      <w:proofErr w:type="spellStart"/>
      <w:r w:rsidR="005C17EA">
        <w:t>belzutifan</w:t>
      </w:r>
      <w:proofErr w:type="spellEnd"/>
      <w:r w:rsidRPr="00EF3828">
        <w:t xml:space="preserve"> is </w:t>
      </w:r>
      <w:r>
        <w:t>0.88</w:t>
      </w:r>
      <w:r w:rsidRPr="00EF3828">
        <w:t>.</w:t>
      </w:r>
      <w:bookmarkEnd w:id="30"/>
    </w:p>
    <w:p w14:paraId="6BE8A004" w14:textId="3F7F2FC6" w:rsidR="001A3992" w:rsidRDefault="001A3992" w:rsidP="002A6B0A">
      <w:pPr>
        <w:pStyle w:val="Heading3"/>
        <w:jc w:val="left"/>
      </w:pPr>
      <w:r w:rsidRPr="00CA00F2">
        <w:t>Metabolism</w:t>
      </w:r>
    </w:p>
    <w:p w14:paraId="7922653E" w14:textId="32A65084" w:rsidR="004534BD" w:rsidRPr="004534BD" w:rsidRDefault="004534BD" w:rsidP="002A6B0A">
      <w:pPr>
        <w:jc w:val="left"/>
      </w:pPr>
      <w:r w:rsidRPr="00EF3828">
        <w:t>The major metabolic pathway</w:t>
      </w:r>
      <w:r>
        <w:t>s</w:t>
      </w:r>
      <w:r w:rsidRPr="00EF3828">
        <w:t xml:space="preserve"> for </w:t>
      </w:r>
      <w:proofErr w:type="spellStart"/>
      <w:r w:rsidR="005C17EA">
        <w:t>belzutifan</w:t>
      </w:r>
      <w:bookmarkEnd w:id="31"/>
      <w:proofErr w:type="spellEnd"/>
      <w:r w:rsidRPr="00EF3828">
        <w:t xml:space="preserve"> </w:t>
      </w:r>
      <w:r>
        <w:t>are</w:t>
      </w:r>
      <w:r w:rsidRPr="00EF3828">
        <w:t xml:space="preserve"> UGT2B</w:t>
      </w:r>
      <w:r>
        <w:t>1</w:t>
      </w:r>
      <w:r w:rsidRPr="00EF3828">
        <w:t>7-mediated glucuronidation</w:t>
      </w:r>
      <w:r>
        <w:t xml:space="preserve"> and CYP2C19-mediated oxidation</w:t>
      </w:r>
      <w:r w:rsidRPr="00EF3828">
        <w:t>.</w:t>
      </w:r>
      <w:r>
        <w:t xml:space="preserve"> Both UGT2B17 and CYP2C19 display genetic polymorphisms </w:t>
      </w:r>
      <w:r w:rsidR="00B95598">
        <w:t xml:space="preserve">(See </w:t>
      </w:r>
      <w:r w:rsidR="00B95598" w:rsidRPr="00107009">
        <w:rPr>
          <w:b/>
          <w:color w:val="000000"/>
        </w:rPr>
        <w:t xml:space="preserve">Section </w:t>
      </w:r>
      <w:r w:rsidR="00B95598">
        <w:rPr>
          <w:b/>
          <w:color w:val="000000"/>
        </w:rPr>
        <w:t>5.1</w:t>
      </w:r>
      <w:r w:rsidR="00B95598" w:rsidRPr="00107009">
        <w:rPr>
          <w:b/>
          <w:color w:val="000000"/>
        </w:rPr>
        <w:t xml:space="preserve"> </w:t>
      </w:r>
      <w:r w:rsidR="00B95598">
        <w:rPr>
          <w:b/>
          <w:color w:val="000000"/>
        </w:rPr>
        <w:t>Pharmacodynamic properties</w:t>
      </w:r>
      <w:r w:rsidR="00B95598" w:rsidRPr="00403CDE">
        <w:rPr>
          <w:bCs/>
          <w:color w:val="000000"/>
        </w:rPr>
        <w:t>)</w:t>
      </w:r>
      <w:r w:rsidR="00B95598">
        <w:t>.</w:t>
      </w:r>
    </w:p>
    <w:p w14:paraId="564FA413" w14:textId="30406C64" w:rsidR="001A3992" w:rsidRDefault="001A3992" w:rsidP="002A6B0A">
      <w:pPr>
        <w:pStyle w:val="Heading3"/>
        <w:jc w:val="left"/>
      </w:pPr>
      <w:r w:rsidRPr="00CA00F2">
        <w:t>Excretion</w:t>
      </w:r>
    </w:p>
    <w:p w14:paraId="1DF79A1D" w14:textId="15DC62E7" w:rsidR="00774226" w:rsidRDefault="004534BD" w:rsidP="002A6B0A">
      <w:pPr>
        <w:jc w:val="left"/>
      </w:pPr>
      <w:r>
        <w:t>T</w:t>
      </w:r>
      <w:r w:rsidRPr="002314A6">
        <w:t xml:space="preserve">he </w:t>
      </w:r>
      <w:r>
        <w:t xml:space="preserve">mean apparent </w:t>
      </w:r>
      <w:r w:rsidRPr="002314A6">
        <w:t>clearance</w:t>
      </w:r>
      <w:r>
        <w:t xml:space="preserve"> of </w:t>
      </w:r>
      <w:r w:rsidR="00027D80">
        <w:t>WELIREG</w:t>
      </w:r>
      <w:r w:rsidRPr="002314A6">
        <w:t xml:space="preserve"> is 7</w:t>
      </w:r>
      <w:r>
        <w:t>.3 </w:t>
      </w:r>
      <w:r w:rsidRPr="002314A6">
        <w:t>L/h</w:t>
      </w:r>
      <w:r>
        <w:t>r and</w:t>
      </w:r>
      <w:r w:rsidRPr="002314A6">
        <w:t xml:space="preserve"> </w:t>
      </w:r>
      <w:r>
        <w:t>t</w:t>
      </w:r>
      <w:r w:rsidRPr="002314A6">
        <w:t>he</w:t>
      </w:r>
      <w:r>
        <w:t xml:space="preserve"> mean elimination</w:t>
      </w:r>
      <w:r w:rsidRPr="002314A6">
        <w:t xml:space="preserve"> half-life is 1</w:t>
      </w:r>
      <w:r>
        <w:t>4 </w:t>
      </w:r>
      <w:r w:rsidRPr="002314A6">
        <w:t>hr</w:t>
      </w:r>
      <w:r>
        <w:t>s.</w:t>
      </w:r>
      <w:r w:rsidRPr="002314A6">
        <w:t xml:space="preserve"> </w:t>
      </w:r>
    </w:p>
    <w:p w14:paraId="24B80164" w14:textId="3197E5F1" w:rsidR="007139B2" w:rsidRPr="00977A69" w:rsidRDefault="007139B2" w:rsidP="002A6B0A">
      <w:pPr>
        <w:pStyle w:val="Heading3"/>
        <w:keepNext/>
        <w:keepLines/>
        <w:jc w:val="left"/>
      </w:pPr>
      <w:r w:rsidRPr="000866D1">
        <w:t>Special Populations</w:t>
      </w:r>
    </w:p>
    <w:p w14:paraId="421A1AE4" w14:textId="77777777" w:rsidR="007139B2" w:rsidRPr="00A84DBF" w:rsidRDefault="007139B2" w:rsidP="002A6B0A">
      <w:pPr>
        <w:keepNext/>
        <w:keepLines/>
        <w:autoSpaceDE w:val="0"/>
        <w:autoSpaceDN w:val="0"/>
        <w:adjustRightInd w:val="0"/>
        <w:jc w:val="left"/>
        <w:rPr>
          <w:rFonts w:cs="Arial"/>
          <w:i/>
          <w:u w:val="single"/>
        </w:rPr>
      </w:pPr>
      <w:r w:rsidRPr="000866D1">
        <w:rPr>
          <w:rFonts w:cs="Arial"/>
          <w:i/>
          <w:u w:val="single"/>
        </w:rPr>
        <w:t>Renal I</w:t>
      </w:r>
      <w:r>
        <w:rPr>
          <w:rFonts w:cs="Arial"/>
          <w:i/>
          <w:u w:val="single"/>
        </w:rPr>
        <w:t>mpairment</w:t>
      </w:r>
    </w:p>
    <w:p w14:paraId="07247411" w14:textId="7CF1DC27" w:rsidR="007139B2" w:rsidRPr="00F129BF" w:rsidRDefault="007139B2" w:rsidP="002A6B0A">
      <w:pPr>
        <w:keepNext/>
        <w:keepLines/>
        <w:autoSpaceDE w:val="0"/>
        <w:autoSpaceDN w:val="0"/>
        <w:adjustRightInd w:val="0"/>
        <w:jc w:val="left"/>
        <w:rPr>
          <w:rFonts w:cs="Arial"/>
        </w:rPr>
      </w:pPr>
      <w:r w:rsidRPr="00FB20FA">
        <w:rPr>
          <w:rFonts w:cs="Arial"/>
        </w:rPr>
        <w:t xml:space="preserve">No relevant increase in exposure </w:t>
      </w:r>
      <w:r>
        <w:rPr>
          <w:rFonts w:cs="Arial"/>
        </w:rPr>
        <w:t>(</w:t>
      </w:r>
      <w:r w:rsidRPr="00FB20FA">
        <w:rPr>
          <w:rFonts w:cs="Arial"/>
        </w:rPr>
        <w:t xml:space="preserve">AUC) was observed for subjects with mild </w:t>
      </w:r>
      <w:r>
        <w:rPr>
          <w:rFonts w:cs="Arial"/>
        </w:rPr>
        <w:t>or moderate renal</w:t>
      </w:r>
      <w:r w:rsidRPr="00FB20FA">
        <w:rPr>
          <w:rFonts w:cs="Arial"/>
        </w:rPr>
        <w:t xml:space="preserve"> impairment. </w:t>
      </w:r>
      <w:r w:rsidRPr="004A6CC1">
        <w:rPr>
          <w:rFonts w:cs="Arial"/>
        </w:rPr>
        <w:t>Renal impairment (as evaluated by eGFR) was not identified as a significant covariate in the population pharmacokinetic analysis.</w:t>
      </w:r>
      <w:r w:rsidRPr="00834FE6">
        <w:rPr>
          <w:rFonts w:cs="Arial"/>
        </w:rPr>
        <w:t xml:space="preserve"> </w:t>
      </w:r>
      <w:r w:rsidRPr="00432A6C">
        <w:rPr>
          <w:iCs/>
          <w:noProof/>
        </w:rPr>
        <w:t xml:space="preserve">The pharmacokinetics of </w:t>
      </w:r>
      <w:r w:rsidR="00027D80">
        <w:rPr>
          <w:iCs/>
          <w:noProof/>
        </w:rPr>
        <w:t>WELIREG</w:t>
      </w:r>
      <w:r>
        <w:rPr>
          <w:iCs/>
          <w:noProof/>
        </w:rPr>
        <w:t xml:space="preserve"> </w:t>
      </w:r>
      <w:r w:rsidRPr="00432A6C">
        <w:rPr>
          <w:iCs/>
          <w:noProof/>
        </w:rPr>
        <w:t>ha</w:t>
      </w:r>
      <w:r>
        <w:rPr>
          <w:iCs/>
          <w:noProof/>
        </w:rPr>
        <w:t>ve</w:t>
      </w:r>
      <w:r w:rsidRPr="00432A6C">
        <w:rPr>
          <w:iCs/>
          <w:noProof/>
        </w:rPr>
        <w:t xml:space="preserve"> not been studied in </w:t>
      </w:r>
      <w:r w:rsidRPr="00FB20FA">
        <w:rPr>
          <w:rFonts w:cs="Arial"/>
        </w:rPr>
        <w:t xml:space="preserve">patients with severe </w:t>
      </w:r>
      <w:r>
        <w:rPr>
          <w:rFonts w:cs="Arial"/>
        </w:rPr>
        <w:t>renal</w:t>
      </w:r>
      <w:r w:rsidRPr="00FB20FA">
        <w:rPr>
          <w:rFonts w:cs="Arial"/>
        </w:rPr>
        <w:t xml:space="preserve"> impairment</w:t>
      </w:r>
      <w:r w:rsidRPr="00A40130">
        <w:rPr>
          <w:i/>
          <w:noProof/>
        </w:rPr>
        <w:t xml:space="preserve"> </w:t>
      </w:r>
      <w:r w:rsidR="00B95598">
        <w:t xml:space="preserve">(See </w:t>
      </w:r>
      <w:r w:rsidR="00B95598" w:rsidRPr="00107009">
        <w:rPr>
          <w:b/>
          <w:color w:val="000000"/>
        </w:rPr>
        <w:t>Section 4.2 Dose and Method of Administration</w:t>
      </w:r>
      <w:r w:rsidR="00B95598">
        <w:t xml:space="preserve"> </w:t>
      </w:r>
      <w:r w:rsidRPr="00B95598">
        <w:rPr>
          <w:iCs/>
          <w:noProof/>
        </w:rPr>
        <w:t xml:space="preserve">and </w:t>
      </w:r>
      <w:r w:rsidR="00B95598" w:rsidRPr="00107009">
        <w:rPr>
          <w:b/>
        </w:rPr>
        <w:t xml:space="preserve">Section 4.4 </w:t>
      </w:r>
      <w:r w:rsidR="00B95598" w:rsidRPr="00107009">
        <w:rPr>
          <w:b/>
          <w:color w:val="000000"/>
        </w:rPr>
        <w:t>Special Warnings and Precautions for Use</w:t>
      </w:r>
      <w:r w:rsidR="00B95598" w:rsidRPr="00B95598">
        <w:rPr>
          <w:bCs/>
          <w:color w:val="000000"/>
        </w:rPr>
        <w:t>)</w:t>
      </w:r>
      <w:r w:rsidRPr="00F129BF">
        <w:rPr>
          <w:rFonts w:cs="Arial"/>
        </w:rPr>
        <w:t>.</w:t>
      </w:r>
      <w:r w:rsidRPr="00C16D50">
        <w:rPr>
          <w:rFonts w:cs="Arial"/>
        </w:rPr>
        <w:t xml:space="preserve"> </w:t>
      </w:r>
    </w:p>
    <w:p w14:paraId="1C8551D2" w14:textId="77777777" w:rsidR="007139B2" w:rsidRPr="000866D1" w:rsidRDefault="007139B2" w:rsidP="002A6B0A">
      <w:pPr>
        <w:autoSpaceDE w:val="0"/>
        <w:autoSpaceDN w:val="0"/>
        <w:adjustRightInd w:val="0"/>
        <w:jc w:val="left"/>
        <w:rPr>
          <w:rFonts w:cs="Arial"/>
          <w:i/>
          <w:u w:val="single"/>
        </w:rPr>
      </w:pPr>
      <w:r w:rsidRPr="000866D1">
        <w:rPr>
          <w:rFonts w:cs="Arial"/>
          <w:i/>
          <w:u w:val="single"/>
        </w:rPr>
        <w:t>Hepatic I</w:t>
      </w:r>
      <w:r>
        <w:rPr>
          <w:rFonts w:cs="Arial"/>
          <w:i/>
          <w:u w:val="single"/>
        </w:rPr>
        <w:t>mpairment</w:t>
      </w:r>
    </w:p>
    <w:p w14:paraId="4C44A404" w14:textId="4E498AA2" w:rsidR="007139B2" w:rsidRDefault="007139B2" w:rsidP="002A6B0A">
      <w:pPr>
        <w:autoSpaceDE w:val="0"/>
        <w:autoSpaceDN w:val="0"/>
        <w:adjustRightInd w:val="0"/>
        <w:jc w:val="left"/>
        <w:rPr>
          <w:rFonts w:cs="Arial"/>
        </w:rPr>
      </w:pPr>
      <w:r w:rsidRPr="00FB20FA">
        <w:rPr>
          <w:rFonts w:cs="Arial"/>
        </w:rPr>
        <w:lastRenderedPageBreak/>
        <w:t xml:space="preserve">No relevant increase in exposure </w:t>
      </w:r>
      <w:r>
        <w:rPr>
          <w:rFonts w:cs="Arial"/>
        </w:rPr>
        <w:t>(</w:t>
      </w:r>
      <w:r w:rsidRPr="00FB20FA">
        <w:rPr>
          <w:rFonts w:cs="Arial"/>
        </w:rPr>
        <w:t xml:space="preserve">AUC) was observed for subjects with mild hepatic impairment </w:t>
      </w:r>
      <w:r>
        <w:rPr>
          <w:rFonts w:cs="Arial"/>
        </w:rPr>
        <w:t>(using NCI index) based on population pharmacokinetic analysis.</w:t>
      </w:r>
      <w:r w:rsidRPr="00FB20FA">
        <w:rPr>
          <w:rFonts w:cs="Arial"/>
        </w:rPr>
        <w:t xml:space="preserve"> </w:t>
      </w:r>
      <w:r w:rsidRPr="00432A6C">
        <w:rPr>
          <w:iCs/>
          <w:noProof/>
        </w:rPr>
        <w:t xml:space="preserve">The pharmacokinetics of </w:t>
      </w:r>
      <w:r w:rsidR="00027D80">
        <w:rPr>
          <w:iCs/>
          <w:noProof/>
        </w:rPr>
        <w:t>WELIREG</w:t>
      </w:r>
      <w:r>
        <w:rPr>
          <w:iCs/>
          <w:noProof/>
        </w:rPr>
        <w:t xml:space="preserve"> </w:t>
      </w:r>
      <w:r w:rsidRPr="00432A6C">
        <w:rPr>
          <w:iCs/>
          <w:noProof/>
        </w:rPr>
        <w:t>ha</w:t>
      </w:r>
      <w:r>
        <w:rPr>
          <w:iCs/>
          <w:noProof/>
        </w:rPr>
        <w:t>ve</w:t>
      </w:r>
      <w:r w:rsidRPr="00432A6C">
        <w:rPr>
          <w:iCs/>
          <w:noProof/>
        </w:rPr>
        <w:t xml:space="preserve"> not been studied in </w:t>
      </w:r>
      <w:r w:rsidRPr="00FB20FA">
        <w:rPr>
          <w:rFonts w:cs="Arial"/>
        </w:rPr>
        <w:t xml:space="preserve">patients with </w:t>
      </w:r>
      <w:r>
        <w:rPr>
          <w:rFonts w:cs="Arial"/>
        </w:rPr>
        <w:t xml:space="preserve">moderate or </w:t>
      </w:r>
      <w:r w:rsidRPr="00FB20FA">
        <w:rPr>
          <w:rFonts w:cs="Arial"/>
        </w:rPr>
        <w:t>severe hepatic impairment</w:t>
      </w:r>
      <w:r w:rsidRPr="00A40130">
        <w:rPr>
          <w:i/>
          <w:noProof/>
        </w:rPr>
        <w:t xml:space="preserve"> </w:t>
      </w:r>
      <w:r w:rsidR="00B95598">
        <w:t xml:space="preserve">(See </w:t>
      </w:r>
      <w:r w:rsidR="00B95598" w:rsidRPr="00107009">
        <w:rPr>
          <w:b/>
          <w:color w:val="000000"/>
        </w:rPr>
        <w:t>Section 4.2 Dose and Method of Administration</w:t>
      </w:r>
      <w:r w:rsidR="00B95598">
        <w:t xml:space="preserve"> </w:t>
      </w:r>
      <w:r w:rsidR="00B95598" w:rsidRPr="00B95598">
        <w:rPr>
          <w:iCs/>
          <w:noProof/>
        </w:rPr>
        <w:t xml:space="preserve">and </w:t>
      </w:r>
      <w:r w:rsidR="00B95598" w:rsidRPr="00107009">
        <w:rPr>
          <w:b/>
        </w:rPr>
        <w:t xml:space="preserve">Section 4.4 </w:t>
      </w:r>
      <w:r w:rsidR="00B95598" w:rsidRPr="00107009">
        <w:rPr>
          <w:b/>
          <w:color w:val="000000"/>
        </w:rPr>
        <w:t>Special Warnings and Precautions for Use</w:t>
      </w:r>
      <w:r w:rsidR="00B95598" w:rsidRPr="00B95598">
        <w:rPr>
          <w:bCs/>
          <w:color w:val="000000"/>
        </w:rPr>
        <w:t>)</w:t>
      </w:r>
      <w:r w:rsidR="00B95598" w:rsidRPr="00F129BF">
        <w:rPr>
          <w:rFonts w:cs="Arial"/>
        </w:rPr>
        <w:t>.</w:t>
      </w:r>
    </w:p>
    <w:p w14:paraId="62547CF8" w14:textId="7640B683" w:rsidR="00883103" w:rsidRPr="00883103" w:rsidRDefault="00883103" w:rsidP="002A6B0A">
      <w:pPr>
        <w:autoSpaceDE w:val="0"/>
        <w:autoSpaceDN w:val="0"/>
        <w:adjustRightInd w:val="0"/>
        <w:jc w:val="left"/>
        <w:rPr>
          <w:rFonts w:cs="Arial"/>
          <w:i/>
          <w:iCs/>
          <w:u w:val="single"/>
        </w:rPr>
      </w:pPr>
      <w:r w:rsidRPr="00883103">
        <w:rPr>
          <w:rFonts w:cs="Arial"/>
          <w:i/>
          <w:iCs/>
          <w:u w:val="single"/>
        </w:rPr>
        <w:t>Dual UGT2BI7 and CYP2C19 Poor Metabolisers</w:t>
      </w:r>
    </w:p>
    <w:p w14:paraId="76584BAE" w14:textId="12E714A5" w:rsidR="00883103" w:rsidRPr="00E22B6B" w:rsidRDefault="00883103" w:rsidP="002A6B0A">
      <w:pPr>
        <w:autoSpaceDE w:val="0"/>
        <w:autoSpaceDN w:val="0"/>
        <w:adjustRightInd w:val="0"/>
        <w:jc w:val="left"/>
        <w:rPr>
          <w:rFonts w:cs="Arial"/>
        </w:rPr>
      </w:pPr>
      <w:r w:rsidRPr="00883103">
        <w:rPr>
          <w:rFonts w:cs="Arial"/>
        </w:rPr>
        <w:t xml:space="preserve">Patients who are poor metabolisers of UGT2B17 and CYP2C19 had higher </w:t>
      </w:r>
      <w:proofErr w:type="spellStart"/>
      <w:r w:rsidRPr="00883103">
        <w:rPr>
          <w:rFonts w:cs="Arial"/>
        </w:rPr>
        <w:t>belzutifan</w:t>
      </w:r>
      <w:proofErr w:type="spellEnd"/>
      <w:r w:rsidRPr="00883103">
        <w:rPr>
          <w:rFonts w:cs="Arial"/>
        </w:rPr>
        <w:t xml:space="preserve"> AUC </w:t>
      </w:r>
      <w:r w:rsidR="00435489">
        <w:rPr>
          <w:rFonts w:cs="Arial"/>
        </w:rPr>
        <w:t>(S</w:t>
      </w:r>
      <w:r w:rsidRPr="00883103">
        <w:rPr>
          <w:rFonts w:cs="Arial"/>
        </w:rPr>
        <w:t xml:space="preserve">ee </w:t>
      </w:r>
      <w:r w:rsidR="00435489" w:rsidRPr="00107009">
        <w:rPr>
          <w:b/>
          <w:color w:val="000000"/>
        </w:rPr>
        <w:t xml:space="preserve">Section </w:t>
      </w:r>
      <w:r w:rsidR="00435489">
        <w:rPr>
          <w:b/>
          <w:color w:val="000000"/>
        </w:rPr>
        <w:t>5.1</w:t>
      </w:r>
      <w:r w:rsidR="00435489" w:rsidRPr="00107009">
        <w:rPr>
          <w:b/>
          <w:color w:val="000000"/>
        </w:rPr>
        <w:t xml:space="preserve"> </w:t>
      </w:r>
      <w:r w:rsidR="00435489">
        <w:rPr>
          <w:b/>
          <w:color w:val="000000"/>
        </w:rPr>
        <w:t>Pharmacodynamic properties</w:t>
      </w:r>
      <w:r w:rsidR="00435489">
        <w:rPr>
          <w:rFonts w:cs="Arial"/>
        </w:rPr>
        <w:t>)</w:t>
      </w:r>
      <w:r w:rsidRPr="00883103">
        <w:rPr>
          <w:rFonts w:cs="Arial"/>
        </w:rPr>
        <w:t>.</w:t>
      </w:r>
    </w:p>
    <w:p w14:paraId="0055159C" w14:textId="21AB592F" w:rsidR="007139B2" w:rsidRPr="000866D1" w:rsidRDefault="007139B2" w:rsidP="002A6B0A">
      <w:pPr>
        <w:autoSpaceDE w:val="0"/>
        <w:autoSpaceDN w:val="0"/>
        <w:adjustRightInd w:val="0"/>
        <w:jc w:val="left"/>
        <w:rPr>
          <w:rFonts w:cs="Arial"/>
          <w:i/>
          <w:u w:val="single"/>
        </w:rPr>
      </w:pPr>
      <w:bookmarkStart w:id="32" w:name="_Hlk47964838"/>
      <w:r w:rsidRPr="000866D1">
        <w:rPr>
          <w:rFonts w:cs="Arial"/>
          <w:i/>
          <w:u w:val="single"/>
        </w:rPr>
        <w:t>P</w:t>
      </w:r>
      <w:r w:rsidR="00B95598">
        <w:rPr>
          <w:rFonts w:cs="Arial"/>
          <w:i/>
          <w:u w:val="single"/>
        </w:rPr>
        <w:t>a</w:t>
      </w:r>
      <w:r w:rsidRPr="000866D1">
        <w:rPr>
          <w:rFonts w:cs="Arial"/>
          <w:i/>
          <w:u w:val="single"/>
        </w:rPr>
        <w:t>ediatric</w:t>
      </w:r>
    </w:p>
    <w:p w14:paraId="0D77A6E2" w14:textId="0ED8B1C4" w:rsidR="007139B2" w:rsidRPr="007139B2" w:rsidRDefault="007139B2" w:rsidP="002A6B0A">
      <w:pPr>
        <w:autoSpaceDE w:val="0"/>
        <w:autoSpaceDN w:val="0"/>
        <w:adjustRightInd w:val="0"/>
        <w:jc w:val="left"/>
        <w:rPr>
          <w:iCs/>
          <w:noProof/>
        </w:rPr>
      </w:pPr>
      <w:r w:rsidRPr="002F47E2">
        <w:rPr>
          <w:iCs/>
          <w:noProof/>
        </w:rPr>
        <w:t xml:space="preserve">No studies with </w:t>
      </w:r>
      <w:r w:rsidR="00027D80">
        <w:rPr>
          <w:iCs/>
          <w:noProof/>
        </w:rPr>
        <w:t>WELIREG</w:t>
      </w:r>
      <w:r w:rsidRPr="002F47E2">
        <w:rPr>
          <w:iCs/>
          <w:noProof/>
        </w:rPr>
        <w:t xml:space="preserve"> have been performed in pediatric patients.</w:t>
      </w:r>
      <w:bookmarkEnd w:id="32"/>
    </w:p>
    <w:p w14:paraId="4249DD2E" w14:textId="77777777" w:rsidR="007139B2" w:rsidRPr="000866D1" w:rsidRDefault="007139B2" w:rsidP="002A6B0A">
      <w:pPr>
        <w:autoSpaceDE w:val="0"/>
        <w:autoSpaceDN w:val="0"/>
        <w:adjustRightInd w:val="0"/>
        <w:jc w:val="left"/>
        <w:rPr>
          <w:rFonts w:cs="Arial"/>
          <w:bCs/>
          <w:i/>
          <w:iCs/>
          <w:u w:val="single"/>
        </w:rPr>
      </w:pPr>
      <w:r>
        <w:rPr>
          <w:rFonts w:cs="Arial"/>
          <w:bCs/>
          <w:i/>
          <w:iCs/>
          <w:u w:val="single"/>
        </w:rPr>
        <w:t>Effects of Age, Gender, Ethnicity, Race, and Body Weight</w:t>
      </w:r>
    </w:p>
    <w:p w14:paraId="509B5F56" w14:textId="34A2F633" w:rsidR="007139B2" w:rsidRDefault="007139B2" w:rsidP="002A6B0A">
      <w:pPr>
        <w:autoSpaceDE w:val="0"/>
        <w:autoSpaceDN w:val="0"/>
        <w:adjustRightInd w:val="0"/>
        <w:jc w:val="left"/>
      </w:pPr>
      <w:r w:rsidRPr="0048770E">
        <w:rPr>
          <w:rFonts w:cs="Arial"/>
        </w:rPr>
        <w:t xml:space="preserve">Based on a population pharmacokinetic analysis, age, gender, </w:t>
      </w:r>
      <w:r>
        <w:rPr>
          <w:rFonts w:cs="Arial"/>
        </w:rPr>
        <w:t xml:space="preserve">ethnicity, </w:t>
      </w:r>
      <w:r w:rsidRPr="0048770E">
        <w:rPr>
          <w:rFonts w:cs="Arial"/>
        </w:rPr>
        <w:t>race</w:t>
      </w:r>
      <w:r>
        <w:rPr>
          <w:rFonts w:cs="Arial"/>
        </w:rPr>
        <w:t>, and body weight</w:t>
      </w:r>
      <w:r w:rsidRPr="0048770E">
        <w:rPr>
          <w:rFonts w:cs="Arial"/>
        </w:rPr>
        <w:t xml:space="preserve"> do not have a clinically meaningful effect on the pharmacokinetics of </w:t>
      </w:r>
      <w:r w:rsidR="00027D80">
        <w:rPr>
          <w:rFonts w:cs="Arial"/>
        </w:rPr>
        <w:t>WELIREG</w:t>
      </w:r>
      <w:r w:rsidRPr="0048770E">
        <w:rPr>
          <w:rFonts w:cs="Arial"/>
        </w:rPr>
        <w:t>.</w:t>
      </w:r>
      <w:r>
        <w:rPr>
          <w:rFonts w:cs="Arial"/>
        </w:rPr>
        <w:t xml:space="preserve"> Potential differences in exposure across races are possible due to different frequencies of metaboli</w:t>
      </w:r>
      <w:r w:rsidR="00B95598">
        <w:rPr>
          <w:rFonts w:cs="Arial"/>
        </w:rPr>
        <w:t>s</w:t>
      </w:r>
      <w:r>
        <w:rPr>
          <w:rFonts w:cs="Arial"/>
        </w:rPr>
        <w:t xml:space="preserve">ing enzymes </w:t>
      </w:r>
      <w:r w:rsidR="00B95598">
        <w:t xml:space="preserve">(See </w:t>
      </w:r>
      <w:r w:rsidR="00B95598" w:rsidRPr="00107009">
        <w:rPr>
          <w:b/>
          <w:color w:val="000000"/>
        </w:rPr>
        <w:t xml:space="preserve">Section </w:t>
      </w:r>
      <w:r w:rsidR="00B95598">
        <w:rPr>
          <w:b/>
          <w:color w:val="000000"/>
        </w:rPr>
        <w:t>5.1</w:t>
      </w:r>
      <w:r w:rsidR="00B95598" w:rsidRPr="00107009">
        <w:rPr>
          <w:b/>
          <w:color w:val="000000"/>
        </w:rPr>
        <w:t xml:space="preserve"> </w:t>
      </w:r>
      <w:r w:rsidR="00B95598">
        <w:rPr>
          <w:b/>
          <w:color w:val="000000"/>
        </w:rPr>
        <w:t>Pharmacodynamic properties</w:t>
      </w:r>
      <w:r w:rsidR="00B95598" w:rsidRPr="00403CDE">
        <w:rPr>
          <w:bCs/>
          <w:color w:val="000000"/>
        </w:rPr>
        <w:t>)</w:t>
      </w:r>
      <w:r w:rsidR="00B95598">
        <w:t>.</w:t>
      </w:r>
    </w:p>
    <w:p w14:paraId="6C3A1220" w14:textId="77777777" w:rsidR="006317D6" w:rsidRPr="006317D6" w:rsidRDefault="006317D6" w:rsidP="002A6B0A">
      <w:pPr>
        <w:autoSpaceDE w:val="0"/>
        <w:autoSpaceDN w:val="0"/>
        <w:adjustRightInd w:val="0"/>
        <w:jc w:val="left"/>
        <w:rPr>
          <w:i/>
          <w:iCs/>
          <w:u w:val="single"/>
        </w:rPr>
      </w:pPr>
      <w:r w:rsidRPr="006317D6">
        <w:rPr>
          <w:i/>
          <w:iCs/>
          <w:u w:val="single"/>
        </w:rPr>
        <w:t>Drug Interaction Studies</w:t>
      </w:r>
    </w:p>
    <w:p w14:paraId="7CA2415A" w14:textId="4C4A7233" w:rsidR="00883103" w:rsidRPr="00883103" w:rsidRDefault="00883103" w:rsidP="002A6B0A">
      <w:pPr>
        <w:tabs>
          <w:tab w:val="left" w:pos="1710"/>
          <w:tab w:val="left" w:pos="2520"/>
        </w:tabs>
        <w:autoSpaceDE w:val="0"/>
        <w:autoSpaceDN w:val="0"/>
        <w:adjustRightInd w:val="0"/>
        <w:jc w:val="left"/>
        <w:rPr>
          <w:b/>
          <w:bCs/>
        </w:rPr>
      </w:pPr>
      <w:bookmarkStart w:id="33" w:name="_Hlk47965295"/>
      <w:r w:rsidRPr="00883103">
        <w:rPr>
          <w:b/>
          <w:bCs/>
        </w:rPr>
        <w:t>In Vitro Assessment of Drug Interactions</w:t>
      </w:r>
    </w:p>
    <w:p w14:paraId="464C5AEA" w14:textId="14BE0DF9" w:rsidR="00883103" w:rsidRDefault="005C17EA" w:rsidP="002A6B0A">
      <w:pPr>
        <w:tabs>
          <w:tab w:val="left" w:pos="1710"/>
          <w:tab w:val="left" w:pos="2520"/>
        </w:tabs>
        <w:autoSpaceDE w:val="0"/>
        <w:autoSpaceDN w:val="0"/>
        <w:adjustRightInd w:val="0"/>
        <w:jc w:val="left"/>
        <w:rPr>
          <w:rFonts w:cs="Arial"/>
        </w:rPr>
      </w:pPr>
      <w:bookmarkStart w:id="34" w:name="_Hlk103037745"/>
      <w:r>
        <w:t>Belzutifan</w:t>
      </w:r>
      <w:r w:rsidR="006317D6">
        <w:t xml:space="preserve"> is </w:t>
      </w:r>
      <w:r w:rsidR="006317D6" w:rsidRPr="00166134">
        <w:t>a substrate of UGT2B17</w:t>
      </w:r>
      <w:r w:rsidR="006317D6">
        <w:t xml:space="preserve">, CYP2C19 and CYP3A4. Active transport is not an important determinant of </w:t>
      </w:r>
      <w:proofErr w:type="spellStart"/>
      <w:r>
        <w:t>belzutifan</w:t>
      </w:r>
      <w:proofErr w:type="spellEnd"/>
      <w:r w:rsidR="006317D6">
        <w:t xml:space="preserve"> disposition. </w:t>
      </w:r>
      <w:r>
        <w:t>Belzutifan</w:t>
      </w:r>
      <w:r w:rsidR="006317D6" w:rsidRPr="00166134">
        <w:t xml:space="preserve"> </w:t>
      </w:r>
      <w:r w:rsidR="006317D6">
        <w:t>is</w:t>
      </w:r>
      <w:r w:rsidR="006317D6" w:rsidRPr="00166134">
        <w:t xml:space="preserve"> not </w:t>
      </w:r>
      <w:r w:rsidR="006317D6">
        <w:t xml:space="preserve">an </w:t>
      </w:r>
      <w:r w:rsidR="006317D6" w:rsidRPr="00166134">
        <w:t>inhibit</w:t>
      </w:r>
      <w:r w:rsidR="006317D6">
        <w:t>or of</w:t>
      </w:r>
      <w:r w:rsidR="006317D6" w:rsidRPr="00166134">
        <w:t xml:space="preserve"> CYP enzymes</w:t>
      </w:r>
      <w:r w:rsidR="006317D6">
        <w:t xml:space="preserve"> or transporters </w:t>
      </w:r>
      <w:proofErr w:type="gramStart"/>
      <w:r w:rsidR="006317D6">
        <w:t>with the exception of</w:t>
      </w:r>
      <w:proofErr w:type="gramEnd"/>
      <w:r w:rsidR="006317D6">
        <w:t xml:space="preserve"> MATE2K.</w:t>
      </w:r>
      <w:r w:rsidRPr="005C17EA">
        <w:t xml:space="preserve"> </w:t>
      </w:r>
      <w:r>
        <w:t>Belzutifan</w:t>
      </w:r>
      <w:r w:rsidR="006317D6">
        <w:t xml:space="preserve"> does not induce CYP1A2 or CYP2B6, however, </w:t>
      </w:r>
      <w:proofErr w:type="spellStart"/>
      <w:r>
        <w:t>belzutifan</w:t>
      </w:r>
      <w:proofErr w:type="spellEnd"/>
      <w:r w:rsidR="006317D6">
        <w:t xml:space="preserve"> </w:t>
      </w:r>
      <w:r w:rsidR="00AC5CD1">
        <w:t xml:space="preserve">induces </w:t>
      </w:r>
      <w:r w:rsidR="006317D6">
        <w:t xml:space="preserve">CYP3A4 </w:t>
      </w:r>
      <w:r w:rsidR="00AC5CD1">
        <w:t>in a concentration dependent manner</w:t>
      </w:r>
      <w:r w:rsidR="006317D6" w:rsidRPr="00A20DAE">
        <w:t>.</w:t>
      </w:r>
      <w:bookmarkEnd w:id="34"/>
      <w:r w:rsidR="006317D6" w:rsidRPr="00A20DAE">
        <w:t xml:space="preserve"> </w:t>
      </w:r>
    </w:p>
    <w:p w14:paraId="79098D8A" w14:textId="34B2B166" w:rsidR="00883103" w:rsidRPr="00883103" w:rsidRDefault="00883103" w:rsidP="002A6B0A">
      <w:pPr>
        <w:tabs>
          <w:tab w:val="left" w:pos="1710"/>
          <w:tab w:val="left" w:pos="2520"/>
          <w:tab w:val="center" w:pos="4500"/>
        </w:tabs>
        <w:autoSpaceDE w:val="0"/>
        <w:autoSpaceDN w:val="0"/>
        <w:adjustRightInd w:val="0"/>
        <w:jc w:val="left"/>
        <w:rPr>
          <w:b/>
          <w:bCs/>
        </w:rPr>
      </w:pPr>
      <w:r w:rsidRPr="00883103">
        <w:rPr>
          <w:b/>
          <w:bCs/>
        </w:rPr>
        <w:t>In Vivo Assessment of Drug Interactions</w:t>
      </w:r>
    </w:p>
    <w:p w14:paraId="342FA954" w14:textId="39687141" w:rsidR="00883103" w:rsidRPr="00A20DAE" w:rsidRDefault="00883103" w:rsidP="002A6B0A">
      <w:pPr>
        <w:tabs>
          <w:tab w:val="left" w:pos="1710"/>
          <w:tab w:val="left" w:pos="2520"/>
          <w:tab w:val="center" w:pos="4500"/>
        </w:tabs>
        <w:autoSpaceDE w:val="0"/>
        <w:autoSpaceDN w:val="0"/>
        <w:adjustRightInd w:val="0"/>
        <w:jc w:val="left"/>
      </w:pPr>
      <w:r>
        <w:t xml:space="preserve">In a clinical study, repeat administration of WELIREG 120 mg QD resulted in a 40% reduction in midazolam AUC, an effect consistent with a weak CYP3A4 inducer. Based on PBPK </w:t>
      </w:r>
      <w:proofErr w:type="spellStart"/>
      <w:r>
        <w:t>modeling</w:t>
      </w:r>
      <w:proofErr w:type="spellEnd"/>
      <w:r>
        <w:t xml:space="preserve">, WELIREG may exhibit moderate CYP3A4 induction in patients who have higher </w:t>
      </w:r>
      <w:proofErr w:type="spellStart"/>
      <w:r w:rsidR="00CE32EC">
        <w:t>b</w:t>
      </w:r>
      <w:r>
        <w:t>elzutifan</w:t>
      </w:r>
      <w:proofErr w:type="spellEnd"/>
      <w:r>
        <w:t xml:space="preserve"> plasma exposures </w:t>
      </w:r>
      <w:r w:rsidR="00435489">
        <w:t>(S</w:t>
      </w:r>
      <w:r>
        <w:t xml:space="preserve">ee </w:t>
      </w:r>
      <w:r w:rsidR="00435489" w:rsidRPr="00107009">
        <w:rPr>
          <w:b/>
          <w:color w:val="000000"/>
        </w:rPr>
        <w:t>Section 4.</w:t>
      </w:r>
      <w:r w:rsidR="00435489">
        <w:rPr>
          <w:b/>
          <w:color w:val="000000"/>
        </w:rPr>
        <w:t>5</w:t>
      </w:r>
      <w:r w:rsidR="00435489" w:rsidRPr="00107009">
        <w:rPr>
          <w:b/>
          <w:color w:val="000000"/>
        </w:rPr>
        <w:t xml:space="preserve"> </w:t>
      </w:r>
      <w:r w:rsidR="00435489">
        <w:rPr>
          <w:b/>
          <w:color w:val="000000"/>
        </w:rPr>
        <w:t xml:space="preserve">Interactions with other medicines and other forms of interactions </w:t>
      </w:r>
      <w:r w:rsidR="00435489">
        <w:rPr>
          <w:bCs/>
          <w:color w:val="000000"/>
        </w:rPr>
        <w:t>and</w:t>
      </w:r>
      <w:r w:rsidR="00435489" w:rsidRPr="00107009">
        <w:rPr>
          <w:b/>
          <w:color w:val="000000"/>
        </w:rPr>
        <w:t xml:space="preserve"> Section </w:t>
      </w:r>
      <w:r w:rsidR="00435489">
        <w:rPr>
          <w:b/>
          <w:color w:val="000000"/>
        </w:rPr>
        <w:t>5.1</w:t>
      </w:r>
      <w:r w:rsidR="00435489" w:rsidRPr="00107009">
        <w:rPr>
          <w:b/>
          <w:color w:val="000000"/>
        </w:rPr>
        <w:t xml:space="preserve"> </w:t>
      </w:r>
      <w:r w:rsidR="00435489">
        <w:rPr>
          <w:b/>
          <w:color w:val="000000"/>
        </w:rPr>
        <w:t>Pharmacodynamic properties</w:t>
      </w:r>
      <w:r w:rsidR="00435489">
        <w:t>)</w:t>
      </w:r>
      <w:r>
        <w:t>.</w:t>
      </w:r>
    </w:p>
    <w:bookmarkEnd w:id="33"/>
    <w:p w14:paraId="48565906" w14:textId="77777777" w:rsidR="001A3992" w:rsidRPr="00CA00F2" w:rsidRDefault="001A3992" w:rsidP="002A6B0A">
      <w:pPr>
        <w:pStyle w:val="Heading2"/>
        <w:keepNext/>
        <w:keepLines/>
        <w:spacing w:before="0" w:after="120"/>
        <w:jc w:val="left"/>
        <w:rPr>
          <w:rFonts w:ascii="Arial" w:hAnsi="Arial" w:cs="Arial"/>
          <w:lang w:val="en-US"/>
        </w:rPr>
      </w:pPr>
      <w:r w:rsidRPr="00CA00F2">
        <w:rPr>
          <w:rFonts w:ascii="Arial" w:hAnsi="Arial" w:cs="Arial"/>
          <w:lang w:val="en-US"/>
        </w:rPr>
        <w:t>Preclinical safety data</w:t>
      </w:r>
    </w:p>
    <w:p w14:paraId="33A21924" w14:textId="3981D68E" w:rsidR="001A3992" w:rsidRDefault="001A3992" w:rsidP="002A6B0A">
      <w:pPr>
        <w:pStyle w:val="Heading3"/>
        <w:keepNext/>
        <w:keepLines/>
        <w:jc w:val="left"/>
      </w:pPr>
      <w:r w:rsidRPr="00CA00F2">
        <w:t>Genotoxicity</w:t>
      </w:r>
    </w:p>
    <w:p w14:paraId="4510EAF7" w14:textId="0361AE07" w:rsidR="004534BD" w:rsidRPr="004534BD" w:rsidRDefault="004534BD" w:rsidP="002A6B0A">
      <w:pPr>
        <w:jc w:val="left"/>
      </w:pPr>
      <w:r>
        <w:t>Belzutifan</w:t>
      </w:r>
      <w:r w:rsidRPr="00C95893">
        <w:t xml:space="preserve"> was not </w:t>
      </w:r>
      <w:r>
        <w:t xml:space="preserve">genotoxic </w:t>
      </w:r>
      <w:r w:rsidRPr="00C95893">
        <w:t>in</w:t>
      </w:r>
      <w:r>
        <w:t xml:space="preserve"> </w:t>
      </w:r>
      <w:r w:rsidRPr="00D43D6F">
        <w:rPr>
          <w:i/>
        </w:rPr>
        <w:t>in vitro</w:t>
      </w:r>
      <w:r>
        <w:t xml:space="preserve"> bacterial </w:t>
      </w:r>
      <w:r w:rsidR="00507106" w:rsidRPr="00507106">
        <w:t>mutagenicity assay</w:t>
      </w:r>
      <w:r>
        <w:t xml:space="preserve"> and</w:t>
      </w:r>
      <w:r w:rsidRPr="00D43D6F">
        <w:rPr>
          <w:i/>
        </w:rPr>
        <w:t xml:space="preserve"> </w:t>
      </w:r>
      <w:r>
        <w:t>micronucleus assay</w:t>
      </w:r>
      <w:r w:rsidR="00507106">
        <w:t xml:space="preserve"> in human lymphocytes</w:t>
      </w:r>
      <w:r>
        <w:t xml:space="preserve">, and an </w:t>
      </w:r>
      <w:r w:rsidRPr="00CA4FCB">
        <w:rPr>
          <w:i/>
          <w:iCs/>
        </w:rPr>
        <w:t>in vivo</w:t>
      </w:r>
      <w:r>
        <w:t xml:space="preserve"> rat micronucleus assay.</w:t>
      </w:r>
    </w:p>
    <w:p w14:paraId="6CAB4B5F" w14:textId="5A9D79C6" w:rsidR="001A3992" w:rsidRDefault="001A3992" w:rsidP="002A6B0A">
      <w:pPr>
        <w:pStyle w:val="Heading3"/>
        <w:tabs>
          <w:tab w:val="left" w:pos="2130"/>
        </w:tabs>
        <w:jc w:val="left"/>
        <w:rPr>
          <w:lang w:val="en-US"/>
        </w:rPr>
      </w:pPr>
      <w:proofErr w:type="spellStart"/>
      <w:r w:rsidRPr="00CA00F2">
        <w:t>Carcin</w:t>
      </w:r>
      <w:r w:rsidRPr="00CA00F2">
        <w:rPr>
          <w:lang w:val="en-US"/>
        </w:rPr>
        <w:t>ogenicity</w:t>
      </w:r>
      <w:proofErr w:type="spellEnd"/>
      <w:r w:rsidR="004534BD">
        <w:rPr>
          <w:lang w:val="en-US"/>
        </w:rPr>
        <w:tab/>
      </w:r>
    </w:p>
    <w:p w14:paraId="66559358" w14:textId="724CE2E9" w:rsidR="004534BD" w:rsidRPr="004534BD" w:rsidRDefault="004534BD" w:rsidP="002A6B0A">
      <w:pPr>
        <w:jc w:val="left"/>
        <w:rPr>
          <w:lang w:val="en-US"/>
        </w:rPr>
      </w:pPr>
      <w:r w:rsidRPr="004534BD">
        <w:rPr>
          <w:lang w:val="en-US"/>
        </w:rPr>
        <w:t xml:space="preserve">Carcinogenicity studies have not been conducted with </w:t>
      </w:r>
      <w:proofErr w:type="spellStart"/>
      <w:r w:rsidRPr="004534BD">
        <w:rPr>
          <w:lang w:val="en-US"/>
        </w:rPr>
        <w:t>belzutifan</w:t>
      </w:r>
      <w:proofErr w:type="spellEnd"/>
      <w:r w:rsidRPr="004534BD">
        <w:rPr>
          <w:lang w:val="en-US"/>
        </w:rPr>
        <w:t>.</w:t>
      </w:r>
    </w:p>
    <w:p w14:paraId="02777ECA" w14:textId="77777777" w:rsidR="001A3992" w:rsidRPr="00CA00F2" w:rsidRDefault="001A3992" w:rsidP="002A6B0A">
      <w:pPr>
        <w:pStyle w:val="Heading1"/>
        <w:spacing w:before="0" w:after="120"/>
        <w:jc w:val="left"/>
        <w:rPr>
          <w:rFonts w:ascii="Arial" w:hAnsi="Arial" w:cs="Arial"/>
          <w:lang w:val="en-US"/>
        </w:rPr>
      </w:pPr>
      <w:r w:rsidRPr="00CA00F2">
        <w:rPr>
          <w:rFonts w:ascii="Arial" w:hAnsi="Arial" w:cs="Arial"/>
          <w:lang w:val="en-US"/>
        </w:rPr>
        <w:lastRenderedPageBreak/>
        <w:t>Pharmaceutical particulars</w:t>
      </w:r>
    </w:p>
    <w:p w14:paraId="3D47C7DA" w14:textId="75A98555" w:rsidR="001A3992" w:rsidRDefault="001A3992" w:rsidP="002A6B0A">
      <w:pPr>
        <w:pStyle w:val="Heading2"/>
        <w:spacing w:before="0" w:after="120"/>
        <w:jc w:val="left"/>
        <w:rPr>
          <w:rFonts w:ascii="Arial" w:hAnsi="Arial" w:cs="Arial"/>
          <w:lang w:val="en-US"/>
        </w:rPr>
      </w:pPr>
      <w:r w:rsidRPr="00CA00F2">
        <w:rPr>
          <w:rFonts w:ascii="Arial" w:hAnsi="Arial" w:cs="Arial"/>
          <w:lang w:val="en-US"/>
        </w:rPr>
        <w:t xml:space="preserve">List of excipients </w:t>
      </w:r>
    </w:p>
    <w:p w14:paraId="65D3AC04" w14:textId="22CB0986" w:rsidR="004F2974" w:rsidRPr="004F2974" w:rsidRDefault="00027D80" w:rsidP="002A6B0A">
      <w:pPr>
        <w:jc w:val="left"/>
        <w:rPr>
          <w:lang w:val="en-US"/>
        </w:rPr>
      </w:pPr>
      <w:r>
        <w:rPr>
          <w:lang w:val="en-US"/>
        </w:rPr>
        <w:t>WELIREG</w:t>
      </w:r>
      <w:r w:rsidR="004F2974" w:rsidRPr="004F2974">
        <w:rPr>
          <w:lang w:val="en-US"/>
        </w:rPr>
        <w:t xml:space="preserve"> tablets contain the inactive ingredients: croscarmellose sodium, </w:t>
      </w:r>
      <w:proofErr w:type="spellStart"/>
      <w:r w:rsidR="004F2974" w:rsidRPr="004F2974">
        <w:rPr>
          <w:lang w:val="en-US"/>
        </w:rPr>
        <w:t>hypromellose</w:t>
      </w:r>
      <w:proofErr w:type="spellEnd"/>
      <w:r w:rsidR="004F2974" w:rsidRPr="004F2974">
        <w:rPr>
          <w:lang w:val="en-US"/>
        </w:rPr>
        <w:t xml:space="preserve"> acetate succinate, magnesium stearate, mannitol, microcrystalline cellulose, and silicon dioxide. </w:t>
      </w:r>
    </w:p>
    <w:p w14:paraId="036CF7AF" w14:textId="58B01403" w:rsidR="004F2974" w:rsidRPr="004F2974" w:rsidRDefault="004F2974" w:rsidP="002A6B0A">
      <w:pPr>
        <w:jc w:val="left"/>
        <w:rPr>
          <w:lang w:val="en-US"/>
        </w:rPr>
      </w:pPr>
      <w:r w:rsidRPr="004F2974">
        <w:rPr>
          <w:lang w:val="en-US"/>
        </w:rPr>
        <w:t xml:space="preserve">The </w:t>
      </w:r>
      <w:r w:rsidR="00CA4B94">
        <w:rPr>
          <w:lang w:val="en-US"/>
        </w:rPr>
        <w:t>film-coat</w:t>
      </w:r>
      <w:r w:rsidR="009C7493" w:rsidRPr="009C7493">
        <w:rPr>
          <w:lang w:val="en-US"/>
        </w:rPr>
        <w:t xml:space="preserve"> </w:t>
      </w:r>
      <w:r w:rsidRPr="004F2974">
        <w:rPr>
          <w:lang w:val="en-US"/>
        </w:rPr>
        <w:t xml:space="preserve">contains </w:t>
      </w:r>
      <w:r w:rsidR="009445F8" w:rsidRPr="009445F8">
        <w:rPr>
          <w:lang w:val="en-US"/>
        </w:rPr>
        <w:t>indigo carmine aluminium lake</w:t>
      </w:r>
      <w:r w:rsidRPr="004F2974">
        <w:rPr>
          <w:lang w:val="en-US"/>
        </w:rPr>
        <w:t xml:space="preserve">, </w:t>
      </w:r>
      <w:r w:rsidR="00CA4B94">
        <w:rPr>
          <w:lang w:val="en-US"/>
        </w:rPr>
        <w:t>macrogol</w:t>
      </w:r>
      <w:r w:rsidRPr="004F2974">
        <w:rPr>
          <w:lang w:val="en-US"/>
        </w:rPr>
        <w:t xml:space="preserve">, polyvinyl alcohol, </w:t>
      </w:r>
      <w:r w:rsidR="009445F8">
        <w:rPr>
          <w:lang w:val="en-US"/>
        </w:rPr>
        <w:t xml:space="preserve">purified </w:t>
      </w:r>
      <w:r w:rsidRPr="004F2974">
        <w:rPr>
          <w:lang w:val="en-US"/>
        </w:rPr>
        <w:t>talc, titanium dioxide.</w:t>
      </w:r>
    </w:p>
    <w:p w14:paraId="4E378D7D" w14:textId="399A46B3" w:rsidR="001A3992" w:rsidRDefault="001A3992" w:rsidP="002A6B0A">
      <w:pPr>
        <w:pStyle w:val="Heading2"/>
        <w:keepNext/>
        <w:keepLines/>
        <w:spacing w:before="0" w:after="120"/>
        <w:jc w:val="left"/>
        <w:rPr>
          <w:rFonts w:ascii="Arial" w:hAnsi="Arial" w:cs="Arial"/>
          <w:lang w:val="en-US"/>
        </w:rPr>
      </w:pPr>
      <w:r w:rsidRPr="00CA00F2">
        <w:rPr>
          <w:rFonts w:ascii="Arial" w:hAnsi="Arial" w:cs="Arial"/>
          <w:lang w:val="en-US"/>
        </w:rPr>
        <w:t xml:space="preserve">Incompatibilities </w:t>
      </w:r>
    </w:p>
    <w:p w14:paraId="6E970955" w14:textId="0C30DE17" w:rsidR="00774226" w:rsidRPr="00774226" w:rsidRDefault="00774226" w:rsidP="002A6B0A">
      <w:pPr>
        <w:jc w:val="left"/>
        <w:rPr>
          <w:lang w:val="en-US"/>
        </w:rPr>
      </w:pPr>
      <w:r>
        <w:rPr>
          <w:lang w:val="en-US"/>
        </w:rPr>
        <w:t>Not applicable</w:t>
      </w:r>
    </w:p>
    <w:p w14:paraId="49079505" w14:textId="77777777" w:rsidR="001A3992" w:rsidRPr="00CA00F2" w:rsidRDefault="001A3992" w:rsidP="002A6B0A">
      <w:pPr>
        <w:pStyle w:val="Heading2"/>
        <w:spacing w:before="0" w:after="120"/>
        <w:jc w:val="left"/>
        <w:rPr>
          <w:rFonts w:ascii="Arial" w:hAnsi="Arial" w:cs="Arial"/>
          <w:lang w:val="en-US"/>
        </w:rPr>
      </w:pPr>
      <w:r w:rsidRPr="00CA00F2">
        <w:rPr>
          <w:rFonts w:ascii="Arial" w:hAnsi="Arial" w:cs="Arial"/>
          <w:lang w:val="en-US"/>
        </w:rPr>
        <w:t xml:space="preserve">Shelf life </w:t>
      </w:r>
    </w:p>
    <w:p w14:paraId="42ECC1B3" w14:textId="1DC34B56" w:rsidR="00497C85" w:rsidRPr="00CA00F2" w:rsidRDefault="00497C85" w:rsidP="002A6B0A">
      <w:pPr>
        <w:jc w:val="left"/>
        <w:rPr>
          <w:rFonts w:cs="Arial"/>
          <w:lang w:val="en-US"/>
        </w:rPr>
      </w:pPr>
      <w:r w:rsidRPr="00CA00F2">
        <w:rPr>
          <w:rFonts w:cs="Arial"/>
          <w:lang w:val="en"/>
        </w:rPr>
        <w:t xml:space="preserve">In Australia, information on the shelf life can be found on the public summary of the Australian Register of Therapeutic Goods (ARTG). </w:t>
      </w:r>
      <w:r w:rsidR="004F2974" w:rsidRPr="00CA00F2">
        <w:rPr>
          <w:rFonts w:cs="Arial"/>
          <w:lang w:val="en"/>
        </w:rPr>
        <w:t>The expiry date can be found on the packaging.</w:t>
      </w:r>
    </w:p>
    <w:p w14:paraId="0FCFC48D" w14:textId="434FAFCA" w:rsidR="001A3992" w:rsidRDefault="001A3992" w:rsidP="002A6B0A">
      <w:pPr>
        <w:pStyle w:val="Heading2"/>
        <w:keepNext/>
        <w:keepLines/>
        <w:spacing w:before="0" w:after="120"/>
        <w:jc w:val="left"/>
        <w:rPr>
          <w:rFonts w:ascii="Arial" w:hAnsi="Arial" w:cs="Arial"/>
          <w:lang w:val="en-US"/>
        </w:rPr>
      </w:pPr>
      <w:r w:rsidRPr="00CA00F2">
        <w:rPr>
          <w:rFonts w:ascii="Arial" w:hAnsi="Arial" w:cs="Arial"/>
          <w:lang w:val="en-US"/>
        </w:rPr>
        <w:t xml:space="preserve">Special precautions for storage </w:t>
      </w:r>
    </w:p>
    <w:p w14:paraId="6317AFF9" w14:textId="555DE83B" w:rsidR="004F2974" w:rsidRPr="004F2974" w:rsidRDefault="004F2974" w:rsidP="002A6B0A">
      <w:pPr>
        <w:jc w:val="left"/>
        <w:rPr>
          <w:lang w:val="en-US"/>
        </w:rPr>
      </w:pPr>
      <w:r w:rsidRPr="004F2974">
        <w:rPr>
          <w:lang w:val="en-US"/>
        </w:rPr>
        <w:t xml:space="preserve">Store </w:t>
      </w:r>
      <w:r>
        <w:rPr>
          <w:lang w:val="en-US"/>
        </w:rPr>
        <w:t>below</w:t>
      </w:r>
      <w:r w:rsidRPr="004F2974">
        <w:rPr>
          <w:lang w:val="en-US"/>
        </w:rPr>
        <w:t xml:space="preserve"> </w:t>
      </w:r>
      <w:r w:rsidR="009A7051">
        <w:rPr>
          <w:lang w:val="en-US"/>
        </w:rPr>
        <w:t>30</w:t>
      </w:r>
      <w:r w:rsidRPr="004F2974">
        <w:rPr>
          <w:lang w:val="en-US"/>
        </w:rPr>
        <w:t>°C</w:t>
      </w:r>
      <w:r w:rsidR="00D07855">
        <w:rPr>
          <w:lang w:val="en-US"/>
        </w:rPr>
        <w:t>.</w:t>
      </w:r>
    </w:p>
    <w:p w14:paraId="30B40481" w14:textId="392AD68F" w:rsidR="001A3992" w:rsidRDefault="001A3992" w:rsidP="002A6B0A">
      <w:pPr>
        <w:pStyle w:val="Heading2"/>
        <w:spacing w:before="0" w:after="120"/>
        <w:jc w:val="left"/>
        <w:rPr>
          <w:rFonts w:ascii="Arial" w:hAnsi="Arial" w:cs="Arial"/>
          <w:lang w:val="en-US"/>
        </w:rPr>
      </w:pPr>
      <w:r w:rsidRPr="00CA00F2">
        <w:rPr>
          <w:rFonts w:ascii="Arial" w:hAnsi="Arial" w:cs="Arial"/>
          <w:lang w:val="en-US"/>
        </w:rPr>
        <w:t xml:space="preserve">Nature and contents of container </w:t>
      </w:r>
    </w:p>
    <w:p w14:paraId="3B75EC77" w14:textId="02EB5D2D" w:rsidR="00774226" w:rsidRPr="00774226" w:rsidRDefault="0041785C" w:rsidP="002A6B0A">
      <w:pPr>
        <w:jc w:val="left"/>
        <w:rPr>
          <w:lang w:val="en-US"/>
        </w:rPr>
      </w:pPr>
      <w:r>
        <w:rPr>
          <w:lang w:val="en-US"/>
        </w:rPr>
        <w:t>HDPE</w:t>
      </w:r>
      <w:r w:rsidRPr="0041785C">
        <w:rPr>
          <w:lang w:val="en-US"/>
        </w:rPr>
        <w:t xml:space="preserve"> bottle with child</w:t>
      </w:r>
      <w:r>
        <w:rPr>
          <w:lang w:val="en-US"/>
        </w:rPr>
        <w:t>-</w:t>
      </w:r>
      <w:r w:rsidRPr="0041785C">
        <w:rPr>
          <w:lang w:val="en-US"/>
        </w:rPr>
        <w:t xml:space="preserve">resistant closure </w:t>
      </w:r>
      <w:r w:rsidR="00F15E64">
        <w:rPr>
          <w:lang w:val="en-US"/>
        </w:rPr>
        <w:t>in pack size of</w:t>
      </w:r>
      <w:r w:rsidRPr="0041785C">
        <w:rPr>
          <w:lang w:val="en-US"/>
        </w:rPr>
        <w:t xml:space="preserve"> </w:t>
      </w:r>
      <w:r>
        <w:rPr>
          <w:lang w:val="en-US"/>
        </w:rPr>
        <w:t>90</w:t>
      </w:r>
      <w:r w:rsidR="00F15E64">
        <w:rPr>
          <w:lang w:val="en-US"/>
        </w:rPr>
        <w:t xml:space="preserve"> tablets</w:t>
      </w:r>
      <w:r>
        <w:rPr>
          <w:lang w:val="en-US"/>
        </w:rPr>
        <w:t>.</w:t>
      </w:r>
    </w:p>
    <w:p w14:paraId="051D93F2" w14:textId="77777777" w:rsidR="001A3992" w:rsidRPr="00CA00F2" w:rsidRDefault="001A3992" w:rsidP="002A6B0A">
      <w:pPr>
        <w:pStyle w:val="Heading2"/>
        <w:spacing w:before="0" w:after="120"/>
        <w:jc w:val="left"/>
        <w:rPr>
          <w:rFonts w:ascii="Arial" w:hAnsi="Arial" w:cs="Arial"/>
          <w:lang w:val="en-US"/>
        </w:rPr>
      </w:pPr>
      <w:r w:rsidRPr="00CA00F2">
        <w:rPr>
          <w:rFonts w:ascii="Arial" w:hAnsi="Arial" w:cs="Arial"/>
          <w:lang w:val="en-US"/>
        </w:rPr>
        <w:t xml:space="preserve">Special precautions for disposal </w:t>
      </w:r>
    </w:p>
    <w:p w14:paraId="16517DEF" w14:textId="77777777" w:rsidR="00774226" w:rsidRPr="00CA00F2" w:rsidRDefault="00774226" w:rsidP="002A6B0A">
      <w:pPr>
        <w:jc w:val="left"/>
        <w:rPr>
          <w:rFonts w:cs="Arial"/>
          <w:lang w:val="en-US"/>
        </w:rPr>
      </w:pPr>
      <w:r w:rsidRPr="00CA00F2">
        <w:rPr>
          <w:rFonts w:cs="Arial"/>
          <w:lang w:val="en"/>
        </w:rPr>
        <w:t>In Australia, any unused medicine or waste material should be disposed of by taking to your local pharmacy.</w:t>
      </w:r>
    </w:p>
    <w:p w14:paraId="1780512C" w14:textId="6B24B242" w:rsidR="001A3992" w:rsidRDefault="001A3992" w:rsidP="002A6B0A">
      <w:pPr>
        <w:pStyle w:val="Heading2"/>
        <w:spacing w:before="0" w:after="120"/>
        <w:jc w:val="left"/>
        <w:rPr>
          <w:rFonts w:ascii="Arial" w:hAnsi="Arial" w:cs="Arial"/>
          <w:lang w:val="en-US"/>
        </w:rPr>
      </w:pPr>
      <w:r w:rsidRPr="00CA00F2">
        <w:rPr>
          <w:rFonts w:ascii="Arial" w:hAnsi="Arial" w:cs="Arial"/>
          <w:lang w:val="en-US"/>
        </w:rPr>
        <w:t>Physicochemical properties</w:t>
      </w:r>
    </w:p>
    <w:p w14:paraId="79D76E7B" w14:textId="54DC715A" w:rsidR="004F2974" w:rsidRPr="004F2974" w:rsidRDefault="004F2974" w:rsidP="002A6B0A">
      <w:pPr>
        <w:jc w:val="left"/>
        <w:rPr>
          <w:lang w:val="en-US"/>
        </w:rPr>
      </w:pPr>
      <w:r w:rsidRPr="004F2974">
        <w:rPr>
          <w:lang w:val="en-US"/>
        </w:rPr>
        <w:t xml:space="preserve">Belzutifan is a white to light brown powder that is soluble in acetonitrile, </w:t>
      </w:r>
      <w:proofErr w:type="spellStart"/>
      <w:r w:rsidRPr="004F2974">
        <w:rPr>
          <w:lang w:val="en-US"/>
        </w:rPr>
        <w:t>dimethoxyethane</w:t>
      </w:r>
      <w:proofErr w:type="spellEnd"/>
      <w:r w:rsidRPr="004F2974">
        <w:rPr>
          <w:lang w:val="en-US"/>
        </w:rPr>
        <w:t xml:space="preserve"> and acetone, sparingly soluble in ethyl acetate, very slightly soluble in isopropanol and toluene, and insoluble in water.</w:t>
      </w:r>
    </w:p>
    <w:p w14:paraId="30B6D3F6" w14:textId="17A4E85C" w:rsidR="001A3992" w:rsidRDefault="001A3992" w:rsidP="002A6B0A">
      <w:pPr>
        <w:pStyle w:val="Heading3"/>
        <w:jc w:val="left"/>
        <w:rPr>
          <w:lang w:val="en-US"/>
        </w:rPr>
      </w:pPr>
      <w:r w:rsidRPr="00CA00F2">
        <w:rPr>
          <w:lang w:val="en-US"/>
        </w:rPr>
        <w:t>Chemical structure</w:t>
      </w:r>
    </w:p>
    <w:p w14:paraId="48D90A29" w14:textId="77777777" w:rsidR="004F2974" w:rsidRDefault="004F2974" w:rsidP="002A6B0A">
      <w:pPr>
        <w:jc w:val="left"/>
      </w:pPr>
      <w:r>
        <w:t xml:space="preserve">The chemical name of </w:t>
      </w:r>
      <w:proofErr w:type="spellStart"/>
      <w:r w:rsidRPr="00330B29">
        <w:t>belzutifan</w:t>
      </w:r>
      <w:proofErr w:type="spellEnd"/>
      <w:r>
        <w:t xml:space="preserve"> is </w:t>
      </w:r>
      <w:r w:rsidRPr="00EE31B8">
        <w:t>3-[[(1S,2S,3R)-2,3-Difluoro-2,3-dihydro-1-hydroxy-7-(methylsulfonyl)-1H-inden-4-</w:t>
      </w:r>
      <w:proofErr w:type="gramStart"/>
      <w:r w:rsidRPr="00EE31B8">
        <w:t>yl]oxy</w:t>
      </w:r>
      <w:proofErr w:type="gramEnd"/>
      <w:r w:rsidRPr="00EE31B8">
        <w:t xml:space="preserve">]-5-fluorobenzonitrile. </w:t>
      </w:r>
      <w:r>
        <w:t xml:space="preserve">The molecular formula is </w:t>
      </w:r>
      <w:proofErr w:type="gramStart"/>
      <w:r w:rsidRPr="00EE31B8">
        <w:rPr>
          <w:color w:val="000000"/>
          <w:spacing w:val="6"/>
        </w:rPr>
        <w:t>C</w:t>
      </w:r>
      <w:r w:rsidRPr="00EE31B8">
        <w:rPr>
          <w:color w:val="000000"/>
          <w:spacing w:val="6"/>
          <w:vertAlign w:val="subscript"/>
        </w:rPr>
        <w:t>17</w:t>
      </w:r>
      <w:r w:rsidRPr="00EE31B8">
        <w:rPr>
          <w:color w:val="000000"/>
          <w:spacing w:val="6"/>
        </w:rPr>
        <w:t>H</w:t>
      </w:r>
      <w:r w:rsidRPr="00EE31B8">
        <w:rPr>
          <w:color w:val="000000"/>
          <w:spacing w:val="6"/>
          <w:vertAlign w:val="subscript"/>
        </w:rPr>
        <w:t>12</w:t>
      </w:r>
      <w:r w:rsidRPr="00EE31B8">
        <w:rPr>
          <w:color w:val="000000"/>
          <w:spacing w:val="6"/>
        </w:rPr>
        <w:t>F</w:t>
      </w:r>
      <w:r w:rsidRPr="00EE31B8">
        <w:rPr>
          <w:color w:val="000000"/>
          <w:spacing w:val="6"/>
          <w:vertAlign w:val="subscript"/>
        </w:rPr>
        <w:t>3</w:t>
      </w:r>
      <w:r w:rsidRPr="00EE31B8">
        <w:rPr>
          <w:color w:val="000000"/>
          <w:spacing w:val="6"/>
        </w:rPr>
        <w:t>NO</w:t>
      </w:r>
      <w:r w:rsidRPr="00EE31B8">
        <w:rPr>
          <w:color w:val="000000"/>
          <w:spacing w:val="6"/>
          <w:vertAlign w:val="subscript"/>
        </w:rPr>
        <w:t>4</w:t>
      </w:r>
      <w:r w:rsidRPr="00EE31B8">
        <w:rPr>
          <w:color w:val="000000"/>
          <w:spacing w:val="6"/>
        </w:rPr>
        <w:t>S</w:t>
      </w:r>
      <w:proofErr w:type="gramEnd"/>
      <w:r w:rsidRPr="00EE31B8">
        <w:t xml:space="preserve"> and the molecular weight is </w:t>
      </w:r>
      <w:r>
        <w:t>383.34</w:t>
      </w:r>
      <w:r w:rsidRPr="00EE31B8">
        <w:t xml:space="preserve"> Daltons.</w:t>
      </w:r>
    </w:p>
    <w:p w14:paraId="49679665" w14:textId="77777777" w:rsidR="004F2974" w:rsidRDefault="004F2974" w:rsidP="002A6B0A">
      <w:pPr>
        <w:jc w:val="left"/>
      </w:pPr>
      <w:r w:rsidRPr="00EE31B8">
        <w:t>The chemical structure is:</w:t>
      </w:r>
    </w:p>
    <w:p w14:paraId="26016FD1" w14:textId="77B161DE" w:rsidR="004F2974" w:rsidRDefault="004F2974" w:rsidP="002A6B0A">
      <w:pPr>
        <w:jc w:val="left"/>
        <w:rPr>
          <w:rFonts w:cs="Arial"/>
        </w:rPr>
      </w:pPr>
      <w:r>
        <w:rPr>
          <w:noProof/>
        </w:rPr>
        <w:lastRenderedPageBreak/>
        <w:drawing>
          <wp:inline distT="0" distB="0" distL="0" distR="0" wp14:anchorId="3E97034A" wp14:editId="42661343">
            <wp:extent cx="2842260"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260" cy="1790700"/>
                    </a:xfrm>
                    <a:prstGeom prst="rect">
                      <a:avLst/>
                    </a:prstGeom>
                    <a:noFill/>
                    <a:ln>
                      <a:noFill/>
                    </a:ln>
                  </pic:spPr>
                </pic:pic>
              </a:graphicData>
            </a:graphic>
          </wp:inline>
        </w:drawing>
      </w:r>
    </w:p>
    <w:p w14:paraId="6B046F44" w14:textId="4C433D95" w:rsidR="00774226" w:rsidRDefault="00774226" w:rsidP="002A6B0A">
      <w:pPr>
        <w:pStyle w:val="Heading3"/>
        <w:jc w:val="left"/>
      </w:pPr>
      <w:r>
        <w:t>CAS number</w:t>
      </w:r>
    </w:p>
    <w:p w14:paraId="4A9E6A60" w14:textId="469EB4E8" w:rsidR="006317D6" w:rsidRPr="006317D6" w:rsidRDefault="006317D6" w:rsidP="002A6B0A">
      <w:pPr>
        <w:jc w:val="left"/>
      </w:pPr>
      <w:r w:rsidRPr="006317D6">
        <w:t>1672668-24-4</w:t>
      </w:r>
    </w:p>
    <w:p w14:paraId="00764D66" w14:textId="3D70D7F6" w:rsidR="001A3992" w:rsidRDefault="001A3992" w:rsidP="002A6B0A">
      <w:pPr>
        <w:pStyle w:val="Heading1"/>
        <w:spacing w:before="0" w:after="120"/>
        <w:jc w:val="left"/>
        <w:rPr>
          <w:rFonts w:ascii="Arial" w:hAnsi="Arial" w:cs="Arial"/>
          <w:lang w:val="en-US"/>
        </w:rPr>
      </w:pPr>
      <w:r w:rsidRPr="00CA00F2">
        <w:rPr>
          <w:rFonts w:ascii="Arial" w:hAnsi="Arial" w:cs="Arial"/>
          <w:lang w:val="en-US"/>
        </w:rPr>
        <w:t>Medicine schedule (Poisons Standard)</w:t>
      </w:r>
    </w:p>
    <w:p w14:paraId="359A8182" w14:textId="77777777" w:rsidR="00774226" w:rsidRPr="004F2974" w:rsidRDefault="00774226" w:rsidP="002A6B0A">
      <w:pPr>
        <w:jc w:val="left"/>
        <w:rPr>
          <w:lang w:val="en-US"/>
        </w:rPr>
      </w:pPr>
      <w:r w:rsidRPr="004F2974">
        <w:rPr>
          <w:lang w:val="en-US"/>
        </w:rPr>
        <w:t>Prescription only medicine (Schedule 4)</w:t>
      </w:r>
    </w:p>
    <w:p w14:paraId="55840052" w14:textId="29877C02" w:rsidR="001A3992" w:rsidRDefault="001A3992" w:rsidP="002A6B0A">
      <w:pPr>
        <w:pStyle w:val="Heading1"/>
        <w:spacing w:before="0" w:after="120"/>
        <w:jc w:val="left"/>
        <w:rPr>
          <w:rFonts w:ascii="Arial" w:hAnsi="Arial" w:cs="Arial"/>
          <w:lang w:val="en-US"/>
        </w:rPr>
      </w:pPr>
      <w:r w:rsidRPr="00CA00F2">
        <w:rPr>
          <w:rFonts w:ascii="Arial" w:hAnsi="Arial" w:cs="Arial"/>
          <w:lang w:val="en-US"/>
        </w:rPr>
        <w:t>Sponsor</w:t>
      </w:r>
    </w:p>
    <w:p w14:paraId="0F5BD0AE" w14:textId="77777777" w:rsidR="004F2974" w:rsidRPr="004F2974" w:rsidRDefault="004F2974" w:rsidP="002A6B0A">
      <w:pPr>
        <w:spacing w:after="0"/>
        <w:jc w:val="left"/>
        <w:rPr>
          <w:lang w:val="en-US"/>
        </w:rPr>
      </w:pPr>
      <w:r w:rsidRPr="004F2974">
        <w:rPr>
          <w:lang w:val="en-US"/>
        </w:rPr>
        <w:t>Merck Sharp &amp; Dohme (Australia) Pty Limited</w:t>
      </w:r>
    </w:p>
    <w:p w14:paraId="50616B24" w14:textId="77777777" w:rsidR="004F2974" w:rsidRPr="004F2974" w:rsidRDefault="004F2974" w:rsidP="002A6B0A">
      <w:pPr>
        <w:spacing w:after="0"/>
        <w:jc w:val="left"/>
        <w:rPr>
          <w:lang w:val="en-US"/>
        </w:rPr>
      </w:pPr>
      <w:r w:rsidRPr="004F2974">
        <w:rPr>
          <w:lang w:val="en-US"/>
        </w:rPr>
        <w:t>Level 1, Building A, 26 Talavera Road</w:t>
      </w:r>
    </w:p>
    <w:p w14:paraId="44582C4E" w14:textId="77777777" w:rsidR="004F2974" w:rsidRPr="004F2974" w:rsidRDefault="004F2974" w:rsidP="002A6B0A">
      <w:pPr>
        <w:spacing w:after="0"/>
        <w:jc w:val="left"/>
        <w:rPr>
          <w:lang w:val="en-US"/>
        </w:rPr>
      </w:pPr>
      <w:r w:rsidRPr="004F2974">
        <w:rPr>
          <w:lang w:val="en-US"/>
        </w:rPr>
        <w:t>Macquarie Park, NSW 2113, Australia</w:t>
      </w:r>
    </w:p>
    <w:p w14:paraId="05A87937" w14:textId="09B015A7" w:rsidR="004F2974" w:rsidRPr="004F2974" w:rsidRDefault="002A6B0A" w:rsidP="002A6B0A">
      <w:pPr>
        <w:spacing w:after="0"/>
        <w:jc w:val="left"/>
        <w:rPr>
          <w:lang w:val="en-US"/>
        </w:rPr>
      </w:pPr>
      <w:hyperlink r:id="rId16" w:history="1">
        <w:r w:rsidR="004F2974" w:rsidRPr="009F4C90">
          <w:rPr>
            <w:rStyle w:val="Hyperlink"/>
            <w:lang w:val="en-US"/>
          </w:rPr>
          <w:t>http://www.msd-australia.com.au</w:t>
        </w:r>
      </w:hyperlink>
      <w:r w:rsidR="004F2974">
        <w:rPr>
          <w:lang w:val="en-US"/>
        </w:rPr>
        <w:t xml:space="preserve"> </w:t>
      </w:r>
    </w:p>
    <w:p w14:paraId="4DAD2767" w14:textId="55BAA836" w:rsidR="004F2974" w:rsidRDefault="004F2974" w:rsidP="002A6B0A">
      <w:pPr>
        <w:spacing w:after="0"/>
        <w:jc w:val="left"/>
        <w:rPr>
          <w:lang w:val="en-US"/>
        </w:rPr>
      </w:pPr>
      <w:r w:rsidRPr="004F2974">
        <w:rPr>
          <w:lang w:val="en-US"/>
        </w:rPr>
        <w:t>Tel</w:t>
      </w:r>
      <w:r w:rsidR="006317D6">
        <w:rPr>
          <w:lang w:val="en-US"/>
        </w:rPr>
        <w:t>:</w:t>
      </w:r>
      <w:r w:rsidRPr="004F2974">
        <w:rPr>
          <w:lang w:val="en-US"/>
        </w:rPr>
        <w:t xml:space="preserve"> </w:t>
      </w:r>
      <w:r w:rsidR="006317D6" w:rsidRPr="006317D6">
        <w:rPr>
          <w:lang w:val="en-US"/>
        </w:rPr>
        <w:t>1800 818 553</w:t>
      </w:r>
    </w:p>
    <w:p w14:paraId="64133666" w14:textId="77777777" w:rsidR="004F2974" w:rsidRPr="004F2974" w:rsidRDefault="004F2974" w:rsidP="002A6B0A">
      <w:pPr>
        <w:spacing w:after="0"/>
        <w:jc w:val="left"/>
        <w:rPr>
          <w:lang w:val="en-US"/>
        </w:rPr>
      </w:pPr>
    </w:p>
    <w:p w14:paraId="440D2175" w14:textId="501AD3B3" w:rsidR="001A3992" w:rsidRDefault="001A3992" w:rsidP="002A6B0A">
      <w:pPr>
        <w:pStyle w:val="Heading1"/>
        <w:spacing w:before="0" w:after="120"/>
        <w:jc w:val="left"/>
        <w:rPr>
          <w:rFonts w:ascii="Arial" w:hAnsi="Arial" w:cs="Arial"/>
          <w:lang w:val="en-US"/>
        </w:rPr>
      </w:pPr>
      <w:r w:rsidRPr="00CA00F2">
        <w:rPr>
          <w:rFonts w:ascii="Arial" w:hAnsi="Arial" w:cs="Arial"/>
          <w:lang w:val="en-US"/>
        </w:rPr>
        <w:t xml:space="preserve">Date of first approval  </w:t>
      </w:r>
    </w:p>
    <w:p w14:paraId="30386267" w14:textId="7641CDEC" w:rsidR="004F2974" w:rsidRPr="004F2974" w:rsidRDefault="001936D6" w:rsidP="002A6B0A">
      <w:pPr>
        <w:jc w:val="left"/>
        <w:rPr>
          <w:lang w:val="en-US"/>
        </w:rPr>
      </w:pPr>
      <w:r>
        <w:rPr>
          <w:lang w:val="en-US"/>
        </w:rPr>
        <w:t>22 December 2022</w:t>
      </w:r>
    </w:p>
    <w:p w14:paraId="46C95860" w14:textId="68B52E65" w:rsidR="001A3992" w:rsidRDefault="001A3992" w:rsidP="002A6B0A">
      <w:pPr>
        <w:pStyle w:val="Heading1"/>
        <w:spacing w:before="0" w:after="120"/>
        <w:jc w:val="left"/>
        <w:rPr>
          <w:rFonts w:ascii="Arial" w:hAnsi="Arial" w:cs="Arial"/>
          <w:lang w:val="en-US"/>
        </w:rPr>
      </w:pPr>
      <w:r w:rsidRPr="00CA00F2">
        <w:rPr>
          <w:rFonts w:ascii="Arial" w:hAnsi="Arial" w:cs="Arial"/>
          <w:lang w:val="en-US"/>
        </w:rPr>
        <w:t xml:space="preserve">Date of revision </w:t>
      </w:r>
    </w:p>
    <w:p w14:paraId="09C1BF46" w14:textId="018C331C" w:rsidR="004F2974" w:rsidRPr="004F2974" w:rsidRDefault="006672C3" w:rsidP="002A6B0A">
      <w:pPr>
        <w:jc w:val="left"/>
        <w:rPr>
          <w:lang w:val="en-US"/>
        </w:rPr>
      </w:pPr>
      <w:r>
        <w:rPr>
          <w:lang w:val="en-US"/>
        </w:rPr>
        <w:t>Not applicable</w:t>
      </w:r>
    </w:p>
    <w:p w14:paraId="355030AB" w14:textId="77777777" w:rsidR="001A3992" w:rsidRPr="00CA00F2" w:rsidRDefault="001A3992" w:rsidP="002A6B0A">
      <w:pPr>
        <w:pStyle w:val="Heading2"/>
        <w:numPr>
          <w:ilvl w:val="0"/>
          <w:numId w:val="0"/>
        </w:numPr>
        <w:spacing w:before="0" w:after="120"/>
        <w:jc w:val="left"/>
        <w:rPr>
          <w:rFonts w:ascii="Arial" w:hAnsi="Arial" w:cs="Arial"/>
          <w:lang w:val="en-US"/>
        </w:rPr>
      </w:pPr>
      <w:r w:rsidRPr="00CA00F2">
        <w:rPr>
          <w:rFonts w:ascii="Arial" w:hAnsi="Arial" w:cs="Arial"/>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ED0937" w:rsidRPr="00CA00F2" w14:paraId="5EA95039" w14:textId="77777777" w:rsidTr="00B64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shd w:val="clear" w:color="auto" w:fill="F2F2F2" w:themeFill="background1" w:themeFillShade="F2"/>
            <w:vAlign w:val="center"/>
          </w:tcPr>
          <w:p w14:paraId="6067E922" w14:textId="77777777" w:rsidR="00ED0937" w:rsidRPr="00CA00F2" w:rsidRDefault="00ED0937" w:rsidP="002A6B0A">
            <w:pPr>
              <w:jc w:val="left"/>
              <w:rPr>
                <w:rFonts w:cs="Arial"/>
                <w:sz w:val="20"/>
                <w:lang w:val="en-US"/>
              </w:rPr>
            </w:pPr>
            <w:r w:rsidRPr="00CA00F2">
              <w:rPr>
                <w:rFonts w:cs="Arial"/>
                <w:sz w:val="20"/>
                <w:lang w:val="en-US"/>
              </w:rPr>
              <w:t>Section Changed</w:t>
            </w:r>
          </w:p>
        </w:tc>
        <w:tc>
          <w:tcPr>
            <w:tcW w:w="7633" w:type="dxa"/>
            <w:shd w:val="clear" w:color="auto" w:fill="F2F2F2" w:themeFill="background1" w:themeFillShade="F2"/>
            <w:vAlign w:val="center"/>
          </w:tcPr>
          <w:p w14:paraId="0D67B577" w14:textId="77777777" w:rsidR="00ED0937" w:rsidRPr="00CA00F2" w:rsidRDefault="00ED0937" w:rsidP="002A6B0A">
            <w:pPr>
              <w:jc w:val="left"/>
              <w:cnfStyle w:val="100000000000" w:firstRow="1" w:lastRow="0" w:firstColumn="0" w:lastColumn="0" w:oddVBand="0" w:evenVBand="0" w:oddHBand="0" w:evenHBand="0" w:firstRowFirstColumn="0" w:firstRowLastColumn="0" w:lastRowFirstColumn="0" w:lastRowLastColumn="0"/>
              <w:rPr>
                <w:rFonts w:cs="Arial"/>
                <w:sz w:val="20"/>
                <w:lang w:val="en-US"/>
              </w:rPr>
            </w:pPr>
            <w:r w:rsidRPr="00CA00F2">
              <w:rPr>
                <w:rFonts w:cs="Arial"/>
                <w:sz w:val="20"/>
                <w:lang w:val="en-US"/>
              </w:rPr>
              <w:t>Summary of new information</w:t>
            </w:r>
          </w:p>
        </w:tc>
      </w:tr>
      <w:tr w:rsidR="00ED0937" w:rsidRPr="00CA00F2" w14:paraId="4C2F55C7" w14:textId="77777777" w:rsidTr="00B64366">
        <w:tc>
          <w:tcPr>
            <w:cnfStyle w:val="001000000000" w:firstRow="0" w:lastRow="0" w:firstColumn="1" w:lastColumn="0" w:oddVBand="0" w:evenVBand="0" w:oddHBand="0" w:evenHBand="0" w:firstRowFirstColumn="0" w:firstRowLastColumn="0" w:lastRowFirstColumn="0" w:lastRowLastColumn="0"/>
            <w:tcW w:w="1373" w:type="dxa"/>
            <w:vAlign w:val="center"/>
          </w:tcPr>
          <w:p w14:paraId="20778B2D" w14:textId="01B65433" w:rsidR="00ED0937" w:rsidRPr="00CA00F2" w:rsidRDefault="004F2974" w:rsidP="002A6B0A">
            <w:pPr>
              <w:jc w:val="left"/>
              <w:rPr>
                <w:rFonts w:cs="Arial"/>
                <w:lang w:val="en-US"/>
              </w:rPr>
            </w:pPr>
            <w:r>
              <w:rPr>
                <w:rFonts w:cs="Arial"/>
                <w:lang w:val="en-US"/>
              </w:rPr>
              <w:t>All</w:t>
            </w:r>
          </w:p>
        </w:tc>
        <w:tc>
          <w:tcPr>
            <w:tcW w:w="7633" w:type="dxa"/>
            <w:vAlign w:val="center"/>
          </w:tcPr>
          <w:p w14:paraId="2523097A" w14:textId="211C478B" w:rsidR="00ED0937" w:rsidRPr="00CA00F2" w:rsidRDefault="004F2974" w:rsidP="002A6B0A">
            <w:pPr>
              <w:jc w:val="left"/>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New</w:t>
            </w:r>
          </w:p>
        </w:tc>
      </w:tr>
    </w:tbl>
    <w:p w14:paraId="59F4949C" w14:textId="77777777" w:rsidR="001A3992" w:rsidRPr="00CA00F2" w:rsidRDefault="001A3992" w:rsidP="002A6B0A">
      <w:pPr>
        <w:spacing w:after="120"/>
        <w:jc w:val="left"/>
        <w:rPr>
          <w:rFonts w:cs="Arial"/>
          <w:lang w:val="en-US"/>
        </w:rPr>
      </w:pPr>
    </w:p>
    <w:p w14:paraId="16F5FC1E" w14:textId="6F4B183D" w:rsidR="00960CD5" w:rsidRDefault="00BF7BFC" w:rsidP="002A6B0A">
      <w:pPr>
        <w:spacing w:after="120"/>
        <w:jc w:val="left"/>
        <w:rPr>
          <w:rFonts w:cs="Arial"/>
        </w:rPr>
      </w:pPr>
      <w:r w:rsidRPr="00BF7BFC">
        <w:rPr>
          <w:rFonts w:cs="Arial"/>
        </w:rPr>
        <w:t>RCN000019728</w:t>
      </w:r>
      <w:r w:rsidR="00977A69">
        <w:rPr>
          <w:rFonts w:cs="Arial"/>
        </w:rPr>
        <w:t>; RCN</w:t>
      </w:r>
      <w:r w:rsidR="00794C7A" w:rsidRPr="00794C7A">
        <w:rPr>
          <w:rFonts w:cs="Arial"/>
        </w:rPr>
        <w:t>000022668</w:t>
      </w:r>
    </w:p>
    <w:p w14:paraId="2BE81697" w14:textId="13CEE7CA" w:rsidR="00C025E9" w:rsidRPr="00CA00F2" w:rsidRDefault="00C025E9" w:rsidP="002A6B0A">
      <w:pPr>
        <w:spacing w:after="120"/>
        <w:jc w:val="left"/>
        <w:rPr>
          <w:rFonts w:cs="Arial"/>
        </w:rPr>
      </w:pPr>
      <w:r w:rsidRPr="00C025E9">
        <w:rPr>
          <w:rFonts w:cs="Arial"/>
        </w:rPr>
        <w:t>Copyright © 202</w:t>
      </w:r>
      <w:r w:rsidR="008125B9">
        <w:rPr>
          <w:rFonts w:cs="Arial"/>
        </w:rPr>
        <w:t>2</w:t>
      </w:r>
      <w:r w:rsidRPr="00C025E9">
        <w:rPr>
          <w:rFonts w:cs="Arial"/>
        </w:rPr>
        <w:t xml:space="preserve"> Merck &amp; Co., Inc., </w:t>
      </w:r>
      <w:r w:rsidR="00C25E39" w:rsidRPr="006245A2">
        <w:rPr>
          <w:lang w:val="en-US"/>
        </w:rPr>
        <w:t>Rahway</w:t>
      </w:r>
      <w:r w:rsidRPr="00C025E9">
        <w:rPr>
          <w:rFonts w:cs="Arial"/>
        </w:rPr>
        <w:t>, NJ, USA, and its affiliates. All rights</w:t>
      </w:r>
      <w:r>
        <w:rPr>
          <w:rFonts w:cs="Arial"/>
        </w:rPr>
        <w:t xml:space="preserve"> </w:t>
      </w:r>
      <w:r w:rsidRPr="00C025E9">
        <w:rPr>
          <w:rFonts w:cs="Arial"/>
        </w:rPr>
        <w:t>reserved</w:t>
      </w:r>
    </w:p>
    <w:sectPr w:rsidR="00C025E9" w:rsidRPr="00CA00F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EC96" w14:textId="77777777" w:rsidR="00031FC7" w:rsidRDefault="00031FC7" w:rsidP="001A3992">
      <w:pPr>
        <w:spacing w:after="0" w:line="240" w:lineRule="auto"/>
      </w:pPr>
      <w:r>
        <w:separator/>
      </w:r>
    </w:p>
    <w:p w14:paraId="009A0EE9" w14:textId="77777777" w:rsidR="00031FC7" w:rsidRDefault="00031FC7"/>
  </w:endnote>
  <w:endnote w:type="continuationSeparator" w:id="0">
    <w:p w14:paraId="360B44B1" w14:textId="77777777" w:rsidR="00031FC7" w:rsidRDefault="00031FC7" w:rsidP="001A3992">
      <w:pPr>
        <w:spacing w:after="0" w:line="240" w:lineRule="auto"/>
      </w:pPr>
      <w:r>
        <w:continuationSeparator/>
      </w:r>
    </w:p>
    <w:p w14:paraId="69570CE8" w14:textId="77777777" w:rsidR="00031FC7" w:rsidRDefault="0003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6FD59394" w14:textId="77777777" w:rsidR="00CB37D7" w:rsidRPr="00B8074A" w:rsidRDefault="00CB37D7" w:rsidP="00403CDE">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Pr>
            <w:noProof/>
            <w:sz w:val="20"/>
          </w:rPr>
          <w:t>2</w:t>
        </w:r>
        <w:r w:rsidRPr="00B8074A">
          <w:rPr>
            <w:noProof/>
            <w:sz w:val="20"/>
          </w:rPr>
          <w:fldChar w:fldCharType="end"/>
        </w:r>
      </w:p>
    </w:sdtContent>
  </w:sdt>
  <w:p w14:paraId="2B4414EC" w14:textId="77777777" w:rsidR="00CB37D7" w:rsidRDefault="00CB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5C2B" w14:textId="77777777" w:rsidR="00031FC7" w:rsidRDefault="00031FC7" w:rsidP="001A3992">
      <w:pPr>
        <w:spacing w:after="0" w:line="240" w:lineRule="auto"/>
      </w:pPr>
      <w:r>
        <w:separator/>
      </w:r>
    </w:p>
    <w:p w14:paraId="430EB596" w14:textId="77777777" w:rsidR="00031FC7" w:rsidRDefault="00031FC7"/>
  </w:footnote>
  <w:footnote w:type="continuationSeparator" w:id="0">
    <w:p w14:paraId="43FE5F41" w14:textId="77777777" w:rsidR="00031FC7" w:rsidRDefault="00031FC7" w:rsidP="001A3992">
      <w:pPr>
        <w:spacing w:after="0" w:line="240" w:lineRule="auto"/>
      </w:pPr>
      <w:r>
        <w:continuationSeparator/>
      </w:r>
    </w:p>
    <w:p w14:paraId="10992BD7" w14:textId="77777777" w:rsidR="00031FC7" w:rsidRDefault="00031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2A6B0A" w:rsidRPr="000B2145" w14:paraId="41F4AD53" w14:textId="77777777" w:rsidTr="003158EB">
      <w:trPr>
        <w:trHeight w:val="1012"/>
      </w:trPr>
      <w:tc>
        <w:tcPr>
          <w:tcW w:w="9180" w:type="dxa"/>
          <w:shd w:val="clear" w:color="auto" w:fill="E4F2E0"/>
        </w:tcPr>
        <w:p w14:paraId="66E38866" w14:textId="77777777" w:rsidR="002A6B0A" w:rsidRPr="000E4791" w:rsidRDefault="002A6B0A" w:rsidP="002A6B0A">
          <w:pPr>
            <w:pStyle w:val="Footer"/>
            <w:rPr>
              <w:b/>
              <w:sz w:val="18"/>
              <w:szCs w:val="18"/>
            </w:rPr>
          </w:pPr>
          <w:bookmarkStart w:id="35" w:name="_Hlk109054010"/>
          <w:r w:rsidRPr="00EE2A41">
            <w:rPr>
              <w:b/>
              <w:sz w:val="18"/>
              <w:szCs w:val="18"/>
            </w:rPr>
            <w:t xml:space="preserve">Attachment </w:t>
          </w:r>
          <w:r w:rsidRPr="007D5AE3">
            <w:rPr>
              <w:b/>
              <w:sz w:val="18"/>
              <w:szCs w:val="18"/>
            </w:rPr>
            <w:t xml:space="preserve">AusPAR - Welireg - </w:t>
          </w:r>
          <w:proofErr w:type="spellStart"/>
          <w:r w:rsidRPr="007D5AE3">
            <w:rPr>
              <w:b/>
              <w:sz w:val="18"/>
              <w:szCs w:val="18"/>
            </w:rPr>
            <w:t>belzutifan</w:t>
          </w:r>
          <w:proofErr w:type="spellEnd"/>
          <w:r w:rsidRPr="007D5AE3">
            <w:rPr>
              <w:b/>
              <w:sz w:val="18"/>
              <w:szCs w:val="18"/>
            </w:rPr>
            <w:t xml:space="preserve"> – Merck Sharp &amp; Dohme (Australia) Pty Ltd - PM-2021-00644-1-4</w:t>
          </w:r>
          <w:r>
            <w:rPr>
              <w:b/>
              <w:sz w:val="18"/>
              <w:szCs w:val="18"/>
            </w:rPr>
            <w:t xml:space="preserve"> </w:t>
          </w:r>
          <w:r w:rsidRPr="007D5AE3">
            <w:rPr>
              <w:b/>
              <w:sz w:val="18"/>
              <w:szCs w:val="18"/>
            </w:rPr>
            <w:t>Final – 13 September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5"/>
  </w:tbl>
  <w:p w14:paraId="45605787" w14:textId="77777777" w:rsidR="0022251D" w:rsidRDefault="0022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4C881"/>
    <w:multiLevelType w:val="hybridMultilevel"/>
    <w:tmpl w:val="387A2F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C0946C"/>
    <w:multiLevelType w:val="hybridMultilevel"/>
    <w:tmpl w:val="C53D71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F764EB"/>
    <w:multiLevelType w:val="hybridMultilevel"/>
    <w:tmpl w:val="CA9A0B48"/>
    <w:lvl w:ilvl="0" w:tplc="73C24D74">
      <w:numFmt w:val="bullet"/>
      <w:lvlText w:val="-"/>
      <w:lvlJc w:val="left"/>
      <w:pPr>
        <w:ind w:left="1110" w:hanging="360"/>
      </w:pPr>
      <w:rPr>
        <w:rFonts w:ascii="Calibri" w:eastAsiaTheme="minorHAnsi" w:hAnsi="Calibri" w:cs="Calibri"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16784"/>
    <w:multiLevelType w:val="hybridMultilevel"/>
    <w:tmpl w:val="06AE8BD8"/>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6"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5EA48"/>
    <w:multiLevelType w:val="hybridMultilevel"/>
    <w:tmpl w:val="0CA3A5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9E19D4"/>
    <w:multiLevelType w:val="hybridMultilevel"/>
    <w:tmpl w:val="859C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5959454">
    <w:abstractNumId w:val="12"/>
  </w:num>
  <w:num w:numId="2" w16cid:durableId="502210983">
    <w:abstractNumId w:val="4"/>
  </w:num>
  <w:num w:numId="3" w16cid:durableId="599528285">
    <w:abstractNumId w:val="2"/>
  </w:num>
  <w:num w:numId="4" w16cid:durableId="1062673671">
    <w:abstractNumId w:val="9"/>
  </w:num>
  <w:num w:numId="5" w16cid:durableId="1032923079">
    <w:abstractNumId w:val="15"/>
  </w:num>
  <w:num w:numId="6" w16cid:durableId="1814709275">
    <w:abstractNumId w:val="13"/>
  </w:num>
  <w:num w:numId="7" w16cid:durableId="960040964">
    <w:abstractNumId w:val="11"/>
  </w:num>
  <w:num w:numId="8" w16cid:durableId="1671175920">
    <w:abstractNumId w:val="14"/>
  </w:num>
  <w:num w:numId="9" w16cid:durableId="721441366">
    <w:abstractNumId w:val="6"/>
  </w:num>
  <w:num w:numId="10" w16cid:durableId="704866803">
    <w:abstractNumId w:val="10"/>
  </w:num>
  <w:num w:numId="11" w16cid:durableId="409547796">
    <w:abstractNumId w:val="8"/>
  </w:num>
  <w:num w:numId="12" w16cid:durableId="919875152">
    <w:abstractNumId w:val="5"/>
  </w:num>
  <w:num w:numId="13" w16cid:durableId="1582521101">
    <w:abstractNumId w:val="3"/>
  </w:num>
  <w:num w:numId="14" w16cid:durableId="624653770">
    <w:abstractNumId w:val="0"/>
  </w:num>
  <w:num w:numId="15" w16cid:durableId="906692639">
    <w:abstractNumId w:val="1"/>
  </w:num>
  <w:num w:numId="16" w16cid:durableId="1718355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30"/>
    <w:rsid w:val="00000897"/>
    <w:rsid w:val="0000342A"/>
    <w:rsid w:val="00004DE9"/>
    <w:rsid w:val="000159EF"/>
    <w:rsid w:val="0002529B"/>
    <w:rsid w:val="00027D80"/>
    <w:rsid w:val="00031FC7"/>
    <w:rsid w:val="00037044"/>
    <w:rsid w:val="00064055"/>
    <w:rsid w:val="000645CA"/>
    <w:rsid w:val="000749FC"/>
    <w:rsid w:val="00077FE1"/>
    <w:rsid w:val="000829D4"/>
    <w:rsid w:val="000A6662"/>
    <w:rsid w:val="000C57E0"/>
    <w:rsid w:val="000D066C"/>
    <w:rsid w:val="000D477B"/>
    <w:rsid w:val="000F49C1"/>
    <w:rsid w:val="00100C02"/>
    <w:rsid w:val="00115BF4"/>
    <w:rsid w:val="001220C0"/>
    <w:rsid w:val="00124384"/>
    <w:rsid w:val="001244B9"/>
    <w:rsid w:val="001266E6"/>
    <w:rsid w:val="00133807"/>
    <w:rsid w:val="00142B29"/>
    <w:rsid w:val="00146E0A"/>
    <w:rsid w:val="00153322"/>
    <w:rsid w:val="001538C1"/>
    <w:rsid w:val="0015512E"/>
    <w:rsid w:val="00160B92"/>
    <w:rsid w:val="0018146F"/>
    <w:rsid w:val="00191D5E"/>
    <w:rsid w:val="001936D6"/>
    <w:rsid w:val="00195856"/>
    <w:rsid w:val="001A3992"/>
    <w:rsid w:val="001B294B"/>
    <w:rsid w:val="001C66CE"/>
    <w:rsid w:val="001C7DE1"/>
    <w:rsid w:val="001F418B"/>
    <w:rsid w:val="002005F6"/>
    <w:rsid w:val="002030EC"/>
    <w:rsid w:val="0020357F"/>
    <w:rsid w:val="00205CA9"/>
    <w:rsid w:val="002079D1"/>
    <w:rsid w:val="0021452F"/>
    <w:rsid w:val="002156D4"/>
    <w:rsid w:val="0022251D"/>
    <w:rsid w:val="002240E4"/>
    <w:rsid w:val="00226234"/>
    <w:rsid w:val="00234D73"/>
    <w:rsid w:val="00236846"/>
    <w:rsid w:val="00243492"/>
    <w:rsid w:val="00245549"/>
    <w:rsid w:val="002569DE"/>
    <w:rsid w:val="002769B8"/>
    <w:rsid w:val="002916D1"/>
    <w:rsid w:val="00292121"/>
    <w:rsid w:val="002A1CCB"/>
    <w:rsid w:val="002A1F20"/>
    <w:rsid w:val="002A6B0A"/>
    <w:rsid w:val="002B424E"/>
    <w:rsid w:val="002C4987"/>
    <w:rsid w:val="002D371A"/>
    <w:rsid w:val="002D5DFD"/>
    <w:rsid w:val="002E277D"/>
    <w:rsid w:val="002F4A27"/>
    <w:rsid w:val="00303A70"/>
    <w:rsid w:val="00317553"/>
    <w:rsid w:val="00333180"/>
    <w:rsid w:val="00334121"/>
    <w:rsid w:val="003439B3"/>
    <w:rsid w:val="0035120F"/>
    <w:rsid w:val="0035258D"/>
    <w:rsid w:val="00371DB6"/>
    <w:rsid w:val="003A3BF5"/>
    <w:rsid w:val="003D54C4"/>
    <w:rsid w:val="004023D6"/>
    <w:rsid w:val="004032BD"/>
    <w:rsid w:val="00403CDE"/>
    <w:rsid w:val="00410EDB"/>
    <w:rsid w:val="004116AD"/>
    <w:rsid w:val="0041785C"/>
    <w:rsid w:val="00431ACD"/>
    <w:rsid w:val="00435489"/>
    <w:rsid w:val="004534BD"/>
    <w:rsid w:val="00463527"/>
    <w:rsid w:val="004663C6"/>
    <w:rsid w:val="00475173"/>
    <w:rsid w:val="004847DD"/>
    <w:rsid w:val="0049237D"/>
    <w:rsid w:val="00497C85"/>
    <w:rsid w:val="004B2543"/>
    <w:rsid w:val="004C5330"/>
    <w:rsid w:val="004C576B"/>
    <w:rsid w:val="004E2EFF"/>
    <w:rsid w:val="004F2728"/>
    <w:rsid w:val="004F2974"/>
    <w:rsid w:val="004F70F8"/>
    <w:rsid w:val="005044C2"/>
    <w:rsid w:val="00507106"/>
    <w:rsid w:val="00510D82"/>
    <w:rsid w:val="00512BA0"/>
    <w:rsid w:val="00543CD0"/>
    <w:rsid w:val="00555D74"/>
    <w:rsid w:val="00580061"/>
    <w:rsid w:val="00582AED"/>
    <w:rsid w:val="005A274E"/>
    <w:rsid w:val="005B09F9"/>
    <w:rsid w:val="005C17EA"/>
    <w:rsid w:val="005F4773"/>
    <w:rsid w:val="00601EE0"/>
    <w:rsid w:val="00602A90"/>
    <w:rsid w:val="00603F7F"/>
    <w:rsid w:val="00614218"/>
    <w:rsid w:val="006317D6"/>
    <w:rsid w:val="0063417F"/>
    <w:rsid w:val="00642423"/>
    <w:rsid w:val="0066513A"/>
    <w:rsid w:val="006672C3"/>
    <w:rsid w:val="006728A0"/>
    <w:rsid w:val="006744D7"/>
    <w:rsid w:val="00677840"/>
    <w:rsid w:val="006807E4"/>
    <w:rsid w:val="00680FE3"/>
    <w:rsid w:val="006A1F46"/>
    <w:rsid w:val="006A6A21"/>
    <w:rsid w:val="006B1E7C"/>
    <w:rsid w:val="006B5A43"/>
    <w:rsid w:val="006C73E8"/>
    <w:rsid w:val="006D60C8"/>
    <w:rsid w:val="006E0138"/>
    <w:rsid w:val="006E0FA6"/>
    <w:rsid w:val="006F1617"/>
    <w:rsid w:val="006F5975"/>
    <w:rsid w:val="00705249"/>
    <w:rsid w:val="007139B2"/>
    <w:rsid w:val="007448D3"/>
    <w:rsid w:val="007463F5"/>
    <w:rsid w:val="00756E2F"/>
    <w:rsid w:val="00760DA3"/>
    <w:rsid w:val="00764AEA"/>
    <w:rsid w:val="00774226"/>
    <w:rsid w:val="0078529B"/>
    <w:rsid w:val="007856EC"/>
    <w:rsid w:val="007918FB"/>
    <w:rsid w:val="00794C7A"/>
    <w:rsid w:val="007A6E84"/>
    <w:rsid w:val="007B109E"/>
    <w:rsid w:val="007B7554"/>
    <w:rsid w:val="007C1D5D"/>
    <w:rsid w:val="007E6005"/>
    <w:rsid w:val="007E693C"/>
    <w:rsid w:val="007E7F49"/>
    <w:rsid w:val="008125B9"/>
    <w:rsid w:val="00820756"/>
    <w:rsid w:val="00820AE8"/>
    <w:rsid w:val="008224BB"/>
    <w:rsid w:val="00825752"/>
    <w:rsid w:val="008335CE"/>
    <w:rsid w:val="00845E39"/>
    <w:rsid w:val="008474CB"/>
    <w:rsid w:val="00877A33"/>
    <w:rsid w:val="00883103"/>
    <w:rsid w:val="008844FE"/>
    <w:rsid w:val="00890C09"/>
    <w:rsid w:val="00894E2F"/>
    <w:rsid w:val="008A4FE7"/>
    <w:rsid w:val="008C052B"/>
    <w:rsid w:val="008C43F3"/>
    <w:rsid w:val="008D225B"/>
    <w:rsid w:val="008D2E56"/>
    <w:rsid w:val="008E2B2E"/>
    <w:rsid w:val="008F3076"/>
    <w:rsid w:val="008F3955"/>
    <w:rsid w:val="009009FB"/>
    <w:rsid w:val="00914EBA"/>
    <w:rsid w:val="00923AA6"/>
    <w:rsid w:val="00925EE7"/>
    <w:rsid w:val="00941374"/>
    <w:rsid w:val="009445F8"/>
    <w:rsid w:val="00951267"/>
    <w:rsid w:val="00960CD5"/>
    <w:rsid w:val="00974A46"/>
    <w:rsid w:val="00977A69"/>
    <w:rsid w:val="009A7051"/>
    <w:rsid w:val="009A739A"/>
    <w:rsid w:val="009B07B4"/>
    <w:rsid w:val="009B584F"/>
    <w:rsid w:val="009C3B89"/>
    <w:rsid w:val="009C7493"/>
    <w:rsid w:val="009E0C08"/>
    <w:rsid w:val="009E462A"/>
    <w:rsid w:val="009E4979"/>
    <w:rsid w:val="00A00CBA"/>
    <w:rsid w:val="00A20267"/>
    <w:rsid w:val="00A2539D"/>
    <w:rsid w:val="00A566D1"/>
    <w:rsid w:val="00A57895"/>
    <w:rsid w:val="00A62369"/>
    <w:rsid w:val="00A706BB"/>
    <w:rsid w:val="00A853D2"/>
    <w:rsid w:val="00A902C2"/>
    <w:rsid w:val="00AB16AB"/>
    <w:rsid w:val="00AB63A9"/>
    <w:rsid w:val="00AC4A61"/>
    <w:rsid w:val="00AC5CD1"/>
    <w:rsid w:val="00AD0F46"/>
    <w:rsid w:val="00AD58E0"/>
    <w:rsid w:val="00AE409A"/>
    <w:rsid w:val="00AF137F"/>
    <w:rsid w:val="00AF21F3"/>
    <w:rsid w:val="00AF77E2"/>
    <w:rsid w:val="00B06911"/>
    <w:rsid w:val="00B133CE"/>
    <w:rsid w:val="00B15C7D"/>
    <w:rsid w:val="00B2059A"/>
    <w:rsid w:val="00B2451B"/>
    <w:rsid w:val="00B334DB"/>
    <w:rsid w:val="00B40356"/>
    <w:rsid w:val="00B4532D"/>
    <w:rsid w:val="00B46CC6"/>
    <w:rsid w:val="00B52B6B"/>
    <w:rsid w:val="00B64366"/>
    <w:rsid w:val="00B81027"/>
    <w:rsid w:val="00B95598"/>
    <w:rsid w:val="00BA612D"/>
    <w:rsid w:val="00BA6672"/>
    <w:rsid w:val="00BB03BF"/>
    <w:rsid w:val="00BB05D2"/>
    <w:rsid w:val="00BB08B0"/>
    <w:rsid w:val="00BB7D15"/>
    <w:rsid w:val="00BD138B"/>
    <w:rsid w:val="00BE71AA"/>
    <w:rsid w:val="00BF1FD6"/>
    <w:rsid w:val="00BF7BFC"/>
    <w:rsid w:val="00C0158F"/>
    <w:rsid w:val="00C025E9"/>
    <w:rsid w:val="00C17CA8"/>
    <w:rsid w:val="00C25E39"/>
    <w:rsid w:val="00C26AE3"/>
    <w:rsid w:val="00C34BED"/>
    <w:rsid w:val="00C437C5"/>
    <w:rsid w:val="00C74AB8"/>
    <w:rsid w:val="00C8545F"/>
    <w:rsid w:val="00C94884"/>
    <w:rsid w:val="00CA00F2"/>
    <w:rsid w:val="00CA19EC"/>
    <w:rsid w:val="00CA4B94"/>
    <w:rsid w:val="00CA628D"/>
    <w:rsid w:val="00CA6CCF"/>
    <w:rsid w:val="00CB0F26"/>
    <w:rsid w:val="00CB37D7"/>
    <w:rsid w:val="00CB4B72"/>
    <w:rsid w:val="00CD099E"/>
    <w:rsid w:val="00CD61ED"/>
    <w:rsid w:val="00CE064F"/>
    <w:rsid w:val="00CE32EC"/>
    <w:rsid w:val="00CE4565"/>
    <w:rsid w:val="00CF26A2"/>
    <w:rsid w:val="00CF37C8"/>
    <w:rsid w:val="00D0184F"/>
    <w:rsid w:val="00D03B53"/>
    <w:rsid w:val="00D04C3D"/>
    <w:rsid w:val="00D07855"/>
    <w:rsid w:val="00D16089"/>
    <w:rsid w:val="00D27957"/>
    <w:rsid w:val="00D37191"/>
    <w:rsid w:val="00D401D1"/>
    <w:rsid w:val="00D445FE"/>
    <w:rsid w:val="00D44BA0"/>
    <w:rsid w:val="00D53257"/>
    <w:rsid w:val="00D66D09"/>
    <w:rsid w:val="00DC5108"/>
    <w:rsid w:val="00DD0B45"/>
    <w:rsid w:val="00DD175C"/>
    <w:rsid w:val="00DD61A5"/>
    <w:rsid w:val="00DF5E99"/>
    <w:rsid w:val="00E074D3"/>
    <w:rsid w:val="00E11AD1"/>
    <w:rsid w:val="00E17FDC"/>
    <w:rsid w:val="00E25F11"/>
    <w:rsid w:val="00E3313B"/>
    <w:rsid w:val="00E450D6"/>
    <w:rsid w:val="00E552DC"/>
    <w:rsid w:val="00E6039F"/>
    <w:rsid w:val="00E67AE1"/>
    <w:rsid w:val="00E71220"/>
    <w:rsid w:val="00E74A56"/>
    <w:rsid w:val="00E9595C"/>
    <w:rsid w:val="00EB17D7"/>
    <w:rsid w:val="00EB536A"/>
    <w:rsid w:val="00EC3B28"/>
    <w:rsid w:val="00ED0937"/>
    <w:rsid w:val="00EE324B"/>
    <w:rsid w:val="00EE54A5"/>
    <w:rsid w:val="00EE5AA9"/>
    <w:rsid w:val="00F01370"/>
    <w:rsid w:val="00F15E64"/>
    <w:rsid w:val="00F23B4E"/>
    <w:rsid w:val="00F27FB5"/>
    <w:rsid w:val="00F43F74"/>
    <w:rsid w:val="00F46DEC"/>
    <w:rsid w:val="00F47124"/>
    <w:rsid w:val="00F51F13"/>
    <w:rsid w:val="00F543F8"/>
    <w:rsid w:val="00F70345"/>
    <w:rsid w:val="00F7619C"/>
    <w:rsid w:val="00F7697D"/>
    <w:rsid w:val="00F76A61"/>
    <w:rsid w:val="00F95BE9"/>
    <w:rsid w:val="00F97FBB"/>
    <w:rsid w:val="00FA3C86"/>
    <w:rsid w:val="00FD6B38"/>
    <w:rsid w:val="00FD7A90"/>
    <w:rsid w:val="00FF1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58D1"/>
  <w15:docId w15:val="{F223C86F-49B4-41A9-963E-2DDC4F93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BB"/>
    <w:pPr>
      <w:jc w:val="both"/>
    </w:pPr>
    <w:rPr>
      <w:rFonts w:ascii="Arial" w:hAnsi="Arial"/>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2F4A27"/>
    <w:pPr>
      <w:outlineLvl w:val="2"/>
    </w:pPr>
    <w:rPr>
      <w:b/>
      <w:bCs/>
      <w:i/>
      <w:iCs/>
    </w:rPr>
  </w:style>
  <w:style w:type="paragraph" w:styleId="Heading4">
    <w:name w:val="heading 4"/>
    <w:basedOn w:val="Normal"/>
    <w:next w:val="Normal"/>
    <w:link w:val="Heading4Char"/>
    <w:uiPriority w:val="9"/>
    <w:unhideWhenUsed/>
    <w:qFormat/>
    <w:rsid w:val="008224BB"/>
    <w:pPr>
      <w:tabs>
        <w:tab w:val="left" w:pos="540"/>
        <w:tab w:val="left" w:pos="630"/>
      </w:tabs>
      <w:spacing w:after="0" w:line="240" w:lineRule="auto"/>
      <w:jc w:val="center"/>
      <w:outlineLvl w:val="3"/>
    </w:pPr>
    <w:rPr>
      <w:rFonts w:eastAsia="Times New Roman" w:cs="Arial"/>
      <w:b/>
      <w:bCs/>
      <w:lang w:val="en-U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2F4A27"/>
    <w:rPr>
      <w:rFonts w:ascii="Arial" w:hAnsi="Arial"/>
      <w:b/>
      <w:bCs/>
      <w:i/>
      <w:iCs/>
    </w:rPr>
  </w:style>
  <w:style w:type="character" w:customStyle="1" w:styleId="Heading4Char">
    <w:name w:val="Heading 4 Char"/>
    <w:basedOn w:val="DefaultParagraphFont"/>
    <w:link w:val="Heading4"/>
    <w:uiPriority w:val="9"/>
    <w:rsid w:val="008224BB"/>
    <w:rPr>
      <w:rFonts w:ascii="Arial" w:eastAsia="Times New Roman" w:hAnsi="Arial" w:cs="Arial"/>
      <w:b/>
      <w:bCs/>
      <w:lang w:val="en-U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95856"/>
    <w:pPr>
      <w:spacing w:after="0" w:line="216" w:lineRule="auto"/>
      <w:ind w:left="340"/>
    </w:pPr>
    <w:rPr>
      <w:rFonts w:eastAsia="MS Mincho" w:cs="Arial"/>
      <w:sz w:val="16"/>
      <w:szCs w:val="16"/>
      <w:lang w:val="en-US" w:eastAsia="ja-JP"/>
    </w:rPr>
  </w:style>
  <w:style w:type="character" w:customStyle="1" w:styleId="FootnoteTextChar">
    <w:name w:val="Footnote Text Char"/>
    <w:basedOn w:val="DefaultParagraphFont"/>
    <w:link w:val="FootnoteText"/>
    <w:uiPriority w:val="99"/>
    <w:rsid w:val="00195856"/>
    <w:rPr>
      <w:rFonts w:ascii="Arial" w:eastAsia="MS Mincho" w:hAnsi="Arial" w:cs="Arial"/>
      <w:sz w:val="16"/>
      <w:szCs w:val="16"/>
      <w:lang w:val="en-US" w:eastAsia="ja-JP"/>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table" w:styleId="TableGrid">
    <w:name w:val="Table Grid"/>
    <w:basedOn w:val="TableNormal"/>
    <w:uiPriority w:val="59"/>
    <w:rsid w:val="002F4A27"/>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4534BD"/>
    <w:pPr>
      <w:spacing w:after="0" w:line="240" w:lineRule="auto"/>
      <w:ind w:firstLine="288"/>
    </w:pPr>
    <w:rPr>
      <w:rFonts w:eastAsia="MS Mincho" w:cs="Times New Roman"/>
      <w:sz w:val="20"/>
      <w:szCs w:val="20"/>
      <w:lang w:val="en-US" w:eastAsia="ja-JP"/>
    </w:rPr>
  </w:style>
  <w:style w:type="character" w:customStyle="1" w:styleId="BodyChar">
    <w:name w:val="Body Char"/>
    <w:link w:val="Body"/>
    <w:rsid w:val="004534BD"/>
    <w:rPr>
      <w:rFonts w:ascii="Arial" w:eastAsia="MS Mincho" w:hAnsi="Arial" w:cs="Times New Roman"/>
      <w:sz w:val="20"/>
      <w:szCs w:val="20"/>
      <w:lang w:val="en-US" w:eastAsia="ja-JP"/>
    </w:rPr>
  </w:style>
  <w:style w:type="paragraph" w:customStyle="1" w:styleId="BodyText1">
    <w:name w:val="BodyText1"/>
    <w:basedOn w:val="Normal"/>
    <w:rsid w:val="004534BD"/>
    <w:pPr>
      <w:spacing w:before="4" w:after="0" w:line="240" w:lineRule="auto"/>
      <w:ind w:firstLine="317"/>
    </w:pPr>
    <w:rPr>
      <w:rFonts w:ascii="Helvetica" w:eastAsia="Times New Roman" w:hAnsi="Helvetica" w:cs="Times New Roman"/>
      <w:sz w:val="16"/>
      <w:szCs w:val="24"/>
      <w:lang w:val="en-US"/>
    </w:rPr>
  </w:style>
  <w:style w:type="character" w:styleId="UnresolvedMention">
    <w:name w:val="Unresolved Mention"/>
    <w:basedOn w:val="DefaultParagraphFont"/>
    <w:uiPriority w:val="99"/>
    <w:semiHidden/>
    <w:unhideWhenUsed/>
    <w:rsid w:val="004F297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74226"/>
    <w:rPr>
      <w:rFonts w:ascii="Arial" w:hAnsi="Arial"/>
      <w:b/>
      <w:bCs/>
    </w:rPr>
  </w:style>
  <w:style w:type="character" w:customStyle="1" w:styleId="CommentSubjectChar">
    <w:name w:val="Comment Subject Char"/>
    <w:basedOn w:val="CommentTextChar"/>
    <w:link w:val="CommentSubject"/>
    <w:uiPriority w:val="99"/>
    <w:semiHidden/>
    <w:rsid w:val="00774226"/>
    <w:rPr>
      <w:rFonts w:ascii="Arial" w:hAnsi="Arial"/>
      <w:b/>
      <w:bCs/>
      <w:sz w:val="20"/>
      <w:szCs w:val="20"/>
    </w:rPr>
  </w:style>
  <w:style w:type="paragraph" w:styleId="Caption">
    <w:name w:val="caption"/>
    <w:basedOn w:val="Normal"/>
    <w:next w:val="Normal"/>
    <w:uiPriority w:val="35"/>
    <w:unhideWhenUsed/>
    <w:qFormat/>
    <w:rsid w:val="008224BB"/>
    <w:pPr>
      <w:spacing w:line="240" w:lineRule="auto"/>
    </w:pPr>
    <w:rPr>
      <w:i/>
      <w:iCs/>
      <w:color w:val="1F497D" w:themeColor="text2"/>
      <w:sz w:val="18"/>
      <w:szCs w:val="18"/>
    </w:rPr>
  </w:style>
  <w:style w:type="paragraph" w:styleId="TableofFigures">
    <w:name w:val="table of figures"/>
    <w:basedOn w:val="Normal"/>
    <w:next w:val="Normal"/>
    <w:uiPriority w:val="99"/>
    <w:semiHidden/>
    <w:unhideWhenUsed/>
    <w:rsid w:val="00BB08B0"/>
    <w:pPr>
      <w:spacing w:after="0"/>
    </w:pPr>
  </w:style>
  <w:style w:type="paragraph" w:customStyle="1" w:styleId="Default">
    <w:name w:val="Default"/>
    <w:rsid w:val="00AE409A"/>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1220C0"/>
    <w:pPr>
      <w:spacing w:after="0" w:line="240" w:lineRule="auto"/>
    </w:pPr>
    <w:rPr>
      <w:rFonts w:ascii="Arial" w:hAnsi="Arial"/>
    </w:rPr>
  </w:style>
  <w:style w:type="character" w:styleId="FollowedHyperlink">
    <w:name w:val="FollowedHyperlink"/>
    <w:basedOn w:val="DefaultParagraphFont"/>
    <w:uiPriority w:val="99"/>
    <w:semiHidden/>
    <w:unhideWhenUsed/>
    <w:rsid w:val="00205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8240">
      <w:bodyDiv w:val="1"/>
      <w:marLeft w:val="0"/>
      <w:marRight w:val="0"/>
      <w:marTop w:val="0"/>
      <w:marBottom w:val="0"/>
      <w:divBdr>
        <w:top w:val="none" w:sz="0" w:space="0" w:color="auto"/>
        <w:left w:val="none" w:sz="0" w:space="0" w:color="auto"/>
        <w:bottom w:val="none" w:sz="0" w:space="0" w:color="auto"/>
        <w:right w:val="none" w:sz="0" w:space="0" w:color="auto"/>
      </w:divBdr>
    </w:div>
    <w:div w:id="970211777">
      <w:bodyDiv w:val="1"/>
      <w:marLeft w:val="0"/>
      <w:marRight w:val="0"/>
      <w:marTop w:val="0"/>
      <w:marBottom w:val="0"/>
      <w:divBdr>
        <w:top w:val="none" w:sz="0" w:space="0" w:color="auto"/>
        <w:left w:val="none" w:sz="0" w:space="0" w:color="auto"/>
        <w:bottom w:val="none" w:sz="0" w:space="0" w:color="auto"/>
        <w:right w:val="none" w:sz="0" w:space="0" w:color="auto"/>
      </w:divBdr>
    </w:div>
    <w:div w:id="1563100673">
      <w:bodyDiv w:val="1"/>
      <w:marLeft w:val="0"/>
      <w:marRight w:val="0"/>
      <w:marTop w:val="0"/>
      <w:marBottom w:val="0"/>
      <w:divBdr>
        <w:top w:val="none" w:sz="0" w:space="0" w:color="auto"/>
        <w:left w:val="none" w:sz="0" w:space="0" w:color="auto"/>
        <w:bottom w:val="none" w:sz="0" w:space="0" w:color="auto"/>
        <w:right w:val="none" w:sz="0" w:space="0" w:color="auto"/>
      </w:divBdr>
    </w:div>
    <w:div w:id="1679113224">
      <w:bodyDiv w:val="1"/>
      <w:marLeft w:val="0"/>
      <w:marRight w:val="0"/>
      <w:marTop w:val="0"/>
      <w:marBottom w:val="0"/>
      <w:divBdr>
        <w:top w:val="none" w:sz="0" w:space="0" w:color="auto"/>
        <w:left w:val="none" w:sz="0" w:space="0" w:color="auto"/>
        <w:bottom w:val="none" w:sz="0" w:space="0" w:color="auto"/>
        <w:right w:val="none" w:sz="0" w:space="0" w:color="auto"/>
      </w:divBdr>
    </w:div>
    <w:div w:id="2054304998">
      <w:bodyDiv w:val="1"/>
      <w:marLeft w:val="0"/>
      <w:marRight w:val="0"/>
      <w:marTop w:val="0"/>
      <w:marBottom w:val="0"/>
      <w:divBdr>
        <w:top w:val="none" w:sz="0" w:space="0" w:color="auto"/>
        <w:left w:val="none" w:sz="0" w:space="0" w:color="auto"/>
        <w:bottom w:val="none" w:sz="0" w:space="0" w:color="auto"/>
        <w:right w:val="none" w:sz="0" w:space="0" w:color="auto"/>
      </w:divBdr>
    </w:div>
    <w:div w:id="20996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d-australia.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90985.5979DFC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nshar\Merck%20Sharp%20&amp;%20Dohme,%20Corp\Australia%20and%20New%20Zealand%20Regulatory%20Affairs%20-%20MK-6482\PROJECTS\001\2.Dossier\PI-CMI\TRADENAME_belzutifan_PI_AU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e007dd-a2ae-40d7-a15a-7fdace1322ad">
      <Terms xmlns="http://schemas.microsoft.com/office/infopath/2007/PartnerControls"/>
    </lcf76f155ced4ddcb4097134ff3c332f>
    <TaxCatchAll xmlns="2da0982e-0f9d-4525-92cd-42452a608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AAFF769D30864DB32681B6C11085F2" ma:contentTypeVersion="14" ma:contentTypeDescription="Create a new document." ma:contentTypeScope="" ma:versionID="9604cdbe61d6bb4fbe0394de520ea012">
  <xsd:schema xmlns:xsd="http://www.w3.org/2001/XMLSchema" xmlns:xs="http://www.w3.org/2001/XMLSchema" xmlns:p="http://schemas.microsoft.com/office/2006/metadata/properties" xmlns:ns2="f8e007dd-a2ae-40d7-a15a-7fdace1322ad" xmlns:ns3="2da0982e-0f9d-4525-92cd-42452a6082d6" targetNamespace="http://schemas.microsoft.com/office/2006/metadata/properties" ma:root="true" ma:fieldsID="cd7a42d27349165db382032961de945b" ns2:_="" ns3:_="">
    <xsd:import namespace="f8e007dd-a2ae-40d7-a15a-7fdace1322ad"/>
    <xsd:import namespace="2da0982e-0f9d-4525-92cd-42452a6082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007dd-a2ae-40d7-a15a-7fdace132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0982e-0f9d-4525-92cd-42452a6082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1799cf-d436-4cd4-96e9-e358e7e3c8be}" ma:internalName="TaxCatchAll" ma:showField="CatchAllData" ma:web="2da0982e-0f9d-4525-92cd-42452a608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CEB3CF77-50BB-4A61-9FD4-1C1C461BC529}">
  <ds:schemaRefs>
    <ds:schemaRef ds:uri="http://schemas.microsoft.com/office/2006/metadata/properties"/>
    <ds:schemaRef ds:uri="http://schemas.microsoft.com/office/infopath/2007/PartnerControls"/>
    <ds:schemaRef ds:uri="f8e007dd-a2ae-40d7-a15a-7fdace1322ad"/>
    <ds:schemaRef ds:uri="2da0982e-0f9d-4525-92cd-42452a6082d6"/>
  </ds:schemaRefs>
</ds:datastoreItem>
</file>

<file path=customXml/itemProps2.xml><?xml version="1.0" encoding="utf-8"?>
<ds:datastoreItem xmlns:ds="http://schemas.openxmlformats.org/officeDocument/2006/customXml" ds:itemID="{5B9B5F07-4AF0-4FBB-B812-B7D555DE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007dd-a2ae-40d7-a15a-7fdace1322ad"/>
    <ds:schemaRef ds:uri="2da0982e-0f9d-4525-92cd-42452a60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666CB-1501-4602-89C8-9DC546240033}">
  <ds:schemaRefs>
    <ds:schemaRef ds:uri="http://schemas.openxmlformats.org/officeDocument/2006/bibliography"/>
  </ds:schemaRefs>
</ds:datastoreItem>
</file>

<file path=customXml/itemProps4.xml><?xml version="1.0" encoding="utf-8"?>
<ds:datastoreItem xmlns:ds="http://schemas.openxmlformats.org/officeDocument/2006/customXml" ds:itemID="{14BC38CA-1778-4FC3-8192-5EE1CE17FE3A}">
  <ds:schemaRefs>
    <ds:schemaRef ds:uri="http://schemas.microsoft.com/sharepoint/v3/contenttype/forms"/>
  </ds:schemaRefs>
</ds:datastoreItem>
</file>

<file path=customXml/itemProps5.xml><?xml version="1.0" encoding="utf-8"?>
<ds:datastoreItem xmlns:ds="http://schemas.openxmlformats.org/officeDocument/2006/customXml" ds:itemID="{098BBCA2-CD87-46D0-B529-B3B4BBF626D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TRADENAME_belzutifan_PI_AU_v0.1.dotx</Template>
  <TotalTime>3</TotalTime>
  <Pages>17</Pages>
  <Words>5570</Words>
  <Characters>30859</Characters>
  <Application>Microsoft Office Word</Application>
  <DocSecurity>0</DocSecurity>
  <Lines>605</Lines>
  <Paragraphs>325</Paragraphs>
  <ScaleCrop>false</ScaleCrop>
  <HeadingPairs>
    <vt:vector size="2" baseType="variant">
      <vt:variant>
        <vt:lpstr>Title</vt:lpstr>
      </vt:variant>
      <vt:variant>
        <vt:i4>1</vt:i4>
      </vt:variant>
    </vt:vector>
  </HeadingPairs>
  <TitlesOfParts>
    <vt:vector size="1" baseType="lpstr">
      <vt:lpstr>Attachment Product information for Welireg </vt:lpstr>
    </vt:vector>
  </TitlesOfParts>
  <Company>Merck Sharp &amp; Dohme (Australia) Pty Ltd</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Welireg </dc:title>
  <dc:subject>prescription medicines</dc:subject>
  <dc:creator>Merck Sharp &amp; Dohme (Australia) Pty Ltd</dc:creator>
  <cp:keywords/>
  <dc:description/>
  <cp:lastModifiedBy>LACK, Janet</cp:lastModifiedBy>
  <cp:revision>3</cp:revision>
  <cp:lastPrinted>2022-03-02T07:22:00Z</cp:lastPrinted>
  <dcterms:created xsi:type="dcterms:W3CDTF">2023-09-13T06:40:00Z</dcterms:created>
  <dcterms:modified xsi:type="dcterms:W3CDTF">2023-09-13T06:43:00Z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0x01010033C2A819CB59D445BC542FC74A93BAF0</vt:lpwstr>
  </property>
  <property fmtid="{D5CDD505-2E9C-101B-9397-08002B2CF9AE}" pid="3" name="docIndexRef">
    <vt:lpwstr>1b4bb511-72f6-4a15-8a9f-d5f96b6def70</vt:lpwstr>
  </property>
  <property fmtid="{D5CDD505-2E9C-101B-9397-08002B2CF9AE}" pid="4" name="bjSaver">
    <vt:lpwstr>gSr5iaWlUdEO4vAWm+01ZJqIHClAjk0I</vt:lpwstr>
  </property>
  <property fmtid="{D5CDD505-2E9C-101B-9397-08002B2CF9AE}" pid="5"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bjDocumentSecurityLabel">
    <vt:lpwstr>Not Classified</vt:lpwstr>
  </property>
  <property fmtid="{D5CDD505-2E9C-101B-9397-08002B2CF9AE}" pid="8" name="MediaServiceImageTags">
    <vt:lpwstr/>
  </property>
</Properties>
</file>